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79A91" w14:textId="077BB60F" w:rsidR="007F7C84" w:rsidRDefault="007F7C84" w:rsidP="007F7C84">
      <w:pPr>
        <w:spacing w:line="240" w:lineRule="atLeast"/>
        <w:jc w:val="center"/>
      </w:pPr>
      <w:bookmarkStart w:id="0" w:name="_Toc354570759"/>
      <w:bookmarkStart w:id="1" w:name="_Toc388648326"/>
      <w:bookmarkStart w:id="2" w:name="_Toc295406110"/>
      <w:bookmarkStart w:id="3" w:name="_Toc326507336"/>
      <w:bookmarkStart w:id="4" w:name="_Toc9109560"/>
      <w:r>
        <w:rPr>
          <w:b/>
          <w:sz w:val="32"/>
        </w:rPr>
        <w:t>MONTREAL PROTOCOL</w:t>
      </w:r>
      <w:r w:rsidR="00D873FA">
        <w:rPr>
          <w:b/>
          <w:sz w:val="32"/>
        </w:rPr>
        <w:t xml:space="preserve"> </w:t>
      </w:r>
      <w:r>
        <w:rPr>
          <w:b/>
          <w:sz w:val="32"/>
        </w:rPr>
        <w:t>ON SUBSTANCES THAT DEPLETE</w:t>
      </w:r>
      <w:r w:rsidR="0060224C">
        <w:rPr>
          <w:b/>
          <w:sz w:val="32"/>
        </w:rPr>
        <w:t xml:space="preserve"> </w:t>
      </w:r>
      <w:r>
        <w:rPr>
          <w:b/>
          <w:sz w:val="32"/>
        </w:rPr>
        <w:t>THE OZONE LAYER</w:t>
      </w:r>
    </w:p>
    <w:p w14:paraId="28519235" w14:textId="77777777" w:rsidR="007F7C84" w:rsidRDefault="007F7C84" w:rsidP="007F7C84">
      <w:pPr>
        <w:spacing w:line="240" w:lineRule="atLeast"/>
        <w:jc w:val="center"/>
      </w:pPr>
    </w:p>
    <w:p w14:paraId="5C62B373" w14:textId="7E820C0D" w:rsidR="007F7C84" w:rsidRDefault="007F7C84" w:rsidP="007F7C84">
      <w:pPr>
        <w:spacing w:line="240" w:lineRule="atLeast"/>
        <w:jc w:val="center"/>
      </w:pPr>
    </w:p>
    <w:p w14:paraId="5E153EBD" w14:textId="7014C7C7" w:rsidR="00322051" w:rsidRDefault="00322051" w:rsidP="00322051">
      <w:pPr>
        <w:pStyle w:val="Style15"/>
      </w:pPr>
    </w:p>
    <w:p w14:paraId="68410571" w14:textId="722CF8A5" w:rsidR="00322051" w:rsidRDefault="00322051" w:rsidP="00322051">
      <w:pPr>
        <w:pStyle w:val="Style15"/>
      </w:pPr>
    </w:p>
    <w:p w14:paraId="7604725A" w14:textId="77777777" w:rsidR="005617DE" w:rsidRDefault="005617DE" w:rsidP="00322051">
      <w:pPr>
        <w:pStyle w:val="Style15"/>
      </w:pPr>
    </w:p>
    <w:p w14:paraId="7A37716D" w14:textId="3C0749C6" w:rsidR="00322051" w:rsidRDefault="00322051" w:rsidP="00322051">
      <w:pPr>
        <w:pStyle w:val="Style15"/>
      </w:pPr>
    </w:p>
    <w:p w14:paraId="7EA60F69" w14:textId="43AA3138" w:rsidR="00322051" w:rsidRDefault="00322051" w:rsidP="00322051">
      <w:pPr>
        <w:pStyle w:val="Style15"/>
      </w:pPr>
    </w:p>
    <w:p w14:paraId="732F17C5" w14:textId="77777777" w:rsidR="00322051" w:rsidRPr="00322051" w:rsidRDefault="00322051" w:rsidP="00322051">
      <w:pPr>
        <w:pStyle w:val="Style15"/>
      </w:pPr>
    </w:p>
    <w:p w14:paraId="518B2575" w14:textId="77777777" w:rsidR="007F7C84" w:rsidRPr="00C56167" w:rsidRDefault="007F7C84" w:rsidP="007F7C84">
      <w:pPr>
        <w:spacing w:line="240" w:lineRule="atLeast"/>
        <w:jc w:val="center"/>
        <w:rPr>
          <w:sz w:val="48"/>
          <w:szCs w:val="48"/>
        </w:rPr>
      </w:pPr>
    </w:p>
    <w:p w14:paraId="6228DBCF" w14:textId="30040CF4" w:rsidR="007F7C84" w:rsidRDefault="007F7C84" w:rsidP="007F7C84">
      <w:pPr>
        <w:spacing w:line="240" w:lineRule="atLeast"/>
        <w:jc w:val="center"/>
        <w:rPr>
          <w:b/>
          <w:smallCaps/>
          <w:sz w:val="32"/>
        </w:rPr>
      </w:pPr>
      <w:r>
        <w:rPr>
          <w:b/>
          <w:smallCaps/>
          <w:sz w:val="32"/>
        </w:rPr>
        <w:t>Report of the</w:t>
      </w:r>
      <w:r w:rsidR="00D873FA">
        <w:rPr>
          <w:b/>
          <w:smallCaps/>
          <w:sz w:val="32"/>
        </w:rPr>
        <w:t xml:space="preserve"> </w:t>
      </w:r>
      <w:r>
        <w:rPr>
          <w:b/>
          <w:smallCaps/>
          <w:sz w:val="32"/>
        </w:rPr>
        <w:t>Technology and Economic Assessment Panel</w:t>
      </w:r>
    </w:p>
    <w:p w14:paraId="54857A07" w14:textId="77777777" w:rsidR="007F7C84" w:rsidRDefault="007F7C84" w:rsidP="007F7C84">
      <w:pPr>
        <w:spacing w:line="240" w:lineRule="atLeast"/>
        <w:jc w:val="center"/>
        <w:rPr>
          <w:b/>
          <w:smallCaps/>
          <w:sz w:val="36"/>
        </w:rPr>
      </w:pPr>
    </w:p>
    <w:p w14:paraId="1FA7329D" w14:textId="618BCEF4" w:rsidR="007F7C84" w:rsidRDefault="002D3492" w:rsidP="007F7C84">
      <w:pPr>
        <w:spacing w:line="240" w:lineRule="atLeast"/>
        <w:jc w:val="center"/>
        <w:rPr>
          <w:b/>
          <w:smallCaps/>
          <w:sz w:val="32"/>
        </w:rPr>
      </w:pPr>
      <w:r>
        <w:rPr>
          <w:b/>
          <w:smallCaps/>
          <w:sz w:val="36"/>
        </w:rPr>
        <w:t>MAY 2022</w:t>
      </w:r>
    </w:p>
    <w:p w14:paraId="6C4D833B" w14:textId="77777777" w:rsidR="007F7C84" w:rsidRDefault="007F7C84" w:rsidP="007F7C84">
      <w:pPr>
        <w:spacing w:line="240" w:lineRule="atLeast"/>
        <w:jc w:val="center"/>
        <w:rPr>
          <w:b/>
          <w:smallCaps/>
          <w:sz w:val="30"/>
        </w:rPr>
      </w:pPr>
    </w:p>
    <w:p w14:paraId="74B0523C" w14:textId="77777777" w:rsidR="007F7C84" w:rsidRDefault="007F7C84" w:rsidP="007F7C84">
      <w:pPr>
        <w:jc w:val="center"/>
        <w:rPr>
          <w:b/>
          <w:smallCaps/>
          <w:sz w:val="28"/>
        </w:rPr>
      </w:pPr>
      <w:r>
        <w:rPr>
          <w:b/>
          <w:smallCaps/>
          <w:sz w:val="28"/>
        </w:rPr>
        <w:t xml:space="preserve">Volume 1: Progress Report </w:t>
      </w:r>
    </w:p>
    <w:p w14:paraId="2B4FC5E7" w14:textId="77777777" w:rsidR="007F7C84" w:rsidRDefault="007F7C84" w:rsidP="007F7C84">
      <w:pPr>
        <w:jc w:val="center"/>
        <w:rPr>
          <w:b/>
          <w:smallCaps/>
          <w:noProof/>
          <w:sz w:val="28"/>
        </w:rPr>
      </w:pPr>
    </w:p>
    <w:p w14:paraId="2E67FD5F" w14:textId="77777777" w:rsidR="007F7C84" w:rsidRDefault="007F7C84" w:rsidP="007F7C84">
      <w:pPr>
        <w:jc w:val="center"/>
        <w:rPr>
          <w:b/>
          <w:smallCaps/>
          <w:noProof/>
          <w:sz w:val="28"/>
        </w:rPr>
      </w:pPr>
    </w:p>
    <w:p w14:paraId="666FDFCE" w14:textId="1B934B17" w:rsidR="007F7C84" w:rsidRDefault="007F7C84" w:rsidP="007F7C84">
      <w:pPr>
        <w:jc w:val="center"/>
        <w:rPr>
          <w:b/>
          <w:smallCaps/>
          <w:noProof/>
          <w:sz w:val="28"/>
        </w:rPr>
      </w:pPr>
    </w:p>
    <w:p w14:paraId="7CB4723D" w14:textId="318F99E7" w:rsidR="00322051" w:rsidRDefault="00322051" w:rsidP="00322051">
      <w:pPr>
        <w:pStyle w:val="Style15"/>
      </w:pPr>
    </w:p>
    <w:p w14:paraId="6D10039D" w14:textId="1A678FEE" w:rsidR="00322051" w:rsidRDefault="00322051" w:rsidP="00322051">
      <w:pPr>
        <w:pStyle w:val="Style15"/>
      </w:pPr>
    </w:p>
    <w:p w14:paraId="12095489" w14:textId="0AFCD2A8" w:rsidR="00322051" w:rsidRDefault="00322051" w:rsidP="00322051">
      <w:pPr>
        <w:pStyle w:val="Style15"/>
      </w:pPr>
    </w:p>
    <w:p w14:paraId="202A2411" w14:textId="0BB65A06" w:rsidR="00322051" w:rsidRDefault="00322051" w:rsidP="00322051">
      <w:pPr>
        <w:pStyle w:val="Style15"/>
      </w:pPr>
    </w:p>
    <w:p w14:paraId="6DA85458" w14:textId="6DB8AEB3" w:rsidR="00322051" w:rsidRDefault="00322051" w:rsidP="00322051">
      <w:pPr>
        <w:pStyle w:val="Style15"/>
      </w:pPr>
    </w:p>
    <w:p w14:paraId="6112F73F" w14:textId="77777777" w:rsidR="00322051" w:rsidRPr="00322051" w:rsidRDefault="00322051" w:rsidP="00322051">
      <w:pPr>
        <w:pStyle w:val="Style15"/>
      </w:pPr>
    </w:p>
    <w:p w14:paraId="6CE9C7D0" w14:textId="77777777" w:rsidR="007F7C84" w:rsidRDefault="007F7C84" w:rsidP="007F7C84">
      <w:pPr>
        <w:pStyle w:val="Style15"/>
      </w:pPr>
    </w:p>
    <w:p w14:paraId="5FA35891" w14:textId="77777777" w:rsidR="007F7C84" w:rsidRDefault="007F7C84" w:rsidP="007F7C84">
      <w:pPr>
        <w:pStyle w:val="Style15"/>
      </w:pPr>
    </w:p>
    <w:p w14:paraId="1889A2FF" w14:textId="77777777" w:rsidR="007F7C84" w:rsidRDefault="007F7C84" w:rsidP="007F7C84">
      <w:pPr>
        <w:pStyle w:val="Style15"/>
      </w:pPr>
    </w:p>
    <w:p w14:paraId="733ECED3" w14:textId="77777777" w:rsidR="007F7C84" w:rsidRPr="00394A98" w:rsidRDefault="007F7C84" w:rsidP="007F7C84">
      <w:pPr>
        <w:pStyle w:val="Style15"/>
      </w:pPr>
    </w:p>
    <w:p w14:paraId="24DE1716" w14:textId="1FA69233" w:rsidR="007F7C84" w:rsidRDefault="007F7C84" w:rsidP="007E5DBF">
      <w:pPr>
        <w:spacing w:after="0"/>
        <w:jc w:val="right"/>
      </w:pPr>
      <w:r>
        <w:rPr>
          <w:b/>
          <w:smallCaps/>
          <w:noProof/>
          <w:sz w:val="28"/>
          <w:lang w:eastAsia="en-GB"/>
        </w:rPr>
        <w:drawing>
          <wp:inline distT="0" distB="0" distL="0" distR="0" wp14:anchorId="700F7604" wp14:editId="1C2F58B6">
            <wp:extent cx="1276602" cy="1328952"/>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7449" r="7753"/>
                    <a:stretch/>
                  </pic:blipFill>
                  <pic:spPr bwMode="auto">
                    <a:xfrm>
                      <a:off x="0" y="0"/>
                      <a:ext cx="1276701" cy="1329055"/>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77286508" w14:textId="77777777" w:rsidR="007F7C84" w:rsidRPr="00D23986" w:rsidRDefault="007F7C84" w:rsidP="007F7C84">
      <w:pPr>
        <w:jc w:val="right"/>
        <w:rPr>
          <w:b/>
          <w:smallCaps/>
          <w:sz w:val="28"/>
        </w:rPr>
        <w:sectPr w:rsidR="007F7C84" w:rsidRPr="00D23986" w:rsidSect="00F24FF8">
          <w:headerReference w:type="even" r:id="rId12"/>
          <w:headerReference w:type="default" r:id="rId13"/>
          <w:footerReference w:type="even" r:id="rId14"/>
          <w:footerReference w:type="default" r:id="rId15"/>
          <w:headerReference w:type="first" r:id="rId16"/>
          <w:footerReference w:type="first" r:id="rId17"/>
          <w:footnotePr>
            <w:numRestart w:val="eachSect"/>
          </w:footnotePr>
          <w:type w:val="nextColumn"/>
          <w:pgSz w:w="11907" w:h="16839" w:code="9"/>
          <w:pgMar w:top="1440" w:right="1800" w:bottom="1526" w:left="1800" w:header="720" w:footer="792" w:gutter="0"/>
          <w:pgNumType w:fmt="lowerRoman"/>
          <w:cols w:space="720"/>
          <w:titlePg/>
          <w:docGrid w:linePitch="299"/>
        </w:sectPr>
      </w:pPr>
    </w:p>
    <w:p w14:paraId="63B8CD07" w14:textId="77777777" w:rsidR="007F7C84" w:rsidRPr="00B4636E" w:rsidRDefault="007F7C84" w:rsidP="007F7C84">
      <w:pPr>
        <w:spacing w:before="240" w:after="120"/>
        <w:jc w:val="right"/>
        <w:rPr>
          <w:b/>
          <w:sz w:val="24"/>
        </w:rPr>
      </w:pPr>
      <w:bookmarkStart w:id="5" w:name="_Hlk41990389"/>
      <w:r w:rsidRPr="00D23986">
        <w:rPr>
          <w:b/>
          <w:sz w:val="24"/>
        </w:rPr>
        <w:lastRenderedPageBreak/>
        <w:t>Montreal Protocol</w:t>
      </w:r>
      <w:r>
        <w:rPr>
          <w:b/>
          <w:sz w:val="24"/>
        </w:rPr>
        <w:t xml:space="preserve"> o</w:t>
      </w:r>
      <w:r w:rsidRPr="00D23986">
        <w:rPr>
          <w:b/>
          <w:sz w:val="24"/>
        </w:rPr>
        <w:t>n Substances that Deplete the Ozone Layer</w:t>
      </w:r>
    </w:p>
    <w:p w14:paraId="439E7FC0" w14:textId="77777777" w:rsidR="007F7C84" w:rsidRDefault="007F7C84" w:rsidP="007F7C84">
      <w:pPr>
        <w:pStyle w:val="Style15"/>
        <w:jc w:val="right"/>
        <w:rPr>
          <w:sz w:val="24"/>
          <w:szCs w:val="24"/>
        </w:rPr>
      </w:pPr>
      <w:r w:rsidRPr="00B4636E">
        <w:rPr>
          <w:sz w:val="24"/>
          <w:szCs w:val="24"/>
        </w:rPr>
        <w:t>United Nations Environment Programme (UNEP)</w:t>
      </w:r>
    </w:p>
    <w:p w14:paraId="3297CC68" w14:textId="77777777" w:rsidR="007F7C84" w:rsidRDefault="007F7C84" w:rsidP="007F7C84">
      <w:pPr>
        <w:pStyle w:val="Style15"/>
        <w:jc w:val="right"/>
        <w:rPr>
          <w:sz w:val="24"/>
          <w:szCs w:val="24"/>
        </w:rPr>
      </w:pPr>
      <w:r>
        <w:rPr>
          <w:sz w:val="24"/>
          <w:szCs w:val="24"/>
        </w:rPr>
        <w:t>Report of the Technology and Economic Assessment Panel</w:t>
      </w:r>
    </w:p>
    <w:p w14:paraId="04897B97" w14:textId="77777777" w:rsidR="007F7C84" w:rsidRDefault="007F7C84" w:rsidP="007F7C84">
      <w:pPr>
        <w:pStyle w:val="Style15"/>
        <w:jc w:val="right"/>
        <w:rPr>
          <w:sz w:val="24"/>
          <w:szCs w:val="24"/>
        </w:rPr>
      </w:pPr>
    </w:p>
    <w:p w14:paraId="2957001C" w14:textId="4F48C35C" w:rsidR="007F7C84" w:rsidRPr="00B4636E" w:rsidRDefault="002D3492" w:rsidP="007F7C84">
      <w:pPr>
        <w:pStyle w:val="Style15"/>
        <w:jc w:val="right"/>
        <w:rPr>
          <w:sz w:val="24"/>
          <w:szCs w:val="24"/>
        </w:rPr>
      </w:pPr>
      <w:r>
        <w:rPr>
          <w:sz w:val="24"/>
          <w:szCs w:val="24"/>
        </w:rPr>
        <w:t>May</w:t>
      </w:r>
      <w:r w:rsidR="002309E5">
        <w:rPr>
          <w:sz w:val="24"/>
          <w:szCs w:val="24"/>
        </w:rPr>
        <w:t xml:space="preserve"> </w:t>
      </w:r>
      <w:r w:rsidR="007F7C84">
        <w:rPr>
          <w:sz w:val="24"/>
          <w:szCs w:val="24"/>
        </w:rPr>
        <w:t>202</w:t>
      </w:r>
      <w:r>
        <w:rPr>
          <w:sz w:val="24"/>
          <w:szCs w:val="24"/>
        </w:rPr>
        <w:t>2</w:t>
      </w:r>
    </w:p>
    <w:p w14:paraId="09AC0B1E" w14:textId="77777777" w:rsidR="007F7C84" w:rsidRDefault="007F7C84" w:rsidP="007F7C84">
      <w:pPr>
        <w:spacing w:before="100" w:after="100"/>
        <w:outlineLvl w:val="0"/>
        <w:rPr>
          <w:b/>
          <w:smallCaps/>
          <w:sz w:val="32"/>
        </w:rPr>
      </w:pPr>
      <w:bookmarkStart w:id="6" w:name="_Toc8318739"/>
      <w:bookmarkStart w:id="7" w:name="_Toc8320264"/>
      <w:bookmarkStart w:id="8" w:name="_Toc8396730"/>
      <w:bookmarkStart w:id="9" w:name="_Toc8638141"/>
      <w:bookmarkStart w:id="10" w:name="_Toc8638202"/>
      <w:bookmarkStart w:id="11" w:name="_Toc8639531"/>
      <w:bookmarkStart w:id="12" w:name="_Toc8888495"/>
      <w:bookmarkStart w:id="13" w:name="_Toc9075746"/>
      <w:bookmarkStart w:id="14" w:name="_Toc9109556"/>
    </w:p>
    <w:p w14:paraId="28332251" w14:textId="77777777" w:rsidR="007F7C84" w:rsidRPr="002E42C7" w:rsidRDefault="007F7C84" w:rsidP="002E42C7">
      <w:pPr>
        <w:rPr>
          <w:rFonts w:ascii="Times New Roman Bold" w:hAnsi="Times New Roman Bold"/>
          <w:b/>
          <w:bCs/>
          <w:smallCaps/>
          <w:sz w:val="40"/>
          <w:szCs w:val="24"/>
        </w:rPr>
      </w:pPr>
      <w:bookmarkStart w:id="15" w:name="_Toc40190249"/>
      <w:bookmarkStart w:id="16" w:name="_Toc40191875"/>
      <w:bookmarkStart w:id="17" w:name="_Toc40194834"/>
      <w:bookmarkStart w:id="18" w:name="_Toc40209770"/>
      <w:bookmarkStart w:id="19" w:name="_Toc40696028"/>
      <w:bookmarkStart w:id="20" w:name="_Toc40696297"/>
      <w:bookmarkStart w:id="21" w:name="_Toc40696687"/>
      <w:bookmarkStart w:id="22" w:name="_Toc40697449"/>
      <w:bookmarkStart w:id="23" w:name="_Toc40765279"/>
      <w:bookmarkStart w:id="24" w:name="_Toc40765500"/>
      <w:bookmarkStart w:id="25" w:name="_Toc41335665"/>
      <w:bookmarkStart w:id="26" w:name="_Toc41660035"/>
      <w:bookmarkStart w:id="27" w:name="_Toc41805942"/>
      <w:bookmarkStart w:id="28" w:name="_Toc41837737"/>
      <w:r w:rsidRPr="002E42C7">
        <w:rPr>
          <w:rFonts w:ascii="Times New Roman Bold" w:hAnsi="Times New Roman Bold"/>
          <w:b/>
          <w:bCs/>
          <w:smallCaps/>
          <w:sz w:val="28"/>
          <w:szCs w:val="24"/>
        </w:rPr>
        <w:t>Volume 1:</w:t>
      </w:r>
      <w:r w:rsidRPr="002E42C7">
        <w:rPr>
          <w:rFonts w:ascii="Times New Roman Bold" w:hAnsi="Times New Roman Bold"/>
          <w:b/>
          <w:bCs/>
          <w:smallCaps/>
          <w:sz w:val="40"/>
          <w:szCs w:val="24"/>
        </w:rPr>
        <w:t xml:space="preserve"> </w:t>
      </w:r>
      <w:r w:rsidRPr="002E42C7">
        <w:rPr>
          <w:rFonts w:ascii="Times New Roman Bold" w:hAnsi="Times New Roman Bold"/>
          <w:b/>
          <w:bCs/>
          <w:smallCaps/>
          <w:sz w:val="28"/>
          <w:szCs w:val="24"/>
        </w:rPr>
        <w:t>Progress Report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CB83B8A" w14:textId="77777777" w:rsidR="007F7C84" w:rsidRPr="00D23986" w:rsidRDefault="007F7C84" w:rsidP="007F7C84">
      <w:pPr>
        <w:spacing w:before="100" w:after="100"/>
      </w:pPr>
    </w:p>
    <w:p w14:paraId="52D10D3A" w14:textId="77777777" w:rsidR="007F7C84" w:rsidRPr="00D23986" w:rsidRDefault="007F7C84" w:rsidP="007F7C84">
      <w:pPr>
        <w:spacing w:before="100" w:after="100"/>
      </w:pPr>
      <w:r w:rsidRPr="00D23986">
        <w:t>The text of this report is composed in Times New Roman.</w:t>
      </w:r>
    </w:p>
    <w:p w14:paraId="38F539B8" w14:textId="1C4B02DF" w:rsidR="007F7C84" w:rsidRPr="00D23986" w:rsidRDefault="007F7C84" w:rsidP="00821BBC">
      <w:pPr>
        <w:tabs>
          <w:tab w:val="left" w:pos="2880"/>
        </w:tabs>
      </w:pPr>
      <w:bookmarkStart w:id="29" w:name="_Toc8318740"/>
      <w:bookmarkStart w:id="30" w:name="_Toc8320265"/>
      <w:bookmarkStart w:id="31" w:name="_Toc8396731"/>
      <w:bookmarkStart w:id="32" w:name="_Toc8638142"/>
      <w:bookmarkStart w:id="33" w:name="_Toc8638203"/>
      <w:bookmarkStart w:id="34" w:name="_Toc8639532"/>
      <w:bookmarkStart w:id="35" w:name="_Toc8888496"/>
      <w:bookmarkStart w:id="36" w:name="_Toc9075747"/>
      <w:bookmarkStart w:id="37" w:name="_Toc9109557"/>
      <w:bookmarkStart w:id="38" w:name="_Toc40190250"/>
      <w:bookmarkStart w:id="39" w:name="_Toc40191876"/>
      <w:bookmarkStart w:id="40" w:name="_Toc40194835"/>
      <w:bookmarkStart w:id="41" w:name="_Toc40209771"/>
      <w:bookmarkStart w:id="42" w:name="_Toc40696029"/>
      <w:bookmarkStart w:id="43" w:name="_Toc40696298"/>
      <w:bookmarkStart w:id="44" w:name="_Toc40696688"/>
      <w:bookmarkStart w:id="45" w:name="_Toc40697450"/>
      <w:bookmarkStart w:id="46" w:name="_Toc40765280"/>
      <w:bookmarkStart w:id="47" w:name="_Toc40765501"/>
      <w:bookmarkStart w:id="48" w:name="_Toc41335666"/>
      <w:bookmarkStart w:id="49" w:name="_Toc41660036"/>
      <w:bookmarkStart w:id="50" w:name="_Toc41805943"/>
      <w:bookmarkStart w:id="51" w:name="_Toc41837738"/>
      <w:r w:rsidRPr="002E42C7">
        <w:rPr>
          <w:b/>
          <w:bCs/>
        </w:rPr>
        <w:t>Co-ordination</w:t>
      </w:r>
      <w:r w:rsidRPr="00D23986">
        <w:t>:</w:t>
      </w:r>
      <w:r w:rsidRPr="00D23986">
        <w:tab/>
        <w:t>Technology and Economic Assessment Panel</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32B424E8" w14:textId="77777777" w:rsidR="007F7C84" w:rsidRPr="00D23986" w:rsidRDefault="007F7C84" w:rsidP="00C56167">
      <w:pPr>
        <w:tabs>
          <w:tab w:val="left" w:pos="2880"/>
        </w:tabs>
        <w:spacing w:before="100" w:after="100"/>
      </w:pPr>
      <w:r w:rsidRPr="00D23986">
        <w:t>Composition of the report:</w:t>
      </w:r>
      <w:r w:rsidRPr="00D23986">
        <w:tab/>
        <w:t>Bella Maranion, Marta Pizano, Ashley Woodcock</w:t>
      </w:r>
    </w:p>
    <w:p w14:paraId="43F8A2AF" w14:textId="77777777" w:rsidR="007F7C84" w:rsidRPr="00D23986" w:rsidRDefault="007F7C84" w:rsidP="00C56167">
      <w:pPr>
        <w:tabs>
          <w:tab w:val="left" w:pos="2880"/>
        </w:tabs>
        <w:spacing w:before="100" w:after="100"/>
        <w:ind w:left="2160" w:hanging="2160"/>
      </w:pPr>
      <w:r w:rsidRPr="00D23986">
        <w:t>Layout and formatting:</w:t>
      </w:r>
      <w:r w:rsidRPr="00D23986">
        <w:tab/>
      </w:r>
      <w:r w:rsidRPr="00D23986">
        <w:tab/>
        <w:t xml:space="preserve">Marta Pizano (UNEP TEAP) </w:t>
      </w:r>
      <w:r w:rsidRPr="00D23986">
        <w:tab/>
      </w:r>
    </w:p>
    <w:p w14:paraId="3485FB93" w14:textId="58EB9F80" w:rsidR="007F7C84" w:rsidRPr="00D23986" w:rsidRDefault="007F7C84" w:rsidP="00C56167">
      <w:pPr>
        <w:tabs>
          <w:tab w:val="left" w:pos="2880"/>
        </w:tabs>
        <w:spacing w:before="100" w:after="100"/>
      </w:pPr>
      <w:r w:rsidRPr="00D23986">
        <w:t>Date:</w:t>
      </w:r>
      <w:r w:rsidRPr="00D23986">
        <w:tab/>
      </w:r>
      <w:r w:rsidR="002D3492">
        <w:t>May 2022</w:t>
      </w:r>
    </w:p>
    <w:p w14:paraId="131114BD" w14:textId="77777777" w:rsidR="007F7C84" w:rsidRPr="00D23986" w:rsidRDefault="007F7C84" w:rsidP="007F7C84">
      <w:pPr>
        <w:spacing w:before="100" w:after="100"/>
      </w:pPr>
    </w:p>
    <w:p w14:paraId="11556470" w14:textId="77777777" w:rsidR="007F7C84" w:rsidRDefault="007F7C84" w:rsidP="007F7C84">
      <w:pPr>
        <w:spacing w:before="100" w:after="100"/>
      </w:pPr>
      <w:r w:rsidRPr="00D23986">
        <w:t>Under certain conditions, printed copies of this report are available from:</w:t>
      </w:r>
    </w:p>
    <w:p w14:paraId="13FAE4FF" w14:textId="77777777" w:rsidR="007F7C84" w:rsidRPr="003231D4" w:rsidRDefault="007F7C84" w:rsidP="007F7C84">
      <w:pPr>
        <w:pStyle w:val="Style15"/>
      </w:pPr>
    </w:p>
    <w:p w14:paraId="1B2FC8FB" w14:textId="77777777" w:rsidR="007F7C84" w:rsidRDefault="007F7C84" w:rsidP="007F7C84">
      <w:pPr>
        <w:spacing w:before="100" w:after="100"/>
      </w:pPr>
      <w:r w:rsidRPr="00D23986">
        <w:t>UNITED NATIONS ENVIRONMENT PROGRAMME</w:t>
      </w:r>
    </w:p>
    <w:p w14:paraId="133DFD75" w14:textId="77777777" w:rsidR="007F7C84" w:rsidRDefault="007F7C84" w:rsidP="007F7C84">
      <w:pPr>
        <w:spacing w:before="100" w:after="100"/>
      </w:pPr>
      <w:r w:rsidRPr="00D23986">
        <w:t>Ozone Secretariat</w:t>
      </w:r>
    </w:p>
    <w:p w14:paraId="4C3134CA" w14:textId="77777777" w:rsidR="007F7C84" w:rsidRDefault="007F7C84" w:rsidP="007F7C84">
      <w:pPr>
        <w:spacing w:before="100" w:after="100"/>
      </w:pPr>
      <w:r w:rsidRPr="00D23986">
        <w:t>P.O. Box 30552</w:t>
      </w:r>
    </w:p>
    <w:p w14:paraId="16C30792" w14:textId="77777777" w:rsidR="007F7C84" w:rsidRPr="00D23986" w:rsidRDefault="007F7C84" w:rsidP="007F7C84">
      <w:pPr>
        <w:spacing w:before="100" w:after="100"/>
      </w:pPr>
      <w:r w:rsidRPr="00D23986">
        <w:t>Nairobi, Kenya</w:t>
      </w:r>
    </w:p>
    <w:p w14:paraId="53062BE1" w14:textId="77777777" w:rsidR="007F7C84" w:rsidRPr="00D23986" w:rsidRDefault="007F7C84" w:rsidP="007F7C84">
      <w:pPr>
        <w:spacing w:before="100" w:after="100"/>
        <w:outlineLvl w:val="0"/>
      </w:pPr>
    </w:p>
    <w:p w14:paraId="2ECE274A" w14:textId="77777777" w:rsidR="007F7C84" w:rsidRPr="00D23986" w:rsidRDefault="007F7C84" w:rsidP="002E42C7">
      <w:bookmarkStart w:id="52" w:name="_Toc8318741"/>
      <w:bookmarkStart w:id="53" w:name="_Toc8320266"/>
      <w:bookmarkStart w:id="54" w:name="_Toc8396732"/>
      <w:bookmarkStart w:id="55" w:name="_Toc8638143"/>
      <w:bookmarkStart w:id="56" w:name="_Toc8638204"/>
      <w:bookmarkStart w:id="57" w:name="_Toc8639533"/>
      <w:bookmarkStart w:id="58" w:name="_Toc8888497"/>
      <w:bookmarkStart w:id="59" w:name="_Toc9075748"/>
      <w:bookmarkStart w:id="60" w:name="_Toc9109558"/>
      <w:bookmarkStart w:id="61" w:name="_Toc40190251"/>
      <w:bookmarkStart w:id="62" w:name="_Toc40191877"/>
      <w:bookmarkStart w:id="63" w:name="_Toc40194836"/>
      <w:bookmarkStart w:id="64" w:name="_Toc40209772"/>
      <w:bookmarkStart w:id="65" w:name="_Toc40696030"/>
      <w:bookmarkStart w:id="66" w:name="_Toc40696299"/>
      <w:bookmarkStart w:id="67" w:name="_Toc40696689"/>
      <w:bookmarkStart w:id="68" w:name="_Toc40697451"/>
      <w:bookmarkStart w:id="69" w:name="_Toc40765281"/>
      <w:bookmarkStart w:id="70" w:name="_Toc40765502"/>
      <w:bookmarkStart w:id="71" w:name="_Toc41335667"/>
      <w:bookmarkStart w:id="72" w:name="_Toc41660037"/>
      <w:bookmarkStart w:id="73" w:name="_Toc41805944"/>
      <w:bookmarkStart w:id="74" w:name="_Toc41837739"/>
      <w:r w:rsidRPr="00D23986">
        <w:t>This document is also available in portable document format from the UNEP Ozone Secretariat's website:</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07E6AAA3" w14:textId="2A78D8DE" w:rsidR="007F7C84" w:rsidRDefault="000E1B45" w:rsidP="007F7C84">
      <w:pPr>
        <w:spacing w:before="100" w:after="100"/>
      </w:pPr>
      <w:r w:rsidRPr="000E1B45">
        <w:t>https://ozone.unep.org/science/assessment/teap</w:t>
      </w:r>
    </w:p>
    <w:p w14:paraId="79247511" w14:textId="77777777" w:rsidR="000E1B45" w:rsidRPr="000E1B45" w:rsidRDefault="000E1B45" w:rsidP="000E1B45">
      <w:pPr>
        <w:pStyle w:val="Style15"/>
      </w:pPr>
    </w:p>
    <w:p w14:paraId="372CF559" w14:textId="50572154" w:rsidR="007F7C84" w:rsidRPr="00D23986" w:rsidRDefault="007F7C84" w:rsidP="007F7C84">
      <w:pPr>
        <w:spacing w:before="100" w:after="100"/>
      </w:pPr>
      <w:r w:rsidRPr="00D23986">
        <w:t>No copyright involved.</w:t>
      </w:r>
      <w:r w:rsidR="005617DE">
        <w:t xml:space="preserve"> </w:t>
      </w:r>
      <w:r w:rsidRPr="00D23986">
        <w:t>This publication may be freely copied, abstracted and cited, with acknowledgement of the source of the material.</w:t>
      </w:r>
    </w:p>
    <w:bookmarkEnd w:id="5"/>
    <w:p w14:paraId="52CD31C5" w14:textId="77777777" w:rsidR="007F7C84" w:rsidRPr="00D23986" w:rsidRDefault="007F7C84" w:rsidP="007F7C84">
      <w:pPr>
        <w:spacing w:before="100" w:after="100"/>
      </w:pPr>
    </w:p>
    <w:p w14:paraId="0FB4B4EB" w14:textId="77777777" w:rsidR="002C0D7B" w:rsidRPr="002C0D7B" w:rsidRDefault="007F7C84" w:rsidP="007F7C84">
      <w:pPr>
        <w:autoSpaceDE w:val="0"/>
        <w:autoSpaceDN w:val="0"/>
        <w:adjustRightInd w:val="0"/>
        <w:spacing w:before="100" w:after="100"/>
        <w:rPr>
          <w:b/>
        </w:rPr>
        <w:sectPr w:rsidR="002C0D7B" w:rsidRPr="002C0D7B" w:rsidSect="007E5DBF">
          <w:headerReference w:type="even" r:id="rId18"/>
          <w:headerReference w:type="default" r:id="rId19"/>
          <w:footerReference w:type="default" r:id="rId20"/>
          <w:headerReference w:type="first" r:id="rId21"/>
          <w:footnotePr>
            <w:numRestart w:val="eachSect"/>
          </w:footnotePr>
          <w:type w:val="oddPage"/>
          <w:pgSz w:w="11907" w:h="16839" w:code="9"/>
          <w:pgMar w:top="1440" w:right="1800" w:bottom="1526" w:left="1800" w:header="720" w:footer="792" w:gutter="0"/>
          <w:pgNumType w:fmt="lowerRoman"/>
          <w:cols w:space="720"/>
          <w:docGrid w:linePitch="299"/>
        </w:sectPr>
      </w:pPr>
      <w:bookmarkStart w:id="78" w:name="_Hlk41990715"/>
      <w:r w:rsidRPr="00D23986">
        <w:rPr>
          <w:b/>
        </w:rPr>
        <w:t>ISBN:</w:t>
      </w:r>
      <w:r w:rsidRPr="00D23986">
        <w:rPr>
          <w:b/>
        </w:rPr>
        <w:tab/>
      </w:r>
      <w:bookmarkEnd w:id="78"/>
      <w:r w:rsidR="005617DE" w:rsidRPr="005617DE">
        <w:rPr>
          <w:b/>
        </w:rPr>
        <w:t>978-9966-076-96-0</w:t>
      </w:r>
      <w:bookmarkStart w:id="79" w:name="_Toc8318742"/>
      <w:bookmarkStart w:id="80" w:name="_Toc8320267"/>
      <w:bookmarkStart w:id="81" w:name="_Toc8396733"/>
      <w:bookmarkStart w:id="82" w:name="_Toc8638144"/>
      <w:bookmarkStart w:id="83" w:name="_Toc8638205"/>
      <w:bookmarkStart w:id="84" w:name="_Toc8639534"/>
      <w:bookmarkStart w:id="85" w:name="_Toc8888498"/>
      <w:bookmarkStart w:id="86" w:name="_Toc9075749"/>
      <w:bookmarkStart w:id="87" w:name="_Toc9109559"/>
      <w:bookmarkStart w:id="88" w:name="_Toc40190252"/>
      <w:bookmarkStart w:id="89" w:name="_Toc40191878"/>
      <w:bookmarkStart w:id="90" w:name="_Toc40194837"/>
      <w:bookmarkStart w:id="91" w:name="_Toc40209773"/>
      <w:bookmarkStart w:id="92" w:name="_Toc40696031"/>
      <w:bookmarkStart w:id="93" w:name="_Toc40696300"/>
      <w:bookmarkStart w:id="94" w:name="_Toc40696690"/>
      <w:bookmarkStart w:id="95" w:name="_Toc40697452"/>
      <w:bookmarkStart w:id="96" w:name="_Toc40765282"/>
      <w:bookmarkStart w:id="97" w:name="_Toc40765503"/>
      <w:bookmarkStart w:id="98" w:name="_Toc41335668"/>
      <w:bookmarkStart w:id="99" w:name="_Toc41660038"/>
      <w:bookmarkStart w:id="100" w:name="_Toc41805945"/>
      <w:bookmarkStart w:id="101" w:name="_Toc41837740"/>
      <w:bookmarkStart w:id="102" w:name="_Toc77868850"/>
      <w:bookmarkStart w:id="103" w:name="_Toc78040696"/>
      <w:bookmarkStart w:id="104" w:name="_Toc104396643"/>
    </w:p>
    <w:p w14:paraId="5444F38C" w14:textId="228D47BB" w:rsidR="007F7C84" w:rsidRPr="00D23986" w:rsidRDefault="007F7C84" w:rsidP="007F7C84">
      <w:pPr>
        <w:outlineLvl w:val="0"/>
        <w:rPr>
          <w:b/>
        </w:rPr>
      </w:pPr>
      <w:r w:rsidRPr="00D23986">
        <w:rPr>
          <w:b/>
        </w:rPr>
        <w:lastRenderedPageBreak/>
        <w:t>Disclaimer</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74401314" w14:textId="67AAA636" w:rsidR="007F7C84" w:rsidRPr="00D23986" w:rsidRDefault="007F7C84" w:rsidP="007F7C84">
      <w:pPr>
        <w:jc w:val="both"/>
        <w:rPr>
          <w:sz w:val="20"/>
        </w:rPr>
      </w:pPr>
      <w:r w:rsidRPr="00D23986">
        <w:rPr>
          <w:sz w:val="20"/>
        </w:rPr>
        <w:t>The United Nations Environment Programme (UNEP), the Technology and Economic Assessment Panel (TEAP) Co-chairs and members, the Technical Options Committees Co-chairs and members, the TEAP Task Forces Co-chairs and members, and the companies and organisations that employ them do not endorse the performance, worker safety, or environmental acceptability of any of the technical options discussed.</w:t>
      </w:r>
      <w:r w:rsidR="005617DE">
        <w:rPr>
          <w:sz w:val="20"/>
        </w:rPr>
        <w:t xml:space="preserve"> </w:t>
      </w:r>
      <w:r w:rsidRPr="00D23986">
        <w:rPr>
          <w:sz w:val="20"/>
        </w:rPr>
        <w:t>Every industrial operation requires consideration of worker safety and proper disposal of contaminants and waste products.</w:t>
      </w:r>
      <w:r w:rsidR="005617DE">
        <w:rPr>
          <w:sz w:val="20"/>
        </w:rPr>
        <w:t xml:space="preserve"> </w:t>
      </w:r>
      <w:r w:rsidRPr="00D23986">
        <w:rPr>
          <w:sz w:val="20"/>
        </w:rPr>
        <w:t>Moreover, as work continues - including additional toxicity evaluation - more information on health, environmental and safety effects of alternatives and replacements will become available for use in selecting among the options discussed in this document.</w:t>
      </w:r>
    </w:p>
    <w:p w14:paraId="5928E292" w14:textId="77777777" w:rsidR="007F7C84" w:rsidRPr="00D23986" w:rsidRDefault="007F7C84" w:rsidP="007F7C84">
      <w:pPr>
        <w:pStyle w:val="MainTextNon-indent"/>
        <w:widowControl/>
        <w:spacing w:after="240" w:line="240" w:lineRule="auto"/>
        <w:jc w:val="both"/>
        <w:rPr>
          <w:rFonts w:ascii="Times New Roman" w:hAnsi="Times New Roman"/>
          <w:lang w:val="en-GB"/>
        </w:rPr>
      </w:pPr>
      <w:r w:rsidRPr="00D23986">
        <w:rPr>
          <w:rFonts w:ascii="Times New Roman" w:hAnsi="Times New Roman"/>
          <w:lang w:val="en-GB"/>
        </w:rPr>
        <w:t>UNEP, the TEAP Co-chairs and members, the Technical Options Committees Co-chairs and members, and the TEAP Task Forces Co-chairs and members, in furnishing or distributing this information, do not make any warranty or representation, either express or implied, with respect to the accuracy, completeness, or utility; nor do they assume any liability of any kind whatsoever resulting from the use or reliance upon any information, material, or procedure contained herein, including but not limited to any claims regarding health, safety, environmental effect or fate, efficacy, or performance, made by the source of information.</w:t>
      </w:r>
    </w:p>
    <w:p w14:paraId="1088E212" w14:textId="77777777" w:rsidR="007F7C84" w:rsidRPr="00D23986" w:rsidRDefault="007F7C84" w:rsidP="007F7C84">
      <w:pPr>
        <w:jc w:val="both"/>
        <w:rPr>
          <w:sz w:val="20"/>
        </w:rPr>
      </w:pPr>
      <w:r w:rsidRPr="00D23986">
        <w:rPr>
          <w:sz w:val="20"/>
        </w:rPr>
        <w:t>Mention of any company, association, or product in this document is for information purposes only and does not constitute a recommendation of any such company, association, or product, either express or implied by UNEP, the Technology and Economic Assessment Panel Co-chairs or members, the Technical and Economic Options Committee Co-chairs or members, the TEAP Task Forces Co-chairs or members or the companies or organisations that employ them.</w:t>
      </w:r>
    </w:p>
    <w:p w14:paraId="6E5576A5" w14:textId="77777777" w:rsidR="007F7C84" w:rsidRPr="00D23986" w:rsidRDefault="007F7C84" w:rsidP="007F7C84">
      <w:pPr>
        <w:keepNext/>
        <w:suppressAutoHyphens/>
        <w:spacing w:before="120"/>
        <w:ind w:right="244"/>
        <w:jc w:val="both"/>
        <w:rPr>
          <w:b/>
        </w:rPr>
      </w:pPr>
    </w:p>
    <w:p w14:paraId="5FB59B4A" w14:textId="77777777" w:rsidR="007F7C84" w:rsidRPr="00D23986" w:rsidRDefault="007F7C84" w:rsidP="007F7C84">
      <w:pPr>
        <w:keepNext/>
        <w:suppressAutoHyphens/>
        <w:spacing w:before="120"/>
        <w:ind w:right="244"/>
        <w:jc w:val="both"/>
        <w:rPr>
          <w:b/>
        </w:rPr>
      </w:pPr>
    </w:p>
    <w:p w14:paraId="55134FC1" w14:textId="77777777" w:rsidR="007F7C84" w:rsidRPr="00D23986" w:rsidRDefault="007F7C84" w:rsidP="007F7C84">
      <w:pPr>
        <w:keepNext/>
        <w:suppressAutoHyphens/>
        <w:spacing w:before="120"/>
        <w:ind w:right="244"/>
        <w:jc w:val="both"/>
        <w:rPr>
          <w:b/>
        </w:rPr>
      </w:pPr>
    </w:p>
    <w:p w14:paraId="60E79234" w14:textId="77777777" w:rsidR="007F7C84" w:rsidRPr="00D23986" w:rsidRDefault="007F7C84" w:rsidP="007F7C84">
      <w:pPr>
        <w:keepNext/>
        <w:suppressAutoHyphens/>
        <w:spacing w:before="120"/>
        <w:ind w:right="244"/>
        <w:jc w:val="both"/>
        <w:rPr>
          <w:b/>
        </w:rPr>
      </w:pPr>
    </w:p>
    <w:p w14:paraId="2EE0AEBB" w14:textId="77777777" w:rsidR="007F7C84" w:rsidRPr="00D23986" w:rsidRDefault="007F7C84" w:rsidP="007F7C84">
      <w:pPr>
        <w:keepNext/>
        <w:suppressAutoHyphens/>
        <w:spacing w:before="120"/>
        <w:ind w:right="244"/>
        <w:jc w:val="both"/>
        <w:rPr>
          <w:b/>
        </w:rPr>
      </w:pPr>
    </w:p>
    <w:p w14:paraId="7C9C0D9A" w14:textId="77777777" w:rsidR="007F7C84" w:rsidRPr="00D23986" w:rsidRDefault="007F7C84" w:rsidP="007F7C84">
      <w:pPr>
        <w:keepNext/>
        <w:suppressAutoHyphens/>
        <w:spacing w:before="120"/>
        <w:ind w:right="244"/>
        <w:jc w:val="both"/>
        <w:rPr>
          <w:b/>
        </w:rPr>
      </w:pPr>
    </w:p>
    <w:p w14:paraId="09C2CCB4" w14:textId="77777777" w:rsidR="007F7C84" w:rsidRPr="00D23986" w:rsidRDefault="007F7C84" w:rsidP="007F7C84">
      <w:pPr>
        <w:keepNext/>
        <w:suppressAutoHyphens/>
        <w:spacing w:before="120"/>
        <w:ind w:right="244"/>
        <w:jc w:val="both"/>
        <w:rPr>
          <w:b/>
        </w:rPr>
      </w:pPr>
      <w:r w:rsidRPr="00D23986">
        <w:rPr>
          <w:b/>
        </w:rPr>
        <w:t>Acknowledgements</w:t>
      </w:r>
    </w:p>
    <w:p w14:paraId="1133BD55" w14:textId="4A51EE6F" w:rsidR="007F7C84" w:rsidRPr="00D23986" w:rsidRDefault="007F7C84" w:rsidP="007F7C84">
      <w:pPr>
        <w:jc w:val="both"/>
        <w:rPr>
          <w:sz w:val="20"/>
        </w:rPr>
      </w:pPr>
      <w:r w:rsidRPr="00D23986">
        <w:rPr>
          <w:sz w:val="20"/>
        </w:rPr>
        <w:t>The Technology and Economic Assessment Panel, its Technical Options Committees and the TEAP Task Force Co-chairs and members acknowledges with thanks the outstanding contributions from all of the individuals and organisations that provided support to Panel, Committees and TEAP Task Force Co-chairs and members.</w:t>
      </w:r>
      <w:r w:rsidR="005617DE">
        <w:rPr>
          <w:sz w:val="20"/>
        </w:rPr>
        <w:t xml:space="preserve"> </w:t>
      </w:r>
      <w:r w:rsidRPr="00D23986">
        <w:rPr>
          <w:sz w:val="20"/>
        </w:rPr>
        <w:t>The opinions expressed are those of the Panel, the Committees and TEAP Task Forces and do not necessarily reflect the reviews of any sponsoring or supporting organisation.</w:t>
      </w:r>
    </w:p>
    <w:p w14:paraId="594F6B63" w14:textId="08F3123D" w:rsidR="007F7C84" w:rsidRDefault="007F7C84" w:rsidP="00BA0312">
      <w:pPr>
        <w:pStyle w:val="Heading1"/>
        <w:rPr>
          <w:rStyle w:val="Heading1Char2"/>
          <w:rFonts w:ascii="Times New Roman" w:hAnsi="Times New Roman"/>
        </w:rPr>
      </w:pPr>
      <w:r w:rsidRPr="00D23986">
        <w:br w:type="page"/>
      </w:r>
    </w:p>
    <w:p w14:paraId="21BBFFE3" w14:textId="1653AF2D" w:rsidR="00AD4B2A" w:rsidRPr="00D23986" w:rsidRDefault="00591AA8" w:rsidP="00BA0312">
      <w:pPr>
        <w:pStyle w:val="Heading1"/>
        <w:rPr>
          <w:rStyle w:val="Heading1Char2"/>
          <w:rFonts w:ascii="Times New Roman" w:hAnsi="Times New Roman"/>
        </w:rPr>
      </w:pPr>
      <w:bookmarkStart w:id="105" w:name="_Toc40696032"/>
      <w:bookmarkStart w:id="106" w:name="_Toc40696301"/>
      <w:bookmarkStart w:id="107" w:name="_Toc40696691"/>
      <w:bookmarkStart w:id="108" w:name="_Toc40697453"/>
      <w:bookmarkStart w:id="109" w:name="_Toc40765283"/>
      <w:bookmarkStart w:id="110" w:name="_Toc40765504"/>
      <w:bookmarkStart w:id="111" w:name="_Toc41335669"/>
      <w:bookmarkStart w:id="112" w:name="_Toc41660039"/>
      <w:bookmarkStart w:id="113" w:name="_Toc41805946"/>
      <w:bookmarkStart w:id="114" w:name="_Toc41837741"/>
      <w:bookmarkStart w:id="115" w:name="_Toc77868851"/>
      <w:bookmarkStart w:id="116" w:name="_Toc78040697"/>
      <w:bookmarkStart w:id="117" w:name="_Toc79066502"/>
      <w:bookmarkStart w:id="118" w:name="_Toc104396644"/>
      <w:r w:rsidRPr="00D23986">
        <w:rPr>
          <w:rStyle w:val="Heading1Char2"/>
          <w:rFonts w:ascii="Times New Roman" w:hAnsi="Times New Roman"/>
        </w:rPr>
        <w:lastRenderedPageBreak/>
        <w:t>Foreword</w:t>
      </w:r>
      <w:bookmarkEnd w:id="0"/>
      <w:bookmarkEnd w:id="1"/>
      <w:bookmarkEnd w:id="2"/>
      <w:bookmarkEnd w:id="3"/>
      <w:bookmarkEnd w:id="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445470BF" w14:textId="1DB435C1" w:rsidR="00AD4B2A" w:rsidRPr="00D23986" w:rsidRDefault="00591AA8">
      <w:pPr>
        <w:pStyle w:val="BodyText"/>
        <w:spacing w:line="240" w:lineRule="auto"/>
        <w:rPr>
          <w:b/>
        </w:rPr>
      </w:pPr>
      <w:r w:rsidRPr="00D23986">
        <w:rPr>
          <w:b/>
        </w:rPr>
        <w:t xml:space="preserve">The </w:t>
      </w:r>
      <w:r w:rsidR="00DC6357">
        <w:rPr>
          <w:b/>
        </w:rPr>
        <w:t>202</w:t>
      </w:r>
      <w:r w:rsidR="002D3492">
        <w:rPr>
          <w:b/>
        </w:rPr>
        <w:t>2</w:t>
      </w:r>
      <w:r w:rsidRPr="00D23986">
        <w:rPr>
          <w:b/>
        </w:rPr>
        <w:t xml:space="preserve"> TEAP Report</w:t>
      </w:r>
    </w:p>
    <w:p w14:paraId="76761B96" w14:textId="5D513ACB" w:rsidR="00FA5909" w:rsidRPr="00D23986" w:rsidRDefault="00FA5909" w:rsidP="007824A3">
      <w:pPr>
        <w:spacing w:after="120"/>
        <w:rPr>
          <w:szCs w:val="22"/>
          <w:lang w:eastAsia="en-US"/>
        </w:rPr>
      </w:pPr>
      <w:r w:rsidRPr="00D23986">
        <w:rPr>
          <w:szCs w:val="22"/>
          <w:lang w:eastAsia="en-US"/>
        </w:rPr>
        <w:t>The 20</w:t>
      </w:r>
      <w:r w:rsidR="00696CB5">
        <w:rPr>
          <w:szCs w:val="22"/>
          <w:lang w:eastAsia="en-US"/>
        </w:rPr>
        <w:t>2</w:t>
      </w:r>
      <w:r w:rsidR="002D3492">
        <w:rPr>
          <w:szCs w:val="22"/>
          <w:lang w:eastAsia="en-US"/>
        </w:rPr>
        <w:t>2</w:t>
      </w:r>
      <w:r w:rsidRPr="00D23986">
        <w:rPr>
          <w:szCs w:val="22"/>
          <w:lang w:eastAsia="en-US"/>
        </w:rPr>
        <w:t xml:space="preserve"> TEAP Report consists of </w:t>
      </w:r>
      <w:r w:rsidR="002D3492">
        <w:rPr>
          <w:szCs w:val="22"/>
          <w:lang w:eastAsia="en-US"/>
        </w:rPr>
        <w:t>three</w:t>
      </w:r>
      <w:r w:rsidR="00FA10E7" w:rsidRPr="00D23986">
        <w:rPr>
          <w:szCs w:val="22"/>
          <w:lang w:eastAsia="en-US"/>
        </w:rPr>
        <w:t xml:space="preserve"> </w:t>
      </w:r>
      <w:r w:rsidRPr="00D23986">
        <w:rPr>
          <w:szCs w:val="22"/>
          <w:lang w:eastAsia="en-US"/>
        </w:rPr>
        <w:t>volumes:</w:t>
      </w:r>
    </w:p>
    <w:p w14:paraId="2C0D3F48" w14:textId="6C9D1A07" w:rsidR="00A1682B" w:rsidRDefault="00FA5909" w:rsidP="009A6E68">
      <w:pPr>
        <w:spacing w:after="0"/>
        <w:rPr>
          <w:bCs/>
          <w:szCs w:val="22"/>
          <w:lang w:eastAsia="en-US"/>
        </w:rPr>
      </w:pPr>
      <w:r w:rsidRPr="00D23986">
        <w:rPr>
          <w:b/>
          <w:bCs/>
          <w:i/>
          <w:szCs w:val="22"/>
          <w:lang w:eastAsia="en-US"/>
        </w:rPr>
        <w:t>Volume 1:</w:t>
      </w:r>
      <w:r w:rsidRPr="00D23986">
        <w:rPr>
          <w:i/>
          <w:szCs w:val="22"/>
          <w:lang w:eastAsia="en-US"/>
        </w:rPr>
        <w:t> </w:t>
      </w:r>
      <w:r w:rsidR="00A1682B">
        <w:rPr>
          <w:i/>
          <w:szCs w:val="22"/>
          <w:lang w:eastAsia="en-US"/>
        </w:rPr>
        <w:t>TEAP 20</w:t>
      </w:r>
      <w:r w:rsidR="00D31441">
        <w:rPr>
          <w:i/>
          <w:szCs w:val="22"/>
          <w:lang w:eastAsia="en-US"/>
        </w:rPr>
        <w:t>2</w:t>
      </w:r>
      <w:r w:rsidR="002D3492">
        <w:rPr>
          <w:i/>
          <w:szCs w:val="22"/>
          <w:lang w:eastAsia="en-US"/>
        </w:rPr>
        <w:t>2</w:t>
      </w:r>
      <w:r w:rsidR="00A1682B">
        <w:rPr>
          <w:i/>
          <w:szCs w:val="22"/>
          <w:lang w:eastAsia="en-US"/>
        </w:rPr>
        <w:t xml:space="preserve"> Progress Report</w:t>
      </w:r>
      <w:r w:rsidR="00A1682B" w:rsidRPr="00A1682B">
        <w:rPr>
          <w:bCs/>
          <w:szCs w:val="22"/>
          <w:lang w:eastAsia="en-US"/>
        </w:rPr>
        <w:t xml:space="preserve"> </w:t>
      </w:r>
    </w:p>
    <w:p w14:paraId="5F492FE4" w14:textId="7B7E3CFF" w:rsidR="00A1682B" w:rsidRDefault="00FA5909" w:rsidP="007824A3">
      <w:pPr>
        <w:spacing w:after="120"/>
        <w:rPr>
          <w:i/>
          <w:szCs w:val="22"/>
          <w:lang w:eastAsia="en-US"/>
        </w:rPr>
      </w:pPr>
      <w:r w:rsidRPr="00D23986">
        <w:rPr>
          <w:b/>
          <w:bCs/>
          <w:i/>
          <w:szCs w:val="22"/>
          <w:lang w:eastAsia="en-US"/>
        </w:rPr>
        <w:t>Volume 2:</w:t>
      </w:r>
      <w:r w:rsidRPr="00D23986">
        <w:rPr>
          <w:i/>
          <w:szCs w:val="22"/>
          <w:lang w:eastAsia="en-US"/>
        </w:rPr>
        <w:t> </w:t>
      </w:r>
      <w:r w:rsidR="00DC6357">
        <w:rPr>
          <w:i/>
          <w:szCs w:val="22"/>
          <w:lang w:eastAsia="en-US"/>
        </w:rPr>
        <w:t>Evaluation of 202</w:t>
      </w:r>
      <w:r w:rsidR="002D3492">
        <w:rPr>
          <w:i/>
          <w:szCs w:val="22"/>
          <w:lang w:eastAsia="en-US"/>
        </w:rPr>
        <w:t>2</w:t>
      </w:r>
      <w:r w:rsidR="00DC6357">
        <w:rPr>
          <w:i/>
          <w:szCs w:val="22"/>
          <w:lang w:eastAsia="en-US"/>
        </w:rPr>
        <w:t xml:space="preserve"> critical use nominations for methyl bromide and related issues -</w:t>
      </w:r>
      <w:r w:rsidR="00A1682B" w:rsidRPr="00D23986">
        <w:rPr>
          <w:i/>
          <w:szCs w:val="22"/>
          <w:lang w:eastAsia="en-US"/>
        </w:rPr>
        <w:t xml:space="preserve"> </w:t>
      </w:r>
      <w:r w:rsidR="00C84CE6">
        <w:rPr>
          <w:i/>
          <w:szCs w:val="22"/>
          <w:lang w:eastAsia="en-US"/>
        </w:rPr>
        <w:t>I</w:t>
      </w:r>
      <w:r w:rsidR="00A1682B" w:rsidRPr="00D23986">
        <w:rPr>
          <w:i/>
          <w:szCs w:val="22"/>
          <w:lang w:eastAsia="en-US"/>
        </w:rPr>
        <w:t xml:space="preserve">nterim </w:t>
      </w:r>
      <w:r w:rsidR="00C84CE6">
        <w:rPr>
          <w:i/>
          <w:szCs w:val="22"/>
          <w:lang w:eastAsia="en-US"/>
        </w:rPr>
        <w:t>R</w:t>
      </w:r>
      <w:r w:rsidR="00A1682B" w:rsidRPr="00D23986">
        <w:rPr>
          <w:i/>
          <w:szCs w:val="22"/>
          <w:lang w:eastAsia="en-US"/>
        </w:rPr>
        <w:t>eport – May 20</w:t>
      </w:r>
      <w:r w:rsidR="00D31441">
        <w:rPr>
          <w:i/>
          <w:szCs w:val="22"/>
          <w:lang w:eastAsia="en-US"/>
        </w:rPr>
        <w:t>2</w:t>
      </w:r>
      <w:r w:rsidR="002D3492">
        <w:rPr>
          <w:i/>
          <w:szCs w:val="22"/>
          <w:lang w:eastAsia="en-US"/>
        </w:rPr>
        <w:t>2</w:t>
      </w:r>
    </w:p>
    <w:p w14:paraId="198501BD" w14:textId="77777777" w:rsidR="002D3492" w:rsidRPr="002D3492" w:rsidRDefault="00FA5909" w:rsidP="002D3492">
      <w:pPr>
        <w:spacing w:after="0"/>
        <w:rPr>
          <w:color w:val="auto"/>
          <w:sz w:val="24"/>
          <w:szCs w:val="24"/>
          <w:lang w:val="en-US" w:eastAsia="en-US"/>
        </w:rPr>
      </w:pPr>
      <w:r w:rsidRPr="00D23986">
        <w:rPr>
          <w:b/>
          <w:bCs/>
          <w:i/>
          <w:szCs w:val="22"/>
          <w:lang w:eastAsia="en-US"/>
        </w:rPr>
        <w:t>Volume 3</w:t>
      </w:r>
      <w:r w:rsidR="00696CB5">
        <w:rPr>
          <w:b/>
          <w:bCs/>
          <w:i/>
          <w:szCs w:val="22"/>
          <w:lang w:eastAsia="en-US"/>
        </w:rPr>
        <w:t xml:space="preserve">: </w:t>
      </w:r>
      <w:r w:rsidR="002D3492" w:rsidRPr="002D3492">
        <w:rPr>
          <w:i/>
          <w:szCs w:val="22"/>
          <w:lang w:val="en-US" w:eastAsia="en-US"/>
        </w:rPr>
        <w:t>Decision XXXIII/5 task force report on energy</w:t>
      </w:r>
      <w:r w:rsidR="002D3492" w:rsidRPr="002D3492">
        <w:rPr>
          <w:i/>
          <w:szCs w:val="22"/>
          <w:lang w:val="en-US" w:eastAsia="en-US"/>
        </w:rPr>
        <w:noBreakHyphen/>
        <w:t>efficient and low-global-warming-potential technologies</w:t>
      </w:r>
    </w:p>
    <w:p w14:paraId="613D92CC" w14:textId="72A93703" w:rsidR="002D3492" w:rsidRPr="002D3492" w:rsidRDefault="002D3492" w:rsidP="002D3492">
      <w:pPr>
        <w:spacing w:after="0"/>
        <w:ind w:left="900" w:hanging="900"/>
        <w:rPr>
          <w:b/>
          <w:i/>
          <w:lang w:val="en-US" w:eastAsia="en-US"/>
        </w:rPr>
      </w:pPr>
    </w:p>
    <w:p w14:paraId="3B83E193" w14:textId="34F70C35" w:rsidR="002309E5" w:rsidRPr="002309E5" w:rsidRDefault="002309E5" w:rsidP="00DC6357">
      <w:pPr>
        <w:pStyle w:val="Style15"/>
        <w:rPr>
          <w:b w:val="0"/>
          <w:i/>
          <w:lang w:eastAsia="en-US"/>
        </w:rPr>
      </w:pPr>
    </w:p>
    <w:p w14:paraId="12358529" w14:textId="2FA40D38" w:rsidR="00AD4B2A" w:rsidRPr="00D23986" w:rsidRDefault="00A1682B" w:rsidP="00A1682B">
      <w:pPr>
        <w:pStyle w:val="BodyText"/>
        <w:spacing w:line="240" w:lineRule="auto"/>
      </w:pPr>
      <w:r>
        <w:t>This is Volume 1</w:t>
      </w:r>
    </w:p>
    <w:p w14:paraId="2A4242B3" w14:textId="77777777" w:rsidR="00AD4B2A" w:rsidRPr="00D23986" w:rsidRDefault="00591AA8">
      <w:pPr>
        <w:rPr>
          <w:b/>
        </w:rPr>
      </w:pPr>
      <w:r w:rsidRPr="00D23986">
        <w:rPr>
          <w:b/>
        </w:rPr>
        <w:t>The UNEP Technology and Economic Assessment Panel (TEAP):</w:t>
      </w:r>
    </w:p>
    <w:tbl>
      <w:tblPr>
        <w:tblW w:w="836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544"/>
        <w:gridCol w:w="850"/>
        <w:gridCol w:w="2446"/>
        <w:gridCol w:w="1524"/>
      </w:tblGrid>
      <w:tr w:rsidR="00DC6357" w:rsidRPr="00D23986" w14:paraId="67945C54" w14:textId="77777777" w:rsidTr="00696CB5">
        <w:tc>
          <w:tcPr>
            <w:tcW w:w="3544" w:type="dxa"/>
            <w:shd w:val="clear" w:color="auto" w:fill="auto"/>
          </w:tcPr>
          <w:p w14:paraId="4B058779" w14:textId="77777777" w:rsidR="00DC6357" w:rsidRPr="00D23986" w:rsidRDefault="00DC6357" w:rsidP="00DC6357">
            <w:pPr>
              <w:pStyle w:val="BodyText"/>
              <w:spacing w:before="20" w:after="0" w:line="240" w:lineRule="auto"/>
            </w:pPr>
            <w:r w:rsidRPr="00D23986">
              <w:t>Bella Maranion, co-chair</w:t>
            </w:r>
          </w:p>
        </w:tc>
        <w:tc>
          <w:tcPr>
            <w:tcW w:w="850" w:type="dxa"/>
            <w:shd w:val="clear" w:color="auto" w:fill="auto"/>
          </w:tcPr>
          <w:p w14:paraId="2E2AFA82" w14:textId="77777777" w:rsidR="00DC6357" w:rsidRPr="00D23986" w:rsidRDefault="00DC6357" w:rsidP="00DC6357">
            <w:pPr>
              <w:pStyle w:val="BodyText"/>
              <w:spacing w:before="20" w:after="0" w:line="240" w:lineRule="auto"/>
              <w:ind w:right="33"/>
              <w:jc w:val="both"/>
            </w:pPr>
            <w:r w:rsidRPr="00D23986">
              <w:t>US</w:t>
            </w:r>
          </w:p>
        </w:tc>
        <w:tc>
          <w:tcPr>
            <w:tcW w:w="2446" w:type="dxa"/>
            <w:shd w:val="clear" w:color="auto" w:fill="auto"/>
          </w:tcPr>
          <w:p w14:paraId="41D926FE" w14:textId="662DB552" w:rsidR="00DC6357" w:rsidRPr="00D23986" w:rsidRDefault="00DC6357" w:rsidP="00DC6357">
            <w:pPr>
              <w:pStyle w:val="BodyText"/>
              <w:spacing w:before="20" w:after="0" w:line="240" w:lineRule="auto"/>
            </w:pPr>
            <w:r w:rsidRPr="00D23986">
              <w:t>Kei-</w:t>
            </w:r>
            <w:proofErr w:type="spellStart"/>
            <w:r w:rsidRPr="00D23986">
              <w:t>ichi</w:t>
            </w:r>
            <w:proofErr w:type="spellEnd"/>
            <w:r w:rsidRPr="00D23986">
              <w:t xml:space="preserve"> Ohnishi</w:t>
            </w:r>
          </w:p>
        </w:tc>
        <w:tc>
          <w:tcPr>
            <w:tcW w:w="1524" w:type="dxa"/>
            <w:shd w:val="clear" w:color="auto" w:fill="auto"/>
          </w:tcPr>
          <w:p w14:paraId="42B9A8FA" w14:textId="0316C34B" w:rsidR="00DC6357" w:rsidRPr="00D23986" w:rsidRDefault="00DC6357" w:rsidP="00DC6357">
            <w:pPr>
              <w:pStyle w:val="BodyText"/>
              <w:spacing w:before="20" w:after="0" w:line="240" w:lineRule="auto"/>
              <w:ind w:left="72" w:right="33"/>
            </w:pPr>
            <w:r>
              <w:t>J</w:t>
            </w:r>
            <w:r w:rsidR="00C7675C">
              <w:t>P</w:t>
            </w:r>
          </w:p>
        </w:tc>
      </w:tr>
      <w:tr w:rsidR="00DC6357" w:rsidRPr="00D23986" w14:paraId="3A3EF3E1" w14:textId="77777777" w:rsidTr="00696CB5">
        <w:tc>
          <w:tcPr>
            <w:tcW w:w="3544" w:type="dxa"/>
            <w:shd w:val="clear" w:color="auto" w:fill="auto"/>
          </w:tcPr>
          <w:p w14:paraId="41A6F6BB" w14:textId="77777777" w:rsidR="00DC6357" w:rsidRPr="00D23986" w:rsidRDefault="00DC6357" w:rsidP="00DC6357">
            <w:pPr>
              <w:pStyle w:val="BodyText"/>
              <w:tabs>
                <w:tab w:val="left" w:pos="3010"/>
              </w:tabs>
              <w:spacing w:before="20" w:after="0" w:line="240" w:lineRule="auto"/>
              <w:ind w:right="-108"/>
            </w:pPr>
            <w:r w:rsidRPr="00D23986">
              <w:t>Marta Pizano, co-chair</w:t>
            </w:r>
          </w:p>
        </w:tc>
        <w:tc>
          <w:tcPr>
            <w:tcW w:w="850" w:type="dxa"/>
            <w:shd w:val="clear" w:color="auto" w:fill="auto"/>
          </w:tcPr>
          <w:p w14:paraId="3D543335" w14:textId="77777777" w:rsidR="00DC6357" w:rsidRPr="00D23986" w:rsidRDefault="00DC6357" w:rsidP="00DC6357">
            <w:pPr>
              <w:pStyle w:val="BodyText"/>
              <w:tabs>
                <w:tab w:val="left" w:pos="3010"/>
              </w:tabs>
              <w:spacing w:before="20" w:after="0" w:line="240" w:lineRule="auto"/>
              <w:ind w:right="33"/>
              <w:jc w:val="both"/>
            </w:pPr>
            <w:r w:rsidRPr="00D23986">
              <w:t>COL</w:t>
            </w:r>
          </w:p>
        </w:tc>
        <w:tc>
          <w:tcPr>
            <w:tcW w:w="2446" w:type="dxa"/>
            <w:shd w:val="clear" w:color="auto" w:fill="auto"/>
          </w:tcPr>
          <w:p w14:paraId="623D58D6" w14:textId="48D56294" w:rsidR="00DC6357" w:rsidRPr="00D23986" w:rsidRDefault="00DC6357" w:rsidP="00DC6357">
            <w:pPr>
              <w:pStyle w:val="BodyText"/>
              <w:spacing w:before="20" w:after="0" w:line="240" w:lineRule="auto"/>
            </w:pPr>
            <w:r w:rsidRPr="00D23986">
              <w:t>Roberto Peixoto</w:t>
            </w:r>
          </w:p>
        </w:tc>
        <w:tc>
          <w:tcPr>
            <w:tcW w:w="1524" w:type="dxa"/>
            <w:shd w:val="clear" w:color="auto" w:fill="auto"/>
          </w:tcPr>
          <w:p w14:paraId="6685E8C0" w14:textId="077E20C1" w:rsidR="00DC6357" w:rsidRPr="00D23986" w:rsidRDefault="00DC6357" w:rsidP="00DC6357">
            <w:pPr>
              <w:pStyle w:val="BodyText"/>
              <w:spacing w:before="20" w:after="0" w:line="240" w:lineRule="auto"/>
              <w:ind w:left="72" w:right="33"/>
            </w:pPr>
            <w:r w:rsidRPr="00D23986">
              <w:t>BRA</w:t>
            </w:r>
          </w:p>
        </w:tc>
      </w:tr>
      <w:tr w:rsidR="00DC6357" w:rsidRPr="00D23986" w14:paraId="1CD01C75" w14:textId="77777777" w:rsidTr="00696CB5">
        <w:trPr>
          <w:trHeight w:val="90"/>
        </w:trPr>
        <w:tc>
          <w:tcPr>
            <w:tcW w:w="3544" w:type="dxa"/>
            <w:shd w:val="clear" w:color="auto" w:fill="auto"/>
          </w:tcPr>
          <w:p w14:paraId="1C1EC852" w14:textId="77777777" w:rsidR="00DC6357" w:rsidRPr="00D23986" w:rsidRDefault="00DC6357" w:rsidP="00DC6357">
            <w:pPr>
              <w:pStyle w:val="BodyText"/>
              <w:spacing w:before="20" w:after="0" w:line="240" w:lineRule="auto"/>
            </w:pPr>
            <w:r w:rsidRPr="00D23986">
              <w:t xml:space="preserve">Ashley Woodcock, co-chair </w:t>
            </w:r>
          </w:p>
        </w:tc>
        <w:tc>
          <w:tcPr>
            <w:tcW w:w="850" w:type="dxa"/>
            <w:shd w:val="clear" w:color="auto" w:fill="auto"/>
          </w:tcPr>
          <w:p w14:paraId="63F7B380" w14:textId="77777777" w:rsidR="00DC6357" w:rsidRPr="00D23986" w:rsidRDefault="00DC6357" w:rsidP="00DC6357">
            <w:pPr>
              <w:pStyle w:val="BodyText"/>
              <w:spacing w:before="20" w:after="0" w:line="240" w:lineRule="auto"/>
              <w:ind w:right="33"/>
              <w:jc w:val="both"/>
            </w:pPr>
            <w:r w:rsidRPr="00D23986">
              <w:t>UK</w:t>
            </w:r>
          </w:p>
        </w:tc>
        <w:tc>
          <w:tcPr>
            <w:tcW w:w="2446" w:type="dxa"/>
            <w:shd w:val="clear" w:color="auto" w:fill="auto"/>
          </w:tcPr>
          <w:p w14:paraId="30AE1ACE" w14:textId="27535372" w:rsidR="00DC6357" w:rsidRPr="00D23986" w:rsidRDefault="00DC6357" w:rsidP="00DC6357">
            <w:pPr>
              <w:pStyle w:val="BodyText"/>
              <w:spacing w:before="20" w:after="0" w:line="240" w:lineRule="auto"/>
            </w:pPr>
            <w:r w:rsidRPr="00D23986">
              <w:t xml:space="preserve">Fabio </w:t>
            </w:r>
            <w:proofErr w:type="spellStart"/>
            <w:r w:rsidRPr="00D23986">
              <w:t>Polonara</w:t>
            </w:r>
            <w:proofErr w:type="spellEnd"/>
          </w:p>
        </w:tc>
        <w:tc>
          <w:tcPr>
            <w:tcW w:w="1524" w:type="dxa"/>
            <w:shd w:val="clear" w:color="auto" w:fill="auto"/>
          </w:tcPr>
          <w:p w14:paraId="22471A7E" w14:textId="36843B93" w:rsidR="00DC6357" w:rsidRPr="00D23986" w:rsidRDefault="00DC6357" w:rsidP="00DC6357">
            <w:pPr>
              <w:pStyle w:val="BodyText"/>
              <w:spacing w:before="20" w:after="0" w:line="240" w:lineRule="auto"/>
              <w:ind w:left="72" w:right="33"/>
            </w:pPr>
            <w:r w:rsidRPr="00D23986">
              <w:t>IT</w:t>
            </w:r>
          </w:p>
        </w:tc>
      </w:tr>
      <w:tr w:rsidR="00DC6357" w:rsidRPr="00D23986" w14:paraId="05D1A1C8" w14:textId="77777777" w:rsidTr="00696CB5">
        <w:tc>
          <w:tcPr>
            <w:tcW w:w="3544" w:type="dxa"/>
            <w:shd w:val="clear" w:color="auto" w:fill="auto"/>
          </w:tcPr>
          <w:p w14:paraId="76E06F52" w14:textId="0AEF2E86" w:rsidR="00DC6357" w:rsidRPr="00D23986" w:rsidRDefault="00DC6357" w:rsidP="00DC6357">
            <w:pPr>
              <w:pStyle w:val="BodyText"/>
              <w:spacing w:before="20" w:after="0" w:line="240" w:lineRule="auto"/>
            </w:pPr>
            <w:r>
              <w:t>Omar Abdelaziz</w:t>
            </w:r>
          </w:p>
        </w:tc>
        <w:tc>
          <w:tcPr>
            <w:tcW w:w="850" w:type="dxa"/>
            <w:shd w:val="clear" w:color="auto" w:fill="auto"/>
          </w:tcPr>
          <w:p w14:paraId="1B1B8D2F" w14:textId="2D7E54E7" w:rsidR="00DC6357" w:rsidRPr="00D23986" w:rsidRDefault="00DC6357" w:rsidP="00DC6357">
            <w:pPr>
              <w:pStyle w:val="BodyText"/>
              <w:spacing w:before="20" w:after="0" w:line="240" w:lineRule="auto"/>
              <w:ind w:right="33"/>
              <w:jc w:val="both"/>
            </w:pPr>
            <w:r>
              <w:t>EGY</w:t>
            </w:r>
          </w:p>
        </w:tc>
        <w:tc>
          <w:tcPr>
            <w:tcW w:w="2446" w:type="dxa"/>
            <w:shd w:val="clear" w:color="auto" w:fill="auto"/>
          </w:tcPr>
          <w:p w14:paraId="0B04093D" w14:textId="6F53985D" w:rsidR="00DC6357" w:rsidRPr="00D23986" w:rsidRDefault="00DC6357" w:rsidP="00DC6357">
            <w:pPr>
              <w:pStyle w:val="BodyText"/>
              <w:spacing w:before="20" w:after="0" w:line="240" w:lineRule="auto"/>
            </w:pPr>
            <w:r w:rsidRPr="00D23986">
              <w:t>Ian Porter</w:t>
            </w:r>
          </w:p>
        </w:tc>
        <w:tc>
          <w:tcPr>
            <w:tcW w:w="1524" w:type="dxa"/>
            <w:shd w:val="clear" w:color="auto" w:fill="auto"/>
          </w:tcPr>
          <w:p w14:paraId="34E30F60" w14:textId="729DC8AE" w:rsidR="00DC6357" w:rsidRPr="00D23986" w:rsidRDefault="00DC6357" w:rsidP="00DC6357">
            <w:pPr>
              <w:pStyle w:val="BodyText"/>
              <w:spacing w:before="20" w:after="0" w:line="240" w:lineRule="auto"/>
              <w:ind w:left="72" w:right="33"/>
            </w:pPr>
            <w:r w:rsidRPr="00D23986">
              <w:t>AUS</w:t>
            </w:r>
          </w:p>
        </w:tc>
      </w:tr>
      <w:tr w:rsidR="00DC6357" w:rsidRPr="00D23986" w14:paraId="089B68D4" w14:textId="77777777" w:rsidTr="00696CB5">
        <w:tc>
          <w:tcPr>
            <w:tcW w:w="3544" w:type="dxa"/>
            <w:shd w:val="clear" w:color="auto" w:fill="auto"/>
          </w:tcPr>
          <w:p w14:paraId="56382935" w14:textId="7A883EBD" w:rsidR="00DC6357" w:rsidRPr="00D23986" w:rsidRDefault="00DC6357" w:rsidP="00DC6357">
            <w:pPr>
              <w:pStyle w:val="BodyText"/>
              <w:spacing w:before="20" w:after="0" w:line="240" w:lineRule="auto"/>
            </w:pPr>
            <w:r w:rsidRPr="00D23986">
              <w:t>Paulo Altoe</w:t>
            </w:r>
          </w:p>
        </w:tc>
        <w:tc>
          <w:tcPr>
            <w:tcW w:w="850" w:type="dxa"/>
            <w:shd w:val="clear" w:color="auto" w:fill="auto"/>
          </w:tcPr>
          <w:p w14:paraId="4391AEE5" w14:textId="57DBCF32" w:rsidR="00DC6357" w:rsidRPr="00D23986" w:rsidRDefault="00DC6357" w:rsidP="00DC6357">
            <w:pPr>
              <w:pStyle w:val="BodyText"/>
              <w:spacing w:before="20" w:after="0" w:line="240" w:lineRule="auto"/>
              <w:ind w:right="33"/>
              <w:jc w:val="both"/>
            </w:pPr>
            <w:r w:rsidRPr="00D23986">
              <w:t>BRA</w:t>
            </w:r>
          </w:p>
        </w:tc>
        <w:tc>
          <w:tcPr>
            <w:tcW w:w="2446" w:type="dxa"/>
            <w:shd w:val="clear" w:color="auto" w:fill="auto"/>
          </w:tcPr>
          <w:p w14:paraId="46EF5C76" w14:textId="286C9460" w:rsidR="00DC6357" w:rsidRPr="00D23986" w:rsidRDefault="00DC6357" w:rsidP="00DC6357">
            <w:pPr>
              <w:pStyle w:val="BodyText"/>
              <w:spacing w:before="20" w:after="0" w:line="240" w:lineRule="auto"/>
            </w:pPr>
            <w:r w:rsidRPr="00D23986">
              <w:t>Rajendra Shende</w:t>
            </w:r>
          </w:p>
        </w:tc>
        <w:tc>
          <w:tcPr>
            <w:tcW w:w="1524" w:type="dxa"/>
            <w:shd w:val="clear" w:color="auto" w:fill="auto"/>
          </w:tcPr>
          <w:p w14:paraId="67BAE977" w14:textId="16D06229" w:rsidR="00DC6357" w:rsidRPr="00D23986" w:rsidRDefault="00DC6357" w:rsidP="00DC6357">
            <w:pPr>
              <w:pStyle w:val="BodyText"/>
              <w:spacing w:before="20" w:after="0" w:line="240" w:lineRule="auto"/>
              <w:ind w:left="72" w:right="33"/>
            </w:pPr>
            <w:r w:rsidRPr="00D23986">
              <w:t>IN</w:t>
            </w:r>
          </w:p>
        </w:tc>
      </w:tr>
      <w:tr w:rsidR="00DC6357" w:rsidRPr="00D23986" w14:paraId="73C866C0" w14:textId="77777777" w:rsidTr="00696CB5">
        <w:tc>
          <w:tcPr>
            <w:tcW w:w="3544" w:type="dxa"/>
            <w:shd w:val="clear" w:color="auto" w:fill="auto"/>
          </w:tcPr>
          <w:p w14:paraId="4D114463" w14:textId="204FD9FF" w:rsidR="00DC6357" w:rsidRPr="00D23986" w:rsidRDefault="00DC6357" w:rsidP="00DC6357">
            <w:pPr>
              <w:pStyle w:val="BodyText"/>
              <w:spacing w:before="20" w:after="0" w:line="240" w:lineRule="auto"/>
            </w:pPr>
            <w:proofErr w:type="spellStart"/>
            <w:r w:rsidRPr="00D23986">
              <w:t>Suely</w:t>
            </w:r>
            <w:proofErr w:type="spellEnd"/>
            <w:r w:rsidRPr="00D23986">
              <w:t xml:space="preserve"> Machado Carvalho</w:t>
            </w:r>
          </w:p>
        </w:tc>
        <w:tc>
          <w:tcPr>
            <w:tcW w:w="850" w:type="dxa"/>
            <w:shd w:val="clear" w:color="auto" w:fill="auto"/>
          </w:tcPr>
          <w:p w14:paraId="2A796CB9" w14:textId="326AC628" w:rsidR="00DC6357" w:rsidRPr="00D23986" w:rsidRDefault="00DC6357" w:rsidP="00DC6357">
            <w:pPr>
              <w:pStyle w:val="BodyText"/>
              <w:spacing w:before="20" w:after="0" w:line="240" w:lineRule="auto"/>
              <w:ind w:right="33"/>
              <w:jc w:val="both"/>
            </w:pPr>
            <w:r w:rsidRPr="00D23986">
              <w:t>BRA</w:t>
            </w:r>
          </w:p>
        </w:tc>
        <w:tc>
          <w:tcPr>
            <w:tcW w:w="2446" w:type="dxa"/>
            <w:shd w:val="clear" w:color="auto" w:fill="auto"/>
          </w:tcPr>
          <w:p w14:paraId="0F4CB81F" w14:textId="2E170F00" w:rsidR="00DC6357" w:rsidRPr="00D23986" w:rsidRDefault="00DC6357" w:rsidP="00DC6357">
            <w:pPr>
              <w:pStyle w:val="BodyText"/>
              <w:spacing w:before="20" w:after="0" w:line="240" w:lineRule="auto"/>
            </w:pPr>
            <w:r w:rsidRPr="00D23986">
              <w:t xml:space="preserve">Helen Tope </w:t>
            </w:r>
          </w:p>
        </w:tc>
        <w:tc>
          <w:tcPr>
            <w:tcW w:w="1524" w:type="dxa"/>
            <w:shd w:val="clear" w:color="auto" w:fill="auto"/>
          </w:tcPr>
          <w:p w14:paraId="0D40389C" w14:textId="45A750F6" w:rsidR="00DC6357" w:rsidRPr="00D23986" w:rsidRDefault="00DC6357" w:rsidP="00DC6357">
            <w:pPr>
              <w:pStyle w:val="BodyText"/>
              <w:spacing w:before="20" w:after="0" w:line="240" w:lineRule="auto"/>
              <w:ind w:left="72" w:right="33"/>
            </w:pPr>
            <w:r w:rsidRPr="00D23986">
              <w:t>AUS</w:t>
            </w:r>
            <w:r w:rsidRPr="00D23986" w:rsidDel="008B5DAA">
              <w:t xml:space="preserve"> </w:t>
            </w:r>
          </w:p>
        </w:tc>
      </w:tr>
      <w:tr w:rsidR="00DC6357" w:rsidRPr="00D23986" w14:paraId="0EFDCB54" w14:textId="77777777" w:rsidTr="00696CB5">
        <w:tc>
          <w:tcPr>
            <w:tcW w:w="3544" w:type="dxa"/>
            <w:shd w:val="clear" w:color="auto" w:fill="auto"/>
          </w:tcPr>
          <w:p w14:paraId="6A1AC8C9" w14:textId="191DF96C" w:rsidR="00DC6357" w:rsidRPr="00D23986" w:rsidRDefault="00DC6357" w:rsidP="00DC6357">
            <w:pPr>
              <w:pStyle w:val="BodyText"/>
              <w:spacing w:before="20" w:after="0" w:line="240" w:lineRule="auto"/>
            </w:pPr>
            <w:r w:rsidRPr="00D23986">
              <w:t xml:space="preserve">Adam Chattaway </w:t>
            </w:r>
          </w:p>
        </w:tc>
        <w:tc>
          <w:tcPr>
            <w:tcW w:w="850" w:type="dxa"/>
            <w:shd w:val="clear" w:color="auto" w:fill="auto"/>
          </w:tcPr>
          <w:p w14:paraId="2095BCBC" w14:textId="2DF66307" w:rsidR="00DC6357" w:rsidRPr="00D23986" w:rsidRDefault="00DC6357" w:rsidP="00DC6357">
            <w:pPr>
              <w:pStyle w:val="BodyText"/>
              <w:spacing w:before="20" w:after="0" w:line="240" w:lineRule="auto"/>
              <w:ind w:right="33"/>
              <w:jc w:val="both"/>
            </w:pPr>
            <w:r w:rsidRPr="00D23986">
              <w:t>UK</w:t>
            </w:r>
          </w:p>
        </w:tc>
        <w:tc>
          <w:tcPr>
            <w:tcW w:w="2446" w:type="dxa"/>
            <w:shd w:val="clear" w:color="auto" w:fill="auto"/>
          </w:tcPr>
          <w:p w14:paraId="2B76397C" w14:textId="18C1EC8D" w:rsidR="00DC6357" w:rsidRPr="00D23986" w:rsidRDefault="00DC6357" w:rsidP="00DC6357">
            <w:pPr>
              <w:pStyle w:val="BodyText"/>
              <w:spacing w:before="20" w:after="0" w:line="240" w:lineRule="auto"/>
            </w:pPr>
            <w:r w:rsidRPr="00D23986">
              <w:t>Dan Verdonik</w:t>
            </w:r>
          </w:p>
        </w:tc>
        <w:tc>
          <w:tcPr>
            <w:tcW w:w="1524" w:type="dxa"/>
            <w:shd w:val="clear" w:color="auto" w:fill="auto"/>
          </w:tcPr>
          <w:p w14:paraId="718824EF" w14:textId="629C93B2" w:rsidR="00DC6357" w:rsidRPr="00D23986" w:rsidRDefault="00DC6357" w:rsidP="00DC6357">
            <w:pPr>
              <w:pStyle w:val="BodyText"/>
              <w:spacing w:before="20" w:after="0" w:line="240" w:lineRule="auto"/>
              <w:ind w:left="72" w:right="33"/>
            </w:pPr>
            <w:r w:rsidRPr="00D23986">
              <w:t>US</w:t>
            </w:r>
          </w:p>
        </w:tc>
      </w:tr>
      <w:tr w:rsidR="00DC6357" w:rsidRPr="00D23986" w14:paraId="23587B94" w14:textId="77777777" w:rsidTr="00696CB5">
        <w:tc>
          <w:tcPr>
            <w:tcW w:w="3544" w:type="dxa"/>
            <w:shd w:val="clear" w:color="auto" w:fill="auto"/>
          </w:tcPr>
          <w:p w14:paraId="396E1B93" w14:textId="4D9E6965" w:rsidR="00DC6357" w:rsidRPr="00D23986" w:rsidRDefault="00DC6357" w:rsidP="00DC6357">
            <w:pPr>
              <w:pStyle w:val="BodyText"/>
              <w:spacing w:before="20" w:after="0" w:line="240" w:lineRule="auto"/>
            </w:pPr>
            <w:r>
              <w:t xml:space="preserve">Ray </w:t>
            </w:r>
            <w:proofErr w:type="spellStart"/>
            <w:r>
              <w:t>Gluckman</w:t>
            </w:r>
            <w:proofErr w:type="spellEnd"/>
          </w:p>
        </w:tc>
        <w:tc>
          <w:tcPr>
            <w:tcW w:w="850" w:type="dxa"/>
            <w:shd w:val="clear" w:color="auto" w:fill="auto"/>
          </w:tcPr>
          <w:p w14:paraId="5024A9DF" w14:textId="4827BCFB" w:rsidR="00DC6357" w:rsidRPr="00D23986" w:rsidRDefault="00DC6357" w:rsidP="00DC6357">
            <w:pPr>
              <w:pStyle w:val="BodyText"/>
              <w:spacing w:before="20" w:after="0" w:line="240" w:lineRule="auto"/>
              <w:ind w:right="33"/>
              <w:jc w:val="both"/>
            </w:pPr>
            <w:r>
              <w:t>UK</w:t>
            </w:r>
          </w:p>
        </w:tc>
        <w:tc>
          <w:tcPr>
            <w:tcW w:w="2446" w:type="dxa"/>
            <w:shd w:val="clear" w:color="auto" w:fill="auto"/>
          </w:tcPr>
          <w:p w14:paraId="2995B731" w14:textId="791E4F2F" w:rsidR="00DC6357" w:rsidRPr="00D23986" w:rsidRDefault="00DC6357" w:rsidP="00DC6357">
            <w:pPr>
              <w:pStyle w:val="BodyText"/>
              <w:spacing w:before="20" w:after="0" w:line="240" w:lineRule="auto"/>
            </w:pPr>
            <w:r w:rsidRPr="00D23986">
              <w:t>Helen Walter-Terrinoni</w:t>
            </w:r>
          </w:p>
        </w:tc>
        <w:tc>
          <w:tcPr>
            <w:tcW w:w="1524" w:type="dxa"/>
            <w:shd w:val="clear" w:color="auto" w:fill="auto"/>
          </w:tcPr>
          <w:p w14:paraId="6FA18AD8" w14:textId="1AD0AA33" w:rsidR="00DC6357" w:rsidRPr="00D23986" w:rsidRDefault="00DC6357" w:rsidP="00DC6357">
            <w:pPr>
              <w:pStyle w:val="BodyText"/>
              <w:spacing w:before="20" w:after="0" w:line="240" w:lineRule="auto"/>
              <w:ind w:left="72" w:right="33"/>
            </w:pPr>
            <w:r w:rsidRPr="00D23986">
              <w:t>US</w:t>
            </w:r>
          </w:p>
        </w:tc>
      </w:tr>
      <w:tr w:rsidR="00DC6357" w:rsidRPr="00D23986" w14:paraId="012B55D8" w14:textId="77777777" w:rsidTr="00696CB5">
        <w:trPr>
          <w:trHeight w:val="212"/>
        </w:trPr>
        <w:tc>
          <w:tcPr>
            <w:tcW w:w="3544" w:type="dxa"/>
            <w:shd w:val="clear" w:color="auto" w:fill="auto"/>
          </w:tcPr>
          <w:p w14:paraId="1489A107" w14:textId="132D67C0" w:rsidR="00DC6357" w:rsidRPr="00D23986" w:rsidRDefault="00DC6357" w:rsidP="00DC6357">
            <w:pPr>
              <w:pStyle w:val="BodyText"/>
              <w:spacing w:before="20" w:after="0" w:line="240" w:lineRule="auto"/>
            </w:pPr>
            <w:r w:rsidRPr="00D23986">
              <w:t>Marco Gonzalez</w:t>
            </w:r>
          </w:p>
        </w:tc>
        <w:tc>
          <w:tcPr>
            <w:tcW w:w="850" w:type="dxa"/>
            <w:shd w:val="clear" w:color="auto" w:fill="auto"/>
          </w:tcPr>
          <w:p w14:paraId="7EF34F39" w14:textId="2C3DC1A1" w:rsidR="00DC6357" w:rsidRPr="00D23986" w:rsidRDefault="00DC6357" w:rsidP="00DC6357">
            <w:pPr>
              <w:pStyle w:val="BodyText"/>
              <w:spacing w:before="20" w:after="0" w:line="240" w:lineRule="auto"/>
              <w:ind w:right="33"/>
              <w:jc w:val="both"/>
            </w:pPr>
            <w:r w:rsidRPr="00D23986">
              <w:t>CR</w:t>
            </w:r>
          </w:p>
        </w:tc>
        <w:tc>
          <w:tcPr>
            <w:tcW w:w="2446" w:type="dxa"/>
            <w:shd w:val="clear" w:color="auto" w:fill="auto"/>
          </w:tcPr>
          <w:p w14:paraId="57333B10" w14:textId="6151BC25" w:rsidR="00DC6357" w:rsidRPr="00D23986" w:rsidRDefault="00DC6357" w:rsidP="00DC6357">
            <w:pPr>
              <w:pStyle w:val="BodyText"/>
              <w:spacing w:before="20" w:after="0" w:line="240" w:lineRule="auto"/>
            </w:pPr>
            <w:proofErr w:type="spellStart"/>
            <w:r w:rsidRPr="00D23986">
              <w:t>Shiqiu</w:t>
            </w:r>
            <w:proofErr w:type="spellEnd"/>
            <w:r w:rsidRPr="00D23986">
              <w:t xml:space="preserve"> Zhang</w:t>
            </w:r>
          </w:p>
        </w:tc>
        <w:tc>
          <w:tcPr>
            <w:tcW w:w="1524" w:type="dxa"/>
            <w:shd w:val="clear" w:color="auto" w:fill="auto"/>
          </w:tcPr>
          <w:p w14:paraId="636DAA4E" w14:textId="17ABD254" w:rsidR="00DC6357" w:rsidRPr="00D23986" w:rsidRDefault="00DC6357" w:rsidP="00DC6357">
            <w:pPr>
              <w:pStyle w:val="BodyText"/>
              <w:spacing w:before="20" w:after="0" w:line="240" w:lineRule="auto"/>
              <w:ind w:left="72" w:right="33"/>
            </w:pPr>
            <w:r w:rsidRPr="00D23986">
              <w:t>PRC</w:t>
            </w:r>
          </w:p>
        </w:tc>
      </w:tr>
      <w:tr w:rsidR="00DC6357" w:rsidRPr="00D23986" w14:paraId="43DBFF25" w14:textId="77777777" w:rsidTr="00696CB5">
        <w:trPr>
          <w:trHeight w:val="212"/>
        </w:trPr>
        <w:tc>
          <w:tcPr>
            <w:tcW w:w="3544" w:type="dxa"/>
            <w:shd w:val="clear" w:color="auto" w:fill="auto"/>
          </w:tcPr>
          <w:p w14:paraId="7688FB55" w14:textId="5335A7A9" w:rsidR="00DC6357" w:rsidRPr="00D23986" w:rsidRDefault="00DC6357" w:rsidP="00DC6357">
            <w:pPr>
              <w:pStyle w:val="BodyText"/>
              <w:spacing w:before="20" w:after="0" w:line="240" w:lineRule="auto"/>
            </w:pPr>
            <w:r w:rsidRPr="00D23986">
              <w:t>Sergey Kopylov</w:t>
            </w:r>
          </w:p>
        </w:tc>
        <w:tc>
          <w:tcPr>
            <w:tcW w:w="850" w:type="dxa"/>
            <w:shd w:val="clear" w:color="auto" w:fill="auto"/>
          </w:tcPr>
          <w:p w14:paraId="001EF11B" w14:textId="27FE1FBE" w:rsidR="00DC6357" w:rsidRPr="00D23986" w:rsidRDefault="00DC6357" w:rsidP="00DC6357">
            <w:pPr>
              <w:pStyle w:val="BodyText"/>
              <w:spacing w:before="20" w:after="0" w:line="240" w:lineRule="auto"/>
              <w:ind w:right="33"/>
            </w:pPr>
            <w:r w:rsidRPr="00D23986">
              <w:t>RF</w:t>
            </w:r>
          </w:p>
        </w:tc>
        <w:tc>
          <w:tcPr>
            <w:tcW w:w="2446" w:type="dxa"/>
            <w:shd w:val="clear" w:color="auto" w:fill="auto"/>
          </w:tcPr>
          <w:p w14:paraId="3E14562D" w14:textId="0EC8173F" w:rsidR="00DC6357" w:rsidRPr="00D23986" w:rsidRDefault="00DC6357" w:rsidP="00DC6357">
            <w:pPr>
              <w:pStyle w:val="BodyText"/>
              <w:spacing w:before="20" w:after="0" w:line="240" w:lineRule="auto"/>
            </w:pPr>
            <w:r w:rsidRPr="00D23986">
              <w:t>Jianjun Zhang</w:t>
            </w:r>
          </w:p>
        </w:tc>
        <w:tc>
          <w:tcPr>
            <w:tcW w:w="1524" w:type="dxa"/>
            <w:shd w:val="clear" w:color="auto" w:fill="auto"/>
          </w:tcPr>
          <w:p w14:paraId="2D3ACD20" w14:textId="056C4D85" w:rsidR="00DC6357" w:rsidRPr="00D23986" w:rsidRDefault="00DC6357" w:rsidP="00DC6357">
            <w:pPr>
              <w:pStyle w:val="BodyText"/>
              <w:spacing w:before="20" w:after="0" w:line="240" w:lineRule="auto"/>
              <w:ind w:left="72" w:right="33"/>
            </w:pPr>
            <w:r w:rsidRPr="00D23986">
              <w:t>PRC</w:t>
            </w:r>
          </w:p>
        </w:tc>
      </w:tr>
    </w:tbl>
    <w:p w14:paraId="69D802F5" w14:textId="77777777" w:rsidR="00AD4B2A" w:rsidRPr="00D23986" w:rsidRDefault="00AD4B2A">
      <w:pPr>
        <w:spacing w:after="0"/>
        <w:jc w:val="right"/>
        <w:rPr>
          <w:b/>
          <w:smallCaps/>
          <w:sz w:val="28"/>
        </w:rPr>
      </w:pPr>
    </w:p>
    <w:p w14:paraId="25C15D2E" w14:textId="77777777" w:rsidR="00771CBB" w:rsidRDefault="00771CBB" w:rsidP="003231D4">
      <w:pPr>
        <w:spacing w:after="0"/>
        <w:jc w:val="center"/>
        <w:rPr>
          <w:b/>
          <w:smallCaps/>
          <w:sz w:val="28"/>
        </w:rPr>
      </w:pPr>
    </w:p>
    <w:p w14:paraId="2528C9FF" w14:textId="77777777" w:rsidR="00771CBB" w:rsidRDefault="00771CBB" w:rsidP="00771CBB">
      <w:pPr>
        <w:pStyle w:val="Style15"/>
      </w:pPr>
      <w:r>
        <w:br w:type="page"/>
      </w:r>
    </w:p>
    <w:p w14:paraId="2B324DE7" w14:textId="08D1A36C" w:rsidR="00F3279B" w:rsidRPr="00F3279B" w:rsidRDefault="00F3279B" w:rsidP="005C5E68">
      <w:pPr>
        <w:pStyle w:val="TOC1"/>
        <w:sectPr w:rsidR="00F3279B" w:rsidRPr="00F3279B" w:rsidSect="00A314D3">
          <w:headerReference w:type="even" r:id="rId22"/>
          <w:headerReference w:type="default" r:id="rId23"/>
          <w:footerReference w:type="even" r:id="rId24"/>
          <w:headerReference w:type="first" r:id="rId25"/>
          <w:footnotePr>
            <w:numRestart w:val="eachSect"/>
          </w:footnotePr>
          <w:type w:val="nextColumn"/>
          <w:pgSz w:w="11907" w:h="16839" w:code="9"/>
          <w:pgMar w:top="1440" w:right="1737" w:bottom="1526" w:left="1800" w:header="720" w:footer="792" w:gutter="0"/>
          <w:pgNumType w:fmt="lowerRoman"/>
          <w:cols w:space="720"/>
          <w:docGrid w:linePitch="299"/>
        </w:sectPr>
      </w:pPr>
    </w:p>
    <w:p w14:paraId="4269B3E9" w14:textId="6DB9C650" w:rsidR="00D6202C" w:rsidRDefault="00187136" w:rsidP="00821BBC">
      <w:pPr>
        <w:pStyle w:val="TOC1"/>
      </w:pPr>
      <w:bookmarkStart w:id="119" w:name="_Toc388648327"/>
      <w:bookmarkStart w:id="120" w:name="_Toc295406111"/>
      <w:bookmarkStart w:id="121" w:name="_Toc514151614"/>
      <w:bookmarkStart w:id="122" w:name="_Toc9109561"/>
      <w:bookmarkStart w:id="123" w:name="OLE_LINK19"/>
      <w:bookmarkStart w:id="124" w:name="_Toc39573643"/>
      <w:bookmarkStart w:id="125" w:name="OLE_LINK23"/>
      <w:bookmarkStart w:id="126" w:name="OLE_LINK28"/>
      <w:r w:rsidRPr="00CC5842">
        <w:rPr>
          <w:rStyle w:val="Heading1Char2"/>
          <w:rFonts w:ascii="Times New Roman" w:hAnsi="Times New Roman"/>
          <w:sz w:val="24"/>
          <w:szCs w:val="18"/>
        </w:rPr>
        <w:lastRenderedPageBreak/>
        <w:t>Table of Conten</w:t>
      </w:r>
      <w:r w:rsidR="004867A6" w:rsidRPr="00CC5842">
        <w:rPr>
          <w:rStyle w:val="Heading1Char2"/>
          <w:rFonts w:ascii="Times New Roman" w:hAnsi="Times New Roman"/>
          <w:sz w:val="24"/>
          <w:szCs w:val="18"/>
        </w:rPr>
        <w:t>ts</w:t>
      </w:r>
    </w:p>
    <w:p w14:paraId="55721707" w14:textId="21FE094C" w:rsidR="005C5E68" w:rsidRDefault="007A058F" w:rsidP="005C5E68">
      <w:pPr>
        <w:pStyle w:val="TOC1"/>
        <w:rPr>
          <w:rFonts w:eastAsiaTheme="minorEastAsia" w:cstheme="minorBidi"/>
          <w:noProof/>
          <w:color w:val="auto"/>
          <w:sz w:val="22"/>
          <w:szCs w:val="22"/>
          <w:lang w:eastAsia="en-GB"/>
        </w:rPr>
      </w:pPr>
      <w:r>
        <w:rPr>
          <w:i/>
          <w:iCs/>
        </w:rPr>
        <w:fldChar w:fldCharType="begin"/>
      </w:r>
      <w:r>
        <w:rPr>
          <w:i/>
          <w:iCs/>
        </w:rPr>
        <w:instrText xml:space="preserve"> TOC \o "1-4" \h \z \u </w:instrText>
      </w:r>
      <w:r>
        <w:rPr>
          <w:i/>
          <w:iCs/>
        </w:rPr>
        <w:fldChar w:fldCharType="separate"/>
      </w:r>
      <w:hyperlink w:anchor="_Toc104396643" w:history="1">
        <w:r w:rsidR="005C5E68" w:rsidRPr="00767BCA">
          <w:rPr>
            <w:rStyle w:val="Hyperlink"/>
            <w:noProof/>
          </w:rPr>
          <w:t>Disclaimer</w:t>
        </w:r>
        <w:r w:rsidR="005C5E68">
          <w:rPr>
            <w:noProof/>
            <w:webHidden/>
          </w:rPr>
          <w:tab/>
        </w:r>
        <w:r w:rsidR="005C5E68">
          <w:rPr>
            <w:noProof/>
            <w:webHidden/>
          </w:rPr>
          <w:fldChar w:fldCharType="begin"/>
        </w:r>
        <w:r w:rsidR="005C5E68">
          <w:rPr>
            <w:noProof/>
            <w:webHidden/>
          </w:rPr>
          <w:instrText xml:space="preserve"> PAGEREF _Toc104396643 \h </w:instrText>
        </w:r>
        <w:r w:rsidR="005C5E68">
          <w:rPr>
            <w:noProof/>
            <w:webHidden/>
          </w:rPr>
        </w:r>
        <w:r w:rsidR="005C5E68">
          <w:rPr>
            <w:noProof/>
            <w:webHidden/>
          </w:rPr>
          <w:fldChar w:fldCharType="separate"/>
        </w:r>
        <w:r w:rsidR="00FC0382">
          <w:rPr>
            <w:noProof/>
            <w:webHidden/>
          </w:rPr>
          <w:t>iv</w:t>
        </w:r>
        <w:r w:rsidR="005C5E68">
          <w:rPr>
            <w:noProof/>
            <w:webHidden/>
          </w:rPr>
          <w:fldChar w:fldCharType="end"/>
        </w:r>
      </w:hyperlink>
    </w:p>
    <w:p w14:paraId="14EA55B1" w14:textId="7A3A0161" w:rsidR="005C5E68" w:rsidRDefault="00143903" w:rsidP="005C5E68">
      <w:pPr>
        <w:pStyle w:val="TOC1"/>
        <w:rPr>
          <w:rFonts w:eastAsiaTheme="minorEastAsia" w:cstheme="minorBidi"/>
          <w:noProof/>
          <w:color w:val="auto"/>
          <w:sz w:val="22"/>
          <w:szCs w:val="22"/>
          <w:lang w:eastAsia="en-GB"/>
        </w:rPr>
      </w:pPr>
      <w:hyperlink w:anchor="_Toc104396644" w:history="1">
        <w:r w:rsidR="005C5E68" w:rsidRPr="00767BCA">
          <w:rPr>
            <w:rStyle w:val="Hyperlink"/>
            <w:noProof/>
          </w:rPr>
          <w:t>Foreword</w:t>
        </w:r>
        <w:r w:rsidR="005C5E68">
          <w:rPr>
            <w:noProof/>
            <w:webHidden/>
          </w:rPr>
          <w:tab/>
        </w:r>
        <w:r w:rsidR="005C5E68">
          <w:rPr>
            <w:noProof/>
            <w:webHidden/>
          </w:rPr>
          <w:fldChar w:fldCharType="begin"/>
        </w:r>
        <w:r w:rsidR="005C5E68">
          <w:rPr>
            <w:noProof/>
            <w:webHidden/>
          </w:rPr>
          <w:instrText xml:space="preserve"> PAGEREF _Toc104396644 \h </w:instrText>
        </w:r>
        <w:r w:rsidR="005C5E68">
          <w:rPr>
            <w:noProof/>
            <w:webHidden/>
          </w:rPr>
        </w:r>
        <w:r w:rsidR="005C5E68">
          <w:rPr>
            <w:noProof/>
            <w:webHidden/>
          </w:rPr>
          <w:fldChar w:fldCharType="separate"/>
        </w:r>
        <w:r w:rsidR="00FC0382">
          <w:rPr>
            <w:noProof/>
            <w:webHidden/>
          </w:rPr>
          <w:t>v</w:t>
        </w:r>
        <w:r w:rsidR="005C5E68">
          <w:rPr>
            <w:noProof/>
            <w:webHidden/>
          </w:rPr>
          <w:fldChar w:fldCharType="end"/>
        </w:r>
      </w:hyperlink>
    </w:p>
    <w:p w14:paraId="7CE61B39" w14:textId="153D7D79" w:rsidR="005C5E68" w:rsidRDefault="00143903" w:rsidP="005C5E68">
      <w:pPr>
        <w:pStyle w:val="TOC1"/>
        <w:rPr>
          <w:rFonts w:eastAsiaTheme="minorEastAsia" w:cstheme="minorBidi"/>
          <w:noProof/>
          <w:color w:val="auto"/>
          <w:sz w:val="22"/>
          <w:szCs w:val="22"/>
          <w:lang w:eastAsia="en-GB"/>
        </w:rPr>
      </w:pPr>
      <w:hyperlink w:anchor="_Toc104396645" w:history="1">
        <w:r w:rsidR="005C5E68" w:rsidRPr="00767BCA">
          <w:rPr>
            <w:rStyle w:val="Hyperlink"/>
            <w:noProof/>
          </w:rPr>
          <w:t>1</w:t>
        </w:r>
        <w:r w:rsidR="005C5E68">
          <w:rPr>
            <w:rFonts w:eastAsiaTheme="minorEastAsia" w:cstheme="minorBidi"/>
            <w:noProof/>
            <w:color w:val="auto"/>
            <w:sz w:val="22"/>
            <w:szCs w:val="22"/>
            <w:lang w:eastAsia="en-GB"/>
          </w:rPr>
          <w:tab/>
        </w:r>
        <w:r w:rsidR="005C5E68" w:rsidRPr="00767BCA">
          <w:rPr>
            <w:rStyle w:val="Hyperlink"/>
            <w:noProof/>
          </w:rPr>
          <w:t>Introduction</w:t>
        </w:r>
        <w:r w:rsidR="005C5E68">
          <w:rPr>
            <w:noProof/>
            <w:webHidden/>
          </w:rPr>
          <w:tab/>
        </w:r>
        <w:r w:rsidR="005C5E68">
          <w:rPr>
            <w:noProof/>
            <w:webHidden/>
          </w:rPr>
          <w:fldChar w:fldCharType="begin"/>
        </w:r>
        <w:r w:rsidR="005C5E68">
          <w:rPr>
            <w:noProof/>
            <w:webHidden/>
          </w:rPr>
          <w:instrText xml:space="preserve"> PAGEREF _Toc104396645 \h </w:instrText>
        </w:r>
        <w:r w:rsidR="005C5E68">
          <w:rPr>
            <w:noProof/>
            <w:webHidden/>
          </w:rPr>
        </w:r>
        <w:r w:rsidR="005C5E68">
          <w:rPr>
            <w:noProof/>
            <w:webHidden/>
          </w:rPr>
          <w:fldChar w:fldCharType="separate"/>
        </w:r>
        <w:r w:rsidR="00FC0382">
          <w:rPr>
            <w:noProof/>
            <w:webHidden/>
          </w:rPr>
          <w:t>1</w:t>
        </w:r>
        <w:r w:rsidR="005C5E68">
          <w:rPr>
            <w:noProof/>
            <w:webHidden/>
          </w:rPr>
          <w:fldChar w:fldCharType="end"/>
        </w:r>
      </w:hyperlink>
    </w:p>
    <w:p w14:paraId="22AF5531" w14:textId="5D3468DE" w:rsidR="005C5E68" w:rsidRDefault="00143903">
      <w:pPr>
        <w:pStyle w:val="TOC2"/>
        <w:rPr>
          <w:rFonts w:eastAsiaTheme="minorEastAsia" w:cstheme="minorBidi"/>
          <w:smallCaps w:val="0"/>
          <w:noProof/>
          <w:color w:val="auto"/>
          <w:sz w:val="22"/>
          <w:szCs w:val="22"/>
          <w:lang w:eastAsia="en-GB"/>
        </w:rPr>
      </w:pPr>
      <w:hyperlink w:anchor="_Toc104396646" w:history="1">
        <w:r w:rsidR="005C5E68" w:rsidRPr="00767BCA">
          <w:rPr>
            <w:rStyle w:val="Hyperlink"/>
            <w:noProof/>
          </w:rPr>
          <w:t>1.1</w:t>
        </w:r>
        <w:r w:rsidR="005C5E68">
          <w:rPr>
            <w:rFonts w:eastAsiaTheme="minorEastAsia" w:cstheme="minorBidi"/>
            <w:smallCaps w:val="0"/>
            <w:noProof/>
            <w:color w:val="auto"/>
            <w:sz w:val="22"/>
            <w:szCs w:val="22"/>
            <w:lang w:eastAsia="en-GB"/>
          </w:rPr>
          <w:tab/>
        </w:r>
        <w:r w:rsidR="005C5E68" w:rsidRPr="00767BCA">
          <w:rPr>
            <w:rStyle w:val="Hyperlink"/>
            <w:noProof/>
          </w:rPr>
          <w:t>TEAP Decision XXXIII/5 Energy Efficiency Task Force Update</w:t>
        </w:r>
        <w:r w:rsidR="005C5E68">
          <w:rPr>
            <w:noProof/>
            <w:webHidden/>
          </w:rPr>
          <w:tab/>
        </w:r>
        <w:r w:rsidR="005C5E68">
          <w:rPr>
            <w:noProof/>
            <w:webHidden/>
          </w:rPr>
          <w:fldChar w:fldCharType="begin"/>
        </w:r>
        <w:r w:rsidR="005C5E68">
          <w:rPr>
            <w:noProof/>
            <w:webHidden/>
          </w:rPr>
          <w:instrText xml:space="preserve"> PAGEREF _Toc104396646 \h </w:instrText>
        </w:r>
        <w:r w:rsidR="005C5E68">
          <w:rPr>
            <w:noProof/>
            <w:webHidden/>
          </w:rPr>
        </w:r>
        <w:r w:rsidR="005C5E68">
          <w:rPr>
            <w:noProof/>
            <w:webHidden/>
          </w:rPr>
          <w:fldChar w:fldCharType="separate"/>
        </w:r>
        <w:r w:rsidR="00FC0382">
          <w:rPr>
            <w:noProof/>
            <w:webHidden/>
          </w:rPr>
          <w:t>1</w:t>
        </w:r>
        <w:r w:rsidR="005C5E68">
          <w:rPr>
            <w:noProof/>
            <w:webHidden/>
          </w:rPr>
          <w:fldChar w:fldCharType="end"/>
        </w:r>
      </w:hyperlink>
    </w:p>
    <w:p w14:paraId="3B63F977" w14:textId="4C3C0452" w:rsidR="005C5E68" w:rsidRDefault="00143903">
      <w:pPr>
        <w:pStyle w:val="TOC2"/>
        <w:rPr>
          <w:rFonts w:eastAsiaTheme="minorEastAsia" w:cstheme="minorBidi"/>
          <w:smallCaps w:val="0"/>
          <w:noProof/>
          <w:color w:val="auto"/>
          <w:sz w:val="22"/>
          <w:szCs w:val="22"/>
          <w:lang w:eastAsia="en-GB"/>
        </w:rPr>
      </w:pPr>
      <w:hyperlink w:anchor="_Toc104396647" w:history="1">
        <w:r w:rsidR="005C5E68" w:rsidRPr="00767BCA">
          <w:rPr>
            <w:rStyle w:val="Hyperlink"/>
            <w:noProof/>
          </w:rPr>
          <w:t>1.2</w:t>
        </w:r>
        <w:r w:rsidR="005C5E68">
          <w:rPr>
            <w:rFonts w:eastAsiaTheme="minorEastAsia" w:cstheme="minorBidi"/>
            <w:smallCaps w:val="0"/>
            <w:noProof/>
            <w:color w:val="auto"/>
            <w:sz w:val="22"/>
            <w:szCs w:val="22"/>
            <w:lang w:eastAsia="en-GB"/>
          </w:rPr>
          <w:tab/>
        </w:r>
        <w:r w:rsidR="005C5E68" w:rsidRPr="00767BCA">
          <w:rPr>
            <w:rStyle w:val="Hyperlink"/>
            <w:noProof/>
          </w:rPr>
          <w:t>TEAP Modelling Update</w:t>
        </w:r>
        <w:r w:rsidR="005C5E68">
          <w:rPr>
            <w:noProof/>
            <w:webHidden/>
          </w:rPr>
          <w:tab/>
        </w:r>
        <w:r w:rsidR="005C5E68">
          <w:rPr>
            <w:noProof/>
            <w:webHidden/>
          </w:rPr>
          <w:fldChar w:fldCharType="begin"/>
        </w:r>
        <w:r w:rsidR="005C5E68">
          <w:rPr>
            <w:noProof/>
            <w:webHidden/>
          </w:rPr>
          <w:instrText xml:space="preserve"> PAGEREF _Toc104396647 \h </w:instrText>
        </w:r>
        <w:r w:rsidR="005C5E68">
          <w:rPr>
            <w:noProof/>
            <w:webHidden/>
          </w:rPr>
        </w:r>
        <w:r w:rsidR="005C5E68">
          <w:rPr>
            <w:noProof/>
            <w:webHidden/>
          </w:rPr>
          <w:fldChar w:fldCharType="separate"/>
        </w:r>
        <w:r w:rsidR="00FC0382">
          <w:rPr>
            <w:noProof/>
            <w:webHidden/>
          </w:rPr>
          <w:t>2</w:t>
        </w:r>
        <w:r w:rsidR="005C5E68">
          <w:rPr>
            <w:noProof/>
            <w:webHidden/>
          </w:rPr>
          <w:fldChar w:fldCharType="end"/>
        </w:r>
      </w:hyperlink>
    </w:p>
    <w:p w14:paraId="05661AB5" w14:textId="550487BA" w:rsidR="005C5E68" w:rsidRDefault="00143903">
      <w:pPr>
        <w:pStyle w:val="TOC2"/>
        <w:rPr>
          <w:rFonts w:eastAsiaTheme="minorEastAsia" w:cstheme="minorBidi"/>
          <w:smallCaps w:val="0"/>
          <w:noProof/>
          <w:color w:val="auto"/>
          <w:sz w:val="22"/>
          <w:szCs w:val="22"/>
          <w:lang w:eastAsia="en-GB"/>
        </w:rPr>
      </w:pPr>
      <w:hyperlink w:anchor="_Toc104396648" w:history="1">
        <w:r w:rsidR="005C5E68" w:rsidRPr="00767BCA">
          <w:rPr>
            <w:rStyle w:val="Hyperlink"/>
            <w:i/>
            <w:noProof/>
          </w:rPr>
          <w:t>1.2.1</w:t>
        </w:r>
        <w:r w:rsidR="005C5E68">
          <w:rPr>
            <w:rFonts w:eastAsiaTheme="minorEastAsia" w:cstheme="minorBidi"/>
            <w:smallCaps w:val="0"/>
            <w:noProof/>
            <w:color w:val="auto"/>
            <w:sz w:val="22"/>
            <w:szCs w:val="22"/>
            <w:lang w:eastAsia="en-GB"/>
          </w:rPr>
          <w:tab/>
        </w:r>
        <w:r w:rsidR="005C5E68" w:rsidRPr="00767BCA">
          <w:rPr>
            <w:rStyle w:val="Hyperlink"/>
            <w:i/>
            <w:noProof/>
          </w:rPr>
          <w:t>Background for HCFC-141b: A Brief History of Ozone Depleting Substance (ODS) Use in Foams</w:t>
        </w:r>
        <w:r w:rsidR="005C5E68">
          <w:rPr>
            <w:noProof/>
            <w:webHidden/>
          </w:rPr>
          <w:tab/>
        </w:r>
        <w:r w:rsidR="005C5E68">
          <w:rPr>
            <w:noProof/>
            <w:webHidden/>
          </w:rPr>
          <w:fldChar w:fldCharType="begin"/>
        </w:r>
        <w:r w:rsidR="005C5E68">
          <w:rPr>
            <w:noProof/>
            <w:webHidden/>
          </w:rPr>
          <w:instrText xml:space="preserve"> PAGEREF _Toc104396648 \h </w:instrText>
        </w:r>
        <w:r w:rsidR="005C5E68">
          <w:rPr>
            <w:noProof/>
            <w:webHidden/>
          </w:rPr>
        </w:r>
        <w:r w:rsidR="005C5E68">
          <w:rPr>
            <w:noProof/>
            <w:webHidden/>
          </w:rPr>
          <w:fldChar w:fldCharType="separate"/>
        </w:r>
        <w:r w:rsidR="00FC0382">
          <w:rPr>
            <w:noProof/>
            <w:webHidden/>
          </w:rPr>
          <w:t>2</w:t>
        </w:r>
        <w:r w:rsidR="005C5E68">
          <w:rPr>
            <w:noProof/>
            <w:webHidden/>
          </w:rPr>
          <w:fldChar w:fldCharType="end"/>
        </w:r>
      </w:hyperlink>
    </w:p>
    <w:p w14:paraId="391B4861" w14:textId="58542242" w:rsidR="005C5E68" w:rsidRDefault="00143903">
      <w:pPr>
        <w:pStyle w:val="TOC2"/>
        <w:rPr>
          <w:rFonts w:eastAsiaTheme="minorEastAsia" w:cstheme="minorBidi"/>
          <w:smallCaps w:val="0"/>
          <w:noProof/>
          <w:color w:val="auto"/>
          <w:sz w:val="22"/>
          <w:szCs w:val="22"/>
          <w:lang w:eastAsia="en-GB"/>
        </w:rPr>
      </w:pPr>
      <w:hyperlink w:anchor="_Toc104396649" w:history="1">
        <w:r w:rsidR="005C5E68" w:rsidRPr="00767BCA">
          <w:rPr>
            <w:rStyle w:val="Hyperlink"/>
            <w:i/>
            <w:noProof/>
          </w:rPr>
          <w:t>1.2.2</w:t>
        </w:r>
        <w:r w:rsidR="005C5E68">
          <w:rPr>
            <w:rFonts w:eastAsiaTheme="minorEastAsia" w:cstheme="minorBidi"/>
            <w:smallCaps w:val="0"/>
            <w:noProof/>
            <w:color w:val="auto"/>
            <w:sz w:val="22"/>
            <w:szCs w:val="22"/>
            <w:lang w:eastAsia="en-GB"/>
          </w:rPr>
          <w:tab/>
        </w:r>
        <w:r w:rsidR="005C5E68" w:rsidRPr="00767BCA">
          <w:rPr>
            <w:rStyle w:val="Hyperlink"/>
            <w:i/>
            <w:noProof/>
          </w:rPr>
          <w:t>Estimated regional use of HCFC-141b</w:t>
        </w:r>
        <w:r w:rsidR="005C5E68">
          <w:rPr>
            <w:noProof/>
            <w:webHidden/>
          </w:rPr>
          <w:tab/>
        </w:r>
        <w:r w:rsidR="005C5E68">
          <w:rPr>
            <w:noProof/>
            <w:webHidden/>
          </w:rPr>
          <w:fldChar w:fldCharType="begin"/>
        </w:r>
        <w:r w:rsidR="005C5E68">
          <w:rPr>
            <w:noProof/>
            <w:webHidden/>
          </w:rPr>
          <w:instrText xml:space="preserve"> PAGEREF _Toc104396649 \h </w:instrText>
        </w:r>
        <w:r w:rsidR="005C5E68">
          <w:rPr>
            <w:noProof/>
            <w:webHidden/>
          </w:rPr>
        </w:r>
        <w:r w:rsidR="005C5E68">
          <w:rPr>
            <w:noProof/>
            <w:webHidden/>
          </w:rPr>
          <w:fldChar w:fldCharType="separate"/>
        </w:r>
        <w:r w:rsidR="00FC0382">
          <w:rPr>
            <w:noProof/>
            <w:webHidden/>
          </w:rPr>
          <w:t>3</w:t>
        </w:r>
        <w:r w:rsidR="005C5E68">
          <w:rPr>
            <w:noProof/>
            <w:webHidden/>
          </w:rPr>
          <w:fldChar w:fldCharType="end"/>
        </w:r>
      </w:hyperlink>
    </w:p>
    <w:p w14:paraId="66B474AC" w14:textId="2C1D8B21" w:rsidR="005C5E68" w:rsidRDefault="00143903">
      <w:pPr>
        <w:pStyle w:val="TOC2"/>
        <w:rPr>
          <w:rFonts w:eastAsiaTheme="minorEastAsia" w:cstheme="minorBidi"/>
          <w:smallCaps w:val="0"/>
          <w:noProof/>
          <w:color w:val="auto"/>
          <w:sz w:val="22"/>
          <w:szCs w:val="22"/>
          <w:lang w:eastAsia="en-GB"/>
        </w:rPr>
      </w:pPr>
      <w:hyperlink w:anchor="_Toc104396650" w:history="1">
        <w:r w:rsidR="005C5E68" w:rsidRPr="00767BCA">
          <w:rPr>
            <w:rStyle w:val="Hyperlink"/>
            <w:i/>
            <w:noProof/>
          </w:rPr>
          <w:t>1.2.3</w:t>
        </w:r>
        <w:r w:rsidR="005C5E68">
          <w:rPr>
            <w:rFonts w:eastAsiaTheme="minorEastAsia" w:cstheme="minorBidi"/>
            <w:smallCaps w:val="0"/>
            <w:noProof/>
            <w:color w:val="auto"/>
            <w:sz w:val="22"/>
            <w:szCs w:val="22"/>
            <w:lang w:eastAsia="en-GB"/>
          </w:rPr>
          <w:tab/>
        </w:r>
        <w:r w:rsidR="005C5E68" w:rsidRPr="00767BCA">
          <w:rPr>
            <w:rStyle w:val="Hyperlink"/>
            <w:i/>
            <w:noProof/>
          </w:rPr>
          <w:t>Estimated global use of HCFC-141b by foam type</w:t>
        </w:r>
        <w:r w:rsidR="005C5E68">
          <w:rPr>
            <w:noProof/>
            <w:webHidden/>
          </w:rPr>
          <w:tab/>
        </w:r>
        <w:r w:rsidR="005C5E68">
          <w:rPr>
            <w:noProof/>
            <w:webHidden/>
          </w:rPr>
          <w:fldChar w:fldCharType="begin"/>
        </w:r>
        <w:r w:rsidR="005C5E68">
          <w:rPr>
            <w:noProof/>
            <w:webHidden/>
          </w:rPr>
          <w:instrText xml:space="preserve"> PAGEREF _Toc104396650 \h </w:instrText>
        </w:r>
        <w:r w:rsidR="005C5E68">
          <w:rPr>
            <w:noProof/>
            <w:webHidden/>
          </w:rPr>
        </w:r>
        <w:r w:rsidR="005C5E68">
          <w:rPr>
            <w:noProof/>
            <w:webHidden/>
          </w:rPr>
          <w:fldChar w:fldCharType="separate"/>
        </w:r>
        <w:r w:rsidR="00FC0382">
          <w:rPr>
            <w:noProof/>
            <w:webHidden/>
          </w:rPr>
          <w:t>4</w:t>
        </w:r>
        <w:r w:rsidR="005C5E68">
          <w:rPr>
            <w:noProof/>
            <w:webHidden/>
          </w:rPr>
          <w:fldChar w:fldCharType="end"/>
        </w:r>
      </w:hyperlink>
    </w:p>
    <w:p w14:paraId="33ECD69B" w14:textId="382FAB62" w:rsidR="005C5E68" w:rsidRDefault="00143903">
      <w:pPr>
        <w:pStyle w:val="TOC2"/>
        <w:rPr>
          <w:rFonts w:eastAsiaTheme="minorEastAsia" w:cstheme="minorBidi"/>
          <w:smallCaps w:val="0"/>
          <w:noProof/>
          <w:color w:val="auto"/>
          <w:sz w:val="22"/>
          <w:szCs w:val="22"/>
          <w:lang w:eastAsia="en-GB"/>
        </w:rPr>
      </w:pPr>
      <w:hyperlink w:anchor="_Toc104396651" w:history="1">
        <w:r w:rsidR="005C5E68" w:rsidRPr="00767BCA">
          <w:rPr>
            <w:rStyle w:val="Hyperlink"/>
            <w:i/>
            <w:noProof/>
          </w:rPr>
          <w:t>1.2.4</w:t>
        </w:r>
        <w:r w:rsidR="005C5E68">
          <w:rPr>
            <w:rFonts w:eastAsiaTheme="minorEastAsia" w:cstheme="minorBidi"/>
            <w:smallCaps w:val="0"/>
            <w:noProof/>
            <w:color w:val="auto"/>
            <w:sz w:val="22"/>
            <w:szCs w:val="22"/>
            <w:lang w:eastAsia="en-GB"/>
          </w:rPr>
          <w:tab/>
        </w:r>
        <w:r w:rsidR="005C5E68" w:rsidRPr="00767BCA">
          <w:rPr>
            <w:rStyle w:val="Hyperlink"/>
            <w:i/>
            <w:noProof/>
          </w:rPr>
          <w:t xml:space="preserve"> Global consumption and estimated emissions of HCFC-141b</w:t>
        </w:r>
        <w:r w:rsidR="005C5E68">
          <w:rPr>
            <w:noProof/>
            <w:webHidden/>
          </w:rPr>
          <w:tab/>
        </w:r>
        <w:r w:rsidR="005C5E68">
          <w:rPr>
            <w:noProof/>
            <w:webHidden/>
          </w:rPr>
          <w:fldChar w:fldCharType="begin"/>
        </w:r>
        <w:r w:rsidR="005C5E68">
          <w:rPr>
            <w:noProof/>
            <w:webHidden/>
          </w:rPr>
          <w:instrText xml:space="preserve"> PAGEREF _Toc104396651 \h </w:instrText>
        </w:r>
        <w:r w:rsidR="005C5E68">
          <w:rPr>
            <w:noProof/>
            <w:webHidden/>
          </w:rPr>
        </w:r>
        <w:r w:rsidR="005C5E68">
          <w:rPr>
            <w:noProof/>
            <w:webHidden/>
          </w:rPr>
          <w:fldChar w:fldCharType="separate"/>
        </w:r>
        <w:r w:rsidR="00FC0382">
          <w:rPr>
            <w:noProof/>
            <w:webHidden/>
          </w:rPr>
          <w:t>5</w:t>
        </w:r>
        <w:r w:rsidR="005C5E68">
          <w:rPr>
            <w:noProof/>
            <w:webHidden/>
          </w:rPr>
          <w:fldChar w:fldCharType="end"/>
        </w:r>
      </w:hyperlink>
    </w:p>
    <w:p w14:paraId="1FF1D645" w14:textId="6EB08241" w:rsidR="005C5E68" w:rsidRDefault="00143903">
      <w:pPr>
        <w:pStyle w:val="TOC2"/>
        <w:rPr>
          <w:rFonts w:eastAsiaTheme="minorEastAsia" w:cstheme="minorBidi"/>
          <w:smallCaps w:val="0"/>
          <w:noProof/>
          <w:color w:val="auto"/>
          <w:sz w:val="22"/>
          <w:szCs w:val="22"/>
          <w:lang w:eastAsia="en-GB"/>
        </w:rPr>
      </w:pPr>
      <w:hyperlink w:anchor="_Toc104396652" w:history="1">
        <w:r w:rsidR="005C5E68" w:rsidRPr="00767BCA">
          <w:rPr>
            <w:rStyle w:val="Hyperlink"/>
            <w:i/>
            <w:noProof/>
          </w:rPr>
          <w:t>1.2.5</w:t>
        </w:r>
        <w:r w:rsidR="005C5E68">
          <w:rPr>
            <w:rFonts w:eastAsiaTheme="minorEastAsia" w:cstheme="minorBidi"/>
            <w:smallCaps w:val="0"/>
            <w:noProof/>
            <w:color w:val="auto"/>
            <w:sz w:val="22"/>
            <w:szCs w:val="22"/>
            <w:lang w:eastAsia="en-GB"/>
          </w:rPr>
          <w:tab/>
        </w:r>
        <w:r w:rsidR="005C5E68" w:rsidRPr="00767BCA">
          <w:rPr>
            <w:rStyle w:val="Hyperlink"/>
            <w:i/>
            <w:noProof/>
          </w:rPr>
          <w:t>Consumption, Banks, and Estimated Emissions and Banks of HCFC-141b</w:t>
        </w:r>
        <w:r w:rsidR="005C5E68">
          <w:rPr>
            <w:noProof/>
            <w:webHidden/>
          </w:rPr>
          <w:tab/>
        </w:r>
        <w:r w:rsidR="005C5E68">
          <w:rPr>
            <w:noProof/>
            <w:webHidden/>
          </w:rPr>
          <w:fldChar w:fldCharType="begin"/>
        </w:r>
        <w:r w:rsidR="005C5E68">
          <w:rPr>
            <w:noProof/>
            <w:webHidden/>
          </w:rPr>
          <w:instrText xml:space="preserve"> PAGEREF _Toc104396652 \h </w:instrText>
        </w:r>
        <w:r w:rsidR="005C5E68">
          <w:rPr>
            <w:noProof/>
            <w:webHidden/>
          </w:rPr>
        </w:r>
        <w:r w:rsidR="005C5E68">
          <w:rPr>
            <w:noProof/>
            <w:webHidden/>
          </w:rPr>
          <w:fldChar w:fldCharType="separate"/>
        </w:r>
        <w:r w:rsidR="00FC0382">
          <w:rPr>
            <w:noProof/>
            <w:webHidden/>
          </w:rPr>
          <w:t>6</w:t>
        </w:r>
        <w:r w:rsidR="005C5E68">
          <w:rPr>
            <w:noProof/>
            <w:webHidden/>
          </w:rPr>
          <w:fldChar w:fldCharType="end"/>
        </w:r>
      </w:hyperlink>
    </w:p>
    <w:p w14:paraId="1BB5E65E" w14:textId="06D97806" w:rsidR="005C5E68" w:rsidRDefault="00143903">
      <w:pPr>
        <w:pStyle w:val="TOC2"/>
        <w:rPr>
          <w:rFonts w:eastAsiaTheme="minorEastAsia" w:cstheme="minorBidi"/>
          <w:smallCaps w:val="0"/>
          <w:noProof/>
          <w:color w:val="auto"/>
          <w:sz w:val="22"/>
          <w:szCs w:val="22"/>
          <w:lang w:eastAsia="en-GB"/>
        </w:rPr>
      </w:pPr>
      <w:hyperlink w:anchor="_Toc104396653" w:history="1">
        <w:r w:rsidR="005C5E68" w:rsidRPr="00767BCA">
          <w:rPr>
            <w:rStyle w:val="Hyperlink"/>
            <w:noProof/>
          </w:rPr>
          <w:t>1.3</w:t>
        </w:r>
        <w:r w:rsidR="005C5E68">
          <w:rPr>
            <w:rFonts w:eastAsiaTheme="minorEastAsia" w:cstheme="minorBidi"/>
            <w:smallCaps w:val="0"/>
            <w:noProof/>
            <w:color w:val="auto"/>
            <w:sz w:val="22"/>
            <w:szCs w:val="22"/>
            <w:lang w:eastAsia="en-GB"/>
          </w:rPr>
          <w:tab/>
        </w:r>
        <w:r w:rsidR="005C5E68" w:rsidRPr="00767BCA">
          <w:rPr>
            <w:rStyle w:val="Hyperlink"/>
            <w:noProof/>
          </w:rPr>
          <w:t>Response to Decision XXVIII/2: Decision related to the amendment phasing down HFCs</w:t>
        </w:r>
        <w:r w:rsidR="005C5E68">
          <w:rPr>
            <w:noProof/>
            <w:webHidden/>
          </w:rPr>
          <w:tab/>
        </w:r>
        <w:r w:rsidR="005C5E68">
          <w:rPr>
            <w:noProof/>
            <w:webHidden/>
          </w:rPr>
          <w:fldChar w:fldCharType="begin"/>
        </w:r>
        <w:r w:rsidR="005C5E68">
          <w:rPr>
            <w:noProof/>
            <w:webHidden/>
          </w:rPr>
          <w:instrText xml:space="preserve"> PAGEREF _Toc104396653 \h </w:instrText>
        </w:r>
        <w:r w:rsidR="005C5E68">
          <w:rPr>
            <w:noProof/>
            <w:webHidden/>
          </w:rPr>
        </w:r>
        <w:r w:rsidR="005C5E68">
          <w:rPr>
            <w:noProof/>
            <w:webHidden/>
          </w:rPr>
          <w:fldChar w:fldCharType="separate"/>
        </w:r>
        <w:r w:rsidR="00FC0382">
          <w:rPr>
            <w:noProof/>
            <w:webHidden/>
          </w:rPr>
          <w:t>7</w:t>
        </w:r>
        <w:r w:rsidR="005C5E68">
          <w:rPr>
            <w:noProof/>
            <w:webHidden/>
          </w:rPr>
          <w:fldChar w:fldCharType="end"/>
        </w:r>
      </w:hyperlink>
    </w:p>
    <w:p w14:paraId="2C535AB3" w14:textId="6B6E5CD4" w:rsidR="005C5E68" w:rsidRDefault="00143903">
      <w:pPr>
        <w:pStyle w:val="TOC2"/>
        <w:rPr>
          <w:rFonts w:eastAsiaTheme="minorEastAsia" w:cstheme="minorBidi"/>
          <w:smallCaps w:val="0"/>
          <w:noProof/>
          <w:color w:val="auto"/>
          <w:sz w:val="22"/>
          <w:szCs w:val="22"/>
          <w:lang w:eastAsia="en-GB"/>
        </w:rPr>
      </w:pPr>
      <w:hyperlink w:anchor="_Toc104396654" w:history="1">
        <w:r w:rsidR="005C5E68" w:rsidRPr="00767BCA">
          <w:rPr>
            <w:rStyle w:val="Hyperlink"/>
            <w:noProof/>
          </w:rPr>
          <w:t>1.4</w:t>
        </w:r>
        <w:r w:rsidR="005C5E68">
          <w:rPr>
            <w:rFonts w:eastAsiaTheme="minorEastAsia" w:cstheme="minorBidi"/>
            <w:smallCaps w:val="0"/>
            <w:noProof/>
            <w:color w:val="auto"/>
            <w:sz w:val="22"/>
            <w:szCs w:val="22"/>
            <w:lang w:eastAsia="en-GB"/>
          </w:rPr>
          <w:tab/>
        </w:r>
        <w:r w:rsidR="005C5E68" w:rsidRPr="00767BCA">
          <w:rPr>
            <w:rStyle w:val="Hyperlink"/>
            <w:noProof/>
          </w:rPr>
          <w:t xml:space="preserve"> Key Messages from the Technical Options Committees</w:t>
        </w:r>
        <w:r w:rsidR="005C5E68">
          <w:rPr>
            <w:noProof/>
            <w:webHidden/>
          </w:rPr>
          <w:tab/>
        </w:r>
        <w:r w:rsidR="005C5E68">
          <w:rPr>
            <w:noProof/>
            <w:webHidden/>
          </w:rPr>
          <w:fldChar w:fldCharType="begin"/>
        </w:r>
        <w:r w:rsidR="005C5E68">
          <w:rPr>
            <w:noProof/>
            <w:webHidden/>
          </w:rPr>
          <w:instrText xml:space="preserve"> PAGEREF _Toc104396654 \h </w:instrText>
        </w:r>
        <w:r w:rsidR="005C5E68">
          <w:rPr>
            <w:noProof/>
            <w:webHidden/>
          </w:rPr>
        </w:r>
        <w:r w:rsidR="005C5E68">
          <w:rPr>
            <w:noProof/>
            <w:webHidden/>
          </w:rPr>
          <w:fldChar w:fldCharType="separate"/>
        </w:r>
        <w:r w:rsidR="00FC0382">
          <w:rPr>
            <w:noProof/>
            <w:webHidden/>
          </w:rPr>
          <w:t>8</w:t>
        </w:r>
        <w:r w:rsidR="005C5E68">
          <w:rPr>
            <w:noProof/>
            <w:webHidden/>
          </w:rPr>
          <w:fldChar w:fldCharType="end"/>
        </w:r>
      </w:hyperlink>
    </w:p>
    <w:p w14:paraId="14CB417F" w14:textId="150F7B34" w:rsidR="005C5E68" w:rsidRDefault="00143903">
      <w:pPr>
        <w:pStyle w:val="TOC2"/>
        <w:rPr>
          <w:rFonts w:eastAsiaTheme="minorEastAsia" w:cstheme="minorBidi"/>
          <w:smallCaps w:val="0"/>
          <w:noProof/>
          <w:color w:val="auto"/>
          <w:sz w:val="22"/>
          <w:szCs w:val="22"/>
          <w:lang w:eastAsia="en-GB"/>
        </w:rPr>
      </w:pPr>
      <w:hyperlink w:anchor="_Toc104396655" w:history="1">
        <w:r w:rsidR="005C5E68" w:rsidRPr="00767BCA">
          <w:rPr>
            <w:rStyle w:val="Hyperlink"/>
            <w:i/>
            <w:noProof/>
          </w:rPr>
          <w:t>1.4.1</w:t>
        </w:r>
        <w:r w:rsidR="005C5E68">
          <w:rPr>
            <w:rFonts w:eastAsiaTheme="minorEastAsia" w:cstheme="minorBidi"/>
            <w:smallCaps w:val="0"/>
            <w:noProof/>
            <w:color w:val="auto"/>
            <w:sz w:val="22"/>
            <w:szCs w:val="22"/>
            <w:lang w:eastAsia="en-GB"/>
          </w:rPr>
          <w:tab/>
        </w:r>
        <w:r w:rsidR="005C5E68" w:rsidRPr="00767BCA">
          <w:rPr>
            <w:rStyle w:val="Hyperlink"/>
            <w:i/>
            <w:noProof/>
          </w:rPr>
          <w:t>FTOC</w:t>
        </w:r>
        <w:r w:rsidR="005C5E68">
          <w:rPr>
            <w:noProof/>
            <w:webHidden/>
          </w:rPr>
          <w:tab/>
        </w:r>
        <w:r w:rsidR="005C5E68">
          <w:rPr>
            <w:noProof/>
            <w:webHidden/>
          </w:rPr>
          <w:fldChar w:fldCharType="begin"/>
        </w:r>
        <w:r w:rsidR="005C5E68">
          <w:rPr>
            <w:noProof/>
            <w:webHidden/>
          </w:rPr>
          <w:instrText xml:space="preserve"> PAGEREF _Toc104396655 \h </w:instrText>
        </w:r>
        <w:r w:rsidR="005C5E68">
          <w:rPr>
            <w:noProof/>
            <w:webHidden/>
          </w:rPr>
        </w:r>
        <w:r w:rsidR="005C5E68">
          <w:rPr>
            <w:noProof/>
            <w:webHidden/>
          </w:rPr>
          <w:fldChar w:fldCharType="separate"/>
        </w:r>
        <w:r w:rsidR="00FC0382">
          <w:rPr>
            <w:noProof/>
            <w:webHidden/>
          </w:rPr>
          <w:t>8</w:t>
        </w:r>
        <w:r w:rsidR="005C5E68">
          <w:rPr>
            <w:noProof/>
            <w:webHidden/>
          </w:rPr>
          <w:fldChar w:fldCharType="end"/>
        </w:r>
      </w:hyperlink>
    </w:p>
    <w:p w14:paraId="549C6F04" w14:textId="38A75BC7" w:rsidR="005C5E68" w:rsidRDefault="00143903">
      <w:pPr>
        <w:pStyle w:val="TOC2"/>
        <w:rPr>
          <w:rFonts w:eastAsiaTheme="minorEastAsia" w:cstheme="minorBidi"/>
          <w:smallCaps w:val="0"/>
          <w:noProof/>
          <w:color w:val="auto"/>
          <w:sz w:val="22"/>
          <w:szCs w:val="22"/>
          <w:lang w:eastAsia="en-GB"/>
        </w:rPr>
      </w:pPr>
      <w:hyperlink w:anchor="_Toc104396656" w:history="1">
        <w:r w:rsidR="005C5E68" w:rsidRPr="00767BCA">
          <w:rPr>
            <w:rStyle w:val="Hyperlink"/>
            <w:i/>
            <w:noProof/>
          </w:rPr>
          <w:t>1.4.2</w:t>
        </w:r>
        <w:r w:rsidR="005C5E68">
          <w:rPr>
            <w:rFonts w:eastAsiaTheme="minorEastAsia" w:cstheme="minorBidi"/>
            <w:smallCaps w:val="0"/>
            <w:noProof/>
            <w:color w:val="auto"/>
            <w:sz w:val="22"/>
            <w:szCs w:val="22"/>
            <w:lang w:eastAsia="en-GB"/>
          </w:rPr>
          <w:tab/>
        </w:r>
        <w:r w:rsidR="005C5E68" w:rsidRPr="00767BCA">
          <w:rPr>
            <w:rStyle w:val="Hyperlink"/>
            <w:i/>
            <w:noProof/>
          </w:rPr>
          <w:t>HTOC</w:t>
        </w:r>
        <w:r w:rsidR="005C5E68">
          <w:rPr>
            <w:noProof/>
            <w:webHidden/>
          </w:rPr>
          <w:tab/>
        </w:r>
        <w:r w:rsidR="005C5E68">
          <w:rPr>
            <w:noProof/>
            <w:webHidden/>
          </w:rPr>
          <w:fldChar w:fldCharType="begin"/>
        </w:r>
        <w:r w:rsidR="005C5E68">
          <w:rPr>
            <w:noProof/>
            <w:webHidden/>
          </w:rPr>
          <w:instrText xml:space="preserve"> PAGEREF _Toc104396656 \h </w:instrText>
        </w:r>
        <w:r w:rsidR="005C5E68">
          <w:rPr>
            <w:noProof/>
            <w:webHidden/>
          </w:rPr>
        </w:r>
        <w:r w:rsidR="005C5E68">
          <w:rPr>
            <w:noProof/>
            <w:webHidden/>
          </w:rPr>
          <w:fldChar w:fldCharType="separate"/>
        </w:r>
        <w:r w:rsidR="00FC0382">
          <w:rPr>
            <w:noProof/>
            <w:webHidden/>
          </w:rPr>
          <w:t>9</w:t>
        </w:r>
        <w:r w:rsidR="005C5E68">
          <w:rPr>
            <w:noProof/>
            <w:webHidden/>
          </w:rPr>
          <w:fldChar w:fldCharType="end"/>
        </w:r>
      </w:hyperlink>
    </w:p>
    <w:p w14:paraId="105BCA0B" w14:textId="3C87C658" w:rsidR="005C5E68" w:rsidRDefault="00143903">
      <w:pPr>
        <w:pStyle w:val="TOC2"/>
        <w:rPr>
          <w:rFonts w:eastAsiaTheme="minorEastAsia" w:cstheme="minorBidi"/>
          <w:smallCaps w:val="0"/>
          <w:noProof/>
          <w:color w:val="auto"/>
          <w:sz w:val="22"/>
          <w:szCs w:val="22"/>
          <w:lang w:eastAsia="en-GB"/>
        </w:rPr>
      </w:pPr>
      <w:hyperlink w:anchor="_Toc104396657" w:history="1">
        <w:r w:rsidR="005C5E68" w:rsidRPr="00767BCA">
          <w:rPr>
            <w:rStyle w:val="Hyperlink"/>
            <w:i/>
            <w:noProof/>
          </w:rPr>
          <w:t>1.4.3</w:t>
        </w:r>
        <w:r w:rsidR="005C5E68">
          <w:rPr>
            <w:rFonts w:eastAsiaTheme="minorEastAsia" w:cstheme="minorBidi"/>
            <w:smallCaps w:val="0"/>
            <w:noProof/>
            <w:color w:val="auto"/>
            <w:sz w:val="22"/>
            <w:szCs w:val="22"/>
            <w:lang w:eastAsia="en-GB"/>
          </w:rPr>
          <w:tab/>
        </w:r>
        <w:r w:rsidR="005C5E68" w:rsidRPr="00767BCA">
          <w:rPr>
            <w:rStyle w:val="Hyperlink"/>
            <w:i/>
            <w:noProof/>
          </w:rPr>
          <w:t>MBTOC</w:t>
        </w:r>
        <w:r w:rsidR="005C5E68">
          <w:rPr>
            <w:noProof/>
            <w:webHidden/>
          </w:rPr>
          <w:tab/>
        </w:r>
        <w:r w:rsidR="005C5E68">
          <w:rPr>
            <w:noProof/>
            <w:webHidden/>
          </w:rPr>
          <w:fldChar w:fldCharType="begin"/>
        </w:r>
        <w:r w:rsidR="005C5E68">
          <w:rPr>
            <w:noProof/>
            <w:webHidden/>
          </w:rPr>
          <w:instrText xml:space="preserve"> PAGEREF _Toc104396657 \h </w:instrText>
        </w:r>
        <w:r w:rsidR="005C5E68">
          <w:rPr>
            <w:noProof/>
            <w:webHidden/>
          </w:rPr>
        </w:r>
        <w:r w:rsidR="005C5E68">
          <w:rPr>
            <w:noProof/>
            <w:webHidden/>
          </w:rPr>
          <w:fldChar w:fldCharType="separate"/>
        </w:r>
        <w:r w:rsidR="00FC0382">
          <w:rPr>
            <w:noProof/>
            <w:webHidden/>
          </w:rPr>
          <w:t>11</w:t>
        </w:r>
        <w:r w:rsidR="005C5E68">
          <w:rPr>
            <w:noProof/>
            <w:webHidden/>
          </w:rPr>
          <w:fldChar w:fldCharType="end"/>
        </w:r>
      </w:hyperlink>
    </w:p>
    <w:p w14:paraId="2C62B674" w14:textId="4F0D2E61" w:rsidR="005C5E68" w:rsidRDefault="00143903">
      <w:pPr>
        <w:pStyle w:val="TOC2"/>
        <w:rPr>
          <w:rFonts w:eastAsiaTheme="minorEastAsia" w:cstheme="minorBidi"/>
          <w:smallCaps w:val="0"/>
          <w:noProof/>
          <w:color w:val="auto"/>
          <w:sz w:val="22"/>
          <w:szCs w:val="22"/>
          <w:lang w:eastAsia="en-GB"/>
        </w:rPr>
      </w:pPr>
      <w:hyperlink w:anchor="_Toc104396658" w:history="1">
        <w:r w:rsidR="005C5E68" w:rsidRPr="00767BCA">
          <w:rPr>
            <w:rStyle w:val="Hyperlink"/>
            <w:i/>
            <w:noProof/>
          </w:rPr>
          <w:t>1.4.4</w:t>
        </w:r>
        <w:r w:rsidR="005C5E68">
          <w:rPr>
            <w:rFonts w:eastAsiaTheme="minorEastAsia" w:cstheme="minorBidi"/>
            <w:smallCaps w:val="0"/>
            <w:noProof/>
            <w:color w:val="auto"/>
            <w:sz w:val="22"/>
            <w:szCs w:val="22"/>
            <w:lang w:eastAsia="en-GB"/>
          </w:rPr>
          <w:tab/>
        </w:r>
        <w:r w:rsidR="005C5E68" w:rsidRPr="00767BCA">
          <w:rPr>
            <w:rStyle w:val="Hyperlink"/>
            <w:i/>
            <w:noProof/>
          </w:rPr>
          <w:t>MCTOC</w:t>
        </w:r>
        <w:r w:rsidR="005C5E68">
          <w:rPr>
            <w:noProof/>
            <w:webHidden/>
          </w:rPr>
          <w:tab/>
        </w:r>
        <w:r w:rsidR="005C5E68">
          <w:rPr>
            <w:noProof/>
            <w:webHidden/>
          </w:rPr>
          <w:fldChar w:fldCharType="begin"/>
        </w:r>
        <w:r w:rsidR="005C5E68">
          <w:rPr>
            <w:noProof/>
            <w:webHidden/>
          </w:rPr>
          <w:instrText xml:space="preserve"> PAGEREF _Toc104396658 \h </w:instrText>
        </w:r>
        <w:r w:rsidR="005C5E68">
          <w:rPr>
            <w:noProof/>
            <w:webHidden/>
          </w:rPr>
        </w:r>
        <w:r w:rsidR="005C5E68">
          <w:rPr>
            <w:noProof/>
            <w:webHidden/>
          </w:rPr>
          <w:fldChar w:fldCharType="separate"/>
        </w:r>
        <w:r w:rsidR="00FC0382">
          <w:rPr>
            <w:noProof/>
            <w:webHidden/>
          </w:rPr>
          <w:t>12</w:t>
        </w:r>
        <w:r w:rsidR="005C5E68">
          <w:rPr>
            <w:noProof/>
            <w:webHidden/>
          </w:rPr>
          <w:fldChar w:fldCharType="end"/>
        </w:r>
      </w:hyperlink>
    </w:p>
    <w:p w14:paraId="61FE4B4B" w14:textId="2385401F" w:rsidR="005C5E68" w:rsidRDefault="00143903">
      <w:pPr>
        <w:pStyle w:val="TOC2"/>
        <w:rPr>
          <w:rFonts w:eastAsiaTheme="minorEastAsia" w:cstheme="minorBidi"/>
          <w:smallCaps w:val="0"/>
          <w:noProof/>
          <w:color w:val="auto"/>
          <w:sz w:val="22"/>
          <w:szCs w:val="22"/>
          <w:lang w:eastAsia="en-GB"/>
        </w:rPr>
      </w:pPr>
      <w:hyperlink w:anchor="_Toc104396659" w:history="1">
        <w:r w:rsidR="005C5E68" w:rsidRPr="00767BCA">
          <w:rPr>
            <w:rStyle w:val="Hyperlink"/>
            <w:i/>
            <w:noProof/>
          </w:rPr>
          <w:t>1.4.5</w:t>
        </w:r>
        <w:r w:rsidR="005C5E68">
          <w:rPr>
            <w:rFonts w:eastAsiaTheme="minorEastAsia" w:cstheme="minorBidi"/>
            <w:smallCaps w:val="0"/>
            <w:noProof/>
            <w:color w:val="auto"/>
            <w:sz w:val="22"/>
            <w:szCs w:val="22"/>
            <w:lang w:eastAsia="en-GB"/>
          </w:rPr>
          <w:tab/>
        </w:r>
        <w:r w:rsidR="005C5E68" w:rsidRPr="00767BCA">
          <w:rPr>
            <w:rStyle w:val="Hyperlink"/>
            <w:i/>
            <w:noProof/>
          </w:rPr>
          <w:t>RTOC</w:t>
        </w:r>
        <w:r w:rsidR="005C5E68">
          <w:rPr>
            <w:noProof/>
            <w:webHidden/>
          </w:rPr>
          <w:tab/>
        </w:r>
        <w:r w:rsidR="005C5E68">
          <w:rPr>
            <w:noProof/>
            <w:webHidden/>
          </w:rPr>
          <w:fldChar w:fldCharType="begin"/>
        </w:r>
        <w:r w:rsidR="005C5E68">
          <w:rPr>
            <w:noProof/>
            <w:webHidden/>
          </w:rPr>
          <w:instrText xml:space="preserve"> PAGEREF _Toc104396659 \h </w:instrText>
        </w:r>
        <w:r w:rsidR="005C5E68">
          <w:rPr>
            <w:noProof/>
            <w:webHidden/>
          </w:rPr>
        </w:r>
        <w:r w:rsidR="005C5E68">
          <w:rPr>
            <w:noProof/>
            <w:webHidden/>
          </w:rPr>
          <w:fldChar w:fldCharType="separate"/>
        </w:r>
        <w:r w:rsidR="00FC0382">
          <w:rPr>
            <w:noProof/>
            <w:webHidden/>
          </w:rPr>
          <w:t>13</w:t>
        </w:r>
        <w:r w:rsidR="005C5E68">
          <w:rPr>
            <w:noProof/>
            <w:webHidden/>
          </w:rPr>
          <w:fldChar w:fldCharType="end"/>
        </w:r>
      </w:hyperlink>
    </w:p>
    <w:p w14:paraId="739B5D33" w14:textId="0848721E" w:rsidR="005C5E68" w:rsidRDefault="00143903" w:rsidP="005C5E68">
      <w:pPr>
        <w:pStyle w:val="TOC1"/>
        <w:rPr>
          <w:rFonts w:eastAsiaTheme="minorEastAsia" w:cstheme="minorBidi"/>
          <w:noProof/>
          <w:color w:val="auto"/>
          <w:sz w:val="22"/>
          <w:szCs w:val="22"/>
          <w:lang w:eastAsia="en-GB"/>
        </w:rPr>
      </w:pPr>
      <w:hyperlink w:anchor="_Toc104396660" w:history="1">
        <w:r w:rsidR="005C5E68" w:rsidRPr="00767BCA">
          <w:rPr>
            <w:rStyle w:val="Hyperlink"/>
            <w:noProof/>
          </w:rPr>
          <w:t>2</w:t>
        </w:r>
        <w:r w:rsidR="005C5E68">
          <w:rPr>
            <w:rFonts w:eastAsiaTheme="minorEastAsia" w:cstheme="minorBidi"/>
            <w:noProof/>
            <w:color w:val="auto"/>
            <w:sz w:val="22"/>
            <w:szCs w:val="22"/>
            <w:lang w:eastAsia="en-GB"/>
          </w:rPr>
          <w:tab/>
        </w:r>
        <w:r w:rsidR="005C5E68" w:rsidRPr="00767BCA">
          <w:rPr>
            <w:rStyle w:val="Hyperlink"/>
            <w:noProof/>
          </w:rPr>
          <w:t>Flexible and Rigid Foams TOC (FTOC) Progress Report</w:t>
        </w:r>
        <w:r w:rsidR="005C5E68">
          <w:rPr>
            <w:noProof/>
            <w:webHidden/>
          </w:rPr>
          <w:tab/>
        </w:r>
        <w:r w:rsidR="005C5E68">
          <w:rPr>
            <w:noProof/>
            <w:webHidden/>
          </w:rPr>
          <w:fldChar w:fldCharType="begin"/>
        </w:r>
        <w:r w:rsidR="005C5E68">
          <w:rPr>
            <w:noProof/>
            <w:webHidden/>
          </w:rPr>
          <w:instrText xml:space="preserve"> PAGEREF _Toc104396660 \h </w:instrText>
        </w:r>
        <w:r w:rsidR="005C5E68">
          <w:rPr>
            <w:noProof/>
            <w:webHidden/>
          </w:rPr>
        </w:r>
        <w:r w:rsidR="005C5E68">
          <w:rPr>
            <w:noProof/>
            <w:webHidden/>
          </w:rPr>
          <w:fldChar w:fldCharType="separate"/>
        </w:r>
        <w:r w:rsidR="00FC0382">
          <w:rPr>
            <w:noProof/>
            <w:webHidden/>
          </w:rPr>
          <w:t>15</w:t>
        </w:r>
        <w:r w:rsidR="005C5E68">
          <w:rPr>
            <w:noProof/>
            <w:webHidden/>
          </w:rPr>
          <w:fldChar w:fldCharType="end"/>
        </w:r>
      </w:hyperlink>
    </w:p>
    <w:p w14:paraId="2A536F61" w14:textId="0BB49F50" w:rsidR="005C5E68" w:rsidRDefault="00143903">
      <w:pPr>
        <w:pStyle w:val="TOC2"/>
        <w:rPr>
          <w:rFonts w:eastAsiaTheme="minorEastAsia" w:cstheme="minorBidi"/>
          <w:smallCaps w:val="0"/>
          <w:noProof/>
          <w:color w:val="auto"/>
          <w:sz w:val="22"/>
          <w:szCs w:val="22"/>
          <w:lang w:eastAsia="en-GB"/>
        </w:rPr>
      </w:pPr>
      <w:hyperlink w:anchor="_Toc104396661" w:history="1">
        <w:r w:rsidR="005C5E68" w:rsidRPr="00767BCA">
          <w:rPr>
            <w:rStyle w:val="Hyperlink"/>
            <w:noProof/>
          </w:rPr>
          <w:t>2.1</w:t>
        </w:r>
        <w:r w:rsidR="005C5E68">
          <w:rPr>
            <w:rFonts w:eastAsiaTheme="minorEastAsia" w:cstheme="minorBidi"/>
            <w:smallCaps w:val="0"/>
            <w:noProof/>
            <w:color w:val="auto"/>
            <w:sz w:val="22"/>
            <w:szCs w:val="22"/>
            <w:lang w:eastAsia="en-GB"/>
          </w:rPr>
          <w:tab/>
        </w:r>
        <w:r w:rsidR="005C5E68" w:rsidRPr="00767BCA">
          <w:rPr>
            <w:rStyle w:val="Hyperlink"/>
            <w:noProof/>
          </w:rPr>
          <w:t>Introduction</w:t>
        </w:r>
        <w:r w:rsidR="005C5E68">
          <w:rPr>
            <w:noProof/>
            <w:webHidden/>
          </w:rPr>
          <w:tab/>
        </w:r>
        <w:r w:rsidR="005C5E68">
          <w:rPr>
            <w:noProof/>
            <w:webHidden/>
          </w:rPr>
          <w:fldChar w:fldCharType="begin"/>
        </w:r>
        <w:r w:rsidR="005C5E68">
          <w:rPr>
            <w:noProof/>
            <w:webHidden/>
          </w:rPr>
          <w:instrText xml:space="preserve"> PAGEREF _Toc104396661 \h </w:instrText>
        </w:r>
        <w:r w:rsidR="005C5E68">
          <w:rPr>
            <w:noProof/>
            <w:webHidden/>
          </w:rPr>
        </w:r>
        <w:r w:rsidR="005C5E68">
          <w:rPr>
            <w:noProof/>
            <w:webHidden/>
          </w:rPr>
          <w:fldChar w:fldCharType="separate"/>
        </w:r>
        <w:r w:rsidR="00FC0382">
          <w:rPr>
            <w:noProof/>
            <w:webHidden/>
          </w:rPr>
          <w:t>15</w:t>
        </w:r>
        <w:r w:rsidR="005C5E68">
          <w:rPr>
            <w:noProof/>
            <w:webHidden/>
          </w:rPr>
          <w:fldChar w:fldCharType="end"/>
        </w:r>
      </w:hyperlink>
    </w:p>
    <w:p w14:paraId="5DE4ADD5" w14:textId="4A9DCD96" w:rsidR="005C5E68" w:rsidRDefault="00143903">
      <w:pPr>
        <w:pStyle w:val="TOC2"/>
        <w:rPr>
          <w:rFonts w:eastAsiaTheme="minorEastAsia" w:cstheme="minorBidi"/>
          <w:smallCaps w:val="0"/>
          <w:noProof/>
          <w:color w:val="auto"/>
          <w:sz w:val="22"/>
          <w:szCs w:val="22"/>
          <w:lang w:eastAsia="en-GB"/>
        </w:rPr>
      </w:pPr>
      <w:hyperlink w:anchor="_Toc104396662" w:history="1">
        <w:r w:rsidR="005C5E68" w:rsidRPr="00767BCA">
          <w:rPr>
            <w:rStyle w:val="Hyperlink"/>
            <w:noProof/>
          </w:rPr>
          <w:t>2.2</w:t>
        </w:r>
        <w:r w:rsidR="005C5E68">
          <w:rPr>
            <w:rFonts w:eastAsiaTheme="minorEastAsia" w:cstheme="minorBidi"/>
            <w:smallCaps w:val="0"/>
            <w:noProof/>
            <w:color w:val="auto"/>
            <w:sz w:val="22"/>
            <w:szCs w:val="22"/>
            <w:lang w:eastAsia="en-GB"/>
          </w:rPr>
          <w:tab/>
        </w:r>
        <w:r w:rsidR="005C5E68" w:rsidRPr="00767BCA">
          <w:rPr>
            <w:rStyle w:val="Hyperlink"/>
            <w:noProof/>
          </w:rPr>
          <w:t>Global Foams Market</w:t>
        </w:r>
        <w:r w:rsidR="005C5E68">
          <w:rPr>
            <w:noProof/>
            <w:webHidden/>
          </w:rPr>
          <w:tab/>
        </w:r>
        <w:r w:rsidR="005C5E68">
          <w:rPr>
            <w:noProof/>
            <w:webHidden/>
          </w:rPr>
          <w:fldChar w:fldCharType="begin"/>
        </w:r>
        <w:r w:rsidR="005C5E68">
          <w:rPr>
            <w:noProof/>
            <w:webHidden/>
          </w:rPr>
          <w:instrText xml:space="preserve"> PAGEREF _Toc104396662 \h </w:instrText>
        </w:r>
        <w:r w:rsidR="005C5E68">
          <w:rPr>
            <w:noProof/>
            <w:webHidden/>
          </w:rPr>
        </w:r>
        <w:r w:rsidR="005C5E68">
          <w:rPr>
            <w:noProof/>
            <w:webHidden/>
          </w:rPr>
          <w:fldChar w:fldCharType="separate"/>
        </w:r>
        <w:r w:rsidR="00FC0382">
          <w:rPr>
            <w:noProof/>
            <w:webHidden/>
          </w:rPr>
          <w:t>15</w:t>
        </w:r>
        <w:r w:rsidR="005C5E68">
          <w:rPr>
            <w:noProof/>
            <w:webHidden/>
          </w:rPr>
          <w:fldChar w:fldCharType="end"/>
        </w:r>
      </w:hyperlink>
    </w:p>
    <w:p w14:paraId="28EDBD2A" w14:textId="3EE264D6" w:rsidR="005C5E68" w:rsidRDefault="00143903">
      <w:pPr>
        <w:pStyle w:val="TOC2"/>
        <w:rPr>
          <w:rFonts w:eastAsiaTheme="minorEastAsia" w:cstheme="minorBidi"/>
          <w:smallCaps w:val="0"/>
          <w:noProof/>
          <w:color w:val="auto"/>
          <w:sz w:val="22"/>
          <w:szCs w:val="22"/>
          <w:lang w:eastAsia="en-GB"/>
        </w:rPr>
      </w:pPr>
      <w:hyperlink w:anchor="_Toc104396663" w:history="1">
        <w:r w:rsidR="005C5E68" w:rsidRPr="00767BCA">
          <w:rPr>
            <w:rStyle w:val="Hyperlink"/>
            <w:i/>
            <w:noProof/>
          </w:rPr>
          <w:t>2.2.1</w:t>
        </w:r>
        <w:r w:rsidR="005C5E68">
          <w:rPr>
            <w:rFonts w:eastAsiaTheme="minorEastAsia" w:cstheme="minorBidi"/>
            <w:smallCaps w:val="0"/>
            <w:noProof/>
            <w:color w:val="auto"/>
            <w:sz w:val="22"/>
            <w:szCs w:val="22"/>
            <w:lang w:eastAsia="en-GB"/>
          </w:rPr>
          <w:tab/>
        </w:r>
        <w:r w:rsidR="005C5E68" w:rsidRPr="00767BCA">
          <w:rPr>
            <w:rStyle w:val="Hyperlink"/>
            <w:i/>
            <w:noProof/>
          </w:rPr>
          <w:t>Major Issues Influencing the Global Foams Market</w:t>
        </w:r>
        <w:r w:rsidR="005C5E68">
          <w:rPr>
            <w:noProof/>
            <w:webHidden/>
          </w:rPr>
          <w:tab/>
        </w:r>
        <w:r w:rsidR="005C5E68">
          <w:rPr>
            <w:noProof/>
            <w:webHidden/>
          </w:rPr>
          <w:fldChar w:fldCharType="begin"/>
        </w:r>
        <w:r w:rsidR="005C5E68">
          <w:rPr>
            <w:noProof/>
            <w:webHidden/>
          </w:rPr>
          <w:instrText xml:space="preserve"> PAGEREF _Toc104396663 \h </w:instrText>
        </w:r>
        <w:r w:rsidR="005C5E68">
          <w:rPr>
            <w:noProof/>
            <w:webHidden/>
          </w:rPr>
        </w:r>
        <w:r w:rsidR="005C5E68">
          <w:rPr>
            <w:noProof/>
            <w:webHidden/>
          </w:rPr>
          <w:fldChar w:fldCharType="separate"/>
        </w:r>
        <w:r w:rsidR="00FC0382">
          <w:rPr>
            <w:noProof/>
            <w:webHidden/>
          </w:rPr>
          <w:t>16</w:t>
        </w:r>
        <w:r w:rsidR="005C5E68">
          <w:rPr>
            <w:noProof/>
            <w:webHidden/>
          </w:rPr>
          <w:fldChar w:fldCharType="end"/>
        </w:r>
      </w:hyperlink>
    </w:p>
    <w:p w14:paraId="437EC69B" w14:textId="43613A85" w:rsidR="005C5E68" w:rsidRDefault="00143903">
      <w:pPr>
        <w:pStyle w:val="TOC2"/>
        <w:rPr>
          <w:rFonts w:eastAsiaTheme="minorEastAsia" w:cstheme="minorBidi"/>
          <w:smallCaps w:val="0"/>
          <w:noProof/>
          <w:color w:val="auto"/>
          <w:sz w:val="22"/>
          <w:szCs w:val="22"/>
          <w:lang w:eastAsia="en-GB"/>
        </w:rPr>
      </w:pPr>
      <w:hyperlink w:anchor="_Toc104396664" w:history="1">
        <w:r w:rsidR="005C5E68" w:rsidRPr="00767BCA">
          <w:rPr>
            <w:rStyle w:val="Hyperlink"/>
            <w:noProof/>
          </w:rPr>
          <w:t>2.3</w:t>
        </w:r>
        <w:r w:rsidR="005C5E68">
          <w:rPr>
            <w:rFonts w:eastAsiaTheme="minorEastAsia" w:cstheme="minorBidi"/>
            <w:smallCaps w:val="0"/>
            <w:noProof/>
            <w:color w:val="auto"/>
            <w:sz w:val="22"/>
            <w:szCs w:val="22"/>
            <w:lang w:eastAsia="en-GB"/>
          </w:rPr>
          <w:tab/>
        </w:r>
        <w:r w:rsidR="005C5E68" w:rsidRPr="00767BCA">
          <w:rPr>
            <w:rStyle w:val="Hyperlink"/>
            <w:noProof/>
          </w:rPr>
          <w:t>Factors Impacting Blowing Agent Choice</w:t>
        </w:r>
        <w:r w:rsidR="005C5E68">
          <w:rPr>
            <w:noProof/>
            <w:webHidden/>
          </w:rPr>
          <w:tab/>
        </w:r>
        <w:r w:rsidR="005C5E68">
          <w:rPr>
            <w:noProof/>
            <w:webHidden/>
          </w:rPr>
          <w:fldChar w:fldCharType="begin"/>
        </w:r>
        <w:r w:rsidR="005C5E68">
          <w:rPr>
            <w:noProof/>
            <w:webHidden/>
          </w:rPr>
          <w:instrText xml:space="preserve"> PAGEREF _Toc104396664 \h </w:instrText>
        </w:r>
        <w:r w:rsidR="005C5E68">
          <w:rPr>
            <w:noProof/>
            <w:webHidden/>
          </w:rPr>
        </w:r>
        <w:r w:rsidR="005C5E68">
          <w:rPr>
            <w:noProof/>
            <w:webHidden/>
          </w:rPr>
          <w:fldChar w:fldCharType="separate"/>
        </w:r>
        <w:r w:rsidR="00FC0382">
          <w:rPr>
            <w:noProof/>
            <w:webHidden/>
          </w:rPr>
          <w:t>17</w:t>
        </w:r>
        <w:r w:rsidR="005C5E68">
          <w:rPr>
            <w:noProof/>
            <w:webHidden/>
          </w:rPr>
          <w:fldChar w:fldCharType="end"/>
        </w:r>
      </w:hyperlink>
    </w:p>
    <w:p w14:paraId="7195F3AF" w14:textId="4721F5BB" w:rsidR="005C5E68" w:rsidRDefault="00143903">
      <w:pPr>
        <w:pStyle w:val="TOC2"/>
        <w:rPr>
          <w:rFonts w:eastAsiaTheme="minorEastAsia" w:cstheme="minorBidi"/>
          <w:smallCaps w:val="0"/>
          <w:noProof/>
          <w:color w:val="auto"/>
          <w:sz w:val="22"/>
          <w:szCs w:val="22"/>
          <w:lang w:eastAsia="en-GB"/>
        </w:rPr>
      </w:pPr>
      <w:hyperlink w:anchor="_Toc104396665" w:history="1">
        <w:r w:rsidR="005C5E68" w:rsidRPr="00767BCA">
          <w:rPr>
            <w:rStyle w:val="Hyperlink"/>
            <w:i/>
            <w:noProof/>
          </w:rPr>
          <w:t>2.3.1</w:t>
        </w:r>
        <w:r w:rsidR="005C5E68">
          <w:rPr>
            <w:rFonts w:eastAsiaTheme="minorEastAsia" w:cstheme="minorBidi"/>
            <w:smallCaps w:val="0"/>
            <w:noProof/>
            <w:color w:val="auto"/>
            <w:sz w:val="22"/>
            <w:szCs w:val="22"/>
            <w:lang w:eastAsia="en-GB"/>
          </w:rPr>
          <w:tab/>
        </w:r>
        <w:r w:rsidR="005C5E68" w:rsidRPr="00767BCA">
          <w:rPr>
            <w:rStyle w:val="Hyperlink"/>
            <w:i/>
            <w:noProof/>
          </w:rPr>
          <w:t>Low-Pressure Spray Foam</w:t>
        </w:r>
        <w:r w:rsidR="005C5E68">
          <w:rPr>
            <w:noProof/>
            <w:webHidden/>
          </w:rPr>
          <w:tab/>
        </w:r>
        <w:r w:rsidR="005C5E68">
          <w:rPr>
            <w:noProof/>
            <w:webHidden/>
          </w:rPr>
          <w:fldChar w:fldCharType="begin"/>
        </w:r>
        <w:r w:rsidR="005C5E68">
          <w:rPr>
            <w:noProof/>
            <w:webHidden/>
          </w:rPr>
          <w:instrText xml:space="preserve"> PAGEREF _Toc104396665 \h </w:instrText>
        </w:r>
        <w:r w:rsidR="005C5E68">
          <w:rPr>
            <w:noProof/>
            <w:webHidden/>
          </w:rPr>
        </w:r>
        <w:r w:rsidR="005C5E68">
          <w:rPr>
            <w:noProof/>
            <w:webHidden/>
          </w:rPr>
          <w:fldChar w:fldCharType="separate"/>
        </w:r>
        <w:r w:rsidR="00FC0382">
          <w:rPr>
            <w:noProof/>
            <w:webHidden/>
          </w:rPr>
          <w:t>18</w:t>
        </w:r>
        <w:r w:rsidR="005C5E68">
          <w:rPr>
            <w:noProof/>
            <w:webHidden/>
          </w:rPr>
          <w:fldChar w:fldCharType="end"/>
        </w:r>
      </w:hyperlink>
    </w:p>
    <w:p w14:paraId="20B27670" w14:textId="41DB6FC4" w:rsidR="005C5E68" w:rsidRDefault="00143903">
      <w:pPr>
        <w:pStyle w:val="TOC2"/>
        <w:rPr>
          <w:rFonts w:eastAsiaTheme="minorEastAsia" w:cstheme="minorBidi"/>
          <w:smallCaps w:val="0"/>
          <w:noProof/>
          <w:color w:val="auto"/>
          <w:sz w:val="22"/>
          <w:szCs w:val="22"/>
          <w:lang w:eastAsia="en-GB"/>
        </w:rPr>
      </w:pPr>
      <w:hyperlink w:anchor="_Toc104396666" w:history="1">
        <w:r w:rsidR="005C5E68" w:rsidRPr="00767BCA">
          <w:rPr>
            <w:rStyle w:val="Hyperlink"/>
            <w:noProof/>
          </w:rPr>
          <w:t>2.4</w:t>
        </w:r>
        <w:r w:rsidR="005C5E68">
          <w:rPr>
            <w:rFonts w:eastAsiaTheme="minorEastAsia" w:cstheme="minorBidi"/>
            <w:smallCaps w:val="0"/>
            <w:noProof/>
            <w:color w:val="auto"/>
            <w:sz w:val="22"/>
            <w:szCs w:val="22"/>
            <w:lang w:eastAsia="en-GB"/>
          </w:rPr>
          <w:tab/>
        </w:r>
        <w:r w:rsidR="005C5E68" w:rsidRPr="00767BCA">
          <w:rPr>
            <w:rStyle w:val="Hyperlink"/>
            <w:noProof/>
          </w:rPr>
          <w:t>HFOs and HCFOs in Current Use</w:t>
        </w:r>
        <w:r w:rsidR="005C5E68">
          <w:rPr>
            <w:noProof/>
            <w:webHidden/>
          </w:rPr>
          <w:tab/>
        </w:r>
        <w:r w:rsidR="005C5E68">
          <w:rPr>
            <w:noProof/>
            <w:webHidden/>
          </w:rPr>
          <w:fldChar w:fldCharType="begin"/>
        </w:r>
        <w:r w:rsidR="005C5E68">
          <w:rPr>
            <w:noProof/>
            <w:webHidden/>
          </w:rPr>
          <w:instrText xml:space="preserve"> PAGEREF _Toc104396666 \h </w:instrText>
        </w:r>
        <w:r w:rsidR="005C5E68">
          <w:rPr>
            <w:noProof/>
            <w:webHidden/>
          </w:rPr>
        </w:r>
        <w:r w:rsidR="005C5E68">
          <w:rPr>
            <w:noProof/>
            <w:webHidden/>
          </w:rPr>
          <w:fldChar w:fldCharType="separate"/>
        </w:r>
        <w:r w:rsidR="00FC0382">
          <w:rPr>
            <w:noProof/>
            <w:webHidden/>
          </w:rPr>
          <w:t>18</w:t>
        </w:r>
        <w:r w:rsidR="005C5E68">
          <w:rPr>
            <w:noProof/>
            <w:webHidden/>
          </w:rPr>
          <w:fldChar w:fldCharType="end"/>
        </w:r>
      </w:hyperlink>
    </w:p>
    <w:p w14:paraId="797675E2" w14:textId="4232B509" w:rsidR="005C5E68" w:rsidRDefault="00143903">
      <w:pPr>
        <w:pStyle w:val="TOC2"/>
        <w:rPr>
          <w:rFonts w:eastAsiaTheme="minorEastAsia" w:cstheme="minorBidi"/>
          <w:smallCaps w:val="0"/>
          <w:noProof/>
          <w:color w:val="auto"/>
          <w:sz w:val="22"/>
          <w:szCs w:val="22"/>
          <w:lang w:eastAsia="en-GB"/>
        </w:rPr>
      </w:pPr>
      <w:hyperlink w:anchor="_Toc104396667" w:history="1">
        <w:r w:rsidR="005C5E68" w:rsidRPr="00767BCA">
          <w:rPr>
            <w:rStyle w:val="Hyperlink"/>
            <w:i/>
            <w:noProof/>
          </w:rPr>
          <w:t>2.4.1</w:t>
        </w:r>
        <w:r w:rsidR="005C5E68">
          <w:rPr>
            <w:rFonts w:eastAsiaTheme="minorEastAsia" w:cstheme="minorBidi"/>
            <w:smallCaps w:val="0"/>
            <w:noProof/>
            <w:color w:val="auto"/>
            <w:sz w:val="22"/>
            <w:szCs w:val="22"/>
            <w:lang w:eastAsia="en-GB"/>
          </w:rPr>
          <w:tab/>
        </w:r>
        <w:r w:rsidR="005C5E68" w:rsidRPr="00767BCA">
          <w:rPr>
            <w:rStyle w:val="Hyperlink"/>
            <w:i/>
            <w:noProof/>
          </w:rPr>
          <w:t>Extruded Polystyrene (XPS) Foam Blowing Agents</w:t>
        </w:r>
        <w:r w:rsidR="005C5E68">
          <w:rPr>
            <w:noProof/>
            <w:webHidden/>
          </w:rPr>
          <w:tab/>
        </w:r>
        <w:r w:rsidR="005C5E68">
          <w:rPr>
            <w:noProof/>
            <w:webHidden/>
          </w:rPr>
          <w:fldChar w:fldCharType="begin"/>
        </w:r>
        <w:r w:rsidR="005C5E68">
          <w:rPr>
            <w:noProof/>
            <w:webHidden/>
          </w:rPr>
          <w:instrText xml:space="preserve"> PAGEREF _Toc104396667 \h </w:instrText>
        </w:r>
        <w:r w:rsidR="005C5E68">
          <w:rPr>
            <w:noProof/>
            <w:webHidden/>
          </w:rPr>
        </w:r>
        <w:r w:rsidR="005C5E68">
          <w:rPr>
            <w:noProof/>
            <w:webHidden/>
          </w:rPr>
          <w:fldChar w:fldCharType="separate"/>
        </w:r>
        <w:r w:rsidR="00FC0382">
          <w:rPr>
            <w:noProof/>
            <w:webHidden/>
          </w:rPr>
          <w:t>19</w:t>
        </w:r>
        <w:r w:rsidR="005C5E68">
          <w:rPr>
            <w:noProof/>
            <w:webHidden/>
          </w:rPr>
          <w:fldChar w:fldCharType="end"/>
        </w:r>
      </w:hyperlink>
    </w:p>
    <w:p w14:paraId="50955F14" w14:textId="7D87BB7F" w:rsidR="005C5E68" w:rsidRDefault="00143903" w:rsidP="005C5E68">
      <w:pPr>
        <w:pStyle w:val="TOC1"/>
        <w:rPr>
          <w:rFonts w:eastAsiaTheme="minorEastAsia" w:cstheme="minorBidi"/>
          <w:noProof/>
          <w:color w:val="auto"/>
          <w:sz w:val="22"/>
          <w:szCs w:val="22"/>
          <w:lang w:eastAsia="en-GB"/>
        </w:rPr>
      </w:pPr>
      <w:hyperlink w:anchor="_Toc104396668" w:history="1">
        <w:r w:rsidR="005C5E68" w:rsidRPr="00767BCA">
          <w:rPr>
            <w:rStyle w:val="Hyperlink"/>
            <w:noProof/>
          </w:rPr>
          <w:t>3.</w:t>
        </w:r>
        <w:r w:rsidR="005C5E68">
          <w:rPr>
            <w:rFonts w:eastAsiaTheme="minorEastAsia" w:cstheme="minorBidi"/>
            <w:noProof/>
            <w:color w:val="auto"/>
            <w:sz w:val="22"/>
            <w:szCs w:val="22"/>
            <w:lang w:eastAsia="en-GB"/>
          </w:rPr>
          <w:tab/>
        </w:r>
        <w:r w:rsidR="005C5E68" w:rsidRPr="00767BCA">
          <w:rPr>
            <w:rStyle w:val="Hyperlink"/>
            <w:noProof/>
          </w:rPr>
          <w:t>Halons TOC (HTOC) Progress Report</w:t>
        </w:r>
        <w:r w:rsidR="005C5E68">
          <w:rPr>
            <w:noProof/>
            <w:webHidden/>
          </w:rPr>
          <w:tab/>
        </w:r>
        <w:r w:rsidR="005C5E68">
          <w:rPr>
            <w:noProof/>
            <w:webHidden/>
          </w:rPr>
          <w:fldChar w:fldCharType="begin"/>
        </w:r>
        <w:r w:rsidR="005C5E68">
          <w:rPr>
            <w:noProof/>
            <w:webHidden/>
          </w:rPr>
          <w:instrText xml:space="preserve"> PAGEREF _Toc104396668 \h </w:instrText>
        </w:r>
        <w:r w:rsidR="005C5E68">
          <w:rPr>
            <w:noProof/>
            <w:webHidden/>
          </w:rPr>
        </w:r>
        <w:r w:rsidR="005C5E68">
          <w:rPr>
            <w:noProof/>
            <w:webHidden/>
          </w:rPr>
          <w:fldChar w:fldCharType="separate"/>
        </w:r>
        <w:r w:rsidR="00FC0382">
          <w:rPr>
            <w:noProof/>
            <w:webHidden/>
          </w:rPr>
          <w:t>21</w:t>
        </w:r>
        <w:r w:rsidR="005C5E68">
          <w:rPr>
            <w:noProof/>
            <w:webHidden/>
          </w:rPr>
          <w:fldChar w:fldCharType="end"/>
        </w:r>
      </w:hyperlink>
    </w:p>
    <w:p w14:paraId="0D6D6566" w14:textId="025F4168" w:rsidR="005C5E68" w:rsidRDefault="00143903">
      <w:pPr>
        <w:pStyle w:val="TOC2"/>
        <w:rPr>
          <w:rFonts w:eastAsiaTheme="minorEastAsia" w:cstheme="minorBidi"/>
          <w:smallCaps w:val="0"/>
          <w:noProof/>
          <w:color w:val="auto"/>
          <w:sz w:val="22"/>
          <w:szCs w:val="22"/>
          <w:lang w:eastAsia="en-GB"/>
        </w:rPr>
      </w:pPr>
      <w:hyperlink w:anchor="_Toc104396669" w:history="1">
        <w:r w:rsidR="005C5E68" w:rsidRPr="00767BCA">
          <w:rPr>
            <w:rStyle w:val="Hyperlink"/>
            <w:noProof/>
          </w:rPr>
          <w:t>3.1</w:t>
        </w:r>
        <w:r w:rsidR="005C5E68">
          <w:rPr>
            <w:rFonts w:eastAsiaTheme="minorEastAsia" w:cstheme="minorBidi"/>
            <w:smallCaps w:val="0"/>
            <w:noProof/>
            <w:color w:val="auto"/>
            <w:sz w:val="22"/>
            <w:szCs w:val="22"/>
            <w:lang w:eastAsia="en-GB"/>
          </w:rPr>
          <w:tab/>
        </w:r>
        <w:r w:rsidR="005C5E68" w:rsidRPr="00767BCA">
          <w:rPr>
            <w:rStyle w:val="Hyperlink"/>
            <w:noProof/>
          </w:rPr>
          <w:t>Introduction</w:t>
        </w:r>
        <w:r w:rsidR="005C5E68">
          <w:rPr>
            <w:noProof/>
            <w:webHidden/>
          </w:rPr>
          <w:tab/>
        </w:r>
        <w:r w:rsidR="005C5E68">
          <w:rPr>
            <w:noProof/>
            <w:webHidden/>
          </w:rPr>
          <w:fldChar w:fldCharType="begin"/>
        </w:r>
        <w:r w:rsidR="005C5E68">
          <w:rPr>
            <w:noProof/>
            <w:webHidden/>
          </w:rPr>
          <w:instrText xml:space="preserve"> PAGEREF _Toc104396669 \h </w:instrText>
        </w:r>
        <w:r w:rsidR="005C5E68">
          <w:rPr>
            <w:noProof/>
            <w:webHidden/>
          </w:rPr>
        </w:r>
        <w:r w:rsidR="005C5E68">
          <w:rPr>
            <w:noProof/>
            <w:webHidden/>
          </w:rPr>
          <w:fldChar w:fldCharType="separate"/>
        </w:r>
        <w:r w:rsidR="00FC0382">
          <w:rPr>
            <w:noProof/>
            <w:webHidden/>
          </w:rPr>
          <w:t>21</w:t>
        </w:r>
        <w:r w:rsidR="005C5E68">
          <w:rPr>
            <w:noProof/>
            <w:webHidden/>
          </w:rPr>
          <w:fldChar w:fldCharType="end"/>
        </w:r>
      </w:hyperlink>
    </w:p>
    <w:p w14:paraId="38D7B972" w14:textId="54A4330A" w:rsidR="005C5E68" w:rsidRDefault="00143903">
      <w:pPr>
        <w:pStyle w:val="TOC2"/>
        <w:rPr>
          <w:rFonts w:eastAsiaTheme="minorEastAsia" w:cstheme="minorBidi"/>
          <w:smallCaps w:val="0"/>
          <w:noProof/>
          <w:color w:val="auto"/>
          <w:sz w:val="22"/>
          <w:szCs w:val="22"/>
          <w:lang w:eastAsia="en-GB"/>
        </w:rPr>
      </w:pPr>
      <w:hyperlink w:anchor="_Toc104396670" w:history="1">
        <w:r w:rsidR="005C5E68" w:rsidRPr="00767BCA">
          <w:rPr>
            <w:rStyle w:val="Hyperlink"/>
            <w:noProof/>
          </w:rPr>
          <w:t>3.2</w:t>
        </w:r>
        <w:r w:rsidR="005C5E68">
          <w:rPr>
            <w:rFonts w:eastAsiaTheme="minorEastAsia" w:cstheme="minorBidi"/>
            <w:smallCaps w:val="0"/>
            <w:noProof/>
            <w:color w:val="auto"/>
            <w:sz w:val="22"/>
            <w:szCs w:val="22"/>
            <w:lang w:eastAsia="en-GB"/>
          </w:rPr>
          <w:tab/>
        </w:r>
        <w:r w:rsidR="005C5E68" w:rsidRPr="00767BCA">
          <w:rPr>
            <w:rStyle w:val="Hyperlink"/>
            <w:noProof/>
          </w:rPr>
          <w:t>Effect of the HFC Production Phase-down</w:t>
        </w:r>
        <w:r w:rsidR="005C5E68">
          <w:rPr>
            <w:noProof/>
            <w:webHidden/>
          </w:rPr>
          <w:tab/>
        </w:r>
        <w:r w:rsidR="005C5E68">
          <w:rPr>
            <w:noProof/>
            <w:webHidden/>
          </w:rPr>
          <w:fldChar w:fldCharType="begin"/>
        </w:r>
        <w:r w:rsidR="005C5E68">
          <w:rPr>
            <w:noProof/>
            <w:webHidden/>
          </w:rPr>
          <w:instrText xml:space="preserve"> PAGEREF _Toc104396670 \h </w:instrText>
        </w:r>
        <w:r w:rsidR="005C5E68">
          <w:rPr>
            <w:noProof/>
            <w:webHidden/>
          </w:rPr>
        </w:r>
        <w:r w:rsidR="005C5E68">
          <w:rPr>
            <w:noProof/>
            <w:webHidden/>
          </w:rPr>
          <w:fldChar w:fldCharType="separate"/>
        </w:r>
        <w:r w:rsidR="00FC0382">
          <w:rPr>
            <w:noProof/>
            <w:webHidden/>
          </w:rPr>
          <w:t>21</w:t>
        </w:r>
        <w:r w:rsidR="005C5E68">
          <w:rPr>
            <w:noProof/>
            <w:webHidden/>
          </w:rPr>
          <w:fldChar w:fldCharType="end"/>
        </w:r>
      </w:hyperlink>
    </w:p>
    <w:p w14:paraId="46F21784" w14:textId="4E407B0E" w:rsidR="005C5E68" w:rsidRDefault="00143903">
      <w:pPr>
        <w:pStyle w:val="TOC2"/>
        <w:rPr>
          <w:rFonts w:eastAsiaTheme="minorEastAsia" w:cstheme="minorBidi"/>
          <w:smallCaps w:val="0"/>
          <w:noProof/>
          <w:color w:val="auto"/>
          <w:sz w:val="22"/>
          <w:szCs w:val="22"/>
          <w:lang w:eastAsia="en-GB"/>
        </w:rPr>
      </w:pPr>
      <w:hyperlink w:anchor="_Toc104396671" w:history="1">
        <w:r w:rsidR="005C5E68" w:rsidRPr="00767BCA">
          <w:rPr>
            <w:rStyle w:val="Hyperlink"/>
            <w:noProof/>
          </w:rPr>
          <w:t>3.3</w:t>
        </w:r>
        <w:r w:rsidR="005C5E68">
          <w:rPr>
            <w:rFonts w:eastAsiaTheme="minorEastAsia" w:cstheme="minorBidi"/>
            <w:smallCaps w:val="0"/>
            <w:noProof/>
            <w:color w:val="auto"/>
            <w:sz w:val="22"/>
            <w:szCs w:val="22"/>
            <w:lang w:eastAsia="en-GB"/>
          </w:rPr>
          <w:tab/>
        </w:r>
        <w:r w:rsidR="005C5E68" w:rsidRPr="00767BCA">
          <w:rPr>
            <w:rStyle w:val="Hyperlink"/>
            <w:noProof/>
          </w:rPr>
          <w:t>Availability and Quality of Recycled Halon 1301</w:t>
        </w:r>
        <w:r w:rsidR="005C5E68">
          <w:rPr>
            <w:noProof/>
            <w:webHidden/>
          </w:rPr>
          <w:tab/>
        </w:r>
        <w:r w:rsidR="005C5E68">
          <w:rPr>
            <w:noProof/>
            <w:webHidden/>
          </w:rPr>
          <w:fldChar w:fldCharType="begin"/>
        </w:r>
        <w:r w:rsidR="005C5E68">
          <w:rPr>
            <w:noProof/>
            <w:webHidden/>
          </w:rPr>
          <w:instrText xml:space="preserve"> PAGEREF _Toc104396671 \h </w:instrText>
        </w:r>
        <w:r w:rsidR="005C5E68">
          <w:rPr>
            <w:noProof/>
            <w:webHidden/>
          </w:rPr>
        </w:r>
        <w:r w:rsidR="005C5E68">
          <w:rPr>
            <w:noProof/>
            <w:webHidden/>
          </w:rPr>
          <w:fldChar w:fldCharType="separate"/>
        </w:r>
        <w:r w:rsidR="00FC0382">
          <w:rPr>
            <w:noProof/>
            <w:webHidden/>
          </w:rPr>
          <w:t>21</w:t>
        </w:r>
        <w:r w:rsidR="005C5E68">
          <w:rPr>
            <w:noProof/>
            <w:webHidden/>
          </w:rPr>
          <w:fldChar w:fldCharType="end"/>
        </w:r>
      </w:hyperlink>
    </w:p>
    <w:p w14:paraId="507CF945" w14:textId="7B4CAC7C" w:rsidR="005C5E68" w:rsidRDefault="00143903">
      <w:pPr>
        <w:pStyle w:val="TOC2"/>
        <w:rPr>
          <w:rFonts w:eastAsiaTheme="minorEastAsia" w:cstheme="minorBidi"/>
          <w:smallCaps w:val="0"/>
          <w:noProof/>
          <w:color w:val="auto"/>
          <w:sz w:val="22"/>
          <w:szCs w:val="22"/>
          <w:lang w:eastAsia="en-GB"/>
        </w:rPr>
      </w:pPr>
      <w:hyperlink w:anchor="_Toc104396672" w:history="1">
        <w:r w:rsidR="005C5E68" w:rsidRPr="00767BCA">
          <w:rPr>
            <w:rStyle w:val="Hyperlink"/>
            <w:noProof/>
          </w:rPr>
          <w:t>3.4</w:t>
        </w:r>
        <w:r w:rsidR="005C5E68">
          <w:rPr>
            <w:rFonts w:eastAsiaTheme="minorEastAsia" w:cstheme="minorBidi"/>
            <w:smallCaps w:val="0"/>
            <w:noProof/>
            <w:color w:val="auto"/>
            <w:sz w:val="22"/>
            <w:szCs w:val="22"/>
            <w:lang w:eastAsia="en-GB"/>
          </w:rPr>
          <w:tab/>
        </w:r>
        <w:r w:rsidR="005C5E68" w:rsidRPr="00767BCA">
          <w:rPr>
            <w:rStyle w:val="Hyperlink"/>
            <w:noProof/>
          </w:rPr>
          <w:t>Proposed EU Perfluoroalkyl and polyfluoroalkyl substances (PFAS) Regulations</w:t>
        </w:r>
        <w:r w:rsidR="005C5E68">
          <w:rPr>
            <w:noProof/>
            <w:webHidden/>
          </w:rPr>
          <w:tab/>
        </w:r>
        <w:r w:rsidR="005C5E68">
          <w:rPr>
            <w:noProof/>
            <w:webHidden/>
          </w:rPr>
          <w:fldChar w:fldCharType="begin"/>
        </w:r>
        <w:r w:rsidR="005C5E68">
          <w:rPr>
            <w:noProof/>
            <w:webHidden/>
          </w:rPr>
          <w:instrText xml:space="preserve"> PAGEREF _Toc104396672 \h </w:instrText>
        </w:r>
        <w:r w:rsidR="005C5E68">
          <w:rPr>
            <w:noProof/>
            <w:webHidden/>
          </w:rPr>
        </w:r>
        <w:r w:rsidR="005C5E68">
          <w:rPr>
            <w:noProof/>
            <w:webHidden/>
          </w:rPr>
          <w:fldChar w:fldCharType="separate"/>
        </w:r>
        <w:r w:rsidR="00FC0382">
          <w:rPr>
            <w:noProof/>
            <w:webHidden/>
          </w:rPr>
          <w:t>22</w:t>
        </w:r>
        <w:r w:rsidR="005C5E68">
          <w:rPr>
            <w:noProof/>
            <w:webHidden/>
          </w:rPr>
          <w:fldChar w:fldCharType="end"/>
        </w:r>
      </w:hyperlink>
    </w:p>
    <w:p w14:paraId="6573AF7F" w14:textId="64F64952" w:rsidR="005C5E68" w:rsidRDefault="00143903">
      <w:pPr>
        <w:pStyle w:val="TOC2"/>
        <w:rPr>
          <w:rFonts w:eastAsiaTheme="minorEastAsia" w:cstheme="minorBidi"/>
          <w:smallCaps w:val="0"/>
          <w:noProof/>
          <w:color w:val="auto"/>
          <w:sz w:val="22"/>
          <w:szCs w:val="22"/>
          <w:lang w:eastAsia="en-GB"/>
        </w:rPr>
      </w:pPr>
      <w:hyperlink w:anchor="_Toc104396673" w:history="1">
        <w:r w:rsidR="005C5E68" w:rsidRPr="00767BCA">
          <w:rPr>
            <w:rStyle w:val="Hyperlink"/>
            <w:noProof/>
          </w:rPr>
          <w:t>3.5</w:t>
        </w:r>
        <w:r w:rsidR="005C5E68">
          <w:rPr>
            <w:rFonts w:eastAsiaTheme="minorEastAsia" w:cstheme="minorBidi"/>
            <w:smallCaps w:val="0"/>
            <w:noProof/>
            <w:color w:val="auto"/>
            <w:sz w:val="22"/>
            <w:szCs w:val="22"/>
            <w:lang w:eastAsia="en-GB"/>
          </w:rPr>
          <w:tab/>
        </w:r>
        <w:r w:rsidR="005C5E68" w:rsidRPr="00767BCA">
          <w:rPr>
            <w:rStyle w:val="Hyperlink"/>
            <w:noProof/>
          </w:rPr>
          <w:t>New Developments in Aviation Fire Protection</w:t>
        </w:r>
        <w:r w:rsidR="005C5E68">
          <w:rPr>
            <w:noProof/>
            <w:webHidden/>
          </w:rPr>
          <w:tab/>
        </w:r>
        <w:r w:rsidR="005C5E68">
          <w:rPr>
            <w:noProof/>
            <w:webHidden/>
          </w:rPr>
          <w:fldChar w:fldCharType="begin"/>
        </w:r>
        <w:r w:rsidR="005C5E68">
          <w:rPr>
            <w:noProof/>
            <w:webHidden/>
          </w:rPr>
          <w:instrText xml:space="preserve"> PAGEREF _Toc104396673 \h </w:instrText>
        </w:r>
        <w:r w:rsidR="005C5E68">
          <w:rPr>
            <w:noProof/>
            <w:webHidden/>
          </w:rPr>
        </w:r>
        <w:r w:rsidR="005C5E68">
          <w:rPr>
            <w:noProof/>
            <w:webHidden/>
          </w:rPr>
          <w:fldChar w:fldCharType="separate"/>
        </w:r>
        <w:r w:rsidR="00FC0382">
          <w:rPr>
            <w:noProof/>
            <w:webHidden/>
          </w:rPr>
          <w:t>23</w:t>
        </w:r>
        <w:r w:rsidR="005C5E68">
          <w:rPr>
            <w:noProof/>
            <w:webHidden/>
          </w:rPr>
          <w:fldChar w:fldCharType="end"/>
        </w:r>
      </w:hyperlink>
    </w:p>
    <w:p w14:paraId="22207667" w14:textId="426EAF9D" w:rsidR="005C5E68" w:rsidRDefault="00143903">
      <w:pPr>
        <w:pStyle w:val="TOC2"/>
        <w:rPr>
          <w:rFonts w:eastAsiaTheme="minorEastAsia" w:cstheme="minorBidi"/>
          <w:smallCaps w:val="0"/>
          <w:noProof/>
          <w:color w:val="auto"/>
          <w:sz w:val="22"/>
          <w:szCs w:val="22"/>
          <w:lang w:eastAsia="en-GB"/>
        </w:rPr>
      </w:pPr>
      <w:hyperlink w:anchor="_Toc104396674" w:history="1">
        <w:r w:rsidR="005C5E68" w:rsidRPr="00767BCA">
          <w:rPr>
            <w:rStyle w:val="Hyperlink"/>
            <w:noProof/>
          </w:rPr>
          <w:t>3.6</w:t>
        </w:r>
        <w:r w:rsidR="005C5E68">
          <w:rPr>
            <w:rFonts w:eastAsiaTheme="minorEastAsia" w:cstheme="minorBidi"/>
            <w:smallCaps w:val="0"/>
            <w:noProof/>
            <w:color w:val="auto"/>
            <w:sz w:val="22"/>
            <w:szCs w:val="22"/>
            <w:lang w:eastAsia="en-GB"/>
          </w:rPr>
          <w:tab/>
        </w:r>
        <w:r w:rsidR="005C5E68" w:rsidRPr="00767BCA">
          <w:rPr>
            <w:rStyle w:val="Hyperlink"/>
            <w:noProof/>
          </w:rPr>
          <w:t>New Fire Extinguishing Agents</w:t>
        </w:r>
        <w:r w:rsidR="005C5E68">
          <w:rPr>
            <w:noProof/>
            <w:webHidden/>
          </w:rPr>
          <w:tab/>
        </w:r>
        <w:r w:rsidR="005C5E68">
          <w:rPr>
            <w:noProof/>
            <w:webHidden/>
          </w:rPr>
          <w:fldChar w:fldCharType="begin"/>
        </w:r>
        <w:r w:rsidR="005C5E68">
          <w:rPr>
            <w:noProof/>
            <w:webHidden/>
          </w:rPr>
          <w:instrText xml:space="preserve"> PAGEREF _Toc104396674 \h </w:instrText>
        </w:r>
        <w:r w:rsidR="005C5E68">
          <w:rPr>
            <w:noProof/>
            <w:webHidden/>
          </w:rPr>
        </w:r>
        <w:r w:rsidR="005C5E68">
          <w:rPr>
            <w:noProof/>
            <w:webHidden/>
          </w:rPr>
          <w:fldChar w:fldCharType="separate"/>
        </w:r>
        <w:r w:rsidR="00FC0382">
          <w:rPr>
            <w:noProof/>
            <w:webHidden/>
          </w:rPr>
          <w:t>24</w:t>
        </w:r>
        <w:r w:rsidR="005C5E68">
          <w:rPr>
            <w:noProof/>
            <w:webHidden/>
          </w:rPr>
          <w:fldChar w:fldCharType="end"/>
        </w:r>
      </w:hyperlink>
    </w:p>
    <w:p w14:paraId="526B0A09" w14:textId="4CB76174" w:rsidR="005C5E68" w:rsidRDefault="00143903">
      <w:pPr>
        <w:pStyle w:val="TOC2"/>
        <w:rPr>
          <w:rFonts w:eastAsiaTheme="minorEastAsia" w:cstheme="minorBidi"/>
          <w:smallCaps w:val="0"/>
          <w:noProof/>
          <w:color w:val="auto"/>
          <w:sz w:val="22"/>
          <w:szCs w:val="22"/>
          <w:lang w:eastAsia="en-GB"/>
        </w:rPr>
      </w:pPr>
      <w:hyperlink w:anchor="_Toc104396675" w:history="1">
        <w:r w:rsidR="005C5E68" w:rsidRPr="00767BCA">
          <w:rPr>
            <w:rStyle w:val="Hyperlink"/>
            <w:i/>
            <w:noProof/>
          </w:rPr>
          <w:t>3.6.1</w:t>
        </w:r>
        <w:r w:rsidR="005C5E68">
          <w:rPr>
            <w:rFonts w:eastAsiaTheme="minorEastAsia" w:cstheme="minorBidi"/>
            <w:smallCaps w:val="0"/>
            <w:noProof/>
            <w:color w:val="auto"/>
            <w:sz w:val="22"/>
            <w:szCs w:val="22"/>
            <w:lang w:eastAsia="en-GB"/>
          </w:rPr>
          <w:tab/>
        </w:r>
        <w:r w:rsidR="005C5E68" w:rsidRPr="00767BCA">
          <w:rPr>
            <w:rStyle w:val="Hyperlink"/>
            <w:i/>
            <w:noProof/>
          </w:rPr>
          <w:t>HCFO/Fluoroketone blend</w:t>
        </w:r>
        <w:r w:rsidR="005C5E68">
          <w:rPr>
            <w:noProof/>
            <w:webHidden/>
          </w:rPr>
          <w:tab/>
        </w:r>
        <w:r w:rsidR="005C5E68">
          <w:rPr>
            <w:noProof/>
            <w:webHidden/>
          </w:rPr>
          <w:fldChar w:fldCharType="begin"/>
        </w:r>
        <w:r w:rsidR="005C5E68">
          <w:rPr>
            <w:noProof/>
            <w:webHidden/>
          </w:rPr>
          <w:instrText xml:space="preserve"> PAGEREF _Toc104396675 \h </w:instrText>
        </w:r>
        <w:r w:rsidR="005C5E68">
          <w:rPr>
            <w:noProof/>
            <w:webHidden/>
          </w:rPr>
        </w:r>
        <w:r w:rsidR="005C5E68">
          <w:rPr>
            <w:noProof/>
            <w:webHidden/>
          </w:rPr>
          <w:fldChar w:fldCharType="separate"/>
        </w:r>
        <w:r w:rsidR="00FC0382">
          <w:rPr>
            <w:noProof/>
            <w:webHidden/>
          </w:rPr>
          <w:t>24</w:t>
        </w:r>
        <w:r w:rsidR="005C5E68">
          <w:rPr>
            <w:noProof/>
            <w:webHidden/>
          </w:rPr>
          <w:fldChar w:fldCharType="end"/>
        </w:r>
      </w:hyperlink>
    </w:p>
    <w:p w14:paraId="6F6CD315" w14:textId="72034A46" w:rsidR="005C5E68" w:rsidRDefault="00143903">
      <w:pPr>
        <w:pStyle w:val="TOC2"/>
        <w:rPr>
          <w:rFonts w:eastAsiaTheme="minorEastAsia" w:cstheme="minorBidi"/>
          <w:smallCaps w:val="0"/>
          <w:noProof/>
          <w:color w:val="auto"/>
          <w:sz w:val="22"/>
          <w:szCs w:val="22"/>
          <w:lang w:eastAsia="en-GB"/>
        </w:rPr>
      </w:pPr>
      <w:hyperlink w:anchor="_Toc104396676" w:history="1">
        <w:r w:rsidR="005C5E68" w:rsidRPr="00767BCA">
          <w:rPr>
            <w:rStyle w:val="Hyperlink"/>
            <w:i/>
            <w:noProof/>
          </w:rPr>
          <w:t>3.6.2</w:t>
        </w:r>
        <w:r w:rsidR="005C5E68">
          <w:rPr>
            <w:rFonts w:eastAsiaTheme="minorEastAsia" w:cstheme="minorBidi"/>
            <w:smallCaps w:val="0"/>
            <w:noProof/>
            <w:color w:val="auto"/>
            <w:sz w:val="22"/>
            <w:szCs w:val="22"/>
            <w:lang w:eastAsia="en-GB"/>
          </w:rPr>
          <w:tab/>
        </w:r>
        <w:r w:rsidR="005C5E68" w:rsidRPr="00767BCA">
          <w:rPr>
            <w:rStyle w:val="Hyperlink"/>
            <w:i/>
            <w:noProof/>
          </w:rPr>
          <w:t>Update from India</w:t>
        </w:r>
        <w:r w:rsidR="005C5E68">
          <w:rPr>
            <w:noProof/>
            <w:webHidden/>
          </w:rPr>
          <w:tab/>
        </w:r>
        <w:r w:rsidR="005C5E68">
          <w:rPr>
            <w:noProof/>
            <w:webHidden/>
          </w:rPr>
          <w:fldChar w:fldCharType="begin"/>
        </w:r>
        <w:r w:rsidR="005C5E68">
          <w:rPr>
            <w:noProof/>
            <w:webHidden/>
          </w:rPr>
          <w:instrText xml:space="preserve"> PAGEREF _Toc104396676 \h </w:instrText>
        </w:r>
        <w:r w:rsidR="005C5E68">
          <w:rPr>
            <w:noProof/>
            <w:webHidden/>
          </w:rPr>
        </w:r>
        <w:r w:rsidR="005C5E68">
          <w:rPr>
            <w:noProof/>
            <w:webHidden/>
          </w:rPr>
          <w:fldChar w:fldCharType="separate"/>
        </w:r>
        <w:r w:rsidR="00FC0382">
          <w:rPr>
            <w:noProof/>
            <w:webHidden/>
          </w:rPr>
          <w:t>24</w:t>
        </w:r>
        <w:r w:rsidR="005C5E68">
          <w:rPr>
            <w:noProof/>
            <w:webHidden/>
          </w:rPr>
          <w:fldChar w:fldCharType="end"/>
        </w:r>
      </w:hyperlink>
    </w:p>
    <w:p w14:paraId="3CEAC856" w14:textId="131FED77" w:rsidR="005C5E68" w:rsidRDefault="00143903">
      <w:pPr>
        <w:pStyle w:val="TOC2"/>
        <w:rPr>
          <w:rFonts w:eastAsiaTheme="minorEastAsia" w:cstheme="minorBidi"/>
          <w:smallCaps w:val="0"/>
          <w:noProof/>
          <w:color w:val="auto"/>
          <w:sz w:val="22"/>
          <w:szCs w:val="22"/>
          <w:lang w:eastAsia="en-GB"/>
        </w:rPr>
      </w:pPr>
      <w:hyperlink w:anchor="_Toc104396677" w:history="1">
        <w:r w:rsidR="005C5E68" w:rsidRPr="00767BCA">
          <w:rPr>
            <w:rStyle w:val="Hyperlink"/>
            <w:i/>
            <w:noProof/>
          </w:rPr>
          <w:t>3.6.3</w:t>
        </w:r>
        <w:r w:rsidR="005C5E68">
          <w:rPr>
            <w:rFonts w:eastAsiaTheme="minorEastAsia" w:cstheme="minorBidi"/>
            <w:smallCaps w:val="0"/>
            <w:noProof/>
            <w:color w:val="auto"/>
            <w:sz w:val="22"/>
            <w:szCs w:val="22"/>
            <w:lang w:eastAsia="en-GB"/>
          </w:rPr>
          <w:tab/>
        </w:r>
        <w:r w:rsidR="005C5E68" w:rsidRPr="00767BCA">
          <w:rPr>
            <w:rStyle w:val="Hyperlink"/>
            <w:i/>
            <w:noProof/>
          </w:rPr>
          <w:t>Market Considerations</w:t>
        </w:r>
        <w:r w:rsidR="005C5E68">
          <w:rPr>
            <w:noProof/>
            <w:webHidden/>
          </w:rPr>
          <w:tab/>
        </w:r>
        <w:r w:rsidR="005C5E68">
          <w:rPr>
            <w:noProof/>
            <w:webHidden/>
          </w:rPr>
          <w:fldChar w:fldCharType="begin"/>
        </w:r>
        <w:r w:rsidR="005C5E68">
          <w:rPr>
            <w:noProof/>
            <w:webHidden/>
          </w:rPr>
          <w:instrText xml:space="preserve"> PAGEREF _Toc104396677 \h </w:instrText>
        </w:r>
        <w:r w:rsidR="005C5E68">
          <w:rPr>
            <w:noProof/>
            <w:webHidden/>
          </w:rPr>
        </w:r>
        <w:r w:rsidR="005C5E68">
          <w:rPr>
            <w:noProof/>
            <w:webHidden/>
          </w:rPr>
          <w:fldChar w:fldCharType="separate"/>
        </w:r>
        <w:r w:rsidR="00FC0382">
          <w:rPr>
            <w:noProof/>
            <w:webHidden/>
          </w:rPr>
          <w:t>24</w:t>
        </w:r>
        <w:r w:rsidR="005C5E68">
          <w:rPr>
            <w:noProof/>
            <w:webHidden/>
          </w:rPr>
          <w:fldChar w:fldCharType="end"/>
        </w:r>
      </w:hyperlink>
    </w:p>
    <w:p w14:paraId="161460E3" w14:textId="6A8CF67B" w:rsidR="005C5E68" w:rsidRDefault="00143903">
      <w:pPr>
        <w:pStyle w:val="TOC2"/>
        <w:rPr>
          <w:rFonts w:eastAsiaTheme="minorEastAsia" w:cstheme="minorBidi"/>
          <w:smallCaps w:val="0"/>
          <w:noProof/>
          <w:color w:val="auto"/>
          <w:sz w:val="22"/>
          <w:szCs w:val="22"/>
          <w:lang w:eastAsia="en-GB"/>
        </w:rPr>
      </w:pPr>
      <w:hyperlink w:anchor="_Toc104396678" w:history="1">
        <w:r w:rsidR="005C5E68" w:rsidRPr="00767BCA">
          <w:rPr>
            <w:rStyle w:val="Hyperlink"/>
            <w:noProof/>
          </w:rPr>
          <w:t>3.7</w:t>
        </w:r>
        <w:r w:rsidR="005C5E68">
          <w:rPr>
            <w:rFonts w:eastAsiaTheme="minorEastAsia" w:cstheme="minorBidi"/>
            <w:smallCaps w:val="0"/>
            <w:noProof/>
            <w:color w:val="auto"/>
            <w:sz w:val="22"/>
            <w:szCs w:val="22"/>
            <w:lang w:eastAsia="en-GB"/>
          </w:rPr>
          <w:tab/>
        </w:r>
        <w:r w:rsidR="005C5E68" w:rsidRPr="00767BCA">
          <w:rPr>
            <w:rStyle w:val="Hyperlink"/>
            <w:noProof/>
          </w:rPr>
          <w:t>Other Updates</w:t>
        </w:r>
        <w:r w:rsidR="005C5E68">
          <w:rPr>
            <w:noProof/>
            <w:webHidden/>
          </w:rPr>
          <w:tab/>
        </w:r>
        <w:r w:rsidR="005C5E68">
          <w:rPr>
            <w:noProof/>
            <w:webHidden/>
          </w:rPr>
          <w:fldChar w:fldCharType="begin"/>
        </w:r>
        <w:r w:rsidR="005C5E68">
          <w:rPr>
            <w:noProof/>
            <w:webHidden/>
          </w:rPr>
          <w:instrText xml:space="preserve"> PAGEREF _Toc104396678 \h </w:instrText>
        </w:r>
        <w:r w:rsidR="005C5E68">
          <w:rPr>
            <w:noProof/>
            <w:webHidden/>
          </w:rPr>
        </w:r>
        <w:r w:rsidR="005C5E68">
          <w:rPr>
            <w:noProof/>
            <w:webHidden/>
          </w:rPr>
          <w:fldChar w:fldCharType="separate"/>
        </w:r>
        <w:r w:rsidR="00FC0382">
          <w:rPr>
            <w:noProof/>
            <w:webHidden/>
          </w:rPr>
          <w:t>25</w:t>
        </w:r>
        <w:r w:rsidR="005C5E68">
          <w:rPr>
            <w:noProof/>
            <w:webHidden/>
          </w:rPr>
          <w:fldChar w:fldCharType="end"/>
        </w:r>
      </w:hyperlink>
    </w:p>
    <w:p w14:paraId="26D5AF8B" w14:textId="62D4822C" w:rsidR="005C5E68" w:rsidRDefault="00143903">
      <w:pPr>
        <w:pStyle w:val="TOC2"/>
        <w:rPr>
          <w:rFonts w:eastAsiaTheme="minorEastAsia" w:cstheme="minorBidi"/>
          <w:smallCaps w:val="0"/>
          <w:noProof/>
          <w:color w:val="auto"/>
          <w:sz w:val="22"/>
          <w:szCs w:val="22"/>
          <w:lang w:eastAsia="en-GB"/>
        </w:rPr>
      </w:pPr>
      <w:hyperlink w:anchor="_Toc104396679" w:history="1">
        <w:r w:rsidR="005C5E68" w:rsidRPr="00767BCA">
          <w:rPr>
            <w:rStyle w:val="Hyperlink"/>
            <w:i/>
            <w:noProof/>
          </w:rPr>
          <w:t>3.7.1</w:t>
        </w:r>
        <w:r w:rsidR="005C5E68">
          <w:rPr>
            <w:rFonts w:eastAsiaTheme="minorEastAsia" w:cstheme="minorBidi"/>
            <w:smallCaps w:val="0"/>
            <w:noProof/>
            <w:color w:val="auto"/>
            <w:sz w:val="22"/>
            <w:szCs w:val="22"/>
            <w:lang w:eastAsia="en-GB"/>
          </w:rPr>
          <w:tab/>
        </w:r>
        <w:r w:rsidR="005C5E68" w:rsidRPr="00767BCA">
          <w:rPr>
            <w:rStyle w:val="Hyperlink"/>
            <w:i/>
            <w:noProof/>
          </w:rPr>
          <w:t>Effects of Alternative Refrigerants Selection</w:t>
        </w:r>
        <w:r w:rsidR="005C5E68">
          <w:rPr>
            <w:noProof/>
            <w:webHidden/>
          </w:rPr>
          <w:tab/>
        </w:r>
        <w:r w:rsidR="005C5E68">
          <w:rPr>
            <w:noProof/>
            <w:webHidden/>
          </w:rPr>
          <w:fldChar w:fldCharType="begin"/>
        </w:r>
        <w:r w:rsidR="005C5E68">
          <w:rPr>
            <w:noProof/>
            <w:webHidden/>
          </w:rPr>
          <w:instrText xml:space="preserve"> PAGEREF _Toc104396679 \h </w:instrText>
        </w:r>
        <w:r w:rsidR="005C5E68">
          <w:rPr>
            <w:noProof/>
            <w:webHidden/>
          </w:rPr>
        </w:r>
        <w:r w:rsidR="005C5E68">
          <w:rPr>
            <w:noProof/>
            <w:webHidden/>
          </w:rPr>
          <w:fldChar w:fldCharType="separate"/>
        </w:r>
        <w:r w:rsidR="00FC0382">
          <w:rPr>
            <w:noProof/>
            <w:webHidden/>
          </w:rPr>
          <w:t>25</w:t>
        </w:r>
        <w:r w:rsidR="005C5E68">
          <w:rPr>
            <w:noProof/>
            <w:webHidden/>
          </w:rPr>
          <w:fldChar w:fldCharType="end"/>
        </w:r>
      </w:hyperlink>
    </w:p>
    <w:p w14:paraId="6EBC417C" w14:textId="509CBAE4" w:rsidR="005C5E68" w:rsidRDefault="00143903">
      <w:pPr>
        <w:pStyle w:val="TOC2"/>
        <w:rPr>
          <w:rFonts w:eastAsiaTheme="minorEastAsia" w:cstheme="minorBidi"/>
          <w:smallCaps w:val="0"/>
          <w:noProof/>
          <w:color w:val="auto"/>
          <w:sz w:val="22"/>
          <w:szCs w:val="22"/>
          <w:lang w:eastAsia="en-GB"/>
        </w:rPr>
      </w:pPr>
      <w:hyperlink w:anchor="_Toc104396680" w:history="1">
        <w:r w:rsidR="005C5E68" w:rsidRPr="00767BCA">
          <w:rPr>
            <w:rStyle w:val="Hyperlink"/>
            <w:i/>
            <w:noProof/>
          </w:rPr>
          <w:t>3.7.2</w:t>
        </w:r>
        <w:r w:rsidR="005C5E68">
          <w:rPr>
            <w:rFonts w:eastAsiaTheme="minorEastAsia" w:cstheme="minorBidi"/>
            <w:smallCaps w:val="0"/>
            <w:noProof/>
            <w:color w:val="auto"/>
            <w:sz w:val="22"/>
            <w:szCs w:val="22"/>
            <w:lang w:eastAsia="en-GB"/>
          </w:rPr>
          <w:tab/>
        </w:r>
        <w:r w:rsidR="005C5E68" w:rsidRPr="00767BCA">
          <w:rPr>
            <w:rStyle w:val="Hyperlink"/>
            <w:i/>
            <w:noProof/>
          </w:rPr>
          <w:t>Knowledge and training</w:t>
        </w:r>
        <w:r w:rsidR="005C5E68">
          <w:rPr>
            <w:noProof/>
            <w:webHidden/>
          </w:rPr>
          <w:tab/>
        </w:r>
        <w:r w:rsidR="005C5E68">
          <w:rPr>
            <w:noProof/>
            <w:webHidden/>
          </w:rPr>
          <w:fldChar w:fldCharType="begin"/>
        </w:r>
        <w:r w:rsidR="005C5E68">
          <w:rPr>
            <w:noProof/>
            <w:webHidden/>
          </w:rPr>
          <w:instrText xml:space="preserve"> PAGEREF _Toc104396680 \h </w:instrText>
        </w:r>
        <w:r w:rsidR="005C5E68">
          <w:rPr>
            <w:noProof/>
            <w:webHidden/>
          </w:rPr>
        </w:r>
        <w:r w:rsidR="005C5E68">
          <w:rPr>
            <w:noProof/>
            <w:webHidden/>
          </w:rPr>
          <w:fldChar w:fldCharType="separate"/>
        </w:r>
        <w:r w:rsidR="00FC0382">
          <w:rPr>
            <w:noProof/>
            <w:webHidden/>
          </w:rPr>
          <w:t>25</w:t>
        </w:r>
        <w:r w:rsidR="005C5E68">
          <w:rPr>
            <w:noProof/>
            <w:webHidden/>
          </w:rPr>
          <w:fldChar w:fldCharType="end"/>
        </w:r>
      </w:hyperlink>
    </w:p>
    <w:p w14:paraId="472911A8" w14:textId="3C49EEC2" w:rsidR="005C5E68" w:rsidRDefault="00143903" w:rsidP="005C5E68">
      <w:pPr>
        <w:pStyle w:val="TOC1"/>
        <w:rPr>
          <w:rFonts w:eastAsiaTheme="minorEastAsia" w:cstheme="minorBidi"/>
          <w:noProof/>
          <w:color w:val="auto"/>
          <w:sz w:val="22"/>
          <w:szCs w:val="22"/>
          <w:lang w:eastAsia="en-GB"/>
        </w:rPr>
      </w:pPr>
      <w:hyperlink w:anchor="_Toc104396681" w:history="1">
        <w:r w:rsidR="005C5E68" w:rsidRPr="00767BCA">
          <w:rPr>
            <w:rStyle w:val="Hyperlink"/>
            <w:noProof/>
          </w:rPr>
          <w:t>4</w:t>
        </w:r>
        <w:r w:rsidR="005C5E68">
          <w:rPr>
            <w:rFonts w:eastAsiaTheme="minorEastAsia" w:cstheme="minorBidi"/>
            <w:noProof/>
            <w:color w:val="auto"/>
            <w:sz w:val="22"/>
            <w:szCs w:val="22"/>
            <w:lang w:eastAsia="en-GB"/>
          </w:rPr>
          <w:tab/>
        </w:r>
        <w:r w:rsidR="005C5E68" w:rsidRPr="00767BCA">
          <w:rPr>
            <w:rStyle w:val="Hyperlink"/>
            <w:noProof/>
            <w:lang w:eastAsia="en-US"/>
          </w:rPr>
          <w:t>Updated response to Decision XXX/7: Future availability of halons and their alternatives</w:t>
        </w:r>
        <w:r w:rsidR="005C5E68">
          <w:rPr>
            <w:noProof/>
            <w:webHidden/>
          </w:rPr>
          <w:tab/>
        </w:r>
        <w:r w:rsidR="005C5E68">
          <w:rPr>
            <w:noProof/>
            <w:webHidden/>
          </w:rPr>
          <w:tab/>
        </w:r>
        <w:r w:rsidR="005C5E68">
          <w:rPr>
            <w:noProof/>
            <w:webHidden/>
          </w:rPr>
          <w:tab/>
        </w:r>
        <w:r w:rsidR="005C5E68">
          <w:rPr>
            <w:noProof/>
            <w:webHidden/>
          </w:rPr>
          <w:fldChar w:fldCharType="begin"/>
        </w:r>
        <w:r w:rsidR="005C5E68">
          <w:rPr>
            <w:noProof/>
            <w:webHidden/>
          </w:rPr>
          <w:instrText xml:space="preserve"> PAGEREF _Toc104396681 \h </w:instrText>
        </w:r>
        <w:r w:rsidR="005C5E68">
          <w:rPr>
            <w:noProof/>
            <w:webHidden/>
          </w:rPr>
        </w:r>
        <w:r w:rsidR="005C5E68">
          <w:rPr>
            <w:noProof/>
            <w:webHidden/>
          </w:rPr>
          <w:fldChar w:fldCharType="separate"/>
        </w:r>
        <w:r w:rsidR="00FC0382">
          <w:rPr>
            <w:noProof/>
            <w:webHidden/>
          </w:rPr>
          <w:t>27</w:t>
        </w:r>
        <w:r w:rsidR="005C5E68">
          <w:rPr>
            <w:noProof/>
            <w:webHidden/>
          </w:rPr>
          <w:fldChar w:fldCharType="end"/>
        </w:r>
      </w:hyperlink>
    </w:p>
    <w:p w14:paraId="0D972B2F" w14:textId="2FDB4690" w:rsidR="005C5E68" w:rsidRDefault="00143903">
      <w:pPr>
        <w:pStyle w:val="TOC2"/>
        <w:rPr>
          <w:rFonts w:eastAsiaTheme="minorEastAsia" w:cstheme="minorBidi"/>
          <w:smallCaps w:val="0"/>
          <w:noProof/>
          <w:color w:val="auto"/>
          <w:sz w:val="22"/>
          <w:szCs w:val="22"/>
          <w:lang w:eastAsia="en-GB"/>
        </w:rPr>
      </w:pPr>
      <w:hyperlink w:anchor="_Toc104396682" w:history="1">
        <w:r w:rsidR="005C5E68" w:rsidRPr="00767BCA">
          <w:rPr>
            <w:rStyle w:val="Hyperlink"/>
            <w:noProof/>
          </w:rPr>
          <w:t>4.1</w:t>
        </w:r>
        <w:r w:rsidR="005C5E68">
          <w:rPr>
            <w:rFonts w:eastAsiaTheme="minorEastAsia" w:cstheme="minorBidi"/>
            <w:smallCaps w:val="0"/>
            <w:noProof/>
            <w:color w:val="auto"/>
            <w:sz w:val="22"/>
            <w:szCs w:val="22"/>
            <w:lang w:eastAsia="en-GB"/>
          </w:rPr>
          <w:tab/>
        </w:r>
        <w:r w:rsidR="005C5E68" w:rsidRPr="00767BCA">
          <w:rPr>
            <w:rStyle w:val="Hyperlink"/>
            <w:noProof/>
          </w:rPr>
          <w:t>Global Halon 1301 Emissions</w:t>
        </w:r>
        <w:r w:rsidR="005C5E68">
          <w:rPr>
            <w:noProof/>
            <w:webHidden/>
          </w:rPr>
          <w:tab/>
        </w:r>
        <w:r w:rsidR="005C5E68">
          <w:rPr>
            <w:noProof/>
            <w:webHidden/>
          </w:rPr>
          <w:fldChar w:fldCharType="begin"/>
        </w:r>
        <w:r w:rsidR="005C5E68">
          <w:rPr>
            <w:noProof/>
            <w:webHidden/>
          </w:rPr>
          <w:instrText xml:space="preserve"> PAGEREF _Toc104396682 \h </w:instrText>
        </w:r>
        <w:r w:rsidR="005C5E68">
          <w:rPr>
            <w:noProof/>
            <w:webHidden/>
          </w:rPr>
        </w:r>
        <w:r w:rsidR="005C5E68">
          <w:rPr>
            <w:noProof/>
            <w:webHidden/>
          </w:rPr>
          <w:fldChar w:fldCharType="separate"/>
        </w:r>
        <w:r w:rsidR="00FC0382">
          <w:rPr>
            <w:noProof/>
            <w:webHidden/>
          </w:rPr>
          <w:t>28</w:t>
        </w:r>
        <w:r w:rsidR="005C5E68">
          <w:rPr>
            <w:noProof/>
            <w:webHidden/>
          </w:rPr>
          <w:fldChar w:fldCharType="end"/>
        </w:r>
      </w:hyperlink>
    </w:p>
    <w:p w14:paraId="7B6052AF" w14:textId="422B1C91" w:rsidR="005C5E68" w:rsidRDefault="00143903" w:rsidP="005C5E68">
      <w:pPr>
        <w:pStyle w:val="TOC1"/>
        <w:rPr>
          <w:rFonts w:eastAsiaTheme="minorEastAsia" w:cstheme="minorBidi"/>
          <w:noProof/>
          <w:color w:val="auto"/>
          <w:sz w:val="22"/>
          <w:szCs w:val="22"/>
          <w:lang w:eastAsia="en-GB"/>
        </w:rPr>
      </w:pPr>
      <w:hyperlink w:anchor="_Toc104396683" w:history="1">
        <w:r w:rsidR="005C5E68" w:rsidRPr="00767BCA">
          <w:rPr>
            <w:rStyle w:val="Hyperlink"/>
            <w:noProof/>
          </w:rPr>
          <w:t>5</w:t>
        </w:r>
        <w:r w:rsidR="005C5E68">
          <w:rPr>
            <w:rFonts w:eastAsiaTheme="minorEastAsia" w:cstheme="minorBidi"/>
            <w:noProof/>
            <w:color w:val="auto"/>
            <w:sz w:val="22"/>
            <w:szCs w:val="22"/>
            <w:lang w:eastAsia="en-GB"/>
          </w:rPr>
          <w:tab/>
        </w:r>
        <w:r w:rsidR="005C5E68" w:rsidRPr="00767BCA">
          <w:rPr>
            <w:rStyle w:val="Hyperlink"/>
            <w:noProof/>
          </w:rPr>
          <w:t>Methyl Bromide TOC (MBTOC) Progress Report</w:t>
        </w:r>
        <w:r w:rsidR="005C5E68">
          <w:rPr>
            <w:noProof/>
            <w:webHidden/>
          </w:rPr>
          <w:tab/>
        </w:r>
        <w:r w:rsidR="005C5E68">
          <w:rPr>
            <w:noProof/>
            <w:webHidden/>
          </w:rPr>
          <w:fldChar w:fldCharType="begin"/>
        </w:r>
        <w:r w:rsidR="005C5E68">
          <w:rPr>
            <w:noProof/>
            <w:webHidden/>
          </w:rPr>
          <w:instrText xml:space="preserve"> PAGEREF _Toc104396683 \h </w:instrText>
        </w:r>
        <w:r w:rsidR="005C5E68">
          <w:rPr>
            <w:noProof/>
            <w:webHidden/>
          </w:rPr>
        </w:r>
        <w:r w:rsidR="005C5E68">
          <w:rPr>
            <w:noProof/>
            <w:webHidden/>
          </w:rPr>
          <w:fldChar w:fldCharType="separate"/>
        </w:r>
        <w:r w:rsidR="00FC0382">
          <w:rPr>
            <w:noProof/>
            <w:webHidden/>
          </w:rPr>
          <w:t>31</w:t>
        </w:r>
        <w:r w:rsidR="005C5E68">
          <w:rPr>
            <w:noProof/>
            <w:webHidden/>
          </w:rPr>
          <w:fldChar w:fldCharType="end"/>
        </w:r>
      </w:hyperlink>
    </w:p>
    <w:p w14:paraId="3950EEA6" w14:textId="41BAB5D1" w:rsidR="005C5E68" w:rsidRDefault="00143903">
      <w:pPr>
        <w:pStyle w:val="TOC2"/>
        <w:rPr>
          <w:rFonts w:eastAsiaTheme="minorEastAsia" w:cstheme="minorBidi"/>
          <w:smallCaps w:val="0"/>
          <w:noProof/>
          <w:color w:val="auto"/>
          <w:sz w:val="22"/>
          <w:szCs w:val="22"/>
          <w:lang w:eastAsia="en-GB"/>
        </w:rPr>
      </w:pPr>
      <w:hyperlink w:anchor="_Toc104396684" w:history="1">
        <w:r w:rsidR="005C5E68" w:rsidRPr="00767BCA">
          <w:rPr>
            <w:rStyle w:val="Hyperlink"/>
            <w:noProof/>
          </w:rPr>
          <w:t xml:space="preserve">5.1 </w:t>
        </w:r>
        <w:r w:rsidR="005C5E68">
          <w:rPr>
            <w:rFonts w:eastAsiaTheme="minorEastAsia" w:cstheme="minorBidi"/>
            <w:smallCaps w:val="0"/>
            <w:noProof/>
            <w:color w:val="auto"/>
            <w:sz w:val="22"/>
            <w:szCs w:val="22"/>
            <w:lang w:eastAsia="en-GB"/>
          </w:rPr>
          <w:tab/>
        </w:r>
        <w:r w:rsidR="005C5E68" w:rsidRPr="00767BCA">
          <w:rPr>
            <w:rStyle w:val="Hyperlink"/>
            <w:noProof/>
          </w:rPr>
          <w:t>Global MB production and consumption</w:t>
        </w:r>
        <w:r w:rsidR="005C5E68">
          <w:rPr>
            <w:noProof/>
            <w:webHidden/>
          </w:rPr>
          <w:tab/>
        </w:r>
        <w:r w:rsidR="005C5E68">
          <w:rPr>
            <w:noProof/>
            <w:webHidden/>
          </w:rPr>
          <w:fldChar w:fldCharType="begin"/>
        </w:r>
        <w:r w:rsidR="005C5E68">
          <w:rPr>
            <w:noProof/>
            <w:webHidden/>
          </w:rPr>
          <w:instrText xml:space="preserve"> PAGEREF _Toc104396684 \h </w:instrText>
        </w:r>
        <w:r w:rsidR="005C5E68">
          <w:rPr>
            <w:noProof/>
            <w:webHidden/>
          </w:rPr>
        </w:r>
        <w:r w:rsidR="005C5E68">
          <w:rPr>
            <w:noProof/>
            <w:webHidden/>
          </w:rPr>
          <w:fldChar w:fldCharType="separate"/>
        </w:r>
        <w:r w:rsidR="00FC0382">
          <w:rPr>
            <w:noProof/>
            <w:webHidden/>
          </w:rPr>
          <w:t>31</w:t>
        </w:r>
        <w:r w:rsidR="005C5E68">
          <w:rPr>
            <w:noProof/>
            <w:webHidden/>
          </w:rPr>
          <w:fldChar w:fldCharType="end"/>
        </w:r>
      </w:hyperlink>
    </w:p>
    <w:p w14:paraId="70E01F82" w14:textId="0926D1FB" w:rsidR="005C5E68" w:rsidRDefault="00143903">
      <w:pPr>
        <w:pStyle w:val="TOC2"/>
        <w:rPr>
          <w:rFonts w:eastAsiaTheme="minorEastAsia" w:cstheme="minorBidi"/>
          <w:smallCaps w:val="0"/>
          <w:noProof/>
          <w:color w:val="auto"/>
          <w:sz w:val="22"/>
          <w:szCs w:val="22"/>
          <w:lang w:eastAsia="en-GB"/>
        </w:rPr>
      </w:pPr>
      <w:hyperlink w:anchor="_Toc104396685" w:history="1">
        <w:r w:rsidR="005C5E68" w:rsidRPr="00767BCA">
          <w:rPr>
            <w:rStyle w:val="Hyperlink"/>
            <w:i/>
            <w:noProof/>
          </w:rPr>
          <w:t>5.1.1</w:t>
        </w:r>
        <w:r w:rsidR="005C5E68">
          <w:rPr>
            <w:rFonts w:eastAsiaTheme="minorEastAsia" w:cstheme="minorBidi"/>
            <w:smallCaps w:val="0"/>
            <w:noProof/>
            <w:color w:val="auto"/>
            <w:sz w:val="22"/>
            <w:szCs w:val="22"/>
            <w:lang w:eastAsia="en-GB"/>
          </w:rPr>
          <w:tab/>
        </w:r>
        <w:r w:rsidR="005C5E68" w:rsidRPr="00767BCA">
          <w:rPr>
            <w:rStyle w:val="Hyperlink"/>
            <w:i/>
            <w:noProof/>
          </w:rPr>
          <w:t>Controlled uses</w:t>
        </w:r>
        <w:r w:rsidR="005C5E68">
          <w:rPr>
            <w:noProof/>
            <w:webHidden/>
          </w:rPr>
          <w:tab/>
        </w:r>
        <w:r w:rsidR="005C5E68">
          <w:rPr>
            <w:noProof/>
            <w:webHidden/>
          </w:rPr>
          <w:fldChar w:fldCharType="begin"/>
        </w:r>
        <w:r w:rsidR="005C5E68">
          <w:rPr>
            <w:noProof/>
            <w:webHidden/>
          </w:rPr>
          <w:instrText xml:space="preserve"> PAGEREF _Toc104396685 \h </w:instrText>
        </w:r>
        <w:r w:rsidR="005C5E68">
          <w:rPr>
            <w:noProof/>
            <w:webHidden/>
          </w:rPr>
        </w:r>
        <w:r w:rsidR="005C5E68">
          <w:rPr>
            <w:noProof/>
            <w:webHidden/>
          </w:rPr>
          <w:fldChar w:fldCharType="separate"/>
        </w:r>
        <w:r w:rsidR="00FC0382">
          <w:rPr>
            <w:noProof/>
            <w:webHidden/>
          </w:rPr>
          <w:t>31</w:t>
        </w:r>
        <w:r w:rsidR="005C5E68">
          <w:rPr>
            <w:noProof/>
            <w:webHidden/>
          </w:rPr>
          <w:fldChar w:fldCharType="end"/>
        </w:r>
      </w:hyperlink>
    </w:p>
    <w:p w14:paraId="6125A9D2" w14:textId="3909259B" w:rsidR="005C5E68" w:rsidRDefault="00143903">
      <w:pPr>
        <w:pStyle w:val="TOC2"/>
        <w:rPr>
          <w:rFonts w:eastAsiaTheme="minorEastAsia" w:cstheme="minorBidi"/>
          <w:smallCaps w:val="0"/>
          <w:noProof/>
          <w:color w:val="auto"/>
          <w:sz w:val="22"/>
          <w:szCs w:val="22"/>
          <w:lang w:eastAsia="en-GB"/>
        </w:rPr>
      </w:pPr>
      <w:hyperlink w:anchor="_Toc104396686" w:history="1">
        <w:r w:rsidR="005C5E68" w:rsidRPr="00767BCA">
          <w:rPr>
            <w:rStyle w:val="Hyperlink"/>
            <w:i/>
            <w:noProof/>
          </w:rPr>
          <w:t>5.1.2</w:t>
        </w:r>
        <w:r w:rsidR="005C5E68">
          <w:rPr>
            <w:rFonts w:eastAsiaTheme="minorEastAsia" w:cstheme="minorBidi"/>
            <w:smallCaps w:val="0"/>
            <w:noProof/>
            <w:color w:val="auto"/>
            <w:sz w:val="22"/>
            <w:szCs w:val="22"/>
            <w:lang w:eastAsia="en-GB"/>
          </w:rPr>
          <w:tab/>
        </w:r>
        <w:r w:rsidR="005C5E68" w:rsidRPr="00767BCA">
          <w:rPr>
            <w:rStyle w:val="Hyperlink"/>
            <w:i/>
            <w:noProof/>
          </w:rPr>
          <w:t>Methyl bromide production and consumption for QPS (exempted uses)</w:t>
        </w:r>
        <w:r w:rsidR="005C5E68">
          <w:rPr>
            <w:noProof/>
            <w:webHidden/>
          </w:rPr>
          <w:tab/>
        </w:r>
        <w:r w:rsidR="005C5E68">
          <w:rPr>
            <w:noProof/>
            <w:webHidden/>
          </w:rPr>
          <w:fldChar w:fldCharType="begin"/>
        </w:r>
        <w:r w:rsidR="005C5E68">
          <w:rPr>
            <w:noProof/>
            <w:webHidden/>
          </w:rPr>
          <w:instrText xml:space="preserve"> PAGEREF _Toc104396686 \h </w:instrText>
        </w:r>
        <w:r w:rsidR="005C5E68">
          <w:rPr>
            <w:noProof/>
            <w:webHidden/>
          </w:rPr>
        </w:r>
        <w:r w:rsidR="005C5E68">
          <w:rPr>
            <w:noProof/>
            <w:webHidden/>
          </w:rPr>
          <w:fldChar w:fldCharType="separate"/>
        </w:r>
        <w:r w:rsidR="00FC0382">
          <w:rPr>
            <w:noProof/>
            <w:webHidden/>
          </w:rPr>
          <w:t>31</w:t>
        </w:r>
        <w:r w:rsidR="005C5E68">
          <w:rPr>
            <w:noProof/>
            <w:webHidden/>
          </w:rPr>
          <w:fldChar w:fldCharType="end"/>
        </w:r>
      </w:hyperlink>
    </w:p>
    <w:p w14:paraId="7CF0D732" w14:textId="72FE72FF" w:rsidR="005C5E68" w:rsidRDefault="00143903">
      <w:pPr>
        <w:pStyle w:val="TOC2"/>
        <w:rPr>
          <w:rFonts w:eastAsiaTheme="minorEastAsia" w:cstheme="minorBidi"/>
          <w:smallCaps w:val="0"/>
          <w:noProof/>
          <w:color w:val="auto"/>
          <w:sz w:val="22"/>
          <w:szCs w:val="22"/>
          <w:lang w:eastAsia="en-GB"/>
        </w:rPr>
      </w:pPr>
      <w:hyperlink w:anchor="_Toc104396687" w:history="1">
        <w:r w:rsidR="005C5E68" w:rsidRPr="00767BCA">
          <w:rPr>
            <w:rStyle w:val="Hyperlink"/>
            <w:noProof/>
          </w:rPr>
          <w:t>5.2</w:t>
        </w:r>
        <w:r w:rsidR="005C5E68">
          <w:rPr>
            <w:rFonts w:eastAsiaTheme="minorEastAsia" w:cstheme="minorBidi"/>
            <w:smallCaps w:val="0"/>
            <w:noProof/>
            <w:color w:val="auto"/>
            <w:sz w:val="22"/>
            <w:szCs w:val="22"/>
            <w:lang w:eastAsia="en-GB"/>
          </w:rPr>
          <w:tab/>
        </w:r>
        <w:r w:rsidR="005C5E68" w:rsidRPr="00767BCA">
          <w:rPr>
            <w:rStyle w:val="Hyperlink"/>
            <w:noProof/>
          </w:rPr>
          <w:t>Update on alternatives for remaining critical uses</w:t>
        </w:r>
        <w:r w:rsidR="005C5E68">
          <w:rPr>
            <w:noProof/>
            <w:webHidden/>
          </w:rPr>
          <w:tab/>
        </w:r>
        <w:r w:rsidR="005C5E68">
          <w:rPr>
            <w:noProof/>
            <w:webHidden/>
          </w:rPr>
          <w:fldChar w:fldCharType="begin"/>
        </w:r>
        <w:r w:rsidR="005C5E68">
          <w:rPr>
            <w:noProof/>
            <w:webHidden/>
          </w:rPr>
          <w:instrText xml:space="preserve"> PAGEREF _Toc104396687 \h </w:instrText>
        </w:r>
        <w:r w:rsidR="005C5E68">
          <w:rPr>
            <w:noProof/>
            <w:webHidden/>
          </w:rPr>
        </w:r>
        <w:r w:rsidR="005C5E68">
          <w:rPr>
            <w:noProof/>
            <w:webHidden/>
          </w:rPr>
          <w:fldChar w:fldCharType="separate"/>
        </w:r>
        <w:r w:rsidR="00FC0382">
          <w:rPr>
            <w:noProof/>
            <w:webHidden/>
          </w:rPr>
          <w:t>33</w:t>
        </w:r>
        <w:r w:rsidR="005C5E68">
          <w:rPr>
            <w:noProof/>
            <w:webHidden/>
          </w:rPr>
          <w:fldChar w:fldCharType="end"/>
        </w:r>
      </w:hyperlink>
    </w:p>
    <w:p w14:paraId="3E7C874F" w14:textId="44F19590" w:rsidR="005C5E68" w:rsidRDefault="00143903">
      <w:pPr>
        <w:pStyle w:val="TOC2"/>
        <w:rPr>
          <w:rFonts w:eastAsiaTheme="minorEastAsia" w:cstheme="minorBidi"/>
          <w:smallCaps w:val="0"/>
          <w:noProof/>
          <w:color w:val="auto"/>
          <w:sz w:val="22"/>
          <w:szCs w:val="22"/>
          <w:lang w:eastAsia="en-GB"/>
        </w:rPr>
      </w:pPr>
      <w:hyperlink w:anchor="_Toc104396688" w:history="1">
        <w:r w:rsidR="005C5E68" w:rsidRPr="00767BCA">
          <w:rPr>
            <w:rStyle w:val="Hyperlink"/>
            <w:i/>
            <w:noProof/>
          </w:rPr>
          <w:t>5.2.1</w:t>
        </w:r>
        <w:r w:rsidR="005C5E68">
          <w:rPr>
            <w:rFonts w:eastAsiaTheme="minorEastAsia" w:cstheme="minorBidi"/>
            <w:smallCaps w:val="0"/>
            <w:noProof/>
            <w:color w:val="auto"/>
            <w:sz w:val="22"/>
            <w:szCs w:val="22"/>
            <w:lang w:eastAsia="en-GB"/>
          </w:rPr>
          <w:tab/>
        </w:r>
        <w:r w:rsidR="005C5E68" w:rsidRPr="00767BCA">
          <w:rPr>
            <w:rStyle w:val="Hyperlink"/>
            <w:i/>
            <w:noProof/>
          </w:rPr>
          <w:t>Strawberry runner production – Australia</w:t>
        </w:r>
        <w:r w:rsidR="005C5E68">
          <w:rPr>
            <w:noProof/>
            <w:webHidden/>
          </w:rPr>
          <w:tab/>
        </w:r>
        <w:r w:rsidR="005C5E68">
          <w:rPr>
            <w:noProof/>
            <w:webHidden/>
          </w:rPr>
          <w:fldChar w:fldCharType="begin"/>
        </w:r>
        <w:r w:rsidR="005C5E68">
          <w:rPr>
            <w:noProof/>
            <w:webHidden/>
          </w:rPr>
          <w:instrText xml:space="preserve"> PAGEREF _Toc104396688 \h </w:instrText>
        </w:r>
        <w:r w:rsidR="005C5E68">
          <w:rPr>
            <w:noProof/>
            <w:webHidden/>
          </w:rPr>
        </w:r>
        <w:r w:rsidR="005C5E68">
          <w:rPr>
            <w:noProof/>
            <w:webHidden/>
          </w:rPr>
          <w:fldChar w:fldCharType="separate"/>
        </w:r>
        <w:r w:rsidR="00FC0382">
          <w:rPr>
            <w:noProof/>
            <w:webHidden/>
          </w:rPr>
          <w:t>33</w:t>
        </w:r>
        <w:r w:rsidR="005C5E68">
          <w:rPr>
            <w:noProof/>
            <w:webHidden/>
          </w:rPr>
          <w:fldChar w:fldCharType="end"/>
        </w:r>
      </w:hyperlink>
    </w:p>
    <w:p w14:paraId="4A5FBC23" w14:textId="3D57DD28" w:rsidR="005C5E68" w:rsidRDefault="00143903">
      <w:pPr>
        <w:pStyle w:val="TOC2"/>
        <w:rPr>
          <w:rFonts w:eastAsiaTheme="minorEastAsia" w:cstheme="minorBidi"/>
          <w:smallCaps w:val="0"/>
          <w:noProof/>
          <w:color w:val="auto"/>
          <w:sz w:val="22"/>
          <w:szCs w:val="22"/>
          <w:lang w:eastAsia="en-GB"/>
        </w:rPr>
      </w:pPr>
      <w:hyperlink w:anchor="_Toc104396689" w:history="1">
        <w:r w:rsidR="005C5E68" w:rsidRPr="00767BCA">
          <w:rPr>
            <w:rStyle w:val="Hyperlink"/>
            <w:i/>
            <w:noProof/>
          </w:rPr>
          <w:t>5.2.2</w:t>
        </w:r>
        <w:r w:rsidR="005C5E68">
          <w:rPr>
            <w:rFonts w:eastAsiaTheme="minorEastAsia" w:cstheme="minorBidi"/>
            <w:smallCaps w:val="0"/>
            <w:noProof/>
            <w:color w:val="auto"/>
            <w:sz w:val="22"/>
            <w:szCs w:val="22"/>
            <w:lang w:eastAsia="en-GB"/>
          </w:rPr>
          <w:tab/>
        </w:r>
        <w:r w:rsidR="005C5E68" w:rsidRPr="00767BCA">
          <w:rPr>
            <w:rStyle w:val="Hyperlink"/>
            <w:i/>
            <w:noProof/>
          </w:rPr>
          <w:t>Strawberry runner production – Canada</w:t>
        </w:r>
        <w:r w:rsidR="005C5E68">
          <w:rPr>
            <w:noProof/>
            <w:webHidden/>
          </w:rPr>
          <w:tab/>
        </w:r>
        <w:r w:rsidR="005C5E68">
          <w:rPr>
            <w:noProof/>
            <w:webHidden/>
          </w:rPr>
          <w:fldChar w:fldCharType="begin"/>
        </w:r>
        <w:r w:rsidR="005C5E68">
          <w:rPr>
            <w:noProof/>
            <w:webHidden/>
          </w:rPr>
          <w:instrText xml:space="preserve"> PAGEREF _Toc104396689 \h </w:instrText>
        </w:r>
        <w:r w:rsidR="005C5E68">
          <w:rPr>
            <w:noProof/>
            <w:webHidden/>
          </w:rPr>
        </w:r>
        <w:r w:rsidR="005C5E68">
          <w:rPr>
            <w:noProof/>
            <w:webHidden/>
          </w:rPr>
          <w:fldChar w:fldCharType="separate"/>
        </w:r>
        <w:r w:rsidR="00FC0382">
          <w:rPr>
            <w:noProof/>
            <w:webHidden/>
          </w:rPr>
          <w:t>34</w:t>
        </w:r>
        <w:r w:rsidR="005C5E68">
          <w:rPr>
            <w:noProof/>
            <w:webHidden/>
          </w:rPr>
          <w:fldChar w:fldCharType="end"/>
        </w:r>
      </w:hyperlink>
    </w:p>
    <w:p w14:paraId="55C16DC5" w14:textId="2643580B" w:rsidR="005C5E68" w:rsidRDefault="00143903">
      <w:pPr>
        <w:pStyle w:val="TOC2"/>
        <w:rPr>
          <w:rFonts w:eastAsiaTheme="minorEastAsia" w:cstheme="minorBidi"/>
          <w:smallCaps w:val="0"/>
          <w:noProof/>
          <w:color w:val="auto"/>
          <w:sz w:val="22"/>
          <w:szCs w:val="22"/>
          <w:lang w:eastAsia="en-GB"/>
        </w:rPr>
      </w:pPr>
      <w:hyperlink w:anchor="_Toc104396690" w:history="1">
        <w:r w:rsidR="005C5E68" w:rsidRPr="00767BCA">
          <w:rPr>
            <w:rStyle w:val="Hyperlink"/>
            <w:i/>
            <w:noProof/>
          </w:rPr>
          <w:t>5.2.3</w:t>
        </w:r>
        <w:r w:rsidR="005C5E68">
          <w:rPr>
            <w:rFonts w:eastAsiaTheme="minorEastAsia" w:cstheme="minorBidi"/>
            <w:smallCaps w:val="0"/>
            <w:noProof/>
            <w:color w:val="auto"/>
            <w:sz w:val="22"/>
            <w:szCs w:val="22"/>
            <w:lang w:eastAsia="en-GB"/>
          </w:rPr>
          <w:tab/>
        </w:r>
        <w:r w:rsidR="005C5E68" w:rsidRPr="00767BCA">
          <w:rPr>
            <w:rStyle w:val="Hyperlink"/>
            <w:i/>
            <w:noProof/>
          </w:rPr>
          <w:t>Structures – disinfestation of houses in South Africa</w:t>
        </w:r>
        <w:r w:rsidR="005C5E68">
          <w:rPr>
            <w:noProof/>
            <w:webHidden/>
          </w:rPr>
          <w:tab/>
        </w:r>
        <w:r w:rsidR="005C5E68">
          <w:rPr>
            <w:noProof/>
            <w:webHidden/>
          </w:rPr>
          <w:fldChar w:fldCharType="begin"/>
        </w:r>
        <w:r w:rsidR="005C5E68">
          <w:rPr>
            <w:noProof/>
            <w:webHidden/>
          </w:rPr>
          <w:instrText xml:space="preserve"> PAGEREF _Toc104396690 \h </w:instrText>
        </w:r>
        <w:r w:rsidR="005C5E68">
          <w:rPr>
            <w:noProof/>
            <w:webHidden/>
          </w:rPr>
        </w:r>
        <w:r w:rsidR="005C5E68">
          <w:rPr>
            <w:noProof/>
            <w:webHidden/>
          </w:rPr>
          <w:fldChar w:fldCharType="separate"/>
        </w:r>
        <w:r w:rsidR="00FC0382">
          <w:rPr>
            <w:noProof/>
            <w:webHidden/>
          </w:rPr>
          <w:t>34</w:t>
        </w:r>
        <w:r w:rsidR="005C5E68">
          <w:rPr>
            <w:noProof/>
            <w:webHidden/>
          </w:rPr>
          <w:fldChar w:fldCharType="end"/>
        </w:r>
      </w:hyperlink>
    </w:p>
    <w:p w14:paraId="789CFD59" w14:textId="009924A0" w:rsidR="005C5E68" w:rsidRDefault="00143903">
      <w:pPr>
        <w:pStyle w:val="TOC2"/>
        <w:rPr>
          <w:rFonts w:eastAsiaTheme="minorEastAsia" w:cstheme="minorBidi"/>
          <w:smallCaps w:val="0"/>
          <w:noProof/>
          <w:color w:val="auto"/>
          <w:sz w:val="22"/>
          <w:szCs w:val="22"/>
          <w:lang w:eastAsia="en-GB"/>
        </w:rPr>
      </w:pPr>
      <w:hyperlink w:anchor="_Toc104396691" w:history="1">
        <w:r w:rsidR="005C5E68" w:rsidRPr="00767BCA">
          <w:rPr>
            <w:rStyle w:val="Hyperlink"/>
            <w:noProof/>
          </w:rPr>
          <w:t>5.3</w:t>
        </w:r>
        <w:r w:rsidR="005C5E68">
          <w:rPr>
            <w:rFonts w:eastAsiaTheme="minorEastAsia" w:cstheme="minorBidi"/>
            <w:smallCaps w:val="0"/>
            <w:noProof/>
            <w:color w:val="auto"/>
            <w:sz w:val="22"/>
            <w:szCs w:val="22"/>
            <w:lang w:eastAsia="en-GB"/>
          </w:rPr>
          <w:tab/>
        </w:r>
        <w:r w:rsidR="005C5E68" w:rsidRPr="00767BCA">
          <w:rPr>
            <w:rStyle w:val="Hyperlink"/>
            <w:noProof/>
          </w:rPr>
          <w:t>QPS uses of methyl bromide</w:t>
        </w:r>
        <w:r w:rsidR="005C5E68">
          <w:rPr>
            <w:noProof/>
            <w:webHidden/>
          </w:rPr>
          <w:tab/>
        </w:r>
        <w:r w:rsidR="005C5E68">
          <w:rPr>
            <w:noProof/>
            <w:webHidden/>
          </w:rPr>
          <w:fldChar w:fldCharType="begin"/>
        </w:r>
        <w:r w:rsidR="005C5E68">
          <w:rPr>
            <w:noProof/>
            <w:webHidden/>
          </w:rPr>
          <w:instrText xml:space="preserve"> PAGEREF _Toc104396691 \h </w:instrText>
        </w:r>
        <w:r w:rsidR="005C5E68">
          <w:rPr>
            <w:noProof/>
            <w:webHidden/>
          </w:rPr>
        </w:r>
        <w:r w:rsidR="005C5E68">
          <w:rPr>
            <w:noProof/>
            <w:webHidden/>
          </w:rPr>
          <w:fldChar w:fldCharType="separate"/>
        </w:r>
        <w:r w:rsidR="00FC0382">
          <w:rPr>
            <w:noProof/>
            <w:webHidden/>
          </w:rPr>
          <w:t>34</w:t>
        </w:r>
        <w:r w:rsidR="005C5E68">
          <w:rPr>
            <w:noProof/>
            <w:webHidden/>
          </w:rPr>
          <w:fldChar w:fldCharType="end"/>
        </w:r>
      </w:hyperlink>
    </w:p>
    <w:p w14:paraId="39B036EB" w14:textId="4DCAC48C" w:rsidR="005C5E68" w:rsidRDefault="00143903">
      <w:pPr>
        <w:pStyle w:val="TOC2"/>
        <w:rPr>
          <w:rFonts w:eastAsiaTheme="minorEastAsia" w:cstheme="minorBidi"/>
          <w:smallCaps w:val="0"/>
          <w:noProof/>
          <w:color w:val="auto"/>
          <w:sz w:val="22"/>
          <w:szCs w:val="22"/>
          <w:lang w:eastAsia="en-GB"/>
        </w:rPr>
      </w:pPr>
      <w:hyperlink w:anchor="_Toc104396692" w:history="1">
        <w:r w:rsidR="005C5E68" w:rsidRPr="00767BCA">
          <w:rPr>
            <w:rStyle w:val="Hyperlink"/>
            <w:i/>
            <w:noProof/>
          </w:rPr>
          <w:t>5.3.1</w:t>
        </w:r>
        <w:r w:rsidR="005C5E68">
          <w:rPr>
            <w:rFonts w:eastAsiaTheme="minorEastAsia" w:cstheme="minorBidi"/>
            <w:smallCaps w:val="0"/>
            <w:noProof/>
            <w:color w:val="auto"/>
            <w:sz w:val="22"/>
            <w:szCs w:val="22"/>
            <w:lang w:eastAsia="en-GB"/>
          </w:rPr>
          <w:tab/>
        </w:r>
        <w:r w:rsidR="005C5E68" w:rsidRPr="00767BCA">
          <w:rPr>
            <w:rStyle w:val="Hyperlink"/>
            <w:i/>
            <w:noProof/>
          </w:rPr>
          <w:t>Chemical alternatives</w:t>
        </w:r>
        <w:r w:rsidR="005C5E68">
          <w:rPr>
            <w:noProof/>
            <w:webHidden/>
          </w:rPr>
          <w:tab/>
        </w:r>
        <w:r w:rsidR="005C5E68">
          <w:rPr>
            <w:noProof/>
            <w:webHidden/>
          </w:rPr>
          <w:fldChar w:fldCharType="begin"/>
        </w:r>
        <w:r w:rsidR="005C5E68">
          <w:rPr>
            <w:noProof/>
            <w:webHidden/>
          </w:rPr>
          <w:instrText xml:space="preserve"> PAGEREF _Toc104396692 \h </w:instrText>
        </w:r>
        <w:r w:rsidR="005C5E68">
          <w:rPr>
            <w:noProof/>
            <w:webHidden/>
          </w:rPr>
        </w:r>
        <w:r w:rsidR="005C5E68">
          <w:rPr>
            <w:noProof/>
            <w:webHidden/>
          </w:rPr>
          <w:fldChar w:fldCharType="separate"/>
        </w:r>
        <w:r w:rsidR="00FC0382">
          <w:rPr>
            <w:noProof/>
            <w:webHidden/>
          </w:rPr>
          <w:t>34</w:t>
        </w:r>
        <w:r w:rsidR="005C5E68">
          <w:rPr>
            <w:noProof/>
            <w:webHidden/>
          </w:rPr>
          <w:fldChar w:fldCharType="end"/>
        </w:r>
      </w:hyperlink>
    </w:p>
    <w:p w14:paraId="3837AB51" w14:textId="7DCA887E" w:rsidR="005C5E68" w:rsidRDefault="00143903">
      <w:pPr>
        <w:pStyle w:val="TOC2"/>
        <w:rPr>
          <w:rFonts w:eastAsiaTheme="minorEastAsia" w:cstheme="minorBidi"/>
          <w:smallCaps w:val="0"/>
          <w:noProof/>
          <w:color w:val="auto"/>
          <w:sz w:val="22"/>
          <w:szCs w:val="22"/>
          <w:lang w:eastAsia="en-GB"/>
        </w:rPr>
      </w:pPr>
      <w:hyperlink w:anchor="_Toc104396693" w:history="1">
        <w:r w:rsidR="005C5E68" w:rsidRPr="00767BCA">
          <w:rPr>
            <w:rStyle w:val="Hyperlink"/>
            <w:i/>
            <w:noProof/>
          </w:rPr>
          <w:t>5.3.2</w:t>
        </w:r>
        <w:r w:rsidR="005C5E68">
          <w:rPr>
            <w:rFonts w:eastAsiaTheme="minorEastAsia" w:cstheme="minorBidi"/>
            <w:smallCaps w:val="0"/>
            <w:noProof/>
            <w:color w:val="auto"/>
            <w:sz w:val="22"/>
            <w:szCs w:val="22"/>
            <w:lang w:eastAsia="en-GB"/>
          </w:rPr>
          <w:tab/>
        </w:r>
        <w:r w:rsidR="005C5E68" w:rsidRPr="00767BCA">
          <w:rPr>
            <w:rStyle w:val="Hyperlink"/>
            <w:i/>
            <w:noProof/>
          </w:rPr>
          <w:t>Non-chemical alternatives</w:t>
        </w:r>
        <w:r w:rsidR="005C5E68">
          <w:rPr>
            <w:noProof/>
            <w:webHidden/>
          </w:rPr>
          <w:tab/>
        </w:r>
        <w:r w:rsidR="005C5E68">
          <w:rPr>
            <w:noProof/>
            <w:webHidden/>
          </w:rPr>
          <w:fldChar w:fldCharType="begin"/>
        </w:r>
        <w:r w:rsidR="005C5E68">
          <w:rPr>
            <w:noProof/>
            <w:webHidden/>
          </w:rPr>
          <w:instrText xml:space="preserve"> PAGEREF _Toc104396693 \h </w:instrText>
        </w:r>
        <w:r w:rsidR="005C5E68">
          <w:rPr>
            <w:noProof/>
            <w:webHidden/>
          </w:rPr>
        </w:r>
        <w:r w:rsidR="005C5E68">
          <w:rPr>
            <w:noProof/>
            <w:webHidden/>
          </w:rPr>
          <w:fldChar w:fldCharType="separate"/>
        </w:r>
        <w:r w:rsidR="00FC0382">
          <w:rPr>
            <w:noProof/>
            <w:webHidden/>
          </w:rPr>
          <w:t>37</w:t>
        </w:r>
        <w:r w:rsidR="005C5E68">
          <w:rPr>
            <w:noProof/>
            <w:webHidden/>
          </w:rPr>
          <w:fldChar w:fldCharType="end"/>
        </w:r>
      </w:hyperlink>
    </w:p>
    <w:p w14:paraId="4AB40303" w14:textId="72075FAC" w:rsidR="005C5E68" w:rsidRDefault="00143903">
      <w:pPr>
        <w:pStyle w:val="TOC2"/>
        <w:rPr>
          <w:rFonts w:eastAsiaTheme="minorEastAsia" w:cstheme="minorBidi"/>
          <w:smallCaps w:val="0"/>
          <w:noProof/>
          <w:color w:val="auto"/>
          <w:sz w:val="22"/>
          <w:szCs w:val="22"/>
          <w:lang w:eastAsia="en-GB"/>
        </w:rPr>
      </w:pPr>
      <w:hyperlink w:anchor="_Toc104396694" w:history="1">
        <w:r w:rsidR="005C5E68" w:rsidRPr="00767BCA">
          <w:rPr>
            <w:rStyle w:val="Hyperlink"/>
            <w:noProof/>
          </w:rPr>
          <w:t>5.4.</w:t>
        </w:r>
        <w:r w:rsidR="005C5E68">
          <w:rPr>
            <w:rFonts w:eastAsiaTheme="minorEastAsia" w:cstheme="minorBidi"/>
            <w:smallCaps w:val="0"/>
            <w:noProof/>
            <w:color w:val="auto"/>
            <w:sz w:val="22"/>
            <w:szCs w:val="22"/>
            <w:lang w:eastAsia="en-GB"/>
          </w:rPr>
          <w:tab/>
        </w:r>
        <w:r w:rsidR="005C5E68" w:rsidRPr="00767BCA">
          <w:rPr>
            <w:rStyle w:val="Hyperlink"/>
            <w:noProof/>
          </w:rPr>
          <w:t>Methyl bromide emissions and recapture</w:t>
        </w:r>
        <w:r w:rsidR="005C5E68">
          <w:rPr>
            <w:noProof/>
            <w:webHidden/>
          </w:rPr>
          <w:tab/>
        </w:r>
        <w:r w:rsidR="005C5E68">
          <w:rPr>
            <w:noProof/>
            <w:webHidden/>
          </w:rPr>
          <w:fldChar w:fldCharType="begin"/>
        </w:r>
        <w:r w:rsidR="005C5E68">
          <w:rPr>
            <w:noProof/>
            <w:webHidden/>
          </w:rPr>
          <w:instrText xml:space="preserve"> PAGEREF _Toc104396694 \h </w:instrText>
        </w:r>
        <w:r w:rsidR="005C5E68">
          <w:rPr>
            <w:noProof/>
            <w:webHidden/>
          </w:rPr>
        </w:r>
        <w:r w:rsidR="005C5E68">
          <w:rPr>
            <w:noProof/>
            <w:webHidden/>
          </w:rPr>
          <w:fldChar w:fldCharType="separate"/>
        </w:r>
        <w:r w:rsidR="00FC0382">
          <w:rPr>
            <w:noProof/>
            <w:webHidden/>
          </w:rPr>
          <w:t>39</w:t>
        </w:r>
        <w:r w:rsidR="005C5E68">
          <w:rPr>
            <w:noProof/>
            <w:webHidden/>
          </w:rPr>
          <w:fldChar w:fldCharType="end"/>
        </w:r>
      </w:hyperlink>
    </w:p>
    <w:p w14:paraId="76E479F4" w14:textId="0F018B24" w:rsidR="005C5E68" w:rsidRDefault="00143903">
      <w:pPr>
        <w:pStyle w:val="TOC2"/>
        <w:rPr>
          <w:rFonts w:eastAsiaTheme="minorEastAsia" w:cstheme="minorBidi"/>
          <w:smallCaps w:val="0"/>
          <w:noProof/>
          <w:color w:val="auto"/>
          <w:sz w:val="22"/>
          <w:szCs w:val="22"/>
          <w:lang w:eastAsia="en-GB"/>
        </w:rPr>
      </w:pPr>
      <w:hyperlink w:anchor="_Toc104396695" w:history="1">
        <w:r w:rsidR="005C5E68" w:rsidRPr="00767BCA">
          <w:rPr>
            <w:rStyle w:val="Hyperlink"/>
            <w:i/>
            <w:noProof/>
          </w:rPr>
          <w:t xml:space="preserve">5.4.1 </w:t>
        </w:r>
        <w:r w:rsidR="005C5E68">
          <w:rPr>
            <w:rFonts w:eastAsiaTheme="minorEastAsia" w:cstheme="minorBidi"/>
            <w:smallCaps w:val="0"/>
            <w:noProof/>
            <w:color w:val="auto"/>
            <w:sz w:val="22"/>
            <w:szCs w:val="22"/>
            <w:lang w:eastAsia="en-GB"/>
          </w:rPr>
          <w:tab/>
        </w:r>
        <w:r w:rsidR="005C5E68" w:rsidRPr="00767BCA">
          <w:rPr>
            <w:rStyle w:val="Hyperlink"/>
            <w:i/>
            <w:noProof/>
          </w:rPr>
          <w:t>Emissions of MB</w:t>
        </w:r>
        <w:r w:rsidR="005C5E68">
          <w:rPr>
            <w:noProof/>
            <w:webHidden/>
          </w:rPr>
          <w:tab/>
        </w:r>
        <w:r w:rsidR="005C5E68">
          <w:rPr>
            <w:noProof/>
            <w:webHidden/>
          </w:rPr>
          <w:fldChar w:fldCharType="begin"/>
        </w:r>
        <w:r w:rsidR="005C5E68">
          <w:rPr>
            <w:noProof/>
            <w:webHidden/>
          </w:rPr>
          <w:instrText xml:space="preserve"> PAGEREF _Toc104396695 \h </w:instrText>
        </w:r>
        <w:r w:rsidR="005C5E68">
          <w:rPr>
            <w:noProof/>
            <w:webHidden/>
          </w:rPr>
        </w:r>
        <w:r w:rsidR="005C5E68">
          <w:rPr>
            <w:noProof/>
            <w:webHidden/>
          </w:rPr>
          <w:fldChar w:fldCharType="separate"/>
        </w:r>
        <w:r w:rsidR="00FC0382">
          <w:rPr>
            <w:noProof/>
            <w:webHidden/>
          </w:rPr>
          <w:t>39</w:t>
        </w:r>
        <w:r w:rsidR="005C5E68">
          <w:rPr>
            <w:noProof/>
            <w:webHidden/>
          </w:rPr>
          <w:fldChar w:fldCharType="end"/>
        </w:r>
      </w:hyperlink>
    </w:p>
    <w:p w14:paraId="36278D1D" w14:textId="40481DB3" w:rsidR="005C5E68" w:rsidRDefault="00143903">
      <w:pPr>
        <w:pStyle w:val="TOC2"/>
        <w:rPr>
          <w:rFonts w:eastAsiaTheme="minorEastAsia" w:cstheme="minorBidi"/>
          <w:smallCaps w:val="0"/>
          <w:noProof/>
          <w:color w:val="auto"/>
          <w:sz w:val="22"/>
          <w:szCs w:val="22"/>
          <w:lang w:eastAsia="en-GB"/>
        </w:rPr>
      </w:pPr>
      <w:hyperlink w:anchor="_Toc104396696" w:history="1">
        <w:r w:rsidR="005C5E68" w:rsidRPr="00767BCA">
          <w:rPr>
            <w:rStyle w:val="Hyperlink"/>
            <w:i/>
            <w:noProof/>
          </w:rPr>
          <w:t>5.4.2</w:t>
        </w:r>
        <w:r w:rsidR="005C5E68">
          <w:rPr>
            <w:rFonts w:eastAsiaTheme="minorEastAsia" w:cstheme="minorBidi"/>
            <w:smallCaps w:val="0"/>
            <w:noProof/>
            <w:color w:val="auto"/>
            <w:sz w:val="22"/>
            <w:szCs w:val="22"/>
            <w:lang w:eastAsia="en-GB"/>
          </w:rPr>
          <w:tab/>
        </w:r>
        <w:r w:rsidR="005C5E68" w:rsidRPr="00767BCA">
          <w:rPr>
            <w:rStyle w:val="Hyperlink"/>
            <w:i/>
            <w:noProof/>
          </w:rPr>
          <w:t xml:space="preserve"> Copper based chemicals contribute to unaccounted atmospheric MB levels</w:t>
        </w:r>
        <w:r w:rsidR="005C5E68">
          <w:rPr>
            <w:noProof/>
            <w:webHidden/>
          </w:rPr>
          <w:tab/>
        </w:r>
        <w:r w:rsidR="005C5E68">
          <w:rPr>
            <w:noProof/>
            <w:webHidden/>
          </w:rPr>
          <w:fldChar w:fldCharType="begin"/>
        </w:r>
        <w:r w:rsidR="005C5E68">
          <w:rPr>
            <w:noProof/>
            <w:webHidden/>
          </w:rPr>
          <w:instrText xml:space="preserve"> PAGEREF _Toc104396696 \h </w:instrText>
        </w:r>
        <w:r w:rsidR="005C5E68">
          <w:rPr>
            <w:noProof/>
            <w:webHidden/>
          </w:rPr>
        </w:r>
        <w:r w:rsidR="005C5E68">
          <w:rPr>
            <w:noProof/>
            <w:webHidden/>
          </w:rPr>
          <w:fldChar w:fldCharType="separate"/>
        </w:r>
        <w:r w:rsidR="00FC0382">
          <w:rPr>
            <w:noProof/>
            <w:webHidden/>
          </w:rPr>
          <w:t>40</w:t>
        </w:r>
        <w:r w:rsidR="005C5E68">
          <w:rPr>
            <w:noProof/>
            <w:webHidden/>
          </w:rPr>
          <w:fldChar w:fldCharType="end"/>
        </w:r>
      </w:hyperlink>
    </w:p>
    <w:p w14:paraId="265D5499" w14:textId="342D4293" w:rsidR="005C5E68" w:rsidRDefault="00143903">
      <w:pPr>
        <w:pStyle w:val="TOC2"/>
        <w:rPr>
          <w:rFonts w:eastAsiaTheme="minorEastAsia" w:cstheme="minorBidi"/>
          <w:smallCaps w:val="0"/>
          <w:noProof/>
          <w:color w:val="auto"/>
          <w:sz w:val="22"/>
          <w:szCs w:val="22"/>
          <w:lang w:eastAsia="en-GB"/>
        </w:rPr>
      </w:pPr>
      <w:hyperlink w:anchor="_Toc104396697" w:history="1">
        <w:r w:rsidR="005C5E68" w:rsidRPr="00767BCA">
          <w:rPr>
            <w:rStyle w:val="Hyperlink"/>
            <w:i/>
            <w:noProof/>
          </w:rPr>
          <w:t>5.4.3</w:t>
        </w:r>
        <w:r w:rsidR="005C5E68">
          <w:rPr>
            <w:rFonts w:eastAsiaTheme="minorEastAsia" w:cstheme="minorBidi"/>
            <w:smallCaps w:val="0"/>
            <w:noProof/>
            <w:color w:val="auto"/>
            <w:sz w:val="22"/>
            <w:szCs w:val="22"/>
            <w:lang w:eastAsia="en-GB"/>
          </w:rPr>
          <w:tab/>
        </w:r>
        <w:r w:rsidR="005C5E68" w:rsidRPr="00767BCA">
          <w:rPr>
            <w:rStyle w:val="Hyperlink"/>
            <w:i/>
            <w:noProof/>
          </w:rPr>
          <w:t xml:space="preserve"> Recapture of MB</w:t>
        </w:r>
        <w:r w:rsidR="005C5E68">
          <w:rPr>
            <w:noProof/>
            <w:webHidden/>
          </w:rPr>
          <w:tab/>
        </w:r>
        <w:r w:rsidR="005C5E68">
          <w:rPr>
            <w:noProof/>
            <w:webHidden/>
          </w:rPr>
          <w:fldChar w:fldCharType="begin"/>
        </w:r>
        <w:r w:rsidR="005C5E68">
          <w:rPr>
            <w:noProof/>
            <w:webHidden/>
          </w:rPr>
          <w:instrText xml:space="preserve"> PAGEREF _Toc104396697 \h </w:instrText>
        </w:r>
        <w:r w:rsidR="005C5E68">
          <w:rPr>
            <w:noProof/>
            <w:webHidden/>
          </w:rPr>
        </w:r>
        <w:r w:rsidR="005C5E68">
          <w:rPr>
            <w:noProof/>
            <w:webHidden/>
          </w:rPr>
          <w:fldChar w:fldCharType="separate"/>
        </w:r>
        <w:r w:rsidR="00FC0382">
          <w:rPr>
            <w:noProof/>
            <w:webHidden/>
          </w:rPr>
          <w:t>40</w:t>
        </w:r>
        <w:r w:rsidR="005C5E68">
          <w:rPr>
            <w:noProof/>
            <w:webHidden/>
          </w:rPr>
          <w:fldChar w:fldCharType="end"/>
        </w:r>
      </w:hyperlink>
    </w:p>
    <w:p w14:paraId="65833ADC" w14:textId="3F96774C" w:rsidR="005C5E68" w:rsidRDefault="00143903">
      <w:pPr>
        <w:pStyle w:val="TOC2"/>
        <w:rPr>
          <w:rFonts w:eastAsiaTheme="minorEastAsia" w:cstheme="minorBidi"/>
          <w:smallCaps w:val="0"/>
          <w:noProof/>
          <w:color w:val="auto"/>
          <w:sz w:val="22"/>
          <w:szCs w:val="22"/>
          <w:lang w:eastAsia="en-GB"/>
        </w:rPr>
      </w:pPr>
      <w:hyperlink w:anchor="_Toc104396698" w:history="1">
        <w:r w:rsidR="005C5E68" w:rsidRPr="00767BCA">
          <w:rPr>
            <w:rStyle w:val="Hyperlink"/>
            <w:noProof/>
          </w:rPr>
          <w:t>5.5</w:t>
        </w:r>
        <w:r w:rsidR="005C5E68">
          <w:rPr>
            <w:rFonts w:eastAsiaTheme="minorEastAsia" w:cstheme="minorBidi"/>
            <w:smallCaps w:val="0"/>
            <w:noProof/>
            <w:color w:val="auto"/>
            <w:sz w:val="22"/>
            <w:szCs w:val="22"/>
            <w:lang w:eastAsia="en-GB"/>
          </w:rPr>
          <w:tab/>
        </w:r>
        <w:r w:rsidR="005C5E68" w:rsidRPr="00767BCA">
          <w:rPr>
            <w:rStyle w:val="Hyperlink"/>
            <w:noProof/>
          </w:rPr>
          <w:t>International Plant Protection Convention (IPPC)</w:t>
        </w:r>
        <w:r w:rsidR="005C5E68">
          <w:rPr>
            <w:noProof/>
            <w:webHidden/>
          </w:rPr>
          <w:tab/>
        </w:r>
        <w:r w:rsidR="005C5E68">
          <w:rPr>
            <w:noProof/>
            <w:webHidden/>
          </w:rPr>
          <w:fldChar w:fldCharType="begin"/>
        </w:r>
        <w:r w:rsidR="005C5E68">
          <w:rPr>
            <w:noProof/>
            <w:webHidden/>
          </w:rPr>
          <w:instrText xml:space="preserve"> PAGEREF _Toc104396698 \h </w:instrText>
        </w:r>
        <w:r w:rsidR="005C5E68">
          <w:rPr>
            <w:noProof/>
            <w:webHidden/>
          </w:rPr>
        </w:r>
        <w:r w:rsidR="005C5E68">
          <w:rPr>
            <w:noProof/>
            <w:webHidden/>
          </w:rPr>
          <w:fldChar w:fldCharType="separate"/>
        </w:r>
        <w:r w:rsidR="00FC0382">
          <w:rPr>
            <w:noProof/>
            <w:webHidden/>
          </w:rPr>
          <w:t>41</w:t>
        </w:r>
        <w:r w:rsidR="005C5E68">
          <w:rPr>
            <w:noProof/>
            <w:webHidden/>
          </w:rPr>
          <w:fldChar w:fldCharType="end"/>
        </w:r>
      </w:hyperlink>
    </w:p>
    <w:p w14:paraId="7675FC7C" w14:textId="55C81EAB" w:rsidR="005C5E68" w:rsidRDefault="00143903">
      <w:pPr>
        <w:pStyle w:val="TOC2"/>
        <w:rPr>
          <w:rFonts w:eastAsiaTheme="minorEastAsia" w:cstheme="minorBidi"/>
          <w:smallCaps w:val="0"/>
          <w:noProof/>
          <w:color w:val="auto"/>
          <w:sz w:val="22"/>
          <w:szCs w:val="22"/>
          <w:lang w:eastAsia="en-GB"/>
        </w:rPr>
      </w:pPr>
      <w:hyperlink w:anchor="_Toc104396699" w:history="1">
        <w:r w:rsidR="005C5E68" w:rsidRPr="00767BCA">
          <w:rPr>
            <w:rStyle w:val="Hyperlink"/>
            <w:noProof/>
          </w:rPr>
          <w:t>5.6</w:t>
        </w:r>
        <w:r w:rsidR="005C5E68">
          <w:rPr>
            <w:rFonts w:eastAsiaTheme="minorEastAsia" w:cstheme="minorBidi"/>
            <w:smallCaps w:val="0"/>
            <w:noProof/>
            <w:color w:val="auto"/>
            <w:sz w:val="22"/>
            <w:szCs w:val="22"/>
            <w:lang w:eastAsia="en-GB"/>
          </w:rPr>
          <w:tab/>
        </w:r>
        <w:r w:rsidR="005C5E68" w:rsidRPr="00767BCA">
          <w:rPr>
            <w:rStyle w:val="Hyperlink"/>
            <w:noProof/>
          </w:rPr>
          <w:t>Other issues</w:t>
        </w:r>
        <w:r w:rsidR="005C5E68">
          <w:rPr>
            <w:noProof/>
            <w:webHidden/>
          </w:rPr>
          <w:tab/>
        </w:r>
        <w:r w:rsidR="005C5E68">
          <w:rPr>
            <w:noProof/>
            <w:webHidden/>
          </w:rPr>
          <w:fldChar w:fldCharType="begin"/>
        </w:r>
        <w:r w:rsidR="005C5E68">
          <w:rPr>
            <w:noProof/>
            <w:webHidden/>
          </w:rPr>
          <w:instrText xml:space="preserve"> PAGEREF _Toc104396699 \h </w:instrText>
        </w:r>
        <w:r w:rsidR="005C5E68">
          <w:rPr>
            <w:noProof/>
            <w:webHidden/>
          </w:rPr>
        </w:r>
        <w:r w:rsidR="005C5E68">
          <w:rPr>
            <w:noProof/>
            <w:webHidden/>
          </w:rPr>
          <w:fldChar w:fldCharType="separate"/>
        </w:r>
        <w:r w:rsidR="00FC0382">
          <w:rPr>
            <w:noProof/>
            <w:webHidden/>
          </w:rPr>
          <w:t>42</w:t>
        </w:r>
        <w:r w:rsidR="005C5E68">
          <w:rPr>
            <w:noProof/>
            <w:webHidden/>
          </w:rPr>
          <w:fldChar w:fldCharType="end"/>
        </w:r>
      </w:hyperlink>
    </w:p>
    <w:p w14:paraId="276416D6" w14:textId="2808564F" w:rsidR="005C5E68" w:rsidRDefault="00143903">
      <w:pPr>
        <w:pStyle w:val="TOC2"/>
        <w:rPr>
          <w:rFonts w:eastAsiaTheme="minorEastAsia" w:cstheme="minorBidi"/>
          <w:smallCaps w:val="0"/>
          <w:noProof/>
          <w:color w:val="auto"/>
          <w:sz w:val="22"/>
          <w:szCs w:val="22"/>
          <w:lang w:eastAsia="en-GB"/>
        </w:rPr>
      </w:pPr>
      <w:hyperlink w:anchor="_Toc104396700" w:history="1">
        <w:r w:rsidR="005C5E68" w:rsidRPr="00767BCA">
          <w:rPr>
            <w:rStyle w:val="Hyperlink"/>
            <w:i/>
            <w:noProof/>
          </w:rPr>
          <w:t>5.6.1</w:t>
        </w:r>
        <w:r w:rsidR="005C5E68">
          <w:rPr>
            <w:rFonts w:eastAsiaTheme="minorEastAsia" w:cstheme="minorBidi"/>
            <w:smallCaps w:val="0"/>
            <w:noProof/>
            <w:color w:val="auto"/>
            <w:sz w:val="22"/>
            <w:szCs w:val="22"/>
            <w:lang w:eastAsia="en-GB"/>
          </w:rPr>
          <w:tab/>
        </w:r>
        <w:r w:rsidR="005C5E68" w:rsidRPr="00767BCA">
          <w:rPr>
            <w:rStyle w:val="Hyperlink"/>
            <w:i/>
            <w:noProof/>
          </w:rPr>
          <w:t xml:space="preserve"> International trade treated with MB</w:t>
        </w:r>
        <w:r w:rsidR="005C5E68">
          <w:rPr>
            <w:noProof/>
            <w:webHidden/>
          </w:rPr>
          <w:tab/>
        </w:r>
        <w:r w:rsidR="005C5E68">
          <w:rPr>
            <w:noProof/>
            <w:webHidden/>
          </w:rPr>
          <w:fldChar w:fldCharType="begin"/>
        </w:r>
        <w:r w:rsidR="005C5E68">
          <w:rPr>
            <w:noProof/>
            <w:webHidden/>
          </w:rPr>
          <w:instrText xml:space="preserve"> PAGEREF _Toc104396700 \h </w:instrText>
        </w:r>
        <w:r w:rsidR="005C5E68">
          <w:rPr>
            <w:noProof/>
            <w:webHidden/>
          </w:rPr>
        </w:r>
        <w:r w:rsidR="005C5E68">
          <w:rPr>
            <w:noProof/>
            <w:webHidden/>
          </w:rPr>
          <w:fldChar w:fldCharType="separate"/>
        </w:r>
        <w:r w:rsidR="00FC0382">
          <w:rPr>
            <w:noProof/>
            <w:webHidden/>
          </w:rPr>
          <w:t>42</w:t>
        </w:r>
        <w:r w:rsidR="005C5E68">
          <w:rPr>
            <w:noProof/>
            <w:webHidden/>
          </w:rPr>
          <w:fldChar w:fldCharType="end"/>
        </w:r>
      </w:hyperlink>
    </w:p>
    <w:p w14:paraId="45CCD7E6" w14:textId="5A96D495" w:rsidR="005C5E68" w:rsidRDefault="00143903">
      <w:pPr>
        <w:pStyle w:val="TOC2"/>
        <w:rPr>
          <w:rFonts w:eastAsiaTheme="minorEastAsia" w:cstheme="minorBidi"/>
          <w:smallCaps w:val="0"/>
          <w:noProof/>
          <w:color w:val="auto"/>
          <w:sz w:val="22"/>
          <w:szCs w:val="22"/>
          <w:lang w:eastAsia="en-GB"/>
        </w:rPr>
      </w:pPr>
      <w:hyperlink w:anchor="_Toc104396701" w:history="1">
        <w:r w:rsidR="005C5E68" w:rsidRPr="00767BCA">
          <w:rPr>
            <w:rStyle w:val="Hyperlink"/>
            <w:i/>
            <w:noProof/>
          </w:rPr>
          <w:t>5.6.2</w:t>
        </w:r>
        <w:r w:rsidR="005C5E68">
          <w:rPr>
            <w:rFonts w:eastAsiaTheme="minorEastAsia" w:cstheme="minorBidi"/>
            <w:smallCaps w:val="0"/>
            <w:noProof/>
            <w:color w:val="auto"/>
            <w:sz w:val="22"/>
            <w:szCs w:val="22"/>
            <w:lang w:eastAsia="en-GB"/>
          </w:rPr>
          <w:tab/>
        </w:r>
        <w:r w:rsidR="005C5E68" w:rsidRPr="00767BCA">
          <w:rPr>
            <w:rStyle w:val="Hyperlink"/>
            <w:i/>
            <w:noProof/>
          </w:rPr>
          <w:t xml:space="preserve"> Post-harvest use for cured hams</w:t>
        </w:r>
        <w:r w:rsidR="005C5E68">
          <w:rPr>
            <w:noProof/>
            <w:webHidden/>
          </w:rPr>
          <w:tab/>
        </w:r>
        <w:r w:rsidR="005C5E68">
          <w:rPr>
            <w:noProof/>
            <w:webHidden/>
          </w:rPr>
          <w:fldChar w:fldCharType="begin"/>
        </w:r>
        <w:r w:rsidR="005C5E68">
          <w:rPr>
            <w:noProof/>
            <w:webHidden/>
          </w:rPr>
          <w:instrText xml:space="preserve"> PAGEREF _Toc104396701 \h </w:instrText>
        </w:r>
        <w:r w:rsidR="005C5E68">
          <w:rPr>
            <w:noProof/>
            <w:webHidden/>
          </w:rPr>
        </w:r>
        <w:r w:rsidR="005C5E68">
          <w:rPr>
            <w:noProof/>
            <w:webHidden/>
          </w:rPr>
          <w:fldChar w:fldCharType="separate"/>
        </w:r>
        <w:r w:rsidR="00FC0382">
          <w:rPr>
            <w:noProof/>
            <w:webHidden/>
          </w:rPr>
          <w:t>42</w:t>
        </w:r>
        <w:r w:rsidR="005C5E68">
          <w:rPr>
            <w:noProof/>
            <w:webHidden/>
          </w:rPr>
          <w:fldChar w:fldCharType="end"/>
        </w:r>
      </w:hyperlink>
    </w:p>
    <w:p w14:paraId="5E836952" w14:textId="59C82409" w:rsidR="005C5E68" w:rsidRDefault="00143903">
      <w:pPr>
        <w:pStyle w:val="TOC2"/>
        <w:rPr>
          <w:rFonts w:eastAsiaTheme="minorEastAsia" w:cstheme="minorBidi"/>
          <w:smallCaps w:val="0"/>
          <w:noProof/>
          <w:color w:val="auto"/>
          <w:sz w:val="22"/>
          <w:szCs w:val="22"/>
          <w:lang w:eastAsia="en-GB"/>
        </w:rPr>
      </w:pPr>
      <w:hyperlink w:anchor="_Toc104396702" w:history="1">
        <w:r w:rsidR="005C5E68" w:rsidRPr="00767BCA">
          <w:rPr>
            <w:rStyle w:val="Hyperlink"/>
            <w:i/>
            <w:noProof/>
          </w:rPr>
          <w:t>5.6.3</w:t>
        </w:r>
        <w:r w:rsidR="005C5E68">
          <w:rPr>
            <w:rFonts w:eastAsiaTheme="minorEastAsia" w:cstheme="minorBidi"/>
            <w:smallCaps w:val="0"/>
            <w:noProof/>
            <w:color w:val="auto"/>
            <w:sz w:val="22"/>
            <w:szCs w:val="22"/>
            <w:lang w:eastAsia="en-GB"/>
          </w:rPr>
          <w:tab/>
        </w:r>
        <w:r w:rsidR="005C5E68" w:rsidRPr="00767BCA">
          <w:rPr>
            <w:rStyle w:val="Hyperlink"/>
            <w:i/>
            <w:noProof/>
          </w:rPr>
          <w:t>Sulfuryl fluoride and its GWP</w:t>
        </w:r>
        <w:r w:rsidR="005C5E68">
          <w:rPr>
            <w:noProof/>
            <w:webHidden/>
          </w:rPr>
          <w:tab/>
        </w:r>
        <w:r w:rsidR="005C5E68">
          <w:rPr>
            <w:noProof/>
            <w:webHidden/>
          </w:rPr>
          <w:fldChar w:fldCharType="begin"/>
        </w:r>
        <w:r w:rsidR="005C5E68">
          <w:rPr>
            <w:noProof/>
            <w:webHidden/>
          </w:rPr>
          <w:instrText xml:space="preserve"> PAGEREF _Toc104396702 \h </w:instrText>
        </w:r>
        <w:r w:rsidR="005C5E68">
          <w:rPr>
            <w:noProof/>
            <w:webHidden/>
          </w:rPr>
        </w:r>
        <w:r w:rsidR="005C5E68">
          <w:rPr>
            <w:noProof/>
            <w:webHidden/>
          </w:rPr>
          <w:fldChar w:fldCharType="separate"/>
        </w:r>
        <w:r w:rsidR="00FC0382">
          <w:rPr>
            <w:noProof/>
            <w:webHidden/>
          </w:rPr>
          <w:t>42</w:t>
        </w:r>
        <w:r w:rsidR="005C5E68">
          <w:rPr>
            <w:noProof/>
            <w:webHidden/>
          </w:rPr>
          <w:fldChar w:fldCharType="end"/>
        </w:r>
      </w:hyperlink>
    </w:p>
    <w:p w14:paraId="726C55AA" w14:textId="2A46EF08" w:rsidR="005C5E68" w:rsidRDefault="00143903">
      <w:pPr>
        <w:pStyle w:val="TOC2"/>
        <w:rPr>
          <w:rFonts w:eastAsiaTheme="minorEastAsia" w:cstheme="minorBidi"/>
          <w:smallCaps w:val="0"/>
          <w:noProof/>
          <w:color w:val="auto"/>
          <w:sz w:val="22"/>
          <w:szCs w:val="22"/>
          <w:lang w:eastAsia="en-GB"/>
        </w:rPr>
      </w:pPr>
      <w:hyperlink w:anchor="_Toc104396703" w:history="1">
        <w:r w:rsidR="005C5E68" w:rsidRPr="00767BCA">
          <w:rPr>
            <w:rStyle w:val="Hyperlink"/>
            <w:rFonts w:cs="Times New Roman"/>
            <w:i/>
            <w:noProof/>
          </w:rPr>
          <w:t>5.6.4</w:t>
        </w:r>
        <w:r w:rsidR="005C5E68">
          <w:rPr>
            <w:rFonts w:eastAsiaTheme="minorEastAsia" w:cstheme="minorBidi"/>
            <w:smallCaps w:val="0"/>
            <w:noProof/>
            <w:color w:val="auto"/>
            <w:sz w:val="22"/>
            <w:szCs w:val="22"/>
            <w:lang w:eastAsia="en-GB"/>
          </w:rPr>
          <w:tab/>
        </w:r>
        <w:r w:rsidR="005C5E68" w:rsidRPr="00767BCA">
          <w:rPr>
            <w:rStyle w:val="Hyperlink"/>
            <w:rFonts w:cs="Times New Roman"/>
            <w:i/>
            <w:noProof/>
          </w:rPr>
          <w:t>Reporting of methyl bromide stocks and their uses</w:t>
        </w:r>
        <w:r w:rsidR="005C5E68">
          <w:rPr>
            <w:noProof/>
            <w:webHidden/>
          </w:rPr>
          <w:tab/>
        </w:r>
        <w:r w:rsidR="005C5E68">
          <w:rPr>
            <w:noProof/>
            <w:webHidden/>
          </w:rPr>
          <w:fldChar w:fldCharType="begin"/>
        </w:r>
        <w:r w:rsidR="005C5E68">
          <w:rPr>
            <w:noProof/>
            <w:webHidden/>
          </w:rPr>
          <w:instrText xml:space="preserve"> PAGEREF _Toc104396703 \h </w:instrText>
        </w:r>
        <w:r w:rsidR="005C5E68">
          <w:rPr>
            <w:noProof/>
            <w:webHidden/>
          </w:rPr>
        </w:r>
        <w:r w:rsidR="005C5E68">
          <w:rPr>
            <w:noProof/>
            <w:webHidden/>
          </w:rPr>
          <w:fldChar w:fldCharType="separate"/>
        </w:r>
        <w:r w:rsidR="00FC0382">
          <w:rPr>
            <w:noProof/>
            <w:webHidden/>
          </w:rPr>
          <w:t>43</w:t>
        </w:r>
        <w:r w:rsidR="005C5E68">
          <w:rPr>
            <w:noProof/>
            <w:webHidden/>
          </w:rPr>
          <w:fldChar w:fldCharType="end"/>
        </w:r>
      </w:hyperlink>
    </w:p>
    <w:p w14:paraId="411F43A8" w14:textId="63AC9107" w:rsidR="005C5E68" w:rsidRDefault="00143903">
      <w:pPr>
        <w:pStyle w:val="TOC2"/>
        <w:rPr>
          <w:rFonts w:eastAsiaTheme="minorEastAsia" w:cstheme="minorBidi"/>
          <w:smallCaps w:val="0"/>
          <w:noProof/>
          <w:color w:val="auto"/>
          <w:sz w:val="22"/>
          <w:szCs w:val="22"/>
          <w:lang w:eastAsia="en-GB"/>
        </w:rPr>
      </w:pPr>
      <w:hyperlink w:anchor="_Toc104396704" w:history="1">
        <w:r w:rsidR="005C5E68" w:rsidRPr="00767BCA">
          <w:rPr>
            <w:rStyle w:val="Hyperlink"/>
            <w:noProof/>
          </w:rPr>
          <w:t>5.7</w:t>
        </w:r>
        <w:r w:rsidR="005C5E68">
          <w:rPr>
            <w:rFonts w:eastAsiaTheme="minorEastAsia" w:cstheme="minorBidi"/>
            <w:smallCaps w:val="0"/>
            <w:noProof/>
            <w:color w:val="auto"/>
            <w:sz w:val="22"/>
            <w:szCs w:val="22"/>
            <w:lang w:eastAsia="en-GB"/>
          </w:rPr>
          <w:tab/>
        </w:r>
        <w:r w:rsidR="005C5E68" w:rsidRPr="00767BCA">
          <w:rPr>
            <w:rStyle w:val="Hyperlink"/>
            <w:noProof/>
          </w:rPr>
          <w:t>References</w:t>
        </w:r>
        <w:r w:rsidR="005C5E68">
          <w:rPr>
            <w:noProof/>
            <w:webHidden/>
          </w:rPr>
          <w:tab/>
        </w:r>
        <w:r w:rsidR="005C5E68">
          <w:rPr>
            <w:noProof/>
            <w:webHidden/>
          </w:rPr>
          <w:fldChar w:fldCharType="begin"/>
        </w:r>
        <w:r w:rsidR="005C5E68">
          <w:rPr>
            <w:noProof/>
            <w:webHidden/>
          </w:rPr>
          <w:instrText xml:space="preserve"> PAGEREF _Toc104396704 \h </w:instrText>
        </w:r>
        <w:r w:rsidR="005C5E68">
          <w:rPr>
            <w:noProof/>
            <w:webHidden/>
          </w:rPr>
        </w:r>
        <w:r w:rsidR="005C5E68">
          <w:rPr>
            <w:noProof/>
            <w:webHidden/>
          </w:rPr>
          <w:fldChar w:fldCharType="separate"/>
        </w:r>
        <w:r w:rsidR="00FC0382">
          <w:rPr>
            <w:noProof/>
            <w:webHidden/>
          </w:rPr>
          <w:t>43</w:t>
        </w:r>
        <w:r w:rsidR="005C5E68">
          <w:rPr>
            <w:noProof/>
            <w:webHidden/>
          </w:rPr>
          <w:fldChar w:fldCharType="end"/>
        </w:r>
      </w:hyperlink>
    </w:p>
    <w:p w14:paraId="67736942" w14:textId="582764A7" w:rsidR="005C5E68" w:rsidRDefault="00143903" w:rsidP="005C5E68">
      <w:pPr>
        <w:pStyle w:val="TOC1"/>
        <w:rPr>
          <w:rFonts w:eastAsiaTheme="minorEastAsia" w:cstheme="minorBidi"/>
          <w:noProof/>
          <w:color w:val="auto"/>
          <w:sz w:val="22"/>
          <w:szCs w:val="22"/>
          <w:lang w:eastAsia="en-GB"/>
        </w:rPr>
      </w:pPr>
      <w:hyperlink w:anchor="_Toc104396705" w:history="1">
        <w:r w:rsidR="005C5E68" w:rsidRPr="00767BCA">
          <w:rPr>
            <w:rStyle w:val="Hyperlink"/>
            <w:noProof/>
          </w:rPr>
          <w:t>6</w:t>
        </w:r>
        <w:r w:rsidR="005C5E68">
          <w:rPr>
            <w:rFonts w:eastAsiaTheme="minorEastAsia" w:cstheme="minorBidi"/>
            <w:noProof/>
            <w:color w:val="auto"/>
            <w:sz w:val="22"/>
            <w:szCs w:val="22"/>
            <w:lang w:eastAsia="en-GB"/>
          </w:rPr>
          <w:tab/>
        </w:r>
        <w:r w:rsidR="005C5E68" w:rsidRPr="00767BCA">
          <w:rPr>
            <w:rStyle w:val="Hyperlink"/>
            <w:noProof/>
          </w:rPr>
          <w:t>Medical and Chemicals TOC (MCTOC) Progress Report</w:t>
        </w:r>
        <w:r w:rsidR="005C5E68">
          <w:rPr>
            <w:noProof/>
            <w:webHidden/>
          </w:rPr>
          <w:tab/>
        </w:r>
        <w:r w:rsidR="005C5E68">
          <w:rPr>
            <w:noProof/>
            <w:webHidden/>
          </w:rPr>
          <w:fldChar w:fldCharType="begin"/>
        </w:r>
        <w:r w:rsidR="005C5E68">
          <w:rPr>
            <w:noProof/>
            <w:webHidden/>
          </w:rPr>
          <w:instrText xml:space="preserve"> PAGEREF _Toc104396705 \h </w:instrText>
        </w:r>
        <w:r w:rsidR="005C5E68">
          <w:rPr>
            <w:noProof/>
            <w:webHidden/>
          </w:rPr>
        </w:r>
        <w:r w:rsidR="005C5E68">
          <w:rPr>
            <w:noProof/>
            <w:webHidden/>
          </w:rPr>
          <w:fldChar w:fldCharType="separate"/>
        </w:r>
        <w:r w:rsidR="00FC0382">
          <w:rPr>
            <w:noProof/>
            <w:webHidden/>
          </w:rPr>
          <w:t>49</w:t>
        </w:r>
        <w:r w:rsidR="005C5E68">
          <w:rPr>
            <w:noProof/>
            <w:webHidden/>
          </w:rPr>
          <w:fldChar w:fldCharType="end"/>
        </w:r>
      </w:hyperlink>
    </w:p>
    <w:p w14:paraId="5199F206" w14:textId="7ECD31EE" w:rsidR="005C5E68" w:rsidRDefault="00143903">
      <w:pPr>
        <w:pStyle w:val="TOC2"/>
        <w:rPr>
          <w:rFonts w:eastAsiaTheme="minorEastAsia" w:cstheme="minorBidi"/>
          <w:smallCaps w:val="0"/>
          <w:noProof/>
          <w:color w:val="auto"/>
          <w:sz w:val="22"/>
          <w:szCs w:val="22"/>
          <w:lang w:eastAsia="en-GB"/>
        </w:rPr>
      </w:pPr>
      <w:hyperlink w:anchor="_Toc104396706" w:history="1">
        <w:r w:rsidR="005C5E68" w:rsidRPr="00767BCA">
          <w:rPr>
            <w:rStyle w:val="Hyperlink"/>
            <w:noProof/>
          </w:rPr>
          <w:t>6.1</w:t>
        </w:r>
        <w:r w:rsidR="005C5E68">
          <w:rPr>
            <w:rFonts w:eastAsiaTheme="minorEastAsia" w:cstheme="minorBidi"/>
            <w:smallCaps w:val="0"/>
            <w:noProof/>
            <w:color w:val="auto"/>
            <w:sz w:val="22"/>
            <w:szCs w:val="22"/>
            <w:lang w:eastAsia="en-GB"/>
          </w:rPr>
          <w:tab/>
        </w:r>
        <w:r w:rsidR="005C5E68" w:rsidRPr="00767BCA">
          <w:rPr>
            <w:rStyle w:val="Hyperlink"/>
            <w:noProof/>
          </w:rPr>
          <w:t>Production issues and use of controlled substances for chemical feedstock</w:t>
        </w:r>
        <w:r w:rsidR="005C5E68">
          <w:rPr>
            <w:noProof/>
            <w:webHidden/>
          </w:rPr>
          <w:tab/>
        </w:r>
        <w:r w:rsidR="005C5E68">
          <w:rPr>
            <w:noProof/>
            <w:webHidden/>
          </w:rPr>
          <w:fldChar w:fldCharType="begin"/>
        </w:r>
        <w:r w:rsidR="005C5E68">
          <w:rPr>
            <w:noProof/>
            <w:webHidden/>
          </w:rPr>
          <w:instrText xml:space="preserve"> PAGEREF _Toc104396706 \h </w:instrText>
        </w:r>
        <w:r w:rsidR="005C5E68">
          <w:rPr>
            <w:noProof/>
            <w:webHidden/>
          </w:rPr>
        </w:r>
        <w:r w:rsidR="005C5E68">
          <w:rPr>
            <w:noProof/>
            <w:webHidden/>
          </w:rPr>
          <w:fldChar w:fldCharType="separate"/>
        </w:r>
        <w:r w:rsidR="00FC0382">
          <w:rPr>
            <w:noProof/>
            <w:webHidden/>
          </w:rPr>
          <w:t>49</w:t>
        </w:r>
        <w:r w:rsidR="005C5E68">
          <w:rPr>
            <w:noProof/>
            <w:webHidden/>
          </w:rPr>
          <w:fldChar w:fldCharType="end"/>
        </w:r>
      </w:hyperlink>
    </w:p>
    <w:p w14:paraId="19E6C359" w14:textId="4F7E1055" w:rsidR="005C5E68" w:rsidRDefault="00143903">
      <w:pPr>
        <w:pStyle w:val="TOC2"/>
        <w:rPr>
          <w:rFonts w:eastAsiaTheme="minorEastAsia" w:cstheme="minorBidi"/>
          <w:smallCaps w:val="0"/>
          <w:noProof/>
          <w:color w:val="auto"/>
          <w:sz w:val="22"/>
          <w:szCs w:val="22"/>
          <w:lang w:eastAsia="en-GB"/>
        </w:rPr>
      </w:pPr>
      <w:hyperlink w:anchor="_Toc104396707" w:history="1">
        <w:r w:rsidR="005C5E68" w:rsidRPr="00767BCA">
          <w:rPr>
            <w:rStyle w:val="Hyperlink"/>
            <w:rFonts w:cs="Times New Roman"/>
            <w:i/>
            <w:noProof/>
          </w:rPr>
          <w:t>6.1.1</w:t>
        </w:r>
        <w:r w:rsidR="005C5E68">
          <w:rPr>
            <w:rFonts w:eastAsiaTheme="minorEastAsia" w:cstheme="minorBidi"/>
            <w:smallCaps w:val="0"/>
            <w:noProof/>
            <w:color w:val="auto"/>
            <w:sz w:val="22"/>
            <w:szCs w:val="22"/>
            <w:lang w:eastAsia="en-GB"/>
          </w:rPr>
          <w:tab/>
        </w:r>
        <w:r w:rsidR="005C5E68" w:rsidRPr="00767BCA">
          <w:rPr>
            <w:rStyle w:val="Hyperlink"/>
            <w:rFonts w:cs="Times New Roman"/>
            <w:i/>
            <w:noProof/>
          </w:rPr>
          <w:t>Production and chemical supply issues in the transition to low-GWP HCFOs and HFOs</w:t>
        </w:r>
        <w:r w:rsidR="005C5E68">
          <w:rPr>
            <w:noProof/>
            <w:webHidden/>
          </w:rPr>
          <w:tab/>
        </w:r>
        <w:r w:rsidR="005C5E68">
          <w:rPr>
            <w:noProof/>
            <w:webHidden/>
          </w:rPr>
          <w:fldChar w:fldCharType="begin"/>
        </w:r>
        <w:r w:rsidR="005C5E68">
          <w:rPr>
            <w:noProof/>
            <w:webHidden/>
          </w:rPr>
          <w:instrText xml:space="preserve"> PAGEREF _Toc104396707 \h </w:instrText>
        </w:r>
        <w:r w:rsidR="005C5E68">
          <w:rPr>
            <w:noProof/>
            <w:webHidden/>
          </w:rPr>
        </w:r>
        <w:r w:rsidR="005C5E68">
          <w:rPr>
            <w:noProof/>
            <w:webHidden/>
          </w:rPr>
          <w:fldChar w:fldCharType="separate"/>
        </w:r>
        <w:r w:rsidR="00FC0382">
          <w:rPr>
            <w:noProof/>
            <w:webHidden/>
          </w:rPr>
          <w:t>49</w:t>
        </w:r>
        <w:r w:rsidR="005C5E68">
          <w:rPr>
            <w:noProof/>
            <w:webHidden/>
          </w:rPr>
          <w:fldChar w:fldCharType="end"/>
        </w:r>
      </w:hyperlink>
    </w:p>
    <w:p w14:paraId="44E0E7C7" w14:textId="2D6DFC67" w:rsidR="005C5E68" w:rsidRDefault="00143903">
      <w:pPr>
        <w:pStyle w:val="TOC2"/>
        <w:rPr>
          <w:rFonts w:eastAsiaTheme="minorEastAsia" w:cstheme="minorBidi"/>
          <w:smallCaps w:val="0"/>
          <w:noProof/>
          <w:color w:val="auto"/>
          <w:sz w:val="22"/>
          <w:szCs w:val="22"/>
          <w:lang w:eastAsia="en-GB"/>
        </w:rPr>
      </w:pPr>
      <w:hyperlink w:anchor="_Toc104396708" w:history="1">
        <w:r w:rsidR="005C5E68" w:rsidRPr="00767BCA">
          <w:rPr>
            <w:rStyle w:val="Hyperlink"/>
            <w:rFonts w:cs="Times New Roman"/>
            <w:i/>
            <w:noProof/>
          </w:rPr>
          <w:t>6.1.2</w:t>
        </w:r>
        <w:r w:rsidR="005C5E68">
          <w:rPr>
            <w:rFonts w:eastAsiaTheme="minorEastAsia" w:cstheme="minorBidi"/>
            <w:smallCaps w:val="0"/>
            <w:noProof/>
            <w:color w:val="auto"/>
            <w:sz w:val="22"/>
            <w:szCs w:val="22"/>
            <w:lang w:eastAsia="en-GB"/>
          </w:rPr>
          <w:tab/>
        </w:r>
        <w:r w:rsidR="005C5E68" w:rsidRPr="00767BCA">
          <w:rPr>
            <w:rStyle w:val="Hyperlink"/>
            <w:rFonts w:cs="Times New Roman"/>
            <w:i/>
            <w:noProof/>
          </w:rPr>
          <w:t>Use of controlled substances for chemical feedstock</w:t>
        </w:r>
        <w:r w:rsidR="005C5E68">
          <w:rPr>
            <w:noProof/>
            <w:webHidden/>
          </w:rPr>
          <w:tab/>
        </w:r>
        <w:r w:rsidR="005C5E68">
          <w:rPr>
            <w:noProof/>
            <w:webHidden/>
          </w:rPr>
          <w:fldChar w:fldCharType="begin"/>
        </w:r>
        <w:r w:rsidR="005C5E68">
          <w:rPr>
            <w:noProof/>
            <w:webHidden/>
          </w:rPr>
          <w:instrText xml:space="preserve"> PAGEREF _Toc104396708 \h </w:instrText>
        </w:r>
        <w:r w:rsidR="005C5E68">
          <w:rPr>
            <w:noProof/>
            <w:webHidden/>
          </w:rPr>
        </w:r>
        <w:r w:rsidR="005C5E68">
          <w:rPr>
            <w:noProof/>
            <w:webHidden/>
          </w:rPr>
          <w:fldChar w:fldCharType="separate"/>
        </w:r>
        <w:r w:rsidR="00FC0382">
          <w:rPr>
            <w:noProof/>
            <w:webHidden/>
          </w:rPr>
          <w:t>49</w:t>
        </w:r>
        <w:r w:rsidR="005C5E68">
          <w:rPr>
            <w:noProof/>
            <w:webHidden/>
          </w:rPr>
          <w:fldChar w:fldCharType="end"/>
        </w:r>
      </w:hyperlink>
    </w:p>
    <w:p w14:paraId="03288AD9" w14:textId="07698FDF" w:rsidR="005C5E68" w:rsidRDefault="00143903">
      <w:pPr>
        <w:pStyle w:val="TOC2"/>
        <w:rPr>
          <w:rFonts w:eastAsiaTheme="minorEastAsia" w:cstheme="minorBidi"/>
          <w:smallCaps w:val="0"/>
          <w:noProof/>
          <w:color w:val="auto"/>
          <w:sz w:val="22"/>
          <w:szCs w:val="22"/>
          <w:lang w:eastAsia="en-GB"/>
        </w:rPr>
      </w:pPr>
      <w:hyperlink w:anchor="_Toc104396709" w:history="1">
        <w:r w:rsidR="005C5E68" w:rsidRPr="00767BCA">
          <w:rPr>
            <w:rStyle w:val="Hyperlink"/>
            <w:rFonts w:cs="Times New Roman"/>
            <w:i/>
            <w:noProof/>
          </w:rPr>
          <w:t>6.1.3</w:t>
        </w:r>
        <w:r w:rsidR="005C5E68">
          <w:rPr>
            <w:rFonts w:eastAsiaTheme="minorEastAsia" w:cstheme="minorBidi"/>
            <w:smallCaps w:val="0"/>
            <w:noProof/>
            <w:color w:val="auto"/>
            <w:sz w:val="22"/>
            <w:szCs w:val="22"/>
            <w:lang w:eastAsia="en-GB"/>
          </w:rPr>
          <w:tab/>
        </w:r>
        <w:r w:rsidR="005C5E68" w:rsidRPr="00767BCA">
          <w:rPr>
            <w:rStyle w:val="Hyperlink"/>
            <w:rFonts w:cs="Times New Roman"/>
            <w:i/>
            <w:noProof/>
          </w:rPr>
          <w:t>How Article 7 reporting of production for feedstock uses contributes to understanding</w:t>
        </w:r>
        <w:r w:rsidR="005C5E68" w:rsidRPr="00767BCA">
          <w:rPr>
            <w:rStyle w:val="Hyperlink"/>
            <w:i/>
            <w:noProof/>
          </w:rPr>
          <w:t xml:space="preserve"> </w:t>
        </w:r>
        <w:r w:rsidR="005C5E68" w:rsidRPr="00767BCA">
          <w:rPr>
            <w:rStyle w:val="Hyperlink"/>
            <w:rFonts w:cs="Times New Roman"/>
            <w:i/>
            <w:noProof/>
          </w:rPr>
          <w:t>atmospheric burdens</w:t>
        </w:r>
        <w:r w:rsidR="005C5E68">
          <w:rPr>
            <w:noProof/>
            <w:webHidden/>
          </w:rPr>
          <w:tab/>
        </w:r>
        <w:r w:rsidR="005C5E68">
          <w:rPr>
            <w:noProof/>
            <w:webHidden/>
          </w:rPr>
          <w:fldChar w:fldCharType="begin"/>
        </w:r>
        <w:r w:rsidR="005C5E68">
          <w:rPr>
            <w:noProof/>
            <w:webHidden/>
          </w:rPr>
          <w:instrText xml:space="preserve"> PAGEREF _Toc104396709 \h </w:instrText>
        </w:r>
        <w:r w:rsidR="005C5E68">
          <w:rPr>
            <w:noProof/>
            <w:webHidden/>
          </w:rPr>
        </w:r>
        <w:r w:rsidR="005C5E68">
          <w:rPr>
            <w:noProof/>
            <w:webHidden/>
          </w:rPr>
          <w:fldChar w:fldCharType="separate"/>
        </w:r>
        <w:r w:rsidR="00FC0382">
          <w:rPr>
            <w:noProof/>
            <w:webHidden/>
          </w:rPr>
          <w:t>50</w:t>
        </w:r>
        <w:r w:rsidR="005C5E68">
          <w:rPr>
            <w:noProof/>
            <w:webHidden/>
          </w:rPr>
          <w:fldChar w:fldCharType="end"/>
        </w:r>
      </w:hyperlink>
    </w:p>
    <w:p w14:paraId="45635A3C" w14:textId="446CBE38" w:rsidR="005C5E68" w:rsidRDefault="00143903">
      <w:pPr>
        <w:pStyle w:val="TOC2"/>
        <w:rPr>
          <w:rFonts w:eastAsiaTheme="minorEastAsia" w:cstheme="minorBidi"/>
          <w:smallCaps w:val="0"/>
          <w:noProof/>
          <w:color w:val="auto"/>
          <w:sz w:val="22"/>
          <w:szCs w:val="22"/>
          <w:lang w:eastAsia="en-GB"/>
        </w:rPr>
      </w:pPr>
      <w:hyperlink w:anchor="_Toc104396710" w:history="1">
        <w:r w:rsidR="005C5E68" w:rsidRPr="00767BCA">
          <w:rPr>
            <w:rStyle w:val="Hyperlink"/>
            <w:i/>
            <w:noProof/>
          </w:rPr>
          <w:t>6.1.4</w:t>
        </w:r>
        <w:r w:rsidR="005C5E68">
          <w:rPr>
            <w:rFonts w:eastAsiaTheme="minorEastAsia" w:cstheme="minorBidi"/>
            <w:smallCaps w:val="0"/>
            <w:noProof/>
            <w:color w:val="auto"/>
            <w:sz w:val="22"/>
            <w:szCs w:val="22"/>
            <w:lang w:eastAsia="en-GB"/>
          </w:rPr>
          <w:tab/>
        </w:r>
        <w:r w:rsidR="005C5E68" w:rsidRPr="00767BCA">
          <w:rPr>
            <w:rStyle w:val="Hyperlink"/>
            <w:i/>
            <w:noProof/>
          </w:rPr>
          <w:t>Reporting of controlled substances for feedstock uses</w:t>
        </w:r>
        <w:r w:rsidR="005C5E68">
          <w:rPr>
            <w:noProof/>
            <w:webHidden/>
          </w:rPr>
          <w:tab/>
        </w:r>
        <w:r w:rsidR="005C5E68">
          <w:rPr>
            <w:noProof/>
            <w:webHidden/>
          </w:rPr>
          <w:fldChar w:fldCharType="begin"/>
        </w:r>
        <w:r w:rsidR="005C5E68">
          <w:rPr>
            <w:noProof/>
            <w:webHidden/>
          </w:rPr>
          <w:instrText xml:space="preserve"> PAGEREF _Toc104396710 \h </w:instrText>
        </w:r>
        <w:r w:rsidR="005C5E68">
          <w:rPr>
            <w:noProof/>
            <w:webHidden/>
          </w:rPr>
        </w:r>
        <w:r w:rsidR="005C5E68">
          <w:rPr>
            <w:noProof/>
            <w:webHidden/>
          </w:rPr>
          <w:fldChar w:fldCharType="separate"/>
        </w:r>
        <w:r w:rsidR="00FC0382">
          <w:rPr>
            <w:noProof/>
            <w:webHidden/>
          </w:rPr>
          <w:t>51</w:t>
        </w:r>
        <w:r w:rsidR="005C5E68">
          <w:rPr>
            <w:noProof/>
            <w:webHidden/>
          </w:rPr>
          <w:fldChar w:fldCharType="end"/>
        </w:r>
      </w:hyperlink>
    </w:p>
    <w:p w14:paraId="0F897A82" w14:textId="5F1EF44B" w:rsidR="005C5E68" w:rsidRDefault="00143903">
      <w:pPr>
        <w:pStyle w:val="TOC2"/>
        <w:rPr>
          <w:rFonts w:eastAsiaTheme="minorEastAsia" w:cstheme="minorBidi"/>
          <w:smallCaps w:val="0"/>
          <w:noProof/>
          <w:color w:val="auto"/>
          <w:sz w:val="22"/>
          <w:szCs w:val="22"/>
          <w:lang w:eastAsia="en-GB"/>
        </w:rPr>
      </w:pPr>
      <w:hyperlink w:anchor="_Toc104396711" w:history="1">
        <w:r w:rsidR="005C5E68" w:rsidRPr="00767BCA">
          <w:rPr>
            <w:rStyle w:val="Hyperlink"/>
            <w:i/>
            <w:noProof/>
          </w:rPr>
          <w:t>6.1.5</w:t>
        </w:r>
        <w:r w:rsidR="005C5E68">
          <w:rPr>
            <w:rFonts w:eastAsiaTheme="minorEastAsia" w:cstheme="minorBidi"/>
            <w:smallCaps w:val="0"/>
            <w:noProof/>
            <w:color w:val="auto"/>
            <w:sz w:val="22"/>
            <w:szCs w:val="22"/>
            <w:lang w:eastAsia="en-GB"/>
          </w:rPr>
          <w:tab/>
        </w:r>
        <w:r w:rsidR="005C5E68" w:rsidRPr="00767BCA">
          <w:rPr>
            <w:rStyle w:val="Hyperlink"/>
            <w:i/>
            <w:noProof/>
          </w:rPr>
          <w:t>Common feedstock applications of controlled substances</w:t>
        </w:r>
        <w:r w:rsidR="005C5E68">
          <w:rPr>
            <w:noProof/>
            <w:webHidden/>
          </w:rPr>
          <w:tab/>
        </w:r>
        <w:r w:rsidR="005C5E68">
          <w:rPr>
            <w:noProof/>
            <w:webHidden/>
          </w:rPr>
          <w:fldChar w:fldCharType="begin"/>
        </w:r>
        <w:r w:rsidR="005C5E68">
          <w:rPr>
            <w:noProof/>
            <w:webHidden/>
          </w:rPr>
          <w:instrText xml:space="preserve"> PAGEREF _Toc104396711 \h </w:instrText>
        </w:r>
        <w:r w:rsidR="005C5E68">
          <w:rPr>
            <w:noProof/>
            <w:webHidden/>
          </w:rPr>
        </w:r>
        <w:r w:rsidR="005C5E68">
          <w:rPr>
            <w:noProof/>
            <w:webHidden/>
          </w:rPr>
          <w:fldChar w:fldCharType="separate"/>
        </w:r>
        <w:r w:rsidR="00FC0382">
          <w:rPr>
            <w:noProof/>
            <w:webHidden/>
          </w:rPr>
          <w:t>54</w:t>
        </w:r>
        <w:r w:rsidR="005C5E68">
          <w:rPr>
            <w:noProof/>
            <w:webHidden/>
          </w:rPr>
          <w:fldChar w:fldCharType="end"/>
        </w:r>
      </w:hyperlink>
    </w:p>
    <w:p w14:paraId="282D7504" w14:textId="1DB73521" w:rsidR="005C5E68" w:rsidRDefault="00143903">
      <w:pPr>
        <w:pStyle w:val="TOC2"/>
        <w:rPr>
          <w:rFonts w:eastAsiaTheme="minorEastAsia" w:cstheme="minorBidi"/>
          <w:smallCaps w:val="0"/>
          <w:noProof/>
          <w:color w:val="auto"/>
          <w:sz w:val="22"/>
          <w:szCs w:val="22"/>
          <w:lang w:eastAsia="en-GB"/>
        </w:rPr>
      </w:pPr>
      <w:hyperlink w:anchor="_Toc104396712" w:history="1">
        <w:r w:rsidR="005C5E68" w:rsidRPr="00767BCA">
          <w:rPr>
            <w:rStyle w:val="Hyperlink"/>
            <w:i/>
            <w:noProof/>
          </w:rPr>
          <w:t>6.1.6</w:t>
        </w:r>
        <w:r w:rsidR="005C5E68">
          <w:rPr>
            <w:rFonts w:eastAsiaTheme="minorEastAsia" w:cstheme="minorBidi"/>
            <w:smallCaps w:val="0"/>
            <w:noProof/>
            <w:color w:val="auto"/>
            <w:sz w:val="22"/>
            <w:szCs w:val="22"/>
            <w:lang w:eastAsia="en-GB"/>
          </w:rPr>
          <w:tab/>
        </w:r>
        <w:r w:rsidR="005C5E68" w:rsidRPr="00767BCA">
          <w:rPr>
            <w:rStyle w:val="Hyperlink"/>
            <w:i/>
            <w:noProof/>
          </w:rPr>
          <w:t>Recent and historical trends in the production and use of controlled ODS as feedstock</w:t>
        </w:r>
        <w:r w:rsidR="005C5E68">
          <w:rPr>
            <w:noProof/>
            <w:webHidden/>
          </w:rPr>
          <w:tab/>
        </w:r>
        <w:r w:rsidR="005C5E68">
          <w:rPr>
            <w:noProof/>
            <w:webHidden/>
          </w:rPr>
          <w:fldChar w:fldCharType="begin"/>
        </w:r>
        <w:r w:rsidR="005C5E68">
          <w:rPr>
            <w:noProof/>
            <w:webHidden/>
          </w:rPr>
          <w:instrText xml:space="preserve"> PAGEREF _Toc104396712 \h </w:instrText>
        </w:r>
        <w:r w:rsidR="005C5E68">
          <w:rPr>
            <w:noProof/>
            <w:webHidden/>
          </w:rPr>
        </w:r>
        <w:r w:rsidR="005C5E68">
          <w:rPr>
            <w:noProof/>
            <w:webHidden/>
          </w:rPr>
          <w:fldChar w:fldCharType="separate"/>
        </w:r>
        <w:r w:rsidR="00FC0382">
          <w:rPr>
            <w:noProof/>
            <w:webHidden/>
          </w:rPr>
          <w:t>58</w:t>
        </w:r>
        <w:r w:rsidR="005C5E68">
          <w:rPr>
            <w:noProof/>
            <w:webHidden/>
          </w:rPr>
          <w:fldChar w:fldCharType="end"/>
        </w:r>
      </w:hyperlink>
    </w:p>
    <w:p w14:paraId="72EEDF3C" w14:textId="338317EF" w:rsidR="005C5E68" w:rsidRDefault="00143903">
      <w:pPr>
        <w:pStyle w:val="TOC2"/>
        <w:rPr>
          <w:rFonts w:eastAsiaTheme="minorEastAsia" w:cstheme="minorBidi"/>
          <w:smallCaps w:val="0"/>
          <w:noProof/>
          <w:color w:val="auto"/>
          <w:sz w:val="22"/>
          <w:szCs w:val="22"/>
          <w:lang w:eastAsia="en-GB"/>
        </w:rPr>
      </w:pPr>
      <w:hyperlink w:anchor="_Toc104396713" w:history="1">
        <w:r w:rsidR="005C5E68" w:rsidRPr="00767BCA">
          <w:rPr>
            <w:rStyle w:val="Hyperlink"/>
            <w:i/>
            <w:noProof/>
          </w:rPr>
          <w:t>6.1.7</w:t>
        </w:r>
        <w:r w:rsidR="005C5E68">
          <w:rPr>
            <w:rFonts w:eastAsiaTheme="minorEastAsia" w:cstheme="minorBidi"/>
            <w:smallCaps w:val="0"/>
            <w:noProof/>
            <w:color w:val="auto"/>
            <w:sz w:val="22"/>
            <w:szCs w:val="22"/>
            <w:lang w:eastAsia="en-GB"/>
          </w:rPr>
          <w:tab/>
        </w:r>
        <w:r w:rsidR="005C5E68" w:rsidRPr="00767BCA">
          <w:rPr>
            <w:rStyle w:val="Hyperlink"/>
            <w:i/>
            <w:noProof/>
          </w:rPr>
          <w:t>Production of HFCs used as feedstock</w:t>
        </w:r>
        <w:r w:rsidR="005C5E68">
          <w:rPr>
            <w:noProof/>
            <w:webHidden/>
          </w:rPr>
          <w:tab/>
        </w:r>
        <w:r w:rsidR="005C5E68">
          <w:rPr>
            <w:noProof/>
            <w:webHidden/>
          </w:rPr>
          <w:fldChar w:fldCharType="begin"/>
        </w:r>
        <w:r w:rsidR="005C5E68">
          <w:rPr>
            <w:noProof/>
            <w:webHidden/>
          </w:rPr>
          <w:instrText xml:space="preserve"> PAGEREF _Toc104396713 \h </w:instrText>
        </w:r>
        <w:r w:rsidR="005C5E68">
          <w:rPr>
            <w:noProof/>
            <w:webHidden/>
          </w:rPr>
        </w:r>
        <w:r w:rsidR="005C5E68">
          <w:rPr>
            <w:noProof/>
            <w:webHidden/>
          </w:rPr>
          <w:fldChar w:fldCharType="separate"/>
        </w:r>
        <w:r w:rsidR="00FC0382">
          <w:rPr>
            <w:noProof/>
            <w:webHidden/>
          </w:rPr>
          <w:t>60</w:t>
        </w:r>
        <w:r w:rsidR="005C5E68">
          <w:rPr>
            <w:noProof/>
            <w:webHidden/>
          </w:rPr>
          <w:fldChar w:fldCharType="end"/>
        </w:r>
      </w:hyperlink>
    </w:p>
    <w:p w14:paraId="50F6F742" w14:textId="178AE159" w:rsidR="005C5E68" w:rsidRDefault="00143903">
      <w:pPr>
        <w:pStyle w:val="TOC2"/>
        <w:rPr>
          <w:rFonts w:eastAsiaTheme="minorEastAsia" w:cstheme="minorBidi"/>
          <w:smallCaps w:val="0"/>
          <w:noProof/>
          <w:color w:val="auto"/>
          <w:sz w:val="22"/>
          <w:szCs w:val="22"/>
          <w:lang w:eastAsia="en-GB"/>
        </w:rPr>
      </w:pPr>
      <w:hyperlink w:anchor="_Toc104396714" w:history="1">
        <w:r w:rsidR="005C5E68" w:rsidRPr="00767BCA">
          <w:rPr>
            <w:rStyle w:val="Hyperlink"/>
            <w:i/>
            <w:noProof/>
          </w:rPr>
          <w:t>6.1.8</w:t>
        </w:r>
        <w:r w:rsidR="005C5E68">
          <w:rPr>
            <w:rFonts w:eastAsiaTheme="minorEastAsia" w:cstheme="minorBidi"/>
            <w:smallCaps w:val="0"/>
            <w:noProof/>
            <w:color w:val="auto"/>
            <w:sz w:val="22"/>
            <w:szCs w:val="22"/>
            <w:lang w:eastAsia="en-GB"/>
          </w:rPr>
          <w:tab/>
        </w:r>
        <w:r w:rsidR="005C5E68" w:rsidRPr="00767BCA">
          <w:rPr>
            <w:rStyle w:val="Hyperlink"/>
            <w:i/>
            <w:noProof/>
          </w:rPr>
          <w:t>HFC-23 by-production and emissions</w:t>
        </w:r>
        <w:r w:rsidR="005C5E68">
          <w:rPr>
            <w:noProof/>
            <w:webHidden/>
          </w:rPr>
          <w:tab/>
        </w:r>
        <w:r w:rsidR="005C5E68">
          <w:rPr>
            <w:noProof/>
            <w:webHidden/>
          </w:rPr>
          <w:fldChar w:fldCharType="begin"/>
        </w:r>
        <w:r w:rsidR="005C5E68">
          <w:rPr>
            <w:noProof/>
            <w:webHidden/>
          </w:rPr>
          <w:instrText xml:space="preserve"> PAGEREF _Toc104396714 \h </w:instrText>
        </w:r>
        <w:r w:rsidR="005C5E68">
          <w:rPr>
            <w:noProof/>
            <w:webHidden/>
          </w:rPr>
        </w:r>
        <w:r w:rsidR="005C5E68">
          <w:rPr>
            <w:noProof/>
            <w:webHidden/>
          </w:rPr>
          <w:fldChar w:fldCharType="separate"/>
        </w:r>
        <w:r w:rsidR="00FC0382">
          <w:rPr>
            <w:noProof/>
            <w:webHidden/>
          </w:rPr>
          <w:t>61</w:t>
        </w:r>
        <w:r w:rsidR="005C5E68">
          <w:rPr>
            <w:noProof/>
            <w:webHidden/>
          </w:rPr>
          <w:fldChar w:fldCharType="end"/>
        </w:r>
      </w:hyperlink>
    </w:p>
    <w:p w14:paraId="2D787F90" w14:textId="34864037" w:rsidR="005C5E68" w:rsidRDefault="00143903">
      <w:pPr>
        <w:pStyle w:val="TOC2"/>
        <w:rPr>
          <w:rFonts w:eastAsiaTheme="minorEastAsia" w:cstheme="minorBidi"/>
          <w:smallCaps w:val="0"/>
          <w:noProof/>
          <w:color w:val="auto"/>
          <w:sz w:val="22"/>
          <w:szCs w:val="22"/>
          <w:lang w:eastAsia="en-GB"/>
        </w:rPr>
      </w:pPr>
      <w:hyperlink w:anchor="_Toc104396715" w:history="1">
        <w:r w:rsidR="005C5E68" w:rsidRPr="00767BCA">
          <w:rPr>
            <w:rStyle w:val="Hyperlink"/>
            <w:noProof/>
          </w:rPr>
          <w:t>6.2</w:t>
        </w:r>
        <w:r w:rsidR="005C5E68">
          <w:rPr>
            <w:rFonts w:eastAsiaTheme="minorEastAsia" w:cstheme="minorBidi"/>
            <w:smallCaps w:val="0"/>
            <w:noProof/>
            <w:color w:val="auto"/>
            <w:sz w:val="22"/>
            <w:szCs w:val="22"/>
            <w:lang w:eastAsia="en-GB"/>
          </w:rPr>
          <w:tab/>
        </w:r>
        <w:r w:rsidR="005C5E68" w:rsidRPr="00767BCA">
          <w:rPr>
            <w:rStyle w:val="Hyperlink"/>
            <w:noProof/>
          </w:rPr>
          <w:t>Destruction technologies</w:t>
        </w:r>
        <w:r w:rsidR="005C5E68">
          <w:rPr>
            <w:noProof/>
            <w:webHidden/>
          </w:rPr>
          <w:tab/>
        </w:r>
        <w:r w:rsidR="005C5E68">
          <w:rPr>
            <w:noProof/>
            <w:webHidden/>
          </w:rPr>
          <w:fldChar w:fldCharType="begin"/>
        </w:r>
        <w:r w:rsidR="005C5E68">
          <w:rPr>
            <w:noProof/>
            <w:webHidden/>
          </w:rPr>
          <w:instrText xml:space="preserve"> PAGEREF _Toc104396715 \h </w:instrText>
        </w:r>
        <w:r w:rsidR="005C5E68">
          <w:rPr>
            <w:noProof/>
            <w:webHidden/>
          </w:rPr>
        </w:r>
        <w:r w:rsidR="005C5E68">
          <w:rPr>
            <w:noProof/>
            <w:webHidden/>
          </w:rPr>
          <w:fldChar w:fldCharType="separate"/>
        </w:r>
        <w:r w:rsidR="00FC0382">
          <w:rPr>
            <w:noProof/>
            <w:webHidden/>
          </w:rPr>
          <w:t>61</w:t>
        </w:r>
        <w:r w:rsidR="005C5E68">
          <w:rPr>
            <w:noProof/>
            <w:webHidden/>
          </w:rPr>
          <w:fldChar w:fldCharType="end"/>
        </w:r>
      </w:hyperlink>
    </w:p>
    <w:p w14:paraId="02C26FF6" w14:textId="2E9A1CF2" w:rsidR="005C5E68" w:rsidRDefault="00143903">
      <w:pPr>
        <w:pStyle w:val="TOC2"/>
        <w:rPr>
          <w:rFonts w:eastAsiaTheme="minorEastAsia" w:cstheme="minorBidi"/>
          <w:smallCaps w:val="0"/>
          <w:noProof/>
          <w:color w:val="auto"/>
          <w:sz w:val="22"/>
          <w:szCs w:val="22"/>
          <w:lang w:eastAsia="en-GB"/>
        </w:rPr>
      </w:pPr>
      <w:hyperlink w:anchor="_Toc104396716" w:history="1">
        <w:r w:rsidR="005C5E68" w:rsidRPr="00767BCA">
          <w:rPr>
            <w:rStyle w:val="Hyperlink"/>
            <w:i/>
            <w:noProof/>
          </w:rPr>
          <w:t>6.2.1</w:t>
        </w:r>
        <w:r w:rsidR="005C5E68">
          <w:rPr>
            <w:rFonts w:eastAsiaTheme="minorEastAsia" w:cstheme="minorBidi"/>
            <w:smallCaps w:val="0"/>
            <w:noProof/>
            <w:color w:val="auto"/>
            <w:sz w:val="22"/>
            <w:szCs w:val="22"/>
            <w:lang w:eastAsia="en-GB"/>
          </w:rPr>
          <w:tab/>
        </w:r>
        <w:r w:rsidR="005C5E68" w:rsidRPr="00767BCA">
          <w:rPr>
            <w:rStyle w:val="Hyperlink"/>
            <w:i/>
            <w:noProof/>
          </w:rPr>
          <w:t>Definitions and categories of destruction technologies</w:t>
        </w:r>
        <w:r w:rsidR="005C5E68">
          <w:rPr>
            <w:noProof/>
            <w:webHidden/>
          </w:rPr>
          <w:tab/>
        </w:r>
        <w:r w:rsidR="005C5E68">
          <w:rPr>
            <w:noProof/>
            <w:webHidden/>
          </w:rPr>
          <w:fldChar w:fldCharType="begin"/>
        </w:r>
        <w:r w:rsidR="005C5E68">
          <w:rPr>
            <w:noProof/>
            <w:webHidden/>
          </w:rPr>
          <w:instrText xml:space="preserve"> PAGEREF _Toc104396716 \h </w:instrText>
        </w:r>
        <w:r w:rsidR="005C5E68">
          <w:rPr>
            <w:noProof/>
            <w:webHidden/>
          </w:rPr>
        </w:r>
        <w:r w:rsidR="005C5E68">
          <w:rPr>
            <w:noProof/>
            <w:webHidden/>
          </w:rPr>
          <w:fldChar w:fldCharType="separate"/>
        </w:r>
        <w:r w:rsidR="00FC0382">
          <w:rPr>
            <w:noProof/>
            <w:webHidden/>
          </w:rPr>
          <w:t>65</w:t>
        </w:r>
        <w:r w:rsidR="005C5E68">
          <w:rPr>
            <w:noProof/>
            <w:webHidden/>
          </w:rPr>
          <w:fldChar w:fldCharType="end"/>
        </w:r>
      </w:hyperlink>
    </w:p>
    <w:p w14:paraId="784DF021" w14:textId="041E6F47" w:rsidR="005C5E68" w:rsidRDefault="00143903">
      <w:pPr>
        <w:pStyle w:val="TOC2"/>
        <w:rPr>
          <w:rFonts w:eastAsiaTheme="minorEastAsia" w:cstheme="minorBidi"/>
          <w:smallCaps w:val="0"/>
          <w:noProof/>
          <w:color w:val="auto"/>
          <w:sz w:val="22"/>
          <w:szCs w:val="22"/>
          <w:lang w:eastAsia="en-GB"/>
        </w:rPr>
      </w:pPr>
      <w:hyperlink w:anchor="_Toc104396717" w:history="1">
        <w:r w:rsidR="005C5E68" w:rsidRPr="00767BCA">
          <w:rPr>
            <w:rStyle w:val="Hyperlink"/>
            <w:i/>
            <w:noProof/>
          </w:rPr>
          <w:t>6.2.2</w:t>
        </w:r>
        <w:r w:rsidR="005C5E68">
          <w:rPr>
            <w:rFonts w:eastAsiaTheme="minorEastAsia" w:cstheme="minorBidi"/>
            <w:smallCaps w:val="0"/>
            <w:noProof/>
            <w:color w:val="auto"/>
            <w:sz w:val="22"/>
            <w:szCs w:val="22"/>
            <w:lang w:eastAsia="en-GB"/>
          </w:rPr>
          <w:tab/>
        </w:r>
        <w:r w:rsidR="005C5E68" w:rsidRPr="00767BCA">
          <w:rPr>
            <w:rStyle w:val="Hyperlink"/>
            <w:i/>
            <w:noProof/>
          </w:rPr>
          <w:t>Destruction technologies approved by parties</w:t>
        </w:r>
        <w:r w:rsidR="005C5E68">
          <w:rPr>
            <w:noProof/>
            <w:webHidden/>
          </w:rPr>
          <w:tab/>
        </w:r>
        <w:r w:rsidR="005C5E68">
          <w:rPr>
            <w:noProof/>
            <w:webHidden/>
          </w:rPr>
          <w:fldChar w:fldCharType="begin"/>
        </w:r>
        <w:r w:rsidR="005C5E68">
          <w:rPr>
            <w:noProof/>
            <w:webHidden/>
          </w:rPr>
          <w:instrText xml:space="preserve"> PAGEREF _Toc104396717 \h </w:instrText>
        </w:r>
        <w:r w:rsidR="005C5E68">
          <w:rPr>
            <w:noProof/>
            <w:webHidden/>
          </w:rPr>
        </w:r>
        <w:r w:rsidR="005C5E68">
          <w:rPr>
            <w:noProof/>
            <w:webHidden/>
          </w:rPr>
          <w:fldChar w:fldCharType="separate"/>
        </w:r>
        <w:r w:rsidR="00FC0382">
          <w:rPr>
            <w:noProof/>
            <w:webHidden/>
          </w:rPr>
          <w:t>65</w:t>
        </w:r>
        <w:r w:rsidR="005C5E68">
          <w:rPr>
            <w:noProof/>
            <w:webHidden/>
          </w:rPr>
          <w:fldChar w:fldCharType="end"/>
        </w:r>
      </w:hyperlink>
    </w:p>
    <w:p w14:paraId="610211EF" w14:textId="6DFDAE9E" w:rsidR="005C5E68" w:rsidRDefault="00143903">
      <w:pPr>
        <w:pStyle w:val="TOC2"/>
        <w:rPr>
          <w:rFonts w:eastAsiaTheme="minorEastAsia" w:cstheme="minorBidi"/>
          <w:smallCaps w:val="0"/>
          <w:noProof/>
          <w:color w:val="auto"/>
          <w:sz w:val="22"/>
          <w:szCs w:val="22"/>
          <w:lang w:eastAsia="en-GB"/>
        </w:rPr>
      </w:pPr>
      <w:hyperlink w:anchor="_Toc104396718" w:history="1">
        <w:r w:rsidR="005C5E68" w:rsidRPr="00767BCA">
          <w:rPr>
            <w:rStyle w:val="Hyperlink"/>
            <w:i/>
            <w:noProof/>
          </w:rPr>
          <w:t>6.2.3</w:t>
        </w:r>
        <w:r w:rsidR="005C5E68">
          <w:rPr>
            <w:rFonts w:eastAsiaTheme="minorEastAsia" w:cstheme="minorBidi"/>
            <w:smallCaps w:val="0"/>
            <w:noProof/>
            <w:color w:val="auto"/>
            <w:sz w:val="22"/>
            <w:szCs w:val="22"/>
            <w:lang w:eastAsia="en-GB"/>
          </w:rPr>
          <w:tab/>
        </w:r>
        <w:r w:rsidR="005C5E68" w:rsidRPr="00767BCA">
          <w:rPr>
            <w:rStyle w:val="Hyperlink"/>
            <w:i/>
            <w:noProof/>
          </w:rPr>
          <w:t>Background to TEAP assessment of destruction technologies</w:t>
        </w:r>
        <w:r w:rsidR="005C5E68">
          <w:rPr>
            <w:noProof/>
            <w:webHidden/>
          </w:rPr>
          <w:tab/>
        </w:r>
        <w:r w:rsidR="005C5E68">
          <w:rPr>
            <w:noProof/>
            <w:webHidden/>
          </w:rPr>
          <w:fldChar w:fldCharType="begin"/>
        </w:r>
        <w:r w:rsidR="005C5E68">
          <w:rPr>
            <w:noProof/>
            <w:webHidden/>
          </w:rPr>
          <w:instrText xml:space="preserve"> PAGEREF _Toc104396718 \h </w:instrText>
        </w:r>
        <w:r w:rsidR="005C5E68">
          <w:rPr>
            <w:noProof/>
            <w:webHidden/>
          </w:rPr>
        </w:r>
        <w:r w:rsidR="005C5E68">
          <w:rPr>
            <w:noProof/>
            <w:webHidden/>
          </w:rPr>
          <w:fldChar w:fldCharType="separate"/>
        </w:r>
        <w:r w:rsidR="00FC0382">
          <w:rPr>
            <w:noProof/>
            <w:webHidden/>
          </w:rPr>
          <w:t>66</w:t>
        </w:r>
        <w:r w:rsidR="005C5E68">
          <w:rPr>
            <w:noProof/>
            <w:webHidden/>
          </w:rPr>
          <w:fldChar w:fldCharType="end"/>
        </w:r>
      </w:hyperlink>
    </w:p>
    <w:p w14:paraId="2776D69E" w14:textId="5C3F10F0" w:rsidR="005C5E68" w:rsidRDefault="00143903">
      <w:pPr>
        <w:pStyle w:val="TOC2"/>
        <w:rPr>
          <w:rFonts w:eastAsiaTheme="minorEastAsia" w:cstheme="minorBidi"/>
          <w:smallCaps w:val="0"/>
          <w:noProof/>
          <w:color w:val="auto"/>
          <w:sz w:val="22"/>
          <w:szCs w:val="22"/>
          <w:lang w:eastAsia="en-GB"/>
        </w:rPr>
      </w:pPr>
      <w:hyperlink w:anchor="_Toc104396719" w:history="1">
        <w:r w:rsidR="005C5E68" w:rsidRPr="00767BCA">
          <w:rPr>
            <w:rStyle w:val="Hyperlink"/>
            <w:i/>
            <w:noProof/>
          </w:rPr>
          <w:t>6.2.4</w:t>
        </w:r>
        <w:r w:rsidR="005C5E68">
          <w:rPr>
            <w:rFonts w:eastAsiaTheme="minorEastAsia" w:cstheme="minorBidi"/>
            <w:smallCaps w:val="0"/>
            <w:noProof/>
            <w:color w:val="auto"/>
            <w:sz w:val="22"/>
            <w:szCs w:val="22"/>
            <w:lang w:eastAsia="en-GB"/>
          </w:rPr>
          <w:tab/>
        </w:r>
        <w:r w:rsidR="005C5E68" w:rsidRPr="00767BCA">
          <w:rPr>
            <w:rStyle w:val="Hyperlink"/>
            <w:i/>
            <w:noProof/>
          </w:rPr>
          <w:t>Suggested information requirements for TEAP assessment</w:t>
        </w:r>
        <w:r w:rsidR="005C5E68">
          <w:rPr>
            <w:noProof/>
            <w:webHidden/>
          </w:rPr>
          <w:tab/>
        </w:r>
        <w:r w:rsidR="005C5E68">
          <w:rPr>
            <w:noProof/>
            <w:webHidden/>
          </w:rPr>
          <w:fldChar w:fldCharType="begin"/>
        </w:r>
        <w:r w:rsidR="005C5E68">
          <w:rPr>
            <w:noProof/>
            <w:webHidden/>
          </w:rPr>
          <w:instrText xml:space="preserve"> PAGEREF _Toc104396719 \h </w:instrText>
        </w:r>
        <w:r w:rsidR="005C5E68">
          <w:rPr>
            <w:noProof/>
            <w:webHidden/>
          </w:rPr>
        </w:r>
        <w:r w:rsidR="005C5E68">
          <w:rPr>
            <w:noProof/>
            <w:webHidden/>
          </w:rPr>
          <w:fldChar w:fldCharType="separate"/>
        </w:r>
        <w:r w:rsidR="00FC0382">
          <w:rPr>
            <w:noProof/>
            <w:webHidden/>
          </w:rPr>
          <w:t>68</w:t>
        </w:r>
        <w:r w:rsidR="005C5E68">
          <w:rPr>
            <w:noProof/>
            <w:webHidden/>
          </w:rPr>
          <w:fldChar w:fldCharType="end"/>
        </w:r>
      </w:hyperlink>
    </w:p>
    <w:p w14:paraId="1514283E" w14:textId="2A67D595" w:rsidR="005C5E68" w:rsidRDefault="00143903">
      <w:pPr>
        <w:pStyle w:val="TOC2"/>
        <w:rPr>
          <w:rFonts w:eastAsiaTheme="minorEastAsia" w:cstheme="minorBidi"/>
          <w:smallCaps w:val="0"/>
          <w:noProof/>
          <w:color w:val="auto"/>
          <w:sz w:val="22"/>
          <w:szCs w:val="22"/>
          <w:lang w:eastAsia="en-GB"/>
        </w:rPr>
      </w:pPr>
      <w:hyperlink w:anchor="_Toc104396720" w:history="1">
        <w:r w:rsidR="005C5E68" w:rsidRPr="00767BCA">
          <w:rPr>
            <w:rStyle w:val="Hyperlink"/>
            <w:noProof/>
          </w:rPr>
          <w:t>6.3</w:t>
        </w:r>
        <w:r w:rsidR="005C5E68">
          <w:rPr>
            <w:rFonts w:eastAsiaTheme="minorEastAsia" w:cstheme="minorBidi"/>
            <w:smallCaps w:val="0"/>
            <w:noProof/>
            <w:color w:val="auto"/>
            <w:sz w:val="22"/>
            <w:szCs w:val="22"/>
            <w:lang w:eastAsia="en-GB"/>
          </w:rPr>
          <w:tab/>
        </w:r>
        <w:r w:rsidR="005C5E68" w:rsidRPr="00767BCA">
          <w:rPr>
            <w:rStyle w:val="Hyperlink"/>
            <w:noProof/>
          </w:rPr>
          <w:t>Process agents</w:t>
        </w:r>
        <w:r w:rsidR="005C5E68">
          <w:rPr>
            <w:noProof/>
            <w:webHidden/>
          </w:rPr>
          <w:tab/>
        </w:r>
        <w:r w:rsidR="005C5E68">
          <w:rPr>
            <w:noProof/>
            <w:webHidden/>
          </w:rPr>
          <w:fldChar w:fldCharType="begin"/>
        </w:r>
        <w:r w:rsidR="005C5E68">
          <w:rPr>
            <w:noProof/>
            <w:webHidden/>
          </w:rPr>
          <w:instrText xml:space="preserve"> PAGEREF _Toc104396720 \h </w:instrText>
        </w:r>
        <w:r w:rsidR="005C5E68">
          <w:rPr>
            <w:noProof/>
            <w:webHidden/>
          </w:rPr>
        </w:r>
        <w:r w:rsidR="005C5E68">
          <w:rPr>
            <w:noProof/>
            <w:webHidden/>
          </w:rPr>
          <w:fldChar w:fldCharType="separate"/>
        </w:r>
        <w:r w:rsidR="00FC0382">
          <w:rPr>
            <w:noProof/>
            <w:webHidden/>
          </w:rPr>
          <w:t>70</w:t>
        </w:r>
        <w:r w:rsidR="005C5E68">
          <w:rPr>
            <w:noProof/>
            <w:webHidden/>
          </w:rPr>
          <w:fldChar w:fldCharType="end"/>
        </w:r>
      </w:hyperlink>
    </w:p>
    <w:p w14:paraId="415898E2" w14:textId="0CE1E39E" w:rsidR="005C5E68" w:rsidRDefault="00143903">
      <w:pPr>
        <w:pStyle w:val="TOC2"/>
        <w:rPr>
          <w:rFonts w:eastAsiaTheme="minorEastAsia" w:cstheme="minorBidi"/>
          <w:smallCaps w:val="0"/>
          <w:noProof/>
          <w:color w:val="auto"/>
          <w:sz w:val="22"/>
          <w:szCs w:val="22"/>
          <w:lang w:eastAsia="en-GB"/>
        </w:rPr>
      </w:pPr>
      <w:hyperlink w:anchor="_Toc104396721" w:history="1">
        <w:r w:rsidR="005C5E68" w:rsidRPr="00767BCA">
          <w:rPr>
            <w:rStyle w:val="Hyperlink"/>
            <w:noProof/>
          </w:rPr>
          <w:t>6.4</w:t>
        </w:r>
        <w:r w:rsidR="005C5E68">
          <w:rPr>
            <w:rFonts w:eastAsiaTheme="minorEastAsia" w:cstheme="minorBidi"/>
            <w:smallCaps w:val="0"/>
            <w:noProof/>
            <w:color w:val="auto"/>
            <w:sz w:val="22"/>
            <w:szCs w:val="22"/>
            <w:lang w:eastAsia="en-GB"/>
          </w:rPr>
          <w:tab/>
        </w:r>
        <w:r w:rsidR="005C5E68" w:rsidRPr="00767BCA">
          <w:rPr>
            <w:rStyle w:val="Hyperlink"/>
            <w:noProof/>
          </w:rPr>
          <w:t>Laboratory and analytical uses</w:t>
        </w:r>
        <w:r w:rsidR="005C5E68">
          <w:rPr>
            <w:noProof/>
            <w:webHidden/>
          </w:rPr>
          <w:tab/>
        </w:r>
        <w:r w:rsidR="005C5E68">
          <w:rPr>
            <w:noProof/>
            <w:webHidden/>
          </w:rPr>
          <w:fldChar w:fldCharType="begin"/>
        </w:r>
        <w:r w:rsidR="005C5E68">
          <w:rPr>
            <w:noProof/>
            <w:webHidden/>
          </w:rPr>
          <w:instrText xml:space="preserve"> PAGEREF _Toc104396721 \h </w:instrText>
        </w:r>
        <w:r w:rsidR="005C5E68">
          <w:rPr>
            <w:noProof/>
            <w:webHidden/>
          </w:rPr>
        </w:r>
        <w:r w:rsidR="005C5E68">
          <w:rPr>
            <w:noProof/>
            <w:webHidden/>
          </w:rPr>
          <w:fldChar w:fldCharType="separate"/>
        </w:r>
        <w:r w:rsidR="00FC0382">
          <w:rPr>
            <w:noProof/>
            <w:webHidden/>
          </w:rPr>
          <w:t>70</w:t>
        </w:r>
        <w:r w:rsidR="005C5E68">
          <w:rPr>
            <w:noProof/>
            <w:webHidden/>
          </w:rPr>
          <w:fldChar w:fldCharType="end"/>
        </w:r>
      </w:hyperlink>
    </w:p>
    <w:p w14:paraId="7EEDDF14" w14:textId="1B838A77" w:rsidR="005C5E68" w:rsidRDefault="00143903">
      <w:pPr>
        <w:pStyle w:val="TOC2"/>
        <w:rPr>
          <w:rFonts w:eastAsiaTheme="minorEastAsia" w:cstheme="minorBidi"/>
          <w:smallCaps w:val="0"/>
          <w:noProof/>
          <w:color w:val="auto"/>
          <w:sz w:val="22"/>
          <w:szCs w:val="22"/>
          <w:lang w:eastAsia="en-GB"/>
        </w:rPr>
      </w:pPr>
      <w:hyperlink w:anchor="_Toc104396722" w:history="1">
        <w:r w:rsidR="005C5E68" w:rsidRPr="00767BCA">
          <w:rPr>
            <w:rStyle w:val="Hyperlink"/>
            <w:noProof/>
          </w:rPr>
          <w:t>6.5</w:t>
        </w:r>
        <w:r w:rsidR="005C5E68">
          <w:rPr>
            <w:rFonts w:eastAsiaTheme="minorEastAsia" w:cstheme="minorBidi"/>
            <w:smallCaps w:val="0"/>
            <w:noProof/>
            <w:color w:val="auto"/>
            <w:sz w:val="22"/>
            <w:szCs w:val="22"/>
            <w:lang w:eastAsia="en-GB"/>
          </w:rPr>
          <w:tab/>
        </w:r>
        <w:r w:rsidR="005C5E68" w:rsidRPr="00767BCA">
          <w:rPr>
            <w:rStyle w:val="Hyperlink"/>
            <w:i/>
            <w:iCs/>
            <w:noProof/>
          </w:rPr>
          <w:t>n</w:t>
        </w:r>
        <w:r w:rsidR="005C5E68" w:rsidRPr="00767BCA">
          <w:rPr>
            <w:rStyle w:val="Hyperlink"/>
            <w:noProof/>
          </w:rPr>
          <w:t>-Propyl bromide</w:t>
        </w:r>
        <w:r w:rsidR="005C5E68">
          <w:rPr>
            <w:noProof/>
            <w:webHidden/>
          </w:rPr>
          <w:tab/>
        </w:r>
        <w:r w:rsidR="005C5E68">
          <w:rPr>
            <w:noProof/>
            <w:webHidden/>
          </w:rPr>
          <w:fldChar w:fldCharType="begin"/>
        </w:r>
        <w:r w:rsidR="005C5E68">
          <w:rPr>
            <w:noProof/>
            <w:webHidden/>
          </w:rPr>
          <w:instrText xml:space="preserve"> PAGEREF _Toc104396722 \h </w:instrText>
        </w:r>
        <w:r w:rsidR="005C5E68">
          <w:rPr>
            <w:noProof/>
            <w:webHidden/>
          </w:rPr>
        </w:r>
        <w:r w:rsidR="005C5E68">
          <w:rPr>
            <w:noProof/>
            <w:webHidden/>
          </w:rPr>
          <w:fldChar w:fldCharType="separate"/>
        </w:r>
        <w:r w:rsidR="00FC0382">
          <w:rPr>
            <w:noProof/>
            <w:webHidden/>
          </w:rPr>
          <w:t>70</w:t>
        </w:r>
        <w:r w:rsidR="005C5E68">
          <w:rPr>
            <w:noProof/>
            <w:webHidden/>
          </w:rPr>
          <w:fldChar w:fldCharType="end"/>
        </w:r>
      </w:hyperlink>
    </w:p>
    <w:p w14:paraId="0693FF53" w14:textId="2C535F83" w:rsidR="005C5E68" w:rsidRDefault="00143903">
      <w:pPr>
        <w:pStyle w:val="TOC2"/>
        <w:rPr>
          <w:rFonts w:eastAsiaTheme="minorEastAsia" w:cstheme="minorBidi"/>
          <w:smallCaps w:val="0"/>
          <w:noProof/>
          <w:color w:val="auto"/>
          <w:sz w:val="22"/>
          <w:szCs w:val="22"/>
          <w:lang w:eastAsia="en-GB"/>
        </w:rPr>
      </w:pPr>
      <w:hyperlink w:anchor="_Toc104396723" w:history="1">
        <w:r w:rsidR="005C5E68" w:rsidRPr="00767BCA">
          <w:rPr>
            <w:rStyle w:val="Hyperlink"/>
            <w:noProof/>
          </w:rPr>
          <w:t>6.6</w:t>
        </w:r>
        <w:r w:rsidR="005C5E68">
          <w:rPr>
            <w:rFonts w:eastAsiaTheme="minorEastAsia" w:cstheme="minorBidi"/>
            <w:smallCaps w:val="0"/>
            <w:noProof/>
            <w:color w:val="auto"/>
            <w:sz w:val="22"/>
            <w:szCs w:val="22"/>
            <w:lang w:eastAsia="en-GB"/>
          </w:rPr>
          <w:tab/>
        </w:r>
        <w:r w:rsidR="005C5E68" w:rsidRPr="00767BCA">
          <w:rPr>
            <w:rStyle w:val="Hyperlink"/>
            <w:noProof/>
          </w:rPr>
          <w:t>Metered dose inhalers</w:t>
        </w:r>
        <w:r w:rsidR="005C5E68">
          <w:rPr>
            <w:noProof/>
            <w:webHidden/>
          </w:rPr>
          <w:tab/>
        </w:r>
        <w:r w:rsidR="005C5E68">
          <w:rPr>
            <w:noProof/>
            <w:webHidden/>
          </w:rPr>
          <w:fldChar w:fldCharType="begin"/>
        </w:r>
        <w:r w:rsidR="005C5E68">
          <w:rPr>
            <w:noProof/>
            <w:webHidden/>
          </w:rPr>
          <w:instrText xml:space="preserve"> PAGEREF _Toc104396723 \h </w:instrText>
        </w:r>
        <w:r w:rsidR="005C5E68">
          <w:rPr>
            <w:noProof/>
            <w:webHidden/>
          </w:rPr>
        </w:r>
        <w:r w:rsidR="005C5E68">
          <w:rPr>
            <w:noProof/>
            <w:webHidden/>
          </w:rPr>
          <w:fldChar w:fldCharType="separate"/>
        </w:r>
        <w:r w:rsidR="00FC0382">
          <w:rPr>
            <w:noProof/>
            <w:webHidden/>
          </w:rPr>
          <w:t>70</w:t>
        </w:r>
        <w:r w:rsidR="005C5E68">
          <w:rPr>
            <w:noProof/>
            <w:webHidden/>
          </w:rPr>
          <w:fldChar w:fldCharType="end"/>
        </w:r>
      </w:hyperlink>
    </w:p>
    <w:p w14:paraId="76B6CCC5" w14:textId="0094385E" w:rsidR="005C5E68" w:rsidRDefault="00143903" w:rsidP="005C5E68">
      <w:pPr>
        <w:pStyle w:val="TOC1"/>
        <w:rPr>
          <w:rFonts w:eastAsiaTheme="minorEastAsia" w:cstheme="minorBidi"/>
          <w:noProof/>
          <w:color w:val="auto"/>
          <w:sz w:val="22"/>
          <w:szCs w:val="22"/>
          <w:lang w:eastAsia="en-GB"/>
        </w:rPr>
      </w:pPr>
      <w:hyperlink w:anchor="_Toc104396724" w:history="1">
        <w:r w:rsidR="005C5E68" w:rsidRPr="00767BCA">
          <w:rPr>
            <w:rStyle w:val="Hyperlink"/>
            <w:noProof/>
          </w:rPr>
          <w:t>7</w:t>
        </w:r>
        <w:r w:rsidR="005C5E68">
          <w:rPr>
            <w:rFonts w:eastAsiaTheme="minorEastAsia" w:cstheme="minorBidi"/>
            <w:noProof/>
            <w:color w:val="auto"/>
            <w:sz w:val="22"/>
            <w:szCs w:val="22"/>
            <w:lang w:eastAsia="en-GB"/>
          </w:rPr>
          <w:tab/>
        </w:r>
        <w:r w:rsidR="005C5E68" w:rsidRPr="00767BCA">
          <w:rPr>
            <w:rStyle w:val="Hyperlink"/>
            <w:noProof/>
          </w:rPr>
          <w:t>Refrigeration, Air Conditioning and Heat Pumps TOC (RTOC) Progress Report</w:t>
        </w:r>
        <w:r w:rsidR="005C5E68">
          <w:rPr>
            <w:noProof/>
            <w:webHidden/>
          </w:rPr>
          <w:tab/>
        </w:r>
        <w:r w:rsidR="005C5E68">
          <w:rPr>
            <w:noProof/>
            <w:webHidden/>
          </w:rPr>
          <w:fldChar w:fldCharType="begin"/>
        </w:r>
        <w:r w:rsidR="005C5E68">
          <w:rPr>
            <w:noProof/>
            <w:webHidden/>
          </w:rPr>
          <w:instrText xml:space="preserve"> PAGEREF _Toc104396724 \h </w:instrText>
        </w:r>
        <w:r w:rsidR="005C5E68">
          <w:rPr>
            <w:noProof/>
            <w:webHidden/>
          </w:rPr>
        </w:r>
        <w:r w:rsidR="005C5E68">
          <w:rPr>
            <w:noProof/>
            <w:webHidden/>
          </w:rPr>
          <w:fldChar w:fldCharType="separate"/>
        </w:r>
        <w:r w:rsidR="00FC0382">
          <w:rPr>
            <w:noProof/>
            <w:webHidden/>
          </w:rPr>
          <w:t>73</w:t>
        </w:r>
        <w:r w:rsidR="005C5E68">
          <w:rPr>
            <w:noProof/>
            <w:webHidden/>
          </w:rPr>
          <w:fldChar w:fldCharType="end"/>
        </w:r>
      </w:hyperlink>
    </w:p>
    <w:p w14:paraId="5DDA958E" w14:textId="14882A2B" w:rsidR="005C5E68" w:rsidRDefault="00143903">
      <w:pPr>
        <w:pStyle w:val="TOC2"/>
        <w:rPr>
          <w:rFonts w:eastAsiaTheme="minorEastAsia" w:cstheme="minorBidi"/>
          <w:smallCaps w:val="0"/>
          <w:noProof/>
          <w:color w:val="auto"/>
          <w:sz w:val="22"/>
          <w:szCs w:val="22"/>
          <w:lang w:eastAsia="en-GB"/>
        </w:rPr>
      </w:pPr>
      <w:hyperlink w:anchor="_Toc104396725" w:history="1">
        <w:r w:rsidR="005C5E68" w:rsidRPr="00767BCA">
          <w:rPr>
            <w:rStyle w:val="Hyperlink"/>
            <w:noProof/>
          </w:rPr>
          <w:t>7.1</w:t>
        </w:r>
        <w:r w:rsidR="005C5E68">
          <w:rPr>
            <w:rFonts w:eastAsiaTheme="minorEastAsia" w:cstheme="minorBidi"/>
            <w:smallCaps w:val="0"/>
            <w:noProof/>
            <w:color w:val="auto"/>
            <w:sz w:val="22"/>
            <w:szCs w:val="22"/>
            <w:lang w:eastAsia="en-GB"/>
          </w:rPr>
          <w:tab/>
        </w:r>
        <w:r w:rsidR="005C5E68" w:rsidRPr="00767BCA">
          <w:rPr>
            <w:rStyle w:val="Hyperlink"/>
            <w:noProof/>
          </w:rPr>
          <w:t xml:space="preserve"> Introduction</w:t>
        </w:r>
        <w:r w:rsidR="005C5E68">
          <w:rPr>
            <w:noProof/>
            <w:webHidden/>
          </w:rPr>
          <w:tab/>
        </w:r>
        <w:r w:rsidR="005C5E68">
          <w:rPr>
            <w:noProof/>
            <w:webHidden/>
          </w:rPr>
          <w:fldChar w:fldCharType="begin"/>
        </w:r>
        <w:r w:rsidR="005C5E68">
          <w:rPr>
            <w:noProof/>
            <w:webHidden/>
          </w:rPr>
          <w:instrText xml:space="preserve"> PAGEREF _Toc104396725 \h </w:instrText>
        </w:r>
        <w:r w:rsidR="005C5E68">
          <w:rPr>
            <w:noProof/>
            <w:webHidden/>
          </w:rPr>
        </w:r>
        <w:r w:rsidR="005C5E68">
          <w:rPr>
            <w:noProof/>
            <w:webHidden/>
          </w:rPr>
          <w:fldChar w:fldCharType="separate"/>
        </w:r>
        <w:r w:rsidR="00FC0382">
          <w:rPr>
            <w:noProof/>
            <w:webHidden/>
          </w:rPr>
          <w:t>73</w:t>
        </w:r>
        <w:r w:rsidR="005C5E68">
          <w:rPr>
            <w:noProof/>
            <w:webHidden/>
          </w:rPr>
          <w:fldChar w:fldCharType="end"/>
        </w:r>
      </w:hyperlink>
    </w:p>
    <w:p w14:paraId="25A84952" w14:textId="4470DBA0" w:rsidR="005C5E68" w:rsidRDefault="00143903">
      <w:pPr>
        <w:pStyle w:val="TOC2"/>
        <w:rPr>
          <w:rFonts w:eastAsiaTheme="minorEastAsia" w:cstheme="minorBidi"/>
          <w:smallCaps w:val="0"/>
          <w:noProof/>
          <w:color w:val="auto"/>
          <w:sz w:val="22"/>
          <w:szCs w:val="22"/>
          <w:lang w:eastAsia="en-GB"/>
        </w:rPr>
      </w:pPr>
      <w:hyperlink w:anchor="_Toc104396726" w:history="1">
        <w:r w:rsidR="005C5E68" w:rsidRPr="00767BCA">
          <w:rPr>
            <w:rStyle w:val="Hyperlink"/>
            <w:noProof/>
          </w:rPr>
          <w:t>7.2</w:t>
        </w:r>
        <w:r w:rsidR="005C5E68">
          <w:rPr>
            <w:rFonts w:eastAsiaTheme="minorEastAsia" w:cstheme="minorBidi"/>
            <w:smallCaps w:val="0"/>
            <w:noProof/>
            <w:color w:val="auto"/>
            <w:sz w:val="22"/>
            <w:szCs w:val="22"/>
            <w:lang w:eastAsia="en-GB"/>
          </w:rPr>
          <w:tab/>
        </w:r>
        <w:r w:rsidR="005C5E68" w:rsidRPr="00767BCA">
          <w:rPr>
            <w:rStyle w:val="Hyperlink"/>
            <w:noProof/>
          </w:rPr>
          <w:t>Refrigerants</w:t>
        </w:r>
        <w:r w:rsidR="005C5E68">
          <w:rPr>
            <w:noProof/>
            <w:webHidden/>
          </w:rPr>
          <w:tab/>
        </w:r>
        <w:r w:rsidR="005C5E68">
          <w:rPr>
            <w:noProof/>
            <w:webHidden/>
          </w:rPr>
          <w:fldChar w:fldCharType="begin"/>
        </w:r>
        <w:r w:rsidR="005C5E68">
          <w:rPr>
            <w:noProof/>
            <w:webHidden/>
          </w:rPr>
          <w:instrText xml:space="preserve"> PAGEREF _Toc104396726 \h </w:instrText>
        </w:r>
        <w:r w:rsidR="005C5E68">
          <w:rPr>
            <w:noProof/>
            <w:webHidden/>
          </w:rPr>
        </w:r>
        <w:r w:rsidR="005C5E68">
          <w:rPr>
            <w:noProof/>
            <w:webHidden/>
          </w:rPr>
          <w:fldChar w:fldCharType="separate"/>
        </w:r>
        <w:r w:rsidR="00FC0382">
          <w:rPr>
            <w:noProof/>
            <w:webHidden/>
          </w:rPr>
          <w:t>73</w:t>
        </w:r>
        <w:r w:rsidR="005C5E68">
          <w:rPr>
            <w:noProof/>
            <w:webHidden/>
          </w:rPr>
          <w:fldChar w:fldCharType="end"/>
        </w:r>
      </w:hyperlink>
    </w:p>
    <w:p w14:paraId="4411955F" w14:textId="6180174A" w:rsidR="005C5E68" w:rsidRDefault="00143903">
      <w:pPr>
        <w:pStyle w:val="TOC2"/>
        <w:rPr>
          <w:rFonts w:eastAsiaTheme="minorEastAsia" w:cstheme="minorBidi"/>
          <w:smallCaps w:val="0"/>
          <w:noProof/>
          <w:color w:val="auto"/>
          <w:sz w:val="22"/>
          <w:szCs w:val="22"/>
          <w:lang w:eastAsia="en-GB"/>
        </w:rPr>
      </w:pPr>
      <w:hyperlink w:anchor="_Toc104396727" w:history="1">
        <w:r w:rsidR="005C5E68" w:rsidRPr="00767BCA">
          <w:rPr>
            <w:rStyle w:val="Hyperlink"/>
            <w:noProof/>
          </w:rPr>
          <w:t>7.3</w:t>
        </w:r>
        <w:r w:rsidR="005C5E68">
          <w:rPr>
            <w:rFonts w:eastAsiaTheme="minorEastAsia" w:cstheme="minorBidi"/>
            <w:smallCaps w:val="0"/>
            <w:noProof/>
            <w:color w:val="auto"/>
            <w:sz w:val="22"/>
            <w:szCs w:val="22"/>
            <w:lang w:eastAsia="en-GB"/>
          </w:rPr>
          <w:tab/>
        </w:r>
        <w:r w:rsidR="005C5E68" w:rsidRPr="00767BCA">
          <w:rPr>
            <w:rStyle w:val="Hyperlink"/>
            <w:noProof/>
          </w:rPr>
          <w:t xml:space="preserve"> Factory sealed domestic and commercial refrigeration appliances</w:t>
        </w:r>
        <w:r w:rsidR="005C5E68">
          <w:rPr>
            <w:noProof/>
            <w:webHidden/>
          </w:rPr>
          <w:tab/>
        </w:r>
        <w:r w:rsidR="005C5E68">
          <w:rPr>
            <w:noProof/>
            <w:webHidden/>
          </w:rPr>
          <w:fldChar w:fldCharType="begin"/>
        </w:r>
        <w:r w:rsidR="005C5E68">
          <w:rPr>
            <w:noProof/>
            <w:webHidden/>
          </w:rPr>
          <w:instrText xml:space="preserve"> PAGEREF _Toc104396727 \h </w:instrText>
        </w:r>
        <w:r w:rsidR="005C5E68">
          <w:rPr>
            <w:noProof/>
            <w:webHidden/>
          </w:rPr>
        </w:r>
        <w:r w:rsidR="005C5E68">
          <w:rPr>
            <w:noProof/>
            <w:webHidden/>
          </w:rPr>
          <w:fldChar w:fldCharType="separate"/>
        </w:r>
        <w:r w:rsidR="00FC0382">
          <w:rPr>
            <w:noProof/>
            <w:webHidden/>
          </w:rPr>
          <w:t>75</w:t>
        </w:r>
        <w:r w:rsidR="005C5E68">
          <w:rPr>
            <w:noProof/>
            <w:webHidden/>
          </w:rPr>
          <w:fldChar w:fldCharType="end"/>
        </w:r>
      </w:hyperlink>
    </w:p>
    <w:p w14:paraId="719C3B65" w14:textId="4B24060E" w:rsidR="005C5E68" w:rsidRDefault="00143903">
      <w:pPr>
        <w:pStyle w:val="TOC2"/>
        <w:rPr>
          <w:rFonts w:eastAsiaTheme="minorEastAsia" w:cstheme="minorBidi"/>
          <w:smallCaps w:val="0"/>
          <w:noProof/>
          <w:color w:val="auto"/>
          <w:sz w:val="22"/>
          <w:szCs w:val="22"/>
          <w:lang w:eastAsia="en-GB"/>
        </w:rPr>
      </w:pPr>
      <w:hyperlink w:anchor="_Toc104396728" w:history="1">
        <w:r w:rsidR="005C5E68" w:rsidRPr="00767BCA">
          <w:rPr>
            <w:rStyle w:val="Hyperlink"/>
            <w:noProof/>
          </w:rPr>
          <w:t>7.4</w:t>
        </w:r>
        <w:r w:rsidR="005C5E68">
          <w:rPr>
            <w:rFonts w:eastAsiaTheme="minorEastAsia" w:cstheme="minorBidi"/>
            <w:smallCaps w:val="0"/>
            <w:noProof/>
            <w:color w:val="auto"/>
            <w:sz w:val="22"/>
            <w:szCs w:val="22"/>
            <w:lang w:eastAsia="en-GB"/>
          </w:rPr>
          <w:tab/>
        </w:r>
        <w:r w:rsidR="005C5E68" w:rsidRPr="00767BCA">
          <w:rPr>
            <w:rStyle w:val="Hyperlink"/>
            <w:noProof/>
          </w:rPr>
          <w:t xml:space="preserve"> Food retail and food service refrigeration</w:t>
        </w:r>
        <w:r w:rsidR="005C5E68">
          <w:rPr>
            <w:noProof/>
            <w:webHidden/>
          </w:rPr>
          <w:tab/>
        </w:r>
        <w:r w:rsidR="005C5E68">
          <w:rPr>
            <w:noProof/>
            <w:webHidden/>
          </w:rPr>
          <w:fldChar w:fldCharType="begin"/>
        </w:r>
        <w:r w:rsidR="005C5E68">
          <w:rPr>
            <w:noProof/>
            <w:webHidden/>
          </w:rPr>
          <w:instrText xml:space="preserve"> PAGEREF _Toc104396728 \h </w:instrText>
        </w:r>
        <w:r w:rsidR="005C5E68">
          <w:rPr>
            <w:noProof/>
            <w:webHidden/>
          </w:rPr>
        </w:r>
        <w:r w:rsidR="005C5E68">
          <w:rPr>
            <w:noProof/>
            <w:webHidden/>
          </w:rPr>
          <w:fldChar w:fldCharType="separate"/>
        </w:r>
        <w:r w:rsidR="00FC0382">
          <w:rPr>
            <w:noProof/>
            <w:webHidden/>
          </w:rPr>
          <w:t>75</w:t>
        </w:r>
        <w:r w:rsidR="005C5E68">
          <w:rPr>
            <w:noProof/>
            <w:webHidden/>
          </w:rPr>
          <w:fldChar w:fldCharType="end"/>
        </w:r>
      </w:hyperlink>
    </w:p>
    <w:p w14:paraId="119F8263" w14:textId="3A970661" w:rsidR="005C5E68" w:rsidRDefault="00143903">
      <w:pPr>
        <w:pStyle w:val="TOC2"/>
        <w:rPr>
          <w:rFonts w:eastAsiaTheme="minorEastAsia" w:cstheme="minorBidi"/>
          <w:smallCaps w:val="0"/>
          <w:noProof/>
          <w:color w:val="auto"/>
          <w:sz w:val="22"/>
          <w:szCs w:val="22"/>
          <w:lang w:eastAsia="en-GB"/>
        </w:rPr>
      </w:pPr>
      <w:hyperlink w:anchor="_Toc104396729" w:history="1">
        <w:r w:rsidR="005C5E68" w:rsidRPr="00767BCA">
          <w:rPr>
            <w:rStyle w:val="Hyperlink"/>
            <w:noProof/>
          </w:rPr>
          <w:t>7.5</w:t>
        </w:r>
        <w:r w:rsidR="005C5E68">
          <w:rPr>
            <w:rFonts w:eastAsiaTheme="minorEastAsia" w:cstheme="minorBidi"/>
            <w:smallCaps w:val="0"/>
            <w:noProof/>
            <w:color w:val="auto"/>
            <w:sz w:val="22"/>
            <w:szCs w:val="22"/>
            <w:lang w:eastAsia="en-GB"/>
          </w:rPr>
          <w:tab/>
        </w:r>
        <w:r w:rsidR="005C5E68" w:rsidRPr="00767BCA">
          <w:rPr>
            <w:rStyle w:val="Hyperlink"/>
            <w:noProof/>
          </w:rPr>
          <w:t xml:space="preserve"> Transport refrigeration</w:t>
        </w:r>
        <w:r w:rsidR="005C5E68">
          <w:rPr>
            <w:noProof/>
            <w:webHidden/>
          </w:rPr>
          <w:tab/>
        </w:r>
        <w:r w:rsidR="005C5E68">
          <w:rPr>
            <w:noProof/>
            <w:webHidden/>
          </w:rPr>
          <w:fldChar w:fldCharType="begin"/>
        </w:r>
        <w:r w:rsidR="005C5E68">
          <w:rPr>
            <w:noProof/>
            <w:webHidden/>
          </w:rPr>
          <w:instrText xml:space="preserve"> PAGEREF _Toc104396729 \h </w:instrText>
        </w:r>
        <w:r w:rsidR="005C5E68">
          <w:rPr>
            <w:noProof/>
            <w:webHidden/>
          </w:rPr>
        </w:r>
        <w:r w:rsidR="005C5E68">
          <w:rPr>
            <w:noProof/>
            <w:webHidden/>
          </w:rPr>
          <w:fldChar w:fldCharType="separate"/>
        </w:r>
        <w:r w:rsidR="00FC0382">
          <w:rPr>
            <w:noProof/>
            <w:webHidden/>
          </w:rPr>
          <w:t>76</w:t>
        </w:r>
        <w:r w:rsidR="005C5E68">
          <w:rPr>
            <w:noProof/>
            <w:webHidden/>
          </w:rPr>
          <w:fldChar w:fldCharType="end"/>
        </w:r>
      </w:hyperlink>
    </w:p>
    <w:p w14:paraId="2F59CAA3" w14:textId="7FE4505B" w:rsidR="005C5E68" w:rsidRDefault="00143903">
      <w:pPr>
        <w:pStyle w:val="TOC2"/>
        <w:rPr>
          <w:rFonts w:eastAsiaTheme="minorEastAsia" w:cstheme="minorBidi"/>
          <w:smallCaps w:val="0"/>
          <w:noProof/>
          <w:color w:val="auto"/>
          <w:sz w:val="22"/>
          <w:szCs w:val="22"/>
          <w:lang w:eastAsia="en-GB"/>
        </w:rPr>
      </w:pPr>
      <w:hyperlink w:anchor="_Toc104396730" w:history="1">
        <w:r w:rsidR="005C5E68" w:rsidRPr="00767BCA">
          <w:rPr>
            <w:rStyle w:val="Hyperlink"/>
            <w:noProof/>
          </w:rPr>
          <w:t>7.7</w:t>
        </w:r>
        <w:r w:rsidR="005C5E68">
          <w:rPr>
            <w:rFonts w:eastAsiaTheme="minorEastAsia" w:cstheme="minorBidi"/>
            <w:smallCaps w:val="0"/>
            <w:noProof/>
            <w:color w:val="auto"/>
            <w:sz w:val="22"/>
            <w:szCs w:val="22"/>
            <w:lang w:eastAsia="en-GB"/>
          </w:rPr>
          <w:tab/>
        </w:r>
        <w:r w:rsidR="005C5E68" w:rsidRPr="00767BCA">
          <w:rPr>
            <w:rStyle w:val="Hyperlink"/>
            <w:noProof/>
          </w:rPr>
          <w:t>Commercial comfort air conditioning</w:t>
        </w:r>
        <w:r w:rsidR="005C5E68">
          <w:rPr>
            <w:noProof/>
            <w:webHidden/>
          </w:rPr>
          <w:tab/>
        </w:r>
        <w:r w:rsidR="005C5E68">
          <w:rPr>
            <w:noProof/>
            <w:webHidden/>
          </w:rPr>
          <w:fldChar w:fldCharType="begin"/>
        </w:r>
        <w:r w:rsidR="005C5E68">
          <w:rPr>
            <w:noProof/>
            <w:webHidden/>
          </w:rPr>
          <w:instrText xml:space="preserve"> PAGEREF _Toc104396730 \h </w:instrText>
        </w:r>
        <w:r w:rsidR="005C5E68">
          <w:rPr>
            <w:noProof/>
            <w:webHidden/>
          </w:rPr>
        </w:r>
        <w:r w:rsidR="005C5E68">
          <w:rPr>
            <w:noProof/>
            <w:webHidden/>
          </w:rPr>
          <w:fldChar w:fldCharType="separate"/>
        </w:r>
        <w:r w:rsidR="00FC0382">
          <w:rPr>
            <w:noProof/>
            <w:webHidden/>
          </w:rPr>
          <w:t>77</w:t>
        </w:r>
        <w:r w:rsidR="005C5E68">
          <w:rPr>
            <w:noProof/>
            <w:webHidden/>
          </w:rPr>
          <w:fldChar w:fldCharType="end"/>
        </w:r>
      </w:hyperlink>
    </w:p>
    <w:p w14:paraId="22BF8B4F" w14:textId="0F9C966F" w:rsidR="005C5E68" w:rsidRDefault="00143903">
      <w:pPr>
        <w:pStyle w:val="TOC2"/>
        <w:rPr>
          <w:rFonts w:eastAsiaTheme="minorEastAsia" w:cstheme="minorBidi"/>
          <w:smallCaps w:val="0"/>
          <w:noProof/>
          <w:color w:val="auto"/>
          <w:sz w:val="22"/>
          <w:szCs w:val="22"/>
          <w:lang w:eastAsia="en-GB"/>
        </w:rPr>
      </w:pPr>
      <w:hyperlink w:anchor="_Toc104396731" w:history="1">
        <w:r w:rsidR="005C5E68" w:rsidRPr="00767BCA">
          <w:rPr>
            <w:rStyle w:val="Hyperlink"/>
            <w:noProof/>
          </w:rPr>
          <w:t>7.8</w:t>
        </w:r>
        <w:r w:rsidR="005C5E68">
          <w:rPr>
            <w:rFonts w:eastAsiaTheme="minorEastAsia" w:cstheme="minorBidi"/>
            <w:smallCaps w:val="0"/>
            <w:noProof/>
            <w:color w:val="auto"/>
            <w:sz w:val="22"/>
            <w:szCs w:val="22"/>
            <w:lang w:eastAsia="en-GB"/>
          </w:rPr>
          <w:tab/>
        </w:r>
        <w:r w:rsidR="005C5E68" w:rsidRPr="00767BCA">
          <w:rPr>
            <w:rStyle w:val="Hyperlink"/>
            <w:noProof/>
          </w:rPr>
          <w:t>Mobile AC/HP</w:t>
        </w:r>
        <w:r w:rsidR="005C5E68">
          <w:rPr>
            <w:noProof/>
            <w:webHidden/>
          </w:rPr>
          <w:tab/>
        </w:r>
        <w:r w:rsidR="005C5E68">
          <w:rPr>
            <w:noProof/>
            <w:webHidden/>
          </w:rPr>
          <w:fldChar w:fldCharType="begin"/>
        </w:r>
        <w:r w:rsidR="005C5E68">
          <w:rPr>
            <w:noProof/>
            <w:webHidden/>
          </w:rPr>
          <w:instrText xml:space="preserve"> PAGEREF _Toc104396731 \h </w:instrText>
        </w:r>
        <w:r w:rsidR="005C5E68">
          <w:rPr>
            <w:noProof/>
            <w:webHidden/>
          </w:rPr>
        </w:r>
        <w:r w:rsidR="005C5E68">
          <w:rPr>
            <w:noProof/>
            <w:webHidden/>
          </w:rPr>
          <w:fldChar w:fldCharType="separate"/>
        </w:r>
        <w:r w:rsidR="00FC0382">
          <w:rPr>
            <w:noProof/>
            <w:webHidden/>
          </w:rPr>
          <w:t>78</w:t>
        </w:r>
        <w:r w:rsidR="005C5E68">
          <w:rPr>
            <w:noProof/>
            <w:webHidden/>
          </w:rPr>
          <w:fldChar w:fldCharType="end"/>
        </w:r>
      </w:hyperlink>
    </w:p>
    <w:p w14:paraId="2950231A" w14:textId="1832195A" w:rsidR="005C5E68" w:rsidRDefault="00143903">
      <w:pPr>
        <w:pStyle w:val="TOC2"/>
        <w:rPr>
          <w:rFonts w:eastAsiaTheme="minorEastAsia" w:cstheme="minorBidi"/>
          <w:smallCaps w:val="0"/>
          <w:noProof/>
          <w:color w:val="auto"/>
          <w:sz w:val="22"/>
          <w:szCs w:val="22"/>
          <w:lang w:eastAsia="en-GB"/>
        </w:rPr>
      </w:pPr>
      <w:hyperlink w:anchor="_Toc104396732" w:history="1">
        <w:r w:rsidR="005C5E68" w:rsidRPr="00767BCA">
          <w:rPr>
            <w:rStyle w:val="Hyperlink"/>
            <w:noProof/>
          </w:rPr>
          <w:t>7.9</w:t>
        </w:r>
        <w:r w:rsidR="005C5E68">
          <w:rPr>
            <w:rFonts w:eastAsiaTheme="minorEastAsia" w:cstheme="minorBidi"/>
            <w:smallCaps w:val="0"/>
            <w:noProof/>
            <w:color w:val="auto"/>
            <w:sz w:val="22"/>
            <w:szCs w:val="22"/>
            <w:lang w:eastAsia="en-GB"/>
          </w:rPr>
          <w:tab/>
        </w:r>
        <w:r w:rsidR="005C5E68" w:rsidRPr="00767BCA">
          <w:rPr>
            <w:rStyle w:val="Hyperlink"/>
            <w:noProof/>
          </w:rPr>
          <w:t>Industrial refrigeration, heat pumps and heat engines</w:t>
        </w:r>
        <w:r w:rsidR="005C5E68">
          <w:rPr>
            <w:noProof/>
            <w:webHidden/>
          </w:rPr>
          <w:tab/>
        </w:r>
        <w:r w:rsidR="005C5E68">
          <w:rPr>
            <w:noProof/>
            <w:webHidden/>
          </w:rPr>
          <w:fldChar w:fldCharType="begin"/>
        </w:r>
        <w:r w:rsidR="005C5E68">
          <w:rPr>
            <w:noProof/>
            <w:webHidden/>
          </w:rPr>
          <w:instrText xml:space="preserve"> PAGEREF _Toc104396732 \h </w:instrText>
        </w:r>
        <w:r w:rsidR="005C5E68">
          <w:rPr>
            <w:noProof/>
            <w:webHidden/>
          </w:rPr>
        </w:r>
        <w:r w:rsidR="005C5E68">
          <w:rPr>
            <w:noProof/>
            <w:webHidden/>
          </w:rPr>
          <w:fldChar w:fldCharType="separate"/>
        </w:r>
        <w:r w:rsidR="00FC0382">
          <w:rPr>
            <w:noProof/>
            <w:webHidden/>
          </w:rPr>
          <w:t>79</w:t>
        </w:r>
        <w:r w:rsidR="005C5E68">
          <w:rPr>
            <w:noProof/>
            <w:webHidden/>
          </w:rPr>
          <w:fldChar w:fldCharType="end"/>
        </w:r>
      </w:hyperlink>
    </w:p>
    <w:p w14:paraId="025F6847" w14:textId="7AC92BE9" w:rsidR="005C5E68" w:rsidRDefault="00143903">
      <w:pPr>
        <w:pStyle w:val="TOC2"/>
        <w:rPr>
          <w:rFonts w:eastAsiaTheme="minorEastAsia" w:cstheme="minorBidi"/>
          <w:smallCaps w:val="0"/>
          <w:noProof/>
          <w:color w:val="auto"/>
          <w:sz w:val="22"/>
          <w:szCs w:val="22"/>
          <w:lang w:eastAsia="en-GB"/>
        </w:rPr>
      </w:pPr>
      <w:hyperlink w:anchor="_Toc104396733" w:history="1">
        <w:r w:rsidR="005C5E68" w:rsidRPr="00767BCA">
          <w:rPr>
            <w:rStyle w:val="Hyperlink"/>
            <w:noProof/>
          </w:rPr>
          <w:t>7.10</w:t>
        </w:r>
        <w:r w:rsidR="005C5E68">
          <w:rPr>
            <w:rFonts w:eastAsiaTheme="minorEastAsia" w:cstheme="minorBidi"/>
            <w:smallCaps w:val="0"/>
            <w:noProof/>
            <w:color w:val="auto"/>
            <w:sz w:val="22"/>
            <w:szCs w:val="22"/>
            <w:lang w:eastAsia="en-GB"/>
          </w:rPr>
          <w:tab/>
        </w:r>
        <w:r w:rsidR="005C5E68" w:rsidRPr="00767BCA">
          <w:rPr>
            <w:rStyle w:val="Hyperlink"/>
            <w:noProof/>
          </w:rPr>
          <w:t>Heating-only heat pumps</w:t>
        </w:r>
        <w:r w:rsidR="005C5E68">
          <w:rPr>
            <w:noProof/>
            <w:webHidden/>
          </w:rPr>
          <w:tab/>
        </w:r>
        <w:r w:rsidR="005C5E68">
          <w:rPr>
            <w:noProof/>
            <w:webHidden/>
          </w:rPr>
          <w:fldChar w:fldCharType="begin"/>
        </w:r>
        <w:r w:rsidR="005C5E68">
          <w:rPr>
            <w:noProof/>
            <w:webHidden/>
          </w:rPr>
          <w:instrText xml:space="preserve"> PAGEREF _Toc104396733 \h </w:instrText>
        </w:r>
        <w:r w:rsidR="005C5E68">
          <w:rPr>
            <w:noProof/>
            <w:webHidden/>
          </w:rPr>
        </w:r>
        <w:r w:rsidR="005C5E68">
          <w:rPr>
            <w:noProof/>
            <w:webHidden/>
          </w:rPr>
          <w:fldChar w:fldCharType="separate"/>
        </w:r>
        <w:r w:rsidR="00FC0382">
          <w:rPr>
            <w:noProof/>
            <w:webHidden/>
          </w:rPr>
          <w:t>79</w:t>
        </w:r>
        <w:r w:rsidR="005C5E68">
          <w:rPr>
            <w:noProof/>
            <w:webHidden/>
          </w:rPr>
          <w:fldChar w:fldCharType="end"/>
        </w:r>
      </w:hyperlink>
    </w:p>
    <w:p w14:paraId="21301861" w14:textId="1887ACA7" w:rsidR="005C5E68" w:rsidRDefault="00143903" w:rsidP="005C5E68">
      <w:pPr>
        <w:pStyle w:val="TOC1"/>
        <w:rPr>
          <w:rFonts w:eastAsiaTheme="minorEastAsia" w:cstheme="minorBidi"/>
          <w:noProof/>
          <w:color w:val="auto"/>
          <w:sz w:val="22"/>
          <w:szCs w:val="22"/>
          <w:lang w:eastAsia="en-GB"/>
        </w:rPr>
      </w:pPr>
      <w:hyperlink w:anchor="_Toc104396734" w:history="1">
        <w:r w:rsidR="005C5E68" w:rsidRPr="00767BCA">
          <w:rPr>
            <w:rStyle w:val="Hyperlink"/>
            <w:noProof/>
          </w:rPr>
          <w:t>8</w:t>
        </w:r>
        <w:r w:rsidR="005C5E68">
          <w:rPr>
            <w:rFonts w:eastAsiaTheme="minorEastAsia" w:cstheme="minorBidi"/>
            <w:noProof/>
            <w:color w:val="auto"/>
            <w:sz w:val="22"/>
            <w:szCs w:val="22"/>
            <w:lang w:eastAsia="en-GB"/>
          </w:rPr>
          <w:tab/>
        </w:r>
        <w:r w:rsidR="005C5E68" w:rsidRPr="00767BCA">
          <w:rPr>
            <w:rStyle w:val="Hyperlink"/>
            <w:noProof/>
            <w:lang w:eastAsia="en-US"/>
          </w:rPr>
          <w:t>Decision XXXI/8 and </w:t>
        </w:r>
        <w:r w:rsidR="005C5E68" w:rsidRPr="00767BCA">
          <w:rPr>
            <w:rStyle w:val="Hyperlink"/>
            <w:noProof/>
          </w:rPr>
          <w:t>TEAP matters</w:t>
        </w:r>
        <w:r w:rsidR="005C5E68">
          <w:rPr>
            <w:noProof/>
            <w:webHidden/>
          </w:rPr>
          <w:tab/>
        </w:r>
        <w:r w:rsidR="005C5E68">
          <w:rPr>
            <w:noProof/>
            <w:webHidden/>
          </w:rPr>
          <w:fldChar w:fldCharType="begin"/>
        </w:r>
        <w:r w:rsidR="005C5E68">
          <w:rPr>
            <w:noProof/>
            <w:webHidden/>
          </w:rPr>
          <w:instrText xml:space="preserve"> PAGEREF _Toc104396734 \h </w:instrText>
        </w:r>
        <w:r w:rsidR="005C5E68">
          <w:rPr>
            <w:noProof/>
            <w:webHidden/>
          </w:rPr>
        </w:r>
        <w:r w:rsidR="005C5E68">
          <w:rPr>
            <w:noProof/>
            <w:webHidden/>
          </w:rPr>
          <w:fldChar w:fldCharType="separate"/>
        </w:r>
        <w:r w:rsidR="00FC0382">
          <w:rPr>
            <w:noProof/>
            <w:webHidden/>
          </w:rPr>
          <w:t>81</w:t>
        </w:r>
        <w:r w:rsidR="005C5E68">
          <w:rPr>
            <w:noProof/>
            <w:webHidden/>
          </w:rPr>
          <w:fldChar w:fldCharType="end"/>
        </w:r>
      </w:hyperlink>
    </w:p>
    <w:p w14:paraId="4D23F7A3" w14:textId="53E783F7" w:rsidR="005C5E68" w:rsidRDefault="00143903">
      <w:pPr>
        <w:pStyle w:val="TOC2"/>
        <w:rPr>
          <w:rFonts w:eastAsiaTheme="minorEastAsia" w:cstheme="minorBidi"/>
          <w:smallCaps w:val="0"/>
          <w:noProof/>
          <w:color w:val="auto"/>
          <w:sz w:val="22"/>
          <w:szCs w:val="22"/>
          <w:lang w:eastAsia="en-GB"/>
        </w:rPr>
      </w:pPr>
      <w:hyperlink w:anchor="_Toc104396735" w:history="1">
        <w:r w:rsidR="005C5E68" w:rsidRPr="00767BCA">
          <w:rPr>
            <w:rStyle w:val="Hyperlink"/>
            <w:noProof/>
          </w:rPr>
          <w:t>8.1</w:t>
        </w:r>
        <w:r w:rsidR="005C5E68">
          <w:rPr>
            <w:rFonts w:eastAsiaTheme="minorEastAsia" w:cstheme="minorBidi"/>
            <w:smallCaps w:val="0"/>
            <w:noProof/>
            <w:color w:val="auto"/>
            <w:sz w:val="22"/>
            <w:szCs w:val="22"/>
            <w:lang w:eastAsia="en-GB"/>
          </w:rPr>
          <w:tab/>
        </w:r>
        <w:r w:rsidR="005C5E68" w:rsidRPr="00767BCA">
          <w:rPr>
            <w:rStyle w:val="Hyperlink"/>
            <w:noProof/>
          </w:rPr>
          <w:t>Nomination and appointment process</w:t>
        </w:r>
        <w:r w:rsidR="005C5E68">
          <w:rPr>
            <w:noProof/>
            <w:webHidden/>
          </w:rPr>
          <w:tab/>
        </w:r>
        <w:r w:rsidR="005C5E68">
          <w:rPr>
            <w:noProof/>
            <w:webHidden/>
          </w:rPr>
          <w:fldChar w:fldCharType="begin"/>
        </w:r>
        <w:r w:rsidR="005C5E68">
          <w:rPr>
            <w:noProof/>
            <w:webHidden/>
          </w:rPr>
          <w:instrText xml:space="preserve"> PAGEREF _Toc104396735 \h </w:instrText>
        </w:r>
        <w:r w:rsidR="005C5E68">
          <w:rPr>
            <w:noProof/>
            <w:webHidden/>
          </w:rPr>
        </w:r>
        <w:r w:rsidR="005C5E68">
          <w:rPr>
            <w:noProof/>
            <w:webHidden/>
          </w:rPr>
          <w:fldChar w:fldCharType="separate"/>
        </w:r>
        <w:r w:rsidR="00FC0382">
          <w:rPr>
            <w:noProof/>
            <w:webHidden/>
          </w:rPr>
          <w:t>81</w:t>
        </w:r>
        <w:r w:rsidR="005C5E68">
          <w:rPr>
            <w:noProof/>
            <w:webHidden/>
          </w:rPr>
          <w:fldChar w:fldCharType="end"/>
        </w:r>
      </w:hyperlink>
    </w:p>
    <w:p w14:paraId="77E0141C" w14:textId="6B29469E" w:rsidR="005C5E68" w:rsidRDefault="00143903">
      <w:pPr>
        <w:pStyle w:val="TOC2"/>
        <w:rPr>
          <w:rFonts w:eastAsiaTheme="minorEastAsia" w:cstheme="minorBidi"/>
          <w:smallCaps w:val="0"/>
          <w:noProof/>
          <w:color w:val="auto"/>
          <w:sz w:val="22"/>
          <w:szCs w:val="22"/>
          <w:lang w:eastAsia="en-GB"/>
        </w:rPr>
      </w:pPr>
      <w:hyperlink w:anchor="_Toc104396736" w:history="1">
        <w:r w:rsidR="005C5E68" w:rsidRPr="00767BCA">
          <w:rPr>
            <w:rStyle w:val="Hyperlink"/>
            <w:i/>
            <w:noProof/>
          </w:rPr>
          <w:t>8.1.1</w:t>
        </w:r>
        <w:r w:rsidR="005C5E68">
          <w:rPr>
            <w:rFonts w:eastAsiaTheme="minorEastAsia" w:cstheme="minorBidi"/>
            <w:smallCaps w:val="0"/>
            <w:noProof/>
            <w:color w:val="auto"/>
            <w:sz w:val="22"/>
            <w:szCs w:val="22"/>
            <w:lang w:eastAsia="en-GB"/>
          </w:rPr>
          <w:tab/>
        </w:r>
        <w:r w:rsidR="005C5E68" w:rsidRPr="00767BCA">
          <w:rPr>
            <w:rStyle w:val="Hyperlink"/>
            <w:i/>
            <w:noProof/>
          </w:rPr>
          <w:t>Proposed nominations and appointment decisions</w:t>
        </w:r>
        <w:r w:rsidR="005C5E68">
          <w:rPr>
            <w:noProof/>
            <w:webHidden/>
          </w:rPr>
          <w:tab/>
        </w:r>
        <w:r w:rsidR="005C5E68">
          <w:rPr>
            <w:noProof/>
            <w:webHidden/>
          </w:rPr>
          <w:fldChar w:fldCharType="begin"/>
        </w:r>
        <w:r w:rsidR="005C5E68">
          <w:rPr>
            <w:noProof/>
            <w:webHidden/>
          </w:rPr>
          <w:instrText xml:space="preserve"> PAGEREF _Toc104396736 \h </w:instrText>
        </w:r>
        <w:r w:rsidR="005C5E68">
          <w:rPr>
            <w:noProof/>
            <w:webHidden/>
          </w:rPr>
        </w:r>
        <w:r w:rsidR="005C5E68">
          <w:rPr>
            <w:noProof/>
            <w:webHidden/>
          </w:rPr>
          <w:fldChar w:fldCharType="separate"/>
        </w:r>
        <w:r w:rsidR="00FC0382">
          <w:rPr>
            <w:noProof/>
            <w:webHidden/>
          </w:rPr>
          <w:t>82</w:t>
        </w:r>
        <w:r w:rsidR="005C5E68">
          <w:rPr>
            <w:noProof/>
            <w:webHidden/>
          </w:rPr>
          <w:fldChar w:fldCharType="end"/>
        </w:r>
      </w:hyperlink>
    </w:p>
    <w:p w14:paraId="6A706597" w14:textId="3AA5E975" w:rsidR="005C5E68" w:rsidRDefault="00143903">
      <w:pPr>
        <w:pStyle w:val="TOC2"/>
        <w:rPr>
          <w:rFonts w:eastAsiaTheme="minorEastAsia" w:cstheme="minorBidi"/>
          <w:smallCaps w:val="0"/>
          <w:noProof/>
          <w:color w:val="auto"/>
          <w:sz w:val="22"/>
          <w:szCs w:val="22"/>
          <w:lang w:eastAsia="en-GB"/>
        </w:rPr>
      </w:pPr>
      <w:hyperlink w:anchor="_Toc104396737" w:history="1">
        <w:r w:rsidR="005C5E68" w:rsidRPr="00767BCA">
          <w:rPr>
            <w:rStyle w:val="Hyperlink"/>
            <w:noProof/>
          </w:rPr>
          <w:t>8.2</w:t>
        </w:r>
        <w:r w:rsidR="005C5E68">
          <w:rPr>
            <w:rFonts w:eastAsiaTheme="minorEastAsia" w:cstheme="minorBidi"/>
            <w:smallCaps w:val="0"/>
            <w:noProof/>
            <w:color w:val="auto"/>
            <w:sz w:val="22"/>
            <w:szCs w:val="22"/>
            <w:lang w:eastAsia="en-GB"/>
          </w:rPr>
          <w:tab/>
        </w:r>
        <w:r w:rsidR="005C5E68" w:rsidRPr="00767BCA">
          <w:rPr>
            <w:rStyle w:val="Hyperlink"/>
            <w:noProof/>
          </w:rPr>
          <w:t>TEAP and TOCs organisational and other matters</w:t>
        </w:r>
        <w:r w:rsidR="005C5E68">
          <w:rPr>
            <w:noProof/>
            <w:webHidden/>
          </w:rPr>
          <w:tab/>
        </w:r>
        <w:r w:rsidR="005C5E68">
          <w:rPr>
            <w:noProof/>
            <w:webHidden/>
          </w:rPr>
          <w:fldChar w:fldCharType="begin"/>
        </w:r>
        <w:r w:rsidR="005C5E68">
          <w:rPr>
            <w:noProof/>
            <w:webHidden/>
          </w:rPr>
          <w:instrText xml:space="preserve"> PAGEREF _Toc104396737 \h </w:instrText>
        </w:r>
        <w:r w:rsidR="005C5E68">
          <w:rPr>
            <w:noProof/>
            <w:webHidden/>
          </w:rPr>
        </w:r>
        <w:r w:rsidR="005C5E68">
          <w:rPr>
            <w:noProof/>
            <w:webHidden/>
          </w:rPr>
          <w:fldChar w:fldCharType="separate"/>
        </w:r>
        <w:r w:rsidR="00FC0382">
          <w:rPr>
            <w:noProof/>
            <w:webHidden/>
          </w:rPr>
          <w:t>83</w:t>
        </w:r>
        <w:r w:rsidR="005C5E68">
          <w:rPr>
            <w:noProof/>
            <w:webHidden/>
          </w:rPr>
          <w:fldChar w:fldCharType="end"/>
        </w:r>
      </w:hyperlink>
    </w:p>
    <w:p w14:paraId="74F62F96" w14:textId="57F5ACC5" w:rsidR="005C5E68" w:rsidRDefault="00143903">
      <w:pPr>
        <w:pStyle w:val="TOC2"/>
        <w:rPr>
          <w:rFonts w:eastAsiaTheme="minorEastAsia" w:cstheme="minorBidi"/>
          <w:smallCaps w:val="0"/>
          <w:noProof/>
          <w:color w:val="auto"/>
          <w:sz w:val="22"/>
          <w:szCs w:val="22"/>
          <w:lang w:eastAsia="en-GB"/>
        </w:rPr>
      </w:pPr>
      <w:hyperlink w:anchor="_Toc104396738" w:history="1">
        <w:r w:rsidR="005C5E68" w:rsidRPr="00767BCA">
          <w:rPr>
            <w:rStyle w:val="Hyperlink"/>
            <w:i/>
            <w:noProof/>
          </w:rPr>
          <w:t>8.2.1</w:t>
        </w:r>
        <w:r w:rsidR="005C5E68">
          <w:rPr>
            <w:rFonts w:eastAsiaTheme="minorEastAsia" w:cstheme="minorBidi"/>
            <w:smallCaps w:val="0"/>
            <w:noProof/>
            <w:color w:val="auto"/>
            <w:sz w:val="22"/>
            <w:szCs w:val="22"/>
            <w:lang w:eastAsia="en-GB"/>
          </w:rPr>
          <w:tab/>
        </w:r>
        <w:r w:rsidR="005C5E68" w:rsidRPr="00767BCA">
          <w:rPr>
            <w:rStyle w:val="Hyperlink"/>
            <w:i/>
            <w:noProof/>
          </w:rPr>
          <w:t>FTOC</w:t>
        </w:r>
        <w:r w:rsidR="005C5E68">
          <w:rPr>
            <w:noProof/>
            <w:webHidden/>
          </w:rPr>
          <w:tab/>
        </w:r>
        <w:r w:rsidR="005C5E68">
          <w:rPr>
            <w:noProof/>
            <w:webHidden/>
          </w:rPr>
          <w:fldChar w:fldCharType="begin"/>
        </w:r>
        <w:r w:rsidR="005C5E68">
          <w:rPr>
            <w:noProof/>
            <w:webHidden/>
          </w:rPr>
          <w:instrText xml:space="preserve"> PAGEREF _Toc104396738 \h </w:instrText>
        </w:r>
        <w:r w:rsidR="005C5E68">
          <w:rPr>
            <w:noProof/>
            <w:webHidden/>
          </w:rPr>
        </w:r>
        <w:r w:rsidR="005C5E68">
          <w:rPr>
            <w:noProof/>
            <w:webHidden/>
          </w:rPr>
          <w:fldChar w:fldCharType="separate"/>
        </w:r>
        <w:r w:rsidR="00FC0382">
          <w:rPr>
            <w:noProof/>
            <w:webHidden/>
          </w:rPr>
          <w:t>83</w:t>
        </w:r>
        <w:r w:rsidR="005C5E68">
          <w:rPr>
            <w:noProof/>
            <w:webHidden/>
          </w:rPr>
          <w:fldChar w:fldCharType="end"/>
        </w:r>
      </w:hyperlink>
    </w:p>
    <w:p w14:paraId="238C969D" w14:textId="0807D01F" w:rsidR="005C5E68" w:rsidRDefault="00143903">
      <w:pPr>
        <w:pStyle w:val="TOC2"/>
        <w:rPr>
          <w:rFonts w:eastAsiaTheme="minorEastAsia" w:cstheme="minorBidi"/>
          <w:smallCaps w:val="0"/>
          <w:noProof/>
          <w:color w:val="auto"/>
          <w:sz w:val="22"/>
          <w:szCs w:val="22"/>
          <w:lang w:eastAsia="en-GB"/>
        </w:rPr>
      </w:pPr>
      <w:hyperlink w:anchor="_Toc104396739" w:history="1">
        <w:r w:rsidR="005C5E68" w:rsidRPr="00767BCA">
          <w:rPr>
            <w:rStyle w:val="Hyperlink"/>
            <w:i/>
            <w:noProof/>
          </w:rPr>
          <w:t>8.2.2</w:t>
        </w:r>
        <w:r w:rsidR="005C5E68">
          <w:rPr>
            <w:rFonts w:eastAsiaTheme="minorEastAsia" w:cstheme="minorBidi"/>
            <w:smallCaps w:val="0"/>
            <w:noProof/>
            <w:color w:val="auto"/>
            <w:sz w:val="22"/>
            <w:szCs w:val="22"/>
            <w:lang w:eastAsia="en-GB"/>
          </w:rPr>
          <w:tab/>
        </w:r>
        <w:r w:rsidR="005C5E68" w:rsidRPr="00767BCA">
          <w:rPr>
            <w:rStyle w:val="Hyperlink"/>
            <w:i/>
            <w:noProof/>
          </w:rPr>
          <w:t>HTOC</w:t>
        </w:r>
        <w:r w:rsidR="005C5E68">
          <w:rPr>
            <w:noProof/>
            <w:webHidden/>
          </w:rPr>
          <w:tab/>
        </w:r>
        <w:r w:rsidR="005C5E68">
          <w:rPr>
            <w:noProof/>
            <w:webHidden/>
          </w:rPr>
          <w:fldChar w:fldCharType="begin"/>
        </w:r>
        <w:r w:rsidR="005C5E68">
          <w:rPr>
            <w:noProof/>
            <w:webHidden/>
          </w:rPr>
          <w:instrText xml:space="preserve"> PAGEREF _Toc104396739 \h </w:instrText>
        </w:r>
        <w:r w:rsidR="005C5E68">
          <w:rPr>
            <w:noProof/>
            <w:webHidden/>
          </w:rPr>
        </w:r>
        <w:r w:rsidR="005C5E68">
          <w:rPr>
            <w:noProof/>
            <w:webHidden/>
          </w:rPr>
          <w:fldChar w:fldCharType="separate"/>
        </w:r>
        <w:r w:rsidR="00FC0382">
          <w:rPr>
            <w:noProof/>
            <w:webHidden/>
          </w:rPr>
          <w:t>83</w:t>
        </w:r>
        <w:r w:rsidR="005C5E68">
          <w:rPr>
            <w:noProof/>
            <w:webHidden/>
          </w:rPr>
          <w:fldChar w:fldCharType="end"/>
        </w:r>
      </w:hyperlink>
    </w:p>
    <w:p w14:paraId="637AC818" w14:textId="44A31E91" w:rsidR="005C5E68" w:rsidRDefault="00143903">
      <w:pPr>
        <w:pStyle w:val="TOC2"/>
        <w:rPr>
          <w:rFonts w:eastAsiaTheme="minorEastAsia" w:cstheme="minorBidi"/>
          <w:smallCaps w:val="0"/>
          <w:noProof/>
          <w:color w:val="auto"/>
          <w:sz w:val="22"/>
          <w:szCs w:val="22"/>
          <w:lang w:eastAsia="en-GB"/>
        </w:rPr>
      </w:pPr>
      <w:hyperlink w:anchor="_Toc104396740" w:history="1">
        <w:r w:rsidR="005C5E68" w:rsidRPr="00767BCA">
          <w:rPr>
            <w:rStyle w:val="Hyperlink"/>
            <w:i/>
            <w:noProof/>
          </w:rPr>
          <w:t>8.2.3</w:t>
        </w:r>
        <w:r w:rsidR="005C5E68">
          <w:rPr>
            <w:rFonts w:eastAsiaTheme="minorEastAsia" w:cstheme="minorBidi"/>
            <w:smallCaps w:val="0"/>
            <w:noProof/>
            <w:color w:val="auto"/>
            <w:sz w:val="22"/>
            <w:szCs w:val="22"/>
            <w:lang w:eastAsia="en-GB"/>
          </w:rPr>
          <w:tab/>
        </w:r>
        <w:r w:rsidR="005C5E68" w:rsidRPr="00767BCA">
          <w:rPr>
            <w:rStyle w:val="Hyperlink"/>
            <w:i/>
            <w:noProof/>
          </w:rPr>
          <w:t>MBTOC</w:t>
        </w:r>
        <w:r w:rsidR="005C5E68">
          <w:rPr>
            <w:noProof/>
            <w:webHidden/>
          </w:rPr>
          <w:tab/>
        </w:r>
        <w:r w:rsidR="005C5E68">
          <w:rPr>
            <w:noProof/>
            <w:webHidden/>
          </w:rPr>
          <w:fldChar w:fldCharType="begin"/>
        </w:r>
        <w:r w:rsidR="005C5E68">
          <w:rPr>
            <w:noProof/>
            <w:webHidden/>
          </w:rPr>
          <w:instrText xml:space="preserve"> PAGEREF _Toc104396740 \h </w:instrText>
        </w:r>
        <w:r w:rsidR="005C5E68">
          <w:rPr>
            <w:noProof/>
            <w:webHidden/>
          </w:rPr>
        </w:r>
        <w:r w:rsidR="005C5E68">
          <w:rPr>
            <w:noProof/>
            <w:webHidden/>
          </w:rPr>
          <w:fldChar w:fldCharType="separate"/>
        </w:r>
        <w:r w:rsidR="00FC0382">
          <w:rPr>
            <w:noProof/>
            <w:webHidden/>
          </w:rPr>
          <w:t>84</w:t>
        </w:r>
        <w:r w:rsidR="005C5E68">
          <w:rPr>
            <w:noProof/>
            <w:webHidden/>
          </w:rPr>
          <w:fldChar w:fldCharType="end"/>
        </w:r>
      </w:hyperlink>
    </w:p>
    <w:p w14:paraId="785B305C" w14:textId="4CA742B3" w:rsidR="005C5E68" w:rsidRDefault="00143903">
      <w:pPr>
        <w:pStyle w:val="TOC2"/>
        <w:rPr>
          <w:rFonts w:eastAsiaTheme="minorEastAsia" w:cstheme="minorBidi"/>
          <w:smallCaps w:val="0"/>
          <w:noProof/>
          <w:color w:val="auto"/>
          <w:sz w:val="22"/>
          <w:szCs w:val="22"/>
          <w:lang w:eastAsia="en-GB"/>
        </w:rPr>
      </w:pPr>
      <w:hyperlink w:anchor="_Toc104396741" w:history="1">
        <w:r w:rsidR="005C5E68" w:rsidRPr="00767BCA">
          <w:rPr>
            <w:rStyle w:val="Hyperlink"/>
            <w:i/>
            <w:noProof/>
          </w:rPr>
          <w:t>8.2.4</w:t>
        </w:r>
        <w:r w:rsidR="005C5E68">
          <w:rPr>
            <w:rFonts w:eastAsiaTheme="minorEastAsia" w:cstheme="minorBidi"/>
            <w:smallCaps w:val="0"/>
            <w:noProof/>
            <w:color w:val="auto"/>
            <w:sz w:val="22"/>
            <w:szCs w:val="22"/>
            <w:lang w:eastAsia="en-GB"/>
          </w:rPr>
          <w:tab/>
        </w:r>
        <w:r w:rsidR="005C5E68" w:rsidRPr="00767BCA">
          <w:rPr>
            <w:rStyle w:val="Hyperlink"/>
            <w:i/>
            <w:noProof/>
          </w:rPr>
          <w:t>MCTOC</w:t>
        </w:r>
        <w:r w:rsidR="005C5E68">
          <w:rPr>
            <w:noProof/>
            <w:webHidden/>
          </w:rPr>
          <w:tab/>
        </w:r>
        <w:r w:rsidR="005C5E68">
          <w:rPr>
            <w:noProof/>
            <w:webHidden/>
          </w:rPr>
          <w:fldChar w:fldCharType="begin"/>
        </w:r>
        <w:r w:rsidR="005C5E68">
          <w:rPr>
            <w:noProof/>
            <w:webHidden/>
          </w:rPr>
          <w:instrText xml:space="preserve"> PAGEREF _Toc104396741 \h </w:instrText>
        </w:r>
        <w:r w:rsidR="005C5E68">
          <w:rPr>
            <w:noProof/>
            <w:webHidden/>
          </w:rPr>
        </w:r>
        <w:r w:rsidR="005C5E68">
          <w:rPr>
            <w:noProof/>
            <w:webHidden/>
          </w:rPr>
          <w:fldChar w:fldCharType="separate"/>
        </w:r>
        <w:r w:rsidR="00FC0382">
          <w:rPr>
            <w:noProof/>
            <w:webHidden/>
          </w:rPr>
          <w:t>84</w:t>
        </w:r>
        <w:r w:rsidR="005C5E68">
          <w:rPr>
            <w:noProof/>
            <w:webHidden/>
          </w:rPr>
          <w:fldChar w:fldCharType="end"/>
        </w:r>
      </w:hyperlink>
    </w:p>
    <w:p w14:paraId="5D5B2BFC" w14:textId="487C5E2B" w:rsidR="005C5E68" w:rsidRDefault="00143903">
      <w:pPr>
        <w:pStyle w:val="TOC2"/>
        <w:rPr>
          <w:rFonts w:eastAsiaTheme="minorEastAsia" w:cstheme="minorBidi"/>
          <w:smallCaps w:val="0"/>
          <w:noProof/>
          <w:color w:val="auto"/>
          <w:sz w:val="22"/>
          <w:szCs w:val="22"/>
          <w:lang w:eastAsia="en-GB"/>
        </w:rPr>
      </w:pPr>
      <w:hyperlink w:anchor="_Toc104396742" w:history="1">
        <w:r w:rsidR="005C5E68" w:rsidRPr="00767BCA">
          <w:rPr>
            <w:rStyle w:val="Hyperlink"/>
            <w:i/>
            <w:noProof/>
          </w:rPr>
          <w:t>8.2.5</w:t>
        </w:r>
        <w:r w:rsidR="005C5E68">
          <w:rPr>
            <w:rFonts w:eastAsiaTheme="minorEastAsia" w:cstheme="minorBidi"/>
            <w:smallCaps w:val="0"/>
            <w:noProof/>
            <w:color w:val="auto"/>
            <w:sz w:val="22"/>
            <w:szCs w:val="22"/>
            <w:lang w:eastAsia="en-GB"/>
          </w:rPr>
          <w:tab/>
        </w:r>
        <w:r w:rsidR="005C5E68" w:rsidRPr="00767BCA">
          <w:rPr>
            <w:rStyle w:val="Hyperlink"/>
            <w:i/>
            <w:noProof/>
          </w:rPr>
          <w:t>RTOC</w:t>
        </w:r>
        <w:r w:rsidR="005C5E68">
          <w:rPr>
            <w:noProof/>
            <w:webHidden/>
          </w:rPr>
          <w:tab/>
        </w:r>
        <w:r w:rsidR="005C5E68">
          <w:rPr>
            <w:noProof/>
            <w:webHidden/>
          </w:rPr>
          <w:fldChar w:fldCharType="begin"/>
        </w:r>
        <w:r w:rsidR="005C5E68">
          <w:rPr>
            <w:noProof/>
            <w:webHidden/>
          </w:rPr>
          <w:instrText xml:space="preserve"> PAGEREF _Toc104396742 \h </w:instrText>
        </w:r>
        <w:r w:rsidR="005C5E68">
          <w:rPr>
            <w:noProof/>
            <w:webHidden/>
          </w:rPr>
        </w:r>
        <w:r w:rsidR="005C5E68">
          <w:rPr>
            <w:noProof/>
            <w:webHidden/>
          </w:rPr>
          <w:fldChar w:fldCharType="separate"/>
        </w:r>
        <w:r w:rsidR="00FC0382">
          <w:rPr>
            <w:noProof/>
            <w:webHidden/>
          </w:rPr>
          <w:t>85</w:t>
        </w:r>
        <w:r w:rsidR="005C5E68">
          <w:rPr>
            <w:noProof/>
            <w:webHidden/>
          </w:rPr>
          <w:fldChar w:fldCharType="end"/>
        </w:r>
      </w:hyperlink>
    </w:p>
    <w:p w14:paraId="0DB3586A" w14:textId="2D0659C1" w:rsidR="005C5E68" w:rsidRDefault="00143903">
      <w:pPr>
        <w:pStyle w:val="TOC2"/>
        <w:rPr>
          <w:rFonts w:eastAsiaTheme="minorEastAsia" w:cstheme="minorBidi"/>
          <w:smallCaps w:val="0"/>
          <w:noProof/>
          <w:color w:val="auto"/>
          <w:sz w:val="22"/>
          <w:szCs w:val="22"/>
          <w:lang w:eastAsia="en-GB"/>
        </w:rPr>
      </w:pPr>
      <w:hyperlink w:anchor="_Toc104396743" w:history="1">
        <w:r w:rsidR="005C5E68" w:rsidRPr="00767BCA">
          <w:rPr>
            <w:rStyle w:val="Hyperlink"/>
            <w:noProof/>
          </w:rPr>
          <w:t>8.4</w:t>
        </w:r>
        <w:r w:rsidR="005C5E68">
          <w:rPr>
            <w:rFonts w:eastAsiaTheme="minorEastAsia" w:cstheme="minorBidi"/>
            <w:smallCaps w:val="0"/>
            <w:noProof/>
            <w:color w:val="auto"/>
            <w:sz w:val="22"/>
            <w:szCs w:val="22"/>
            <w:lang w:eastAsia="en-GB"/>
          </w:rPr>
          <w:tab/>
        </w:r>
        <w:r w:rsidR="005C5E68" w:rsidRPr="00767BCA">
          <w:rPr>
            <w:rStyle w:val="Hyperlink"/>
            <w:noProof/>
          </w:rPr>
          <w:t>Organisational Matters – Recommendations</w:t>
        </w:r>
        <w:r w:rsidR="005C5E68">
          <w:rPr>
            <w:noProof/>
            <w:webHidden/>
          </w:rPr>
          <w:tab/>
        </w:r>
        <w:r w:rsidR="005C5E68">
          <w:rPr>
            <w:noProof/>
            <w:webHidden/>
          </w:rPr>
          <w:fldChar w:fldCharType="begin"/>
        </w:r>
        <w:r w:rsidR="005C5E68">
          <w:rPr>
            <w:noProof/>
            <w:webHidden/>
          </w:rPr>
          <w:instrText xml:space="preserve"> PAGEREF _Toc104396743 \h </w:instrText>
        </w:r>
        <w:r w:rsidR="005C5E68">
          <w:rPr>
            <w:noProof/>
            <w:webHidden/>
          </w:rPr>
        </w:r>
        <w:r w:rsidR="005C5E68">
          <w:rPr>
            <w:noProof/>
            <w:webHidden/>
          </w:rPr>
          <w:fldChar w:fldCharType="separate"/>
        </w:r>
        <w:r w:rsidR="00FC0382">
          <w:rPr>
            <w:noProof/>
            <w:webHidden/>
          </w:rPr>
          <w:t>85</w:t>
        </w:r>
        <w:r w:rsidR="005C5E68">
          <w:rPr>
            <w:noProof/>
            <w:webHidden/>
          </w:rPr>
          <w:fldChar w:fldCharType="end"/>
        </w:r>
      </w:hyperlink>
    </w:p>
    <w:p w14:paraId="34538345" w14:textId="1ABA91EE" w:rsidR="005C5E68" w:rsidRDefault="00143903">
      <w:pPr>
        <w:pStyle w:val="TOC2"/>
        <w:rPr>
          <w:rFonts w:eastAsiaTheme="minorEastAsia" w:cstheme="minorBidi"/>
          <w:smallCaps w:val="0"/>
          <w:noProof/>
          <w:color w:val="auto"/>
          <w:sz w:val="22"/>
          <w:szCs w:val="22"/>
          <w:lang w:eastAsia="en-GB"/>
        </w:rPr>
      </w:pPr>
      <w:hyperlink w:anchor="_Toc104396744" w:history="1">
        <w:r w:rsidR="005C5E68" w:rsidRPr="00767BCA">
          <w:rPr>
            <w:rStyle w:val="Hyperlink"/>
            <w:i/>
            <w:noProof/>
          </w:rPr>
          <w:t>8.4.1</w:t>
        </w:r>
        <w:r w:rsidR="005C5E68">
          <w:rPr>
            <w:rFonts w:eastAsiaTheme="minorEastAsia" w:cstheme="minorBidi"/>
            <w:smallCaps w:val="0"/>
            <w:noProof/>
            <w:color w:val="auto"/>
            <w:sz w:val="22"/>
            <w:szCs w:val="22"/>
            <w:lang w:eastAsia="en-GB"/>
          </w:rPr>
          <w:tab/>
        </w:r>
        <w:r w:rsidR="005C5E68" w:rsidRPr="00767BCA">
          <w:rPr>
            <w:rStyle w:val="Hyperlink"/>
            <w:i/>
            <w:noProof/>
          </w:rPr>
          <w:t>Introduction</w:t>
        </w:r>
        <w:r w:rsidR="005C5E68">
          <w:rPr>
            <w:noProof/>
            <w:webHidden/>
          </w:rPr>
          <w:tab/>
        </w:r>
        <w:r w:rsidR="005C5E68">
          <w:rPr>
            <w:noProof/>
            <w:webHidden/>
          </w:rPr>
          <w:fldChar w:fldCharType="begin"/>
        </w:r>
        <w:r w:rsidR="005C5E68">
          <w:rPr>
            <w:noProof/>
            <w:webHidden/>
          </w:rPr>
          <w:instrText xml:space="preserve"> PAGEREF _Toc104396744 \h </w:instrText>
        </w:r>
        <w:r w:rsidR="005C5E68">
          <w:rPr>
            <w:noProof/>
            <w:webHidden/>
          </w:rPr>
        </w:r>
        <w:r w:rsidR="005C5E68">
          <w:rPr>
            <w:noProof/>
            <w:webHidden/>
          </w:rPr>
          <w:fldChar w:fldCharType="separate"/>
        </w:r>
        <w:r w:rsidR="00FC0382">
          <w:rPr>
            <w:noProof/>
            <w:webHidden/>
          </w:rPr>
          <w:t>85</w:t>
        </w:r>
        <w:r w:rsidR="005C5E68">
          <w:rPr>
            <w:noProof/>
            <w:webHidden/>
          </w:rPr>
          <w:fldChar w:fldCharType="end"/>
        </w:r>
      </w:hyperlink>
    </w:p>
    <w:p w14:paraId="02DFC0B7" w14:textId="157AA3EF" w:rsidR="005C5E68" w:rsidRDefault="00143903">
      <w:pPr>
        <w:pStyle w:val="TOC2"/>
        <w:rPr>
          <w:rFonts w:eastAsiaTheme="minorEastAsia" w:cstheme="minorBidi"/>
          <w:smallCaps w:val="0"/>
          <w:noProof/>
          <w:color w:val="auto"/>
          <w:sz w:val="22"/>
          <w:szCs w:val="22"/>
          <w:lang w:eastAsia="en-GB"/>
        </w:rPr>
      </w:pPr>
      <w:hyperlink w:anchor="_Toc104396745" w:history="1">
        <w:r w:rsidR="005C5E68" w:rsidRPr="00767BCA">
          <w:rPr>
            <w:rStyle w:val="Hyperlink"/>
            <w:i/>
            <w:noProof/>
          </w:rPr>
          <w:t>8.4.2</w:t>
        </w:r>
        <w:r w:rsidR="005C5E68">
          <w:rPr>
            <w:rFonts w:eastAsiaTheme="minorEastAsia" w:cstheme="minorBidi"/>
            <w:smallCaps w:val="0"/>
            <w:noProof/>
            <w:color w:val="auto"/>
            <w:sz w:val="22"/>
            <w:szCs w:val="22"/>
            <w:lang w:eastAsia="en-GB"/>
          </w:rPr>
          <w:tab/>
        </w:r>
        <w:r w:rsidR="005C5E68" w:rsidRPr="00767BCA">
          <w:rPr>
            <w:rStyle w:val="Hyperlink"/>
            <w:i/>
            <w:noProof/>
          </w:rPr>
          <w:t>Considerations for RTOC and FTOC</w:t>
        </w:r>
        <w:r w:rsidR="005C5E68">
          <w:rPr>
            <w:noProof/>
            <w:webHidden/>
          </w:rPr>
          <w:tab/>
        </w:r>
        <w:r w:rsidR="005C5E68">
          <w:rPr>
            <w:noProof/>
            <w:webHidden/>
          </w:rPr>
          <w:fldChar w:fldCharType="begin"/>
        </w:r>
        <w:r w:rsidR="005C5E68">
          <w:rPr>
            <w:noProof/>
            <w:webHidden/>
          </w:rPr>
          <w:instrText xml:space="preserve"> PAGEREF _Toc104396745 \h </w:instrText>
        </w:r>
        <w:r w:rsidR="005C5E68">
          <w:rPr>
            <w:noProof/>
            <w:webHidden/>
          </w:rPr>
        </w:r>
        <w:r w:rsidR="005C5E68">
          <w:rPr>
            <w:noProof/>
            <w:webHidden/>
          </w:rPr>
          <w:fldChar w:fldCharType="separate"/>
        </w:r>
        <w:r w:rsidR="00FC0382">
          <w:rPr>
            <w:noProof/>
            <w:webHidden/>
          </w:rPr>
          <w:t>86</w:t>
        </w:r>
        <w:r w:rsidR="005C5E68">
          <w:rPr>
            <w:noProof/>
            <w:webHidden/>
          </w:rPr>
          <w:fldChar w:fldCharType="end"/>
        </w:r>
      </w:hyperlink>
    </w:p>
    <w:p w14:paraId="5CF0ED5E" w14:textId="37B45653" w:rsidR="005C5E68" w:rsidRDefault="00143903">
      <w:pPr>
        <w:pStyle w:val="TOC2"/>
        <w:rPr>
          <w:rFonts w:eastAsiaTheme="minorEastAsia" w:cstheme="minorBidi"/>
          <w:smallCaps w:val="0"/>
          <w:noProof/>
          <w:color w:val="auto"/>
          <w:sz w:val="22"/>
          <w:szCs w:val="22"/>
          <w:lang w:eastAsia="en-GB"/>
        </w:rPr>
      </w:pPr>
      <w:hyperlink w:anchor="_Toc104396746" w:history="1">
        <w:r w:rsidR="005C5E68" w:rsidRPr="00767BCA">
          <w:rPr>
            <w:rStyle w:val="Hyperlink"/>
            <w:i/>
            <w:noProof/>
          </w:rPr>
          <w:t>8.4.3</w:t>
        </w:r>
        <w:r w:rsidR="005C5E68">
          <w:rPr>
            <w:rFonts w:eastAsiaTheme="minorEastAsia" w:cstheme="minorBidi"/>
            <w:smallCaps w:val="0"/>
            <w:noProof/>
            <w:color w:val="auto"/>
            <w:sz w:val="22"/>
            <w:szCs w:val="22"/>
            <w:lang w:eastAsia="en-GB"/>
          </w:rPr>
          <w:tab/>
        </w:r>
        <w:r w:rsidR="005C5E68" w:rsidRPr="00767BCA">
          <w:rPr>
            <w:rStyle w:val="Hyperlink"/>
            <w:i/>
            <w:noProof/>
          </w:rPr>
          <w:t>Background to Recommendations</w:t>
        </w:r>
        <w:r w:rsidR="005C5E68">
          <w:rPr>
            <w:noProof/>
            <w:webHidden/>
          </w:rPr>
          <w:tab/>
        </w:r>
        <w:r w:rsidR="005C5E68">
          <w:rPr>
            <w:noProof/>
            <w:webHidden/>
          </w:rPr>
          <w:fldChar w:fldCharType="begin"/>
        </w:r>
        <w:r w:rsidR="005C5E68">
          <w:rPr>
            <w:noProof/>
            <w:webHidden/>
          </w:rPr>
          <w:instrText xml:space="preserve"> PAGEREF _Toc104396746 \h </w:instrText>
        </w:r>
        <w:r w:rsidR="005C5E68">
          <w:rPr>
            <w:noProof/>
            <w:webHidden/>
          </w:rPr>
        </w:r>
        <w:r w:rsidR="005C5E68">
          <w:rPr>
            <w:noProof/>
            <w:webHidden/>
          </w:rPr>
          <w:fldChar w:fldCharType="separate"/>
        </w:r>
        <w:r w:rsidR="00FC0382">
          <w:rPr>
            <w:noProof/>
            <w:webHidden/>
          </w:rPr>
          <w:t>87</w:t>
        </w:r>
        <w:r w:rsidR="005C5E68">
          <w:rPr>
            <w:noProof/>
            <w:webHidden/>
          </w:rPr>
          <w:fldChar w:fldCharType="end"/>
        </w:r>
      </w:hyperlink>
    </w:p>
    <w:p w14:paraId="21CF1488" w14:textId="3CF4FC77" w:rsidR="005C5E68" w:rsidRDefault="00143903" w:rsidP="005C5E68">
      <w:pPr>
        <w:pStyle w:val="TOC1"/>
        <w:rPr>
          <w:rFonts w:eastAsiaTheme="minorEastAsia" w:cstheme="minorBidi"/>
          <w:noProof/>
          <w:color w:val="auto"/>
          <w:sz w:val="22"/>
          <w:szCs w:val="22"/>
          <w:lang w:eastAsia="en-GB"/>
        </w:rPr>
      </w:pPr>
      <w:hyperlink w:anchor="_Toc104396747" w:history="1">
        <w:r w:rsidR="005C5E68" w:rsidRPr="00767BCA">
          <w:rPr>
            <w:rStyle w:val="Hyperlink"/>
            <w:noProof/>
          </w:rPr>
          <w:t>Annex 1: TEAP and TOC membership and administration</w:t>
        </w:r>
        <w:r w:rsidR="005C5E68">
          <w:rPr>
            <w:noProof/>
            <w:webHidden/>
          </w:rPr>
          <w:tab/>
        </w:r>
        <w:r w:rsidR="005C5E68">
          <w:rPr>
            <w:noProof/>
            <w:webHidden/>
          </w:rPr>
          <w:fldChar w:fldCharType="begin"/>
        </w:r>
        <w:r w:rsidR="005C5E68">
          <w:rPr>
            <w:noProof/>
            <w:webHidden/>
          </w:rPr>
          <w:instrText xml:space="preserve"> PAGEREF _Toc104396747 \h </w:instrText>
        </w:r>
        <w:r w:rsidR="005C5E68">
          <w:rPr>
            <w:noProof/>
            <w:webHidden/>
          </w:rPr>
        </w:r>
        <w:r w:rsidR="005C5E68">
          <w:rPr>
            <w:noProof/>
            <w:webHidden/>
          </w:rPr>
          <w:fldChar w:fldCharType="separate"/>
        </w:r>
        <w:r w:rsidR="00FC0382">
          <w:rPr>
            <w:noProof/>
            <w:webHidden/>
          </w:rPr>
          <w:t>89</w:t>
        </w:r>
        <w:r w:rsidR="005C5E68">
          <w:rPr>
            <w:noProof/>
            <w:webHidden/>
          </w:rPr>
          <w:fldChar w:fldCharType="end"/>
        </w:r>
      </w:hyperlink>
    </w:p>
    <w:p w14:paraId="205366AC" w14:textId="40E2BB3B" w:rsidR="005C5E68" w:rsidRDefault="00143903" w:rsidP="005C5E68">
      <w:pPr>
        <w:pStyle w:val="TOC1"/>
        <w:rPr>
          <w:rFonts w:eastAsiaTheme="minorEastAsia" w:cstheme="minorBidi"/>
          <w:noProof/>
          <w:color w:val="auto"/>
          <w:sz w:val="22"/>
          <w:szCs w:val="22"/>
          <w:lang w:eastAsia="en-GB"/>
        </w:rPr>
      </w:pPr>
      <w:hyperlink w:anchor="_Toc104396748" w:history="1">
        <w:r w:rsidR="005C5E68" w:rsidRPr="00767BCA">
          <w:rPr>
            <w:rStyle w:val="Hyperlink"/>
            <w:noProof/>
          </w:rPr>
          <w:t>Annex 2: Nomination Form</w:t>
        </w:r>
        <w:r w:rsidR="005C5E68">
          <w:rPr>
            <w:noProof/>
            <w:webHidden/>
          </w:rPr>
          <w:tab/>
        </w:r>
        <w:r w:rsidR="005C5E68">
          <w:rPr>
            <w:noProof/>
            <w:webHidden/>
          </w:rPr>
          <w:fldChar w:fldCharType="begin"/>
        </w:r>
        <w:r w:rsidR="005C5E68">
          <w:rPr>
            <w:noProof/>
            <w:webHidden/>
          </w:rPr>
          <w:instrText xml:space="preserve"> PAGEREF _Toc104396748 \h </w:instrText>
        </w:r>
        <w:r w:rsidR="005C5E68">
          <w:rPr>
            <w:noProof/>
            <w:webHidden/>
          </w:rPr>
        </w:r>
        <w:r w:rsidR="005C5E68">
          <w:rPr>
            <w:noProof/>
            <w:webHidden/>
          </w:rPr>
          <w:fldChar w:fldCharType="separate"/>
        </w:r>
        <w:r w:rsidR="00FC0382">
          <w:rPr>
            <w:noProof/>
            <w:webHidden/>
          </w:rPr>
          <w:t>96</w:t>
        </w:r>
        <w:r w:rsidR="005C5E68">
          <w:rPr>
            <w:noProof/>
            <w:webHidden/>
          </w:rPr>
          <w:fldChar w:fldCharType="end"/>
        </w:r>
      </w:hyperlink>
    </w:p>
    <w:p w14:paraId="5379CD96" w14:textId="34CC0606" w:rsidR="004377B4" w:rsidRPr="00D6202C" w:rsidRDefault="007A058F" w:rsidP="00D6202C">
      <w:pPr>
        <w:pStyle w:val="Style15"/>
        <w:sectPr w:rsidR="004377B4" w:rsidRPr="00D6202C" w:rsidSect="00636C2B">
          <w:headerReference w:type="even" r:id="rId26"/>
          <w:headerReference w:type="default" r:id="rId27"/>
          <w:headerReference w:type="first" r:id="rId28"/>
          <w:type w:val="oddPage"/>
          <w:pgSz w:w="11906" w:h="16838"/>
          <w:pgMar w:top="1440" w:right="1440" w:bottom="1440" w:left="1440" w:header="708" w:footer="708" w:gutter="0"/>
          <w:pgNumType w:fmt="lowerRoman"/>
          <w:cols w:space="708"/>
          <w:docGrid w:linePitch="360"/>
        </w:sectPr>
      </w:pPr>
      <w:r>
        <w:rPr>
          <w:rFonts w:asciiTheme="minorHAnsi" w:hAnsiTheme="minorHAnsi" w:cstheme="minorHAnsi"/>
          <w:i/>
          <w:iCs/>
        </w:rPr>
        <w:fldChar w:fldCharType="end"/>
      </w:r>
    </w:p>
    <w:p w14:paraId="43E36D9C" w14:textId="6721932E" w:rsidR="00AD4B2A" w:rsidRPr="007F7C84" w:rsidRDefault="00591AA8" w:rsidP="00BA0312">
      <w:pPr>
        <w:pStyle w:val="Heading1"/>
        <w:rPr>
          <w:rStyle w:val="Heading1Char3"/>
        </w:rPr>
      </w:pPr>
      <w:bookmarkStart w:id="127" w:name="_Toc40696033"/>
      <w:bookmarkStart w:id="128" w:name="_Toc77868852"/>
      <w:bookmarkStart w:id="129" w:name="_Toc78040698"/>
      <w:bookmarkStart w:id="130" w:name="_Toc79066503"/>
      <w:bookmarkStart w:id="131" w:name="_Toc104396645"/>
      <w:r w:rsidRPr="00D23986">
        <w:rPr>
          <w:rStyle w:val="Heading1Char2"/>
          <w:rFonts w:ascii="Times New Roman" w:hAnsi="Times New Roman"/>
        </w:rPr>
        <w:lastRenderedPageBreak/>
        <w:t>1</w:t>
      </w:r>
      <w:r w:rsidRPr="00D23986">
        <w:rPr>
          <w:rStyle w:val="Heading1Char2"/>
          <w:rFonts w:ascii="Times New Roman" w:hAnsi="Times New Roman"/>
        </w:rPr>
        <w:tab/>
      </w:r>
      <w:r w:rsidRPr="003779B3">
        <w:rPr>
          <w:rStyle w:val="Heading1Char3"/>
          <w:lang w:eastAsia="zh-CN"/>
        </w:rPr>
        <w:t>Introduction</w:t>
      </w:r>
      <w:bookmarkEnd w:id="119"/>
      <w:bookmarkEnd w:id="120"/>
      <w:bookmarkEnd w:id="121"/>
      <w:bookmarkEnd w:id="122"/>
      <w:bookmarkEnd w:id="127"/>
      <w:bookmarkEnd w:id="128"/>
      <w:bookmarkEnd w:id="129"/>
      <w:bookmarkEnd w:id="130"/>
      <w:bookmarkEnd w:id="131"/>
    </w:p>
    <w:p w14:paraId="06F0D995" w14:textId="0CA34A02" w:rsidR="00AD4B2A" w:rsidRPr="00D23986" w:rsidRDefault="00591AA8" w:rsidP="00873713">
      <w:r w:rsidRPr="00D23986">
        <w:t xml:space="preserve">This is volume </w:t>
      </w:r>
      <w:r w:rsidR="00A1682B">
        <w:t>1</w:t>
      </w:r>
      <w:r w:rsidRPr="00D23986">
        <w:t xml:space="preserve"> of </w:t>
      </w:r>
      <w:r w:rsidR="002D3492">
        <w:t>3</w:t>
      </w:r>
      <w:r w:rsidRPr="00D23986">
        <w:t xml:space="preserve"> of the </w:t>
      </w:r>
      <w:r w:rsidR="00C1629F" w:rsidRPr="00D23986">
        <w:t>20</w:t>
      </w:r>
      <w:r w:rsidR="00696CB5">
        <w:t>2</w:t>
      </w:r>
      <w:r w:rsidR="002D3492">
        <w:t>2</w:t>
      </w:r>
      <w:r w:rsidRPr="00D23986">
        <w:t xml:space="preserve"> T</w:t>
      </w:r>
      <w:r w:rsidR="000A3267" w:rsidRPr="00D23986">
        <w:t>echnology and Economic Assessment Panel (T</w:t>
      </w:r>
      <w:r w:rsidRPr="00D23986">
        <w:t>EAP</w:t>
      </w:r>
      <w:r w:rsidR="000A3267" w:rsidRPr="00D23986">
        <w:t>)</w:t>
      </w:r>
      <w:r w:rsidRPr="00D23986">
        <w:t xml:space="preserve"> Report and contains</w:t>
      </w:r>
      <w:r w:rsidR="00015FF3" w:rsidRPr="00D23986">
        <w:t xml:space="preserve"> Progress Reports from the five Technical Options Committ</w:t>
      </w:r>
      <w:r w:rsidR="00C02CD6" w:rsidRPr="00D23986">
        <w:t xml:space="preserve">ees (TOCs) </w:t>
      </w:r>
      <w:r w:rsidR="006E22EB">
        <w:t xml:space="preserve">that </w:t>
      </w:r>
      <w:r w:rsidR="00C02CD6" w:rsidRPr="00D23986">
        <w:t>compos</w:t>
      </w:r>
      <w:r w:rsidR="006E22EB">
        <w:t>e</w:t>
      </w:r>
      <w:r w:rsidR="00C02CD6" w:rsidRPr="00D23986">
        <w:t xml:space="preserve"> the TEAP: Flexible and Rigid </w:t>
      </w:r>
      <w:r w:rsidR="00015FF3" w:rsidRPr="00D23986">
        <w:t>Foams TOC (FTOC), Halons TOC (HTOC),</w:t>
      </w:r>
      <w:r w:rsidR="004654D3" w:rsidRPr="00D23986">
        <w:t xml:space="preserve"> Methyl Bromide TOC (MBTOC)</w:t>
      </w:r>
      <w:r w:rsidR="00015FF3" w:rsidRPr="00D23986">
        <w:t>, Medical and Chemical</w:t>
      </w:r>
      <w:r w:rsidR="00A86901" w:rsidRPr="00D23986">
        <w:t>s</w:t>
      </w:r>
      <w:r w:rsidR="00015FF3" w:rsidRPr="00D23986">
        <w:t xml:space="preserve"> TOC (MCTOC) and Refrigeration</w:t>
      </w:r>
      <w:r w:rsidR="001E0E45" w:rsidRPr="00D23986">
        <w:t>,</w:t>
      </w:r>
      <w:r w:rsidR="005241A2" w:rsidRPr="00D23986">
        <w:t xml:space="preserve"> </w:t>
      </w:r>
      <w:r w:rsidR="00015FF3" w:rsidRPr="00D23986">
        <w:t xml:space="preserve">Air Conditioning </w:t>
      </w:r>
      <w:r w:rsidR="00C02CD6" w:rsidRPr="00D23986">
        <w:t xml:space="preserve">and Heat Pumps </w:t>
      </w:r>
      <w:r w:rsidR="00015FF3" w:rsidRPr="00D23986">
        <w:t xml:space="preserve">TOC (RTOC). </w:t>
      </w:r>
    </w:p>
    <w:p w14:paraId="20834C1F" w14:textId="7B9540D0" w:rsidR="0053251C" w:rsidRPr="00D23986" w:rsidRDefault="0053251C" w:rsidP="0053251C">
      <w:r>
        <w:t>This report also contains t</w:t>
      </w:r>
      <w:r w:rsidRPr="00D23986">
        <w:t xml:space="preserve">he TEAP and TOC membership lists, as </w:t>
      </w:r>
      <w:r w:rsidR="00266A09">
        <w:t>of</w:t>
      </w:r>
      <w:r w:rsidR="00266A09" w:rsidRPr="00D23986">
        <w:t xml:space="preserve"> </w:t>
      </w:r>
      <w:r w:rsidRPr="00D23986">
        <w:t>3</w:t>
      </w:r>
      <w:r w:rsidR="002D3492">
        <w:t>0</w:t>
      </w:r>
      <w:r w:rsidRPr="00D23986">
        <w:t xml:space="preserve"> </w:t>
      </w:r>
      <w:r w:rsidR="00DC6357">
        <w:t>A</w:t>
      </w:r>
      <w:r w:rsidR="002D3492">
        <w:t>pril</w:t>
      </w:r>
      <w:r w:rsidRPr="00D23986">
        <w:t xml:space="preserve"> 20</w:t>
      </w:r>
      <w:r>
        <w:t>2</w:t>
      </w:r>
      <w:r w:rsidR="002D3492">
        <w:t>2</w:t>
      </w:r>
      <w:r w:rsidRPr="00D23986">
        <w:t>, includ</w:t>
      </w:r>
      <w:r>
        <w:t>ing</w:t>
      </w:r>
      <w:r w:rsidRPr="00D23986">
        <w:t xml:space="preserve"> each member</w:t>
      </w:r>
      <w:r>
        <w:t xml:space="preserve"> and their term</w:t>
      </w:r>
      <w:r w:rsidRPr="00D23986">
        <w:t xml:space="preserve"> of appointment</w:t>
      </w:r>
      <w:r>
        <w:t>.</w:t>
      </w:r>
    </w:p>
    <w:p w14:paraId="5949F63F" w14:textId="4FEB9E54" w:rsidR="00885B2C" w:rsidRDefault="00B710A8" w:rsidP="00873713">
      <w:bookmarkStart w:id="132" w:name="_Hlk513744941"/>
      <w:r>
        <w:t xml:space="preserve">TEAP would like to express its sincere gratitude for the voluntary service and contributions of members of its TOCs and Task Forces. TEAP’s tasks have continued to be particularly challenging in view of the COVID-19 pandemic which imposed restrictions to global travel, and changes to scheduled meetings and typical modes of working. To meet these challenges in delivering its reports on time to parties and ensuring the safety of its members, TEAP and its TOCs and Task Forces have held their meetings virtually. However, this year, 3-6 May 2022, TEAP successfully held its first ever hybrid meeting with some members meeting physically in London. </w:t>
      </w:r>
      <w:r w:rsidR="00C7675C" w:rsidRPr="002F4FC2">
        <w:t xml:space="preserve">We are grateful to the UK for their support with the meeting venue. </w:t>
      </w:r>
      <w:r w:rsidR="00C7675C">
        <w:t>We want to express our sincere appreciation to the Ozone Secretariat for its support and assistance in providing the TEAP with access to its virtual meeting platform for TEAP meetings.</w:t>
      </w:r>
      <w:r w:rsidR="005617DE">
        <w:t xml:space="preserve"> </w:t>
      </w:r>
    </w:p>
    <w:p w14:paraId="0BBE07C4" w14:textId="6C1D30C9" w:rsidR="00C07F52" w:rsidRPr="00B710A8" w:rsidRDefault="00C7675C" w:rsidP="005C5E68">
      <w:pPr>
        <w:pStyle w:val="Heading2"/>
        <w:rPr>
          <w:rStyle w:val="Heading2Char"/>
          <w:b/>
        </w:rPr>
      </w:pPr>
      <w:bookmarkStart w:id="133" w:name="_Toc79066504"/>
      <w:bookmarkStart w:id="134" w:name="_Toc40696034"/>
      <w:bookmarkStart w:id="135" w:name="_Toc77868853"/>
      <w:bookmarkStart w:id="136" w:name="_Toc78040699"/>
      <w:r>
        <w:rPr>
          <w:rStyle w:val="Heading2Char"/>
          <w:b/>
        </w:rPr>
        <w:t xml:space="preserve"> </w:t>
      </w:r>
      <w:bookmarkStart w:id="137" w:name="_Toc104396646"/>
      <w:r w:rsidR="00135629">
        <w:rPr>
          <w:rStyle w:val="Heading2Char"/>
          <w:b/>
        </w:rPr>
        <w:t>1.1</w:t>
      </w:r>
      <w:r w:rsidR="00135629">
        <w:rPr>
          <w:rStyle w:val="Heading2Char"/>
          <w:b/>
        </w:rPr>
        <w:tab/>
      </w:r>
      <w:r w:rsidR="00B710A8" w:rsidRPr="00B710A8">
        <w:rPr>
          <w:rStyle w:val="Heading2Char"/>
          <w:b/>
        </w:rPr>
        <w:t>TEAP Decision XXXIII/5</w:t>
      </w:r>
      <w:r w:rsidR="005617DE">
        <w:rPr>
          <w:rStyle w:val="Heading2Char"/>
          <w:b/>
        </w:rPr>
        <w:t xml:space="preserve"> </w:t>
      </w:r>
      <w:r w:rsidR="00B710A8" w:rsidRPr="00B710A8">
        <w:rPr>
          <w:rStyle w:val="Heading2Char"/>
          <w:b/>
        </w:rPr>
        <w:t>Energy Efficiency Task Force Update</w:t>
      </w:r>
      <w:bookmarkEnd w:id="137"/>
      <w:r w:rsidR="00B710A8" w:rsidRPr="00B710A8">
        <w:rPr>
          <w:rStyle w:val="Heading2Char"/>
          <w:b/>
        </w:rPr>
        <w:t xml:space="preserve"> </w:t>
      </w:r>
      <w:bookmarkEnd w:id="133"/>
    </w:p>
    <w:p w14:paraId="0FB9724B" w14:textId="3C415AEE" w:rsidR="00413888" w:rsidRPr="00B710A8" w:rsidRDefault="00413888" w:rsidP="00B710A8">
      <w:pPr>
        <w:rPr>
          <w:b/>
        </w:rPr>
      </w:pPr>
      <w:r w:rsidRPr="00B710A8">
        <w:t>Decision XXXIII/5 asks TEAP,</w:t>
      </w:r>
    </w:p>
    <w:p w14:paraId="324A3A0C" w14:textId="64A1B32D" w:rsidR="00413888" w:rsidRDefault="00413888" w:rsidP="00413888">
      <w:pPr>
        <w:pStyle w:val="Style15"/>
        <w:rPr>
          <w:b w:val="0"/>
        </w:rPr>
      </w:pPr>
    </w:p>
    <w:p w14:paraId="270F1AAA" w14:textId="1344446F" w:rsidR="00413888" w:rsidRPr="00413888" w:rsidRDefault="00413888" w:rsidP="00413888">
      <w:pPr>
        <w:pStyle w:val="Normalpool"/>
        <w:tabs>
          <w:tab w:val="clear" w:pos="1253"/>
          <w:tab w:val="clear" w:pos="1814"/>
          <w:tab w:val="clear" w:pos="2376"/>
          <w:tab w:val="clear" w:pos="2952"/>
          <w:tab w:val="clear" w:pos="3514"/>
          <w:tab w:val="left" w:pos="624"/>
        </w:tabs>
        <w:spacing w:after="120"/>
        <w:rPr>
          <w:rFonts w:asciiTheme="majorBidi" w:hAnsiTheme="majorBidi" w:cstheme="majorBidi"/>
          <w:i/>
          <w:sz w:val="22"/>
          <w:szCs w:val="22"/>
        </w:rPr>
      </w:pPr>
      <w:r>
        <w:rPr>
          <w:b/>
        </w:rPr>
        <w:tab/>
        <w:t>…”</w:t>
      </w:r>
      <w:r w:rsidRPr="00413888">
        <w:rPr>
          <w:rFonts w:asciiTheme="majorBidi" w:hAnsiTheme="majorBidi" w:cstheme="majorBidi"/>
          <w:szCs w:val="22"/>
        </w:rPr>
        <w:t xml:space="preserve"> </w:t>
      </w:r>
      <w:r w:rsidRPr="00413888">
        <w:rPr>
          <w:rFonts w:asciiTheme="majorBidi" w:hAnsiTheme="majorBidi" w:cstheme="majorBidi"/>
          <w:i/>
          <w:sz w:val="22"/>
          <w:szCs w:val="22"/>
        </w:rPr>
        <w:t>to prepare a report on energy efficient and lower</w:t>
      </w:r>
      <w:r w:rsidRPr="00413888">
        <w:rPr>
          <w:rFonts w:asciiTheme="majorBidi" w:hAnsiTheme="majorBidi" w:cstheme="majorBidi"/>
          <w:i/>
          <w:sz w:val="22"/>
          <w:szCs w:val="22"/>
        </w:rPr>
        <w:noBreakHyphen/>
        <w:t xml:space="preserve"> global</w:t>
      </w:r>
      <w:r w:rsidRPr="00413888">
        <w:rPr>
          <w:rFonts w:asciiTheme="majorBidi" w:hAnsiTheme="majorBidi" w:cstheme="majorBidi"/>
          <w:i/>
          <w:sz w:val="22"/>
          <w:szCs w:val="22"/>
        </w:rPr>
        <w:noBreakHyphen/>
        <w:t xml:space="preserve"> warming</w:t>
      </w:r>
      <w:r w:rsidRPr="00413888">
        <w:rPr>
          <w:rFonts w:asciiTheme="majorBidi" w:hAnsiTheme="majorBidi" w:cstheme="majorBidi"/>
          <w:i/>
          <w:sz w:val="22"/>
          <w:szCs w:val="22"/>
        </w:rPr>
        <w:noBreakHyphen/>
        <w:t xml:space="preserve"> potential technologies and on measures to enhance and maintain energy efficiency during hydrofluorocarbon transition in equipment for consideration by the Open-ended</w:t>
      </w:r>
      <w:r w:rsidRPr="00413888">
        <w:rPr>
          <w:rFonts w:asciiTheme="majorBidi" w:hAnsiTheme="majorBidi" w:cstheme="majorBidi"/>
          <w:i/>
          <w:sz w:val="22"/>
          <w:szCs w:val="22"/>
        </w:rPr>
        <w:noBreakHyphen/>
        <w:t xml:space="preserve"> Working Group at its forty-fourth meeting, and in the report to:</w:t>
      </w:r>
    </w:p>
    <w:p w14:paraId="097EB32B" w14:textId="77777777" w:rsidR="00413888" w:rsidRPr="00413888" w:rsidRDefault="00413888" w:rsidP="00107383">
      <w:pPr>
        <w:pStyle w:val="Normalpool"/>
        <w:numPr>
          <w:ilvl w:val="0"/>
          <w:numId w:val="78"/>
        </w:numPr>
        <w:tabs>
          <w:tab w:val="clear" w:pos="1253"/>
          <w:tab w:val="clear" w:pos="1814"/>
          <w:tab w:val="clear" w:pos="2376"/>
          <w:tab w:val="clear" w:pos="2952"/>
          <w:tab w:val="clear" w:pos="3514"/>
          <w:tab w:val="left" w:pos="624"/>
        </w:tabs>
        <w:spacing w:after="120"/>
        <w:rPr>
          <w:rFonts w:asciiTheme="majorBidi" w:hAnsiTheme="majorBidi" w:cstheme="majorBidi"/>
          <w:bCs/>
          <w:i/>
          <w:sz w:val="22"/>
          <w:szCs w:val="22"/>
        </w:rPr>
      </w:pPr>
      <w:r w:rsidRPr="00413888">
        <w:rPr>
          <w:rFonts w:asciiTheme="majorBidi" w:hAnsiTheme="majorBidi" w:cstheme="majorBidi"/>
          <w:bCs/>
          <w:i/>
          <w:sz w:val="22"/>
          <w:szCs w:val="22"/>
        </w:rPr>
        <w:t>Update information in the decision XXXI/7 report where relevant, and address additional subsectors not previously covered such as the heat-pump, large commercial refrigeration and larger air-conditioning system sub-sectors;</w:t>
      </w:r>
    </w:p>
    <w:p w14:paraId="5CAC3B91" w14:textId="77777777" w:rsidR="00413888" w:rsidRPr="00413888" w:rsidRDefault="00413888" w:rsidP="00107383">
      <w:pPr>
        <w:pStyle w:val="Normalpool"/>
        <w:numPr>
          <w:ilvl w:val="0"/>
          <w:numId w:val="78"/>
        </w:numPr>
        <w:tabs>
          <w:tab w:val="clear" w:pos="1253"/>
          <w:tab w:val="clear" w:pos="1814"/>
          <w:tab w:val="clear" w:pos="2376"/>
          <w:tab w:val="clear" w:pos="2952"/>
          <w:tab w:val="clear" w:pos="3514"/>
          <w:tab w:val="left" w:pos="624"/>
        </w:tabs>
        <w:spacing w:after="120"/>
        <w:rPr>
          <w:rFonts w:asciiTheme="majorBidi" w:hAnsiTheme="majorBidi" w:cstheme="majorBidi"/>
          <w:i/>
          <w:sz w:val="22"/>
          <w:szCs w:val="22"/>
        </w:rPr>
      </w:pPr>
      <w:r w:rsidRPr="00413888">
        <w:rPr>
          <w:rFonts w:asciiTheme="majorBidi" w:hAnsiTheme="majorBidi" w:cstheme="majorBidi"/>
          <w:i/>
          <w:sz w:val="22"/>
          <w:szCs w:val="22"/>
        </w:rPr>
        <w:t>Assess potential cost savings associated with adoption of lower global warming potential energy efficient technologies in each sector, including for manufacturers and consumers;</w:t>
      </w:r>
    </w:p>
    <w:p w14:paraId="5676220C" w14:textId="77777777" w:rsidR="00413888" w:rsidRPr="00413888" w:rsidRDefault="00413888" w:rsidP="00107383">
      <w:pPr>
        <w:pStyle w:val="Normalpool"/>
        <w:numPr>
          <w:ilvl w:val="0"/>
          <w:numId w:val="78"/>
        </w:numPr>
        <w:tabs>
          <w:tab w:val="clear" w:pos="1253"/>
          <w:tab w:val="clear" w:pos="1814"/>
          <w:tab w:val="clear" w:pos="2376"/>
          <w:tab w:val="clear" w:pos="2952"/>
          <w:tab w:val="clear" w:pos="3514"/>
          <w:tab w:val="left" w:pos="624"/>
        </w:tabs>
        <w:spacing w:after="120"/>
        <w:rPr>
          <w:rFonts w:asciiTheme="majorBidi" w:hAnsiTheme="majorBidi" w:cstheme="majorBidi"/>
          <w:i/>
          <w:sz w:val="22"/>
          <w:szCs w:val="22"/>
        </w:rPr>
      </w:pPr>
      <w:r w:rsidRPr="00413888">
        <w:rPr>
          <w:rFonts w:asciiTheme="majorBidi" w:hAnsiTheme="majorBidi" w:cstheme="majorBidi"/>
          <w:i/>
          <w:sz w:val="22"/>
          <w:szCs w:val="22"/>
        </w:rPr>
        <w:t>Identify sectors where actions could be taken in the short term to adopt energy efficient technologies while phasing down hydrofluorocarbons;</w:t>
      </w:r>
    </w:p>
    <w:p w14:paraId="0D050BF7" w14:textId="77777777" w:rsidR="00413888" w:rsidRPr="00413888" w:rsidRDefault="00413888" w:rsidP="00107383">
      <w:pPr>
        <w:pStyle w:val="Normalpool"/>
        <w:numPr>
          <w:ilvl w:val="0"/>
          <w:numId w:val="78"/>
        </w:numPr>
        <w:tabs>
          <w:tab w:val="clear" w:pos="1253"/>
          <w:tab w:val="clear" w:pos="1814"/>
          <w:tab w:val="clear" w:pos="2376"/>
          <w:tab w:val="clear" w:pos="2952"/>
          <w:tab w:val="clear" w:pos="3514"/>
          <w:tab w:val="left" w:pos="624"/>
        </w:tabs>
        <w:spacing w:after="120"/>
        <w:rPr>
          <w:rFonts w:asciiTheme="majorBidi" w:hAnsiTheme="majorBidi" w:cstheme="majorBidi"/>
          <w:bCs/>
          <w:i/>
          <w:sz w:val="22"/>
          <w:szCs w:val="22"/>
        </w:rPr>
      </w:pPr>
      <w:r w:rsidRPr="00413888">
        <w:rPr>
          <w:rFonts w:asciiTheme="majorBidi" w:hAnsiTheme="majorBidi" w:cstheme="majorBidi"/>
          <w:bCs/>
          <w:i/>
          <w:sz w:val="22"/>
          <w:szCs w:val="22"/>
        </w:rPr>
        <w:t>Identify options to enhance and maintain energy efficiency in equipment through deploying best practices during installation, servicing, maintenance, refurbishment or repair;</w:t>
      </w:r>
    </w:p>
    <w:p w14:paraId="15A8C1E6" w14:textId="4385FB84" w:rsidR="00413888" w:rsidRPr="00413888" w:rsidRDefault="00413888" w:rsidP="00107383">
      <w:pPr>
        <w:pStyle w:val="Normalpool"/>
        <w:numPr>
          <w:ilvl w:val="0"/>
          <w:numId w:val="78"/>
        </w:numPr>
        <w:tabs>
          <w:tab w:val="clear" w:pos="1253"/>
          <w:tab w:val="clear" w:pos="1814"/>
          <w:tab w:val="clear" w:pos="2376"/>
          <w:tab w:val="clear" w:pos="2952"/>
          <w:tab w:val="clear" w:pos="3514"/>
          <w:tab w:val="left" w:pos="624"/>
        </w:tabs>
        <w:spacing w:after="120"/>
        <w:rPr>
          <w:rFonts w:asciiTheme="majorBidi" w:hAnsiTheme="majorBidi" w:cstheme="majorBidi"/>
          <w:bCs/>
          <w:sz w:val="22"/>
          <w:szCs w:val="22"/>
        </w:rPr>
      </w:pPr>
      <w:r w:rsidRPr="00413888">
        <w:rPr>
          <w:rFonts w:asciiTheme="majorBidi" w:hAnsiTheme="majorBidi" w:cstheme="majorBidi"/>
          <w:bCs/>
          <w:i/>
          <w:sz w:val="22"/>
          <w:szCs w:val="22"/>
        </w:rPr>
        <w:t>Provide detailed information on how the benefits of integrating energy efficiency enhancements with the hydrofluorocarbon phase-down measures can be assessed.</w:t>
      </w:r>
      <w:r>
        <w:rPr>
          <w:rFonts w:asciiTheme="majorBidi" w:hAnsiTheme="majorBidi" w:cstheme="majorBidi"/>
          <w:bCs/>
          <w:i/>
          <w:sz w:val="22"/>
          <w:szCs w:val="22"/>
        </w:rPr>
        <w:t>”</w:t>
      </w:r>
    </w:p>
    <w:p w14:paraId="2A63B6DE" w14:textId="427EF630" w:rsidR="00413888" w:rsidRPr="00413888" w:rsidRDefault="00413888" w:rsidP="00413888">
      <w:r w:rsidRPr="00413888">
        <w:t xml:space="preserve">In order to prepare its report, TEAP established a new 2022 Energy Efficiency Task Force (EETF). Previous Task Forces had mainly restricted their scope to the domestic air conditioning (AC) and </w:t>
      </w:r>
      <w:r w:rsidR="00266A09">
        <w:t>self-</w:t>
      </w:r>
      <w:r w:rsidR="00B710A8">
        <w:t xml:space="preserve">contained </w:t>
      </w:r>
      <w:r w:rsidRPr="00413888">
        <w:t>commercial refrigeration</w:t>
      </w:r>
      <w:r w:rsidR="00B710A8">
        <w:t xml:space="preserve"> equipment</w:t>
      </w:r>
      <w:r w:rsidRPr="00413888">
        <w:t xml:space="preserve"> (S</w:t>
      </w:r>
      <w:r w:rsidR="00266A09">
        <w:t>C</w:t>
      </w:r>
      <w:r w:rsidRPr="00413888">
        <w:t xml:space="preserve">CRE) sectors. When establishing the new expertise required to respond to Decision XXXIII/5, TEAP </w:t>
      </w:r>
      <w:proofErr w:type="gramStart"/>
      <w:r w:rsidRPr="00413888">
        <w:t>took into account</w:t>
      </w:r>
      <w:proofErr w:type="gramEnd"/>
      <w:r w:rsidRPr="00413888">
        <w:t xml:space="preserve"> the request to cover additional sectors (heat-pump, large commercial refrigeration, larger air-conditioning systems), installation and servicing, and the assessment of the integration of energy enhancements with HFC phasedown. The EETF Report was assembled in chapters, updating previous information, and addressing the additional subsectors not previously covered. The 2022 Task Force has 24 members (5 female, 19 </w:t>
      </w:r>
      <w:r w:rsidRPr="00413888">
        <w:lastRenderedPageBreak/>
        <w:t>male) and two consulting experts. There are 13 members from A</w:t>
      </w:r>
      <w:r w:rsidR="00B710A8">
        <w:t xml:space="preserve">rticle </w:t>
      </w:r>
      <w:r w:rsidRPr="00413888">
        <w:t xml:space="preserve">5 </w:t>
      </w:r>
      <w:r w:rsidR="00B710A8">
        <w:t>(A5) p</w:t>
      </w:r>
      <w:r w:rsidRPr="00413888">
        <w:t xml:space="preserve">arties and 11 members from non-A5 parties. </w:t>
      </w:r>
    </w:p>
    <w:p w14:paraId="2741CA96" w14:textId="0F97F0D2" w:rsidR="00517FCE" w:rsidRPr="00F86EDC" w:rsidRDefault="00135629" w:rsidP="005C5E68">
      <w:pPr>
        <w:pStyle w:val="Heading2"/>
        <w:rPr>
          <w:rStyle w:val="Heading2Char"/>
          <w:b/>
        </w:rPr>
      </w:pPr>
      <w:bookmarkStart w:id="138" w:name="_Toc104396647"/>
      <w:r>
        <w:rPr>
          <w:rStyle w:val="Heading2Char"/>
          <w:b/>
        </w:rPr>
        <w:t>1.2</w:t>
      </w:r>
      <w:r>
        <w:rPr>
          <w:rStyle w:val="Heading2Char"/>
          <w:b/>
        </w:rPr>
        <w:tab/>
      </w:r>
      <w:r w:rsidR="00A71914" w:rsidRPr="00F86EDC">
        <w:rPr>
          <w:rStyle w:val="Heading2Char"/>
          <w:b/>
        </w:rPr>
        <w:t>TEAP Modelling Update</w:t>
      </w:r>
      <w:bookmarkEnd w:id="138"/>
      <w:r w:rsidR="00A71914" w:rsidRPr="00F86EDC">
        <w:rPr>
          <w:rStyle w:val="Heading2Char"/>
          <w:b/>
        </w:rPr>
        <w:t xml:space="preserve"> </w:t>
      </w:r>
    </w:p>
    <w:p w14:paraId="16ED8191" w14:textId="136808EE" w:rsidR="004E0D73" w:rsidRDefault="00B710A8" w:rsidP="004E0D73">
      <w:pPr>
        <w:rPr>
          <w:lang w:val="en-US"/>
        </w:rPr>
      </w:pPr>
      <w:r>
        <w:rPr>
          <w:lang w:val="en-US"/>
        </w:rPr>
        <w:t>TEAP is providing an update on its ongoing wor</w:t>
      </w:r>
      <w:r w:rsidR="00266A09">
        <w:rPr>
          <w:lang w:val="en-US"/>
        </w:rPr>
        <w:t>k</w:t>
      </w:r>
      <w:r w:rsidR="00C7675C">
        <w:rPr>
          <w:lang w:val="en-US"/>
        </w:rPr>
        <w:t>, through a small wor</w:t>
      </w:r>
      <w:r>
        <w:rPr>
          <w:lang w:val="en-US"/>
        </w:rPr>
        <w:t>king</w:t>
      </w:r>
      <w:r w:rsidR="00C7675C">
        <w:rPr>
          <w:lang w:val="en-US"/>
        </w:rPr>
        <w:t xml:space="preserve"> group,</w:t>
      </w:r>
      <w:r>
        <w:rPr>
          <w:lang w:val="en-US"/>
        </w:rPr>
        <w:t xml:space="preserve"> to build a database model of regional emissions and banks estimates to better respond to parties’ requests and to support its work and that of the Assessment Panels. The model</w:t>
      </w:r>
      <w:r w:rsidR="00C7675C">
        <w:rPr>
          <w:lang w:val="en-US"/>
        </w:rPr>
        <w:t>l</w:t>
      </w:r>
      <w:r>
        <w:rPr>
          <w:lang w:val="en-US"/>
        </w:rPr>
        <w:t xml:space="preserve">ing technique uses a wide range of information including production and consumption data reported to the Ozone Secretariat and the </w:t>
      </w:r>
      <w:r w:rsidRPr="00296630">
        <w:rPr>
          <w:lang w:val="en-US"/>
        </w:rPr>
        <w:t>Alternative Fluorocarbons Environmental Acceptability Study (AFEAS</w:t>
      </w:r>
      <w:r>
        <w:rPr>
          <w:lang w:val="en-US"/>
        </w:rPr>
        <w:t>)</w:t>
      </w:r>
      <w:r>
        <w:rPr>
          <w:rStyle w:val="FootnoteReference"/>
          <w:lang w:val="en-US"/>
        </w:rPr>
        <w:footnoteReference w:id="1"/>
      </w:r>
      <w:r>
        <w:rPr>
          <w:rFonts w:ascii="Roboto" w:hAnsi="Roboto"/>
          <w:color w:val="4D5156"/>
          <w:sz w:val="21"/>
          <w:szCs w:val="21"/>
          <w:shd w:val="clear" w:color="auto" w:fill="FFFFFF"/>
        </w:rPr>
        <w:t>,</w:t>
      </w:r>
      <w:r w:rsidR="005617DE">
        <w:rPr>
          <w:rFonts w:ascii="Roboto" w:hAnsi="Roboto"/>
          <w:color w:val="4D5156"/>
          <w:sz w:val="21"/>
          <w:szCs w:val="21"/>
          <w:shd w:val="clear" w:color="auto" w:fill="FFFFFF"/>
        </w:rPr>
        <w:t xml:space="preserve"> </w:t>
      </w:r>
      <w:r>
        <w:rPr>
          <w:lang w:val="en-US"/>
        </w:rPr>
        <w:t>estimates of the lifetime of equipment and foams,</w:t>
      </w:r>
      <w:r w:rsidDel="00CC6DE7">
        <w:rPr>
          <w:lang w:val="en-US"/>
        </w:rPr>
        <w:t xml:space="preserve"> </w:t>
      </w:r>
      <w:r>
        <w:rPr>
          <w:lang w:val="en-US"/>
        </w:rPr>
        <w:t>emissions rates throughout the product lifecycle, and market and economic influences to estimate banks and expected annual emissions from the historic, current, and projected usage of controlled substances. These expected annual emission estimates for specific ozone-depleting substances (ODS) can then be compared to estimated emissions from available atmospheric chemical concentrations, when available. The same methodology was used by the TEAP Task Force on the Unexpected Emissions of CFC-11</w:t>
      </w:r>
      <w:r w:rsidR="00C7675C">
        <w:rPr>
          <w:lang w:val="en-US"/>
        </w:rPr>
        <w:t>and the latest TEAP Replenishment Task Force Reports</w:t>
      </w:r>
      <w:r>
        <w:rPr>
          <w:lang w:val="en-US"/>
        </w:rPr>
        <w:t>.</w:t>
      </w:r>
      <w:r w:rsidR="004E0D73">
        <w:rPr>
          <w:lang w:val="en-US"/>
        </w:rPr>
        <w:t xml:space="preserve"> </w:t>
      </w:r>
    </w:p>
    <w:p w14:paraId="30904588" w14:textId="680C266B" w:rsidR="004E0D73" w:rsidRDefault="004E0D73" w:rsidP="004E0D73">
      <w:pPr>
        <w:rPr>
          <w:lang w:val="en-US"/>
        </w:rPr>
      </w:pPr>
      <w:r>
        <w:rPr>
          <w:lang w:val="en-US"/>
        </w:rPr>
        <w:t>TEAP is working to</w:t>
      </w:r>
      <w:r w:rsidR="001458FD">
        <w:rPr>
          <w:lang w:val="en-US"/>
        </w:rPr>
        <w:t>wards</w:t>
      </w:r>
      <w:r>
        <w:rPr>
          <w:lang w:val="en-US"/>
        </w:rPr>
        <w:t xml:space="preserve"> a database t</w:t>
      </w:r>
      <w:r w:rsidR="001458FD">
        <w:rPr>
          <w:lang w:val="en-US"/>
        </w:rPr>
        <w:t>hat will</w:t>
      </w:r>
      <w:r>
        <w:rPr>
          <w:lang w:val="en-US"/>
        </w:rPr>
        <w:t xml:space="preserve"> address all controlled substances, with initial work </w:t>
      </w:r>
      <w:proofErr w:type="spellStart"/>
      <w:r>
        <w:rPr>
          <w:lang w:val="en-US"/>
        </w:rPr>
        <w:t>prioritising</w:t>
      </w:r>
      <w:proofErr w:type="spellEnd"/>
      <w:r>
        <w:rPr>
          <w:lang w:val="en-US"/>
        </w:rPr>
        <w:t xml:space="preserve"> a smaller group of substances for the 2022 Assessment Reports. The benefits of developing a TEAP model are the consensus conclusions that can be drawn from the combined knowledge of its experts, e.g., in determining model assumptions, such as lifetime of equipment and foams, emission rates, historic and predicted market and economic impacts. The model can also be refined over time as this knowledge expands or changes. A consistent and transparent</w:t>
      </w:r>
      <w:r w:rsidR="001458FD">
        <w:rPr>
          <w:lang w:val="en-US"/>
        </w:rPr>
        <w:t>, published</w:t>
      </w:r>
      <w:r>
        <w:rPr>
          <w:lang w:val="en-US"/>
        </w:rPr>
        <w:t xml:space="preserve"> methodology ensures that the best available assumptions and </w:t>
      </w:r>
      <w:r w:rsidR="001458FD">
        <w:rPr>
          <w:lang w:val="en-US"/>
        </w:rPr>
        <w:t>method are incorporated</w:t>
      </w:r>
      <w:r>
        <w:rPr>
          <w:lang w:val="en-US"/>
        </w:rPr>
        <w:t>. The outputs for each chemical can be integrated to allow an evaluation of total ozone depletion potential</w:t>
      </w:r>
      <w:r w:rsidR="00B710A8">
        <w:rPr>
          <w:lang w:val="en-US"/>
        </w:rPr>
        <w:t xml:space="preserve"> (ODP)</w:t>
      </w:r>
      <w:r>
        <w:rPr>
          <w:lang w:val="en-US"/>
        </w:rPr>
        <w:t xml:space="preserve"> or carbon dioxide equivalent </w:t>
      </w:r>
      <w:r w:rsidR="00B710A8">
        <w:rPr>
          <w:lang w:val="en-US"/>
        </w:rPr>
        <w:t>(CO</w:t>
      </w:r>
      <w:r w:rsidR="00B710A8" w:rsidRPr="00BF0FD5">
        <w:rPr>
          <w:vertAlign w:val="subscript"/>
          <w:lang w:val="en-US"/>
        </w:rPr>
        <w:t>2</w:t>
      </w:r>
      <w:r w:rsidR="00B710A8">
        <w:rPr>
          <w:lang w:val="en-US"/>
        </w:rPr>
        <w:t xml:space="preserve">e) </w:t>
      </w:r>
      <w:r>
        <w:rPr>
          <w:lang w:val="en-US"/>
        </w:rPr>
        <w:t>units providing a state-of-the-art understanding to support the work of the Montreal Protocol. Any additional product data that parties wish to convey to TEAP c</w:t>
      </w:r>
      <w:r w:rsidR="001458FD">
        <w:rPr>
          <w:lang w:val="en-US"/>
        </w:rPr>
        <w:t>ould</w:t>
      </w:r>
      <w:r>
        <w:rPr>
          <w:lang w:val="en-US"/>
        </w:rPr>
        <w:t xml:space="preserve"> be used to further refine models. </w:t>
      </w:r>
    </w:p>
    <w:p w14:paraId="78252092" w14:textId="711B22F3" w:rsidR="001458FD" w:rsidRDefault="001458FD" w:rsidP="004E0D73">
      <w:pPr>
        <w:rPr>
          <w:lang w:val="en-US"/>
        </w:rPr>
      </w:pPr>
      <w:r>
        <w:rPr>
          <w:lang w:val="en-US"/>
        </w:rPr>
        <w:t xml:space="preserve">An example of the results of this modelling was the estimated expected emissions and banks of CFC-11 from the work of the TEAP Task Force on Unexpected Emissions of CFC-11. The newest example of modelling results is included in this 2022 TEAP Progress Report, showing the estimated expected emissions and banks of HCFC-141b. More information </w:t>
      </w:r>
      <w:r w:rsidR="00B710A8">
        <w:rPr>
          <w:lang w:val="en-US"/>
        </w:rPr>
        <w:t xml:space="preserve">on TEAP’s modelling work </w:t>
      </w:r>
      <w:r>
        <w:rPr>
          <w:lang w:val="en-US"/>
        </w:rPr>
        <w:t>will be provided in the 2022 TEAP and TOC</w:t>
      </w:r>
      <w:r w:rsidR="00C7675C">
        <w:rPr>
          <w:lang w:val="en-US"/>
        </w:rPr>
        <w:t>s</w:t>
      </w:r>
      <w:r>
        <w:rPr>
          <w:lang w:val="en-US"/>
        </w:rPr>
        <w:t xml:space="preserve"> Assessment Reports</w:t>
      </w:r>
      <w:r w:rsidR="00C7675C">
        <w:rPr>
          <w:lang w:val="en-US"/>
        </w:rPr>
        <w:t>.</w:t>
      </w:r>
    </w:p>
    <w:p w14:paraId="051353B3" w14:textId="1D91954C" w:rsidR="004E0D73" w:rsidRPr="00A10352" w:rsidRDefault="00B710A8" w:rsidP="00821BBC">
      <w:pPr>
        <w:pStyle w:val="Heading2"/>
        <w:rPr>
          <w:rStyle w:val="Heading311ptBoldChar"/>
        </w:rPr>
      </w:pPr>
      <w:bookmarkStart w:id="139" w:name="_Toc104396648"/>
      <w:r w:rsidRPr="00A10352">
        <w:rPr>
          <w:rStyle w:val="Heading311ptBoldChar"/>
          <w:b/>
        </w:rPr>
        <w:t>1.2.1</w:t>
      </w:r>
      <w:r w:rsidRPr="00A10352">
        <w:rPr>
          <w:rStyle w:val="Heading311ptBoldChar"/>
          <w:b/>
        </w:rPr>
        <w:tab/>
      </w:r>
      <w:r w:rsidR="004E0D73" w:rsidRPr="00A10352">
        <w:rPr>
          <w:rStyle w:val="Heading311ptBoldChar"/>
          <w:b/>
        </w:rPr>
        <w:t>Background for HCFC-141b: A Brief History of Ozone Depleting Substance (ODS) Use in Foams</w:t>
      </w:r>
      <w:bookmarkEnd w:id="139"/>
    </w:p>
    <w:p w14:paraId="517EAC27" w14:textId="77777777" w:rsidR="004E0D73" w:rsidRDefault="004E0D73" w:rsidP="004E0D73">
      <w:pPr>
        <w:rPr>
          <w:lang w:val="en-US"/>
        </w:rPr>
      </w:pPr>
      <w:r>
        <w:rPr>
          <w:lang w:val="en-US"/>
        </w:rPr>
        <w:t xml:space="preserve">Polyurethanes were invented in the 1930s and are used in a wide variety of products. In 1948, closed-cell foams were initially introduced as an insulation in very small quantities and the market slowly increased. Use of steel sandwich building panels and integral skin began in the 1960s. In the late 1970s and 1980s closed-cell polyurethane insulation expanded to include spray foam and sandwich panels. Separately, open cell foams such as flexible and cushioning foams (e.g., shoe soles and cushions) were commercialized in the 1950s. </w:t>
      </w:r>
    </w:p>
    <w:p w14:paraId="039F41DE" w14:textId="77777777" w:rsidR="004E0D73" w:rsidRPr="006B45FC" w:rsidRDefault="004E0D73" w:rsidP="004E0D73">
      <w:pPr>
        <w:rPr>
          <w:lang w:val="en-US"/>
        </w:rPr>
      </w:pPr>
      <w:r>
        <w:rPr>
          <w:lang w:val="en-US"/>
        </w:rPr>
        <w:t xml:space="preserve">CFC-11 was initially used as a foam blowing agent in all of these types of foams. The closed-cell foam market developed gradually as confirmed AFEAS CFC-11 sales values showing that CFC-11 sales into closed-cell foams were relatively small until the 1970s with continuous growth throughout the 1980s. </w:t>
      </w:r>
    </w:p>
    <w:p w14:paraId="0FAE9221" w14:textId="1DC4EE76" w:rsidR="004E0D73" w:rsidRDefault="004E0D73" w:rsidP="004E0D73">
      <w:pPr>
        <w:rPr>
          <w:lang w:val="en-US"/>
        </w:rPr>
      </w:pPr>
      <w:r>
        <w:rPr>
          <w:lang w:val="en-US"/>
        </w:rPr>
        <w:lastRenderedPageBreak/>
        <w:t xml:space="preserve">HCFC-141b was introduced as a replacement for CFC-11 for use as a closed-cell foam blowing agent during the CFC-11 phase-out. HCFC-141b is also undergoing a phase-out as agreed by the parties to the Montreal Protocol. By 2006, </w:t>
      </w:r>
      <w:r w:rsidR="00B710A8">
        <w:rPr>
          <w:lang w:val="en-US"/>
        </w:rPr>
        <w:t>n</w:t>
      </w:r>
      <w:r>
        <w:rPr>
          <w:lang w:val="en-US"/>
        </w:rPr>
        <w:t>on-A5 parties were already transitioning from ozone depleting blowing agents the phase-out of CFC-11 for non-A5 parties completed by 1996. G</w:t>
      </w:r>
      <w:r w:rsidRPr="1061C58E">
        <w:rPr>
          <w:lang w:val="en-US"/>
        </w:rPr>
        <w:t>iven its higher ozone depletion potential</w:t>
      </w:r>
      <w:r>
        <w:rPr>
          <w:lang w:val="en-US"/>
        </w:rPr>
        <w:t xml:space="preserve">, many parties regulated HCFC-141b early using a “worst-first” strategy, and so reductions were already well under way for HCFC-141b prior to the phase-out schedule, to be completed by 2020. For example, the United States banned the use of HCFC-141b for use in foam for appliances in 2003, and then in imported products containing HCFC-141b in 2015. Each transition in non-A5 parties resulted in much lower use of halocarbons as foam blowing agents as foam manufacturers shifted to other alternatives including water and hydrocarbons. </w:t>
      </w:r>
    </w:p>
    <w:p w14:paraId="3728C379" w14:textId="14D94877" w:rsidR="004E0D73" w:rsidRPr="00B710A8" w:rsidRDefault="00F86EDC" w:rsidP="005C5E68">
      <w:pPr>
        <w:pStyle w:val="Heading2"/>
        <w:rPr>
          <w:rStyle w:val="Heading311ptBoldChar"/>
          <w:b/>
        </w:rPr>
      </w:pPr>
      <w:bookmarkStart w:id="140" w:name="_Toc73045608"/>
      <w:bookmarkStart w:id="141" w:name="_Toc104396649"/>
      <w:r>
        <w:rPr>
          <w:rStyle w:val="Heading311ptBoldChar"/>
          <w:b/>
        </w:rPr>
        <w:t>1.</w:t>
      </w:r>
      <w:r w:rsidR="00B710A8" w:rsidRPr="00B710A8">
        <w:rPr>
          <w:rStyle w:val="Heading311ptBoldChar"/>
          <w:b/>
        </w:rPr>
        <w:t>2.</w:t>
      </w:r>
      <w:r>
        <w:rPr>
          <w:rStyle w:val="Heading311ptBoldChar"/>
          <w:b/>
        </w:rPr>
        <w:t>2</w:t>
      </w:r>
      <w:r w:rsidR="00B710A8" w:rsidRPr="00B710A8">
        <w:rPr>
          <w:rStyle w:val="Heading311ptBoldChar"/>
          <w:b/>
        </w:rPr>
        <w:tab/>
      </w:r>
      <w:r w:rsidR="004E0D73" w:rsidRPr="00B710A8">
        <w:rPr>
          <w:rStyle w:val="Heading311ptBoldChar"/>
          <w:b/>
        </w:rPr>
        <w:t xml:space="preserve">Estimated </w:t>
      </w:r>
      <w:bookmarkEnd w:id="140"/>
      <w:r w:rsidR="004E0D73" w:rsidRPr="00B710A8">
        <w:rPr>
          <w:rStyle w:val="Heading311ptBoldChar"/>
          <w:b/>
        </w:rPr>
        <w:t xml:space="preserve">regional use </w:t>
      </w:r>
      <w:r w:rsidR="001458FD" w:rsidRPr="00B710A8">
        <w:rPr>
          <w:rStyle w:val="Heading311ptBoldChar"/>
          <w:b/>
        </w:rPr>
        <w:t>of HCFC-141b</w:t>
      </w:r>
      <w:bookmarkEnd w:id="141"/>
    </w:p>
    <w:p w14:paraId="6E8A9D1D" w14:textId="468AAA30" w:rsidR="004E0D73" w:rsidRPr="00B710A8" w:rsidRDefault="00C7675C" w:rsidP="004E0D73">
      <w:pPr>
        <w:rPr>
          <w:lang w:val="en-US"/>
        </w:rPr>
      </w:pPr>
      <w:r>
        <w:rPr>
          <w:lang w:val="en-US"/>
        </w:rPr>
        <w:t>The FTOC completed a detailed analysis of the use of foam blowing agents by foam sector by region in the 2006 FTOC Assessment Report</w:t>
      </w:r>
      <w:r>
        <w:rPr>
          <w:rStyle w:val="FootnoteReference"/>
          <w:lang w:val="en-US"/>
        </w:rPr>
        <w:footnoteReference w:id="2"/>
      </w:r>
      <w:r>
        <w:rPr>
          <w:lang w:val="en-US"/>
        </w:rPr>
        <w:t xml:space="preserve">. </w:t>
      </w:r>
      <w:r w:rsidR="004E0D73">
        <w:rPr>
          <w:lang w:val="en-US"/>
        </w:rPr>
        <w:t xml:space="preserve">The FTOC described large, mature foam markets in North America (NA) and Europe (EU) for the types of foams that historically used CFC-11 and HCFC-141b. Other regions all using less than one-third of the quantities used by either North America or Europe. Closed-cell foam markets in Article 5 parties had slowly been growing prior to 2006 as shown </w:t>
      </w:r>
      <w:r w:rsidR="00B710A8">
        <w:rPr>
          <w:lang w:val="en-US"/>
        </w:rPr>
        <w:t>in Fig.1</w:t>
      </w:r>
      <w:r w:rsidR="004E0D73">
        <w:rPr>
          <w:lang w:val="en-US"/>
        </w:rPr>
        <w:t>.</w:t>
      </w:r>
      <w:r>
        <w:rPr>
          <w:lang w:val="en-US"/>
        </w:rPr>
        <w:t>1.</w:t>
      </w:r>
      <w:r w:rsidR="004E0D73">
        <w:rPr>
          <w:lang w:val="en-US"/>
        </w:rPr>
        <w:t xml:space="preserve"> </w:t>
      </w:r>
    </w:p>
    <w:p w14:paraId="05F8A004" w14:textId="3FBDA606" w:rsidR="00C7675C" w:rsidRDefault="004E0D73" w:rsidP="004E0D73">
      <w:pPr>
        <w:rPr>
          <w:b/>
        </w:rPr>
      </w:pPr>
      <w:r w:rsidRPr="00B710A8">
        <w:rPr>
          <w:b/>
        </w:rPr>
        <w:t>Fig</w:t>
      </w:r>
      <w:r w:rsidR="00C7675C">
        <w:rPr>
          <w:b/>
        </w:rPr>
        <w:t>.</w:t>
      </w:r>
      <w:r w:rsidRPr="00B710A8">
        <w:rPr>
          <w:b/>
        </w:rPr>
        <w:t xml:space="preserve"> </w:t>
      </w:r>
      <w:r w:rsidR="00233EBD" w:rsidRPr="00B710A8">
        <w:rPr>
          <w:b/>
        </w:rPr>
        <w:t>1</w:t>
      </w:r>
      <w:r w:rsidRPr="00B710A8">
        <w:rPr>
          <w:b/>
        </w:rPr>
        <w:t>.</w:t>
      </w:r>
      <w:r w:rsidR="00B710A8">
        <w:rPr>
          <w:b/>
        </w:rPr>
        <w:t xml:space="preserve">1. </w:t>
      </w:r>
      <w:r w:rsidRPr="00B710A8">
        <w:rPr>
          <w:b/>
        </w:rPr>
        <w:t xml:space="preserve">Non-A5 and </w:t>
      </w:r>
      <w:r w:rsidR="00B710A8">
        <w:rPr>
          <w:b/>
        </w:rPr>
        <w:t>A</w:t>
      </w:r>
      <w:r w:rsidRPr="00B710A8">
        <w:rPr>
          <w:b/>
        </w:rPr>
        <w:t xml:space="preserve">5 </w:t>
      </w:r>
      <w:proofErr w:type="gramStart"/>
      <w:r w:rsidRPr="00B710A8">
        <w:rPr>
          <w:b/>
        </w:rPr>
        <w:t>part</w:t>
      </w:r>
      <w:r w:rsidR="00B710A8">
        <w:rPr>
          <w:b/>
        </w:rPr>
        <w:t>ies</w:t>
      </w:r>
      <w:proofErr w:type="gramEnd"/>
      <w:r w:rsidRPr="00B710A8">
        <w:rPr>
          <w:b/>
        </w:rPr>
        <w:t xml:space="preserve"> consumption of CFC-11 and HCFC-141b</w:t>
      </w:r>
    </w:p>
    <w:p w14:paraId="56BA4710" w14:textId="79376FC7" w:rsidR="004E0D73" w:rsidRPr="00B710A8" w:rsidRDefault="00C7675C" w:rsidP="004E0D73">
      <w:pPr>
        <w:rPr>
          <w:b/>
        </w:rPr>
      </w:pPr>
      <w:r>
        <w:rPr>
          <w:noProof/>
        </w:rPr>
        <w:drawing>
          <wp:inline distT="0" distB="0" distL="0" distR="0" wp14:anchorId="4B13D33C" wp14:editId="79303819">
            <wp:extent cx="5206088" cy="30024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2913" cy="3040938"/>
                    </a:xfrm>
                    <a:prstGeom prst="rect">
                      <a:avLst/>
                    </a:prstGeom>
                  </pic:spPr>
                </pic:pic>
              </a:graphicData>
            </a:graphic>
          </wp:inline>
        </w:drawing>
      </w:r>
    </w:p>
    <w:p w14:paraId="43450F72" w14:textId="51C27BF2" w:rsidR="004E0D73" w:rsidRPr="00233EBD" w:rsidRDefault="005617DE" w:rsidP="004E0D73">
      <w:pPr>
        <w:spacing w:line="259" w:lineRule="auto"/>
      </w:pPr>
      <w:r>
        <w:lastRenderedPageBreak/>
        <w:t xml:space="preserve"> </w:t>
      </w:r>
      <w:r w:rsidR="004E0D73">
        <w:rPr>
          <w:noProof/>
        </w:rPr>
        <w:drawing>
          <wp:inline distT="0" distB="0" distL="0" distR="0" wp14:anchorId="073250B2" wp14:editId="7C2D6CBB">
            <wp:extent cx="4356116" cy="33191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05188" cy="3356536"/>
                    </a:xfrm>
                    <a:prstGeom prst="rect">
                      <a:avLst/>
                    </a:prstGeom>
                  </pic:spPr>
                </pic:pic>
              </a:graphicData>
            </a:graphic>
          </wp:inline>
        </w:drawing>
      </w:r>
    </w:p>
    <w:p w14:paraId="6C3480DB" w14:textId="77777777" w:rsidR="00B710A8" w:rsidRPr="00CF086F" w:rsidRDefault="00B710A8" w:rsidP="00B710A8">
      <w:pPr>
        <w:rPr>
          <w:strike/>
          <w:lang w:val="en-US"/>
        </w:rPr>
      </w:pPr>
      <w:r>
        <w:t xml:space="preserve">Non-A5 parties completed their phase-out of CFC-11 use as a blowing agent in 1996 and had already completed their phase-outs of HCFC-141b. </w:t>
      </w:r>
      <w:r>
        <w:rPr>
          <w:lang w:val="en-US"/>
        </w:rPr>
        <w:t xml:space="preserve">A5 party baselines were determined in 1995-97 for CFCs and in 2009-10 for HCFCs. A5 party freeze and phaseout started in 1999 for CFCs and in 2013 for HCFCs. Many parties again regulated HCFC-141b using the same “worst-first” approach based on ODP that non-A5 parties used. </w:t>
      </w:r>
    </w:p>
    <w:p w14:paraId="4B6E7210" w14:textId="0413553A" w:rsidR="004E0D73" w:rsidRPr="00B710A8" w:rsidRDefault="00233EBD" w:rsidP="005C5E68">
      <w:pPr>
        <w:pStyle w:val="Heading2"/>
        <w:rPr>
          <w:rStyle w:val="Heading311ptBoldChar"/>
          <w:b/>
        </w:rPr>
      </w:pPr>
      <w:bookmarkStart w:id="142" w:name="_Toc104396650"/>
      <w:r w:rsidRPr="00B710A8">
        <w:rPr>
          <w:rStyle w:val="Heading311ptBoldChar"/>
          <w:b/>
        </w:rPr>
        <w:t>1</w:t>
      </w:r>
      <w:r w:rsidR="004E0D73" w:rsidRPr="00B710A8">
        <w:rPr>
          <w:rStyle w:val="Heading311ptBoldChar"/>
          <w:b/>
        </w:rPr>
        <w:t>.</w:t>
      </w:r>
      <w:r w:rsidR="00B710A8">
        <w:rPr>
          <w:rStyle w:val="Heading311ptBoldChar"/>
          <w:b/>
        </w:rPr>
        <w:t>2.3</w:t>
      </w:r>
      <w:r w:rsidR="004E0D73" w:rsidRPr="00B710A8">
        <w:rPr>
          <w:rStyle w:val="Heading311ptBoldChar"/>
          <w:b/>
        </w:rPr>
        <w:tab/>
        <w:t>Estimated global use</w:t>
      </w:r>
      <w:r w:rsidR="001458FD" w:rsidRPr="00B710A8">
        <w:rPr>
          <w:rStyle w:val="Heading311ptBoldChar"/>
          <w:b/>
        </w:rPr>
        <w:t xml:space="preserve"> of HCFC-141b</w:t>
      </w:r>
      <w:r w:rsidR="004E0D73" w:rsidRPr="00B710A8">
        <w:rPr>
          <w:rStyle w:val="Heading311ptBoldChar"/>
          <w:b/>
        </w:rPr>
        <w:t xml:space="preserve"> by foam type</w:t>
      </w:r>
      <w:bookmarkEnd w:id="142"/>
      <w:r w:rsidR="004E0D73" w:rsidRPr="00B710A8">
        <w:rPr>
          <w:rStyle w:val="Heading311ptBoldChar"/>
          <w:b/>
        </w:rPr>
        <w:t xml:space="preserve"> </w:t>
      </w:r>
    </w:p>
    <w:p w14:paraId="671AADFF" w14:textId="7E75DE52" w:rsidR="004E0D73" w:rsidRPr="003F4146" w:rsidRDefault="004E0D73" w:rsidP="004E0D73">
      <w:pPr>
        <w:pStyle w:val="FigureandTableTitle"/>
        <w:tabs>
          <w:tab w:val="clear" w:pos="1276"/>
          <w:tab w:val="left" w:pos="0"/>
        </w:tabs>
        <w:ind w:left="0" w:firstLine="0"/>
        <w:rPr>
          <w:b w:val="0"/>
          <w:bCs w:val="0"/>
        </w:rPr>
      </w:pPr>
      <w:r w:rsidRPr="00322BCD">
        <w:rPr>
          <w:b w:val="0"/>
          <w:bCs w:val="0"/>
          <w:lang w:val="en-US"/>
        </w:rPr>
        <w:t>The 2006 FTOC Assessment Report sectoral and regional analysis was used to create an estimate of foam use of blowing agents</w:t>
      </w:r>
      <w:r>
        <w:rPr>
          <w:b w:val="0"/>
          <w:bCs w:val="0"/>
          <w:lang w:val="en-US"/>
        </w:rPr>
        <w:t>,</w:t>
      </w:r>
      <w:r w:rsidRPr="00322BCD">
        <w:rPr>
          <w:b w:val="0"/>
          <w:bCs w:val="0"/>
          <w:lang w:val="en-US"/>
        </w:rPr>
        <w:t xml:space="preserve"> to estimate banks and emissions based on the </w:t>
      </w:r>
      <w:r>
        <w:rPr>
          <w:b w:val="0"/>
          <w:bCs w:val="0"/>
          <w:lang w:val="en-US"/>
        </w:rPr>
        <w:t xml:space="preserve">estimated </w:t>
      </w:r>
      <w:r w:rsidRPr="00322BCD">
        <w:rPr>
          <w:b w:val="0"/>
          <w:bCs w:val="0"/>
          <w:lang w:val="en-US"/>
        </w:rPr>
        <w:t xml:space="preserve">losses of blowing agents during different foaming processes and foam lifetimes. </w:t>
      </w:r>
      <w:r>
        <w:rPr>
          <w:b w:val="0"/>
          <w:bCs w:val="0"/>
          <w:lang w:val="en-US"/>
        </w:rPr>
        <w:t xml:space="preserve">In this analysis, </w:t>
      </w:r>
      <w:r w:rsidRPr="003F4146">
        <w:rPr>
          <w:b w:val="0"/>
          <w:bCs w:val="0"/>
        </w:rPr>
        <w:t>HCFC-141b consumption peaked around 2000 in non-A5 parties and in 2011 in A5 parties with the majority used to manufacture foams in North America (NA) and in Northeast Asia (NEA). However, much of the</w:t>
      </w:r>
      <w:r w:rsidR="00F86EDC">
        <w:rPr>
          <w:b w:val="0"/>
          <w:bCs w:val="0"/>
        </w:rPr>
        <w:t xml:space="preserve"> </w:t>
      </w:r>
      <w:r w:rsidRPr="003F4146">
        <w:rPr>
          <w:b w:val="0"/>
          <w:bCs w:val="0"/>
        </w:rPr>
        <w:lastRenderedPageBreak/>
        <w:t xml:space="preserve">production of foams in NEA was used in domestic appliances </w:t>
      </w:r>
      <w:r w:rsidR="001458FD">
        <w:rPr>
          <w:b w:val="0"/>
          <w:bCs w:val="0"/>
        </w:rPr>
        <w:t>that</w:t>
      </w:r>
      <w:r w:rsidRPr="003F4146">
        <w:rPr>
          <w:b w:val="0"/>
          <w:bCs w:val="0"/>
        </w:rPr>
        <w:t xml:space="preserve"> were exported to other regions of the world. </w:t>
      </w:r>
    </w:p>
    <w:p w14:paraId="0591F5D8" w14:textId="791863BD" w:rsidR="004E0D73" w:rsidRPr="00A55593" w:rsidRDefault="004E0D73" w:rsidP="004E0D73">
      <w:pPr>
        <w:pStyle w:val="FigureandTableTitle"/>
      </w:pPr>
      <w:r w:rsidRPr="00A55593">
        <w:t>Fig</w:t>
      </w:r>
      <w:r w:rsidR="00C7675C">
        <w:t>.</w:t>
      </w:r>
      <w:r w:rsidRPr="00A55593">
        <w:t xml:space="preserve"> </w:t>
      </w:r>
      <w:r w:rsidR="00B710A8">
        <w:t>1.</w:t>
      </w:r>
      <w:r w:rsidR="00233EBD">
        <w:t>2</w:t>
      </w:r>
      <w:r w:rsidRPr="00A55593">
        <w:tab/>
      </w:r>
      <w:r>
        <w:t>HCFC-141b Regional Consumption and Market Use</w:t>
      </w:r>
    </w:p>
    <w:p w14:paraId="0E3D4D97" w14:textId="5C246B94" w:rsidR="00C7675C" w:rsidRDefault="004E0D73" w:rsidP="001E34C2">
      <w:pPr>
        <w:spacing w:line="259" w:lineRule="auto"/>
      </w:pPr>
      <w:r>
        <w:rPr>
          <w:noProof/>
        </w:rPr>
        <w:drawing>
          <wp:inline distT="0" distB="0" distL="0" distR="0" wp14:anchorId="4A8779E4" wp14:editId="34F21CC0">
            <wp:extent cx="2786400" cy="2553176"/>
            <wp:effectExtent l="0" t="0" r="0" b="0"/>
            <wp:docPr id="36" name="Picture 3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pie 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0468" cy="2575229"/>
                    </a:xfrm>
                    <a:prstGeom prst="rect">
                      <a:avLst/>
                    </a:prstGeom>
                    <a:noFill/>
                  </pic:spPr>
                </pic:pic>
              </a:graphicData>
            </a:graphic>
          </wp:inline>
        </w:drawing>
      </w:r>
    </w:p>
    <w:p w14:paraId="7C3FE866" w14:textId="3AC396E1" w:rsidR="00C7675C" w:rsidRDefault="00C7675C" w:rsidP="00C7675C">
      <w:pPr>
        <w:pStyle w:val="Style15"/>
      </w:pPr>
    </w:p>
    <w:p w14:paraId="7C7FF918" w14:textId="77777777" w:rsidR="00C7675C" w:rsidRPr="00C7675C" w:rsidRDefault="00C7675C" w:rsidP="00C7675C">
      <w:pPr>
        <w:pStyle w:val="Style15"/>
      </w:pPr>
    </w:p>
    <w:p w14:paraId="4B9109A7" w14:textId="2C46D6E8" w:rsidR="004E0D73" w:rsidRDefault="005617DE" w:rsidP="004E0D73">
      <w:pPr>
        <w:spacing w:line="259" w:lineRule="auto"/>
      </w:pPr>
      <w:r>
        <w:t xml:space="preserve"> </w:t>
      </w:r>
      <w:r w:rsidR="004E0D73">
        <w:rPr>
          <w:noProof/>
        </w:rPr>
        <w:drawing>
          <wp:inline distT="0" distB="0" distL="0" distR="0" wp14:anchorId="44DF2E4B" wp14:editId="3152FA21">
            <wp:extent cx="4557600" cy="2739609"/>
            <wp:effectExtent l="0" t="0" r="190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1264" cy="2759845"/>
                    </a:xfrm>
                    <a:prstGeom prst="rect">
                      <a:avLst/>
                    </a:prstGeom>
                    <a:noFill/>
                  </pic:spPr>
                </pic:pic>
              </a:graphicData>
            </a:graphic>
          </wp:inline>
        </w:drawing>
      </w:r>
    </w:p>
    <w:p w14:paraId="162C2FA0" w14:textId="7519590D" w:rsidR="004E0D73" w:rsidRPr="00B710A8" w:rsidRDefault="00B710A8" w:rsidP="005C5E68">
      <w:pPr>
        <w:pStyle w:val="Heading2"/>
        <w:rPr>
          <w:rStyle w:val="Heading311ptBoldChar"/>
          <w:b/>
        </w:rPr>
      </w:pPr>
      <w:bookmarkStart w:id="143" w:name="_Toc104396651"/>
      <w:r w:rsidRPr="00B710A8">
        <w:rPr>
          <w:rStyle w:val="Heading311ptBoldChar"/>
          <w:b/>
        </w:rPr>
        <w:t>1.2.4</w:t>
      </w:r>
      <w:r w:rsidR="00E12C0A">
        <w:rPr>
          <w:rStyle w:val="Heading311ptBoldChar"/>
          <w:b/>
        </w:rPr>
        <w:tab/>
      </w:r>
      <w:r w:rsidRPr="00B710A8">
        <w:rPr>
          <w:rStyle w:val="Heading311ptBoldChar"/>
          <w:b/>
        </w:rPr>
        <w:t xml:space="preserve"> </w:t>
      </w:r>
      <w:r w:rsidR="004E0D73" w:rsidRPr="00B710A8">
        <w:rPr>
          <w:rStyle w:val="Heading311ptBoldChar"/>
          <w:b/>
        </w:rPr>
        <w:t xml:space="preserve">Global consumption and </w:t>
      </w:r>
      <w:r w:rsidR="001458FD" w:rsidRPr="00B710A8">
        <w:rPr>
          <w:rStyle w:val="Heading311ptBoldChar"/>
          <w:b/>
        </w:rPr>
        <w:t xml:space="preserve">estimated </w:t>
      </w:r>
      <w:r w:rsidR="004E0D73" w:rsidRPr="00B710A8">
        <w:rPr>
          <w:rStyle w:val="Heading311ptBoldChar"/>
          <w:b/>
        </w:rPr>
        <w:t>emissions</w:t>
      </w:r>
      <w:r w:rsidR="001458FD" w:rsidRPr="00B710A8">
        <w:rPr>
          <w:rStyle w:val="Heading311ptBoldChar"/>
          <w:b/>
        </w:rPr>
        <w:t xml:space="preserve"> of HCFC-141b</w:t>
      </w:r>
      <w:bookmarkEnd w:id="143"/>
    </w:p>
    <w:p w14:paraId="382BCC71" w14:textId="77777777" w:rsidR="004E0D73" w:rsidRDefault="004E0D73" w:rsidP="004E0D73">
      <w:r>
        <w:t xml:space="preserve">There are two distinct peaks in the production and consumption of HCFC-141b, as policies initially allowed for its use and then mandated its phase-out in non-A5 followed by A5 parties. Policies have also generally mandated bans in the use of HCFC-141b in domestic refrigeration manufacture by 2015 in much of the world. </w:t>
      </w:r>
    </w:p>
    <w:p w14:paraId="034ED130" w14:textId="77777777" w:rsidR="004E0D73" w:rsidRDefault="004E0D73" w:rsidP="004E0D73">
      <w:pPr>
        <w:rPr>
          <w:lang w:val="en-US"/>
        </w:rPr>
      </w:pPr>
      <w:r>
        <w:rPr>
          <w:lang w:val="en-US"/>
        </w:rPr>
        <w:t>Active banks refer to fluorocarbon, such as used as a foam blowing agent in insulating foams, still in active use (in buildings and refrigerators or refrigeration equipment etc.) Inactive banks refer to chemicals no longer in use and are largely represented by fluorocarbons in landfills.</w:t>
      </w:r>
    </w:p>
    <w:p w14:paraId="01BBD284" w14:textId="46B5BFB3" w:rsidR="004E0D73" w:rsidRDefault="001458FD" w:rsidP="004E0D73">
      <w:r>
        <w:t xml:space="preserve">The inactive bank of HCFC-141b is believed to have been largely from foams in refrigerators, while the active bank is now shifting to be largely related to construction foams globally. The global active </w:t>
      </w:r>
      <w:r>
        <w:lastRenderedPageBreak/>
        <w:t>bank peak is now estimated to have occurred, with continued decommissioning of appliances and buildings that contain HCFC-141b being greater than new HCFC-141b usage to create new foams. The timing of the global peak for decommissioning of foams containing HCFC-141b is estimated to occur over the next 5 years.</w:t>
      </w:r>
      <w:r w:rsidR="005617DE">
        <w:t xml:space="preserve"> </w:t>
      </w:r>
    </w:p>
    <w:p w14:paraId="1D87CEA6" w14:textId="589D3CDE" w:rsidR="004E0D73" w:rsidRPr="00EE5B55" w:rsidRDefault="004E0D73" w:rsidP="004E0D73">
      <w:pPr>
        <w:pStyle w:val="FigureandTableTitle"/>
      </w:pPr>
      <w:r w:rsidRPr="00A55593">
        <w:t>Fig</w:t>
      </w:r>
      <w:r w:rsidR="00C7675C">
        <w:t>.</w:t>
      </w:r>
      <w:r w:rsidRPr="00A55593">
        <w:t xml:space="preserve"> </w:t>
      </w:r>
      <w:r w:rsidR="00B710A8">
        <w:t>1.</w:t>
      </w:r>
      <w:r w:rsidR="00233EBD">
        <w:t>3</w:t>
      </w:r>
      <w:r w:rsidR="001458FD">
        <w:t xml:space="preserve"> </w:t>
      </w:r>
      <w:r>
        <w:t>Global Model Results</w:t>
      </w:r>
      <w:r w:rsidR="001458FD">
        <w:t xml:space="preserve"> for HCFC-141b</w:t>
      </w:r>
      <w:r>
        <w:t>: Total Reported Production</w:t>
      </w:r>
      <w:r w:rsidR="001458FD">
        <w:t xml:space="preserve"> and Estimated</w:t>
      </w:r>
      <w:r>
        <w:t xml:space="preserve"> Banks, Timing of Decommissioning, and Emissions</w:t>
      </w:r>
    </w:p>
    <w:tbl>
      <w:tblPr>
        <w:tblStyle w:val="TableGrid"/>
        <w:tblW w:w="10888" w:type="dxa"/>
        <w:tblInd w:w="-714" w:type="dxa"/>
        <w:tblLook w:val="04A0" w:firstRow="1" w:lastRow="0" w:firstColumn="1" w:lastColumn="0" w:noHBand="0" w:noVBand="1"/>
      </w:tblPr>
      <w:tblGrid>
        <w:gridCol w:w="5470"/>
        <w:gridCol w:w="5418"/>
      </w:tblGrid>
      <w:tr w:rsidR="004E0D73" w14:paraId="2AF29B9B" w14:textId="77777777" w:rsidTr="00821BBC">
        <w:tc>
          <w:tcPr>
            <w:tcW w:w="5470" w:type="dxa"/>
          </w:tcPr>
          <w:p w14:paraId="7E0F85B8" w14:textId="77777777" w:rsidR="004E0D73" w:rsidRDefault="004E0D73" w:rsidP="00992301">
            <w:r>
              <w:t>Global Consumption</w:t>
            </w:r>
          </w:p>
        </w:tc>
        <w:tc>
          <w:tcPr>
            <w:tcW w:w="5418" w:type="dxa"/>
          </w:tcPr>
          <w:p w14:paraId="3489F116" w14:textId="77777777" w:rsidR="004E0D73" w:rsidRDefault="004E0D73" w:rsidP="00992301">
            <w:pPr>
              <w:rPr>
                <w:noProof/>
              </w:rPr>
            </w:pPr>
            <w:r>
              <w:rPr>
                <w:noProof/>
              </w:rPr>
              <w:t>Global Emissions</w:t>
            </w:r>
          </w:p>
        </w:tc>
      </w:tr>
      <w:tr w:rsidR="004E0D73" w14:paraId="2BC702E7" w14:textId="77777777" w:rsidTr="00821BBC">
        <w:trPr>
          <w:trHeight w:val="1700"/>
        </w:trPr>
        <w:tc>
          <w:tcPr>
            <w:tcW w:w="5470" w:type="dxa"/>
          </w:tcPr>
          <w:p w14:paraId="38484F24" w14:textId="77777777" w:rsidR="004E0D73" w:rsidRDefault="004E0D73" w:rsidP="00992301">
            <w:r>
              <w:rPr>
                <w:noProof/>
              </w:rPr>
              <w:drawing>
                <wp:inline distT="0" distB="0" distL="0" distR="0" wp14:anchorId="31AD882E" wp14:editId="694E24E6">
                  <wp:extent cx="3307723" cy="2489494"/>
                  <wp:effectExtent l="0" t="0" r="698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1093" cy="2522136"/>
                          </a:xfrm>
                          <a:prstGeom prst="rect">
                            <a:avLst/>
                          </a:prstGeom>
                          <a:noFill/>
                        </pic:spPr>
                      </pic:pic>
                    </a:graphicData>
                  </a:graphic>
                </wp:inline>
              </w:drawing>
            </w:r>
          </w:p>
        </w:tc>
        <w:tc>
          <w:tcPr>
            <w:tcW w:w="5418" w:type="dxa"/>
          </w:tcPr>
          <w:p w14:paraId="4910FD02" w14:textId="77777777" w:rsidR="004E0D73" w:rsidRDefault="004E0D73" w:rsidP="00992301">
            <w:pPr>
              <w:rPr>
                <w:noProof/>
              </w:rPr>
            </w:pPr>
            <w:r>
              <w:rPr>
                <w:noProof/>
              </w:rPr>
              <w:drawing>
                <wp:inline distT="0" distB="0" distL="0" distR="0" wp14:anchorId="75EA83BD" wp14:editId="40CCD0FD">
                  <wp:extent cx="3281709" cy="2246359"/>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0384" cy="2286523"/>
                          </a:xfrm>
                          <a:prstGeom prst="rect">
                            <a:avLst/>
                          </a:prstGeom>
                          <a:noFill/>
                        </pic:spPr>
                      </pic:pic>
                    </a:graphicData>
                  </a:graphic>
                </wp:inline>
              </w:drawing>
            </w:r>
          </w:p>
        </w:tc>
      </w:tr>
      <w:tr w:rsidR="004E0D73" w14:paraId="285BDF2B" w14:textId="77777777" w:rsidTr="00821BBC">
        <w:trPr>
          <w:trHeight w:val="494"/>
        </w:trPr>
        <w:tc>
          <w:tcPr>
            <w:tcW w:w="5470" w:type="dxa"/>
          </w:tcPr>
          <w:p w14:paraId="0CC73535" w14:textId="77777777" w:rsidR="004E0D73" w:rsidRDefault="004E0D73" w:rsidP="00992301">
            <w:pPr>
              <w:rPr>
                <w:noProof/>
              </w:rPr>
            </w:pPr>
            <w:r>
              <w:rPr>
                <w:noProof/>
              </w:rPr>
              <w:t>Global Banks and Normalized Consumption</w:t>
            </w:r>
          </w:p>
        </w:tc>
        <w:tc>
          <w:tcPr>
            <w:tcW w:w="5418" w:type="dxa"/>
          </w:tcPr>
          <w:p w14:paraId="5150EB33" w14:textId="77777777" w:rsidR="004E0D73" w:rsidRDefault="004E0D73" w:rsidP="00992301">
            <w:pPr>
              <w:rPr>
                <w:noProof/>
              </w:rPr>
            </w:pPr>
            <w:r>
              <w:rPr>
                <w:noProof/>
              </w:rPr>
              <w:t>Decommissioning of foams</w:t>
            </w:r>
          </w:p>
        </w:tc>
      </w:tr>
      <w:tr w:rsidR="004E0D73" w14:paraId="53390B4C" w14:textId="77777777" w:rsidTr="00821BBC">
        <w:trPr>
          <w:trHeight w:val="3863"/>
        </w:trPr>
        <w:tc>
          <w:tcPr>
            <w:tcW w:w="5470" w:type="dxa"/>
          </w:tcPr>
          <w:p w14:paraId="678D2DB7" w14:textId="77777777" w:rsidR="004E0D73" w:rsidRDefault="004E0D73" w:rsidP="00992301">
            <w:r>
              <w:rPr>
                <w:noProof/>
              </w:rPr>
              <w:drawing>
                <wp:inline distT="0" distB="0" distL="0" distR="0" wp14:anchorId="0C7A3FF9" wp14:editId="48F4E090">
                  <wp:extent cx="3336381" cy="1934511"/>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98084" cy="1970288"/>
                          </a:xfrm>
                          <a:prstGeom prst="rect">
                            <a:avLst/>
                          </a:prstGeom>
                          <a:noFill/>
                        </pic:spPr>
                      </pic:pic>
                    </a:graphicData>
                  </a:graphic>
                </wp:inline>
              </w:drawing>
            </w:r>
          </w:p>
          <w:p w14:paraId="2E1FAF0E" w14:textId="77777777" w:rsidR="004E0D73" w:rsidRDefault="004E0D73" w:rsidP="00992301">
            <w:pPr>
              <w:rPr>
                <w:noProof/>
              </w:rPr>
            </w:pPr>
          </w:p>
        </w:tc>
        <w:tc>
          <w:tcPr>
            <w:tcW w:w="5418" w:type="dxa"/>
          </w:tcPr>
          <w:p w14:paraId="108B834E" w14:textId="77777777" w:rsidR="004E0D73" w:rsidRDefault="004E0D73" w:rsidP="00992301">
            <w:pPr>
              <w:rPr>
                <w:noProof/>
              </w:rPr>
            </w:pPr>
            <w:r>
              <w:rPr>
                <w:noProof/>
              </w:rPr>
              <w:drawing>
                <wp:inline distT="0" distB="0" distL="0" distR="0" wp14:anchorId="7557DB7C" wp14:editId="468C28D2">
                  <wp:extent cx="3303469" cy="25219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3518" cy="2567767"/>
                          </a:xfrm>
                          <a:prstGeom prst="rect">
                            <a:avLst/>
                          </a:prstGeom>
                          <a:noFill/>
                        </pic:spPr>
                      </pic:pic>
                    </a:graphicData>
                  </a:graphic>
                </wp:inline>
              </w:drawing>
            </w:r>
          </w:p>
        </w:tc>
      </w:tr>
    </w:tbl>
    <w:p w14:paraId="10EC1FD1" w14:textId="77777777" w:rsidR="00233EBD" w:rsidRDefault="00233EBD" w:rsidP="004E0D73">
      <w:pPr>
        <w:rPr>
          <w:b/>
          <w:bCs/>
        </w:rPr>
      </w:pPr>
      <w:bookmarkStart w:id="144" w:name="_Hlk103458435"/>
    </w:p>
    <w:p w14:paraId="4E7332C8" w14:textId="687A3CC2" w:rsidR="004E0D73" w:rsidRPr="00A10352" w:rsidRDefault="00B710A8" w:rsidP="00821BBC">
      <w:pPr>
        <w:pStyle w:val="Heading2"/>
        <w:rPr>
          <w:rStyle w:val="Heading311ptBoldChar"/>
        </w:rPr>
      </w:pPr>
      <w:bookmarkStart w:id="145" w:name="_Toc104396652"/>
      <w:r w:rsidRPr="00A10352">
        <w:rPr>
          <w:rStyle w:val="Heading311ptBoldChar"/>
          <w:b/>
        </w:rPr>
        <w:t>1.2.5</w:t>
      </w:r>
      <w:r w:rsidRPr="00A10352">
        <w:rPr>
          <w:rStyle w:val="Heading311ptBoldChar"/>
          <w:b/>
        </w:rPr>
        <w:tab/>
      </w:r>
      <w:r w:rsidR="004E0D73" w:rsidRPr="00A10352">
        <w:rPr>
          <w:rStyle w:val="Heading311ptBoldChar"/>
          <w:b/>
        </w:rPr>
        <w:t xml:space="preserve">Consumption, Banks, and </w:t>
      </w:r>
      <w:r w:rsidR="001458FD" w:rsidRPr="00A10352">
        <w:rPr>
          <w:rStyle w:val="Heading311ptBoldChar"/>
          <w:b/>
        </w:rPr>
        <w:t xml:space="preserve">Estimated </w:t>
      </w:r>
      <w:r w:rsidR="004E0D73" w:rsidRPr="00A10352">
        <w:rPr>
          <w:rStyle w:val="Heading311ptBoldChar"/>
          <w:b/>
        </w:rPr>
        <w:t>Emissions</w:t>
      </w:r>
      <w:r w:rsidR="001458FD" w:rsidRPr="00A10352">
        <w:rPr>
          <w:rStyle w:val="Heading311ptBoldChar"/>
          <w:b/>
        </w:rPr>
        <w:t xml:space="preserve"> and Banks of HCFC-141b</w:t>
      </w:r>
      <w:bookmarkEnd w:id="145"/>
      <w:r w:rsidR="004E0D73" w:rsidRPr="00A10352">
        <w:rPr>
          <w:rStyle w:val="Heading311ptBoldChar"/>
          <w:b/>
        </w:rPr>
        <w:t xml:space="preserve"> </w:t>
      </w:r>
    </w:p>
    <w:bookmarkEnd w:id="144"/>
    <w:p w14:paraId="34700A22" w14:textId="727862DF" w:rsidR="004E0D73" w:rsidRDefault="004E0D73" w:rsidP="004E0D73">
      <w:r>
        <w:t>Peak reported production and consumption of HCFC-141b in non-A5 parties occurred by 2000 and was largely used in domestic refrigeration foams. The</w:t>
      </w:r>
      <w:r w:rsidR="001458FD">
        <w:t xml:space="preserve"> current</w:t>
      </w:r>
      <w:r>
        <w:t xml:space="preserve"> inactive bank of HCFC-141b is believed to have been used largely </w:t>
      </w:r>
      <w:r w:rsidR="001458FD">
        <w:t>from</w:t>
      </w:r>
      <w:r>
        <w:t xml:space="preserve"> foams in refrigerators</w:t>
      </w:r>
      <w:r w:rsidR="001458FD">
        <w:t>.</w:t>
      </w:r>
      <w:r>
        <w:t xml:space="preserve"> </w:t>
      </w:r>
      <w:r w:rsidR="001458FD">
        <w:t>T</w:t>
      </w:r>
      <w:r>
        <w:t>he active bank of foams manufactured in non-A5 parties</w:t>
      </w:r>
      <w:r w:rsidR="001458FD">
        <w:t xml:space="preserve"> is also largely in refrigerants</w:t>
      </w:r>
      <w:r>
        <w:t xml:space="preserve">. </w:t>
      </w:r>
    </w:p>
    <w:p w14:paraId="49418E45" w14:textId="3C151A67" w:rsidR="004E0D73" w:rsidRDefault="001458FD" w:rsidP="004E0D73">
      <w:r>
        <w:lastRenderedPageBreak/>
        <w:t>Peak reported production and consumption of HCFC-141b in A5 parties occurred by 2012 and was largely used in domestic refrigeration foams until 2015, when mandated bans in the use of HCFC-141b in domestic refrigeration occurred in much of the world. The inactive bank of HCFC-141b is believed to have been largely from foams in refrigerators. The active bank of foams manufactured in A5 parties</w:t>
      </w:r>
      <w:r w:rsidRPr="000477A1">
        <w:t xml:space="preserve"> </w:t>
      </w:r>
      <w:r>
        <w:t>is also largely in refrigerators. The peak of the active bank in A5 parties is estimated to have occurred between 2015 and 2020, with continued decommissioning of appliances and buildings that contain HCFC-141b being greater than new HCFC-141b usage to create new foams.</w:t>
      </w:r>
    </w:p>
    <w:p w14:paraId="72FBD7B0" w14:textId="224B5BD2" w:rsidR="004E0D73" w:rsidRDefault="004E0D73" w:rsidP="004E0D73">
      <w:r>
        <w:t>Regional variations in emissions and decommissioning as well as other details regarding the modelling process</w:t>
      </w:r>
      <w:r w:rsidRPr="00B330DF">
        <w:t xml:space="preserve"> </w:t>
      </w:r>
      <w:r>
        <w:t xml:space="preserve">will be included in the TEAP </w:t>
      </w:r>
      <w:r w:rsidR="00B710A8">
        <w:t xml:space="preserve">2022 </w:t>
      </w:r>
      <w:r>
        <w:t>Assessment Report</w:t>
      </w:r>
      <w:r w:rsidR="00F86EDC">
        <w:t>.</w:t>
      </w:r>
    </w:p>
    <w:p w14:paraId="01DBDEF9" w14:textId="3479D431" w:rsidR="00D00FB8" w:rsidRPr="00F86EDC" w:rsidRDefault="00F86EDC" w:rsidP="005C5E68">
      <w:pPr>
        <w:pStyle w:val="Heading2"/>
        <w:rPr>
          <w:rStyle w:val="Heading2Char"/>
          <w:b/>
        </w:rPr>
      </w:pPr>
      <w:bookmarkStart w:id="146" w:name="_Toc104396653"/>
      <w:r>
        <w:rPr>
          <w:rStyle w:val="Heading2Char"/>
          <w:b/>
        </w:rPr>
        <w:t>1</w:t>
      </w:r>
      <w:r w:rsidRPr="000C2EA5">
        <w:rPr>
          <w:rStyle w:val="Heading2Char"/>
          <w:b/>
        </w:rPr>
        <w:t>.</w:t>
      </w:r>
      <w:r>
        <w:rPr>
          <w:rStyle w:val="Heading2Char"/>
          <w:b/>
        </w:rPr>
        <w:t>3</w:t>
      </w:r>
      <w:r w:rsidRPr="000C2EA5">
        <w:rPr>
          <w:rStyle w:val="Heading2Char"/>
          <w:b/>
        </w:rPr>
        <w:tab/>
      </w:r>
      <w:r w:rsidR="00D00FB8" w:rsidRPr="00F86EDC">
        <w:rPr>
          <w:rStyle w:val="Heading2Char"/>
          <w:b/>
        </w:rPr>
        <w:t>Response to Decision XXVIII/2: Decision related to the amendment phasing down HFCs</w:t>
      </w:r>
      <w:bookmarkEnd w:id="146"/>
    </w:p>
    <w:p w14:paraId="498EF36B" w14:textId="71EA9898" w:rsidR="00D00FB8" w:rsidRPr="00D00FB8" w:rsidRDefault="00D00FB8" w:rsidP="00D00FB8">
      <w:r w:rsidRPr="00D00FB8">
        <w:t>At their Twenty-eighth Meeting in October 2016 in Kigali, Rwanda, parties agreed on Decision XXVIII/2 and the Kigali Amendment to phase down HFCs. Paragraph 4 of that decision requested the TEAP “to conduct periodic reviews of alternatives, using the criteria set out in paragraph 1 (a) of decision XXVI/9, in 2022 and every five years thereafter, and to provide technological and economic assessments of the latest available and emerging alternatives to hydrofluorocarbons.”</w:t>
      </w:r>
    </w:p>
    <w:p w14:paraId="5593DFC3" w14:textId="2E86194F" w:rsidR="00D00FB8" w:rsidRPr="00D00FB8" w:rsidRDefault="00D00FB8" w:rsidP="00D00FB8">
      <w:r w:rsidRPr="00D00FB8">
        <w:t>The criteria referenced in paragraph 1(a) of Decision XXVI/9, “Response to the report of the Technology and Economic Assessment Panel on information on alternatives to ozone-depleting substances,” is as follows (emphasis added):</w:t>
      </w:r>
    </w:p>
    <w:p w14:paraId="24FC274A" w14:textId="77777777" w:rsidR="00D00FB8" w:rsidRPr="005C22B4" w:rsidRDefault="00D00FB8" w:rsidP="00D00FB8">
      <w:pPr>
        <w:pStyle w:val="ListParagraph"/>
        <w:ind w:left="1440" w:firstLineChars="0" w:firstLine="0"/>
        <w:rPr>
          <w:rFonts w:ascii="Times New Roman" w:hAnsi="Times New Roman"/>
          <w:i/>
          <w:iCs/>
        </w:rPr>
      </w:pPr>
      <w:r w:rsidRPr="005C22B4">
        <w:rPr>
          <w:rFonts w:ascii="Times New Roman" w:hAnsi="Times New Roman"/>
          <w:i/>
          <w:iCs/>
        </w:rPr>
        <w:t>Noting with appreciation volume 2 of the 2012 Technology and Economic Assessment Panel report on the task force progress report which responded to decision XXIII/9, volume 2 of the 2013 progress report of the Technology and Economic Assessment Panel which responded to decision XXIV/7 and volume 4 of the 2014 progress report which responded to decision XXV/5,</w:t>
      </w:r>
    </w:p>
    <w:p w14:paraId="787C077D" w14:textId="77777777" w:rsidR="00D00FB8" w:rsidRPr="005C22B4" w:rsidRDefault="00D00FB8" w:rsidP="00D00FB8">
      <w:pPr>
        <w:pStyle w:val="ListParagraph"/>
        <w:ind w:left="1440"/>
        <w:rPr>
          <w:rFonts w:ascii="Times New Roman" w:hAnsi="Times New Roman"/>
          <w:i/>
          <w:iCs/>
        </w:rPr>
      </w:pPr>
    </w:p>
    <w:p w14:paraId="49383CCC" w14:textId="77777777" w:rsidR="00D00FB8" w:rsidRPr="00407F1C" w:rsidRDefault="00D00FB8" w:rsidP="00107383">
      <w:pPr>
        <w:pStyle w:val="ListParagraph"/>
        <w:widowControl/>
        <w:numPr>
          <w:ilvl w:val="0"/>
          <w:numId w:val="70"/>
        </w:numPr>
        <w:tabs>
          <w:tab w:val="clear" w:pos="2520"/>
          <w:tab w:val="num" w:pos="1800"/>
        </w:tabs>
        <w:spacing w:after="160" w:line="259" w:lineRule="auto"/>
        <w:ind w:left="1800" w:firstLineChars="0"/>
        <w:contextualSpacing/>
        <w:jc w:val="left"/>
        <w:rPr>
          <w:rFonts w:ascii="Times New Roman" w:hAnsi="Times New Roman"/>
          <w:i/>
          <w:iCs/>
        </w:rPr>
      </w:pPr>
      <w:r w:rsidRPr="00407F1C">
        <w:rPr>
          <w:rFonts w:ascii="Times New Roman" w:hAnsi="Times New Roman"/>
          <w:i/>
          <w:iCs/>
        </w:rPr>
        <w:t>To request the Technology and Economic Assessment Panel, if necessary in consultation with external experts, to prepare a report identifying the full range of alternatives, including not-in-kind technologies, and identifying applications where alternatives fulfilling the criteria identified in paragraph 1 (a) of the present decision are not available, and to make that report available for consideration by the Open-ended Working Group at its thirty-sixth meeting and an updated report to be submitted to the Twenty-Seventh Meeting of the Parties that would:</w:t>
      </w:r>
    </w:p>
    <w:p w14:paraId="0D8137A7" w14:textId="77777777" w:rsidR="00D00FB8" w:rsidRPr="00B710A8" w:rsidRDefault="00D00FB8" w:rsidP="00107383">
      <w:pPr>
        <w:pStyle w:val="ListParagraph"/>
        <w:widowControl/>
        <w:numPr>
          <w:ilvl w:val="1"/>
          <w:numId w:val="70"/>
        </w:numPr>
        <w:tabs>
          <w:tab w:val="clear" w:pos="3240"/>
          <w:tab w:val="num" w:pos="2520"/>
        </w:tabs>
        <w:spacing w:after="160" w:line="259" w:lineRule="auto"/>
        <w:ind w:left="2520" w:firstLineChars="0"/>
        <w:contextualSpacing/>
        <w:jc w:val="left"/>
        <w:rPr>
          <w:rFonts w:ascii="Times New Roman" w:hAnsi="Times New Roman"/>
          <w:b/>
          <w:bCs/>
          <w:i/>
          <w:iCs/>
        </w:rPr>
      </w:pPr>
      <w:r w:rsidRPr="00B710A8">
        <w:rPr>
          <w:rFonts w:ascii="Times New Roman" w:hAnsi="Times New Roman"/>
          <w:b/>
          <w:bCs/>
          <w:i/>
          <w:iCs/>
        </w:rPr>
        <w:t>Update information on alternatives to ozone-depleting substances in various sectors and subsectors and differentiating between parties operating under paragraph 1 of Article 5 and parties not so operating, considering energy efficiency, regional differences and high ambient temperature conditions in particular, and assessing whether they are:</w:t>
      </w:r>
    </w:p>
    <w:p w14:paraId="3140B778" w14:textId="77777777" w:rsidR="00D00FB8" w:rsidRPr="00B710A8" w:rsidRDefault="00D00FB8" w:rsidP="00107383">
      <w:pPr>
        <w:pStyle w:val="ListParagraph"/>
        <w:widowControl/>
        <w:numPr>
          <w:ilvl w:val="2"/>
          <w:numId w:val="70"/>
        </w:numPr>
        <w:tabs>
          <w:tab w:val="clear" w:pos="3960"/>
          <w:tab w:val="num" w:pos="3240"/>
        </w:tabs>
        <w:spacing w:after="160" w:line="259" w:lineRule="auto"/>
        <w:ind w:left="3240" w:firstLineChars="0"/>
        <w:contextualSpacing/>
        <w:jc w:val="left"/>
        <w:rPr>
          <w:rFonts w:ascii="Times New Roman" w:hAnsi="Times New Roman"/>
          <w:b/>
          <w:bCs/>
          <w:i/>
          <w:iCs/>
        </w:rPr>
      </w:pPr>
      <w:r w:rsidRPr="00B710A8">
        <w:rPr>
          <w:rFonts w:ascii="Times New Roman" w:hAnsi="Times New Roman"/>
          <w:b/>
          <w:bCs/>
          <w:i/>
          <w:iCs/>
        </w:rPr>
        <w:t>Commercially available;</w:t>
      </w:r>
    </w:p>
    <w:p w14:paraId="1ACB3A1B" w14:textId="77777777" w:rsidR="00D00FB8" w:rsidRPr="00B710A8" w:rsidRDefault="00D00FB8" w:rsidP="00107383">
      <w:pPr>
        <w:pStyle w:val="ListParagraph"/>
        <w:widowControl/>
        <w:numPr>
          <w:ilvl w:val="2"/>
          <w:numId w:val="70"/>
        </w:numPr>
        <w:tabs>
          <w:tab w:val="clear" w:pos="3960"/>
          <w:tab w:val="num" w:pos="3240"/>
        </w:tabs>
        <w:spacing w:after="160" w:line="259" w:lineRule="auto"/>
        <w:ind w:left="3240" w:firstLineChars="0"/>
        <w:contextualSpacing/>
        <w:jc w:val="left"/>
        <w:rPr>
          <w:rFonts w:ascii="Times New Roman" w:hAnsi="Times New Roman"/>
          <w:b/>
          <w:bCs/>
          <w:i/>
          <w:iCs/>
        </w:rPr>
      </w:pPr>
      <w:r w:rsidRPr="00B710A8">
        <w:rPr>
          <w:rFonts w:ascii="Times New Roman" w:hAnsi="Times New Roman"/>
          <w:b/>
          <w:bCs/>
          <w:i/>
          <w:iCs/>
        </w:rPr>
        <w:t>Technically proven;</w:t>
      </w:r>
    </w:p>
    <w:p w14:paraId="0180EA8A" w14:textId="77777777" w:rsidR="00D00FB8" w:rsidRPr="00B710A8" w:rsidRDefault="00D00FB8" w:rsidP="00107383">
      <w:pPr>
        <w:pStyle w:val="ListParagraph"/>
        <w:widowControl/>
        <w:numPr>
          <w:ilvl w:val="2"/>
          <w:numId w:val="70"/>
        </w:numPr>
        <w:tabs>
          <w:tab w:val="clear" w:pos="3960"/>
          <w:tab w:val="num" w:pos="3240"/>
        </w:tabs>
        <w:spacing w:after="160" w:line="259" w:lineRule="auto"/>
        <w:ind w:left="3240" w:firstLineChars="0"/>
        <w:contextualSpacing/>
        <w:jc w:val="left"/>
        <w:rPr>
          <w:rFonts w:ascii="Times New Roman" w:hAnsi="Times New Roman"/>
          <w:b/>
          <w:bCs/>
          <w:i/>
          <w:iCs/>
        </w:rPr>
      </w:pPr>
      <w:r w:rsidRPr="00B710A8">
        <w:rPr>
          <w:rFonts w:ascii="Times New Roman" w:hAnsi="Times New Roman"/>
          <w:b/>
          <w:bCs/>
          <w:i/>
          <w:iCs/>
        </w:rPr>
        <w:t>Environmentally sound;</w:t>
      </w:r>
    </w:p>
    <w:p w14:paraId="49B2639C" w14:textId="77777777" w:rsidR="00D00FB8" w:rsidRPr="00B710A8" w:rsidRDefault="00D00FB8" w:rsidP="00107383">
      <w:pPr>
        <w:pStyle w:val="ListParagraph"/>
        <w:widowControl/>
        <w:numPr>
          <w:ilvl w:val="2"/>
          <w:numId w:val="70"/>
        </w:numPr>
        <w:tabs>
          <w:tab w:val="clear" w:pos="3960"/>
          <w:tab w:val="num" w:pos="3240"/>
        </w:tabs>
        <w:spacing w:after="160" w:line="259" w:lineRule="auto"/>
        <w:ind w:left="3240" w:firstLineChars="0"/>
        <w:contextualSpacing/>
        <w:jc w:val="left"/>
        <w:rPr>
          <w:rFonts w:ascii="Times New Roman" w:hAnsi="Times New Roman"/>
          <w:b/>
          <w:bCs/>
          <w:i/>
          <w:iCs/>
        </w:rPr>
      </w:pPr>
      <w:r w:rsidRPr="00B710A8">
        <w:rPr>
          <w:rFonts w:ascii="Times New Roman" w:hAnsi="Times New Roman"/>
          <w:b/>
          <w:bCs/>
          <w:i/>
          <w:iCs/>
        </w:rPr>
        <w:t>Economically viable and cost effective;</w:t>
      </w:r>
    </w:p>
    <w:p w14:paraId="5BA42958" w14:textId="77777777" w:rsidR="00D00FB8" w:rsidRPr="00B710A8" w:rsidRDefault="00D00FB8" w:rsidP="00107383">
      <w:pPr>
        <w:pStyle w:val="ListParagraph"/>
        <w:widowControl/>
        <w:numPr>
          <w:ilvl w:val="2"/>
          <w:numId w:val="70"/>
        </w:numPr>
        <w:tabs>
          <w:tab w:val="clear" w:pos="3960"/>
          <w:tab w:val="num" w:pos="3240"/>
        </w:tabs>
        <w:spacing w:after="160" w:line="259" w:lineRule="auto"/>
        <w:ind w:left="3240" w:firstLineChars="0"/>
        <w:contextualSpacing/>
        <w:jc w:val="left"/>
        <w:rPr>
          <w:rFonts w:ascii="Times New Roman" w:hAnsi="Times New Roman"/>
          <w:b/>
          <w:bCs/>
          <w:i/>
          <w:iCs/>
        </w:rPr>
      </w:pPr>
      <w:r w:rsidRPr="00B710A8">
        <w:rPr>
          <w:rFonts w:ascii="Times New Roman" w:hAnsi="Times New Roman"/>
          <w:b/>
          <w:bCs/>
          <w:i/>
          <w:iCs/>
        </w:rPr>
        <w:t>Safe to use in areas with high urban densities considering flammability and toxicity issues, including, where possible, risk characterization;</w:t>
      </w:r>
    </w:p>
    <w:p w14:paraId="43D2F9D3" w14:textId="77777777" w:rsidR="00D00FB8" w:rsidRPr="00B710A8" w:rsidRDefault="00D00FB8" w:rsidP="00107383">
      <w:pPr>
        <w:pStyle w:val="ListParagraph"/>
        <w:widowControl/>
        <w:numPr>
          <w:ilvl w:val="2"/>
          <w:numId w:val="70"/>
        </w:numPr>
        <w:tabs>
          <w:tab w:val="clear" w:pos="3960"/>
          <w:tab w:val="num" w:pos="3240"/>
        </w:tabs>
        <w:spacing w:after="160" w:line="259" w:lineRule="auto"/>
        <w:ind w:left="3240" w:firstLineChars="0"/>
        <w:contextualSpacing/>
        <w:jc w:val="left"/>
        <w:rPr>
          <w:rFonts w:ascii="Times New Roman" w:hAnsi="Times New Roman"/>
          <w:b/>
          <w:bCs/>
          <w:i/>
          <w:iCs/>
        </w:rPr>
      </w:pPr>
      <w:r w:rsidRPr="00B710A8">
        <w:rPr>
          <w:rFonts w:ascii="Times New Roman" w:hAnsi="Times New Roman"/>
          <w:b/>
          <w:bCs/>
          <w:i/>
          <w:iCs/>
        </w:rPr>
        <w:t>Easy to service and maintain;</w:t>
      </w:r>
    </w:p>
    <w:p w14:paraId="0FC6D9DD" w14:textId="77777777" w:rsidR="00D00FB8" w:rsidRPr="00B710A8" w:rsidRDefault="00D00FB8" w:rsidP="00D00FB8">
      <w:pPr>
        <w:ind w:left="2880"/>
        <w:rPr>
          <w:b/>
          <w:bCs/>
          <w:i/>
          <w:iCs/>
        </w:rPr>
      </w:pPr>
      <w:r w:rsidRPr="00B710A8">
        <w:rPr>
          <w:b/>
          <w:bCs/>
          <w:i/>
          <w:iCs/>
        </w:rPr>
        <w:t>and describe the potential limitations of their use and their implications for the different sectors, in terms of, but not limited to, servicing and maintenance requirements, and international design and safety standards;</w:t>
      </w:r>
    </w:p>
    <w:p w14:paraId="016D79E4" w14:textId="77777777" w:rsidR="00D00FB8" w:rsidRDefault="00D00FB8" w:rsidP="00D00FB8">
      <w:r>
        <w:lastRenderedPageBreak/>
        <w:t xml:space="preserve">Decision </w:t>
      </w:r>
      <w:r w:rsidRPr="00566A7C">
        <w:t xml:space="preserve">XXVIII/2 </w:t>
      </w:r>
      <w:r>
        <w:t>requests TEAP to conduct periodic reviews of alternatives to HFCs in 2022 and every five years thereafter. The first requested periodic review in 2022 aligns with the preparation of TEAP’s and its TOCs quadrennial assessment reports under Decision XXXI/2, and those reports are planned to be completed at the end of 2022.</w:t>
      </w:r>
    </w:p>
    <w:p w14:paraId="5FE9E12A" w14:textId="77777777" w:rsidR="00D00FB8" w:rsidRDefault="00D00FB8" w:rsidP="00D00FB8">
      <w:r>
        <w:t>Paragraph 6 of Decision XXXI/2 provides the terms of reference for the TEAP quadrennial assessment reports as follows (emphasis added):</w:t>
      </w:r>
    </w:p>
    <w:p w14:paraId="2A6FF116" w14:textId="595006BE" w:rsidR="00D00FB8" w:rsidRPr="005C22B4" w:rsidRDefault="00D00FB8" w:rsidP="00D00FB8">
      <w:pPr>
        <w:ind w:left="720"/>
        <w:rPr>
          <w:i/>
          <w:iCs/>
        </w:rPr>
      </w:pPr>
      <w:r>
        <w:t xml:space="preserve">6. </w:t>
      </w:r>
      <w:r w:rsidRPr="005C22B4">
        <w:rPr>
          <w:i/>
          <w:iCs/>
        </w:rPr>
        <w:t>That, in its 2022 report, the [TEAP] should include an assessment and evaluation of the following topics:</w:t>
      </w:r>
      <w:r w:rsidR="005617DE">
        <w:rPr>
          <w:i/>
          <w:iCs/>
        </w:rPr>
        <w:t xml:space="preserve"> </w:t>
      </w:r>
    </w:p>
    <w:p w14:paraId="23809C5B" w14:textId="77777777" w:rsidR="00D00FB8" w:rsidRPr="005C22B4" w:rsidRDefault="00D00FB8" w:rsidP="00107383">
      <w:pPr>
        <w:numPr>
          <w:ilvl w:val="0"/>
          <w:numId w:val="71"/>
        </w:numPr>
        <w:tabs>
          <w:tab w:val="clear" w:pos="720"/>
          <w:tab w:val="num" w:pos="1080"/>
        </w:tabs>
        <w:spacing w:after="160" w:line="259" w:lineRule="auto"/>
        <w:ind w:left="1080"/>
        <w:rPr>
          <w:i/>
          <w:iCs/>
        </w:rPr>
      </w:pPr>
      <w:r w:rsidRPr="005C22B4">
        <w:rPr>
          <w:i/>
          <w:iCs/>
        </w:rPr>
        <w:t>Technical progress in the production and consumption sectors in the transition to technically and economically feasible and sustainable alternatives and practices that minimize or eliminate the use of controlled substances in all sectors;</w:t>
      </w:r>
    </w:p>
    <w:p w14:paraId="17FB0DDA" w14:textId="5709837A" w:rsidR="00D00FB8" w:rsidRPr="005C22B4" w:rsidRDefault="00D00FB8" w:rsidP="00107383">
      <w:pPr>
        <w:numPr>
          <w:ilvl w:val="0"/>
          <w:numId w:val="71"/>
        </w:numPr>
        <w:tabs>
          <w:tab w:val="clear" w:pos="720"/>
          <w:tab w:val="num" w:pos="1080"/>
        </w:tabs>
        <w:spacing w:after="160" w:line="259" w:lineRule="auto"/>
        <w:ind w:left="1080"/>
        <w:rPr>
          <w:i/>
          <w:iCs/>
        </w:rPr>
      </w:pPr>
      <w:r w:rsidRPr="005C22B4">
        <w:rPr>
          <w:i/>
          <w:iCs/>
        </w:rPr>
        <w:t>The status of banks and stocks of controlled substances and the options available for managing them so as to avoid emissions to the atmosphere;</w:t>
      </w:r>
      <w:r w:rsidR="005617DE">
        <w:rPr>
          <w:i/>
          <w:iCs/>
        </w:rPr>
        <w:t xml:space="preserve"> </w:t>
      </w:r>
    </w:p>
    <w:p w14:paraId="154F1FEB" w14:textId="75B877BB" w:rsidR="00D00FB8" w:rsidRPr="005C22B4" w:rsidRDefault="00D00FB8" w:rsidP="00107383">
      <w:pPr>
        <w:numPr>
          <w:ilvl w:val="0"/>
          <w:numId w:val="71"/>
        </w:numPr>
        <w:tabs>
          <w:tab w:val="clear" w:pos="720"/>
          <w:tab w:val="num" w:pos="1080"/>
        </w:tabs>
        <w:spacing w:after="160" w:line="259" w:lineRule="auto"/>
        <w:ind w:left="1080"/>
        <w:rPr>
          <w:i/>
          <w:iCs/>
        </w:rPr>
      </w:pPr>
      <w:r w:rsidRPr="005C22B4">
        <w:rPr>
          <w:i/>
          <w:iCs/>
        </w:rPr>
        <w:t>Challenges facing all parties to the Montreal Protocol in implementing Montreal Protocol obligations and maintaining the phase-outs already achieved, especially those on substitutes and substitution technologies, including challenges for parties related to feedstock uses and by</w:t>
      </w:r>
      <w:r w:rsidRPr="005C22B4">
        <w:rPr>
          <w:i/>
          <w:iCs/>
        </w:rPr>
        <w:noBreakHyphen/>
        <w:t>production to prevent emissions, and potential technically and economically feasible options to face those challenges;</w:t>
      </w:r>
      <w:r w:rsidR="005617DE">
        <w:rPr>
          <w:i/>
          <w:iCs/>
        </w:rPr>
        <w:t xml:space="preserve"> </w:t>
      </w:r>
    </w:p>
    <w:p w14:paraId="178824EF" w14:textId="73AAEEC5" w:rsidR="00D00FB8" w:rsidRPr="005C22B4" w:rsidRDefault="00D00FB8" w:rsidP="00107383">
      <w:pPr>
        <w:numPr>
          <w:ilvl w:val="0"/>
          <w:numId w:val="71"/>
        </w:numPr>
        <w:tabs>
          <w:tab w:val="clear" w:pos="720"/>
          <w:tab w:val="num" w:pos="1080"/>
        </w:tabs>
        <w:spacing w:after="160" w:line="259" w:lineRule="auto"/>
        <w:ind w:left="1080"/>
        <w:rPr>
          <w:i/>
          <w:iCs/>
        </w:rPr>
      </w:pPr>
      <w:r w:rsidRPr="005C22B4">
        <w:rPr>
          <w:i/>
          <w:iCs/>
        </w:rPr>
        <w:t>The impact of the phase-out of controlled ozone-depleting substances and the phase</w:t>
      </w:r>
      <w:r w:rsidRPr="005C22B4">
        <w:rPr>
          <w:i/>
          <w:iCs/>
        </w:rPr>
        <w:noBreakHyphen/>
        <w:t>down of HFCs on sustainable development;</w:t>
      </w:r>
      <w:r w:rsidR="005617DE">
        <w:rPr>
          <w:i/>
          <w:iCs/>
        </w:rPr>
        <w:t xml:space="preserve"> </w:t>
      </w:r>
    </w:p>
    <w:p w14:paraId="5CFD9EE4" w14:textId="77777777" w:rsidR="00D00FB8" w:rsidRPr="00B710A8" w:rsidRDefault="00D00FB8" w:rsidP="00107383">
      <w:pPr>
        <w:numPr>
          <w:ilvl w:val="0"/>
          <w:numId w:val="71"/>
        </w:numPr>
        <w:tabs>
          <w:tab w:val="clear" w:pos="720"/>
          <w:tab w:val="num" w:pos="1080"/>
        </w:tabs>
        <w:spacing w:after="160" w:line="259" w:lineRule="auto"/>
        <w:ind w:left="1080"/>
        <w:rPr>
          <w:b/>
          <w:bCs/>
          <w:i/>
          <w:iCs/>
        </w:rPr>
      </w:pPr>
      <w:r w:rsidRPr="00B710A8">
        <w:rPr>
          <w:b/>
          <w:bCs/>
          <w:i/>
          <w:iCs/>
        </w:rPr>
        <w:t>Technical advancements in developing alternatives to HFCs suitable for usage in countries with high ambient temperatures, particularly with regard to energy efficiency and safety.</w:t>
      </w:r>
    </w:p>
    <w:p w14:paraId="08C58844" w14:textId="77777777" w:rsidR="00D00FB8" w:rsidRDefault="00D00FB8" w:rsidP="00D00FB8">
      <w:r>
        <w:t>Given that the requests to review alternatives to HFCs overlaps in 2022 with the two decisions, TEAP is planning to convene a TEAP Decision XXVIII/2 Working Group with each TOC represented. The Working Group will prepare a report responding to this decision for submission to the Thirty-fourth Meeting of the Parties, 31 October to 4 November 2022. This report will draw from the information in the TOCs assessment reports which will be submitted by the end of 2022.</w:t>
      </w:r>
    </w:p>
    <w:p w14:paraId="1D0960B6" w14:textId="44717CE7" w:rsidR="00D00FB8" w:rsidRDefault="00D00FB8" w:rsidP="00D00FB8">
      <w:r>
        <w:t>TEAP notes that the Decision XXVIII/2 subsequent requests for periodic reviews of HFC alternatives every five years after 2022 no longer coincides with the quadrennial assessments of the TEAP. To manage its workload and minimize duplicative efforts, TEAP requests that parties may wish to consider aligning future periodic reviews as requested in Decision XXVIII/2 with the already planned TEAP and TOCs quadrennial assessment reports.</w:t>
      </w:r>
    </w:p>
    <w:p w14:paraId="5C80196E" w14:textId="3E3AF0CC" w:rsidR="007F7C84" w:rsidRPr="003779B3" w:rsidRDefault="00517FCE" w:rsidP="005C5E68">
      <w:pPr>
        <w:pStyle w:val="Heading2"/>
        <w:rPr>
          <w:rStyle w:val="Heading2Char"/>
          <w:b/>
        </w:rPr>
      </w:pPr>
      <w:bookmarkStart w:id="147" w:name="_Toc79066505"/>
      <w:bookmarkStart w:id="148" w:name="_Toc104396654"/>
      <w:r>
        <w:rPr>
          <w:rStyle w:val="Heading2Char"/>
          <w:b/>
        </w:rPr>
        <w:t>1.</w:t>
      </w:r>
      <w:r w:rsidR="00B710A8">
        <w:rPr>
          <w:rStyle w:val="Heading2Char"/>
          <w:b/>
        </w:rPr>
        <w:t>4</w:t>
      </w:r>
      <w:r>
        <w:rPr>
          <w:rStyle w:val="Heading2Char"/>
          <w:b/>
        </w:rPr>
        <w:tab/>
      </w:r>
      <w:r w:rsidR="005617DE">
        <w:rPr>
          <w:rStyle w:val="Heading2Char"/>
          <w:b/>
        </w:rPr>
        <w:t xml:space="preserve"> </w:t>
      </w:r>
      <w:r w:rsidR="007F7C84" w:rsidRPr="003779B3">
        <w:rPr>
          <w:rStyle w:val="Heading2Char"/>
          <w:b/>
        </w:rPr>
        <w:t xml:space="preserve">Key </w:t>
      </w:r>
      <w:r w:rsidR="00B710A8">
        <w:rPr>
          <w:rStyle w:val="Heading2Char"/>
          <w:b/>
        </w:rPr>
        <w:t>M</w:t>
      </w:r>
      <w:r w:rsidR="005575A1" w:rsidRPr="003779B3">
        <w:rPr>
          <w:rStyle w:val="Heading2Char"/>
          <w:b/>
        </w:rPr>
        <w:t>essages</w:t>
      </w:r>
      <w:bookmarkEnd w:id="134"/>
      <w:bookmarkEnd w:id="135"/>
      <w:bookmarkEnd w:id="136"/>
      <w:bookmarkEnd w:id="147"/>
      <w:r w:rsidR="0085559F">
        <w:rPr>
          <w:rStyle w:val="Heading2Char"/>
          <w:b/>
        </w:rPr>
        <w:t xml:space="preserve"> from the Technical Options Committees</w:t>
      </w:r>
      <w:bookmarkEnd w:id="148"/>
      <w:r w:rsidR="005575A1" w:rsidRPr="003779B3">
        <w:rPr>
          <w:rStyle w:val="Heading2Char"/>
          <w:b/>
        </w:rPr>
        <w:t xml:space="preserve"> </w:t>
      </w:r>
    </w:p>
    <w:p w14:paraId="19BA94DC" w14:textId="7634A89C" w:rsidR="00B14ECE" w:rsidRPr="004C7778" w:rsidRDefault="00220E27" w:rsidP="00061BFF">
      <w:pPr>
        <w:jc w:val="both"/>
      </w:pPr>
      <w:r w:rsidRPr="00220E27">
        <w:t xml:space="preserve">TEAP presents </w:t>
      </w:r>
      <w:r w:rsidR="00AD0DE8">
        <w:t xml:space="preserve">below </w:t>
      </w:r>
      <w:r w:rsidRPr="00220E27">
        <w:t xml:space="preserve">the main findings </w:t>
      </w:r>
      <w:r w:rsidR="000551CC">
        <w:t>of the 202</w:t>
      </w:r>
      <w:r w:rsidR="009E1F1E">
        <w:t>2</w:t>
      </w:r>
      <w:r w:rsidR="000551CC">
        <w:t xml:space="preserve"> Progress Report, as key messages from</w:t>
      </w:r>
      <w:r w:rsidRPr="00220E27">
        <w:t xml:space="preserve"> each of the TOC</w:t>
      </w:r>
      <w:r w:rsidR="00AD0DE8">
        <w:t>s.</w:t>
      </w:r>
    </w:p>
    <w:p w14:paraId="0B138F5D" w14:textId="4EE8642B" w:rsidR="004C7778" w:rsidRPr="003779B3" w:rsidRDefault="00220E27" w:rsidP="005C5E68">
      <w:pPr>
        <w:pStyle w:val="Heading2"/>
        <w:rPr>
          <w:rStyle w:val="Heading311ptBoldChar"/>
          <w:b/>
        </w:rPr>
      </w:pPr>
      <w:bookmarkStart w:id="149" w:name="_Toc40696035"/>
      <w:bookmarkStart w:id="150" w:name="_Toc77868854"/>
      <w:bookmarkStart w:id="151" w:name="_Toc78040700"/>
      <w:bookmarkStart w:id="152" w:name="_Toc79066506"/>
      <w:bookmarkStart w:id="153" w:name="_Toc104396655"/>
      <w:r w:rsidRPr="003779B3">
        <w:rPr>
          <w:rStyle w:val="Heading311ptBoldChar"/>
          <w:b/>
        </w:rPr>
        <w:t>1.</w:t>
      </w:r>
      <w:r w:rsidR="00B710A8">
        <w:rPr>
          <w:rStyle w:val="Heading311ptBoldChar"/>
          <w:b/>
        </w:rPr>
        <w:t>4</w:t>
      </w:r>
      <w:r w:rsidRPr="003779B3">
        <w:rPr>
          <w:rStyle w:val="Heading311ptBoldChar"/>
          <w:b/>
        </w:rPr>
        <w:t>.1</w:t>
      </w:r>
      <w:r w:rsidRPr="003779B3">
        <w:rPr>
          <w:rStyle w:val="Heading311ptBoldChar"/>
          <w:b/>
        </w:rPr>
        <w:tab/>
      </w:r>
      <w:r w:rsidR="004C7778" w:rsidRPr="003779B3">
        <w:rPr>
          <w:rStyle w:val="Heading311ptBoldChar"/>
          <w:b/>
        </w:rPr>
        <w:t>FTOC</w:t>
      </w:r>
      <w:bookmarkEnd w:id="149"/>
      <w:bookmarkEnd w:id="150"/>
      <w:bookmarkEnd w:id="151"/>
      <w:bookmarkEnd w:id="152"/>
      <w:bookmarkEnd w:id="153"/>
    </w:p>
    <w:p w14:paraId="469215BC" w14:textId="10C19B18" w:rsidR="00CA3877" w:rsidRPr="00D00FB8" w:rsidRDefault="00CA3877" w:rsidP="00CA3877">
      <w:pPr>
        <w:spacing w:after="0"/>
        <w:rPr>
          <w:color w:val="auto"/>
          <w:szCs w:val="22"/>
          <w:lang w:val="en-US" w:eastAsia="en-US"/>
        </w:rPr>
      </w:pPr>
      <w:r w:rsidRPr="00D00FB8">
        <w:rPr>
          <w:color w:val="auto"/>
          <w:szCs w:val="22"/>
          <w:lang w:val="en-US" w:eastAsia="en-US"/>
        </w:rPr>
        <w:t>Low-global warming potential (GWP) blowing agent shortages continue in both</w:t>
      </w:r>
      <w:r w:rsidRPr="00D00FB8">
        <w:rPr>
          <w:bCs/>
          <w:color w:val="auto"/>
          <w:szCs w:val="22"/>
          <w:lang w:val="en-US" w:eastAsia="en-US"/>
        </w:rPr>
        <w:t xml:space="preserve"> Article 5 (A5) and non-A</w:t>
      </w:r>
      <w:r w:rsidR="00CC2619">
        <w:rPr>
          <w:bCs/>
          <w:color w:val="auto"/>
          <w:szCs w:val="22"/>
          <w:lang w:val="en-US" w:eastAsia="en-US"/>
        </w:rPr>
        <w:t xml:space="preserve">rticle </w:t>
      </w:r>
      <w:r w:rsidRPr="00D00FB8">
        <w:rPr>
          <w:bCs/>
          <w:color w:val="auto"/>
          <w:szCs w:val="22"/>
          <w:lang w:val="en-US" w:eastAsia="en-US"/>
        </w:rPr>
        <w:t>5 (</w:t>
      </w:r>
      <w:r w:rsidR="00CC2619">
        <w:rPr>
          <w:bCs/>
          <w:color w:val="auto"/>
          <w:szCs w:val="22"/>
          <w:lang w:val="en-US" w:eastAsia="en-US"/>
        </w:rPr>
        <w:t>on-</w:t>
      </w:r>
      <w:r w:rsidRPr="00D00FB8">
        <w:rPr>
          <w:bCs/>
          <w:color w:val="auto"/>
          <w:szCs w:val="22"/>
          <w:lang w:val="en-US" w:eastAsia="en-US"/>
        </w:rPr>
        <w:t xml:space="preserve">A5) parties which may be due to pandemic-related supply chain issues, raw material and supply chain shortages, manufacturing issues, and severe weather. Undisclosed manufacturing issues from at least one supplier have led to </w:t>
      </w:r>
      <w:r w:rsidRPr="00D00FB8">
        <w:rPr>
          <w:bCs/>
          <w:i/>
          <w:iCs/>
          <w:color w:val="auto"/>
          <w:szCs w:val="22"/>
          <w:lang w:val="en-US" w:eastAsia="en-US"/>
        </w:rPr>
        <w:t>force majeure</w:t>
      </w:r>
      <w:r w:rsidR="00CC2619">
        <w:rPr>
          <w:bCs/>
          <w:i/>
          <w:iCs/>
          <w:color w:val="auto"/>
          <w:szCs w:val="22"/>
          <w:lang w:val="en-US" w:eastAsia="en-US"/>
        </w:rPr>
        <w:t xml:space="preserve"> </w:t>
      </w:r>
      <w:r w:rsidR="00CC2619">
        <w:rPr>
          <w:bCs/>
          <w:iCs/>
          <w:color w:val="auto"/>
          <w:szCs w:val="22"/>
          <w:lang w:val="en-US" w:eastAsia="en-US"/>
        </w:rPr>
        <w:t>declarations</w:t>
      </w:r>
      <w:r w:rsidRPr="00D00FB8">
        <w:rPr>
          <w:bCs/>
          <w:color w:val="auto"/>
          <w:szCs w:val="22"/>
          <w:lang w:val="en-US" w:eastAsia="en-US"/>
        </w:rPr>
        <w:t xml:space="preserve">, according to a number of foam manufacturers. As a result, there has been a significant increase in the use of hydrofluorocarbon HFC-365mfc/ HFC-227ea or HFC-365mfc/ HFC-245fa blends in some A5 parties and a reversion to </w:t>
      </w:r>
      <w:r w:rsidRPr="00D00FB8">
        <w:rPr>
          <w:bCs/>
          <w:color w:val="auto"/>
          <w:szCs w:val="22"/>
          <w:lang w:val="en-US" w:eastAsia="en-US"/>
        </w:rPr>
        <w:lastRenderedPageBreak/>
        <w:t>HFC-365</w:t>
      </w:r>
      <w:r w:rsidR="00CC2619">
        <w:rPr>
          <w:bCs/>
          <w:color w:val="auto"/>
          <w:szCs w:val="22"/>
          <w:lang w:val="en-US" w:eastAsia="en-US"/>
        </w:rPr>
        <w:t>mfc</w:t>
      </w:r>
      <w:r w:rsidRPr="00D00FB8">
        <w:rPr>
          <w:bCs/>
          <w:color w:val="auto"/>
          <w:szCs w:val="22"/>
          <w:lang w:val="en-US" w:eastAsia="en-US"/>
        </w:rPr>
        <w:t xml:space="preserve"> blends and HFC-245fa in some non-A5 parties. Prices of HFCs have also increased during the pandemic. There have also been reported shortages of hydrocarbons, such as cyclopentane.</w:t>
      </w:r>
    </w:p>
    <w:p w14:paraId="6D589659" w14:textId="1A689FEE" w:rsidR="00CA3877" w:rsidRPr="00D00FB8" w:rsidRDefault="00CA3877" w:rsidP="00CA3877">
      <w:pPr>
        <w:pStyle w:val="IPPNormal"/>
        <w:numPr>
          <w:ilvl w:val="0"/>
          <w:numId w:val="0"/>
        </w:numPr>
        <w:contextualSpacing/>
        <w:textAlignment w:val="baseline"/>
        <w:rPr>
          <w:sz w:val="22"/>
          <w:szCs w:val="22"/>
          <w:lang w:val="en-US" w:eastAsia="en-US"/>
        </w:rPr>
      </w:pPr>
      <w:bookmarkStart w:id="154" w:name="_Hlk103747730"/>
      <w:r w:rsidRPr="00D00FB8">
        <w:rPr>
          <w:rFonts w:eastAsia="Times New Roman"/>
          <w:bCs/>
          <w:i w:val="0"/>
          <w:sz w:val="22"/>
          <w:szCs w:val="22"/>
          <w:lang w:val="en-US" w:eastAsia="en-US"/>
        </w:rPr>
        <w:t>The transition away from ODS foam blowing agents in some regions and market segments (e.g.</w:t>
      </w:r>
      <w:r w:rsidR="00B710A8">
        <w:rPr>
          <w:rFonts w:eastAsia="Times New Roman"/>
          <w:bCs/>
          <w:i w:val="0"/>
          <w:sz w:val="22"/>
          <w:szCs w:val="22"/>
          <w:lang w:val="en-US" w:eastAsia="en-US"/>
        </w:rPr>
        <w:t>,</w:t>
      </w:r>
      <w:r w:rsidRPr="00D00FB8">
        <w:rPr>
          <w:rFonts w:eastAsia="Times New Roman"/>
          <w:bCs/>
          <w:i w:val="0"/>
          <w:sz w:val="22"/>
          <w:szCs w:val="22"/>
          <w:lang w:val="en-US" w:eastAsia="en-US"/>
        </w:rPr>
        <w:t xml:space="preserve"> spray foam and extruded polystyrene [XPS]) may be delayed because</w:t>
      </w:r>
      <w:r w:rsidR="00CC2619">
        <w:rPr>
          <w:rFonts w:eastAsia="Times New Roman"/>
          <w:bCs/>
          <w:i w:val="0"/>
          <w:sz w:val="22"/>
          <w:szCs w:val="22"/>
          <w:lang w:val="en-US" w:eastAsia="en-US"/>
        </w:rPr>
        <w:t xml:space="preserve"> of</w:t>
      </w:r>
      <w:r w:rsidRPr="00D00FB8">
        <w:rPr>
          <w:rFonts w:eastAsia="Times New Roman"/>
          <w:bCs/>
          <w:i w:val="0"/>
          <w:sz w:val="22"/>
          <w:szCs w:val="22"/>
          <w:lang w:val="en-US" w:eastAsia="en-US"/>
        </w:rPr>
        <w:t xml:space="preserve"> cost, especially where local codes require higher thermal performance</w:t>
      </w:r>
      <w:r w:rsidRPr="00D00FB8">
        <w:rPr>
          <w:rStyle w:val="FootnoteReference"/>
          <w:rFonts w:eastAsia="Times New Roman"/>
          <w:bCs/>
          <w:i w:val="0"/>
          <w:sz w:val="22"/>
          <w:szCs w:val="22"/>
          <w:lang w:val="en-US" w:eastAsia="en-US"/>
        </w:rPr>
        <w:footnoteReference w:id="3"/>
      </w:r>
      <w:r w:rsidRPr="00D00FB8">
        <w:rPr>
          <w:rFonts w:eastAsia="Times New Roman"/>
          <w:bCs/>
          <w:i w:val="0"/>
          <w:sz w:val="22"/>
          <w:szCs w:val="22"/>
          <w:lang w:val="en-US" w:eastAsia="en-US"/>
        </w:rPr>
        <w:t xml:space="preserve">. It should be noted that the price of HFC blowing agents is nearly as high as </w:t>
      </w:r>
      <w:proofErr w:type="spellStart"/>
      <w:r w:rsidRPr="00D00FB8">
        <w:rPr>
          <w:rFonts w:eastAsia="Times New Roman"/>
          <w:bCs/>
          <w:i w:val="0"/>
          <w:sz w:val="22"/>
          <w:szCs w:val="22"/>
          <w:lang w:val="en-US" w:eastAsia="en-US"/>
        </w:rPr>
        <w:t>hydrofluoroolefin</w:t>
      </w:r>
      <w:proofErr w:type="spellEnd"/>
      <w:r w:rsidRPr="00D00FB8">
        <w:rPr>
          <w:rFonts w:eastAsia="Times New Roman"/>
          <w:bCs/>
          <w:i w:val="0"/>
          <w:sz w:val="22"/>
          <w:szCs w:val="22"/>
          <w:lang w:val="en-US" w:eastAsia="en-US"/>
        </w:rPr>
        <w:t>/</w:t>
      </w:r>
      <w:proofErr w:type="spellStart"/>
      <w:r w:rsidRPr="00D00FB8">
        <w:rPr>
          <w:rFonts w:eastAsia="Times New Roman"/>
          <w:bCs/>
          <w:i w:val="0"/>
          <w:sz w:val="22"/>
          <w:szCs w:val="22"/>
          <w:lang w:val="en-US" w:eastAsia="en-US"/>
        </w:rPr>
        <w:t>hydrochlorofluoroolefin</w:t>
      </w:r>
      <w:proofErr w:type="spellEnd"/>
      <w:r w:rsidRPr="00D00FB8">
        <w:rPr>
          <w:rFonts w:eastAsia="Times New Roman"/>
          <w:bCs/>
          <w:i w:val="0"/>
          <w:sz w:val="22"/>
          <w:szCs w:val="22"/>
          <w:lang w:val="en-US" w:eastAsia="en-US"/>
        </w:rPr>
        <w:t xml:space="preserve"> (HFO/HCFO) prices were prior to the pandemic in some A5 parties.</w:t>
      </w:r>
      <w:r w:rsidRPr="00D00FB8">
        <w:rPr>
          <w:bCs/>
          <w:sz w:val="22"/>
          <w:szCs w:val="22"/>
          <w:bdr w:val="none" w:sz="0" w:space="0" w:color="auto" w:frame="1"/>
          <w:lang w:eastAsia="en-US"/>
        </w:rPr>
        <w:t> </w:t>
      </w:r>
    </w:p>
    <w:bookmarkEnd w:id="154"/>
    <w:p w14:paraId="7A8CD85A" w14:textId="5043922D" w:rsidR="00CA3877" w:rsidRPr="00D00FB8" w:rsidRDefault="00CA3877" w:rsidP="00CA3877">
      <w:pPr>
        <w:spacing w:after="0"/>
        <w:rPr>
          <w:color w:val="auto"/>
          <w:szCs w:val="22"/>
          <w:lang w:val="en-US" w:eastAsia="en-US"/>
        </w:rPr>
      </w:pPr>
      <w:r w:rsidRPr="00D00FB8">
        <w:rPr>
          <w:color w:val="auto"/>
          <w:szCs w:val="22"/>
          <w:bdr w:val="none" w:sz="0" w:space="0" w:color="auto" w:frame="1"/>
          <w:lang w:val="en-US" w:eastAsia="en-US"/>
        </w:rPr>
        <w:t>Hydrocarbon (HC), </w:t>
      </w:r>
      <w:r w:rsidRPr="00D00FB8">
        <w:rPr>
          <w:bCs/>
          <w:color w:val="auto"/>
          <w:szCs w:val="22"/>
          <w:bdr w:val="none" w:sz="0" w:space="0" w:color="auto" w:frame="1"/>
          <w:lang w:val="en-US" w:eastAsia="en-US"/>
        </w:rPr>
        <w:t xml:space="preserve">methylal, methyl </w:t>
      </w:r>
      <w:proofErr w:type="spellStart"/>
      <w:r w:rsidRPr="00D00FB8">
        <w:rPr>
          <w:bCs/>
          <w:color w:val="auto"/>
          <w:szCs w:val="22"/>
          <w:bdr w:val="none" w:sz="0" w:space="0" w:color="auto" w:frame="1"/>
          <w:lang w:val="en-US" w:eastAsia="en-US"/>
        </w:rPr>
        <w:t>formate</w:t>
      </w:r>
      <w:proofErr w:type="spellEnd"/>
      <w:r w:rsidRPr="00D00FB8">
        <w:rPr>
          <w:bCs/>
          <w:color w:val="auto"/>
          <w:szCs w:val="22"/>
          <w:bdr w:val="none" w:sz="0" w:space="0" w:color="auto" w:frame="1"/>
          <w:lang w:val="en-US" w:eastAsia="en-US"/>
        </w:rPr>
        <w:t>, and methylene chloride are</w:t>
      </w:r>
      <w:r w:rsidRPr="00D00FB8">
        <w:rPr>
          <w:color w:val="auto"/>
          <w:szCs w:val="22"/>
          <w:bdr w:val="none" w:sz="0" w:space="0" w:color="auto" w:frame="1"/>
          <w:lang w:val="en-US" w:eastAsia="en-US"/>
        </w:rPr>
        <w:t> reportedly being </w:t>
      </w:r>
      <w:r w:rsidRPr="00D00FB8">
        <w:rPr>
          <w:bCs/>
          <w:color w:val="auto"/>
          <w:szCs w:val="22"/>
          <w:bdr w:val="none" w:sz="0" w:space="0" w:color="auto" w:frame="1"/>
          <w:lang w:val="en-US" w:eastAsia="en-US"/>
        </w:rPr>
        <w:t>used in </w:t>
      </w:r>
      <w:r w:rsidRPr="00D00FB8">
        <w:rPr>
          <w:color w:val="auto"/>
          <w:szCs w:val="22"/>
          <w:bdr w:val="none" w:sz="0" w:space="0" w:color="auto" w:frame="1"/>
          <w:lang w:val="en-US" w:eastAsia="en-US"/>
        </w:rPr>
        <w:t>blowing agent </w:t>
      </w:r>
      <w:r w:rsidRPr="00D00FB8">
        <w:rPr>
          <w:bCs/>
          <w:color w:val="auto"/>
          <w:szCs w:val="22"/>
          <w:bdr w:val="none" w:sz="0" w:space="0" w:color="auto" w:frame="1"/>
          <w:lang w:val="en-US" w:eastAsia="en-US"/>
        </w:rPr>
        <w:t>blends to reduce costs in some parties. </w:t>
      </w:r>
      <w:r w:rsidRPr="00D00FB8">
        <w:rPr>
          <w:color w:val="auto"/>
          <w:szCs w:val="22"/>
          <w:bdr w:val="none" w:sz="0" w:space="0" w:color="auto" w:frame="1"/>
          <w:lang w:val="en-US" w:eastAsia="en-US"/>
        </w:rPr>
        <w:t>FTOC is seeking additional details on the safety measures being taken to address exposure and safety risks.</w:t>
      </w:r>
      <w:r w:rsidRPr="00D00FB8">
        <w:rPr>
          <w:color w:val="auto"/>
          <w:szCs w:val="22"/>
          <w:lang w:val="en-US" w:eastAsia="en-US"/>
        </w:rPr>
        <w:br/>
      </w:r>
    </w:p>
    <w:p w14:paraId="4AD303A3" w14:textId="6CF3E64E" w:rsidR="008E68C3" w:rsidRPr="00D00FB8" w:rsidRDefault="00CA3877" w:rsidP="00CA3877">
      <w:pPr>
        <w:pStyle w:val="Style15"/>
        <w:rPr>
          <w:b w:val="0"/>
          <w:color w:val="auto"/>
          <w:sz w:val="22"/>
          <w:szCs w:val="22"/>
        </w:rPr>
      </w:pPr>
      <w:r w:rsidRPr="00D00FB8">
        <w:rPr>
          <w:b w:val="0"/>
          <w:color w:val="auto"/>
          <w:sz w:val="22"/>
          <w:szCs w:val="22"/>
        </w:rPr>
        <w:t xml:space="preserve">For example, a number of spray foam (SPF) formulators use </w:t>
      </w:r>
      <w:bookmarkStart w:id="155" w:name="_Hlk102234264"/>
      <w:r w:rsidRPr="00D00FB8">
        <w:rPr>
          <w:b w:val="0"/>
          <w:color w:val="auto"/>
          <w:sz w:val="22"/>
          <w:szCs w:val="22"/>
        </w:rPr>
        <w:t xml:space="preserve">1,2 dichloroethylene </w:t>
      </w:r>
      <w:bookmarkEnd w:id="155"/>
      <w:r w:rsidRPr="00D00FB8">
        <w:rPr>
          <w:b w:val="0"/>
          <w:color w:val="auto"/>
          <w:sz w:val="22"/>
          <w:szCs w:val="22"/>
        </w:rPr>
        <w:t xml:space="preserve">as a co-additive for ostensibly improving solubility of HFC and now HFO blowing agents as a means of extending their value. With a boiling range of 48 </w:t>
      </w:r>
      <w:r w:rsidR="00C7675C">
        <w:rPr>
          <w:b w:val="0"/>
          <w:color w:val="auto"/>
          <w:sz w:val="22"/>
          <w:szCs w:val="22"/>
        </w:rPr>
        <w:t>-</w:t>
      </w:r>
      <w:r w:rsidRPr="00D00FB8">
        <w:rPr>
          <w:b w:val="0"/>
          <w:color w:val="auto"/>
          <w:sz w:val="22"/>
          <w:szCs w:val="22"/>
        </w:rPr>
        <w:t xml:space="preserve"> 60 </w:t>
      </w:r>
      <w:r w:rsidR="00B710A8">
        <w:rPr>
          <w:b w:val="0"/>
          <w:color w:val="auto"/>
          <w:sz w:val="22"/>
          <w:szCs w:val="22"/>
        </w:rPr>
        <w:t>º</w:t>
      </w:r>
      <w:r w:rsidRPr="00D00FB8">
        <w:rPr>
          <w:b w:val="0"/>
          <w:color w:val="auto"/>
          <w:sz w:val="22"/>
          <w:szCs w:val="22"/>
        </w:rPr>
        <w:t>C for both isomers, it can support blowing and may be used further as HFO and HFC supplies are tight</w:t>
      </w:r>
      <w:r w:rsidRPr="00D00FB8">
        <w:rPr>
          <w:rStyle w:val="FootnoteReference"/>
          <w:b w:val="0"/>
          <w:color w:val="auto"/>
          <w:sz w:val="22"/>
          <w:szCs w:val="22"/>
        </w:rPr>
        <w:footnoteReference w:id="4"/>
      </w:r>
      <w:r w:rsidRPr="00D00FB8">
        <w:rPr>
          <w:b w:val="0"/>
          <w:color w:val="auto"/>
          <w:sz w:val="22"/>
          <w:szCs w:val="22"/>
        </w:rPr>
        <w:t>. As the transition proceeds and there are continued challenges in supply and costs, foam manufacturers and chemical producers are introducing new options and potential challenges.</w:t>
      </w:r>
    </w:p>
    <w:p w14:paraId="0EB34F05" w14:textId="1714B71D" w:rsidR="00CB54A9" w:rsidRDefault="00220E27" w:rsidP="005C5E68">
      <w:pPr>
        <w:pStyle w:val="Heading2"/>
        <w:rPr>
          <w:rStyle w:val="Heading311ptBoldChar"/>
          <w:b/>
        </w:rPr>
      </w:pPr>
      <w:bookmarkStart w:id="156" w:name="_Toc40696036"/>
      <w:bookmarkStart w:id="157" w:name="_Toc77868855"/>
      <w:bookmarkStart w:id="158" w:name="_Toc78040701"/>
      <w:bookmarkStart w:id="159" w:name="_Toc79066507"/>
      <w:bookmarkStart w:id="160" w:name="_Toc104396656"/>
      <w:r w:rsidRPr="003779B3">
        <w:rPr>
          <w:rStyle w:val="Heading311ptBoldChar"/>
          <w:b/>
        </w:rPr>
        <w:t>1.</w:t>
      </w:r>
      <w:r w:rsidR="00B710A8">
        <w:rPr>
          <w:rStyle w:val="Heading311ptBoldChar"/>
          <w:b/>
        </w:rPr>
        <w:t>4</w:t>
      </w:r>
      <w:r w:rsidR="006E02ED" w:rsidRPr="003779B3">
        <w:rPr>
          <w:rStyle w:val="Heading311ptBoldChar"/>
          <w:b/>
        </w:rPr>
        <w:t>.2</w:t>
      </w:r>
      <w:r w:rsidRPr="003779B3">
        <w:rPr>
          <w:rStyle w:val="Heading311ptBoldChar"/>
          <w:b/>
        </w:rPr>
        <w:tab/>
      </w:r>
      <w:r w:rsidR="00CB54A9" w:rsidRPr="003779B3">
        <w:rPr>
          <w:rStyle w:val="Heading311ptBoldChar"/>
          <w:b/>
        </w:rPr>
        <w:t>HTOC</w:t>
      </w:r>
      <w:bookmarkEnd w:id="156"/>
      <w:bookmarkEnd w:id="157"/>
      <w:bookmarkEnd w:id="158"/>
      <w:bookmarkEnd w:id="159"/>
      <w:bookmarkEnd w:id="160"/>
    </w:p>
    <w:p w14:paraId="0A0BFF04" w14:textId="39427E92" w:rsidR="00CA3877" w:rsidRDefault="00CA3877" w:rsidP="00CA3877">
      <w:pPr>
        <w:rPr>
          <w:color w:val="auto"/>
          <w:lang w:eastAsia="en-US"/>
        </w:rPr>
      </w:pPr>
      <w:bookmarkStart w:id="161" w:name="OLE_LINK14"/>
      <w:bookmarkStart w:id="162" w:name="OLE_LINK1"/>
      <w:bookmarkStart w:id="163" w:name="OLE_LINK5"/>
      <w:r>
        <w:t xml:space="preserve">In the 2018 Assessment Report, the HTOC anticipated that the initial 10% reduction in </w:t>
      </w:r>
      <w:r>
        <w:rPr>
          <w:lang w:val="en-AU"/>
        </w:rPr>
        <w:t>HFC production within </w:t>
      </w:r>
      <w:r>
        <w:t>non-A5 parties would not have a significant impact on the availability of </w:t>
      </w:r>
      <w:r>
        <w:rPr>
          <w:lang w:val="en-AU"/>
        </w:rPr>
        <w:t>HFCs </w:t>
      </w:r>
      <w:r>
        <w:t>for fire protection. It was reasoned that the use of HFCs in fire protection is extremely small in comparison to other uses, the emissions are low, and sales of HFCs in most non-A 5 parties were either declining or flat. Instead, the experience in the EU and Japan has shown a movement away from the use of HFCs in new fire protection systems (although use of HFCs in Japan has never been widespread). HFCs have been replaced in large part by low-GWP and no-GWP alternatives such as FK-5-1-12 and inert gases. The US HFC phase-down began on January 1, 2022, and it has already had an impact on the cost and availability of newly produced HFCs for fire protection. The US allocation system is GWP</w:t>
      </w:r>
      <w:r w:rsidR="008C1373">
        <w:t>-</w:t>
      </w:r>
      <w:r>
        <w:t>weighted and the HFCs used for fire protection have very high GWPs, so the impact has been greater than initially expected. It is the HTOC’s experience that HFCs contained in fire protection equipment historically</w:t>
      </w:r>
      <w:r w:rsidR="00B9500E" w:rsidRPr="00B9500E">
        <w:t xml:space="preserve"> </w:t>
      </w:r>
      <w:r w:rsidR="00B9500E">
        <w:t>have been recycled and reused to a relatively high extent</w:t>
      </w:r>
      <w:r>
        <w:t>. As the supply of newly produced HFCs for fire protection decreases in response to phase-down regulations, recycling becomes even more important as an alternative source of supply and is likely to increase in the future.</w:t>
      </w:r>
    </w:p>
    <w:p w14:paraId="0942F840" w14:textId="77777777" w:rsidR="00CA3877" w:rsidRDefault="00CA3877" w:rsidP="00107383">
      <w:pPr>
        <w:pStyle w:val="ListParagraph"/>
        <w:widowControl/>
        <w:numPr>
          <w:ilvl w:val="0"/>
          <w:numId w:val="61"/>
        </w:numPr>
        <w:spacing w:before="120" w:after="240" w:line="254" w:lineRule="auto"/>
        <w:ind w:firstLineChars="0"/>
        <w:contextualSpacing/>
        <w:jc w:val="left"/>
        <w:rPr>
          <w:rFonts w:ascii="Times New Roman" w:hAnsi="Times New Roman"/>
          <w:sz w:val="22"/>
          <w:lang w:val="en-AU"/>
        </w:rPr>
      </w:pPr>
      <w:bookmarkStart w:id="164" w:name="OLE_LINK24"/>
      <w:bookmarkEnd w:id="161"/>
      <w:bookmarkEnd w:id="162"/>
      <w:bookmarkEnd w:id="163"/>
      <w:r>
        <w:rPr>
          <w:rFonts w:ascii="Times New Roman" w:hAnsi="Times New Roman"/>
          <w:sz w:val="22"/>
          <w:lang w:val="en-AU"/>
        </w:rPr>
        <w:t>Parties may wish to consider re-emphasizing the need to foster international trade of recycled/reclaimed high-GWP</w:t>
      </w:r>
      <w:r>
        <w:rPr>
          <w:sz w:val="22"/>
          <w:lang w:val="en-US"/>
        </w:rPr>
        <w:t xml:space="preserve"> </w:t>
      </w:r>
      <w:r>
        <w:rPr>
          <w:rFonts w:ascii="Times New Roman" w:hAnsi="Times New Roman"/>
          <w:sz w:val="22"/>
          <w:lang w:val="en-US"/>
        </w:rPr>
        <w:t>HFCs</w:t>
      </w:r>
      <w:r>
        <w:rPr>
          <w:rFonts w:ascii="Times New Roman" w:hAnsi="Times New Roman"/>
          <w:sz w:val="22"/>
          <w:lang w:val="en-AU"/>
        </w:rPr>
        <w:t>, i.e., HFC-227ea, HFC-125 and HFC-236fa used in legacy fire protection applications, which include those in civil aviation lavatory fire protection systems.</w:t>
      </w:r>
    </w:p>
    <w:bookmarkEnd w:id="164"/>
    <w:p w14:paraId="693A60C7" w14:textId="49BC4471" w:rsidR="00CA3877" w:rsidRPr="00A27920" w:rsidRDefault="00CA3877" w:rsidP="00CA3877">
      <w:pPr>
        <w:rPr>
          <w:lang w:val="en-US"/>
        </w:rPr>
      </w:pPr>
      <w:r w:rsidRPr="00A27920">
        <w:rPr>
          <w:lang w:val="en-US"/>
        </w:rPr>
        <w:t xml:space="preserve">The HTOC has identified several issues affecting the availability and quality of recovered halons from all fire protection sectors, but especially from the civil aviation sector. The HTOC also believes that shipbreaking could represent a significant source of halon 1301 which could support on-going </w:t>
      </w:r>
      <w:r w:rsidRPr="00A27920">
        <w:rPr>
          <w:lang w:val="en-US"/>
        </w:rPr>
        <w:lastRenderedPageBreak/>
        <w:t>activities. It is therefore important to conserve this supply to the greatest extent possible.</w:t>
      </w:r>
      <w:r w:rsidR="005617DE">
        <w:rPr>
          <w:lang w:val="en-US"/>
        </w:rPr>
        <w:t xml:space="preserve"> </w:t>
      </w:r>
      <w:r w:rsidRPr="00A27920">
        <w:rPr>
          <w:lang w:val="en-US"/>
        </w:rPr>
        <w:t xml:space="preserve">To address these issues parties may wish to consider: </w:t>
      </w:r>
    </w:p>
    <w:p w14:paraId="7F9F8E9A" w14:textId="77777777" w:rsidR="00CA3877" w:rsidRPr="00E122F6" w:rsidRDefault="00CA3877" w:rsidP="00107383">
      <w:pPr>
        <w:pStyle w:val="ListParagraph"/>
        <w:widowControl/>
        <w:numPr>
          <w:ilvl w:val="0"/>
          <w:numId w:val="61"/>
        </w:numPr>
        <w:spacing w:after="160" w:line="256" w:lineRule="auto"/>
        <w:ind w:firstLineChars="0"/>
        <w:contextualSpacing/>
        <w:jc w:val="left"/>
        <w:rPr>
          <w:rFonts w:ascii="Times New Roman" w:hAnsi="Times New Roman"/>
          <w:sz w:val="22"/>
        </w:rPr>
      </w:pPr>
      <w:bookmarkStart w:id="165" w:name="OLE_LINK10"/>
      <w:r w:rsidRPr="00E122F6">
        <w:rPr>
          <w:rFonts w:ascii="Times New Roman" w:hAnsi="Times New Roman"/>
          <w:sz w:val="22"/>
          <w:lang w:val="en-AU"/>
        </w:rPr>
        <w:t xml:space="preserve">Requesting the Ozone Secretariat to disseminate the </w:t>
      </w:r>
      <w:r>
        <w:rPr>
          <w:rFonts w:ascii="Times New Roman" w:hAnsi="Times New Roman"/>
          <w:sz w:val="22"/>
          <w:lang w:val="en-AU"/>
        </w:rPr>
        <w:t xml:space="preserve">recently developed </w:t>
      </w:r>
      <w:r w:rsidRPr="00E122F6">
        <w:rPr>
          <w:rFonts w:ascii="Times New Roman" w:hAnsi="Times New Roman"/>
          <w:sz w:val="22"/>
          <w:lang w:val="en-AU"/>
        </w:rPr>
        <w:t>halon management guidance document</w:t>
      </w:r>
      <w:r>
        <w:rPr>
          <w:rFonts w:ascii="Times New Roman" w:hAnsi="Times New Roman"/>
          <w:sz w:val="22"/>
          <w:lang w:val="en-AU"/>
        </w:rPr>
        <w:t xml:space="preserve"> available from the HTOC,</w:t>
      </w:r>
      <w:r w:rsidRPr="00E122F6">
        <w:rPr>
          <w:rFonts w:ascii="Times New Roman" w:hAnsi="Times New Roman"/>
          <w:sz w:val="22"/>
          <w:lang w:val="en-AU"/>
        </w:rPr>
        <w:t xml:space="preserve"> </w:t>
      </w:r>
      <w:r>
        <w:rPr>
          <w:rFonts w:ascii="Times New Roman" w:hAnsi="Times New Roman"/>
          <w:sz w:val="22"/>
          <w:lang w:val="en-AU"/>
        </w:rPr>
        <w:t xml:space="preserve">to </w:t>
      </w:r>
      <w:r w:rsidRPr="00E122F6">
        <w:rPr>
          <w:rFonts w:ascii="Times New Roman" w:hAnsi="Times New Roman"/>
          <w:sz w:val="22"/>
          <w:lang w:val="en-AU"/>
        </w:rPr>
        <w:t>all National Ozone Units (NOUs) and sponsoring presentations during all upcoming Ozone Regional Manager Network and other applicable meetings,</w:t>
      </w:r>
    </w:p>
    <w:bookmarkEnd w:id="165"/>
    <w:p w14:paraId="272EA1C2" w14:textId="352ABDAC" w:rsidR="00CA3877" w:rsidRPr="00E122F6" w:rsidRDefault="00CA3877" w:rsidP="00107383">
      <w:pPr>
        <w:pStyle w:val="ListParagraph"/>
        <w:widowControl/>
        <w:numPr>
          <w:ilvl w:val="0"/>
          <w:numId w:val="61"/>
        </w:numPr>
        <w:spacing w:line="256" w:lineRule="auto"/>
        <w:ind w:firstLineChars="0"/>
        <w:contextualSpacing/>
        <w:jc w:val="left"/>
        <w:rPr>
          <w:rFonts w:ascii="Times New Roman" w:hAnsi="Times New Roman"/>
          <w:sz w:val="22"/>
        </w:rPr>
      </w:pPr>
      <w:r w:rsidRPr="00E122F6">
        <w:rPr>
          <w:rFonts w:ascii="Times New Roman" w:hAnsi="Times New Roman"/>
          <w:sz w:val="22"/>
          <w:lang w:val="en-AU"/>
        </w:rPr>
        <w:t>Liaising with their civil aviation authorities to disseminate th</w:t>
      </w:r>
      <w:r>
        <w:rPr>
          <w:rFonts w:ascii="Times New Roman" w:hAnsi="Times New Roman"/>
          <w:sz w:val="22"/>
          <w:lang w:val="en-AU"/>
        </w:rPr>
        <w:t>is</w:t>
      </w:r>
      <w:r w:rsidRPr="00E122F6">
        <w:rPr>
          <w:rFonts w:ascii="Times New Roman" w:hAnsi="Times New Roman"/>
          <w:sz w:val="22"/>
          <w:lang w:val="en-AU"/>
        </w:rPr>
        <w:t xml:space="preserve"> halon management guidance document to all applicable entities within their country such as airlines, maintenance, repair</w:t>
      </w:r>
      <w:r>
        <w:rPr>
          <w:rFonts w:ascii="Times New Roman" w:hAnsi="Times New Roman"/>
          <w:sz w:val="22"/>
          <w:lang w:val="en-AU"/>
        </w:rPr>
        <w:t>,</w:t>
      </w:r>
      <w:r w:rsidRPr="00E122F6">
        <w:rPr>
          <w:rFonts w:ascii="Times New Roman" w:hAnsi="Times New Roman"/>
          <w:sz w:val="22"/>
          <w:lang w:val="en-AU"/>
        </w:rPr>
        <w:t xml:space="preserve"> and overhaul (MRO) companies</w:t>
      </w:r>
      <w:r>
        <w:rPr>
          <w:rFonts w:ascii="Times New Roman" w:hAnsi="Times New Roman"/>
          <w:sz w:val="22"/>
          <w:lang w:val="en-AU"/>
        </w:rPr>
        <w:t>,</w:t>
      </w:r>
      <w:r w:rsidRPr="00E122F6">
        <w:rPr>
          <w:rFonts w:ascii="Times New Roman" w:hAnsi="Times New Roman"/>
          <w:sz w:val="22"/>
          <w:lang w:val="en-AU"/>
        </w:rPr>
        <w:t xml:space="preserve"> and associated non-governmental organi</w:t>
      </w:r>
      <w:r w:rsidR="00CA4DA4" w:rsidRPr="002C0D7B">
        <w:rPr>
          <w:rFonts w:ascii="Times New Roman" w:hAnsi="Times New Roman"/>
          <w:sz w:val="22"/>
          <w:lang w:val="en-AU"/>
        </w:rPr>
        <w:t>s</w:t>
      </w:r>
      <w:r w:rsidRPr="00E122F6">
        <w:rPr>
          <w:rFonts w:ascii="Times New Roman" w:hAnsi="Times New Roman"/>
          <w:sz w:val="22"/>
          <w:lang w:val="en-AU"/>
        </w:rPr>
        <w:t>ations (NGOs),</w:t>
      </w:r>
    </w:p>
    <w:p w14:paraId="43005409" w14:textId="77777777" w:rsidR="00CA3877" w:rsidRPr="00E122F6" w:rsidRDefault="00CA3877" w:rsidP="00107383">
      <w:pPr>
        <w:pStyle w:val="ListParagraph"/>
        <w:widowControl/>
        <w:numPr>
          <w:ilvl w:val="0"/>
          <w:numId w:val="61"/>
        </w:numPr>
        <w:spacing w:line="254" w:lineRule="auto"/>
        <w:ind w:firstLineChars="0"/>
        <w:contextualSpacing/>
        <w:jc w:val="left"/>
        <w:rPr>
          <w:rFonts w:ascii="Times New Roman" w:hAnsi="Times New Roman"/>
          <w:sz w:val="22"/>
        </w:rPr>
      </w:pPr>
      <w:r w:rsidRPr="00E122F6">
        <w:rPr>
          <w:rFonts w:ascii="Times New Roman" w:hAnsi="Times New Roman"/>
          <w:sz w:val="22"/>
        </w:rPr>
        <w:t xml:space="preserve">Requesting that the International Civil Aviation Organisation (ICAO) formally disseminate through a State letter, the halon management guidance document to all civil aviation authorities requesting that the </w:t>
      </w:r>
      <w:r>
        <w:rPr>
          <w:rFonts w:ascii="Times New Roman" w:hAnsi="Times New Roman"/>
          <w:sz w:val="22"/>
        </w:rPr>
        <w:t>h</w:t>
      </w:r>
      <w:r w:rsidRPr="00E122F6">
        <w:rPr>
          <w:rFonts w:ascii="Times New Roman" w:hAnsi="Times New Roman"/>
          <w:sz w:val="22"/>
        </w:rPr>
        <w:t>alon management guidance document receive the widest possible dissemination within their State and/or region,</w:t>
      </w:r>
    </w:p>
    <w:p w14:paraId="7EA4BED3" w14:textId="77777777" w:rsidR="00CA3877" w:rsidRPr="00E122F6" w:rsidRDefault="00CA3877" w:rsidP="00107383">
      <w:pPr>
        <w:pStyle w:val="ListParagraph"/>
        <w:widowControl/>
        <w:numPr>
          <w:ilvl w:val="0"/>
          <w:numId w:val="61"/>
        </w:numPr>
        <w:spacing w:line="254" w:lineRule="auto"/>
        <w:ind w:firstLineChars="0"/>
        <w:contextualSpacing/>
        <w:jc w:val="left"/>
        <w:rPr>
          <w:rFonts w:ascii="Times New Roman" w:hAnsi="Times New Roman"/>
          <w:sz w:val="22"/>
        </w:rPr>
      </w:pPr>
      <w:r w:rsidRPr="00E122F6">
        <w:rPr>
          <w:rFonts w:ascii="Times New Roman" w:hAnsi="Times New Roman"/>
          <w:sz w:val="22"/>
        </w:rPr>
        <w:t>Emphasising the importance of effective and complete recovery of halons to minimize halon losses by all parties, particularly those with shipbreaking activities, and</w:t>
      </w:r>
    </w:p>
    <w:p w14:paraId="11399187" w14:textId="77777777" w:rsidR="00CA3877" w:rsidRPr="00E122F6" w:rsidRDefault="00CA3877" w:rsidP="00107383">
      <w:pPr>
        <w:pStyle w:val="ListParagraph"/>
        <w:widowControl/>
        <w:numPr>
          <w:ilvl w:val="0"/>
          <w:numId w:val="61"/>
        </w:numPr>
        <w:spacing w:before="120" w:after="240" w:line="257" w:lineRule="auto"/>
        <w:ind w:firstLineChars="0"/>
        <w:contextualSpacing/>
        <w:jc w:val="left"/>
        <w:rPr>
          <w:rFonts w:ascii="Times New Roman" w:hAnsi="Times New Roman"/>
          <w:sz w:val="22"/>
        </w:rPr>
      </w:pPr>
      <w:r w:rsidRPr="00E122F6">
        <w:rPr>
          <w:rFonts w:ascii="Times New Roman" w:hAnsi="Times New Roman"/>
          <w:sz w:val="22"/>
          <w:lang w:val="en-AU"/>
        </w:rPr>
        <w:t>Re-emphasising the need to allow for appropriate, open trade of recovered, recycled and/or reclaimed halons in bulk containers and in prefilled fire protection components to support enduring halons uses, including civil aviation components that are required to allow aircraft to operate under international airworthiness requirements.</w:t>
      </w:r>
    </w:p>
    <w:p w14:paraId="689098AB" w14:textId="7B7876A2" w:rsidR="00CA3877" w:rsidRPr="00720058" w:rsidRDefault="00CA3877" w:rsidP="00CA3877">
      <w:pPr>
        <w:rPr>
          <w:lang w:val="en-US"/>
        </w:rPr>
      </w:pPr>
      <w:r w:rsidRPr="00720058">
        <w:rPr>
          <w:lang w:val="en-US"/>
        </w:rPr>
        <w:t xml:space="preserve">The EU proposal to define </w:t>
      </w:r>
      <w:r w:rsidRPr="00FF4942">
        <w:rPr>
          <w:lang w:val="en-US"/>
        </w:rPr>
        <w:t xml:space="preserve">perfluoroalkyl and polyfluoroalkyl substances </w:t>
      </w:r>
      <w:r>
        <w:rPr>
          <w:lang w:val="en-US"/>
        </w:rPr>
        <w:t>(</w:t>
      </w:r>
      <w:r w:rsidRPr="00720058">
        <w:rPr>
          <w:lang w:val="en-US"/>
        </w:rPr>
        <w:t>PFAS</w:t>
      </w:r>
      <w:r>
        <w:rPr>
          <w:lang w:val="en-US"/>
        </w:rPr>
        <w:t>)</w:t>
      </w:r>
      <w:r w:rsidRPr="00720058">
        <w:rPr>
          <w:lang w:val="en-US"/>
        </w:rPr>
        <w:t xml:space="preserve"> as any substance that contains at least one fully fluorinated carbon CF</w:t>
      </w:r>
      <w:r w:rsidRPr="00720058">
        <w:rPr>
          <w:vertAlign w:val="subscript"/>
          <w:lang w:val="en-US"/>
        </w:rPr>
        <w:t>2</w:t>
      </w:r>
      <w:r w:rsidRPr="00720058">
        <w:rPr>
          <w:lang w:val="en-US"/>
        </w:rPr>
        <w:t xml:space="preserve"> or CF</w:t>
      </w:r>
      <w:r w:rsidRPr="00720058">
        <w:rPr>
          <w:vertAlign w:val="subscript"/>
          <w:lang w:val="en-US"/>
        </w:rPr>
        <w:t>3</w:t>
      </w:r>
      <w:r w:rsidRPr="00720058">
        <w:rPr>
          <w:lang w:val="en-US"/>
        </w:rPr>
        <w:t xml:space="preserve"> group (without any </w:t>
      </w:r>
      <w:r>
        <w:rPr>
          <w:lang w:val="en-US"/>
        </w:rPr>
        <w:t>hydrogen, chlorine, bromine</w:t>
      </w:r>
      <w:r w:rsidR="00266A09">
        <w:rPr>
          <w:lang w:val="en-US"/>
        </w:rPr>
        <w:t>,</w:t>
      </w:r>
      <w:r>
        <w:rPr>
          <w:lang w:val="en-US"/>
        </w:rPr>
        <w:t xml:space="preserve"> or iodine (</w:t>
      </w:r>
      <w:r w:rsidRPr="00720058">
        <w:rPr>
          <w:lang w:val="en-US"/>
        </w:rPr>
        <w:t>H/Cl/Br/I</w:t>
      </w:r>
      <w:r>
        <w:rPr>
          <w:lang w:val="en-US"/>
        </w:rPr>
        <w:t>)</w:t>
      </w:r>
      <w:r w:rsidRPr="00720058">
        <w:rPr>
          <w:lang w:val="en-US"/>
        </w:rPr>
        <w:t xml:space="preserve"> atom</w:t>
      </w:r>
      <w:r>
        <w:rPr>
          <w:lang w:val="en-US"/>
        </w:rPr>
        <w:t>(s)</w:t>
      </w:r>
      <w:r w:rsidRPr="00720058">
        <w:rPr>
          <w:lang w:val="en-US"/>
        </w:rPr>
        <w:t xml:space="preserve"> attached) would include </w:t>
      </w:r>
      <w:r>
        <w:rPr>
          <w:lang w:val="en-US"/>
        </w:rPr>
        <w:t xml:space="preserve">virtually </w:t>
      </w:r>
      <w:r w:rsidRPr="00720058">
        <w:rPr>
          <w:lang w:val="en-US"/>
        </w:rPr>
        <w:t xml:space="preserve">all of the </w:t>
      </w:r>
      <w:r>
        <w:rPr>
          <w:lang w:val="en-US"/>
        </w:rPr>
        <w:t>halogenated</w:t>
      </w:r>
      <w:r w:rsidRPr="00720058">
        <w:rPr>
          <w:lang w:val="en-US"/>
        </w:rPr>
        <w:t xml:space="preserve">, clean, </w:t>
      </w:r>
      <w:r>
        <w:rPr>
          <w:lang w:val="en-US"/>
        </w:rPr>
        <w:t>agent</w:t>
      </w:r>
      <w:r w:rsidRPr="00720058">
        <w:rPr>
          <w:lang w:val="en-US"/>
        </w:rPr>
        <w:t xml:space="preserve"> alternatives to halons, HCFCs and high</w:t>
      </w:r>
      <w:r w:rsidRPr="00720058">
        <w:rPr>
          <w:lang w:val="en-US"/>
        </w:rPr>
        <w:noBreakHyphen/>
        <w:t>GWP HFC fire extinguishing agents except for HFC-23 and CF</w:t>
      </w:r>
      <w:r w:rsidRPr="00720058">
        <w:rPr>
          <w:vertAlign w:val="subscript"/>
          <w:lang w:val="en-US"/>
        </w:rPr>
        <w:t>3</w:t>
      </w:r>
      <w:r w:rsidRPr="00720058">
        <w:rPr>
          <w:lang w:val="en-US"/>
        </w:rPr>
        <w:t>I</w:t>
      </w:r>
      <w:r>
        <w:rPr>
          <w:lang w:val="en-US"/>
        </w:rPr>
        <w:t>.</w:t>
      </w:r>
      <w:r w:rsidRPr="00720058">
        <w:rPr>
          <w:lang w:val="en-US"/>
        </w:rPr>
        <w:t xml:space="preserve"> </w:t>
      </w:r>
      <w:r>
        <w:rPr>
          <w:lang w:val="en-US"/>
        </w:rPr>
        <w:t>Thus, hydrochlorofluorocarbon (</w:t>
      </w:r>
      <w:r w:rsidRPr="00720058">
        <w:rPr>
          <w:lang w:val="en-US"/>
        </w:rPr>
        <w:t>HCFC</w:t>
      </w:r>
      <w:r>
        <w:rPr>
          <w:lang w:val="en-US"/>
        </w:rPr>
        <w:t>)</w:t>
      </w:r>
      <w:r w:rsidRPr="00720058">
        <w:rPr>
          <w:lang w:val="en-US"/>
        </w:rPr>
        <w:t xml:space="preserve">-124, HCFC Blend A, HCFC Blend B, HFC Blend B, HFC-227ea, HFC-125, HFC-236fa, </w:t>
      </w:r>
      <w:proofErr w:type="spellStart"/>
      <w:r>
        <w:rPr>
          <w:lang w:val="en-US"/>
        </w:rPr>
        <w:t>fluoroketone</w:t>
      </w:r>
      <w:proofErr w:type="spellEnd"/>
      <w:r>
        <w:rPr>
          <w:lang w:val="en-US"/>
        </w:rPr>
        <w:t xml:space="preserve"> (</w:t>
      </w:r>
      <w:r w:rsidRPr="00720058">
        <w:rPr>
          <w:lang w:val="en-US"/>
        </w:rPr>
        <w:t>FK-5-1-12</w:t>
      </w:r>
      <w:r>
        <w:rPr>
          <w:lang w:val="en-US"/>
        </w:rPr>
        <w:t>)</w:t>
      </w:r>
      <w:r w:rsidRPr="00720058">
        <w:rPr>
          <w:lang w:val="en-US"/>
        </w:rPr>
        <w:t xml:space="preserve">, </w:t>
      </w:r>
      <w:r>
        <w:rPr>
          <w:lang w:val="en-US"/>
        </w:rPr>
        <w:t>2-bromo-3,3,3-trifluoroprop-1-ene (</w:t>
      </w:r>
      <w:r w:rsidRPr="00720058">
        <w:rPr>
          <w:lang w:val="en-US"/>
        </w:rPr>
        <w:t>2-BTP</w:t>
      </w:r>
      <w:r>
        <w:rPr>
          <w:lang w:val="en-US"/>
        </w:rPr>
        <w:t>)</w:t>
      </w:r>
      <w:r w:rsidRPr="00720058">
        <w:rPr>
          <w:lang w:val="en-US"/>
        </w:rPr>
        <w:t>, and Halocarbon Blend 55</w:t>
      </w:r>
      <w:r>
        <w:rPr>
          <w:lang w:val="en-US"/>
        </w:rPr>
        <w:t xml:space="preserve"> could all be included in the proposed regulations</w:t>
      </w:r>
      <w:r w:rsidRPr="00720058">
        <w:rPr>
          <w:lang w:val="en-US"/>
        </w:rPr>
        <w:t>.</w:t>
      </w:r>
      <w:r w:rsidR="005617DE">
        <w:rPr>
          <w:lang w:val="en-US"/>
        </w:rPr>
        <w:t xml:space="preserve"> </w:t>
      </w:r>
      <w:r w:rsidRPr="00720058">
        <w:rPr>
          <w:lang w:val="en-US"/>
        </w:rPr>
        <w:t>This could leave halons, or in some cases also HFC-23, as the only viable non-PFAS options</w:t>
      </w:r>
      <w:r>
        <w:rPr>
          <w:lang w:val="en-US"/>
        </w:rPr>
        <w:t xml:space="preserve"> in some applications</w:t>
      </w:r>
      <w:r w:rsidRPr="00720058">
        <w:rPr>
          <w:lang w:val="en-US"/>
        </w:rPr>
        <w:t>.</w:t>
      </w:r>
    </w:p>
    <w:p w14:paraId="0E3DD3E8" w14:textId="0E89BB2F" w:rsidR="00CA3877" w:rsidRPr="00720058" w:rsidRDefault="00CA3877" w:rsidP="00CA3877">
      <w:pPr>
        <w:rPr>
          <w:color w:val="auto"/>
          <w:lang w:val="en-US"/>
        </w:rPr>
      </w:pPr>
      <w:r w:rsidRPr="00720058">
        <w:rPr>
          <w:color w:val="auto"/>
          <w:lang w:val="en-US"/>
        </w:rPr>
        <w:t xml:space="preserve">R&amp;D for </w:t>
      </w:r>
      <w:r>
        <w:rPr>
          <w:color w:val="auto"/>
          <w:lang w:val="en-US"/>
        </w:rPr>
        <w:t xml:space="preserve">civil aviation </w:t>
      </w:r>
      <w:r w:rsidRPr="00720058">
        <w:rPr>
          <w:color w:val="auto"/>
          <w:lang w:val="en-US"/>
        </w:rPr>
        <w:t>cargo compartment fire protection systems continues.</w:t>
      </w:r>
      <w:r w:rsidR="005617DE">
        <w:rPr>
          <w:color w:val="auto"/>
          <w:lang w:val="en-US"/>
        </w:rPr>
        <w:t xml:space="preserve"> </w:t>
      </w:r>
      <w:r w:rsidRPr="00720058">
        <w:rPr>
          <w:color w:val="auto"/>
          <w:lang w:val="en-US"/>
        </w:rPr>
        <w:t>However, the development and certification timescales remain long and can be uncertain. As such, it will still be at least several more years before any of the fire extinguishing agents being evaluated could be in service on aircraft.</w:t>
      </w:r>
      <w:r w:rsidR="005617DE">
        <w:rPr>
          <w:color w:val="auto"/>
          <w:lang w:val="en-US"/>
        </w:rPr>
        <w:t xml:space="preserve"> </w:t>
      </w:r>
      <w:r w:rsidRPr="00720058">
        <w:rPr>
          <w:color w:val="auto"/>
          <w:lang w:val="en-US"/>
        </w:rPr>
        <w:t>If these are not successful</w:t>
      </w:r>
      <w:r>
        <w:rPr>
          <w:color w:val="auto"/>
          <w:lang w:val="en-US"/>
        </w:rPr>
        <w:t>,</w:t>
      </w:r>
      <w:r w:rsidRPr="00720058">
        <w:rPr>
          <w:color w:val="auto"/>
          <w:lang w:val="en-US"/>
        </w:rPr>
        <w:t xml:space="preserve"> the chances of finding an as-yet undiscovered alternative that is safe and effective are, after so many years of research, </w:t>
      </w:r>
      <w:r>
        <w:rPr>
          <w:color w:val="auto"/>
          <w:lang w:val="en-US"/>
        </w:rPr>
        <w:t xml:space="preserve">are </w:t>
      </w:r>
      <w:r w:rsidRPr="00720058">
        <w:rPr>
          <w:color w:val="auto"/>
          <w:lang w:val="en-US"/>
        </w:rPr>
        <w:t>extremely low.</w:t>
      </w:r>
      <w:r w:rsidR="005617DE">
        <w:rPr>
          <w:color w:val="auto"/>
          <w:lang w:val="en-US"/>
        </w:rPr>
        <w:t xml:space="preserve"> </w:t>
      </w:r>
    </w:p>
    <w:p w14:paraId="74F72174" w14:textId="46FE860C" w:rsidR="00CA3877" w:rsidRPr="00FA2EF0" w:rsidRDefault="00CA3877" w:rsidP="00CA3877">
      <w:pPr>
        <w:rPr>
          <w:lang w:val="en-US"/>
        </w:rPr>
      </w:pPr>
      <w:r>
        <w:rPr>
          <w:lang w:val="en-US"/>
        </w:rPr>
        <w:t xml:space="preserve">While civil aviation flight hours dropped by 60% during the pandemic, global halon 1301 emissions did not decline. Therefore, emissions do not seem to be dependent on the number or duration of civil aviation flights (i.e., do not occur during flight operation). This does not necessarily mean that civil aviation is not </w:t>
      </w:r>
      <w:r w:rsidRPr="00FA2EF0">
        <w:rPr>
          <w:lang w:val="en-US"/>
        </w:rPr>
        <w:t>the cause of some of or even a significant amount of the emissions but rather that a different part of the aviation lifecycle such as fire extinguisher maintenance could be responsible for much of these emissions.</w:t>
      </w:r>
    </w:p>
    <w:p w14:paraId="47CB457E" w14:textId="1F7E2DD8" w:rsidR="00CA3877" w:rsidRPr="00FA2EF0" w:rsidRDefault="00CA3877" w:rsidP="00107383">
      <w:pPr>
        <w:pStyle w:val="ListParagraph"/>
        <w:numPr>
          <w:ilvl w:val="0"/>
          <w:numId w:val="67"/>
        </w:numPr>
        <w:spacing w:after="240"/>
        <w:ind w:firstLineChars="0"/>
        <w:rPr>
          <w:rFonts w:ascii="Times New Roman" w:hAnsi="Times New Roman"/>
          <w:sz w:val="22"/>
          <w:lang w:val="en-AU"/>
        </w:rPr>
      </w:pPr>
      <w:r w:rsidRPr="00FA2EF0">
        <w:rPr>
          <w:rFonts w:ascii="Times New Roman" w:hAnsi="Times New Roman"/>
          <w:sz w:val="22"/>
          <w:lang w:val="en-AU"/>
        </w:rPr>
        <w:t>Parties may wish to consider requesting that ICAO continue to sponsor activities related to halon regulation and management, include the HTOC in these activities, and work with the HTOC to provide annual updates on changes to their halon regulations, the status of development and implementation of aviation alternatives, and other halon management issues important for the long-term use and management of halons.</w:t>
      </w:r>
      <w:r w:rsidR="005617DE">
        <w:rPr>
          <w:rFonts w:ascii="Times New Roman" w:hAnsi="Times New Roman"/>
          <w:sz w:val="22"/>
          <w:lang w:val="en-AU"/>
        </w:rPr>
        <w:t xml:space="preserve"> </w:t>
      </w:r>
    </w:p>
    <w:p w14:paraId="5C35D168" w14:textId="77777777" w:rsidR="00CA3877" w:rsidRPr="00FA2EF0" w:rsidRDefault="00CA3877" w:rsidP="00CA3877">
      <w:pPr>
        <w:rPr>
          <w:lang w:val="en-US"/>
        </w:rPr>
      </w:pPr>
      <w:r w:rsidRPr="00FA2EF0">
        <w:rPr>
          <w:lang w:val="en-US"/>
        </w:rPr>
        <w:t>The HTOC is concerned that many personnel who are now responsible for managing fire protection agents controlled by the Montreal Protocol do not have the necessary experience with the issues surrounding the use, recovery, recycling, reclamation, and banking of these agents. To address these issues, parties may wish to consider:</w:t>
      </w:r>
    </w:p>
    <w:p w14:paraId="17AF6C6F" w14:textId="77777777" w:rsidR="00CA3877" w:rsidRPr="00FA2EF0" w:rsidRDefault="00CA3877" w:rsidP="00107383">
      <w:pPr>
        <w:pStyle w:val="ListParagraph"/>
        <w:widowControl/>
        <w:numPr>
          <w:ilvl w:val="0"/>
          <w:numId w:val="62"/>
        </w:numPr>
        <w:spacing w:after="160" w:line="259" w:lineRule="auto"/>
        <w:ind w:left="720" w:firstLineChars="0"/>
        <w:contextualSpacing/>
        <w:jc w:val="left"/>
        <w:rPr>
          <w:rFonts w:ascii="Times New Roman" w:hAnsi="Times New Roman"/>
          <w:sz w:val="22"/>
          <w:lang w:val="en-US"/>
        </w:rPr>
      </w:pPr>
      <w:r w:rsidRPr="00FA2EF0">
        <w:rPr>
          <w:rFonts w:ascii="Times New Roman" w:hAnsi="Times New Roman"/>
          <w:sz w:val="22"/>
          <w:lang w:val="en-US"/>
        </w:rPr>
        <w:lastRenderedPageBreak/>
        <w:t xml:space="preserve">Supporting </w:t>
      </w:r>
      <w:proofErr w:type="spellStart"/>
      <w:r w:rsidRPr="00FA2EF0">
        <w:rPr>
          <w:rFonts w:ascii="Times New Roman" w:hAnsi="Times New Roman"/>
          <w:sz w:val="22"/>
          <w:lang w:val="en-US"/>
        </w:rPr>
        <w:t>programmes</w:t>
      </w:r>
      <w:proofErr w:type="spellEnd"/>
      <w:r w:rsidRPr="00FA2EF0">
        <w:rPr>
          <w:rFonts w:ascii="Times New Roman" w:hAnsi="Times New Roman"/>
          <w:sz w:val="22"/>
          <w:lang w:val="en-US"/>
        </w:rPr>
        <w:t xml:space="preserve"> to mitigate the loss in institutional memory of fire protection agents controlled by the Montreal Protocol; and </w:t>
      </w:r>
    </w:p>
    <w:p w14:paraId="1B5F3B82" w14:textId="5542F9F3" w:rsidR="00CA3877" w:rsidRPr="002800E0" w:rsidRDefault="00CA3877" w:rsidP="00107383">
      <w:pPr>
        <w:pStyle w:val="ListParagraph"/>
        <w:widowControl/>
        <w:numPr>
          <w:ilvl w:val="0"/>
          <w:numId w:val="62"/>
        </w:numPr>
        <w:spacing w:after="160" w:line="259" w:lineRule="auto"/>
        <w:ind w:left="720" w:firstLineChars="0"/>
        <w:contextualSpacing/>
        <w:jc w:val="left"/>
        <w:rPr>
          <w:rFonts w:ascii="Times New Roman" w:hAnsi="Times New Roman"/>
          <w:sz w:val="22"/>
          <w:lang w:val="en-US"/>
        </w:rPr>
      </w:pPr>
      <w:r w:rsidRPr="00FA2EF0">
        <w:rPr>
          <w:rFonts w:ascii="Times New Roman" w:hAnsi="Times New Roman"/>
          <w:sz w:val="22"/>
          <w:lang w:val="en-US"/>
        </w:rPr>
        <w:t xml:space="preserve">Supporting awareness </w:t>
      </w:r>
      <w:proofErr w:type="spellStart"/>
      <w:r w:rsidRPr="00FA2EF0">
        <w:rPr>
          <w:rFonts w:ascii="Times New Roman" w:hAnsi="Times New Roman"/>
          <w:sz w:val="22"/>
          <w:lang w:val="en-US"/>
        </w:rPr>
        <w:t>programmes</w:t>
      </w:r>
      <w:proofErr w:type="spellEnd"/>
      <w:r w:rsidRPr="00FA2EF0">
        <w:rPr>
          <w:rFonts w:ascii="Times New Roman" w:hAnsi="Times New Roman"/>
          <w:sz w:val="22"/>
          <w:lang w:val="en-US"/>
        </w:rPr>
        <w:t xml:space="preserve"> to address recovery, recycling, reclamation, and banking of halons as well as HCFC and HFC fire protection agents. </w:t>
      </w:r>
    </w:p>
    <w:p w14:paraId="34BDC66A" w14:textId="57534A05" w:rsidR="004D13F9" w:rsidRDefault="00F350B7" w:rsidP="005C5E68">
      <w:pPr>
        <w:pStyle w:val="Heading2"/>
        <w:rPr>
          <w:rStyle w:val="Heading311ptBoldChar"/>
          <w:b/>
        </w:rPr>
      </w:pPr>
      <w:bookmarkStart w:id="166" w:name="_Toc40696037"/>
      <w:bookmarkStart w:id="167" w:name="_Toc77868856"/>
      <w:bookmarkStart w:id="168" w:name="_Toc78040702"/>
      <w:bookmarkStart w:id="169" w:name="_Toc79066508"/>
      <w:bookmarkStart w:id="170" w:name="_Toc104396657"/>
      <w:r w:rsidRPr="003779B3">
        <w:rPr>
          <w:rStyle w:val="Heading311ptBoldChar"/>
          <w:b/>
        </w:rPr>
        <w:t>1.</w:t>
      </w:r>
      <w:r w:rsidR="00B710A8">
        <w:rPr>
          <w:rStyle w:val="Heading311ptBoldChar"/>
          <w:b/>
        </w:rPr>
        <w:t>4</w:t>
      </w:r>
      <w:r w:rsidRPr="003779B3">
        <w:rPr>
          <w:rStyle w:val="Heading311ptBoldChar"/>
          <w:b/>
        </w:rPr>
        <w:t>.3</w:t>
      </w:r>
      <w:r w:rsidR="009C4627" w:rsidRPr="003779B3">
        <w:rPr>
          <w:rStyle w:val="Heading311ptBoldChar"/>
          <w:b/>
        </w:rPr>
        <w:tab/>
      </w:r>
      <w:r w:rsidR="004D13F9" w:rsidRPr="003779B3">
        <w:rPr>
          <w:rStyle w:val="Heading311ptBoldChar"/>
          <w:b/>
        </w:rPr>
        <w:t>MBTOC</w:t>
      </w:r>
      <w:bookmarkEnd w:id="166"/>
      <w:bookmarkEnd w:id="167"/>
      <w:bookmarkEnd w:id="168"/>
      <w:bookmarkEnd w:id="169"/>
      <w:bookmarkEnd w:id="170"/>
    </w:p>
    <w:p w14:paraId="1D11187F" w14:textId="77777777" w:rsidR="005D552A" w:rsidRPr="00CA699F" w:rsidRDefault="005D552A" w:rsidP="005D552A">
      <w:pPr>
        <w:spacing w:before="100" w:beforeAutospacing="1" w:after="100" w:afterAutospacing="1"/>
        <w:rPr>
          <w:szCs w:val="22"/>
        </w:rPr>
      </w:pPr>
      <w:r w:rsidRPr="00B02B89">
        <w:rPr>
          <w:szCs w:val="22"/>
        </w:rPr>
        <w:t xml:space="preserve">In 2020, </w:t>
      </w:r>
      <w:r>
        <w:rPr>
          <w:szCs w:val="22"/>
        </w:rPr>
        <w:t>reported methyl bromide (</w:t>
      </w:r>
      <w:r w:rsidRPr="00B02B89">
        <w:rPr>
          <w:szCs w:val="22"/>
        </w:rPr>
        <w:t>MB</w:t>
      </w:r>
      <w:r>
        <w:rPr>
          <w:szCs w:val="22"/>
        </w:rPr>
        <w:t>)</w:t>
      </w:r>
      <w:r w:rsidRPr="00B02B89">
        <w:rPr>
          <w:szCs w:val="22"/>
        </w:rPr>
        <w:t xml:space="preserve"> consumption for controlled uses was </w:t>
      </w:r>
      <w:r>
        <w:rPr>
          <w:szCs w:val="22"/>
        </w:rPr>
        <w:t xml:space="preserve">only </w:t>
      </w:r>
      <w:r w:rsidRPr="00B02B89">
        <w:rPr>
          <w:szCs w:val="22"/>
        </w:rPr>
        <w:t>69 tonnes</w:t>
      </w:r>
      <w:r>
        <w:rPr>
          <w:szCs w:val="22"/>
        </w:rPr>
        <w:t>, although stocks substantially higher than this may be used in some sectors in various countries. After 20 years of applications for MB critical use during which substantial R&amp;D has taken place on alternatives, some non-A5 parties continue to make critical use nominations without adoption of alternatives.</w:t>
      </w:r>
    </w:p>
    <w:p w14:paraId="33E58C0A" w14:textId="77777777" w:rsidR="005D552A" w:rsidRDefault="005D552A" w:rsidP="005D552A">
      <w:pPr>
        <w:spacing w:before="100" w:beforeAutospacing="1" w:after="100" w:afterAutospacing="1"/>
        <w:rPr>
          <w:szCs w:val="22"/>
        </w:rPr>
      </w:pPr>
      <w:r>
        <w:rPr>
          <w:szCs w:val="22"/>
        </w:rPr>
        <w:t>Quarantine and pre-shipment (</w:t>
      </w:r>
      <w:r w:rsidRPr="00CA699F">
        <w:rPr>
          <w:szCs w:val="22"/>
        </w:rPr>
        <w:t>QPS</w:t>
      </w:r>
      <w:r>
        <w:rPr>
          <w:szCs w:val="22"/>
        </w:rPr>
        <w:t>)</w:t>
      </w:r>
      <w:r w:rsidRPr="00CA699F">
        <w:rPr>
          <w:szCs w:val="22"/>
        </w:rPr>
        <w:t xml:space="preserve"> uses of MB (approx</w:t>
      </w:r>
      <w:r>
        <w:rPr>
          <w:szCs w:val="22"/>
        </w:rPr>
        <w:t>imately</w:t>
      </w:r>
      <w:r w:rsidRPr="00CA699F">
        <w:rPr>
          <w:szCs w:val="22"/>
        </w:rPr>
        <w:t xml:space="preserve"> 10,000 t</w:t>
      </w:r>
      <w:r>
        <w:rPr>
          <w:szCs w:val="22"/>
        </w:rPr>
        <w:t>onnes</w:t>
      </w:r>
      <w:r w:rsidRPr="00CA699F">
        <w:rPr>
          <w:szCs w:val="22"/>
        </w:rPr>
        <w:t xml:space="preserve"> per year), which are exempted from the Montreal Protocol controls, far exceed the use of MB for controlled uses and </w:t>
      </w:r>
      <w:r>
        <w:rPr>
          <w:szCs w:val="22"/>
        </w:rPr>
        <w:t>continue to be</w:t>
      </w:r>
      <w:r w:rsidRPr="00CA699F">
        <w:rPr>
          <w:szCs w:val="22"/>
        </w:rPr>
        <w:t xml:space="preserve"> the major anthropogenic contributor of MB to the stratosphere. Over the last decade, some parties </w:t>
      </w:r>
      <w:r>
        <w:rPr>
          <w:szCs w:val="22"/>
        </w:rPr>
        <w:t xml:space="preserve">have succeeded in </w:t>
      </w:r>
      <w:r w:rsidRPr="00CA699F">
        <w:rPr>
          <w:szCs w:val="22"/>
        </w:rPr>
        <w:t>completely phasing out QPS use of MB</w:t>
      </w:r>
      <w:r>
        <w:rPr>
          <w:szCs w:val="22"/>
        </w:rPr>
        <w:t xml:space="preserve">, however, the </w:t>
      </w:r>
      <w:r w:rsidRPr="00CA699F">
        <w:rPr>
          <w:szCs w:val="22"/>
        </w:rPr>
        <w:t>overall global consumption of MB for QPS has not changed markedly</w:t>
      </w:r>
      <w:r>
        <w:rPr>
          <w:szCs w:val="22"/>
        </w:rPr>
        <w:t xml:space="preserve"> since </w:t>
      </w:r>
      <w:r w:rsidRPr="00CA699F">
        <w:rPr>
          <w:szCs w:val="22"/>
        </w:rPr>
        <w:t>some A5 parties have increased QPS consumption substantially.</w:t>
      </w:r>
      <w:r>
        <w:rPr>
          <w:szCs w:val="22"/>
        </w:rPr>
        <w:t xml:space="preserve"> Despite this, research programs globally are continuing to find successful alternatives to replace MB. The successful application of alternatives to QPS would accelerate the decline in stratospheric MB levels with a near-term impact on ozone.</w:t>
      </w:r>
    </w:p>
    <w:p w14:paraId="083A358D" w14:textId="042F38DC" w:rsidR="005D552A" w:rsidRDefault="005D552A" w:rsidP="005D552A">
      <w:pPr>
        <w:spacing w:before="100" w:beforeAutospacing="1" w:after="100" w:afterAutospacing="1"/>
        <w:rPr>
          <w:szCs w:val="22"/>
        </w:rPr>
      </w:pPr>
      <w:r w:rsidRPr="00B02B89">
        <w:t xml:space="preserve">Since 1999, the reduction in MB production and use </w:t>
      </w:r>
      <w:r>
        <w:t xml:space="preserve">from controlled uses </w:t>
      </w:r>
      <w:r w:rsidRPr="00B02B89">
        <w:t xml:space="preserve">has led to a </w:t>
      </w:r>
      <w:r>
        <w:t>reduction greater</w:t>
      </w:r>
      <w:r w:rsidRPr="00B02B89">
        <w:t xml:space="preserve"> than 30% in the concentration of MB in the atmosphere and this has been responsible for more than 35% of the present fall in Effective Equivalent Stratospheric Chlorine and a key driver for the recovery of the ozone layer</w:t>
      </w:r>
      <w:r>
        <w:t>.</w:t>
      </w:r>
      <w:r w:rsidR="005617DE">
        <w:t xml:space="preserve"> </w:t>
      </w:r>
      <w:r>
        <w:rPr>
          <w:szCs w:val="22"/>
        </w:rPr>
        <w:t>Recent data</w:t>
      </w:r>
      <w:r w:rsidR="00266A09">
        <w:rPr>
          <w:szCs w:val="22"/>
        </w:rPr>
        <w:t>,</w:t>
      </w:r>
      <w:r>
        <w:rPr>
          <w:szCs w:val="22"/>
        </w:rPr>
        <w:t xml:space="preserve"> however, shows that a decline in the atmospheric levels of MB has stalled as emissions of MB from QPS uses and from any unreported uses continue unabated. </w:t>
      </w:r>
      <w:r w:rsidRPr="00CA699F">
        <w:rPr>
          <w:szCs w:val="22"/>
        </w:rPr>
        <w:t xml:space="preserve">MBTOC notes that </w:t>
      </w:r>
      <w:r>
        <w:rPr>
          <w:szCs w:val="22"/>
        </w:rPr>
        <w:t xml:space="preserve">near-term </w:t>
      </w:r>
      <w:r w:rsidRPr="00CA699F">
        <w:rPr>
          <w:szCs w:val="22"/>
        </w:rPr>
        <w:t xml:space="preserve">reduction of atmospheric concentrations of MB in the future will </w:t>
      </w:r>
      <w:r>
        <w:rPr>
          <w:szCs w:val="22"/>
        </w:rPr>
        <w:t xml:space="preserve">overwhelmingly </w:t>
      </w:r>
      <w:r w:rsidRPr="00CA699F">
        <w:rPr>
          <w:szCs w:val="22"/>
        </w:rPr>
        <w:t>rely on reduction in emissions from QPS or any unknown</w:t>
      </w:r>
      <w:r w:rsidR="00B710A8">
        <w:rPr>
          <w:szCs w:val="22"/>
        </w:rPr>
        <w:t>/unreported</w:t>
      </w:r>
      <w:r w:rsidRPr="00CA699F">
        <w:rPr>
          <w:szCs w:val="22"/>
        </w:rPr>
        <w:t xml:space="preserve"> use</w:t>
      </w:r>
      <w:r>
        <w:rPr>
          <w:szCs w:val="22"/>
        </w:rPr>
        <w:t>s</w:t>
      </w:r>
      <w:r w:rsidRPr="00CA699F">
        <w:rPr>
          <w:szCs w:val="22"/>
        </w:rPr>
        <w:t xml:space="preserve">. </w:t>
      </w:r>
    </w:p>
    <w:p w14:paraId="3C251480" w14:textId="22A5123C" w:rsidR="005D552A" w:rsidRDefault="005D552A" w:rsidP="005D552A">
      <w:pPr>
        <w:spacing w:before="100" w:beforeAutospacing="1" w:after="100" w:afterAutospacing="1"/>
        <w:rPr>
          <w:szCs w:val="22"/>
        </w:rPr>
      </w:pPr>
      <w:r>
        <w:rPr>
          <w:szCs w:val="22"/>
        </w:rPr>
        <w:t>A significant proportion of e</w:t>
      </w:r>
      <w:r w:rsidRPr="00CA699F">
        <w:rPr>
          <w:szCs w:val="22"/>
        </w:rPr>
        <w:t xml:space="preserve">missions </w:t>
      </w:r>
      <w:r>
        <w:rPr>
          <w:szCs w:val="22"/>
        </w:rPr>
        <w:t xml:space="preserve">of MB </w:t>
      </w:r>
      <w:r w:rsidRPr="00CA699F">
        <w:rPr>
          <w:szCs w:val="22"/>
        </w:rPr>
        <w:t>from QPS can be reduced by recapture, recycling and/or reuse.</w:t>
      </w:r>
      <w:r>
        <w:rPr>
          <w:szCs w:val="22"/>
        </w:rPr>
        <w:t xml:space="preserve"> Recapture of MB from QPS uses have recently been reviewed in New Zealand (NZ), with stepwise increases in use of recapture required by regulations implemented to phase out methyl bromide </w:t>
      </w:r>
      <w:proofErr w:type="spellStart"/>
      <w:r>
        <w:rPr>
          <w:szCs w:val="22"/>
        </w:rPr>
        <w:t>emisions</w:t>
      </w:r>
      <w:proofErr w:type="spellEnd"/>
      <w:r>
        <w:rPr>
          <w:szCs w:val="22"/>
        </w:rPr>
        <w:t>.</w:t>
      </w:r>
      <w:r w:rsidR="005617DE">
        <w:rPr>
          <w:szCs w:val="22"/>
        </w:rPr>
        <w:t xml:space="preserve"> </w:t>
      </w:r>
      <w:r>
        <w:rPr>
          <w:szCs w:val="22"/>
        </w:rPr>
        <w:t>In addition, fumigation of the holds of ships with MB will be banned from 2023.</w:t>
      </w:r>
    </w:p>
    <w:p w14:paraId="759047C4" w14:textId="77777777" w:rsidR="005D552A" w:rsidRPr="00905ABD" w:rsidRDefault="005D552A" w:rsidP="005D552A">
      <w:pPr>
        <w:spacing w:before="100" w:beforeAutospacing="1" w:after="100" w:afterAutospacing="1"/>
      </w:pPr>
      <w:r>
        <w:t xml:space="preserve">Some specific bilateral agreements are reducing MB use. For instance, </w:t>
      </w:r>
      <w:r w:rsidRPr="00905ABD">
        <w:t>India and Canada have agreed to lift the MB fumigation requirement for Canadian pulse</w:t>
      </w:r>
      <w:r>
        <w:t>s</w:t>
      </w:r>
      <w:r w:rsidRPr="00905ABD">
        <w:t xml:space="preserve"> export</w:t>
      </w:r>
      <w:r>
        <w:t>ed</w:t>
      </w:r>
      <w:r w:rsidRPr="00905ABD">
        <w:t xml:space="preserve"> to India while a systems approach is being </w:t>
      </w:r>
      <w:r>
        <w:t>established</w:t>
      </w:r>
      <w:r w:rsidRPr="00905ABD">
        <w:t xml:space="preserve">. This measure will potentially reduce </w:t>
      </w:r>
      <w:r>
        <w:t xml:space="preserve">QPS </w:t>
      </w:r>
      <w:r w:rsidRPr="00905ABD">
        <w:t>MB treatments of pulses on arrival substantially.</w:t>
      </w:r>
    </w:p>
    <w:p w14:paraId="3B1E1F2B" w14:textId="31B9581F" w:rsidR="005D552A" w:rsidRDefault="008022EE" w:rsidP="005D552A">
      <w:r w:rsidRPr="002C0D7B">
        <w:t>It appears that some parties still have difficulties in identifying and reporting MB use for QPS purposes</w:t>
      </w:r>
      <w:r w:rsidR="005D552A" w:rsidRPr="002C0D7B">
        <w:t>.</w:t>
      </w:r>
      <w:r w:rsidR="005D552A" w:rsidRPr="00905ABD">
        <w:t xml:space="preserve"> </w:t>
      </w:r>
    </w:p>
    <w:p w14:paraId="622CBB1B" w14:textId="767E7F9B" w:rsidR="005D552A" w:rsidRDefault="005D552A" w:rsidP="005D552A">
      <w:pPr>
        <w:spacing w:before="100" w:beforeAutospacing="1" w:after="100" w:afterAutospacing="1"/>
        <w:rPr>
          <w:szCs w:val="22"/>
        </w:rPr>
      </w:pPr>
      <w:r>
        <w:rPr>
          <w:szCs w:val="22"/>
        </w:rPr>
        <w:t>MBTOC considers Q and PS to have different priority for use of MB with PS uses having greater potential for adoption of alternatives.</w:t>
      </w:r>
      <w:r w:rsidR="005617DE">
        <w:rPr>
          <w:szCs w:val="22"/>
        </w:rPr>
        <w:t xml:space="preserve"> </w:t>
      </w:r>
      <w:r>
        <w:rPr>
          <w:szCs w:val="22"/>
        </w:rPr>
        <w:t>PS uses could potentially be phased out because there are technically alternatives</w:t>
      </w:r>
      <w:r w:rsidRPr="00527E30">
        <w:rPr>
          <w:szCs w:val="22"/>
        </w:rPr>
        <w:t xml:space="preserve"> </w:t>
      </w:r>
      <w:r>
        <w:rPr>
          <w:szCs w:val="22"/>
        </w:rPr>
        <w:t>which are widely available and suitable worldwide. MBTOC considers that these readily available alternatives for PS could result in replacing 30-40% (i.e</w:t>
      </w:r>
      <w:r w:rsidRPr="002C0D7B">
        <w:rPr>
          <w:szCs w:val="22"/>
        </w:rPr>
        <w:t>.</w:t>
      </w:r>
      <w:r w:rsidR="00266A09" w:rsidRPr="002C0D7B">
        <w:rPr>
          <w:szCs w:val="22"/>
        </w:rPr>
        <w:t>,</w:t>
      </w:r>
      <w:r>
        <w:rPr>
          <w:szCs w:val="22"/>
        </w:rPr>
        <w:t xml:space="preserve"> 3000-4000 tonnes) of the total QPS MB use by alternatives.</w:t>
      </w:r>
      <w:r w:rsidR="00B710A8">
        <w:rPr>
          <w:szCs w:val="22"/>
        </w:rPr>
        <w:t xml:space="preserve"> P</w:t>
      </w:r>
      <w:r>
        <w:rPr>
          <w:szCs w:val="22"/>
        </w:rPr>
        <w:t>arties could consider requesting TEAP/MBTOC to update information on QPS uses and their alternatives, specifically allocating the uses under Q versus PS.</w:t>
      </w:r>
      <w:r w:rsidR="005617DE">
        <w:rPr>
          <w:szCs w:val="22"/>
        </w:rPr>
        <w:t xml:space="preserve"> </w:t>
      </w:r>
    </w:p>
    <w:p w14:paraId="32A4F62E" w14:textId="6912E475" w:rsidR="002800E0" w:rsidRPr="002800E0" w:rsidRDefault="005D552A" w:rsidP="005D552A">
      <w:r w:rsidRPr="00CA699F">
        <w:rPr>
          <w:szCs w:val="22"/>
        </w:rPr>
        <w:t xml:space="preserve">Sulfuryl </w:t>
      </w:r>
      <w:r>
        <w:rPr>
          <w:szCs w:val="22"/>
        </w:rPr>
        <w:t>f</w:t>
      </w:r>
      <w:r w:rsidRPr="00CA699F">
        <w:rPr>
          <w:szCs w:val="22"/>
        </w:rPr>
        <w:t xml:space="preserve">luoride </w:t>
      </w:r>
      <w:r>
        <w:rPr>
          <w:szCs w:val="22"/>
        </w:rPr>
        <w:t xml:space="preserve">(SF) </w:t>
      </w:r>
      <w:r w:rsidRPr="00CA699F">
        <w:rPr>
          <w:szCs w:val="22"/>
        </w:rPr>
        <w:t>is widely</w:t>
      </w:r>
      <w:r>
        <w:rPr>
          <w:szCs w:val="22"/>
        </w:rPr>
        <w:t xml:space="preserve"> registered and</w:t>
      </w:r>
      <w:r w:rsidRPr="00CA699F">
        <w:rPr>
          <w:szCs w:val="22"/>
        </w:rPr>
        <w:t xml:space="preserve"> adopted around the world as an alternative to MB for disinfestation of </w:t>
      </w:r>
      <w:r w:rsidRPr="00612792">
        <w:rPr>
          <w:szCs w:val="22"/>
        </w:rPr>
        <w:t>dried fruit, tree nuts, grain flour, and</w:t>
      </w:r>
      <w:r>
        <w:rPr>
          <w:szCs w:val="22"/>
        </w:rPr>
        <w:t xml:space="preserve"> </w:t>
      </w:r>
      <w:r w:rsidRPr="00612792">
        <w:rPr>
          <w:szCs w:val="22"/>
        </w:rPr>
        <w:t>timber</w:t>
      </w:r>
      <w:r>
        <w:rPr>
          <w:szCs w:val="22"/>
        </w:rPr>
        <w:t>, and</w:t>
      </w:r>
      <w:r w:rsidRPr="00CA699F">
        <w:rPr>
          <w:szCs w:val="22"/>
        </w:rPr>
        <w:t xml:space="preserve"> is a key alternative to MB for treatment of empty structures such as flour mills and food and feed processing premises. In recent </w:t>
      </w:r>
      <w:r w:rsidRPr="00CA699F">
        <w:rPr>
          <w:szCs w:val="22"/>
        </w:rPr>
        <w:lastRenderedPageBreak/>
        <w:t xml:space="preserve">years, however, there is growing concern about the high </w:t>
      </w:r>
      <w:r>
        <w:rPr>
          <w:szCs w:val="22"/>
        </w:rPr>
        <w:t xml:space="preserve">20-year </w:t>
      </w:r>
      <w:r w:rsidRPr="00CA699F">
        <w:rPr>
          <w:szCs w:val="22"/>
        </w:rPr>
        <w:t xml:space="preserve">GWP </w:t>
      </w:r>
      <w:r>
        <w:rPr>
          <w:szCs w:val="22"/>
        </w:rPr>
        <w:t xml:space="preserve">value </w:t>
      </w:r>
      <w:r w:rsidRPr="00CA699F">
        <w:rPr>
          <w:szCs w:val="22"/>
        </w:rPr>
        <w:t>of SF</w:t>
      </w:r>
      <w:r>
        <w:rPr>
          <w:szCs w:val="22"/>
        </w:rPr>
        <w:t xml:space="preserve"> currently set at 7510</w:t>
      </w:r>
      <w:r w:rsidRPr="002A2078">
        <w:rPr>
          <w:szCs w:val="22"/>
        </w:rPr>
        <w:t xml:space="preserve"> </w:t>
      </w:r>
      <w:r>
        <w:rPr>
          <w:szCs w:val="22"/>
        </w:rPr>
        <w:t>and MBTOC considers it prudent to ensure that other alternatives are considered.</w:t>
      </w:r>
    </w:p>
    <w:p w14:paraId="0EE1FCC8" w14:textId="36F097EC" w:rsidR="00B14ECE" w:rsidRDefault="003C61CE" w:rsidP="005C5E68">
      <w:pPr>
        <w:pStyle w:val="Heading2"/>
        <w:rPr>
          <w:rStyle w:val="Heading311ptBoldChar"/>
          <w:b/>
        </w:rPr>
      </w:pPr>
      <w:bookmarkStart w:id="171" w:name="_Toc40696038"/>
      <w:bookmarkStart w:id="172" w:name="_Toc77868857"/>
      <w:bookmarkStart w:id="173" w:name="_Toc78040703"/>
      <w:bookmarkStart w:id="174" w:name="_Toc79066509"/>
      <w:bookmarkStart w:id="175" w:name="_Toc104396658"/>
      <w:r w:rsidRPr="003779B3">
        <w:rPr>
          <w:rStyle w:val="Heading311ptBoldChar"/>
          <w:b/>
        </w:rPr>
        <w:t>1.</w:t>
      </w:r>
      <w:r w:rsidR="00B710A8">
        <w:rPr>
          <w:rStyle w:val="Heading311ptBoldChar"/>
          <w:b/>
        </w:rPr>
        <w:t>4</w:t>
      </w:r>
      <w:r w:rsidRPr="003779B3">
        <w:rPr>
          <w:rStyle w:val="Heading311ptBoldChar"/>
          <w:b/>
        </w:rPr>
        <w:t>.4</w:t>
      </w:r>
      <w:r w:rsidRPr="003779B3">
        <w:rPr>
          <w:rStyle w:val="Heading311ptBoldChar"/>
          <w:b/>
        </w:rPr>
        <w:tab/>
      </w:r>
      <w:r w:rsidR="00B14ECE" w:rsidRPr="003779B3">
        <w:rPr>
          <w:rStyle w:val="Heading311ptBoldChar"/>
          <w:b/>
        </w:rPr>
        <w:t>MCTOC</w:t>
      </w:r>
      <w:bookmarkEnd w:id="171"/>
      <w:bookmarkEnd w:id="172"/>
      <w:bookmarkEnd w:id="173"/>
      <w:bookmarkEnd w:id="174"/>
      <w:bookmarkEnd w:id="175"/>
      <w:r w:rsidR="00B14ECE" w:rsidRPr="003779B3">
        <w:rPr>
          <w:rStyle w:val="Heading311ptBoldChar"/>
          <w:b/>
        </w:rPr>
        <w:t xml:space="preserve"> </w:t>
      </w:r>
    </w:p>
    <w:p w14:paraId="330A91E2" w14:textId="543C5817" w:rsidR="0046583A" w:rsidRDefault="0046583A" w:rsidP="0046583A">
      <w:r>
        <w:t xml:space="preserve">Medical and Chemicals Technical Options Committee provides information on the production and use of controlled substances, including for chemical feedstock, HFC-23 by-production and emissions, and new developments for metered dose inhalers (MDIs). It also includes background to, and an update on, TEAP’s assessment of destruction technologies under decision XXX/6, to be included in MCTOC’s 2022 Assessment Report. The status of aerosols (other than </w:t>
      </w:r>
      <w:r w:rsidR="00A27175">
        <w:t>MDI</w:t>
      </w:r>
      <w:r>
        <w:t>s), laboratory and analytical uses, process agent uses, and n-propyl bromide were reviewed, however, no compelling new information is reported this report.</w:t>
      </w:r>
    </w:p>
    <w:p w14:paraId="378B4FA9" w14:textId="0E6B22A2" w:rsidR="0046583A" w:rsidRDefault="0046583A" w:rsidP="0046583A">
      <w:r>
        <w:rPr>
          <w:b/>
          <w:bCs/>
          <w:i/>
          <w:iCs/>
        </w:rPr>
        <w:t xml:space="preserve">Production issues </w:t>
      </w:r>
      <w:r>
        <w:rPr>
          <w:b/>
          <w:bCs/>
          <w:i/>
          <w:iCs/>
        </w:rPr>
        <w:br/>
      </w:r>
      <w:r w:rsidR="00A27175">
        <w:t>As reported by FTOC, t</w:t>
      </w:r>
      <w:r>
        <w:t>here have been reported challenges relating to production and chemical supply in the</w:t>
      </w:r>
      <w:r w:rsidRPr="005E0758">
        <w:t xml:space="preserve"> transition to low</w:t>
      </w:r>
      <w:r>
        <w:t>-</w:t>
      </w:r>
      <w:r w:rsidRPr="005E0758">
        <w:t>GWP HCFO</w:t>
      </w:r>
      <w:r>
        <w:t xml:space="preserve"> and </w:t>
      </w:r>
      <w:r w:rsidRPr="005E0758">
        <w:t xml:space="preserve">HFO </w:t>
      </w:r>
      <w:r>
        <w:t xml:space="preserve">foam </w:t>
      </w:r>
      <w:r w:rsidRPr="005E0758">
        <w:t>blowing agents</w:t>
      </w:r>
      <w:r>
        <w:t>. These challenges relate to several</w:t>
      </w:r>
      <w:r w:rsidRPr="005E0758">
        <w:t xml:space="preserve"> factors</w:t>
      </w:r>
      <w:r>
        <w:t>, including production constraints, restrictive manufacturing and application patents, high prices of HCFO/HFOs relative to HCFC-141b and HFC blowing agents, and regional shortages of CTC used as starting raw material in the process to manufacture HCFO/HFOs. New production capacity for HCFO/HFOs is expected to become available in 2023.</w:t>
      </w:r>
    </w:p>
    <w:p w14:paraId="767BE7F3" w14:textId="3D8793BF" w:rsidR="0046583A" w:rsidRDefault="0046583A" w:rsidP="0046583A">
      <w:r>
        <w:rPr>
          <w:b/>
          <w:bCs/>
          <w:i/>
          <w:iCs/>
        </w:rPr>
        <w:t>Feedstock use of controlled substances</w:t>
      </w:r>
      <w:r>
        <w:t xml:space="preserve"> </w:t>
      </w:r>
      <w:r>
        <w:br/>
        <w:t xml:space="preserve">The proportions of the largest </w:t>
      </w:r>
      <w:r w:rsidR="00A27175">
        <w:t>co</w:t>
      </w:r>
      <w:r w:rsidR="00444712">
        <w:t>n</w:t>
      </w:r>
      <w:r w:rsidR="00A27175">
        <w:t xml:space="preserve">trolled </w:t>
      </w:r>
      <w:r>
        <w:t>ODS feedstocks in 2020 are HCFC-22 (48% of the total mass quantity), CTC (20%), and HCFC-142b (11%). HCFC-22 is mainly used to produce tetrafluoroethylene</w:t>
      </w:r>
      <w:r w:rsidR="00A27175">
        <w:t>, which is then used to make fluoropolymers such as polytetrafluoroethylene</w:t>
      </w:r>
      <w:r>
        <w:t xml:space="preserve">. HCFC-142b is used to make polyvinylidene fluoride. The feedstock use of CTC has increased in recent years, due to growing demand for lower GWP </w:t>
      </w:r>
      <w:r w:rsidR="00A27175">
        <w:t>HCFO/</w:t>
      </w:r>
      <w:r>
        <w:t xml:space="preserve">HFOs and perchloroethylene (PCE). </w:t>
      </w:r>
    </w:p>
    <w:p w14:paraId="0A7E4227" w14:textId="6DF26706" w:rsidR="0046583A" w:rsidRPr="002F6212" w:rsidRDefault="0046583A" w:rsidP="0046583A">
      <w:r>
        <w:rPr>
          <w:rFonts w:eastAsiaTheme="minorEastAsia"/>
          <w:lang w:val="en-US" w:eastAsia="fr-FR"/>
        </w:rPr>
        <w:t>Accurate and consistent Article 7 reporting of production</w:t>
      </w:r>
      <w:r w:rsidR="00A27175">
        <w:rPr>
          <w:rFonts w:eastAsiaTheme="minorEastAsia"/>
          <w:lang w:val="en-US" w:eastAsia="fr-FR"/>
        </w:rPr>
        <w:t xml:space="preserve"> of co</w:t>
      </w:r>
      <w:r w:rsidR="00444712">
        <w:rPr>
          <w:rFonts w:eastAsiaTheme="minorEastAsia"/>
          <w:lang w:val="en-US" w:eastAsia="fr-FR"/>
        </w:rPr>
        <w:t>n</w:t>
      </w:r>
      <w:r w:rsidR="00A27175">
        <w:rPr>
          <w:rFonts w:eastAsiaTheme="minorEastAsia"/>
          <w:lang w:val="en-US" w:eastAsia="fr-FR"/>
        </w:rPr>
        <w:t>trolled substa</w:t>
      </w:r>
      <w:r w:rsidR="00266A09" w:rsidRPr="002C0D7B">
        <w:rPr>
          <w:rFonts w:eastAsiaTheme="minorEastAsia"/>
          <w:lang w:val="en-US" w:eastAsia="fr-FR"/>
        </w:rPr>
        <w:t>n</w:t>
      </w:r>
      <w:r w:rsidR="00A27175">
        <w:rPr>
          <w:rFonts w:eastAsiaTheme="minorEastAsia"/>
          <w:lang w:val="en-US" w:eastAsia="fr-FR"/>
        </w:rPr>
        <w:t>ces</w:t>
      </w:r>
      <w:r>
        <w:rPr>
          <w:rFonts w:eastAsiaTheme="minorEastAsia"/>
          <w:lang w:val="en-US" w:eastAsia="fr-FR"/>
        </w:rPr>
        <w:t xml:space="preserve">, including for feedstock uses, contributes to the </w:t>
      </w:r>
      <w:r w:rsidR="00444712">
        <w:rPr>
          <w:rFonts w:eastAsiaTheme="minorEastAsia"/>
          <w:lang w:val="en-US" w:eastAsia="fr-FR"/>
        </w:rPr>
        <w:t xml:space="preserve">better </w:t>
      </w:r>
      <w:r>
        <w:rPr>
          <w:rFonts w:eastAsiaTheme="minorEastAsia"/>
          <w:lang w:val="en-US" w:eastAsia="fr-FR"/>
        </w:rPr>
        <w:t xml:space="preserve">understanding and assessment of atmospheric burdens of controlled substances. Reported production can be correlated with related emissions of controlled substances. There are some products that are not reported because they are </w:t>
      </w:r>
      <w:r>
        <w:t xml:space="preserve">intermediates not isolated in a chemical manufacturing process. These </w:t>
      </w:r>
      <w:proofErr w:type="spellStart"/>
      <w:r>
        <w:t>i</w:t>
      </w:r>
      <w:r>
        <w:rPr>
          <w:rFonts w:eastAsiaTheme="minorEastAsia"/>
          <w:lang w:val="en-US" w:eastAsia="fr-FR"/>
        </w:rPr>
        <w:t>ntermediates</w:t>
      </w:r>
      <w:proofErr w:type="spellEnd"/>
      <w:r>
        <w:rPr>
          <w:rFonts w:eastAsiaTheme="minorEastAsia"/>
          <w:lang w:val="en-US" w:eastAsia="fr-FR"/>
        </w:rPr>
        <w:t xml:space="preserve"> may also be </w:t>
      </w:r>
      <w:r>
        <w:t>emitted in low quantities and detected by atmospheric monitoring.</w:t>
      </w:r>
      <w:r>
        <w:rPr>
          <w:rFonts w:eastAsiaTheme="minorEastAsia"/>
          <w:lang w:val="en-US" w:eastAsia="fr-FR"/>
        </w:rPr>
        <w:t xml:space="preserve"> </w:t>
      </w:r>
      <w:r>
        <w:t>In chemical production, a non-isolated intermediate in a chemical process is not considered as a finished product while it remains within the chemical process. As such, a non-isolated intermediate is not commonly reported. However, a substance that is isolated, most likely purified to a specification, and then used in a distinct, separate process, would be considered as a finished product and subject to reporting as production for feedstock use.</w:t>
      </w:r>
    </w:p>
    <w:p w14:paraId="28BC82CC" w14:textId="77777777" w:rsidR="0046583A" w:rsidRDefault="0046583A" w:rsidP="0046583A">
      <w:r w:rsidRPr="00D76AA2">
        <w:rPr>
          <w:b/>
          <w:bCs/>
          <w:i/>
          <w:iCs/>
        </w:rPr>
        <w:t>Destruction</w:t>
      </w:r>
      <w:r>
        <w:rPr>
          <w:b/>
          <w:bCs/>
          <w:i/>
          <w:iCs/>
        </w:rPr>
        <w:t xml:space="preserve"> technologies</w:t>
      </w:r>
      <w:r>
        <w:rPr>
          <w:b/>
          <w:bCs/>
          <w:i/>
          <w:iCs/>
        </w:rPr>
        <w:br/>
      </w:r>
      <w:r>
        <w:t>Decision XXX/6 on destruction technologies for controlled substances requests TEAP to assess destruction technologies listed (in annex II to the MOP-30</w:t>
      </w:r>
      <w:r w:rsidRPr="00311EBE">
        <w:t xml:space="preserve"> </w:t>
      </w:r>
      <w:r>
        <w:t>report) as not approved or not determined, as well as any other technologies, and to report to the Open-ended Working Group prior to MOP-33. In consultation with the Ozone Secretariat, TEAP and its MCTOC reported in 2021 that an assessment in response to decision XXX/6 will be included in MCTOC’s 2022 Assessment Report based on available information.</w:t>
      </w:r>
    </w:p>
    <w:p w14:paraId="62F2A187" w14:textId="77777777" w:rsidR="0046583A" w:rsidRDefault="0046583A" w:rsidP="0046583A">
      <w:r>
        <w:t xml:space="preserve">MCTOC outlined preparations for its assessment of destruction technologies under this decision in the 2020 and 2021 TEAP Progress Reports, including suggested guidance on the type of relevant information needed for assessment, which is included again in this report. The 2020 and 2021 TEAP Progress Reports invited parties to submit this type of information in response to decision XXX/6 paragraph 3. Information from parties was requested to be submitted no later than January 2022 to allow time for assessment. No information has been submitted. The opportunity has now passed for MCTOC to assess new data in time for its 2022 Assessment Report. MCTOC is not currently aware of new information, such as test data, relating to already approved destruction technologies or new </w:t>
      </w:r>
      <w:r>
        <w:lastRenderedPageBreak/>
        <w:t>technologies that would allow an assessment. MCTOC is aware of some developments in existing approved destruction technologies and emerging trends that are noteworthy to report in the Assessment Report.</w:t>
      </w:r>
    </w:p>
    <w:p w14:paraId="112B9495" w14:textId="77777777" w:rsidR="0046583A" w:rsidRPr="00311EBE" w:rsidRDefault="0046583A" w:rsidP="0046583A">
      <w:r>
        <w:t>In future, parties may wish to consider providing any new information for TEAP assessment of destruction technologies in January of the same year in which its assessment would be reported either as part of annual TEAP Progress Reports or future quadrennial assessments.</w:t>
      </w:r>
    </w:p>
    <w:p w14:paraId="46B1EE2A" w14:textId="0AEFEC6A" w:rsidR="0046583A" w:rsidRPr="0046583A" w:rsidRDefault="0046583A" w:rsidP="0046583A">
      <w:r w:rsidRPr="00D76AA2">
        <w:rPr>
          <w:b/>
          <w:bCs/>
          <w:i/>
          <w:iCs/>
        </w:rPr>
        <w:t>Metered dose inhalers</w:t>
      </w:r>
      <w:r>
        <w:rPr>
          <w:b/>
          <w:bCs/>
          <w:i/>
          <w:iCs/>
        </w:rPr>
        <w:br/>
      </w:r>
      <w:r w:rsidRPr="008E422D">
        <w:t xml:space="preserve">MDIs, </w:t>
      </w:r>
      <w:r>
        <w:t>dry powder inhalers (</w:t>
      </w:r>
      <w:r w:rsidRPr="008E422D">
        <w:t>DPIs</w:t>
      </w:r>
      <w:r>
        <w:t>), aqueous soft mist inhalers (SMIs),</w:t>
      </w:r>
      <w:r w:rsidRPr="008E422D">
        <w:t xml:space="preserve"> and other delivery systems </w:t>
      </w:r>
      <w:r>
        <w:t xml:space="preserve">all </w:t>
      </w:r>
      <w:r w:rsidRPr="008E422D">
        <w:t>play an important role in the treatment of asthma and COPD</w:t>
      </w:r>
      <w:r>
        <w:t xml:space="preserve">. </w:t>
      </w:r>
      <w:r w:rsidRPr="00E80875">
        <w:t xml:space="preserve">New </w:t>
      </w:r>
      <w:r>
        <w:t xml:space="preserve">alternative propellant </w:t>
      </w:r>
      <w:r w:rsidRPr="00E80875">
        <w:t xml:space="preserve">technologies </w:t>
      </w:r>
      <w:r>
        <w:t>to</w:t>
      </w:r>
      <w:r w:rsidRPr="00E80875">
        <w:t xml:space="preserve"> </w:t>
      </w:r>
      <w:r>
        <w:t xml:space="preserve">high-GWP HFC MDIs </w:t>
      </w:r>
      <w:r w:rsidRPr="00E80875">
        <w:t xml:space="preserve">are </w:t>
      </w:r>
      <w:r>
        <w:t>under development.</w:t>
      </w:r>
      <w:r w:rsidRPr="0026107A">
        <w:t xml:space="preserve"> </w:t>
      </w:r>
      <w:r w:rsidRPr="00A71518">
        <w:t xml:space="preserve">DPIs, soft mist inhalers and nebulisers are already available for most molecules and combinations as alternatives to high-GWP MDIs, offering a lower carbon footprint. </w:t>
      </w:r>
    </w:p>
    <w:p w14:paraId="1232F064" w14:textId="0C2D25DE" w:rsidR="00550028" w:rsidRDefault="003C61CE" w:rsidP="005C5E68">
      <w:pPr>
        <w:pStyle w:val="Heading2"/>
        <w:rPr>
          <w:rStyle w:val="Heading311ptBoldChar"/>
          <w:b/>
        </w:rPr>
      </w:pPr>
      <w:bookmarkStart w:id="176" w:name="_Toc40696039"/>
      <w:bookmarkStart w:id="177" w:name="_Toc77868858"/>
      <w:bookmarkStart w:id="178" w:name="_Toc78040704"/>
      <w:bookmarkStart w:id="179" w:name="_Toc79066510"/>
      <w:bookmarkStart w:id="180" w:name="_Toc104396659"/>
      <w:r w:rsidRPr="003779B3">
        <w:rPr>
          <w:rStyle w:val="Heading311ptBoldChar"/>
          <w:b/>
        </w:rPr>
        <w:t>1.</w:t>
      </w:r>
      <w:r w:rsidR="00B710A8">
        <w:rPr>
          <w:rStyle w:val="Heading311ptBoldChar"/>
          <w:b/>
        </w:rPr>
        <w:t>4</w:t>
      </w:r>
      <w:r w:rsidRPr="003779B3">
        <w:rPr>
          <w:rStyle w:val="Heading311ptBoldChar"/>
          <w:b/>
        </w:rPr>
        <w:t>.5</w:t>
      </w:r>
      <w:r w:rsidRPr="003779B3">
        <w:rPr>
          <w:rStyle w:val="Heading311ptBoldChar"/>
          <w:b/>
        </w:rPr>
        <w:tab/>
      </w:r>
      <w:r w:rsidR="00052224" w:rsidRPr="003779B3">
        <w:rPr>
          <w:rStyle w:val="Heading311ptBoldChar"/>
          <w:b/>
        </w:rPr>
        <w:t>RTOC</w:t>
      </w:r>
      <w:bookmarkEnd w:id="176"/>
      <w:bookmarkEnd w:id="177"/>
      <w:bookmarkEnd w:id="178"/>
      <w:bookmarkEnd w:id="179"/>
      <w:bookmarkEnd w:id="180"/>
      <w:r w:rsidR="00052224" w:rsidRPr="003779B3">
        <w:rPr>
          <w:rStyle w:val="Heading311ptBoldChar"/>
          <w:b/>
        </w:rPr>
        <w:t xml:space="preserve"> </w:t>
      </w:r>
    </w:p>
    <w:p w14:paraId="00AC71B8" w14:textId="1C809A11" w:rsidR="00550028" w:rsidRDefault="00550028" w:rsidP="00D00FB8">
      <w:r w:rsidRPr="00D00FB8">
        <w:t xml:space="preserve">Since the publication of the RTOC 2018 Assessment Report, one new single component refrigerant and eighteen refrigerant blends have received a designation/classification from the American Society of Heating, Refrigerating, and Air-Conditioning Engineers (ASHRAE) Standard 34 and/or from the International Standards Organisation (ISO) 817. These eighteen refrigerants are listed in tables 6.1, 6.2 and 6.3. Their GWP and ODP values are calculated in the same way as the ones given in the RTOC 2018 Assessment Report. </w:t>
      </w:r>
    </w:p>
    <w:p w14:paraId="01666FE1" w14:textId="536D3B1C" w:rsidR="002B6B90" w:rsidRPr="002B6B90" w:rsidRDefault="002B6B90" w:rsidP="002B6B90">
      <w:r w:rsidRPr="00D00FB8">
        <w:t>The importance of reducing direct and indirect CO</w:t>
      </w:r>
      <w:r w:rsidRPr="00B710A8">
        <w:rPr>
          <w:vertAlign w:val="subscript"/>
        </w:rPr>
        <w:t>2</w:t>
      </w:r>
      <w:r w:rsidRPr="00D00FB8">
        <w:t xml:space="preserve"> emissions from the RACHP sector is gaining increasing attention, especially the sustainable design and operation of equipment </w:t>
      </w:r>
      <w:proofErr w:type="gramStart"/>
      <w:r w:rsidRPr="00D00FB8">
        <w:t>taking into account</w:t>
      </w:r>
      <w:proofErr w:type="gramEnd"/>
      <w:r w:rsidRPr="00D00FB8">
        <w:t xml:space="preserve"> the strong growth of the equipment base. Improving the equipment energy efficiency during the HFC phase-down is one major opportunity to reduce energy demand, alongside the phasing down of equipment containing high GWP HFCs. Training in the servicing and maintenance of RACHP equipment to reduce leaks will also reduce emissions of high GWP HFCs.</w:t>
      </w:r>
    </w:p>
    <w:p w14:paraId="0056CBCF" w14:textId="2E766C50" w:rsidR="002B6B90" w:rsidRPr="002B6B90" w:rsidRDefault="00550028" w:rsidP="002B6B90">
      <w:r w:rsidRPr="00D00FB8">
        <w:t xml:space="preserve">There has been significant progress with the development of safety standards to support the transition towards lower GWP alternative refrigerants, that are mostly flammable. IEC 60335-2-89 (applicable to commercial refrigeration) was revised to include larger charges of flammable refrigerants (up to 500 g – 1200 g given certain boundary conditions) and is currently being transferred to national standards. </w:t>
      </w:r>
      <w:r w:rsidR="002B6B90">
        <w:br/>
      </w:r>
      <w:r w:rsidRPr="00D00FB8">
        <w:br/>
      </w:r>
      <w:r w:rsidR="002B6B90" w:rsidRPr="002B6B90">
        <w:t>The new edition of the standard IEC 60335-2-40</w:t>
      </w:r>
      <w:r w:rsidR="002B6B90" w:rsidRPr="002B6B90">
        <w:footnoteReference w:id="5"/>
      </w:r>
      <w:r w:rsidR="002B6B90" w:rsidRPr="002B6B90">
        <w:t xml:space="preserve"> was approved in April 2022 by the International Electrotechnical Commission.</w:t>
      </w:r>
      <w:r w:rsidR="005617DE">
        <w:t xml:space="preserve"> </w:t>
      </w:r>
      <w:r w:rsidR="002B6B90" w:rsidRPr="002B6B90">
        <w:t>The approved revised version will allow HC-290 (propane), and other flammable refrigerants, to be used in many air conditioning systems and heat pumps that were previously prohibited by the previous version of the standard from using these refrigerants.</w:t>
      </w:r>
    </w:p>
    <w:p w14:paraId="466B01DB" w14:textId="17C82C91" w:rsidR="002B6B90" w:rsidRPr="002B6B90" w:rsidRDefault="002B6B90" w:rsidP="002B6B90">
      <w:r w:rsidRPr="002B6B90">
        <w:t>The revised safety standard allows for the use of a larger charge of flammable refrigerants (up to 988g of HC-290 in a standard split air conditioning system). This will be possible on new equipment that must have additional safety requirements to ensure the same high level of safety as equipment that does not use flammable refrigerants.</w:t>
      </w:r>
    </w:p>
    <w:p w14:paraId="1232FD16" w14:textId="77777777" w:rsidR="002B6B90" w:rsidRPr="002B6B90" w:rsidRDefault="002B6B90" w:rsidP="002B6B90">
      <w:r w:rsidRPr="002B6B90">
        <w:lastRenderedPageBreak/>
        <w:t>The use of flammable refrigerants in air conditioning equipment will lead to a reduction in direct climate emissions compared to systems using R410A.</w:t>
      </w:r>
    </w:p>
    <w:p w14:paraId="235A1FB5" w14:textId="7CDC0ABB" w:rsidR="00052224" w:rsidRPr="002B6B90" w:rsidRDefault="005704A7" w:rsidP="002B6B90">
      <w:r w:rsidRPr="002B6B90">
        <w:br/>
      </w:r>
    </w:p>
    <w:p w14:paraId="7963F62F" w14:textId="44C21A65" w:rsidR="000700A3" w:rsidRDefault="000700A3" w:rsidP="004D3766">
      <w:pPr>
        <w:autoSpaceDE w:val="0"/>
        <w:autoSpaceDN w:val="0"/>
        <w:adjustRightInd w:val="0"/>
        <w:sectPr w:rsidR="000700A3" w:rsidSect="00317779">
          <w:type w:val="oddPage"/>
          <w:pgSz w:w="11906" w:h="16838"/>
          <w:pgMar w:top="1440" w:right="1440" w:bottom="1440" w:left="1440" w:header="708" w:footer="708" w:gutter="0"/>
          <w:pgNumType w:start="1"/>
          <w:cols w:space="708"/>
          <w:docGrid w:linePitch="360"/>
        </w:sectPr>
      </w:pPr>
    </w:p>
    <w:p w14:paraId="1E0F62BD" w14:textId="2D4AB52F" w:rsidR="007A058F" w:rsidRDefault="00135629" w:rsidP="00821BBC">
      <w:pPr>
        <w:pStyle w:val="Heading1"/>
        <w:rPr>
          <w:rStyle w:val="Heading2Char"/>
          <w:rFonts w:cs="Times New Roman"/>
          <w:b/>
          <w:lang w:val="en-US"/>
        </w:rPr>
      </w:pPr>
      <w:bookmarkStart w:id="181" w:name="_Toc514151621"/>
      <w:bookmarkStart w:id="182" w:name="_Toc9109562"/>
      <w:bookmarkStart w:id="183" w:name="_Toc40696040"/>
      <w:bookmarkStart w:id="184" w:name="_Toc77868859"/>
      <w:bookmarkStart w:id="185" w:name="_Toc78040705"/>
      <w:bookmarkStart w:id="186" w:name="_Toc79066511"/>
      <w:bookmarkStart w:id="187" w:name="_Toc388648338"/>
      <w:bookmarkStart w:id="188" w:name="_Toc295406119"/>
      <w:bookmarkStart w:id="189" w:name="_Toc104396660"/>
      <w:bookmarkStart w:id="190" w:name="_Toc293834601"/>
      <w:bookmarkStart w:id="191" w:name="OLE_LINK34"/>
      <w:bookmarkStart w:id="192" w:name="OLE_LINK35"/>
      <w:bookmarkEnd w:id="123"/>
      <w:bookmarkEnd w:id="124"/>
      <w:bookmarkEnd w:id="125"/>
      <w:bookmarkEnd w:id="126"/>
      <w:bookmarkEnd w:id="132"/>
      <w:r>
        <w:lastRenderedPageBreak/>
        <w:t>2</w:t>
      </w:r>
      <w:r>
        <w:tab/>
      </w:r>
      <w:r w:rsidR="00C02CD6" w:rsidRPr="009D1380">
        <w:t xml:space="preserve">Flexible and Rigid </w:t>
      </w:r>
      <w:r w:rsidR="00591AA8" w:rsidRPr="009D1380">
        <w:t>Foams TOC (FTOC) Progress Report</w:t>
      </w:r>
      <w:bookmarkEnd w:id="181"/>
      <w:bookmarkEnd w:id="182"/>
      <w:bookmarkEnd w:id="183"/>
      <w:bookmarkEnd w:id="184"/>
      <w:bookmarkEnd w:id="185"/>
      <w:bookmarkEnd w:id="186"/>
      <w:bookmarkEnd w:id="187"/>
      <w:bookmarkEnd w:id="188"/>
      <w:bookmarkEnd w:id="189"/>
      <w:r w:rsidR="00591AA8" w:rsidRPr="009D1380">
        <w:t xml:space="preserve"> </w:t>
      </w:r>
      <w:bookmarkStart w:id="193" w:name="_Toc512934231"/>
      <w:bookmarkStart w:id="194" w:name="_Toc9109563"/>
      <w:bookmarkStart w:id="195" w:name="_Toc388648339"/>
      <w:bookmarkStart w:id="196" w:name="_Toc295406120"/>
      <w:bookmarkStart w:id="197" w:name="_Toc514151630"/>
      <w:bookmarkStart w:id="198" w:name="_Toc9109568"/>
      <w:bookmarkEnd w:id="190"/>
      <w:bookmarkEnd w:id="191"/>
      <w:bookmarkEnd w:id="192"/>
    </w:p>
    <w:p w14:paraId="61378F93" w14:textId="5D355517" w:rsidR="00CA3877" w:rsidRPr="00821BBC" w:rsidRDefault="00CA3877" w:rsidP="00821BBC">
      <w:pPr>
        <w:pStyle w:val="Heading2"/>
        <w:rPr>
          <w:rStyle w:val="Heading2Char"/>
          <w:b/>
        </w:rPr>
      </w:pPr>
      <w:bookmarkStart w:id="199" w:name="_Toc104396661"/>
      <w:r w:rsidRPr="00B865BA">
        <w:rPr>
          <w:rStyle w:val="Heading2Char"/>
          <w:b/>
        </w:rPr>
        <w:t>2.1</w:t>
      </w:r>
      <w:r w:rsidRPr="00B865BA">
        <w:rPr>
          <w:rStyle w:val="Heading2Char"/>
          <w:b/>
        </w:rPr>
        <w:tab/>
        <w:t>Introduction</w:t>
      </w:r>
      <w:bookmarkEnd w:id="199"/>
      <w:r w:rsidR="005617DE">
        <w:rPr>
          <w:rStyle w:val="Heading2Char"/>
          <w:b/>
        </w:rPr>
        <w:t xml:space="preserve"> </w:t>
      </w:r>
    </w:p>
    <w:p w14:paraId="2B8BED6B" w14:textId="74F88D5F" w:rsidR="00CA3877" w:rsidRPr="00D00FB8" w:rsidRDefault="00CA3877" w:rsidP="00D00FB8">
      <w:r w:rsidRPr="00D00FB8">
        <w:t>In non-A5 parties, regulations are driving transitions away from high GWP HFCs, whereas in A5 parties, HPMPs continue to drive transitions. Low-</w:t>
      </w:r>
      <w:r w:rsidR="00B710A8" w:rsidRPr="00D00FB8">
        <w:t xml:space="preserve"> </w:t>
      </w:r>
      <w:r w:rsidRPr="00D00FB8">
        <w:t xml:space="preserve">GWP blowing agent shortages continue in both A5 and non-A5 parties which may be due to pandemic-related supply chain issues, raw material and supply chain shortages, manufacturing issues, and severe weather. Undisclosed manufacturing issues from at least one supplier have led to </w:t>
      </w:r>
      <w:r w:rsidRPr="00444712">
        <w:rPr>
          <w:i/>
        </w:rPr>
        <w:t>force majeure</w:t>
      </w:r>
      <w:r w:rsidR="00444712">
        <w:t xml:space="preserve"> declaration</w:t>
      </w:r>
      <w:r w:rsidRPr="00D00FB8">
        <w:t>, according to a number of foam manufacturers. As a result, there has been a significant increase in the use of hydrofluorocarbon HFC-365mfc / HFC-227ea or HFC-365mfc/ HFC-245fa blends in some A5 parties and a reversion to HFC-365</w:t>
      </w:r>
      <w:r w:rsidR="00444712">
        <w:t>mfc</w:t>
      </w:r>
      <w:r w:rsidRPr="00D00FB8">
        <w:t xml:space="preserve"> blends and HFC-245fa in some non-A5 parties. Prices of HFCs have also increased during the pandemic. There have also been reported shortages of hydrocarbons, such as cyclopentane.</w:t>
      </w:r>
    </w:p>
    <w:p w14:paraId="0EFCF2D2" w14:textId="4465E144" w:rsidR="00CA3877" w:rsidRPr="00D00FB8" w:rsidRDefault="00CA3877" w:rsidP="00D00FB8">
      <w:r w:rsidRPr="00D00FB8">
        <w:t>The transition away from ODS foam blowing agents in some regions and market</w:t>
      </w:r>
      <w:r w:rsidR="00D00FB8" w:rsidRPr="00D00FB8">
        <w:t xml:space="preserve"> </w:t>
      </w:r>
      <w:r w:rsidRPr="00D00FB8">
        <w:t>segments (e.g.</w:t>
      </w:r>
      <w:r w:rsidR="002C0D7B" w:rsidRPr="002C0D7B">
        <w:t>,</w:t>
      </w:r>
      <w:r w:rsidRPr="00D00FB8">
        <w:t xml:space="preserve"> spray foam and extruded polystyrene [XPS]) may be delayed because</w:t>
      </w:r>
      <w:r w:rsidR="00D00FB8" w:rsidRPr="00D00FB8">
        <w:t xml:space="preserve"> </w:t>
      </w:r>
      <w:r w:rsidR="00444712">
        <w:t xml:space="preserve">of </w:t>
      </w:r>
      <w:r w:rsidRPr="00D00FB8">
        <w:t>cost, especially where local codes require higher thermal performance</w:t>
      </w:r>
      <w:r w:rsidRPr="00D00FB8">
        <w:footnoteReference w:id="6"/>
      </w:r>
      <w:r w:rsidRPr="00D00FB8">
        <w:t xml:space="preserve">. It should be noted that the price of HFC blowing agents is nearly as high as </w:t>
      </w:r>
      <w:r w:rsidR="002C0D7B" w:rsidRPr="002C0D7B">
        <w:t>HFO/HCFO</w:t>
      </w:r>
      <w:r w:rsidRPr="00D00FB8">
        <w:t xml:space="preserve"> prices were prior to the pandemic in some A5 parties. </w:t>
      </w:r>
      <w:r w:rsidR="000E7C16">
        <w:br/>
      </w:r>
      <w:r w:rsidRPr="00D00FB8">
        <w:br/>
        <w:t>The importation of ozone-depleting foam blowing agents is controlled or under license, and more parties are controlling the import of polyols containing HCFC-141b or other ODS. More action is pending with import restrictions and potential requirements to add a label stating “containing HCFC 141b in formulated polyols”.</w:t>
      </w:r>
    </w:p>
    <w:p w14:paraId="19BC334D" w14:textId="0C2E3351" w:rsidR="00CA3877" w:rsidRPr="00D00FB8" w:rsidRDefault="00CA3877" w:rsidP="00D00FB8">
      <w:pPr>
        <w:rPr>
          <w:i/>
        </w:rPr>
      </w:pPr>
      <w:r w:rsidRPr="00D00FB8">
        <w:t>It is possible that consolidation among foam manufacturing companies may occur during the phaseout of HCFC blowing agents in A5 parties, as it did in non-A5 parties</w:t>
      </w:r>
      <w:r w:rsidRPr="00D00FB8">
        <w:rPr>
          <w:vertAlign w:val="superscript"/>
        </w:rPr>
        <w:footnoteReference w:id="7"/>
      </w:r>
      <w:r w:rsidRPr="00D00FB8">
        <w:t>.</w:t>
      </w:r>
    </w:p>
    <w:p w14:paraId="6408CAF7" w14:textId="77777777" w:rsidR="00CA3877" w:rsidRPr="00D00FB8" w:rsidRDefault="00CA3877" w:rsidP="00107383">
      <w:pPr>
        <w:pStyle w:val="IPPNormal"/>
        <w:numPr>
          <w:ilvl w:val="1"/>
          <w:numId w:val="60"/>
        </w:numPr>
        <w:ind w:left="360"/>
        <w:contextualSpacing/>
        <w:textAlignment w:val="baseline"/>
        <w:rPr>
          <w:i w:val="0"/>
          <w:color w:val="FF0000"/>
          <w:sz w:val="22"/>
          <w:szCs w:val="22"/>
          <w:lang w:val="en-US"/>
        </w:rPr>
      </w:pPr>
      <w:r w:rsidRPr="00D00FB8">
        <w:rPr>
          <w:i w:val="0"/>
          <w:sz w:val="22"/>
          <w:szCs w:val="22"/>
          <w:lang w:val="en-US"/>
        </w:rPr>
        <w:t xml:space="preserve">There is new manufacturing capacity of HCFO-1224yd(Z) in Japan and significant quantities of HCFO-1233zd(E) in China. HFO-1336mzz(E), with a boiling point of approximately 9°C, is also reportedly available in small quantities in some regions </w:t>
      </w:r>
    </w:p>
    <w:p w14:paraId="247AAEA8" w14:textId="00AB6FF2" w:rsidR="00CA3877" w:rsidRPr="00D00FB8" w:rsidRDefault="00CA3877" w:rsidP="00107383">
      <w:pPr>
        <w:pStyle w:val="IPPNormal"/>
        <w:numPr>
          <w:ilvl w:val="1"/>
          <w:numId w:val="60"/>
        </w:numPr>
        <w:ind w:left="360"/>
        <w:contextualSpacing/>
        <w:textAlignment w:val="baseline"/>
        <w:rPr>
          <w:i w:val="0"/>
          <w:sz w:val="22"/>
          <w:szCs w:val="22"/>
          <w:lang w:val="en-US"/>
        </w:rPr>
      </w:pPr>
      <w:r w:rsidRPr="00D00FB8">
        <w:rPr>
          <w:i w:val="0"/>
          <w:sz w:val="22"/>
          <w:szCs w:val="22"/>
          <w:lang w:val="en-US"/>
        </w:rPr>
        <w:t>Non-A5 and A5 parties are facing challenges with the supply of HFO/HCFOs. This has led to market growth of HFC-365mfc in some A5 parties and reversion to HFC-245fa in some non-A5 parties.</w:t>
      </w:r>
    </w:p>
    <w:p w14:paraId="118B2B7D" w14:textId="620E4D43" w:rsidR="00CA3877" w:rsidRPr="007A058F" w:rsidRDefault="00CA3877" w:rsidP="005C5E68">
      <w:pPr>
        <w:pStyle w:val="Heading2"/>
        <w:rPr>
          <w:rStyle w:val="Heading2Char"/>
          <w:b/>
        </w:rPr>
      </w:pPr>
      <w:bookmarkStart w:id="200" w:name="_Toc104396662"/>
      <w:r w:rsidRPr="007A058F">
        <w:rPr>
          <w:rStyle w:val="Heading2Char"/>
          <w:b/>
        </w:rPr>
        <w:t>2.2</w:t>
      </w:r>
      <w:r w:rsidRPr="007A058F">
        <w:rPr>
          <w:rStyle w:val="Heading2Char"/>
          <w:b/>
        </w:rPr>
        <w:tab/>
        <w:t>Global Foams Market</w:t>
      </w:r>
      <w:bookmarkEnd w:id="200"/>
      <w:r w:rsidRPr="007A058F">
        <w:rPr>
          <w:rStyle w:val="Heading2Char"/>
          <w:b/>
        </w:rPr>
        <w:t xml:space="preserve"> </w:t>
      </w:r>
    </w:p>
    <w:p w14:paraId="231026B0" w14:textId="78248041" w:rsidR="00CA3877" w:rsidRPr="00D00FB8" w:rsidRDefault="00CA3877" w:rsidP="00CA3877">
      <w:pPr>
        <w:rPr>
          <w:color w:val="auto"/>
          <w:szCs w:val="22"/>
          <w:shd w:val="clear" w:color="auto" w:fill="FFFFFF"/>
        </w:rPr>
      </w:pPr>
      <w:r w:rsidRPr="00D00FB8">
        <w:rPr>
          <w:color w:val="auto"/>
          <w:szCs w:val="22"/>
          <w:shd w:val="clear" w:color="auto" w:fill="FFFFFF"/>
        </w:rPr>
        <w:t xml:space="preserve">The annual </w:t>
      </w:r>
      <w:r w:rsidR="005917AB">
        <w:rPr>
          <w:color w:val="auto"/>
          <w:szCs w:val="22"/>
          <w:shd w:val="clear" w:color="auto" w:fill="FFFFFF"/>
        </w:rPr>
        <w:t xml:space="preserve">growth in </w:t>
      </w:r>
      <w:r w:rsidRPr="00D00FB8">
        <w:rPr>
          <w:color w:val="auto"/>
          <w:szCs w:val="22"/>
          <w:shd w:val="clear" w:color="auto" w:fill="FFFFFF"/>
        </w:rPr>
        <w:t xml:space="preserve">production of polymer foam was projected to </w:t>
      </w:r>
      <w:r w:rsidR="005917AB">
        <w:rPr>
          <w:color w:val="auto"/>
          <w:szCs w:val="22"/>
          <w:shd w:val="clear" w:color="auto" w:fill="FFFFFF"/>
        </w:rPr>
        <w:t>be</w:t>
      </w:r>
      <w:r w:rsidRPr="00D00FB8">
        <w:rPr>
          <w:color w:val="auto"/>
          <w:szCs w:val="22"/>
          <w:shd w:val="clear" w:color="auto" w:fill="FFFFFF"/>
        </w:rPr>
        <w:t xml:space="preserve"> an estimated 3.8% from 2020 to 2027</w:t>
      </w:r>
      <w:r w:rsidRPr="00D00FB8">
        <w:rPr>
          <w:rStyle w:val="FootnoteReference"/>
          <w:color w:val="auto"/>
          <w:szCs w:val="22"/>
          <w:shd w:val="clear" w:color="auto" w:fill="FFFFFF"/>
        </w:rPr>
        <w:footnoteReference w:id="8"/>
      </w:r>
      <w:r w:rsidRPr="00D00FB8">
        <w:rPr>
          <w:color w:val="auto"/>
          <w:szCs w:val="22"/>
          <w:shd w:val="clear" w:color="auto" w:fill="FFFFFF"/>
        </w:rPr>
        <w:t xml:space="preserve"> to 4.8%</w:t>
      </w:r>
      <w:r w:rsidRPr="00D00FB8">
        <w:rPr>
          <w:rStyle w:val="FootnoteReference"/>
          <w:color w:val="auto"/>
          <w:szCs w:val="22"/>
          <w:shd w:val="clear" w:color="auto" w:fill="FFFFFF"/>
        </w:rPr>
        <w:footnoteReference w:id="9"/>
      </w:r>
      <w:r w:rsidRPr="00D00FB8">
        <w:rPr>
          <w:color w:val="auto"/>
          <w:szCs w:val="22"/>
          <w:shd w:val="clear" w:color="auto" w:fill="FFFFFF"/>
        </w:rPr>
        <w:t xml:space="preserve"> led by growth in emerging markets. However, the effect of the pandemic and its economic after-effects introduces significant uncertainty to growth projections. It is now assumed that global production may not recover to 2019 levels until 2024 or later.</w:t>
      </w:r>
    </w:p>
    <w:p w14:paraId="3DA90455" w14:textId="54003840" w:rsidR="00CA3877" w:rsidRPr="00D00FB8" w:rsidRDefault="00CA3877" w:rsidP="00CA3877">
      <w:pPr>
        <w:shd w:val="clear" w:color="auto" w:fill="FFFFFF"/>
        <w:spacing w:after="0"/>
        <w:rPr>
          <w:color w:val="auto"/>
          <w:szCs w:val="22"/>
        </w:rPr>
      </w:pPr>
      <w:r w:rsidRPr="00D00FB8">
        <w:rPr>
          <w:color w:val="auto"/>
          <w:szCs w:val="22"/>
        </w:rPr>
        <w:t xml:space="preserve">Overall, the global production of XPS remained stable prior to the pandemic. This material is typically used for its low-moisture permeability and high-compression strength in applications including refrigerated transport, perimeter insulation and cold stores. Polyurethane, polyisocyanurate, and phenolic rigid foam are not used as widely as other thermal insulation materials in building </w:t>
      </w:r>
      <w:r w:rsidRPr="00D00FB8">
        <w:rPr>
          <w:color w:val="auto"/>
          <w:szCs w:val="22"/>
        </w:rPr>
        <w:lastRenderedPageBreak/>
        <w:t>insulation due to relatively high cost. However, the low thermal conductivity of all three types of foam at wide operating temperatures dominates the insulation demand from the cold chain and district cooling and heating systems, including internal building services usage.</w:t>
      </w:r>
    </w:p>
    <w:p w14:paraId="1817F4EB" w14:textId="77777777" w:rsidR="00CA3877" w:rsidRPr="00D00FB8" w:rsidRDefault="00CA3877" w:rsidP="00CA3877">
      <w:pPr>
        <w:pStyle w:val="Style15"/>
        <w:rPr>
          <w:sz w:val="22"/>
          <w:szCs w:val="22"/>
        </w:rPr>
      </w:pPr>
    </w:p>
    <w:p w14:paraId="6A1B8C26" w14:textId="04DEFF04" w:rsidR="00CA3877" w:rsidRPr="00D00FB8" w:rsidRDefault="00CA3877" w:rsidP="00CA3877">
      <w:pPr>
        <w:rPr>
          <w:color w:val="auto"/>
          <w:szCs w:val="22"/>
        </w:rPr>
      </w:pPr>
      <w:r w:rsidRPr="00D00FB8">
        <w:rPr>
          <w:color w:val="auto"/>
          <w:szCs w:val="22"/>
        </w:rPr>
        <w:t>Polymer foams encasing vacuum-insulated panels in appliances and aerogels in industrial pipe insulation offer ultra-high insulation performance and are used in specialized applications in refrigeration and construction.</w:t>
      </w:r>
    </w:p>
    <w:p w14:paraId="3DDC7129" w14:textId="59B6F17C" w:rsidR="00CA3877" w:rsidRPr="00C7675C" w:rsidRDefault="00CA3877" w:rsidP="005C5E68">
      <w:pPr>
        <w:pStyle w:val="Heading2"/>
        <w:rPr>
          <w:rStyle w:val="Heading311ptBoldChar"/>
          <w:b/>
        </w:rPr>
      </w:pPr>
      <w:bookmarkStart w:id="201" w:name="_Toc77868860"/>
      <w:bookmarkStart w:id="202" w:name="_Toc78040706"/>
      <w:bookmarkStart w:id="203" w:name="_Toc104396663"/>
      <w:r w:rsidRPr="00C7675C">
        <w:rPr>
          <w:rStyle w:val="Heading311ptBoldChar"/>
          <w:b/>
        </w:rPr>
        <w:t>2.2.1</w:t>
      </w:r>
      <w:r w:rsidRPr="00C7675C">
        <w:rPr>
          <w:rStyle w:val="Heading311ptBoldChar"/>
          <w:b/>
        </w:rPr>
        <w:tab/>
        <w:t>Major Issues Influencing the Global Foams Market</w:t>
      </w:r>
      <w:bookmarkEnd w:id="201"/>
      <w:bookmarkEnd w:id="202"/>
      <w:bookmarkEnd w:id="203"/>
    </w:p>
    <w:p w14:paraId="4CEE0630" w14:textId="277AC26C" w:rsidR="00CA3877" w:rsidRPr="00D00FB8" w:rsidRDefault="00CA3877" w:rsidP="00CA3877">
      <w:pPr>
        <w:rPr>
          <w:color w:val="auto"/>
          <w:szCs w:val="22"/>
          <w:shd w:val="clear" w:color="auto" w:fill="FFFFFF"/>
        </w:rPr>
      </w:pPr>
      <w:r w:rsidRPr="00D00FB8">
        <w:rPr>
          <w:color w:val="auto"/>
          <w:szCs w:val="22"/>
          <w:shd w:val="clear" w:color="auto" w:fill="FFFFFF"/>
        </w:rPr>
        <w:t>Continued focus on reducing heating and cooling load in buildings and appliances will likely include the increased use of polymeric foams as thermal insulation.</w:t>
      </w:r>
    </w:p>
    <w:p w14:paraId="62704689" w14:textId="09506A0B" w:rsidR="00CA3877" w:rsidRPr="00D00FB8" w:rsidRDefault="00CA3877" w:rsidP="00CA3877">
      <w:pPr>
        <w:rPr>
          <w:color w:val="auto"/>
          <w:szCs w:val="22"/>
          <w:shd w:val="clear" w:color="auto" w:fill="FFFFFF"/>
        </w:rPr>
      </w:pPr>
      <w:r w:rsidRPr="00D00FB8">
        <w:rPr>
          <w:color w:val="auto"/>
          <w:szCs w:val="22"/>
          <w:shd w:val="clear" w:color="auto" w:fill="FFFFFF"/>
        </w:rPr>
        <w:t>Global growth in population influences the demand for polymeric foams used in the main end-use industries, including building &amp; construction, the cold chain, furniture &amp; bedding, packaging and transportation industries (e.g.</w:t>
      </w:r>
      <w:r w:rsidR="002C0D7B" w:rsidRPr="002C0D7B">
        <w:rPr>
          <w:color w:val="auto"/>
          <w:szCs w:val="22"/>
          <w:shd w:val="clear" w:color="auto" w:fill="FFFFFF"/>
        </w:rPr>
        <w:t>,</w:t>
      </w:r>
      <w:r w:rsidRPr="00D00FB8">
        <w:rPr>
          <w:color w:val="auto"/>
          <w:szCs w:val="22"/>
        </w:rPr>
        <w:t xml:space="preserve"> </w:t>
      </w:r>
      <w:r w:rsidRPr="00D00FB8">
        <w:rPr>
          <w:rStyle w:val="bumpedfont15"/>
          <w:rFonts w:eastAsia="MS Mincho"/>
          <w:color w:val="auto"/>
          <w:szCs w:val="22"/>
          <w:shd w:val="clear" w:color="auto" w:fill="FFFFFF"/>
        </w:rPr>
        <w:t>automotive industries (cars, buses, motorcycles), trains, ships etc.)</w:t>
      </w:r>
      <w:r w:rsidRPr="00D00FB8">
        <w:rPr>
          <w:color w:val="auto"/>
          <w:szCs w:val="22"/>
          <w:shd w:val="clear" w:color="auto" w:fill="FFFFFF"/>
        </w:rPr>
        <w:t>. Polyurethane, polyisocyanurates, polystyrene and phenolic foams contribute to the energy efficiency of heating and cooling systems in buildings, while flexible polyurethane foams provide acoustic insulation, energy absorption for packaging</w:t>
      </w:r>
      <w:r w:rsidR="002C0D7B" w:rsidRPr="002C0D7B">
        <w:rPr>
          <w:color w:val="auto"/>
          <w:szCs w:val="22"/>
          <w:shd w:val="clear" w:color="auto" w:fill="FFFFFF"/>
        </w:rPr>
        <w:t>,</w:t>
      </w:r>
      <w:r w:rsidRPr="00D00FB8">
        <w:rPr>
          <w:color w:val="auto"/>
          <w:szCs w:val="22"/>
          <w:shd w:val="clear" w:color="auto" w:fill="FFFFFF"/>
        </w:rPr>
        <w:t xml:space="preserve"> and comfort in applications such as mattresses and furniture. </w:t>
      </w:r>
    </w:p>
    <w:p w14:paraId="084EF394" w14:textId="4B79F054" w:rsidR="00CA3877" w:rsidRPr="00D00FB8" w:rsidRDefault="005917AB" w:rsidP="00CA3877">
      <w:pPr>
        <w:rPr>
          <w:color w:val="auto"/>
          <w:szCs w:val="22"/>
          <w:shd w:val="clear" w:color="auto" w:fill="FFFFFF"/>
        </w:rPr>
      </w:pPr>
      <w:r w:rsidRPr="00D00FB8">
        <w:rPr>
          <w:color w:val="auto"/>
          <w:szCs w:val="22"/>
          <w:shd w:val="clear" w:color="auto" w:fill="FFFFFF"/>
        </w:rPr>
        <w:t>The main factors influencing thermal insulation requirements are legislati</w:t>
      </w:r>
      <w:r>
        <w:rPr>
          <w:color w:val="auto"/>
          <w:szCs w:val="22"/>
          <w:shd w:val="clear" w:color="auto" w:fill="FFFFFF"/>
        </w:rPr>
        <w:t>ve</w:t>
      </w:r>
      <w:r w:rsidRPr="00D00FB8">
        <w:rPr>
          <w:color w:val="auto"/>
          <w:szCs w:val="22"/>
          <w:shd w:val="clear" w:color="auto" w:fill="FFFFFF"/>
        </w:rPr>
        <w:t>, regula</w:t>
      </w:r>
      <w:r>
        <w:rPr>
          <w:color w:val="auto"/>
          <w:szCs w:val="22"/>
          <w:shd w:val="clear" w:color="auto" w:fill="FFFFFF"/>
        </w:rPr>
        <w:t>tory,</w:t>
      </w:r>
      <w:r w:rsidRPr="00D00FB8">
        <w:rPr>
          <w:color w:val="auto"/>
          <w:szCs w:val="22"/>
          <w:shd w:val="clear" w:color="auto" w:fill="FFFFFF"/>
        </w:rPr>
        <w:t xml:space="preserve"> and building standard</w:t>
      </w:r>
      <w:r>
        <w:rPr>
          <w:color w:val="auto"/>
          <w:szCs w:val="22"/>
          <w:shd w:val="clear" w:color="auto" w:fill="FFFFFF"/>
        </w:rPr>
        <w:t xml:space="preserve"> mandate</w:t>
      </w:r>
      <w:r w:rsidRPr="00D00FB8">
        <w:rPr>
          <w:color w:val="auto"/>
          <w:szCs w:val="22"/>
          <w:shd w:val="clear" w:color="auto" w:fill="FFFFFF"/>
        </w:rPr>
        <w:t>s to reduce heating and cooling loads in commercial and residential buildings.</w:t>
      </w:r>
      <w:r w:rsidR="00CA3877" w:rsidRPr="00D00FB8">
        <w:rPr>
          <w:color w:val="auto"/>
          <w:szCs w:val="22"/>
          <w:shd w:val="clear" w:color="auto" w:fill="FFFFFF"/>
        </w:rPr>
        <w:t xml:space="preserve"> The EU and NA are currently the leading proponents of building codes to improve energy efficiency in the construction industry, while the global appliance industry continues to develop new more energy-efficient models. </w:t>
      </w:r>
    </w:p>
    <w:p w14:paraId="57E32744" w14:textId="11880646" w:rsidR="00CA3877" w:rsidRPr="00D00FB8" w:rsidRDefault="00CA3877" w:rsidP="00CA3877">
      <w:pPr>
        <w:rPr>
          <w:color w:val="auto"/>
          <w:szCs w:val="22"/>
          <w:shd w:val="clear" w:color="auto" w:fill="FFFFFF"/>
        </w:rPr>
      </w:pPr>
      <w:r w:rsidRPr="00D00FB8">
        <w:rPr>
          <w:color w:val="auto"/>
          <w:szCs w:val="22"/>
          <w:shd w:val="clear" w:color="auto" w:fill="FFFFFF"/>
        </w:rPr>
        <w:t>Investment in infrastructure in China includes several end-uses for polymeric foams. The investment programme includes a range of opportunities for polymeric foams in the cold chain, district cooling and heating, high speed rail and the construction of temperature-controlled data server centres.</w:t>
      </w:r>
      <w:r w:rsidR="005617DE">
        <w:rPr>
          <w:color w:val="auto"/>
          <w:szCs w:val="22"/>
          <w:shd w:val="clear" w:color="auto" w:fill="FFFFFF"/>
        </w:rPr>
        <w:t xml:space="preserve"> </w:t>
      </w:r>
      <w:r w:rsidRPr="00D00FB8">
        <w:rPr>
          <w:color w:val="auto"/>
          <w:szCs w:val="22"/>
          <w:shd w:val="clear" w:color="auto" w:fill="FFFFFF"/>
        </w:rPr>
        <w:t>Simplification of building codes may also allow greater use of polymeric foams for insulation materials in residential and commercial buildings.</w:t>
      </w:r>
    </w:p>
    <w:p w14:paraId="6A30E016" w14:textId="5A59775C" w:rsidR="00B710A8" w:rsidRPr="00D00FB8" w:rsidRDefault="00B710A8" w:rsidP="00B710A8">
      <w:pPr>
        <w:rPr>
          <w:color w:val="auto"/>
          <w:szCs w:val="22"/>
          <w:lang w:eastAsia="en-GB"/>
        </w:rPr>
      </w:pPr>
      <w:r w:rsidRPr="00D00FB8">
        <w:rPr>
          <w:color w:val="auto"/>
          <w:szCs w:val="22"/>
          <w:shd w:val="clear" w:color="auto" w:fill="FFFFFF"/>
        </w:rPr>
        <w:t xml:space="preserve">According to </w:t>
      </w:r>
      <w:r w:rsidR="002C0D7B" w:rsidRPr="002C0D7B">
        <w:rPr>
          <w:color w:val="auto"/>
          <w:szCs w:val="22"/>
          <w:shd w:val="clear" w:color="auto" w:fill="FFFFFF"/>
        </w:rPr>
        <w:t>Markets and Markets</w:t>
      </w:r>
      <w:r w:rsidRPr="00D00FB8">
        <w:rPr>
          <w:rStyle w:val="FootnoteReference"/>
          <w:color w:val="auto"/>
          <w:szCs w:val="22"/>
          <w:shd w:val="clear" w:color="auto" w:fill="FFFFFF"/>
        </w:rPr>
        <w:footnoteReference w:id="10"/>
      </w:r>
      <w:r w:rsidRPr="00D00FB8">
        <w:rPr>
          <w:color w:val="auto"/>
          <w:szCs w:val="22"/>
          <w:shd w:val="clear" w:color="auto" w:fill="FFFFFF"/>
        </w:rPr>
        <w:t xml:space="preserve">, the global cold chain market size is estimated to be valued at USD 233.8 billion in 2020 and is projected to reach USD 340.3 billion by 2025, recording a </w:t>
      </w:r>
      <w:r>
        <w:rPr>
          <w:color w:val="auto"/>
          <w:szCs w:val="22"/>
          <w:shd w:val="clear" w:color="auto" w:fill="FFFFFF"/>
        </w:rPr>
        <w:t>compound annual growth rate (</w:t>
      </w:r>
      <w:r w:rsidRPr="00D00FB8">
        <w:rPr>
          <w:color w:val="auto"/>
          <w:szCs w:val="22"/>
          <w:shd w:val="clear" w:color="auto" w:fill="FFFFFF"/>
        </w:rPr>
        <w:t>CAGR</w:t>
      </w:r>
      <w:r>
        <w:rPr>
          <w:color w:val="auto"/>
          <w:szCs w:val="22"/>
          <w:shd w:val="clear" w:color="auto" w:fill="FFFFFF"/>
        </w:rPr>
        <w:t>)</w:t>
      </w:r>
      <w:r w:rsidRPr="00D00FB8">
        <w:rPr>
          <w:color w:val="auto"/>
          <w:szCs w:val="22"/>
          <w:shd w:val="clear" w:color="auto" w:fill="FFFFFF"/>
        </w:rPr>
        <w:t xml:space="preserve"> of 7.8%. There is significant increasing demand f</w:t>
      </w:r>
      <w:r>
        <w:rPr>
          <w:color w:val="auto"/>
          <w:szCs w:val="22"/>
          <w:shd w:val="clear" w:color="auto" w:fill="FFFFFF"/>
        </w:rPr>
        <w:t>rom the</w:t>
      </w:r>
      <w:r w:rsidRPr="00D00FB8">
        <w:rPr>
          <w:color w:val="auto"/>
          <w:szCs w:val="22"/>
          <w:shd w:val="clear" w:color="auto" w:fill="FFFFFF"/>
        </w:rPr>
        <w:t xml:space="preserve"> retail</w:t>
      </w:r>
      <w:r>
        <w:rPr>
          <w:color w:val="auto"/>
          <w:szCs w:val="22"/>
          <w:shd w:val="clear" w:color="auto" w:fill="FFFFFF"/>
        </w:rPr>
        <w:t xml:space="preserve"> sector</w:t>
      </w:r>
      <w:r w:rsidRPr="00D00FB8">
        <w:rPr>
          <w:color w:val="auto"/>
          <w:szCs w:val="22"/>
          <w:shd w:val="clear" w:color="auto" w:fill="FFFFFF"/>
        </w:rPr>
        <w:t xml:space="preserve"> and to mitigate food waste and degradation</w:t>
      </w:r>
      <w:r>
        <w:rPr>
          <w:color w:val="auto"/>
          <w:szCs w:val="22"/>
          <w:shd w:val="clear" w:color="auto" w:fill="FFFFFF"/>
        </w:rPr>
        <w:t xml:space="preserve">. The </w:t>
      </w:r>
      <w:r w:rsidRPr="00D00FB8">
        <w:rPr>
          <w:color w:val="auto"/>
          <w:szCs w:val="22"/>
          <w:shd w:val="clear" w:color="auto" w:fill="FEFEFE"/>
        </w:rPr>
        <w:t xml:space="preserve">Asia Pacific </w:t>
      </w:r>
      <w:r>
        <w:rPr>
          <w:color w:val="auto"/>
          <w:szCs w:val="22"/>
          <w:shd w:val="clear" w:color="auto" w:fill="FEFEFE"/>
        </w:rPr>
        <w:t xml:space="preserve">region </w:t>
      </w:r>
      <w:r w:rsidRPr="00D00FB8">
        <w:rPr>
          <w:color w:val="auto"/>
          <w:szCs w:val="22"/>
          <w:shd w:val="clear" w:color="auto" w:fill="FEFEFE"/>
        </w:rPr>
        <w:t>is expected to grow the fastest due to the presence of major food and healthcare providers.</w:t>
      </w:r>
      <w:r w:rsidRPr="00D00FB8">
        <w:rPr>
          <w:color w:val="auto"/>
          <w:szCs w:val="22"/>
          <w:lang w:eastAsia="en-GB"/>
        </w:rPr>
        <w:t xml:space="preserve"> </w:t>
      </w:r>
    </w:p>
    <w:p w14:paraId="5FB0502C" w14:textId="0E7AF602" w:rsidR="00B710A8" w:rsidRDefault="00B710A8" w:rsidP="00B710A8">
      <w:pPr>
        <w:rPr>
          <w:color w:val="auto"/>
          <w:szCs w:val="22"/>
          <w:lang w:eastAsia="en-GB"/>
        </w:rPr>
      </w:pPr>
      <w:r w:rsidRPr="00D00FB8">
        <w:rPr>
          <w:color w:val="auto"/>
          <w:szCs w:val="22"/>
          <w:lang w:eastAsia="en-GB"/>
        </w:rPr>
        <w:t xml:space="preserve">In Europe, the volume of XPS foam insulation is increasing in line with </w:t>
      </w:r>
      <w:r>
        <w:rPr>
          <w:color w:val="auto"/>
          <w:szCs w:val="22"/>
          <w:lang w:eastAsia="en-GB"/>
        </w:rPr>
        <w:t>gross domestic product (</w:t>
      </w:r>
      <w:r w:rsidRPr="00D00FB8">
        <w:rPr>
          <w:color w:val="auto"/>
          <w:szCs w:val="22"/>
          <w:lang w:eastAsia="en-GB"/>
        </w:rPr>
        <w:t>GDP</w:t>
      </w:r>
      <w:r>
        <w:rPr>
          <w:color w:val="auto"/>
          <w:szCs w:val="22"/>
          <w:lang w:eastAsia="en-GB"/>
        </w:rPr>
        <w:t>)</w:t>
      </w:r>
      <w:r w:rsidRPr="00D00FB8">
        <w:rPr>
          <w:color w:val="auto"/>
          <w:szCs w:val="22"/>
          <w:lang w:eastAsia="en-GB"/>
        </w:rPr>
        <w:t xml:space="preserve"> growth with variation in individual countries. There is some increased demand for thick (&gt;200mm) XPS panels to meet certain construction requirements</w:t>
      </w:r>
      <w:r w:rsidRPr="00D00FB8">
        <w:rPr>
          <w:rStyle w:val="FootnoteReference"/>
          <w:color w:val="auto"/>
          <w:szCs w:val="22"/>
          <w:lang w:eastAsia="en-GB"/>
        </w:rPr>
        <w:footnoteReference w:id="11"/>
      </w:r>
      <w:r w:rsidRPr="00D00FB8">
        <w:rPr>
          <w:color w:val="auto"/>
          <w:szCs w:val="22"/>
          <w:lang w:eastAsia="en-GB"/>
        </w:rPr>
        <w:t>.</w:t>
      </w:r>
      <w:r w:rsidR="005617DE">
        <w:rPr>
          <w:color w:val="auto"/>
          <w:szCs w:val="22"/>
          <w:lang w:eastAsia="en-GB"/>
        </w:rPr>
        <w:t xml:space="preserve"> </w:t>
      </w:r>
    </w:p>
    <w:p w14:paraId="6D47622C" w14:textId="09FB8B51" w:rsidR="00CA3877" w:rsidRPr="00D00FB8" w:rsidRDefault="00CA3877" w:rsidP="00B710A8">
      <w:pPr>
        <w:rPr>
          <w:color w:val="auto"/>
          <w:szCs w:val="22"/>
          <w:shd w:val="clear" w:color="auto" w:fill="FFFFFF"/>
        </w:rPr>
      </w:pPr>
      <w:r w:rsidRPr="00D00FB8">
        <w:rPr>
          <w:color w:val="auto"/>
          <w:szCs w:val="22"/>
          <w:lang w:eastAsia="en-GB"/>
        </w:rPr>
        <w:lastRenderedPageBreak/>
        <w:t>In NA, use of all insulation continues to recover from the pandemic, however the use of XPS appears to be growing at a lower rate especially where other products (e.g.</w:t>
      </w:r>
      <w:r w:rsidR="002C0D7B" w:rsidRPr="002C0D7B">
        <w:rPr>
          <w:color w:val="auto"/>
          <w:szCs w:val="22"/>
          <w:lang w:eastAsia="en-GB"/>
        </w:rPr>
        <w:t>,</w:t>
      </w:r>
      <w:r w:rsidRPr="00D00FB8">
        <w:rPr>
          <w:color w:val="auto"/>
          <w:szCs w:val="22"/>
          <w:lang w:eastAsia="en-GB"/>
        </w:rPr>
        <w:t xml:space="preserve"> EPS for construction below ground) may be replacing XPS a</w:t>
      </w:r>
      <w:r w:rsidRPr="00D00FB8">
        <w:rPr>
          <w:color w:val="auto"/>
          <w:szCs w:val="22"/>
        </w:rPr>
        <w:t xml:space="preserve">s building insulation requirements change and builders seek the most cost-effective insulation. </w:t>
      </w:r>
      <w:bookmarkStart w:id="204" w:name="_Toc9109566"/>
    </w:p>
    <w:p w14:paraId="668E2B84" w14:textId="0B04EE02" w:rsidR="00CA3877" w:rsidRPr="00D00FB8" w:rsidRDefault="00CA3877" w:rsidP="00CA3877">
      <w:pPr>
        <w:rPr>
          <w:color w:val="auto"/>
          <w:szCs w:val="22"/>
          <w:shd w:val="clear" w:color="auto" w:fill="FFFFFF"/>
        </w:rPr>
      </w:pPr>
      <w:r w:rsidRPr="00D00FB8">
        <w:rPr>
          <w:color w:val="auto"/>
          <w:szCs w:val="22"/>
          <w:shd w:val="clear" w:color="auto" w:fill="FFFFFF"/>
        </w:rPr>
        <w:t xml:space="preserve">There is likely to be some recovery of all markets negatively impacted by the pandemic, including construction projects halted due to lack of funds, quarantine mandates, and resulting </w:t>
      </w:r>
      <w:r w:rsidR="002C0D7B" w:rsidRPr="002C0D7B">
        <w:rPr>
          <w:color w:val="auto"/>
          <w:szCs w:val="22"/>
          <w:shd w:val="clear" w:color="auto" w:fill="FFFFFF"/>
        </w:rPr>
        <w:t>labour</w:t>
      </w:r>
      <w:r w:rsidRPr="00D00FB8">
        <w:rPr>
          <w:color w:val="auto"/>
          <w:szCs w:val="22"/>
          <w:shd w:val="clear" w:color="auto" w:fill="FFFFFF"/>
        </w:rPr>
        <w:t xml:space="preserve"> shortages</w:t>
      </w:r>
    </w:p>
    <w:p w14:paraId="772858C4" w14:textId="515F08C7" w:rsidR="00CA3877" w:rsidRPr="00D00FB8" w:rsidRDefault="00CA3877" w:rsidP="00CA3877">
      <w:pPr>
        <w:pStyle w:val="Style15"/>
        <w:rPr>
          <w:b w:val="0"/>
          <w:color w:val="auto"/>
          <w:sz w:val="22"/>
          <w:szCs w:val="22"/>
          <w:shd w:val="clear" w:color="auto" w:fill="FFFFFF"/>
        </w:rPr>
      </w:pPr>
      <w:r w:rsidRPr="00D00FB8">
        <w:rPr>
          <w:b w:val="0"/>
          <w:color w:val="auto"/>
          <w:sz w:val="22"/>
          <w:szCs w:val="22"/>
          <w:shd w:val="clear" w:color="auto" w:fill="FFFFFF"/>
        </w:rPr>
        <w:t>In Japan, “The Act on Rational Use and Proper Management of Fluorocarbon”, was amended effective April 1, 2020, to require companies to submit a voluntary action plan for the HFC phase down /phase out. In 2020, the average GWP of blowing agents used by the residential spray foam industry was limited to less than 100, with a target HFC consumption of less than 620MT in 2020 and 450MT by 2024.</w:t>
      </w:r>
      <w:r w:rsidR="000E7C16">
        <w:rPr>
          <w:b w:val="0"/>
          <w:color w:val="auto"/>
          <w:sz w:val="22"/>
          <w:szCs w:val="22"/>
          <w:shd w:val="clear" w:color="auto" w:fill="FFFFFF"/>
        </w:rPr>
        <w:br/>
      </w:r>
    </w:p>
    <w:p w14:paraId="61E25408" w14:textId="78323A78" w:rsidR="00CA3877" w:rsidRPr="00D00FB8" w:rsidRDefault="00CA3877" w:rsidP="00CA3877">
      <w:pPr>
        <w:pStyle w:val="Style15"/>
        <w:rPr>
          <w:sz w:val="22"/>
          <w:szCs w:val="22"/>
        </w:rPr>
      </w:pPr>
      <w:r w:rsidRPr="00D00FB8">
        <w:rPr>
          <w:b w:val="0"/>
          <w:color w:val="auto"/>
          <w:sz w:val="22"/>
          <w:szCs w:val="22"/>
          <w:shd w:val="clear" w:color="auto" w:fill="FFFFFF"/>
        </w:rPr>
        <w:t>The average GWP of the system houses that met the goal by 2020 was 17.3 with the remainder achieving the goal by Se</w:t>
      </w:r>
      <w:r w:rsidRPr="00D00FB8">
        <w:rPr>
          <w:b w:val="0"/>
          <w:color w:val="auto"/>
          <w:sz w:val="22"/>
          <w:szCs w:val="22"/>
        </w:rPr>
        <w:t>ptember 2021. There were challenges with the cold chain transition and the total HFC consumption was 821MT</w:t>
      </w:r>
      <w:r w:rsidR="000E7C16">
        <w:rPr>
          <w:b w:val="0"/>
          <w:color w:val="auto"/>
          <w:sz w:val="22"/>
          <w:szCs w:val="22"/>
        </w:rPr>
        <w:t xml:space="preserve"> </w:t>
      </w:r>
      <w:r w:rsidRPr="00D00FB8">
        <w:rPr>
          <w:b w:val="0"/>
          <w:color w:val="auto"/>
          <w:sz w:val="22"/>
          <w:szCs w:val="22"/>
        </w:rPr>
        <w:t>over the action plan.</w:t>
      </w:r>
    </w:p>
    <w:p w14:paraId="42BEA86C" w14:textId="5A5AFC56" w:rsidR="00CA3877" w:rsidRPr="007A058F" w:rsidRDefault="00CA3877" w:rsidP="005C5E68">
      <w:pPr>
        <w:pStyle w:val="Heading2"/>
        <w:rPr>
          <w:rStyle w:val="Heading2Char"/>
          <w:b/>
        </w:rPr>
      </w:pPr>
      <w:bookmarkStart w:id="205" w:name="_Toc104396664"/>
      <w:r w:rsidRPr="007A058F">
        <w:rPr>
          <w:rStyle w:val="Heading2Char"/>
          <w:b/>
        </w:rPr>
        <w:t>2.3</w:t>
      </w:r>
      <w:r w:rsidRPr="007A058F">
        <w:rPr>
          <w:rStyle w:val="Heading2Char"/>
          <w:b/>
        </w:rPr>
        <w:tab/>
        <w:t>Factors Impacting Blowing Agent Choice</w:t>
      </w:r>
      <w:bookmarkEnd w:id="204"/>
      <w:bookmarkEnd w:id="205"/>
    </w:p>
    <w:p w14:paraId="27501832" w14:textId="2288B987" w:rsidR="00CA3877" w:rsidRPr="00D00FB8" w:rsidRDefault="00CA3877" w:rsidP="00CA3877">
      <w:pPr>
        <w:shd w:val="clear" w:color="auto" w:fill="FFFFFF"/>
        <w:spacing w:after="0"/>
        <w:rPr>
          <w:color w:val="auto"/>
          <w:szCs w:val="22"/>
        </w:rPr>
      </w:pPr>
      <w:r w:rsidRPr="00D00FB8">
        <w:rPr>
          <w:color w:val="auto"/>
          <w:szCs w:val="22"/>
        </w:rPr>
        <w:t>It has been estimated that 80-84% of HCFC-141b in A5 parties will be replaced with non-fluorocarbon alternatives including water-blown foams. Evolving HCFC and HFC phase-out plans will have a large impact on the choices of non-</w:t>
      </w:r>
      <w:r w:rsidR="005917AB" w:rsidRPr="00D00FB8">
        <w:rPr>
          <w:color w:val="auto"/>
          <w:szCs w:val="22"/>
        </w:rPr>
        <w:t xml:space="preserve"> </w:t>
      </w:r>
      <w:r w:rsidRPr="00D00FB8">
        <w:rPr>
          <w:color w:val="auto"/>
          <w:szCs w:val="22"/>
        </w:rPr>
        <w:t>ODP options.</w:t>
      </w:r>
    </w:p>
    <w:p w14:paraId="46BCEB4A" w14:textId="77777777" w:rsidR="00CA3877" w:rsidRPr="00C20941" w:rsidRDefault="00CA3877" w:rsidP="00CA3877">
      <w:pPr>
        <w:pStyle w:val="Style15"/>
        <w:rPr>
          <w:color w:val="auto"/>
          <w:sz w:val="24"/>
          <w:szCs w:val="24"/>
        </w:rPr>
      </w:pPr>
    </w:p>
    <w:p w14:paraId="589B4767" w14:textId="36D13704" w:rsidR="00CA3877" w:rsidRPr="00D00FB8" w:rsidRDefault="00CA3877" w:rsidP="00B710A8">
      <w:pPr>
        <w:rPr>
          <w:color w:val="auto"/>
          <w:szCs w:val="22"/>
        </w:rPr>
      </w:pPr>
      <w:r w:rsidRPr="00D00FB8">
        <w:rPr>
          <w:color w:val="auto"/>
          <w:szCs w:val="22"/>
        </w:rPr>
        <w:t xml:space="preserve">In </w:t>
      </w:r>
      <w:r w:rsidRPr="00D00FB8">
        <w:rPr>
          <w:b/>
          <w:bCs/>
          <w:color w:val="auto"/>
          <w:szCs w:val="22"/>
        </w:rPr>
        <w:t>A5 parties</w:t>
      </w:r>
      <w:r w:rsidRPr="00D00FB8">
        <w:rPr>
          <w:color w:val="auto"/>
          <w:szCs w:val="22"/>
        </w:rPr>
        <w:t>, a growing number of foam producers are required by regulation to transition to zero ODP blowing agents.</w:t>
      </w:r>
      <w:r w:rsidR="005617DE">
        <w:rPr>
          <w:color w:val="auto"/>
          <w:szCs w:val="22"/>
        </w:rPr>
        <w:t xml:space="preserve"> </w:t>
      </w:r>
      <w:r w:rsidRPr="00D00FB8">
        <w:rPr>
          <w:color w:val="auto"/>
          <w:szCs w:val="22"/>
        </w:rPr>
        <w:t xml:space="preserve">In some parties, use of HCFCs is now limited to applications where HCs are nearly universally considered to be unsuitable, such as </w:t>
      </w:r>
      <w:r w:rsidR="005917AB">
        <w:rPr>
          <w:color w:val="auto"/>
          <w:szCs w:val="22"/>
        </w:rPr>
        <w:t xml:space="preserve">PU </w:t>
      </w:r>
      <w:r w:rsidRPr="00D00FB8">
        <w:rPr>
          <w:color w:val="auto"/>
          <w:szCs w:val="22"/>
        </w:rPr>
        <w:t>spray foam.</w:t>
      </w:r>
      <w:r w:rsidRPr="00D00FB8">
        <w:rPr>
          <w:color w:val="auto"/>
          <w:szCs w:val="22"/>
          <w:shd w:val="clear" w:color="auto" w:fill="FFFFFF"/>
        </w:rPr>
        <w:t> Many parties are limiting the import of CFC-11 and HCFC-141b pre-blended polyols to prevent manufacture of foam using ODS.</w:t>
      </w:r>
      <w:r w:rsidR="00BB743F">
        <w:rPr>
          <w:color w:val="auto"/>
          <w:szCs w:val="22"/>
          <w:shd w:val="clear" w:color="auto" w:fill="FFFFFF"/>
        </w:rPr>
        <w:t xml:space="preserve"> </w:t>
      </w:r>
      <w:r w:rsidRPr="00D00FB8">
        <w:rPr>
          <w:color w:val="auto"/>
          <w:szCs w:val="22"/>
        </w:rPr>
        <w:t>There is a growing trend for small- and medium-sized enterprises (SMEs) consuming 1000 tonnes or more to self-formulate blends for their own systems especially in Asia.</w:t>
      </w:r>
    </w:p>
    <w:p w14:paraId="580F2C3C" w14:textId="77777777" w:rsidR="00CA3877" w:rsidRPr="00D00FB8" w:rsidRDefault="00CA3877" w:rsidP="00CA3877">
      <w:pPr>
        <w:jc w:val="both"/>
        <w:rPr>
          <w:color w:val="auto"/>
          <w:szCs w:val="22"/>
        </w:rPr>
      </w:pPr>
      <w:r w:rsidRPr="00D00FB8">
        <w:rPr>
          <w:color w:val="auto"/>
          <w:szCs w:val="22"/>
        </w:rPr>
        <w:t xml:space="preserve">As designed, as the phasedown progresses, the limited availability and increasing price of HCFCs will drive the selection of foam blowing agents. </w:t>
      </w:r>
      <w:r w:rsidRPr="00D00FB8">
        <w:rPr>
          <w:color w:val="auto"/>
          <w:szCs w:val="22"/>
          <w:bdr w:val="none" w:sz="0" w:space="0" w:color="auto" w:frame="1"/>
        </w:rPr>
        <w:t xml:space="preserve">The availability of high-GWP HFCs, particularly HFC-365mfc/HFC-227ea (which is banned in many non-A5 parties), is preventing the transition to low GWP substances. However, due to the pandemic, its price has reportedly risen to the pre-pandemic price of HFC-245fa. </w:t>
      </w:r>
    </w:p>
    <w:p w14:paraId="5920D043" w14:textId="4A408449" w:rsidR="00CA3877" w:rsidRPr="00D00FB8" w:rsidRDefault="00CA3877" w:rsidP="00CA3877">
      <w:pPr>
        <w:pStyle w:val="Style15"/>
        <w:rPr>
          <w:b w:val="0"/>
          <w:color w:val="auto"/>
          <w:sz w:val="22"/>
          <w:szCs w:val="22"/>
          <w:lang w:val="en-US"/>
        </w:rPr>
      </w:pPr>
      <w:r w:rsidRPr="00D00FB8">
        <w:rPr>
          <w:b w:val="0"/>
          <w:color w:val="auto"/>
          <w:sz w:val="22"/>
          <w:szCs w:val="22"/>
          <w:lang w:val="en-US"/>
        </w:rPr>
        <w:t xml:space="preserve">China’s Ministry of Housing, Urban, and Rural Development is streamlining the existing 3,000 standards into 300. It is likely to modify GB50016 “Code of Design on Building Fire Protection and Prevention” allowing for additional use of spray foam, which presents a significant challenge to </w:t>
      </w:r>
      <w:r w:rsidR="00B710A8">
        <w:rPr>
          <w:b w:val="0"/>
          <w:color w:val="auto"/>
          <w:sz w:val="22"/>
          <w:szCs w:val="22"/>
          <w:lang w:val="en-US"/>
        </w:rPr>
        <w:t>small and medium-sized enterprises (</w:t>
      </w:r>
      <w:r w:rsidR="00B710A8" w:rsidRPr="00D00FB8">
        <w:rPr>
          <w:b w:val="0"/>
          <w:color w:val="auto"/>
          <w:sz w:val="22"/>
          <w:szCs w:val="22"/>
          <w:lang w:val="en-US"/>
        </w:rPr>
        <w:t>SMEs</w:t>
      </w:r>
      <w:r w:rsidR="00B710A8">
        <w:rPr>
          <w:b w:val="0"/>
          <w:color w:val="auto"/>
          <w:sz w:val="22"/>
          <w:szCs w:val="22"/>
          <w:lang w:val="en-US"/>
        </w:rPr>
        <w:t>)</w:t>
      </w:r>
      <w:r w:rsidR="00B710A8" w:rsidRPr="00D00FB8">
        <w:rPr>
          <w:b w:val="0"/>
          <w:color w:val="auto"/>
          <w:sz w:val="22"/>
          <w:szCs w:val="22"/>
          <w:lang w:val="en-US"/>
        </w:rPr>
        <w:t xml:space="preserve"> on choice of blowing agents.</w:t>
      </w:r>
    </w:p>
    <w:p w14:paraId="5AE28BB4" w14:textId="7AF7377B" w:rsidR="00CA3877" w:rsidRPr="00D00FB8" w:rsidRDefault="00CA3877" w:rsidP="00CA3877">
      <w:pPr>
        <w:shd w:val="clear" w:color="auto" w:fill="FFFFFF"/>
        <w:spacing w:beforeAutospacing="1" w:after="0" w:afterAutospacing="1"/>
        <w:rPr>
          <w:color w:val="auto"/>
          <w:szCs w:val="22"/>
          <w:bdr w:val="none" w:sz="0" w:space="0" w:color="auto" w:frame="1"/>
        </w:rPr>
      </w:pPr>
      <w:bookmarkStart w:id="206" w:name="_Toc512934237"/>
      <w:bookmarkStart w:id="207" w:name="_Toc9109567"/>
      <w:bookmarkStart w:id="208" w:name="_Toc326400868"/>
      <w:r w:rsidRPr="00D00FB8">
        <w:rPr>
          <w:color w:val="auto"/>
          <w:szCs w:val="22"/>
          <w:bdr w:val="none" w:sz="0" w:space="0" w:color="auto" w:frame="1"/>
        </w:rPr>
        <w:t>In Latin America, some parties may ban imports of HCFC-141b and HCFC-141b containing polyols in the largest PU foam markets in the near term. Some parties are also considering labelling requirements stating “containing HCFC 141b” on drums and containers of formulated polyol using HCFC-141b and its blends. These measures could improve control on HCFC-141b commercialised in the region.</w:t>
      </w:r>
      <w:r w:rsidR="005617DE">
        <w:rPr>
          <w:color w:val="auto"/>
          <w:szCs w:val="22"/>
          <w:bdr w:val="none" w:sz="0" w:space="0" w:color="auto" w:frame="1"/>
        </w:rPr>
        <w:t xml:space="preserve"> </w:t>
      </w:r>
      <w:r w:rsidRPr="00D00FB8">
        <w:rPr>
          <w:color w:val="auto"/>
          <w:szCs w:val="22"/>
          <w:bdr w:val="none" w:sz="0" w:space="0" w:color="auto" w:frame="1"/>
        </w:rPr>
        <w:t>During the last decade, major enterprises, mainly in the domestic/commercial refrigeration and continuous panel sectors have been successfully converted to HCs. HCFC Phaseout Management Plan (HPMP) projects continue to focus on implementation at SMEs, examining a wide range of non-HC pure and blended blowing agents (e.g. low volumes of HFOs, CO</w:t>
      </w:r>
      <w:r w:rsidRPr="00D00FB8">
        <w:rPr>
          <w:color w:val="auto"/>
          <w:szCs w:val="22"/>
          <w:bdr w:val="none" w:sz="0" w:space="0" w:color="auto" w:frame="1"/>
          <w:vertAlign w:val="subscript"/>
        </w:rPr>
        <w:t>2</w:t>
      </w:r>
      <w:r w:rsidRPr="00D00FB8">
        <w:rPr>
          <w:color w:val="auto"/>
          <w:szCs w:val="22"/>
          <w:bdr w:val="none" w:sz="0" w:space="0" w:color="auto" w:frame="1"/>
        </w:rPr>
        <w:t xml:space="preserve"> (water), methyl </w:t>
      </w:r>
      <w:proofErr w:type="spellStart"/>
      <w:r w:rsidRPr="00D00FB8">
        <w:rPr>
          <w:color w:val="auto"/>
          <w:szCs w:val="22"/>
          <w:bdr w:val="none" w:sz="0" w:space="0" w:color="auto" w:frame="1"/>
        </w:rPr>
        <w:t>formate</w:t>
      </w:r>
      <w:proofErr w:type="spellEnd"/>
      <w:r w:rsidRPr="00D00FB8">
        <w:rPr>
          <w:color w:val="auto"/>
          <w:szCs w:val="22"/>
          <w:bdr w:val="none" w:sz="0" w:space="0" w:color="auto" w:frame="1"/>
        </w:rPr>
        <w:t>, methylal (</w:t>
      </w:r>
      <w:r w:rsidRPr="00D00FB8">
        <w:rPr>
          <w:bCs/>
          <w:color w:val="auto"/>
          <w:szCs w:val="22"/>
        </w:rPr>
        <w:t xml:space="preserve">dimethoxymethane), </w:t>
      </w:r>
      <w:r w:rsidRPr="00D00FB8">
        <w:rPr>
          <w:color w:val="auto"/>
          <w:szCs w:val="22"/>
          <w:bdr w:val="none" w:sz="0" w:space="0" w:color="auto" w:frame="1"/>
        </w:rPr>
        <w:t>and blends). The use of hydrocarbons pre-blended in foams continues to be of concern, as their use requires safety measures and plant modifications for blending facilities and for SMEs.</w:t>
      </w:r>
    </w:p>
    <w:p w14:paraId="401671C6" w14:textId="77777777" w:rsidR="00CA3877" w:rsidRPr="00D00FB8" w:rsidRDefault="00CA3877" w:rsidP="00CA3877">
      <w:pPr>
        <w:pStyle w:val="Style15"/>
        <w:rPr>
          <w:b w:val="0"/>
          <w:bCs/>
          <w:color w:val="auto"/>
          <w:sz w:val="22"/>
          <w:szCs w:val="22"/>
        </w:rPr>
      </w:pPr>
      <w:r w:rsidRPr="00D00FB8">
        <w:rPr>
          <w:b w:val="0"/>
          <w:bCs/>
          <w:color w:val="auto"/>
          <w:sz w:val="22"/>
          <w:szCs w:val="22"/>
        </w:rPr>
        <w:lastRenderedPageBreak/>
        <w:t xml:space="preserve">In India, approximately 70% of companies are using non-ODS/low-GWP technologies. The remainder are using HFCs. No companies are using HCFCs. </w:t>
      </w:r>
    </w:p>
    <w:p w14:paraId="38179CA9" w14:textId="77777777" w:rsidR="00CA3877" w:rsidRPr="00D00FB8" w:rsidRDefault="00CA3877" w:rsidP="00CA3877">
      <w:pPr>
        <w:pStyle w:val="Style15"/>
        <w:rPr>
          <w:b w:val="0"/>
          <w:bCs/>
          <w:color w:val="auto"/>
          <w:sz w:val="22"/>
          <w:szCs w:val="22"/>
        </w:rPr>
      </w:pPr>
    </w:p>
    <w:p w14:paraId="7CE1D02A" w14:textId="77777777" w:rsidR="00CA3877" w:rsidRPr="00D00FB8" w:rsidRDefault="00CA3877" w:rsidP="00CA3877">
      <w:pPr>
        <w:pStyle w:val="Style15"/>
        <w:rPr>
          <w:b w:val="0"/>
          <w:bCs/>
          <w:color w:val="auto"/>
          <w:sz w:val="22"/>
          <w:szCs w:val="22"/>
        </w:rPr>
      </w:pPr>
      <w:r w:rsidRPr="00D00FB8">
        <w:rPr>
          <w:b w:val="0"/>
          <w:bCs/>
          <w:color w:val="auto"/>
          <w:sz w:val="22"/>
          <w:szCs w:val="22"/>
        </w:rPr>
        <w:t>In some A5 parties, there has been an increase in the use of methylal, methylene chloride</w:t>
      </w:r>
      <w:r w:rsidRPr="00D00FB8">
        <w:rPr>
          <w:rStyle w:val="FootnoteReference"/>
          <w:b w:val="0"/>
          <w:bCs/>
          <w:color w:val="auto"/>
          <w:sz w:val="22"/>
          <w:szCs w:val="22"/>
        </w:rPr>
        <w:footnoteReference w:id="12"/>
      </w:r>
      <w:r w:rsidRPr="00D00FB8">
        <w:rPr>
          <w:b w:val="0"/>
          <w:bCs/>
          <w:color w:val="auto"/>
          <w:sz w:val="22"/>
          <w:szCs w:val="22"/>
        </w:rPr>
        <w:t xml:space="preserve"> and hydrocarbons, specifically pentanes, with HFCs to reduce cost. There are some limits to availability and allowance of use because of safety (flammability) and health (human exposure) concerns. </w:t>
      </w:r>
    </w:p>
    <w:p w14:paraId="7DFBD41D" w14:textId="77777777" w:rsidR="00CA3877" w:rsidRPr="00D00FB8" w:rsidRDefault="00CA3877" w:rsidP="00CA3877">
      <w:pPr>
        <w:pStyle w:val="Style15"/>
        <w:rPr>
          <w:sz w:val="22"/>
          <w:szCs w:val="22"/>
        </w:rPr>
      </w:pPr>
    </w:p>
    <w:p w14:paraId="41055C4A" w14:textId="77777777" w:rsidR="00CA3877" w:rsidRPr="00D00FB8" w:rsidRDefault="00CA3877" w:rsidP="00CA3877">
      <w:pPr>
        <w:spacing w:after="0"/>
        <w:rPr>
          <w:color w:val="auto"/>
          <w:szCs w:val="22"/>
        </w:rPr>
      </w:pPr>
      <w:r w:rsidRPr="00D00FB8">
        <w:rPr>
          <w:color w:val="auto"/>
          <w:szCs w:val="22"/>
        </w:rPr>
        <w:t xml:space="preserve">In </w:t>
      </w:r>
      <w:r w:rsidRPr="00D00FB8">
        <w:rPr>
          <w:b/>
          <w:bCs/>
          <w:color w:val="auto"/>
          <w:szCs w:val="22"/>
        </w:rPr>
        <w:t>non-A5 parties</w:t>
      </w:r>
      <w:r w:rsidRPr="00D00FB8">
        <w:rPr>
          <w:color w:val="auto"/>
          <w:szCs w:val="22"/>
        </w:rPr>
        <w:t>, in the EU, high-GWP fluorinated gases are being phased down under F-Gas Regulations. In 2015 in the EU, all HFCs with GWP greater than 150 were banned for foam manufacturing for use in domestic appliances. By January 2023, all HFCs with GWP greater than 150 will cease being used in all foam manufacturing. Foams and polyol-blends containing HFC must be labelled, and the presence of any HFC has to be mentioned in the technical documentation and marketing brochures. The F-Gas Regulation operates on the supply-side through a quota system, which means that supply of HFC blowing agents to the foam sector is being constrained well before the phase-out dates and sees a major shift from HFC systems towards HFO. Product standards are being reviewed to incorporate the new blowing agents to support CE marking and the Declaration of Performance required when placing construction products on the EU market.</w:t>
      </w:r>
    </w:p>
    <w:p w14:paraId="05B25130" w14:textId="77777777" w:rsidR="00CA3877" w:rsidRPr="00D00FB8" w:rsidRDefault="00CA3877" w:rsidP="00CA3877">
      <w:pPr>
        <w:spacing w:after="0"/>
        <w:rPr>
          <w:color w:val="auto"/>
          <w:szCs w:val="22"/>
        </w:rPr>
      </w:pPr>
    </w:p>
    <w:p w14:paraId="24E14ACC" w14:textId="1B21CD54" w:rsidR="00CA3877" w:rsidRPr="00D00FB8" w:rsidRDefault="00CA3877" w:rsidP="00CA3877">
      <w:pPr>
        <w:spacing w:after="0"/>
        <w:rPr>
          <w:color w:val="auto"/>
          <w:szCs w:val="22"/>
        </w:rPr>
      </w:pPr>
      <w:r w:rsidRPr="00D00FB8">
        <w:rPr>
          <w:color w:val="auto"/>
          <w:szCs w:val="22"/>
        </w:rPr>
        <w:t>The regulation of HFOs and HCFOs are different between parties. In some EU countries, unsaturated HCFCs and HFCs are defined as volatile organic compounds (VOC) and require environmental permits for use. Other EU countries exempt them from VOC regulations based on their Maximum Incremental Reactivity (MIR) in comparison to ethane. Denmark, which previously regulated unsaturated HCFCs and HFCs by the same laws as high</w:t>
      </w:r>
      <w:r w:rsidR="00C7675C">
        <w:rPr>
          <w:color w:val="auto"/>
          <w:szCs w:val="22"/>
        </w:rPr>
        <w:t>-</w:t>
      </w:r>
      <w:r w:rsidRPr="00D00FB8">
        <w:rPr>
          <w:color w:val="auto"/>
          <w:szCs w:val="22"/>
        </w:rPr>
        <w:t>GWP HFCs, has lifted the restriction when the GWP value is below 5 through a dedicated ordinance. In Switzerland, under the Swiss ODS Ordinance, HCFO-1233zd which has an ODP of 0.00034 is considered an ODS. However, the law provides a mechanism for obtaining exemption based on the low-GWP value and its energy efficiency.</w:t>
      </w:r>
    </w:p>
    <w:p w14:paraId="71FF3BF6" w14:textId="77777777" w:rsidR="00CA3877" w:rsidRPr="00D00FB8" w:rsidRDefault="00CA3877" w:rsidP="00CA3877">
      <w:pPr>
        <w:pStyle w:val="Style15"/>
        <w:rPr>
          <w:b w:val="0"/>
          <w:color w:val="auto"/>
          <w:sz w:val="22"/>
          <w:szCs w:val="22"/>
        </w:rPr>
      </w:pPr>
    </w:p>
    <w:p w14:paraId="67AC53FC" w14:textId="281FC58E" w:rsidR="00CA3877" w:rsidRPr="00D00FB8" w:rsidRDefault="00CA3877" w:rsidP="00CA3877">
      <w:pPr>
        <w:pStyle w:val="Style15"/>
        <w:rPr>
          <w:color w:val="auto"/>
          <w:sz w:val="22"/>
          <w:szCs w:val="22"/>
        </w:rPr>
      </w:pPr>
      <w:r w:rsidRPr="00D00FB8">
        <w:rPr>
          <w:b w:val="0"/>
          <w:color w:val="auto"/>
          <w:sz w:val="22"/>
          <w:szCs w:val="22"/>
        </w:rPr>
        <w:t>Some governments are developing regulations related to per- and poly-fluoroalkyl substances (PFAS), the definition of which may or may not include Montreal Protocol</w:t>
      </w:r>
      <w:r w:rsidRPr="00D00FB8">
        <w:rPr>
          <w:sz w:val="22"/>
          <w:szCs w:val="22"/>
        </w:rPr>
        <w:t xml:space="preserve"> </w:t>
      </w:r>
      <w:r w:rsidRPr="00D00FB8">
        <w:rPr>
          <w:b w:val="0"/>
          <w:color w:val="auto"/>
          <w:sz w:val="22"/>
          <w:szCs w:val="22"/>
        </w:rPr>
        <w:t>controlled substances and their substitutes. This is creating uncertainty for industry regarding long-term availability of some alternatives. Some companies and other stakeholders have reported that they are delaying decisions regarding selection of alternatives with concerns about how those fluorinated alternatives might be limited as a result of regulations.</w:t>
      </w:r>
    </w:p>
    <w:p w14:paraId="591EE20E" w14:textId="6F8F445C" w:rsidR="00CA3877" w:rsidRPr="00C7675C" w:rsidRDefault="00CA3877" w:rsidP="005C5E68">
      <w:pPr>
        <w:pStyle w:val="Heading2"/>
        <w:rPr>
          <w:rStyle w:val="Heading311ptBoldChar"/>
          <w:b/>
        </w:rPr>
      </w:pPr>
      <w:bookmarkStart w:id="209" w:name="_Toc77868861"/>
      <w:bookmarkStart w:id="210" w:name="_Toc78040707"/>
      <w:bookmarkStart w:id="211" w:name="_Toc104396665"/>
      <w:r w:rsidRPr="00C7675C">
        <w:rPr>
          <w:rStyle w:val="Heading311ptBoldChar"/>
          <w:b/>
        </w:rPr>
        <w:t>2.3.1</w:t>
      </w:r>
      <w:r w:rsidRPr="00C7675C">
        <w:rPr>
          <w:rStyle w:val="Heading311ptBoldChar"/>
          <w:b/>
        </w:rPr>
        <w:tab/>
        <w:t>Low-Pressure Spray Foam</w:t>
      </w:r>
      <w:bookmarkEnd w:id="209"/>
      <w:bookmarkEnd w:id="210"/>
      <w:bookmarkEnd w:id="211"/>
    </w:p>
    <w:p w14:paraId="0FC2A24F" w14:textId="780E3360" w:rsidR="00CA3877" w:rsidRPr="00D00FB8" w:rsidRDefault="00CA3877" w:rsidP="00CA3877">
      <w:pPr>
        <w:pStyle w:val="Style15"/>
        <w:rPr>
          <w:b w:val="0"/>
          <w:bCs/>
          <w:color w:val="auto"/>
          <w:sz w:val="22"/>
          <w:szCs w:val="22"/>
        </w:rPr>
      </w:pPr>
      <w:r w:rsidRPr="00D00FB8">
        <w:rPr>
          <w:b w:val="0"/>
          <w:bCs/>
          <w:color w:val="auto"/>
          <w:sz w:val="22"/>
          <w:szCs w:val="22"/>
          <w:bdr w:val="none" w:sz="0" w:space="0" w:color="auto" w:frame="1"/>
          <w:shd w:val="clear" w:color="auto" w:fill="FFFFFF"/>
        </w:rPr>
        <w:t>Two-component polyurethane spray foam products processed by low-pressure mixing is often used to seal gaps in the building envelope and insulate cavities in the building. Polyol blends are stored in pre-pressurized tanks at low pressure and often contain a liquid and a gaseous blowing agent (to propel the blend into the cavity)</w:t>
      </w:r>
      <w:r w:rsidR="000E7C16">
        <w:rPr>
          <w:b w:val="0"/>
          <w:bCs/>
          <w:color w:val="auto"/>
          <w:sz w:val="22"/>
          <w:szCs w:val="22"/>
          <w:bdr w:val="none" w:sz="0" w:space="0" w:color="auto" w:frame="1"/>
          <w:shd w:val="clear" w:color="auto" w:fill="FFFFFF"/>
        </w:rPr>
        <w:t>.</w:t>
      </w:r>
      <w:r w:rsidRPr="00D00FB8">
        <w:rPr>
          <w:b w:val="0"/>
          <w:bCs/>
          <w:color w:val="auto"/>
          <w:sz w:val="22"/>
          <w:szCs w:val="22"/>
          <w:bdr w:val="none" w:sz="0" w:space="0" w:color="auto" w:frame="1"/>
          <w:shd w:val="clear" w:color="auto" w:fill="FFFFFF"/>
        </w:rPr>
        <w:t xml:space="preserve"> The pressurized foam system can create challenges in maintaining stability of low-GWP blowing agents and catalysts.</w:t>
      </w:r>
      <w:r w:rsidRPr="00D00FB8">
        <w:rPr>
          <w:rStyle w:val="FootnoteReference"/>
          <w:b w:val="0"/>
          <w:bCs/>
          <w:color w:val="auto"/>
          <w:sz w:val="22"/>
          <w:szCs w:val="22"/>
        </w:rPr>
        <w:footnoteReference w:id="13"/>
      </w:r>
      <w:r w:rsidRPr="00D00FB8">
        <w:rPr>
          <w:b w:val="0"/>
          <w:bCs/>
          <w:color w:val="auto"/>
          <w:sz w:val="22"/>
          <w:szCs w:val="22"/>
        </w:rPr>
        <w:t xml:space="preserve"> However, recent research shows improved</w:t>
      </w:r>
      <w:r w:rsidR="00BB743F">
        <w:rPr>
          <w:b w:val="0"/>
          <w:bCs/>
          <w:color w:val="auto"/>
          <w:sz w:val="22"/>
          <w:szCs w:val="22"/>
        </w:rPr>
        <w:t xml:space="preserve"> </w:t>
      </w:r>
      <w:r w:rsidRPr="00D00FB8">
        <w:rPr>
          <w:b w:val="0"/>
          <w:bCs/>
          <w:color w:val="auto"/>
          <w:sz w:val="22"/>
          <w:szCs w:val="22"/>
        </w:rPr>
        <w:t>stability of polyol blends</w:t>
      </w:r>
      <w:r w:rsidRPr="00D00FB8">
        <w:rPr>
          <w:rStyle w:val="FootnoteReference"/>
          <w:b w:val="0"/>
          <w:bCs/>
          <w:color w:val="auto"/>
          <w:sz w:val="22"/>
          <w:szCs w:val="22"/>
        </w:rPr>
        <w:footnoteReference w:id="14"/>
      </w:r>
    </w:p>
    <w:p w14:paraId="38D979D4" w14:textId="663E6472" w:rsidR="00CA3877" w:rsidRPr="007A058F" w:rsidRDefault="00CA3877" w:rsidP="005C5E68">
      <w:pPr>
        <w:pStyle w:val="Heading2"/>
        <w:rPr>
          <w:rStyle w:val="Heading2Char"/>
          <w:b/>
        </w:rPr>
      </w:pPr>
      <w:bookmarkStart w:id="212" w:name="_Toc104396666"/>
      <w:r w:rsidRPr="007A058F">
        <w:rPr>
          <w:rStyle w:val="Heading2Char"/>
          <w:b/>
        </w:rPr>
        <w:t>2.4</w:t>
      </w:r>
      <w:r w:rsidRPr="007A058F">
        <w:rPr>
          <w:rStyle w:val="Heading2Char"/>
          <w:b/>
        </w:rPr>
        <w:tab/>
        <w:t>HFOs and HCFOs in Current Use</w:t>
      </w:r>
      <w:bookmarkEnd w:id="206"/>
      <w:bookmarkEnd w:id="207"/>
      <w:bookmarkEnd w:id="212"/>
      <w:r w:rsidRPr="007A058F">
        <w:rPr>
          <w:rStyle w:val="Heading2Char"/>
          <w:b/>
        </w:rPr>
        <w:t xml:space="preserve"> </w:t>
      </w:r>
    </w:p>
    <w:p w14:paraId="0A239EA6" w14:textId="77777777" w:rsidR="00CA3877" w:rsidRPr="00D00FB8" w:rsidRDefault="00CA3877" w:rsidP="00CA3877">
      <w:pPr>
        <w:tabs>
          <w:tab w:val="left" w:pos="180"/>
        </w:tabs>
        <w:jc w:val="both"/>
        <w:rPr>
          <w:color w:val="auto"/>
          <w:szCs w:val="22"/>
        </w:rPr>
      </w:pPr>
      <w:r w:rsidRPr="00D00FB8">
        <w:rPr>
          <w:b/>
          <w:color w:val="auto"/>
          <w:szCs w:val="22"/>
        </w:rPr>
        <w:t>HFOs</w:t>
      </w:r>
      <w:r w:rsidRPr="00D00FB8">
        <w:rPr>
          <w:color w:val="auto"/>
          <w:szCs w:val="22"/>
        </w:rPr>
        <w:t>/</w:t>
      </w:r>
      <w:r w:rsidRPr="00D00FB8">
        <w:rPr>
          <w:b/>
          <w:color w:val="auto"/>
          <w:szCs w:val="22"/>
        </w:rPr>
        <w:t>HCFOs</w:t>
      </w:r>
      <w:r w:rsidRPr="00D00FB8">
        <w:rPr>
          <w:color w:val="auto"/>
          <w:szCs w:val="22"/>
        </w:rPr>
        <w:t xml:space="preserve"> provide an alternative to HCs that can eliminate or reduce the flammability or use of flame retardant for polyurethane, polyisocyanurate, and extruded thermoplastic foam production, </w:t>
      </w:r>
      <w:r w:rsidRPr="00D00FB8">
        <w:rPr>
          <w:color w:val="auto"/>
          <w:szCs w:val="22"/>
        </w:rPr>
        <w:lastRenderedPageBreak/>
        <w:t>eliminating the capital investment required to address safety when using HCs as a blowing agent. In addition, HFOs/HCFOs can result in improved foam insulating values compared to HC blown foams. </w:t>
      </w:r>
    </w:p>
    <w:p w14:paraId="1389F79C" w14:textId="479C8210" w:rsidR="00CA3877" w:rsidRPr="00D00FB8" w:rsidRDefault="00CA3877" w:rsidP="00CA3877">
      <w:pPr>
        <w:tabs>
          <w:tab w:val="left" w:pos="180"/>
        </w:tabs>
        <w:jc w:val="both"/>
        <w:rPr>
          <w:color w:val="auto"/>
          <w:szCs w:val="22"/>
        </w:rPr>
      </w:pPr>
      <w:r w:rsidRPr="00D00FB8">
        <w:rPr>
          <w:color w:val="auto"/>
          <w:szCs w:val="22"/>
          <w:lang w:eastAsia="en-US"/>
        </w:rPr>
        <w:t>There have been significant improvements in the development and availability of additives, co-blowing agents, equipment</w:t>
      </w:r>
      <w:r w:rsidR="002C0D7B" w:rsidRPr="002C0D7B">
        <w:rPr>
          <w:color w:val="auto"/>
          <w:szCs w:val="22"/>
          <w:lang w:eastAsia="en-US"/>
        </w:rPr>
        <w:t>,</w:t>
      </w:r>
      <w:r w:rsidRPr="00D00FB8">
        <w:rPr>
          <w:color w:val="auto"/>
          <w:szCs w:val="22"/>
          <w:lang w:eastAsia="en-US"/>
        </w:rPr>
        <w:t xml:space="preserve"> and formulations enabling the successful commercialization of foams containing low GWP blowing agents.</w:t>
      </w:r>
      <w:r w:rsidRPr="00D00FB8">
        <w:rPr>
          <w:color w:val="auto"/>
          <w:szCs w:val="22"/>
        </w:rPr>
        <w:t xml:space="preserve"> </w:t>
      </w:r>
    </w:p>
    <w:p w14:paraId="2EECE314" w14:textId="77777777" w:rsidR="00CA3877" w:rsidRPr="00D00FB8" w:rsidRDefault="00CA3877" w:rsidP="00CA3877">
      <w:pPr>
        <w:tabs>
          <w:tab w:val="left" w:pos="180"/>
        </w:tabs>
        <w:jc w:val="both"/>
        <w:rPr>
          <w:color w:val="auto"/>
          <w:szCs w:val="22"/>
        </w:rPr>
      </w:pPr>
      <w:r w:rsidRPr="00D00FB8">
        <w:rPr>
          <w:color w:val="auto"/>
          <w:szCs w:val="22"/>
        </w:rPr>
        <w:t>The transition by SMEs to HFOs/HCFOs is currently slowed by both their greater expense, and limited but improving, supply in A5 parties. HFO/HCFOs are sometimes blended with other blowing agents to reduce costs in both A5 and non-A5 parties.</w:t>
      </w:r>
    </w:p>
    <w:p w14:paraId="50D05413" w14:textId="77777777" w:rsidR="00CA3877" w:rsidRPr="00D00FB8" w:rsidRDefault="00CA3877" w:rsidP="00CA3877">
      <w:pPr>
        <w:jc w:val="both"/>
        <w:rPr>
          <w:color w:val="auto"/>
          <w:szCs w:val="22"/>
          <w:lang w:val="en-US"/>
        </w:rPr>
      </w:pPr>
      <w:r w:rsidRPr="00D00FB8">
        <w:rPr>
          <w:color w:val="auto"/>
          <w:szCs w:val="22"/>
          <w:lang w:val="en-US"/>
        </w:rPr>
        <w:t xml:space="preserve">Manufacturers of HFO/HCFOs have increased capacity of some of the HFOs/HCFOs to meet the demand for low GWP </w:t>
      </w:r>
      <w:r w:rsidRPr="00D00FB8">
        <w:rPr>
          <w:color w:val="auto"/>
          <w:szCs w:val="22"/>
        </w:rPr>
        <w:t xml:space="preserve">blowing agents that is expected to result from the implementation of low GWP regulations. </w:t>
      </w:r>
      <w:r w:rsidRPr="00D00FB8">
        <w:rPr>
          <w:color w:val="auto"/>
          <w:szCs w:val="22"/>
          <w:lang w:val="en-US"/>
        </w:rPr>
        <w:t xml:space="preserve">Continued coordination could be helpful to ensure that there is adequate supply as regulations are implemented. </w:t>
      </w:r>
    </w:p>
    <w:p w14:paraId="633646A0" w14:textId="6F1BECB3" w:rsidR="00CA3877" w:rsidRPr="00D00FB8" w:rsidRDefault="00CA3877" w:rsidP="00CA3877">
      <w:pPr>
        <w:jc w:val="both"/>
        <w:rPr>
          <w:color w:val="auto"/>
          <w:szCs w:val="22"/>
          <w:lang w:val="en-US"/>
        </w:rPr>
      </w:pPr>
      <w:r w:rsidRPr="00D00FB8">
        <w:rPr>
          <w:color w:val="auto"/>
          <w:szCs w:val="22"/>
          <w:lang w:val="en-US"/>
        </w:rPr>
        <w:t>In Japan,</w:t>
      </w:r>
      <w:r w:rsidRPr="00D00FB8">
        <w:rPr>
          <w:szCs w:val="22"/>
        </w:rPr>
        <w:t xml:space="preserve"> shortages of </w:t>
      </w:r>
      <w:r w:rsidRPr="00D00FB8">
        <w:rPr>
          <w:color w:val="auto"/>
          <w:szCs w:val="22"/>
          <w:lang w:val="en-US"/>
        </w:rPr>
        <w:t>HFOs/HCFOs slowed HFC conversions in rigid polyurethane foams in 2021 and volumes of HFOs/HCFOs reaching 3700MT in 2021. Markets also contracted in 2021, particularly in spray foam</w:t>
      </w:r>
      <w:r w:rsidRPr="00D00FB8">
        <w:rPr>
          <w:rFonts w:eastAsia="Yu Mincho"/>
          <w:color w:val="auto"/>
          <w:szCs w:val="22"/>
          <w:lang w:val="en-US" w:eastAsia="ja-JP"/>
        </w:rPr>
        <w:t>.</w:t>
      </w:r>
      <w:r w:rsidRPr="00D00FB8">
        <w:rPr>
          <w:color w:val="auto"/>
          <w:szCs w:val="22"/>
          <w:lang w:val="en-US"/>
        </w:rPr>
        <w:t xml:space="preserve"> </w:t>
      </w:r>
      <w:r w:rsidRPr="00D00FB8">
        <w:rPr>
          <w:color w:val="auto"/>
          <w:szCs w:val="22"/>
        </w:rPr>
        <w:t>In 2020 HCFO-1224yd(Z) was commercialized in Japan</w:t>
      </w:r>
      <w:r w:rsidRPr="00D00FB8">
        <w:rPr>
          <w:rStyle w:val="FootnoteReference"/>
          <w:color w:val="auto"/>
          <w:szCs w:val="22"/>
        </w:rPr>
        <w:footnoteReference w:id="15"/>
      </w:r>
      <w:r w:rsidRPr="00D00FB8">
        <w:rPr>
          <w:color w:val="auto"/>
          <w:szCs w:val="22"/>
        </w:rPr>
        <w:t>. The boiling point of HCFO-1224yd(Z) is the same a</w:t>
      </w:r>
      <w:r w:rsidR="000E7C16">
        <w:rPr>
          <w:color w:val="auto"/>
          <w:szCs w:val="22"/>
        </w:rPr>
        <w:t>s</w:t>
      </w:r>
      <w:r w:rsidRPr="00D00FB8">
        <w:rPr>
          <w:color w:val="auto"/>
          <w:szCs w:val="22"/>
        </w:rPr>
        <w:t xml:space="preserve"> that of HFC-245fa. HCFO-1224yd(Z) is also used as a refrigerant and solvent in addition to blowing agent</w:t>
      </w:r>
      <w:r w:rsidRPr="00D00FB8">
        <w:rPr>
          <w:color w:val="FF0000"/>
          <w:szCs w:val="22"/>
        </w:rPr>
        <w:t>.</w:t>
      </w:r>
    </w:p>
    <w:p w14:paraId="34404D47" w14:textId="6D16F77A" w:rsidR="00CA3877" w:rsidRPr="00D00FB8" w:rsidRDefault="005917AB" w:rsidP="00CA3877">
      <w:pPr>
        <w:pStyle w:val="Style15"/>
        <w:rPr>
          <w:b w:val="0"/>
          <w:bCs/>
          <w:color w:val="auto"/>
          <w:sz w:val="22"/>
          <w:szCs w:val="22"/>
          <w:lang w:val="en-US"/>
        </w:rPr>
      </w:pPr>
      <w:r w:rsidRPr="00D00FB8">
        <w:rPr>
          <w:b w:val="0"/>
          <w:bCs/>
          <w:color w:val="auto"/>
          <w:sz w:val="22"/>
          <w:szCs w:val="22"/>
          <w:lang w:val="en-US"/>
        </w:rPr>
        <w:t>The Multilateral Fund published outcomes from a demonstration project at foam system houses</w:t>
      </w:r>
      <w:r w:rsidRPr="00D00FB8">
        <w:rPr>
          <w:rStyle w:val="FootnoteReference"/>
          <w:b w:val="0"/>
          <w:bCs/>
          <w:color w:val="auto"/>
          <w:sz w:val="22"/>
          <w:szCs w:val="22"/>
          <w:lang w:val="en-US"/>
        </w:rPr>
        <w:footnoteReference w:id="16"/>
      </w:r>
      <w:r w:rsidRPr="00D00FB8">
        <w:rPr>
          <w:b w:val="0"/>
          <w:bCs/>
          <w:color w:val="auto"/>
          <w:sz w:val="22"/>
          <w:szCs w:val="22"/>
          <w:lang w:val="en-US"/>
        </w:rPr>
        <w:t xml:space="preserve"> to formulate pre-blended polyols for spray polyurethane foam applications using </w:t>
      </w:r>
      <w:r>
        <w:rPr>
          <w:b w:val="0"/>
          <w:bCs/>
          <w:color w:val="auto"/>
          <w:sz w:val="22"/>
          <w:szCs w:val="22"/>
          <w:lang w:val="en-US"/>
        </w:rPr>
        <w:t>new</w:t>
      </w:r>
      <w:r w:rsidRPr="00D00FB8">
        <w:rPr>
          <w:b w:val="0"/>
          <w:bCs/>
          <w:color w:val="auto"/>
          <w:sz w:val="22"/>
          <w:szCs w:val="22"/>
          <w:lang w:val="en-US"/>
        </w:rPr>
        <w:t xml:space="preserve"> catalyst package</w:t>
      </w:r>
      <w:r>
        <w:rPr>
          <w:b w:val="0"/>
          <w:bCs/>
          <w:color w:val="auto"/>
          <w:sz w:val="22"/>
          <w:szCs w:val="22"/>
          <w:lang w:val="en-US"/>
        </w:rPr>
        <w:t>s</w:t>
      </w:r>
      <w:r w:rsidRPr="00D00FB8">
        <w:rPr>
          <w:b w:val="0"/>
          <w:bCs/>
          <w:color w:val="auto"/>
          <w:sz w:val="22"/>
          <w:szCs w:val="22"/>
          <w:lang w:val="en-US"/>
        </w:rPr>
        <w:t xml:space="preserve"> that </w:t>
      </w:r>
      <w:r>
        <w:rPr>
          <w:b w:val="0"/>
          <w:bCs/>
          <w:color w:val="auto"/>
          <w:sz w:val="22"/>
          <w:szCs w:val="22"/>
          <w:lang w:val="en-US"/>
        </w:rPr>
        <w:t xml:space="preserve">resulted in </w:t>
      </w:r>
      <w:r w:rsidRPr="00D00FB8">
        <w:rPr>
          <w:b w:val="0"/>
          <w:bCs/>
          <w:color w:val="auto"/>
          <w:sz w:val="22"/>
          <w:szCs w:val="22"/>
          <w:lang w:val="en-US"/>
        </w:rPr>
        <w:t>foam properties comparable to those blown with HCFC-141b</w:t>
      </w:r>
      <w:r>
        <w:rPr>
          <w:b w:val="0"/>
          <w:bCs/>
          <w:color w:val="auto"/>
          <w:sz w:val="22"/>
          <w:szCs w:val="22"/>
          <w:lang w:val="en-US"/>
        </w:rPr>
        <w:t xml:space="preserve">. The cost of the foam was </w:t>
      </w:r>
      <w:r w:rsidRPr="00D00FB8">
        <w:rPr>
          <w:b w:val="0"/>
          <w:bCs/>
          <w:color w:val="auto"/>
          <w:sz w:val="22"/>
          <w:szCs w:val="22"/>
          <w:lang w:val="en-US"/>
        </w:rPr>
        <w:t>22-46%</w:t>
      </w:r>
      <w:r>
        <w:rPr>
          <w:b w:val="0"/>
          <w:bCs/>
          <w:color w:val="auto"/>
          <w:sz w:val="22"/>
          <w:szCs w:val="22"/>
          <w:lang w:val="en-US"/>
        </w:rPr>
        <w:t xml:space="preserve"> greater than the cost</w:t>
      </w:r>
      <w:r w:rsidRPr="00D00FB8">
        <w:rPr>
          <w:b w:val="0"/>
          <w:bCs/>
          <w:color w:val="auto"/>
          <w:sz w:val="22"/>
          <w:szCs w:val="22"/>
          <w:lang w:val="en-US"/>
        </w:rPr>
        <w:t xml:space="preserve"> prior to the pandemic.</w:t>
      </w:r>
    </w:p>
    <w:p w14:paraId="21E17EE0" w14:textId="77777777" w:rsidR="00CA3877" w:rsidRPr="00D00FB8" w:rsidRDefault="00CA3877" w:rsidP="00CA3877">
      <w:pPr>
        <w:pStyle w:val="Style15"/>
        <w:rPr>
          <w:b w:val="0"/>
          <w:bCs/>
          <w:color w:val="auto"/>
          <w:sz w:val="22"/>
          <w:szCs w:val="22"/>
          <w:lang w:val="en-US"/>
        </w:rPr>
      </w:pPr>
    </w:p>
    <w:p w14:paraId="62CD284C" w14:textId="77777777" w:rsidR="00CA3877" w:rsidRPr="00D00FB8" w:rsidRDefault="00CA3877" w:rsidP="00CA3877">
      <w:pPr>
        <w:rPr>
          <w:color w:val="auto"/>
          <w:szCs w:val="22"/>
        </w:rPr>
      </w:pPr>
      <w:r w:rsidRPr="00D00FB8">
        <w:rPr>
          <w:color w:val="auto"/>
          <w:szCs w:val="22"/>
        </w:rPr>
        <w:t xml:space="preserve">Methyl </w:t>
      </w:r>
      <w:proofErr w:type="spellStart"/>
      <w:r w:rsidRPr="00D00FB8">
        <w:rPr>
          <w:color w:val="auto"/>
          <w:szCs w:val="22"/>
        </w:rPr>
        <w:t>formate</w:t>
      </w:r>
      <w:proofErr w:type="spellEnd"/>
      <w:r w:rsidRPr="00D00FB8">
        <w:rPr>
          <w:iCs/>
          <w:color w:val="auto"/>
          <w:szCs w:val="22"/>
        </w:rPr>
        <w:t xml:space="preserve"> used</w:t>
      </w:r>
      <w:r w:rsidRPr="00D00FB8">
        <w:rPr>
          <w:color w:val="auto"/>
          <w:szCs w:val="22"/>
        </w:rPr>
        <w:t xml:space="preserve"> as a sole blowing agent continues to increase around the world in rigid foam applications and integral skin foam applications. </w:t>
      </w:r>
      <w:r w:rsidRPr="00D00FB8">
        <w:rPr>
          <w:iCs/>
          <w:color w:val="auto"/>
          <w:szCs w:val="22"/>
        </w:rPr>
        <w:t>It</w:t>
      </w:r>
      <w:r w:rsidRPr="00D00FB8">
        <w:rPr>
          <w:color w:val="auto"/>
          <w:szCs w:val="22"/>
        </w:rPr>
        <w:t xml:space="preserve"> is also being used in A5 parties as a co-blowing agent with HFCs for various rigid foam applications. Methyl </w:t>
      </w:r>
      <w:proofErr w:type="spellStart"/>
      <w:r w:rsidRPr="00D00FB8">
        <w:rPr>
          <w:color w:val="auto"/>
          <w:szCs w:val="22"/>
        </w:rPr>
        <w:t>formate</w:t>
      </w:r>
      <w:proofErr w:type="spellEnd"/>
      <w:r w:rsidRPr="00D00FB8">
        <w:rPr>
          <w:color w:val="auto"/>
          <w:szCs w:val="22"/>
        </w:rPr>
        <w:t xml:space="preserve"> blends with HFCs are also being used in the United States for manufacturing XPS boards and in some cases blends with HFCs and HCFOs for rigid polyurethane foams.</w:t>
      </w:r>
    </w:p>
    <w:p w14:paraId="738FCC0A" w14:textId="02A06054" w:rsidR="00CA3877" w:rsidRPr="00C7675C" w:rsidRDefault="00CA3877" w:rsidP="005C5E68">
      <w:pPr>
        <w:pStyle w:val="Heading2"/>
        <w:rPr>
          <w:rStyle w:val="Heading311ptBoldChar"/>
          <w:b/>
        </w:rPr>
      </w:pPr>
      <w:bookmarkStart w:id="213" w:name="_Toc77868862"/>
      <w:bookmarkStart w:id="214" w:name="_Toc78040708"/>
      <w:bookmarkStart w:id="215" w:name="_Toc104396667"/>
      <w:r w:rsidRPr="00C7675C">
        <w:rPr>
          <w:rStyle w:val="Heading311ptBoldChar"/>
          <w:b/>
        </w:rPr>
        <w:t>2.4.1</w:t>
      </w:r>
      <w:r w:rsidRPr="00C7675C">
        <w:rPr>
          <w:rStyle w:val="Heading311ptBoldChar"/>
          <w:b/>
        </w:rPr>
        <w:tab/>
        <w:t>Extruded Polystyrene (XPS) Foam Blowing Agents</w:t>
      </w:r>
      <w:bookmarkEnd w:id="213"/>
      <w:bookmarkEnd w:id="214"/>
      <w:bookmarkEnd w:id="215"/>
      <w:r w:rsidRPr="00C7675C">
        <w:rPr>
          <w:rStyle w:val="Heading311ptBoldChar"/>
          <w:b/>
        </w:rPr>
        <w:t xml:space="preserve"> </w:t>
      </w:r>
    </w:p>
    <w:p w14:paraId="2E7DE1B2" w14:textId="33BBD320" w:rsidR="00CA3877" w:rsidRPr="00D00FB8" w:rsidRDefault="00CA3877" w:rsidP="00CA3877">
      <w:pPr>
        <w:pStyle w:val="xxxmsolistparagraph"/>
        <w:rPr>
          <w:rFonts w:ascii="Times New Roman" w:hAnsi="Times New Roman" w:cs="Times New Roman"/>
        </w:rPr>
      </w:pPr>
      <w:r w:rsidRPr="00D00FB8">
        <w:rPr>
          <w:rFonts w:ascii="Times New Roman" w:hAnsi="Times New Roman" w:cs="Times New Roman"/>
        </w:rPr>
        <w:t>Some XPS manufacturers note that there continue to be challenges for the conversion of XPS foam blowing agents for some foams and regions depending on specific product needs noting that new foam blowing agents cannot directly replace current products and that the need to maintain density does not necessarily allow for reduced loading of higher cost blowing agents.</w:t>
      </w:r>
      <w:r w:rsidR="005617DE">
        <w:rPr>
          <w:rFonts w:ascii="Times New Roman" w:hAnsi="Times New Roman" w:cs="Times New Roman"/>
        </w:rPr>
        <w:t xml:space="preserve"> </w:t>
      </w:r>
      <w:r w:rsidRPr="00D00FB8">
        <w:rPr>
          <w:rFonts w:ascii="Times New Roman" w:hAnsi="Times New Roman" w:cs="Times New Roman"/>
        </w:rPr>
        <w:t>They further note that preparation for conversion to flammable</w:t>
      </w:r>
      <w:r w:rsidRPr="00D00FB8">
        <w:rPr>
          <w:rStyle w:val="FootnoteReference"/>
          <w:rFonts w:ascii="Times New Roman" w:hAnsi="Times New Roman" w:cs="Times New Roman"/>
        </w:rPr>
        <w:footnoteReference w:id="17"/>
      </w:r>
      <w:r w:rsidRPr="00D00FB8">
        <w:rPr>
          <w:rFonts w:ascii="Times New Roman" w:hAnsi="Times New Roman" w:cs="Times New Roman"/>
        </w:rPr>
        <w:t xml:space="preserve"> blowing agents requires approximately18 to 36 months for capital investment and product qualification based on the specific end use (e.g.</w:t>
      </w:r>
      <w:r w:rsidR="002C0D7B" w:rsidRPr="002C0D7B">
        <w:rPr>
          <w:rFonts w:ascii="Times New Roman" w:hAnsi="Times New Roman" w:cs="Times New Roman"/>
        </w:rPr>
        <w:t>,</w:t>
      </w:r>
      <w:r w:rsidRPr="00D00FB8">
        <w:rPr>
          <w:rFonts w:ascii="Times New Roman" w:hAnsi="Times New Roman" w:cs="Times New Roman"/>
        </w:rPr>
        <w:t xml:space="preserve"> walls, roofs, structural support, transportation, cold storage. It was also noted that at least one non-flammable. mid-range (750 GWP) blend, containing HFC-134a, is currently under consideration for use.</w:t>
      </w:r>
    </w:p>
    <w:p w14:paraId="2E484082" w14:textId="77777777" w:rsidR="00CA3877" w:rsidRPr="00D00FB8" w:rsidRDefault="00CA3877" w:rsidP="00CA3877">
      <w:pPr>
        <w:pStyle w:val="Style15"/>
        <w:rPr>
          <w:b w:val="0"/>
          <w:color w:val="auto"/>
          <w:sz w:val="22"/>
          <w:szCs w:val="22"/>
        </w:rPr>
      </w:pPr>
    </w:p>
    <w:p w14:paraId="24DF82B6" w14:textId="77777777" w:rsidR="00CA3877" w:rsidRPr="00D00FB8" w:rsidRDefault="00CA3877" w:rsidP="00CA3877">
      <w:pPr>
        <w:pStyle w:val="Style15"/>
        <w:rPr>
          <w:b w:val="0"/>
          <w:color w:val="auto"/>
          <w:sz w:val="22"/>
          <w:szCs w:val="22"/>
        </w:rPr>
      </w:pPr>
      <w:r w:rsidRPr="00D00FB8">
        <w:rPr>
          <w:b w:val="0"/>
          <w:color w:val="auto"/>
          <w:sz w:val="22"/>
          <w:szCs w:val="22"/>
        </w:rPr>
        <w:lastRenderedPageBreak/>
        <w:t>In China there are Chinese equipment vendors offering both CO</w:t>
      </w:r>
      <w:r w:rsidRPr="00D00FB8">
        <w:rPr>
          <w:b w:val="0"/>
          <w:color w:val="auto"/>
          <w:sz w:val="22"/>
          <w:szCs w:val="22"/>
          <w:vertAlign w:val="subscript"/>
        </w:rPr>
        <w:t>2</w:t>
      </w:r>
      <w:r w:rsidRPr="00D00FB8">
        <w:rPr>
          <w:b w:val="0"/>
          <w:color w:val="auto"/>
          <w:sz w:val="22"/>
          <w:szCs w:val="22"/>
        </w:rPr>
        <w:t xml:space="preserve"> based and HFC solutions for medium to large enterprises. It is expected that CO</w:t>
      </w:r>
      <w:r w:rsidRPr="00D00FB8">
        <w:rPr>
          <w:b w:val="0"/>
          <w:color w:val="auto"/>
          <w:sz w:val="22"/>
          <w:szCs w:val="22"/>
          <w:vertAlign w:val="subscript"/>
        </w:rPr>
        <w:t>2</w:t>
      </w:r>
      <w:r w:rsidRPr="00D00FB8">
        <w:rPr>
          <w:b w:val="0"/>
          <w:color w:val="auto"/>
          <w:sz w:val="22"/>
          <w:szCs w:val="22"/>
        </w:rPr>
        <w:t xml:space="preserve"> based systems will predominate for the phase out of HCFCs.</w:t>
      </w:r>
    </w:p>
    <w:p w14:paraId="2DA63E89" w14:textId="77777777" w:rsidR="00CA3877" w:rsidRPr="00D00FB8" w:rsidRDefault="00CA3877" w:rsidP="00CA3877">
      <w:pPr>
        <w:pStyle w:val="Style15"/>
        <w:rPr>
          <w:color w:val="auto"/>
          <w:sz w:val="22"/>
          <w:szCs w:val="22"/>
          <w:lang w:val="en-US"/>
        </w:rPr>
      </w:pPr>
    </w:p>
    <w:p w14:paraId="5DB9CD02" w14:textId="34A5AD8C" w:rsidR="00CA3877" w:rsidRPr="00D00FB8" w:rsidRDefault="00CA3877" w:rsidP="00B710A8">
      <w:pPr>
        <w:rPr>
          <w:color w:val="auto"/>
          <w:szCs w:val="22"/>
        </w:rPr>
      </w:pPr>
      <w:r w:rsidRPr="00D00FB8">
        <w:rPr>
          <w:color w:val="auto"/>
          <w:szCs w:val="22"/>
        </w:rPr>
        <w:t>Other blowing agents and co-blowing agents</w:t>
      </w:r>
      <w:r w:rsidRPr="00D00FB8">
        <w:rPr>
          <w:b/>
          <w:color w:val="auto"/>
          <w:szCs w:val="22"/>
        </w:rPr>
        <w:t xml:space="preserve"> </w:t>
      </w:r>
      <w:r w:rsidRPr="00D00FB8">
        <w:rPr>
          <w:color w:val="auto"/>
          <w:szCs w:val="22"/>
        </w:rPr>
        <w:t>continue to be used in small quantities</w:t>
      </w:r>
      <w:bookmarkEnd w:id="208"/>
      <w:r w:rsidRPr="00D00FB8">
        <w:rPr>
          <w:color w:val="auto"/>
          <w:szCs w:val="22"/>
        </w:rPr>
        <w:t>.</w:t>
      </w:r>
      <w:r w:rsidR="005617DE">
        <w:rPr>
          <w:color w:val="auto"/>
          <w:szCs w:val="22"/>
        </w:rPr>
        <w:t xml:space="preserve"> </w:t>
      </w:r>
      <w:r w:rsidRPr="00D00FB8">
        <w:rPr>
          <w:color w:val="auto"/>
          <w:szCs w:val="22"/>
        </w:rPr>
        <w:t>Isopropyl chloride (2-Chloropropane) is blended with isopentane generally for phenolic foam. Foam additives FA188 and PF-5056 are highly fluorinated, C5 or greater olefins whose GWPs are close to 100 and have been</w:t>
      </w:r>
      <w:r w:rsidR="00BB743F">
        <w:rPr>
          <w:color w:val="auto"/>
          <w:szCs w:val="22"/>
        </w:rPr>
        <w:t xml:space="preserve"> </w:t>
      </w:r>
      <w:r w:rsidRPr="00D00FB8">
        <w:rPr>
          <w:color w:val="auto"/>
          <w:szCs w:val="22"/>
        </w:rPr>
        <w:t xml:space="preserve">viewed technically as nucleating agents. However, based on the European Norm standard (EN13165), this material can be found in the cell gas after 6 months </w:t>
      </w:r>
      <w:r w:rsidR="00B710A8">
        <w:rPr>
          <w:color w:val="auto"/>
          <w:szCs w:val="22"/>
        </w:rPr>
        <w:t>at</w:t>
      </w:r>
      <w:r w:rsidRPr="00D00FB8">
        <w:rPr>
          <w:color w:val="auto"/>
          <w:szCs w:val="22"/>
        </w:rPr>
        <w:t xml:space="preserve"> 70°C in polyisocyanurate (PIR) foam, so then it is also classified as a blowing agent.</w:t>
      </w:r>
    </w:p>
    <w:p w14:paraId="0EDA5BC5" w14:textId="43B7AF9E" w:rsidR="00532032" w:rsidRPr="00532032" w:rsidRDefault="00CA3877" w:rsidP="00532032">
      <w:pPr>
        <w:jc w:val="both"/>
        <w:rPr>
          <w:color w:val="auto"/>
          <w:szCs w:val="22"/>
          <w:lang w:val="en-US"/>
        </w:rPr>
      </w:pPr>
      <w:r w:rsidRPr="00D00FB8">
        <w:rPr>
          <w:color w:val="auto"/>
          <w:szCs w:val="22"/>
        </w:rPr>
        <w:t>A patented chemical blowing agent (trade named CFA8</w:t>
      </w:r>
      <w:r w:rsidRPr="00D00FB8">
        <w:rPr>
          <w:rStyle w:val="FootnoteReference"/>
          <w:color w:val="auto"/>
          <w:szCs w:val="22"/>
        </w:rPr>
        <w:footnoteReference w:id="18"/>
      </w:r>
      <w:r w:rsidRPr="00D00FB8">
        <w:rPr>
          <w:color w:val="auto"/>
          <w:szCs w:val="22"/>
        </w:rPr>
        <w:t xml:space="preserve">) is being promoted, as a foam blowing agent, to the polyurethane market by China’s </w:t>
      </w:r>
      <w:proofErr w:type="spellStart"/>
      <w:r w:rsidRPr="00D00FB8">
        <w:rPr>
          <w:color w:val="auto"/>
          <w:szCs w:val="22"/>
        </w:rPr>
        <w:t>Butian</w:t>
      </w:r>
      <w:proofErr w:type="spellEnd"/>
      <w:r w:rsidRPr="00D00FB8">
        <w:rPr>
          <w:color w:val="auto"/>
          <w:szCs w:val="22"/>
        </w:rPr>
        <w:t xml:space="preserve"> New Materials and Technology Company.</w:t>
      </w:r>
      <w:r w:rsidR="005617DE">
        <w:rPr>
          <w:color w:val="auto"/>
          <w:szCs w:val="22"/>
        </w:rPr>
        <w:t xml:space="preserve"> </w:t>
      </w:r>
      <w:r w:rsidRPr="00D00FB8">
        <w:rPr>
          <w:color w:val="auto"/>
          <w:szCs w:val="22"/>
        </w:rPr>
        <w:t>It is expected that other innovative chemical and physical blowing</w:t>
      </w:r>
      <w:r w:rsidR="00532032">
        <w:rPr>
          <w:color w:val="auto"/>
          <w:szCs w:val="22"/>
        </w:rPr>
        <w:t xml:space="preserve">. </w:t>
      </w:r>
      <w:r w:rsidR="00532032" w:rsidRPr="00532032">
        <w:rPr>
          <w:color w:val="auto"/>
          <w:szCs w:val="22"/>
          <w:lang w:val="en-US"/>
        </w:rPr>
        <w:t>The technology involves carbonic acid salts of polymeric amines which liberate CO</w:t>
      </w:r>
      <w:r w:rsidR="00532032" w:rsidRPr="00532032">
        <w:rPr>
          <w:color w:val="auto"/>
          <w:szCs w:val="22"/>
          <w:vertAlign w:val="subscript"/>
          <w:lang w:val="en-US"/>
        </w:rPr>
        <w:t>2</w:t>
      </w:r>
      <w:r w:rsidR="00532032" w:rsidRPr="00532032">
        <w:rPr>
          <w:color w:val="auto"/>
          <w:szCs w:val="22"/>
          <w:lang w:val="en-US"/>
        </w:rPr>
        <w:t xml:space="preserve"> upon heating above a certain temperature, typical of polyurethane processing conditions. Hence, it is a latent source of CO</w:t>
      </w:r>
      <w:r w:rsidR="00532032" w:rsidRPr="00532032">
        <w:rPr>
          <w:color w:val="auto"/>
          <w:szCs w:val="22"/>
          <w:vertAlign w:val="subscript"/>
          <w:lang w:val="en-US"/>
        </w:rPr>
        <w:t>2</w:t>
      </w:r>
      <w:r w:rsidR="00532032" w:rsidRPr="00532032">
        <w:rPr>
          <w:color w:val="auto"/>
          <w:szCs w:val="22"/>
          <w:lang w:val="en-US"/>
        </w:rPr>
        <w:t xml:space="preserve"> blowing gas but has limitations due to relatively high residual water content and low molar mass of bound CO</w:t>
      </w:r>
      <w:r w:rsidR="00532032" w:rsidRPr="00532032">
        <w:rPr>
          <w:color w:val="auto"/>
          <w:szCs w:val="22"/>
          <w:vertAlign w:val="subscript"/>
          <w:lang w:val="en-US"/>
        </w:rPr>
        <w:t>2</w:t>
      </w:r>
      <w:r w:rsidR="00532032" w:rsidRPr="00532032">
        <w:rPr>
          <w:color w:val="auto"/>
          <w:szCs w:val="22"/>
          <w:lang w:val="en-US"/>
        </w:rPr>
        <w:t>.</w:t>
      </w:r>
      <w:r w:rsidR="005617DE">
        <w:rPr>
          <w:color w:val="auto"/>
          <w:szCs w:val="22"/>
          <w:lang w:val="en-US"/>
        </w:rPr>
        <w:t xml:space="preserve"> </w:t>
      </w:r>
    </w:p>
    <w:p w14:paraId="69FF4588" w14:textId="77777777" w:rsidR="00532032" w:rsidRPr="00532032" w:rsidRDefault="00532032" w:rsidP="00532032">
      <w:pPr>
        <w:jc w:val="both"/>
        <w:rPr>
          <w:rStyle w:val="Heading1Char2"/>
          <w:sz w:val="22"/>
          <w:szCs w:val="22"/>
        </w:rPr>
      </w:pPr>
      <w:r w:rsidRPr="00532032">
        <w:rPr>
          <w:color w:val="auto"/>
          <w:szCs w:val="22"/>
        </w:rPr>
        <w:t>It is expected that other innovative chemical and physical blowing agent technologies may be introduced over the coming years.</w:t>
      </w:r>
    </w:p>
    <w:p w14:paraId="233047F4" w14:textId="77777777" w:rsidR="001D0F5A" w:rsidRDefault="001D0F5A" w:rsidP="00532032">
      <w:pPr>
        <w:rPr>
          <w:szCs w:val="22"/>
          <w:lang w:val="en-US"/>
        </w:rPr>
        <w:sectPr w:rsidR="001D0F5A" w:rsidSect="00944FC9">
          <w:headerReference w:type="even" r:id="rId37"/>
          <w:headerReference w:type="default" r:id="rId38"/>
          <w:footerReference w:type="even" r:id="rId39"/>
          <w:headerReference w:type="first" r:id="rId40"/>
          <w:type w:val="oddPage"/>
          <w:pgSz w:w="11906" w:h="16838"/>
          <w:pgMar w:top="1440" w:right="1440" w:bottom="1440" w:left="1440" w:header="708" w:footer="708" w:gutter="0"/>
          <w:cols w:space="720"/>
        </w:sectPr>
      </w:pPr>
    </w:p>
    <w:p w14:paraId="360FE43D" w14:textId="69E72C0D" w:rsidR="007C7AFE" w:rsidRPr="00821BBC" w:rsidRDefault="00970F39" w:rsidP="00821BBC">
      <w:pPr>
        <w:pStyle w:val="Heading1"/>
      </w:pPr>
      <w:bookmarkStart w:id="216" w:name="_Toc77868863"/>
      <w:bookmarkStart w:id="217" w:name="_Toc78040709"/>
      <w:bookmarkStart w:id="218" w:name="_Toc79066515"/>
      <w:bookmarkStart w:id="219" w:name="_Toc104396668"/>
      <w:bookmarkEnd w:id="193"/>
      <w:bookmarkEnd w:id="194"/>
      <w:r>
        <w:lastRenderedPageBreak/>
        <w:t>3.</w:t>
      </w:r>
      <w:r>
        <w:tab/>
      </w:r>
      <w:r w:rsidR="00591AA8" w:rsidRPr="00821BBC">
        <w:t>Halons TOC (HTOC) Progress Report</w:t>
      </w:r>
      <w:bookmarkStart w:id="220" w:name="_Toc351916854"/>
      <w:bookmarkStart w:id="221" w:name="_Toc353428415"/>
      <w:bookmarkStart w:id="222" w:name="_Toc388648345"/>
      <w:bookmarkStart w:id="223" w:name="_Toc295406121"/>
      <w:bookmarkStart w:id="224" w:name="_Toc515246693"/>
      <w:bookmarkStart w:id="225" w:name="_Toc39573689"/>
      <w:bookmarkStart w:id="226" w:name="_Toc316306131"/>
      <w:bookmarkEnd w:id="195"/>
      <w:bookmarkEnd w:id="196"/>
      <w:bookmarkEnd w:id="197"/>
      <w:bookmarkEnd w:id="198"/>
      <w:bookmarkEnd w:id="216"/>
      <w:bookmarkEnd w:id="217"/>
      <w:bookmarkEnd w:id="218"/>
      <w:bookmarkEnd w:id="219"/>
    </w:p>
    <w:p w14:paraId="57FA177F" w14:textId="3522E0D6" w:rsidR="00CA3877" w:rsidRPr="00B87B22" w:rsidRDefault="00C223D0" w:rsidP="00821BBC">
      <w:pPr>
        <w:pStyle w:val="Heading2"/>
        <w:rPr>
          <w:rStyle w:val="Heading2Char"/>
          <w:b/>
          <w:szCs w:val="24"/>
        </w:rPr>
      </w:pPr>
      <w:bookmarkStart w:id="227" w:name="_Toc104396669"/>
      <w:bookmarkStart w:id="228" w:name="_Toc42071374"/>
      <w:bookmarkStart w:id="229" w:name="_Toc514151638"/>
      <w:bookmarkStart w:id="230" w:name="_Toc9109569"/>
      <w:bookmarkStart w:id="231" w:name="_Toc40696043"/>
      <w:r w:rsidRPr="00B87B22">
        <w:rPr>
          <w:rStyle w:val="Heading2Char"/>
          <w:b/>
          <w:szCs w:val="24"/>
        </w:rPr>
        <w:t>3.1</w:t>
      </w:r>
      <w:r w:rsidRPr="00B87B22">
        <w:rPr>
          <w:rStyle w:val="Heading2Char"/>
          <w:b/>
          <w:szCs w:val="24"/>
        </w:rPr>
        <w:tab/>
      </w:r>
      <w:r w:rsidR="00CA3877" w:rsidRPr="00B87B22">
        <w:rPr>
          <w:rStyle w:val="Heading2Char"/>
          <w:b/>
          <w:szCs w:val="24"/>
        </w:rPr>
        <w:t>Introduction</w:t>
      </w:r>
      <w:bookmarkEnd w:id="227"/>
    </w:p>
    <w:p w14:paraId="30644212" w14:textId="7CD4D4C7" w:rsidR="00CA3877" w:rsidRDefault="00CA3877" w:rsidP="00CA3877">
      <w:pPr>
        <w:rPr>
          <w:lang w:val="en-US"/>
        </w:rPr>
      </w:pPr>
      <w:r w:rsidRPr="00A27920">
        <w:rPr>
          <w:lang w:val="en-US"/>
        </w:rPr>
        <w:t>Owing to the COVID-19 travel restrictions, the HTOC has been holding monthly virtual meetings and plans to continue to do so.</w:t>
      </w:r>
      <w:r w:rsidR="005617DE">
        <w:rPr>
          <w:lang w:val="en-US"/>
        </w:rPr>
        <w:t xml:space="preserve"> </w:t>
      </w:r>
      <w:r w:rsidRPr="00A27920">
        <w:rPr>
          <w:lang w:val="en-US"/>
        </w:rPr>
        <w:t xml:space="preserve">As such, the HTOC did not meet in person in Q1 of 2022. Instead, a series of virtual meetings was held during the week of 21 March 2022, each one </w:t>
      </w:r>
      <w:r w:rsidR="002C0D7B" w:rsidRPr="002C0D7B">
        <w:rPr>
          <w:lang w:val="en-US"/>
        </w:rPr>
        <w:t>focused</w:t>
      </w:r>
      <w:r w:rsidRPr="00A27920">
        <w:rPr>
          <w:lang w:val="en-US"/>
        </w:rPr>
        <w:t xml:space="preserve"> on a specific chapter of the 2022 Assessment Report. In addition, with travel restrictions now easing, the HTOC is planning an in-person meeting in June 2022 to </w:t>
      </w:r>
      <w:proofErr w:type="spellStart"/>
      <w:r w:rsidRPr="00A27920">
        <w:rPr>
          <w:lang w:val="en-US"/>
        </w:rPr>
        <w:t>finali</w:t>
      </w:r>
      <w:r w:rsidR="00B710A8">
        <w:rPr>
          <w:lang w:val="en-US"/>
        </w:rPr>
        <w:t>s</w:t>
      </w:r>
      <w:r w:rsidRPr="00A27920">
        <w:rPr>
          <w:lang w:val="en-US"/>
        </w:rPr>
        <w:t>e</w:t>
      </w:r>
      <w:proofErr w:type="spellEnd"/>
      <w:r w:rsidRPr="00A27920">
        <w:rPr>
          <w:lang w:val="en-US"/>
        </w:rPr>
        <w:t xml:space="preserve"> the Peer-Review Draft of the 2022 Assessment Report.</w:t>
      </w:r>
    </w:p>
    <w:p w14:paraId="72A9921A" w14:textId="5D9C341B" w:rsidR="004D28DE" w:rsidRPr="00B87B22" w:rsidRDefault="004D28DE" w:rsidP="00821BBC">
      <w:pPr>
        <w:pStyle w:val="Heading2"/>
        <w:rPr>
          <w:rStyle w:val="Heading2Char"/>
          <w:rFonts w:cs="Times New Roman"/>
          <w:b/>
          <w:szCs w:val="24"/>
        </w:rPr>
      </w:pPr>
      <w:bookmarkStart w:id="232" w:name="_Toc104396670"/>
      <w:r w:rsidRPr="00B87B22">
        <w:rPr>
          <w:rStyle w:val="Heading2Char"/>
          <w:b/>
          <w:szCs w:val="24"/>
        </w:rPr>
        <w:t>3.2</w:t>
      </w:r>
      <w:r w:rsidRPr="00B87B22">
        <w:rPr>
          <w:rStyle w:val="Heading2Char"/>
          <w:b/>
          <w:szCs w:val="24"/>
        </w:rPr>
        <w:tab/>
        <w:t>Effect of the HFC Production Phase-down</w:t>
      </w:r>
      <w:bookmarkEnd w:id="232"/>
    </w:p>
    <w:p w14:paraId="6E56DAF7" w14:textId="37BC6462" w:rsidR="004D28DE" w:rsidRDefault="004D28DE" w:rsidP="004D28DE">
      <w:pPr>
        <w:rPr>
          <w:color w:val="auto"/>
          <w:lang w:eastAsia="en-US"/>
        </w:rPr>
      </w:pPr>
      <w:r>
        <w:t xml:space="preserve">In the 2018 Assessment Report, the HTOC anticipated that the initial 10% reduction in </w:t>
      </w:r>
      <w:r>
        <w:rPr>
          <w:lang w:val="en-AU"/>
        </w:rPr>
        <w:t>HFC production within </w:t>
      </w:r>
      <w:r>
        <w:t>non-Article 5 parties would not have a significant impact on the availability of </w:t>
      </w:r>
      <w:r>
        <w:rPr>
          <w:lang w:val="en-AU"/>
        </w:rPr>
        <w:t>HFCs </w:t>
      </w:r>
      <w:r>
        <w:t>for fire protection. It was reasoned that the use of HFCs in fire protection is extremely small in comparison to other uses, the emissions are low, and sales of HFCs in most non-Article 5 parties were either declining or flat. Instead, the experience in the EU and Japan has shown a movement away from the use of HFCs in new fire protection systems (although use of HFCs in Japan has never been widespread). HFCs have been replaced in large part by low-GWP and no-GWP alternatives such as FK-5-1-12 and inert gases. The US HFC phase-down began on January 1, 2022, and it has already had an impact on the cost and availability of newly produced HFCs for fire protection. The US allocation system is GWP-weighted and the HFCs used for fire protection have very high GWPs, so the impact has been greater than initially expected. It is the HTOC’s experience that HFCs contained in fire protection equipment historically</w:t>
      </w:r>
      <w:r w:rsidRPr="00B9500E">
        <w:t xml:space="preserve"> </w:t>
      </w:r>
      <w:r>
        <w:t>have been recycled and reused to a relatively high extent. As the supply of newly produced HFCs for fire protection decreases in response to phase-down regulations, recycling becomes even more important as an alternative source of supply and is likely to increase in the future.</w:t>
      </w:r>
    </w:p>
    <w:p w14:paraId="6D22FF50" w14:textId="1776CB0C" w:rsidR="004D28DE" w:rsidRPr="004D28DE" w:rsidRDefault="004D28DE" w:rsidP="004D28DE">
      <w:pPr>
        <w:pStyle w:val="ListParagraph"/>
        <w:widowControl/>
        <w:numPr>
          <w:ilvl w:val="0"/>
          <w:numId w:val="61"/>
        </w:numPr>
        <w:spacing w:before="120" w:after="240" w:line="254" w:lineRule="auto"/>
        <w:ind w:firstLineChars="0"/>
        <w:contextualSpacing/>
        <w:jc w:val="left"/>
        <w:rPr>
          <w:rFonts w:ascii="Times New Roman" w:hAnsi="Times New Roman"/>
          <w:sz w:val="22"/>
          <w:lang w:val="en-AU"/>
        </w:rPr>
      </w:pPr>
      <w:r>
        <w:rPr>
          <w:rFonts w:ascii="Times New Roman" w:hAnsi="Times New Roman"/>
          <w:sz w:val="22"/>
          <w:lang w:val="en-AU"/>
        </w:rPr>
        <w:t>Parties may wish to consider re-emphasizing the need to foster international trade of recycled/reclaimed high-GWP</w:t>
      </w:r>
      <w:r>
        <w:rPr>
          <w:sz w:val="22"/>
          <w:lang w:val="en-US"/>
        </w:rPr>
        <w:t xml:space="preserve"> </w:t>
      </w:r>
      <w:r>
        <w:rPr>
          <w:rFonts w:ascii="Times New Roman" w:hAnsi="Times New Roman"/>
          <w:sz w:val="22"/>
          <w:lang w:val="en-US"/>
        </w:rPr>
        <w:t>HFCs</w:t>
      </w:r>
      <w:r>
        <w:rPr>
          <w:rFonts w:ascii="Times New Roman" w:hAnsi="Times New Roman"/>
          <w:sz w:val="22"/>
          <w:lang w:val="en-AU"/>
        </w:rPr>
        <w:t>, i.e., HFC-227ea, HFC-125 and HFC-236fa used in legacy fire protection applications, which include those in civil aviation lavatory fire protection systems.</w:t>
      </w:r>
    </w:p>
    <w:p w14:paraId="704AB31D" w14:textId="20C2F0D8" w:rsidR="00CA3877" w:rsidRPr="00C223D0" w:rsidRDefault="00C223D0" w:rsidP="005C5E68">
      <w:pPr>
        <w:pStyle w:val="Heading2"/>
        <w:rPr>
          <w:rStyle w:val="Heading2Char"/>
          <w:b/>
          <w:szCs w:val="24"/>
        </w:rPr>
      </w:pPr>
      <w:bookmarkStart w:id="233" w:name="_Toc40696042"/>
      <w:bookmarkStart w:id="234" w:name="_Toc42071375"/>
      <w:bookmarkStart w:id="235" w:name="_Toc104396671"/>
      <w:bookmarkEnd w:id="228"/>
      <w:r w:rsidRPr="00C223D0">
        <w:rPr>
          <w:rStyle w:val="Heading2Char"/>
          <w:b/>
          <w:szCs w:val="24"/>
        </w:rPr>
        <w:t>3.</w:t>
      </w:r>
      <w:r w:rsidR="004D28DE">
        <w:rPr>
          <w:rStyle w:val="Heading2Char"/>
          <w:b/>
          <w:szCs w:val="24"/>
        </w:rPr>
        <w:t>3</w:t>
      </w:r>
      <w:r>
        <w:rPr>
          <w:rStyle w:val="Heading2Char"/>
          <w:b/>
          <w:szCs w:val="24"/>
        </w:rPr>
        <w:tab/>
      </w:r>
      <w:r w:rsidR="00CA3877" w:rsidRPr="00C223D0">
        <w:rPr>
          <w:rStyle w:val="Heading2Char"/>
          <w:b/>
          <w:szCs w:val="24"/>
        </w:rPr>
        <w:t xml:space="preserve">Availability and </w:t>
      </w:r>
      <w:r w:rsidR="00B710A8">
        <w:rPr>
          <w:rStyle w:val="Heading2Char"/>
          <w:b/>
          <w:szCs w:val="24"/>
        </w:rPr>
        <w:t>Q</w:t>
      </w:r>
      <w:r w:rsidR="00CA3877" w:rsidRPr="00C223D0">
        <w:rPr>
          <w:rStyle w:val="Heading2Char"/>
          <w:b/>
          <w:szCs w:val="24"/>
        </w:rPr>
        <w:t xml:space="preserve">uality of </w:t>
      </w:r>
      <w:r w:rsidR="00B710A8">
        <w:rPr>
          <w:rStyle w:val="Heading2Char"/>
          <w:b/>
          <w:szCs w:val="24"/>
        </w:rPr>
        <w:t>R</w:t>
      </w:r>
      <w:r w:rsidR="00CA3877" w:rsidRPr="00C223D0">
        <w:rPr>
          <w:rStyle w:val="Heading2Char"/>
          <w:b/>
          <w:szCs w:val="24"/>
        </w:rPr>
        <w:t xml:space="preserve">ecycled </w:t>
      </w:r>
      <w:r w:rsidR="00B710A8">
        <w:rPr>
          <w:rStyle w:val="Heading2Char"/>
          <w:b/>
          <w:szCs w:val="24"/>
        </w:rPr>
        <w:t>H</w:t>
      </w:r>
      <w:r w:rsidR="00CA3877" w:rsidRPr="00C223D0">
        <w:rPr>
          <w:rStyle w:val="Heading2Char"/>
          <w:b/>
          <w:szCs w:val="24"/>
        </w:rPr>
        <w:t>alon</w:t>
      </w:r>
      <w:bookmarkEnd w:id="233"/>
      <w:bookmarkEnd w:id="234"/>
      <w:r w:rsidR="00CA3877" w:rsidRPr="00C223D0">
        <w:rPr>
          <w:rStyle w:val="Heading2Char"/>
          <w:b/>
          <w:szCs w:val="24"/>
        </w:rPr>
        <w:t xml:space="preserve"> 1301</w:t>
      </w:r>
      <w:bookmarkEnd w:id="235"/>
    </w:p>
    <w:p w14:paraId="7CC65FBC" w14:textId="77777777" w:rsidR="00CA3877" w:rsidRPr="00B638B6" w:rsidRDefault="00CA3877" w:rsidP="00CA3877">
      <w:pPr>
        <w:rPr>
          <w:szCs w:val="22"/>
        </w:rPr>
      </w:pPr>
      <w:bookmarkStart w:id="236" w:name="OLE_LINK17"/>
      <w:r w:rsidRPr="00B638B6">
        <w:rPr>
          <w:szCs w:val="22"/>
        </w:rPr>
        <w:t xml:space="preserve">The HTOC has identified several issues affecting the availability and quality of recovered halon 1301 from the civil aviation sector. </w:t>
      </w:r>
    </w:p>
    <w:p w14:paraId="6153A768" w14:textId="71CBFE03" w:rsidR="00CA3877" w:rsidRPr="00B638B6" w:rsidRDefault="00CA3877" w:rsidP="00CA3877">
      <w:pPr>
        <w:rPr>
          <w:color w:val="auto"/>
          <w:lang w:eastAsia="en-US"/>
        </w:rPr>
      </w:pPr>
      <w:bookmarkStart w:id="237" w:name="OLE_LINK6"/>
      <w:bookmarkStart w:id="238" w:name="OLE_LINK3"/>
      <w:r w:rsidRPr="00B638B6">
        <w:t xml:space="preserve">The issues concerning contaminated halon recovered from the aviation sector are at best continuing but possibly getting worse based on input provided to the HTOC by recycling companies. The Halon Recycling Corporation (HRC), as part of their outreach program on proper halon management, has recently developed a guidance document for airlines and </w:t>
      </w:r>
      <w:r>
        <w:t>m</w:t>
      </w:r>
      <w:r w:rsidRPr="00B638B6">
        <w:t xml:space="preserve">aintenance, </w:t>
      </w:r>
      <w:r>
        <w:t>r</w:t>
      </w:r>
      <w:r w:rsidRPr="00B638B6">
        <w:t>epair</w:t>
      </w:r>
      <w:r w:rsidR="002C0D7B" w:rsidRPr="002C0D7B">
        <w:t>,</w:t>
      </w:r>
      <w:r w:rsidRPr="00B638B6">
        <w:t xml:space="preserve"> and </w:t>
      </w:r>
      <w:r>
        <w:t>o</w:t>
      </w:r>
      <w:r w:rsidRPr="00B638B6">
        <w:t>verhaul (MRO) companies that outlines best practices for eliminating contamination during servicing.</w:t>
      </w:r>
      <w:r w:rsidR="005617DE">
        <w:t xml:space="preserve"> </w:t>
      </w:r>
      <w:r w:rsidRPr="00B638B6">
        <w:t>This free guidance document is available</w:t>
      </w:r>
      <w:r>
        <w:t xml:space="preserve"> via the HTOC</w:t>
      </w:r>
      <w:r w:rsidRPr="00B638B6">
        <w:t xml:space="preserve"> for wide-spread dissemination. </w:t>
      </w:r>
    </w:p>
    <w:bookmarkEnd w:id="237"/>
    <w:bookmarkEnd w:id="238"/>
    <w:p w14:paraId="614A2136" w14:textId="77777777" w:rsidR="00CA3877" w:rsidRPr="00B638B6" w:rsidRDefault="00CA3877" w:rsidP="00CA3877">
      <w:pPr>
        <w:rPr>
          <w:szCs w:val="22"/>
        </w:rPr>
      </w:pPr>
      <w:r>
        <w:rPr>
          <w:szCs w:val="22"/>
        </w:rPr>
        <w:t>Likewise, t</w:t>
      </w:r>
      <w:r w:rsidRPr="00B638B6">
        <w:rPr>
          <w:szCs w:val="22"/>
        </w:rPr>
        <w:t xml:space="preserve">he previously reported issue with </w:t>
      </w:r>
      <w:r w:rsidRPr="00B638B6">
        <w:rPr>
          <w:rFonts w:eastAsia="SimSun"/>
          <w:color w:val="auto"/>
          <w:kern w:val="2"/>
          <w:szCs w:val="22"/>
          <w:lang w:val="en-AU"/>
        </w:rPr>
        <w:t xml:space="preserve">some countries placing regulatory barriers that restrict the import of fire extinguishing components containing halons that are required for emergency replenishment after a halon discharge is </w:t>
      </w:r>
      <w:r w:rsidRPr="00B638B6">
        <w:rPr>
          <w:szCs w:val="22"/>
        </w:rPr>
        <w:t>continuing.</w:t>
      </w:r>
    </w:p>
    <w:p w14:paraId="73E90C0D" w14:textId="77777777" w:rsidR="00CA3877" w:rsidRDefault="00CA3877" w:rsidP="00CA3877">
      <w:r w:rsidRPr="00B638B6">
        <w:rPr>
          <w:lang w:val="en-AU"/>
        </w:rPr>
        <w:t>The previously reported</w:t>
      </w:r>
      <w:r w:rsidRPr="00B638B6">
        <w:t xml:space="preserve"> difficulties in shipping bulk recovered halon 1301 across national boundaries as some authorities appear to be classifying recovered halon as hazardous </w:t>
      </w:r>
      <w:r w:rsidRPr="00B638B6">
        <w:rPr>
          <w:lang w:val="en-AU"/>
        </w:rPr>
        <w:t>waste</w:t>
      </w:r>
      <w:r w:rsidRPr="00B638B6">
        <w:t xml:space="preserve"> under the Basel Convention, thus preventing shipment </w:t>
      </w:r>
      <w:r>
        <w:rPr>
          <w:rFonts w:eastAsia="SimSun"/>
          <w:color w:val="auto"/>
          <w:kern w:val="2"/>
          <w:szCs w:val="22"/>
          <w:lang w:val="en-AU"/>
        </w:rPr>
        <w:t>also</w:t>
      </w:r>
      <w:r w:rsidRPr="00B638B6">
        <w:rPr>
          <w:rFonts w:eastAsia="SimSun"/>
          <w:color w:val="auto"/>
          <w:kern w:val="2"/>
          <w:szCs w:val="22"/>
          <w:lang w:val="en-AU"/>
        </w:rPr>
        <w:t xml:space="preserve"> </w:t>
      </w:r>
      <w:r w:rsidRPr="00B638B6">
        <w:rPr>
          <w:szCs w:val="22"/>
        </w:rPr>
        <w:t>continu</w:t>
      </w:r>
      <w:r>
        <w:rPr>
          <w:szCs w:val="22"/>
        </w:rPr>
        <w:t>es</w:t>
      </w:r>
      <w:r w:rsidRPr="00B638B6">
        <w:rPr>
          <w:szCs w:val="22"/>
        </w:rPr>
        <w:t>.</w:t>
      </w:r>
    </w:p>
    <w:bookmarkEnd w:id="236"/>
    <w:p w14:paraId="4E803D17" w14:textId="1B053043" w:rsidR="00CA3877" w:rsidRDefault="00CA3877" w:rsidP="00CA3877">
      <w:r w:rsidRPr="00CD68D0">
        <w:rPr>
          <w:lang w:val="en-US"/>
        </w:rPr>
        <w:lastRenderedPageBreak/>
        <w:t>The world’s first pilot halon destruction and carbon offset project occurred in February 2021 in the US, where approximately 1.2</w:t>
      </w:r>
      <w:r>
        <w:rPr>
          <w:lang w:val="en-US"/>
        </w:rPr>
        <w:t>2</w:t>
      </w:r>
      <w:r w:rsidRPr="00CD68D0">
        <w:rPr>
          <w:lang w:val="en-US"/>
        </w:rPr>
        <w:t xml:space="preserve"> </w:t>
      </w:r>
      <w:proofErr w:type="spellStart"/>
      <w:r w:rsidRPr="00CD68D0">
        <w:rPr>
          <w:lang w:val="en-US"/>
        </w:rPr>
        <w:t>tonnes</w:t>
      </w:r>
      <w:proofErr w:type="spellEnd"/>
      <w:r>
        <w:rPr>
          <w:lang w:val="en-US"/>
        </w:rPr>
        <w:t xml:space="preserve"> </w:t>
      </w:r>
      <w:r w:rsidRPr="00CD68D0">
        <w:rPr>
          <w:lang w:val="en-US"/>
        </w:rPr>
        <w:t>of halon 1301 were destroyed under the</w:t>
      </w:r>
      <w:r>
        <w:rPr>
          <w:lang w:val="en-US"/>
        </w:rPr>
        <w:t xml:space="preserve"> </w:t>
      </w:r>
      <w:r w:rsidRPr="00CD68D0">
        <w:rPr>
          <w:lang w:val="en-US"/>
        </w:rPr>
        <w:t>American Carbon Registry, a private</w:t>
      </w:r>
      <w:r>
        <w:rPr>
          <w:lang w:val="en-US"/>
        </w:rPr>
        <w:t xml:space="preserve"> </w:t>
      </w:r>
      <w:r w:rsidRPr="00CD68D0">
        <w:rPr>
          <w:lang w:val="en-US"/>
        </w:rPr>
        <w:t xml:space="preserve">voluntary US greenhouse gas registry. This methodology </w:t>
      </w:r>
      <w:r>
        <w:rPr>
          <w:lang w:val="en-US"/>
        </w:rPr>
        <w:t xml:space="preserve">incentivizes </w:t>
      </w:r>
      <w:r w:rsidRPr="00CD68D0">
        <w:rPr>
          <w:lang w:val="en-US"/>
        </w:rPr>
        <w:t>destruction of Halon</w:t>
      </w:r>
      <w:r>
        <w:rPr>
          <w:lang w:val="en-US"/>
        </w:rPr>
        <w:t xml:space="preserve"> </w:t>
      </w:r>
      <w:r w:rsidRPr="00CD68D0">
        <w:rPr>
          <w:lang w:val="en-US"/>
        </w:rPr>
        <w:t>1211 and Halon 1301 from fire equipment or systems</w:t>
      </w:r>
      <w:r>
        <w:rPr>
          <w:lang w:val="en-US"/>
        </w:rPr>
        <w:t>.</w:t>
      </w:r>
      <w:r w:rsidR="005617DE">
        <w:rPr>
          <w:lang w:val="en-US"/>
        </w:rPr>
        <w:t xml:space="preserve"> </w:t>
      </w:r>
      <w:r>
        <w:t>T</w:t>
      </w:r>
      <w:r w:rsidRPr="00CD68D0">
        <w:t xml:space="preserve">he HTOC </w:t>
      </w:r>
      <w:r>
        <w:t xml:space="preserve">does not know </w:t>
      </w:r>
      <w:r w:rsidRPr="00CD68D0">
        <w:t xml:space="preserve">whether the Halon 1301 used in the pilot destruction project was </w:t>
      </w:r>
      <w:r>
        <w:t>not</w:t>
      </w:r>
      <w:r w:rsidRPr="00CD68D0">
        <w:t xml:space="preserve"> reclaimable (due to contamination), and therefore</w:t>
      </w:r>
      <w:r>
        <w:t xml:space="preserve"> </w:t>
      </w:r>
      <w:r w:rsidRPr="00CD68D0">
        <w:t xml:space="preserve">destruction was the best option, or whether regardless of the halon quality, the project proceeded purely on the basis of wanting to dispose </w:t>
      </w:r>
      <w:r>
        <w:t xml:space="preserve">of </w:t>
      </w:r>
      <w:r w:rsidRPr="00CD68D0">
        <w:t xml:space="preserve">the halon to meet </w:t>
      </w:r>
      <w:r>
        <w:t>“</w:t>
      </w:r>
      <w:r w:rsidRPr="00CD68D0">
        <w:t>sustainability</w:t>
      </w:r>
      <w:r>
        <w:t>”</w:t>
      </w:r>
      <w:r w:rsidRPr="00CD68D0">
        <w:t xml:space="preserve"> commitments of the</w:t>
      </w:r>
      <w:r>
        <w:t xml:space="preserve"> entities </w:t>
      </w:r>
      <w:r w:rsidRPr="00CD68D0">
        <w:t xml:space="preserve">involved </w:t>
      </w:r>
      <w:r>
        <w:t>to</w:t>
      </w:r>
      <w:r w:rsidRPr="00CD68D0">
        <w:t xml:space="preserve"> creat</w:t>
      </w:r>
      <w:r>
        <w:t>e</w:t>
      </w:r>
      <w:r w:rsidRPr="00CD68D0">
        <w:t xml:space="preserve"> carbon offset credits for transactional /</w:t>
      </w:r>
      <w:r>
        <w:t xml:space="preserve"> </w:t>
      </w:r>
      <w:r w:rsidRPr="00CD68D0">
        <w:t>commercial</w:t>
      </w:r>
      <w:r>
        <w:t xml:space="preserve"> </w:t>
      </w:r>
      <w:r w:rsidRPr="00CD68D0">
        <w:t xml:space="preserve">purposes. </w:t>
      </w:r>
      <w:r w:rsidRPr="00CD68D0">
        <w:cr/>
      </w:r>
      <w:r>
        <w:t xml:space="preserve"> </w:t>
      </w:r>
      <w:r w:rsidRPr="00CD68D0">
        <w:cr/>
      </w:r>
      <w:bookmarkStart w:id="239" w:name="OLE_LINK21"/>
      <w:r w:rsidRPr="00CD68D0">
        <w:t xml:space="preserve">Owing to the continued global halon demand in </w:t>
      </w:r>
      <w:r>
        <w:t xml:space="preserve">enduring fire protection </w:t>
      </w:r>
      <w:r w:rsidRPr="00CD68D0">
        <w:t>applications such as aviation, the HTOC has</w:t>
      </w:r>
      <w:r>
        <w:t xml:space="preserve"> </w:t>
      </w:r>
      <w:r w:rsidRPr="00CD68D0">
        <w:t>previously recommended that destruction as a final disposition option should be considered only</w:t>
      </w:r>
      <w:r>
        <w:t xml:space="preserve"> </w:t>
      </w:r>
      <w:r w:rsidRPr="00CD68D0">
        <w:t>if the halons are contaminated and cannot be reclaimed to an acceptable purity. The HTOC</w:t>
      </w:r>
      <w:r>
        <w:t xml:space="preserve"> </w:t>
      </w:r>
      <w:r w:rsidRPr="00CD68D0">
        <w:t>continues to maintain this position</w:t>
      </w:r>
      <w:r>
        <w:t>.</w:t>
      </w:r>
      <w:r w:rsidRPr="00CD68D0">
        <w:t xml:space="preserve"> </w:t>
      </w:r>
      <w:r>
        <w:t>F</w:t>
      </w:r>
      <w:r w:rsidRPr="00CD68D0">
        <w:t>urthermore</w:t>
      </w:r>
      <w:r>
        <w:t>, the HTOC</w:t>
      </w:r>
      <w:r w:rsidRPr="00CD68D0">
        <w:t xml:space="preserve"> recommends extending </w:t>
      </w:r>
      <w:r>
        <w:t xml:space="preserve">this position to all </w:t>
      </w:r>
      <w:r w:rsidRPr="00CD68D0">
        <w:t>halogenated gaseous fire extinguishants</w:t>
      </w:r>
      <w:r>
        <w:t xml:space="preserve"> and recommends destruction only </w:t>
      </w:r>
      <w:r w:rsidRPr="00CD68D0">
        <w:t>as a final resort</w:t>
      </w:r>
      <w:r>
        <w:t xml:space="preserve"> </w:t>
      </w:r>
      <w:r w:rsidRPr="00CD68D0">
        <w:t>when</w:t>
      </w:r>
      <w:r>
        <w:t xml:space="preserve"> any fire extinguishant</w:t>
      </w:r>
      <w:r w:rsidRPr="00CD68D0">
        <w:t xml:space="preserve"> cannot be reclaimed to industry specifications.</w:t>
      </w:r>
    </w:p>
    <w:bookmarkEnd w:id="239"/>
    <w:p w14:paraId="28B48AA0" w14:textId="77777777" w:rsidR="00CA3877" w:rsidRPr="00B638B6" w:rsidRDefault="00CA3877" w:rsidP="00CA3877">
      <w:r w:rsidRPr="00B638B6">
        <w:t xml:space="preserve">The HTOC believes that shipbreaking could represent a significant source of halon 1301 which could support on-going activities. </w:t>
      </w:r>
      <w:r w:rsidRPr="008539B6">
        <w:t>Bearing that in mind</w:t>
      </w:r>
      <w:r>
        <w:t xml:space="preserve"> </w:t>
      </w:r>
      <w:r w:rsidRPr="008539B6">
        <w:t xml:space="preserve">the entire fleet of ships </w:t>
      </w:r>
      <w:r>
        <w:t>with</w:t>
      </w:r>
      <w:r w:rsidRPr="008539B6">
        <w:t xml:space="preserve"> halon on-board are reaching their end of life and this supply of halon will then be exhausted, it is imperative that recovery of halons from this source be prioritized and</w:t>
      </w:r>
      <w:r w:rsidRPr="00B638B6">
        <w:t xml:space="preserve"> conserve</w:t>
      </w:r>
      <w:r>
        <w:t>d</w:t>
      </w:r>
      <w:r w:rsidRPr="00B638B6">
        <w:t xml:space="preserve"> to the greatest extent possible. </w:t>
      </w:r>
    </w:p>
    <w:p w14:paraId="3136EBDA" w14:textId="77777777" w:rsidR="00CA3877" w:rsidRPr="00B638B6" w:rsidRDefault="00CA3877" w:rsidP="00CA3877">
      <w:pPr>
        <w:rPr>
          <w:szCs w:val="22"/>
          <w:lang w:val="en-AU"/>
        </w:rPr>
      </w:pPr>
      <w:r w:rsidRPr="00B638B6">
        <w:rPr>
          <w:szCs w:val="22"/>
          <w:lang w:val="en-AU"/>
        </w:rPr>
        <w:t xml:space="preserve">Parties may wish to consider: </w:t>
      </w:r>
    </w:p>
    <w:p w14:paraId="2302C7DD" w14:textId="77777777" w:rsidR="00CA3877" w:rsidRPr="00B638B6" w:rsidRDefault="00CA3877" w:rsidP="00107383">
      <w:pPr>
        <w:pStyle w:val="ListParagraph"/>
        <w:widowControl/>
        <w:numPr>
          <w:ilvl w:val="0"/>
          <w:numId w:val="61"/>
        </w:numPr>
        <w:spacing w:after="160" w:line="259" w:lineRule="auto"/>
        <w:ind w:firstLineChars="0"/>
        <w:contextualSpacing/>
        <w:jc w:val="left"/>
        <w:rPr>
          <w:rFonts w:ascii="Times New Roman" w:hAnsi="Times New Roman"/>
          <w:sz w:val="22"/>
        </w:rPr>
      </w:pPr>
      <w:r w:rsidRPr="00B638B6">
        <w:rPr>
          <w:rFonts w:ascii="Times New Roman" w:hAnsi="Times New Roman"/>
          <w:sz w:val="22"/>
          <w:lang w:val="en-AU"/>
        </w:rPr>
        <w:t xml:space="preserve">Requesting the Ozone Secretariat to disseminate the halon management guidance document recently developed </w:t>
      </w:r>
      <w:r>
        <w:rPr>
          <w:rFonts w:ascii="Times New Roman" w:hAnsi="Times New Roman"/>
          <w:sz w:val="22"/>
          <w:lang w:val="en-AU"/>
        </w:rPr>
        <w:t xml:space="preserve">by HRC available from the HTOC, </w:t>
      </w:r>
      <w:r w:rsidRPr="00B638B6">
        <w:rPr>
          <w:rFonts w:ascii="Times New Roman" w:hAnsi="Times New Roman"/>
          <w:sz w:val="22"/>
          <w:lang w:val="en-AU"/>
        </w:rPr>
        <w:t>to all National Ozone Units (NOUs) and sponsoring presentations during all upcoming Ozone Regional Manager Network and other applicable meetings,</w:t>
      </w:r>
    </w:p>
    <w:p w14:paraId="3CBA2F92" w14:textId="08A2100F" w:rsidR="00CA3877" w:rsidRPr="00B638B6" w:rsidRDefault="00CA3877" w:rsidP="00107383">
      <w:pPr>
        <w:pStyle w:val="ListParagraph"/>
        <w:widowControl/>
        <w:numPr>
          <w:ilvl w:val="0"/>
          <w:numId w:val="61"/>
        </w:numPr>
        <w:spacing w:after="160" w:line="259" w:lineRule="auto"/>
        <w:ind w:firstLineChars="0"/>
        <w:contextualSpacing/>
        <w:jc w:val="left"/>
        <w:rPr>
          <w:rFonts w:ascii="Times New Roman" w:hAnsi="Times New Roman"/>
          <w:sz w:val="22"/>
        </w:rPr>
      </w:pPr>
      <w:r w:rsidRPr="00B638B6">
        <w:rPr>
          <w:rFonts w:ascii="Times New Roman" w:hAnsi="Times New Roman"/>
          <w:sz w:val="22"/>
          <w:lang w:val="en-AU"/>
        </w:rPr>
        <w:t xml:space="preserve">Liaising with their civil aviation authorities to disseminate the </w:t>
      </w:r>
      <w:bookmarkStart w:id="240" w:name="OLE_LINK8"/>
      <w:r w:rsidRPr="00B638B6">
        <w:rPr>
          <w:rFonts w:ascii="Times New Roman" w:hAnsi="Times New Roman"/>
          <w:sz w:val="22"/>
          <w:lang w:val="en-AU"/>
        </w:rPr>
        <w:t xml:space="preserve">halon management guidance document </w:t>
      </w:r>
      <w:bookmarkEnd w:id="240"/>
      <w:r w:rsidRPr="00B638B6">
        <w:rPr>
          <w:rFonts w:ascii="Times New Roman" w:hAnsi="Times New Roman"/>
          <w:sz w:val="22"/>
          <w:lang w:val="en-AU"/>
        </w:rPr>
        <w:t>to all applicable entities within their country such as airlines, maintenance, repair</w:t>
      </w:r>
      <w:r>
        <w:rPr>
          <w:rFonts w:ascii="Times New Roman" w:hAnsi="Times New Roman"/>
          <w:sz w:val="22"/>
          <w:lang w:val="en-AU"/>
        </w:rPr>
        <w:t>,</w:t>
      </w:r>
      <w:r w:rsidRPr="00B638B6">
        <w:rPr>
          <w:rFonts w:ascii="Times New Roman" w:hAnsi="Times New Roman"/>
          <w:sz w:val="22"/>
          <w:lang w:val="en-AU"/>
        </w:rPr>
        <w:t xml:space="preserve"> and overhaul (MRO) companies</w:t>
      </w:r>
      <w:r>
        <w:rPr>
          <w:rFonts w:ascii="Times New Roman" w:hAnsi="Times New Roman"/>
          <w:sz w:val="22"/>
          <w:lang w:val="en-AU"/>
        </w:rPr>
        <w:t>,</w:t>
      </w:r>
      <w:r w:rsidRPr="00B638B6">
        <w:rPr>
          <w:rFonts w:ascii="Times New Roman" w:hAnsi="Times New Roman"/>
          <w:sz w:val="22"/>
          <w:lang w:val="en-AU"/>
        </w:rPr>
        <w:t xml:space="preserve"> and associated non-governmental </w:t>
      </w:r>
      <w:r w:rsidR="002C0D7B" w:rsidRPr="002C0D7B">
        <w:rPr>
          <w:rFonts w:ascii="Times New Roman" w:hAnsi="Times New Roman"/>
          <w:sz w:val="22"/>
          <w:lang w:val="en-AU"/>
        </w:rPr>
        <w:t>organisations</w:t>
      </w:r>
      <w:r w:rsidR="00CA4DA4" w:rsidRPr="00B638B6">
        <w:rPr>
          <w:rFonts w:ascii="Times New Roman" w:hAnsi="Times New Roman"/>
          <w:sz w:val="22"/>
          <w:lang w:val="en-AU"/>
        </w:rPr>
        <w:t xml:space="preserve"> </w:t>
      </w:r>
      <w:r w:rsidRPr="00B638B6">
        <w:rPr>
          <w:rFonts w:ascii="Times New Roman" w:hAnsi="Times New Roman"/>
          <w:sz w:val="22"/>
          <w:lang w:val="en-AU"/>
        </w:rPr>
        <w:t>(NGOs),</w:t>
      </w:r>
    </w:p>
    <w:p w14:paraId="4DBFB60D" w14:textId="77777777" w:rsidR="00CA3877" w:rsidRPr="00B638B6" w:rsidRDefault="00CA3877" w:rsidP="00107383">
      <w:pPr>
        <w:pStyle w:val="ListParagraph"/>
        <w:widowControl/>
        <w:numPr>
          <w:ilvl w:val="0"/>
          <w:numId w:val="61"/>
        </w:numPr>
        <w:spacing w:after="160" w:line="256" w:lineRule="auto"/>
        <w:ind w:firstLineChars="0"/>
        <w:contextualSpacing/>
        <w:jc w:val="left"/>
        <w:rPr>
          <w:rFonts w:ascii="Times New Roman" w:hAnsi="Times New Roman"/>
          <w:sz w:val="22"/>
        </w:rPr>
      </w:pPr>
      <w:r w:rsidRPr="00B638B6">
        <w:rPr>
          <w:rFonts w:ascii="Times New Roman" w:hAnsi="Times New Roman"/>
          <w:sz w:val="22"/>
        </w:rPr>
        <w:t>Requesting that the International Civil Aviation Organisation (ICAO) formally disseminate through a State letter, th</w:t>
      </w:r>
      <w:r>
        <w:rPr>
          <w:rFonts w:ascii="Times New Roman" w:hAnsi="Times New Roman"/>
          <w:sz w:val="22"/>
        </w:rPr>
        <w:t>is</w:t>
      </w:r>
      <w:r w:rsidRPr="00B638B6">
        <w:rPr>
          <w:rFonts w:ascii="Times New Roman" w:hAnsi="Times New Roman"/>
          <w:sz w:val="22"/>
        </w:rPr>
        <w:t xml:space="preserve"> halon management guidance document to all civil aviation authorities requesting that the </w:t>
      </w:r>
      <w:r>
        <w:rPr>
          <w:rFonts w:ascii="Times New Roman" w:hAnsi="Times New Roman"/>
          <w:sz w:val="22"/>
        </w:rPr>
        <w:t>h</w:t>
      </w:r>
      <w:r w:rsidRPr="00B638B6">
        <w:rPr>
          <w:rFonts w:ascii="Times New Roman" w:hAnsi="Times New Roman"/>
          <w:sz w:val="22"/>
        </w:rPr>
        <w:t>alon management guidance document receive the widest possible dissemination within their State and/or region,</w:t>
      </w:r>
    </w:p>
    <w:p w14:paraId="4EB7EB89" w14:textId="77777777" w:rsidR="00CA3877" w:rsidRPr="00B638B6" w:rsidRDefault="00CA3877" w:rsidP="00107383">
      <w:pPr>
        <w:pStyle w:val="ListParagraph"/>
        <w:widowControl/>
        <w:numPr>
          <w:ilvl w:val="0"/>
          <w:numId w:val="61"/>
        </w:numPr>
        <w:spacing w:after="160" w:line="256" w:lineRule="auto"/>
        <w:ind w:firstLineChars="0"/>
        <w:contextualSpacing/>
        <w:jc w:val="left"/>
        <w:rPr>
          <w:rFonts w:ascii="Times New Roman" w:hAnsi="Times New Roman"/>
          <w:sz w:val="22"/>
        </w:rPr>
      </w:pPr>
      <w:r w:rsidRPr="00B638B6">
        <w:rPr>
          <w:rFonts w:ascii="Times New Roman" w:hAnsi="Times New Roman"/>
          <w:sz w:val="22"/>
        </w:rPr>
        <w:t>Emphasising the importance of effective and complete recovery of halons to minimize halon losses by all parties, particularly those with shipbreaking activities, and</w:t>
      </w:r>
    </w:p>
    <w:p w14:paraId="00D3C64F" w14:textId="77777777" w:rsidR="00CA3877" w:rsidRPr="00B638B6" w:rsidRDefault="00CA3877" w:rsidP="00107383">
      <w:pPr>
        <w:pStyle w:val="ListParagraph"/>
        <w:widowControl/>
        <w:numPr>
          <w:ilvl w:val="0"/>
          <w:numId w:val="61"/>
        </w:numPr>
        <w:spacing w:after="160" w:line="259" w:lineRule="auto"/>
        <w:ind w:firstLineChars="0"/>
        <w:contextualSpacing/>
        <w:jc w:val="left"/>
        <w:rPr>
          <w:rFonts w:ascii="Times New Roman" w:hAnsi="Times New Roman"/>
          <w:sz w:val="22"/>
        </w:rPr>
      </w:pPr>
      <w:r w:rsidRPr="00B638B6">
        <w:rPr>
          <w:rFonts w:ascii="Times New Roman" w:hAnsi="Times New Roman"/>
          <w:sz w:val="22"/>
          <w:lang w:val="en-AU"/>
        </w:rPr>
        <w:t>Re-emphasising the need to allow for appropriate, open trade of recovered, recycled and/or reclaimed halons in bulk containers and in prefilled fire protection components to support enduring halons uses, including civil aviation components that are required to allow aircraft to operate under international airworthiness requirements.</w:t>
      </w:r>
    </w:p>
    <w:p w14:paraId="576B6884" w14:textId="6060A8AD" w:rsidR="00CA3877" w:rsidRPr="00821BBC" w:rsidRDefault="0078130A" w:rsidP="00821BBC">
      <w:pPr>
        <w:pStyle w:val="Heading2"/>
        <w:rPr>
          <w:rStyle w:val="Heading2Char"/>
          <w:b/>
          <w:szCs w:val="24"/>
        </w:rPr>
      </w:pPr>
      <w:bookmarkStart w:id="241" w:name="_Toc104396672"/>
      <w:r>
        <w:rPr>
          <w:rStyle w:val="Heading2Char"/>
          <w:b/>
          <w:szCs w:val="24"/>
        </w:rPr>
        <w:t>3.4</w:t>
      </w:r>
      <w:r>
        <w:rPr>
          <w:rStyle w:val="Heading2Char"/>
          <w:b/>
          <w:szCs w:val="24"/>
        </w:rPr>
        <w:tab/>
      </w:r>
      <w:r w:rsidR="00CA3877" w:rsidRPr="00821BBC">
        <w:rPr>
          <w:rStyle w:val="Heading2Char"/>
          <w:b/>
          <w:szCs w:val="24"/>
        </w:rPr>
        <w:t>Proposed EU Perfluoroalkyl and polyfluoroalkyl substances (PFAS) Regulations</w:t>
      </w:r>
      <w:bookmarkEnd w:id="241"/>
    </w:p>
    <w:p w14:paraId="4E95630D" w14:textId="7C34210E" w:rsidR="00CA3877" w:rsidRPr="005948AD" w:rsidRDefault="00CA3877" w:rsidP="00CA3877">
      <w:pPr>
        <w:spacing w:after="160" w:line="256" w:lineRule="auto"/>
        <w:rPr>
          <w:color w:val="auto"/>
          <w:lang w:val="en-US"/>
        </w:rPr>
      </w:pPr>
      <w:r>
        <w:rPr>
          <w:color w:val="auto"/>
          <w:lang w:val="en-US"/>
        </w:rPr>
        <w:t>P</w:t>
      </w:r>
      <w:bookmarkStart w:id="242" w:name="OLE_LINK22"/>
      <w:r>
        <w:rPr>
          <w:color w:val="auto"/>
          <w:lang w:val="en-US"/>
        </w:rPr>
        <w:t>erfluoroalkyl and polyfluoroalkyl substances</w:t>
      </w:r>
      <w:bookmarkEnd w:id="242"/>
      <w:r>
        <w:rPr>
          <w:color w:val="auto"/>
          <w:lang w:val="en-US"/>
        </w:rPr>
        <w:t xml:space="preserve"> (PFAS) refers to a class of chemicals that contains fluorine atoms bonded to carbon atoms. Historically, PFAS was used to describe longer chain compounds that were used in products such as paper, textiles, leather, carpets, and firefighting foam. The regulation of PFAS chemicals initially focused on </w:t>
      </w:r>
      <w:proofErr w:type="spellStart"/>
      <w:r>
        <w:rPr>
          <w:color w:val="auto"/>
          <w:lang w:val="en-US"/>
        </w:rPr>
        <w:t>perfluorooctane</w:t>
      </w:r>
      <w:proofErr w:type="spellEnd"/>
      <w:r>
        <w:rPr>
          <w:color w:val="auto"/>
          <w:lang w:val="en-US"/>
        </w:rPr>
        <w:t xml:space="preserve"> sulfonic acid (PFOS) and perfluorooctanoic acid (PFOA) both used in firefighting foams.</w:t>
      </w:r>
      <w:r w:rsidR="005617DE">
        <w:rPr>
          <w:color w:val="auto"/>
          <w:lang w:val="en-US"/>
        </w:rPr>
        <w:t xml:space="preserve"> </w:t>
      </w:r>
      <w:r>
        <w:rPr>
          <w:color w:val="auto"/>
          <w:lang w:val="en-US"/>
        </w:rPr>
        <w:t xml:space="preserve">In June 2020, five European countries - Germany, the Netherlands, Norway, Sweden, Denmark - officially declared their intention to submit to the European Chemicals Agency (ECHA) a proposal for a Registration, Evaluation, </w:t>
      </w:r>
      <w:proofErr w:type="spellStart"/>
      <w:r>
        <w:rPr>
          <w:color w:val="auto"/>
          <w:lang w:val="en-US"/>
        </w:rPr>
        <w:t>Authorisation</w:t>
      </w:r>
      <w:proofErr w:type="spellEnd"/>
      <w:r>
        <w:rPr>
          <w:color w:val="auto"/>
          <w:lang w:val="en-US"/>
        </w:rPr>
        <w:t xml:space="preserve"> and Restriction of Chemicals (REACH) restriction covering all PFAS chemicals. </w:t>
      </w:r>
      <w:r w:rsidRPr="00BE266C">
        <w:rPr>
          <w:color w:val="auto"/>
          <w:lang w:val="en-US"/>
        </w:rPr>
        <w:t xml:space="preserve">This proposed, expanded definition in the EU would define PFAS as any substance that contains at least one fully </w:t>
      </w:r>
      <w:r w:rsidRPr="00BE266C">
        <w:rPr>
          <w:color w:val="auto"/>
          <w:lang w:val="en-US"/>
        </w:rPr>
        <w:lastRenderedPageBreak/>
        <w:t>fluorinated carbon CF</w:t>
      </w:r>
      <w:r w:rsidRPr="00413B3C">
        <w:rPr>
          <w:color w:val="auto"/>
          <w:vertAlign w:val="subscript"/>
          <w:lang w:val="en-US"/>
        </w:rPr>
        <w:t>2</w:t>
      </w:r>
      <w:r w:rsidRPr="00BE266C">
        <w:rPr>
          <w:color w:val="auto"/>
          <w:lang w:val="en-US"/>
        </w:rPr>
        <w:t xml:space="preserve"> or CF</w:t>
      </w:r>
      <w:r w:rsidRPr="00413B3C">
        <w:rPr>
          <w:color w:val="auto"/>
          <w:vertAlign w:val="subscript"/>
          <w:lang w:val="en-US"/>
        </w:rPr>
        <w:t>3</w:t>
      </w:r>
      <w:r w:rsidRPr="00BE266C">
        <w:rPr>
          <w:color w:val="auto"/>
          <w:lang w:val="en-US"/>
        </w:rPr>
        <w:t xml:space="preserve"> group (without any H/Cl/Br/I atom attached).</w:t>
      </w:r>
      <w:r w:rsidR="005617DE">
        <w:rPr>
          <w:color w:val="auto"/>
          <w:lang w:val="en-US"/>
        </w:rPr>
        <w:t xml:space="preserve"> </w:t>
      </w:r>
      <w:r w:rsidRPr="00BE266C">
        <w:rPr>
          <w:color w:val="auto"/>
          <w:lang w:val="en-US"/>
        </w:rPr>
        <w:t>Th</w:t>
      </w:r>
      <w:r>
        <w:rPr>
          <w:color w:val="auto"/>
          <w:lang w:val="en-US"/>
        </w:rPr>
        <w:t>is</w:t>
      </w:r>
      <w:r w:rsidRPr="00BE266C">
        <w:rPr>
          <w:color w:val="auto"/>
          <w:lang w:val="en-US"/>
        </w:rPr>
        <w:t xml:space="preserve"> definition of PFAS would encompass virtually all of the </w:t>
      </w:r>
      <w:r>
        <w:rPr>
          <w:color w:val="auto"/>
          <w:lang w:val="en-US"/>
        </w:rPr>
        <w:t xml:space="preserve">halogenated, </w:t>
      </w:r>
      <w:r w:rsidRPr="00BE266C">
        <w:rPr>
          <w:color w:val="auto"/>
          <w:lang w:val="en-US"/>
        </w:rPr>
        <w:t>clean agent alternatives to halons, HCFCs and high</w:t>
      </w:r>
      <w:r w:rsidRPr="00BE266C">
        <w:rPr>
          <w:color w:val="auto"/>
          <w:lang w:val="en-US"/>
        </w:rPr>
        <w:noBreakHyphen/>
        <w:t>GWP HFC fire extinguishing agents (HFC-23 and CF</w:t>
      </w:r>
      <w:r w:rsidRPr="00413B3C">
        <w:rPr>
          <w:color w:val="auto"/>
          <w:vertAlign w:val="subscript"/>
          <w:lang w:val="en-US"/>
        </w:rPr>
        <w:t>3</w:t>
      </w:r>
      <w:r w:rsidRPr="00BE266C">
        <w:rPr>
          <w:color w:val="auto"/>
          <w:lang w:val="en-US"/>
        </w:rPr>
        <w:t>I being the only exceptions)</w:t>
      </w:r>
      <w:r>
        <w:rPr>
          <w:color w:val="auto"/>
          <w:lang w:val="en-US"/>
        </w:rPr>
        <w:t>.</w:t>
      </w:r>
      <w:r w:rsidR="005617DE">
        <w:rPr>
          <w:color w:val="auto"/>
          <w:lang w:val="en-US"/>
        </w:rPr>
        <w:t xml:space="preserve"> </w:t>
      </w:r>
      <w:r>
        <w:rPr>
          <w:lang w:val="en-US"/>
        </w:rPr>
        <w:t xml:space="preserve">Thus, hydrochlorofluorocarbon (HCFC)-124, HCFC Blend A, HCFC Blend B, HFC Blend B, HFC-227ea, HFC-125, HFC-236fa, </w:t>
      </w:r>
      <w:proofErr w:type="spellStart"/>
      <w:r>
        <w:rPr>
          <w:lang w:val="en-US"/>
        </w:rPr>
        <w:t>fluoroketone</w:t>
      </w:r>
      <w:proofErr w:type="spellEnd"/>
      <w:r>
        <w:rPr>
          <w:lang w:val="en-US"/>
        </w:rPr>
        <w:t xml:space="preserve"> (FK-5-1-12), 2-bromo-3,3,3-trifluoroprop-1-ene (2-BTP), and Halocarbon Blend 55 could all be included in the proposed regulations</w:t>
      </w:r>
      <w:r w:rsidRPr="00BE266C">
        <w:rPr>
          <w:color w:val="auto"/>
          <w:lang w:val="en-US"/>
        </w:rPr>
        <w:t>.</w:t>
      </w:r>
      <w:r>
        <w:rPr>
          <w:color w:val="auto"/>
          <w:lang w:val="en-US"/>
        </w:rPr>
        <w:t xml:space="preserve"> </w:t>
      </w:r>
      <w:r w:rsidRPr="00BE266C">
        <w:rPr>
          <w:color w:val="auto"/>
          <w:lang w:val="en-US"/>
        </w:rPr>
        <w:t>The proposed restriction would prohibit the manufacture, import, sale and use of PFAS and products containing PFAS at some future date. The expected date of submission of the PFAS restriction proposal to ECHA is January 2023. Based on the current schedule if a PFAS REACH restriction is adopted it would likely be completed in 2025 and become effective sometime after that. REACH restrictions usually include exemptions (derogations) for uses that have no alternatives that are considered essential.</w:t>
      </w:r>
      <w:r w:rsidR="005617DE">
        <w:rPr>
          <w:color w:val="auto"/>
          <w:lang w:val="en-US"/>
        </w:rPr>
        <w:t xml:space="preserve"> </w:t>
      </w:r>
    </w:p>
    <w:p w14:paraId="5405B985" w14:textId="5639FBE2" w:rsidR="00CA3877" w:rsidRDefault="00CA3877" w:rsidP="00CA3877">
      <w:pPr>
        <w:spacing w:after="160" w:line="256" w:lineRule="auto"/>
        <w:rPr>
          <w:lang w:val="en-US"/>
        </w:rPr>
      </w:pPr>
      <w:r>
        <w:rPr>
          <w:lang w:val="en-US"/>
        </w:rPr>
        <w:t>Regardless of whether derogations are granted or not, these uses represent only a very small market.</w:t>
      </w:r>
      <w:r w:rsidR="005617DE">
        <w:rPr>
          <w:lang w:val="en-US"/>
        </w:rPr>
        <w:t xml:space="preserve"> </w:t>
      </w:r>
      <w:r>
        <w:rPr>
          <w:lang w:val="en-US"/>
        </w:rPr>
        <w:t>This, in turn, would have a direct bearing on commercial viability of these agents, potentially influencing decisions to continue use of non-PFAS agents (i.e., halons or HFC-23).</w:t>
      </w:r>
      <w:r w:rsidR="005617DE">
        <w:rPr>
          <w:lang w:val="en-US"/>
        </w:rPr>
        <w:t xml:space="preserve"> </w:t>
      </w:r>
      <w:r>
        <w:rPr>
          <w:lang w:val="en-US"/>
        </w:rPr>
        <w:t>Restricting or prohibiting the sale or use of these gaseous agents would have significant impacts on the ability of users to effectively protect a range of special hazards from fire and explosion (as described in existing HTOC Assessment Reports and Technical Notes available on the Ozone Secretariat website).</w:t>
      </w:r>
    </w:p>
    <w:p w14:paraId="7AAB0E50" w14:textId="0BAB57E6" w:rsidR="00CA3877" w:rsidRDefault="00CA3877" w:rsidP="00CA3877">
      <w:pPr>
        <w:spacing w:after="160" w:line="256" w:lineRule="auto"/>
        <w:rPr>
          <w:lang w:val="en-US"/>
        </w:rPr>
      </w:pPr>
      <w:r>
        <w:rPr>
          <w:lang w:val="en-US"/>
        </w:rPr>
        <w:t>Further, derogations are typically limited to only allow sufficient time for industry to develop alternatives.</w:t>
      </w:r>
      <w:r w:rsidR="005617DE">
        <w:rPr>
          <w:lang w:val="en-US"/>
        </w:rPr>
        <w:t xml:space="preserve"> </w:t>
      </w:r>
      <w:r>
        <w:rPr>
          <w:lang w:val="en-US"/>
        </w:rPr>
        <w:t>Fire protection timescales for development and deployment are long, with timescales for some applications such as civil aviation being extremely long and often uncertain.</w:t>
      </w:r>
      <w:r w:rsidR="005617DE">
        <w:rPr>
          <w:lang w:val="en-US"/>
        </w:rPr>
        <w:t xml:space="preserve"> </w:t>
      </w:r>
      <w:r>
        <w:rPr>
          <w:lang w:val="en-US"/>
        </w:rPr>
        <w:t>As an example, 2</w:t>
      </w:r>
      <w:r>
        <w:rPr>
          <w:lang w:val="en-US"/>
        </w:rPr>
        <w:noBreakHyphen/>
        <w:t>BTP is the result of a 20-year search for an alternative to Halon 1211 in aviation hand-held extinguishers. It is currently replacing Halon 1211 on most new production aircraft, and all existing aircraft in the EU are expected to be retrofit under existing regulation to 2-BTP by 2026.</w:t>
      </w:r>
      <w:r w:rsidR="005617DE">
        <w:rPr>
          <w:lang w:val="en-US"/>
        </w:rPr>
        <w:t xml:space="preserve"> </w:t>
      </w:r>
      <w:r>
        <w:rPr>
          <w:lang w:val="en-US"/>
        </w:rPr>
        <w:t>It took 15 years once identified as a potential candidate to replace Halon 1211 to develop and gain approval.</w:t>
      </w:r>
      <w:r w:rsidR="005617DE">
        <w:rPr>
          <w:lang w:val="en-US"/>
        </w:rPr>
        <w:t xml:space="preserve"> </w:t>
      </w:r>
      <w:r w:rsidRPr="00B305A5">
        <w:rPr>
          <w:lang w:val="en-US"/>
        </w:rPr>
        <w:t>There are now no other candidate agents for this use that do not fall under this broad PFAS definition.</w:t>
      </w:r>
      <w:r w:rsidR="005617DE">
        <w:rPr>
          <w:lang w:val="en-US"/>
        </w:rPr>
        <w:t xml:space="preserve"> </w:t>
      </w:r>
      <w:r w:rsidRPr="00B305A5">
        <w:rPr>
          <w:lang w:val="en-US"/>
        </w:rPr>
        <w:t>CF</w:t>
      </w:r>
      <w:r w:rsidRPr="004B6A03">
        <w:rPr>
          <w:vertAlign w:val="subscript"/>
          <w:lang w:val="en-US"/>
        </w:rPr>
        <w:t>3</w:t>
      </w:r>
      <w:r w:rsidRPr="00B305A5">
        <w:rPr>
          <w:lang w:val="en-US"/>
        </w:rPr>
        <w:t>I</w:t>
      </w:r>
      <w:r>
        <w:rPr>
          <w:lang w:val="en-US"/>
        </w:rPr>
        <w:t xml:space="preserve"> is </w:t>
      </w:r>
      <w:r w:rsidRPr="00B305A5">
        <w:rPr>
          <w:lang w:val="en-US"/>
        </w:rPr>
        <w:t>removed from consideration owing to toxicity, and all of the not-in-kind alternatives that have been tested for this use failed the minimum performance standards. In other words, the only alternative to 2-BTP would be to revert back to (or keep using</w:t>
      </w:r>
      <w:r>
        <w:rPr>
          <w:lang w:val="en-US"/>
        </w:rPr>
        <w:t>)</w:t>
      </w:r>
      <w:r w:rsidRPr="00B305A5">
        <w:rPr>
          <w:lang w:val="en-US"/>
        </w:rPr>
        <w:t xml:space="preserve"> Halon 1211.</w:t>
      </w:r>
      <w:r w:rsidR="005617DE">
        <w:rPr>
          <w:lang w:val="en-US"/>
        </w:rPr>
        <w:t xml:space="preserve"> </w:t>
      </w:r>
      <w:r w:rsidRPr="00B305A5">
        <w:rPr>
          <w:lang w:val="en-US"/>
        </w:rPr>
        <w:t>This is similar to many uses of halon 1301 where the only agents that will work are the original halon or high-GWP HFCs, e.g., extremely low temperature applications, aviation lavatories, and some military applications.</w:t>
      </w:r>
      <w:r w:rsidR="005617DE">
        <w:rPr>
          <w:lang w:val="en-US"/>
        </w:rPr>
        <w:t xml:space="preserve"> </w:t>
      </w:r>
    </w:p>
    <w:p w14:paraId="0F50FB97" w14:textId="125CCFB4" w:rsidR="00CA3877" w:rsidRPr="00B87B22" w:rsidRDefault="00C223D0" w:rsidP="00821BBC">
      <w:pPr>
        <w:pStyle w:val="Heading2"/>
        <w:rPr>
          <w:rStyle w:val="Heading2Char"/>
          <w:rFonts w:cs="Times New Roman"/>
          <w:b/>
          <w:szCs w:val="24"/>
        </w:rPr>
      </w:pPr>
      <w:bookmarkStart w:id="243" w:name="_Toc42071377"/>
      <w:bookmarkStart w:id="244" w:name="_Toc104396673"/>
      <w:r w:rsidRPr="00B87B22">
        <w:rPr>
          <w:rStyle w:val="Heading2Char"/>
          <w:b/>
          <w:szCs w:val="24"/>
        </w:rPr>
        <w:t>3.</w:t>
      </w:r>
      <w:r w:rsidR="004D28DE" w:rsidRPr="00B87B22">
        <w:rPr>
          <w:rStyle w:val="Heading2Char"/>
          <w:b/>
          <w:szCs w:val="24"/>
        </w:rPr>
        <w:t>5</w:t>
      </w:r>
      <w:r w:rsidRPr="00B87B22">
        <w:rPr>
          <w:rStyle w:val="Heading2Char"/>
          <w:b/>
          <w:szCs w:val="24"/>
        </w:rPr>
        <w:tab/>
      </w:r>
      <w:r w:rsidR="00CA3877" w:rsidRPr="00B87B22">
        <w:rPr>
          <w:rStyle w:val="Heading2Char"/>
          <w:b/>
          <w:szCs w:val="24"/>
        </w:rPr>
        <w:t>New Developments in Aviation Fire Protection</w:t>
      </w:r>
      <w:bookmarkEnd w:id="243"/>
      <w:bookmarkEnd w:id="244"/>
    </w:p>
    <w:p w14:paraId="30D09251" w14:textId="77777777" w:rsidR="00CA3877" w:rsidRDefault="00CA3877" w:rsidP="00CA3877">
      <w:r w:rsidRPr="007C7E0B">
        <w:rPr>
          <w:iCs/>
          <w:lang w:val="en-US"/>
        </w:rPr>
        <w:t xml:space="preserve">Handheld fire extinguishers </w:t>
      </w:r>
      <w:r>
        <w:rPr>
          <w:iCs/>
          <w:lang w:val="en-US"/>
        </w:rPr>
        <w:t xml:space="preserve">containing </w:t>
      </w:r>
      <w:r w:rsidRPr="007C7E0B">
        <w:rPr>
          <w:iCs/>
          <w:lang w:val="en-US"/>
        </w:rPr>
        <w:t>halon</w:t>
      </w:r>
      <w:r>
        <w:rPr>
          <w:iCs/>
          <w:lang w:val="en-US"/>
        </w:rPr>
        <w:t xml:space="preserve"> 1211</w:t>
      </w:r>
      <w:r w:rsidRPr="007C7E0B">
        <w:rPr>
          <w:iCs/>
          <w:lang w:val="en-US"/>
        </w:rPr>
        <w:t xml:space="preserve"> </w:t>
      </w:r>
      <w:r>
        <w:rPr>
          <w:iCs/>
          <w:lang w:val="en-US"/>
        </w:rPr>
        <w:t>on</w:t>
      </w:r>
      <w:r w:rsidRPr="007C7E0B">
        <w:rPr>
          <w:iCs/>
          <w:lang w:val="en-US"/>
        </w:rPr>
        <w:t xml:space="preserve"> aircraft registered in the EU will be banned after 2025 according to EU legislation. </w:t>
      </w:r>
      <w:r>
        <w:rPr>
          <w:iCs/>
          <w:lang w:val="en-US"/>
        </w:rPr>
        <w:t xml:space="preserve">They will most likely be replaced on civil passenger aircraft with 2-BTP </w:t>
      </w:r>
      <w:r>
        <w:t>extinguishers although pending regulation of 2-BTP as a PFAS is a concern.</w:t>
      </w:r>
      <w:r w:rsidRPr="007C7E0B">
        <w:t xml:space="preserve"> </w:t>
      </w:r>
      <w:r>
        <w:t>Additionally, the announced withdrawal of the Underwriters Laboratories (UL) standard for halon extinguishers should lead to cessation of UL-marked extinguisher production after January 2025, regardless of whether the aircraft is registered in the EU or not. This may drive replacement of halon 1211 extinguishers outside of the EU for logistics/standardization reasons, thus increasing the amount of halon 1211 extinguishers being removed from service. As civil aviation represents a significant fraction of the halon 1211 market, as it transitions to alternatives there may be implications on the overall market for recycled halon 1211, which could affect availability for other users.</w:t>
      </w:r>
    </w:p>
    <w:p w14:paraId="4C8A0BAF" w14:textId="19F32141" w:rsidR="00CA3877" w:rsidRDefault="00CA3877" w:rsidP="00CA3877">
      <w:pPr>
        <w:rPr>
          <w:iCs/>
          <w:lang w:val="en-US"/>
        </w:rPr>
      </w:pPr>
      <w:r w:rsidRPr="007C7E0B">
        <w:rPr>
          <w:iCs/>
          <w:lang w:val="en-US"/>
        </w:rPr>
        <w:t xml:space="preserve">Alternatives to halon 1211 have yet to be developed for </w:t>
      </w:r>
      <w:r>
        <w:rPr>
          <w:iCs/>
          <w:lang w:val="en-US"/>
        </w:rPr>
        <w:t xml:space="preserve">the different </w:t>
      </w:r>
      <w:r w:rsidRPr="007C7E0B">
        <w:rPr>
          <w:iCs/>
          <w:lang w:val="en-US"/>
        </w:rPr>
        <w:t xml:space="preserve">sizes of </w:t>
      </w:r>
      <w:r>
        <w:rPr>
          <w:iCs/>
          <w:lang w:val="en-US"/>
        </w:rPr>
        <w:t xml:space="preserve">handheld </w:t>
      </w:r>
      <w:r w:rsidRPr="007C7E0B">
        <w:rPr>
          <w:iCs/>
          <w:lang w:val="en-US"/>
        </w:rPr>
        <w:t>extinguishers that are installed onboard military aircraft and helicopters, and on smaller civil aircraft.</w:t>
      </w:r>
      <w:r>
        <w:rPr>
          <w:iCs/>
          <w:lang w:val="en-US"/>
        </w:rPr>
        <w:t xml:space="preserve"> </w:t>
      </w:r>
      <w:r w:rsidRPr="007C7E0B">
        <w:rPr>
          <w:iCs/>
          <w:lang w:val="en-US"/>
        </w:rPr>
        <w:t>The process of replacing an extinguisher is costly and is delaying the development of the smaller unit used in cockpits and the larger one used in baggage compartments in these aircraft.</w:t>
      </w:r>
      <w:r>
        <w:rPr>
          <w:iCs/>
          <w:lang w:val="en-US"/>
        </w:rPr>
        <w:t xml:space="preserve"> </w:t>
      </w:r>
      <w:r w:rsidRPr="007C7E0B">
        <w:rPr>
          <w:iCs/>
          <w:lang w:val="en-US"/>
        </w:rPr>
        <w:t xml:space="preserve">The HTOC </w:t>
      </w:r>
      <w:r>
        <w:rPr>
          <w:iCs/>
          <w:lang w:val="en-US"/>
        </w:rPr>
        <w:t>anticipates</w:t>
      </w:r>
      <w:r w:rsidRPr="007C7E0B">
        <w:rPr>
          <w:iCs/>
          <w:lang w:val="en-US"/>
        </w:rPr>
        <w:t xml:space="preserve"> difficulties in replacing these other extinguishers as there are currently no standardized test methods, classifications</w:t>
      </w:r>
      <w:r w:rsidR="002C0D7B" w:rsidRPr="002C0D7B">
        <w:rPr>
          <w:iCs/>
          <w:lang w:val="en-US"/>
        </w:rPr>
        <w:t>,</w:t>
      </w:r>
      <w:r w:rsidRPr="007C7E0B">
        <w:rPr>
          <w:iCs/>
          <w:lang w:val="en-US"/>
        </w:rPr>
        <w:t xml:space="preserve"> or certification procedures for these other-sized extinguishers.</w:t>
      </w:r>
      <w:r w:rsidR="005617DE">
        <w:rPr>
          <w:iCs/>
          <w:lang w:val="en-US"/>
        </w:rPr>
        <w:t xml:space="preserve"> </w:t>
      </w:r>
      <w:r>
        <w:rPr>
          <w:iCs/>
          <w:lang w:val="en-US"/>
        </w:rPr>
        <w:t>Pending regulation on 2-BTP as a PFAS in the EU also adds uncertainty to resolving this issue.</w:t>
      </w:r>
    </w:p>
    <w:p w14:paraId="66EF25BE" w14:textId="7CDD0A38" w:rsidR="00CA3877" w:rsidRPr="0028409D" w:rsidRDefault="00CA3877" w:rsidP="00CA3877">
      <w:r w:rsidRPr="0028409D">
        <w:rPr>
          <w:lang w:val="en-AU"/>
        </w:rPr>
        <w:lastRenderedPageBreak/>
        <w:t>R&amp;D for cargo compartment fire protection systems continues.</w:t>
      </w:r>
      <w:r w:rsidR="005617DE">
        <w:rPr>
          <w:lang w:val="en-AU"/>
        </w:rPr>
        <w:t xml:space="preserve"> </w:t>
      </w:r>
      <w:r w:rsidRPr="0028409D">
        <w:rPr>
          <w:lang w:val="en-AU"/>
        </w:rPr>
        <w:t>However, the development and certification timescales remain long and can be uncertain. As such, it will still be at least several more years before any of the fire extinguishing agent</w:t>
      </w:r>
      <w:r>
        <w:rPr>
          <w:lang w:val="en-AU"/>
        </w:rPr>
        <w:t>s</w:t>
      </w:r>
      <w:r w:rsidRPr="0028409D">
        <w:rPr>
          <w:lang w:val="en-AU"/>
        </w:rPr>
        <w:t xml:space="preserve"> being evaluated could be in service on aircraft.</w:t>
      </w:r>
      <w:r w:rsidR="005617DE">
        <w:rPr>
          <w:lang w:val="en-AU"/>
        </w:rPr>
        <w:t xml:space="preserve"> </w:t>
      </w:r>
      <w:r w:rsidRPr="0028409D">
        <w:rPr>
          <w:lang w:val="en-AU"/>
        </w:rPr>
        <w:t>If these are not successful. t</w:t>
      </w:r>
      <w:r w:rsidRPr="0028409D">
        <w:t>he chances of finding an as-yet undiscovered alternative that is safe and effective are, after so many years of research, extremely low.</w:t>
      </w:r>
      <w:r w:rsidR="005617DE">
        <w:t xml:space="preserve"> </w:t>
      </w:r>
    </w:p>
    <w:p w14:paraId="7F87DCCF" w14:textId="6ECB3365" w:rsidR="00CA3877" w:rsidRPr="00677272" w:rsidRDefault="00CA3877" w:rsidP="00CA3877">
      <w:pPr>
        <w:rPr>
          <w:lang w:val="en-AU"/>
        </w:rPr>
      </w:pPr>
      <w:r w:rsidRPr="0028409D">
        <w:rPr>
          <w:rFonts w:eastAsiaTheme="majorEastAsia"/>
        </w:rPr>
        <w:t xml:space="preserve">Parties may wish to consider </w:t>
      </w:r>
      <w:bookmarkStart w:id="245" w:name="OLE_LINK7"/>
      <w:r w:rsidRPr="0028409D">
        <w:rPr>
          <w:rFonts w:eastAsiaTheme="majorEastAsia"/>
        </w:rPr>
        <w:t>requesting that ICAO</w:t>
      </w:r>
      <w:bookmarkEnd w:id="245"/>
      <w:r w:rsidRPr="0028409D">
        <w:rPr>
          <w:rFonts w:eastAsiaTheme="majorEastAsia"/>
        </w:rPr>
        <w:t xml:space="preserve"> continue to sponsor activities related to halon regulation and management, include the HTOC in these activities, and work with the HTOC to provide annual updates on changes to their halon regulations, the status of development and implementation of aviation alternatives and other halon management issues important for the long-term use and management of halons.</w:t>
      </w:r>
      <w:r w:rsidR="005617DE">
        <w:rPr>
          <w:lang w:val="en-AU"/>
        </w:rPr>
        <w:t xml:space="preserve"> </w:t>
      </w:r>
    </w:p>
    <w:p w14:paraId="1A2EFBE5" w14:textId="3FB997D3" w:rsidR="00CA3877" w:rsidRPr="00B87B22" w:rsidRDefault="00C223D0" w:rsidP="00821BBC">
      <w:pPr>
        <w:pStyle w:val="Heading2"/>
        <w:rPr>
          <w:rStyle w:val="Heading2Char"/>
          <w:rFonts w:cs="Times New Roman"/>
          <w:b/>
          <w:szCs w:val="24"/>
        </w:rPr>
      </w:pPr>
      <w:bookmarkStart w:id="246" w:name="_Toc42071378"/>
      <w:bookmarkStart w:id="247" w:name="_Toc104396674"/>
      <w:r w:rsidRPr="00B87B22">
        <w:rPr>
          <w:rStyle w:val="Heading2Char"/>
          <w:b/>
          <w:szCs w:val="24"/>
        </w:rPr>
        <w:t>3.</w:t>
      </w:r>
      <w:r w:rsidR="004D28DE" w:rsidRPr="00B87B22">
        <w:rPr>
          <w:rStyle w:val="Heading2Char"/>
          <w:b/>
          <w:szCs w:val="24"/>
        </w:rPr>
        <w:t>6</w:t>
      </w:r>
      <w:r w:rsidRPr="00B87B22">
        <w:rPr>
          <w:rStyle w:val="Heading2Char"/>
          <w:b/>
          <w:szCs w:val="24"/>
        </w:rPr>
        <w:tab/>
      </w:r>
      <w:r w:rsidR="00CA3877" w:rsidRPr="00B87B22">
        <w:rPr>
          <w:rStyle w:val="Heading2Char"/>
          <w:b/>
          <w:szCs w:val="24"/>
        </w:rPr>
        <w:t>New Fire Extinguishing Agents</w:t>
      </w:r>
      <w:bookmarkEnd w:id="246"/>
      <w:bookmarkEnd w:id="247"/>
    </w:p>
    <w:p w14:paraId="17823C10" w14:textId="4C87D57D" w:rsidR="00CA3877" w:rsidRPr="00C223D0" w:rsidRDefault="00C223D0" w:rsidP="005C5E68">
      <w:pPr>
        <w:pStyle w:val="Heading2"/>
        <w:rPr>
          <w:rStyle w:val="Heading311ptBoldChar"/>
          <w:b/>
        </w:rPr>
      </w:pPr>
      <w:bookmarkStart w:id="248" w:name="_Toc104396675"/>
      <w:r w:rsidRPr="00C223D0">
        <w:rPr>
          <w:rStyle w:val="Heading311ptBoldChar"/>
          <w:b/>
        </w:rPr>
        <w:t>3.</w:t>
      </w:r>
      <w:r w:rsidR="004D28DE">
        <w:rPr>
          <w:rStyle w:val="Heading311ptBoldChar"/>
          <w:b/>
        </w:rPr>
        <w:t>6</w:t>
      </w:r>
      <w:r w:rsidRPr="00C223D0">
        <w:rPr>
          <w:rStyle w:val="Heading311ptBoldChar"/>
          <w:b/>
        </w:rPr>
        <w:t>.1</w:t>
      </w:r>
      <w:r w:rsidRPr="00C223D0">
        <w:rPr>
          <w:rStyle w:val="Heading311ptBoldChar"/>
          <w:b/>
        </w:rPr>
        <w:tab/>
      </w:r>
      <w:r w:rsidR="00CA3877" w:rsidRPr="00C223D0">
        <w:rPr>
          <w:rStyle w:val="Heading311ptBoldChar"/>
          <w:b/>
        </w:rPr>
        <w:t>HCFO/</w:t>
      </w:r>
      <w:proofErr w:type="spellStart"/>
      <w:r w:rsidR="00CA3877" w:rsidRPr="00C223D0">
        <w:rPr>
          <w:rStyle w:val="Heading311ptBoldChar"/>
          <w:b/>
        </w:rPr>
        <w:t>Fluoroketone</w:t>
      </w:r>
      <w:proofErr w:type="spellEnd"/>
      <w:r w:rsidR="00CA3877" w:rsidRPr="00C223D0">
        <w:rPr>
          <w:rStyle w:val="Heading311ptBoldChar"/>
          <w:b/>
        </w:rPr>
        <w:t xml:space="preserve"> blend</w:t>
      </w:r>
      <w:bookmarkEnd w:id="248"/>
    </w:p>
    <w:p w14:paraId="7A46EA4E" w14:textId="02D7D61F" w:rsidR="00CA3877" w:rsidRDefault="00CA3877" w:rsidP="00CA3877">
      <w:r w:rsidRPr="00720B32">
        <w:t xml:space="preserve">A new total flooding agent to potentially replace </w:t>
      </w:r>
      <w:r>
        <w:t>halon 1301</w:t>
      </w:r>
      <w:r w:rsidRPr="00720B32">
        <w:t xml:space="preserve">, HCFC blends, </w:t>
      </w:r>
      <w:r>
        <w:t xml:space="preserve">and </w:t>
      </w:r>
      <w:r w:rsidRPr="00720B32">
        <w:t>high GWP HFC</w:t>
      </w:r>
      <w:r>
        <w:noBreakHyphen/>
      </w:r>
      <w:r w:rsidRPr="00720B32">
        <w:t>227ea and HFC-125</w:t>
      </w:r>
      <w:r>
        <w:t>,</w:t>
      </w:r>
      <w:r w:rsidRPr="00720B32">
        <w:t xml:space="preserve"> has been introduced to the US National Fire Protection Association and International Organisation for Standardisation (ISO) fire protection committees. It is a 50-50% blend by mass of the </w:t>
      </w:r>
      <w:proofErr w:type="spellStart"/>
      <w:r w:rsidRPr="00720B32">
        <w:t>hydrochlorofluoroolefin</w:t>
      </w:r>
      <w:proofErr w:type="spellEnd"/>
      <w:r w:rsidRPr="00720B32">
        <w:t xml:space="preserve"> HCFO</w:t>
      </w:r>
      <w:r w:rsidRPr="00720B32">
        <w:noBreakHyphen/>
        <w:t>1233zd</w:t>
      </w:r>
      <w:r>
        <w:t>(E)</w:t>
      </w:r>
      <w:r w:rsidRPr="00720B32">
        <w:t xml:space="preserve"> and the </w:t>
      </w:r>
      <w:proofErr w:type="spellStart"/>
      <w:r w:rsidRPr="000A456C">
        <w:t>fluoroketone</w:t>
      </w:r>
      <w:proofErr w:type="spellEnd"/>
      <w:r w:rsidRPr="00720B32">
        <w:t xml:space="preserve"> FK 5-1-12.</w:t>
      </w:r>
      <w:r>
        <w:t xml:space="preserve"> </w:t>
      </w:r>
      <w:r w:rsidRPr="00720B32">
        <w:t>Both components have low GWPs and negligible or zero ODPs.</w:t>
      </w:r>
      <w:r w:rsidR="005617DE">
        <w:t xml:space="preserve"> </w:t>
      </w:r>
      <w:r>
        <w:t>However, both of the components fall under the proposed definition of PFAS by the EU.</w:t>
      </w:r>
      <w:r w:rsidR="005617DE">
        <w:t xml:space="preserve"> </w:t>
      </w:r>
      <w:r>
        <w:t>It is too early to determine whether this blend will be a viable alternative to halons, HCFCs and high-GWP HFCs. The HTOC will continue to monitor and report progress on this agent.</w:t>
      </w:r>
    </w:p>
    <w:p w14:paraId="0D97B0E5" w14:textId="7EA3EE4B" w:rsidR="00CA3877" w:rsidRPr="00C7675C" w:rsidRDefault="00C223D0" w:rsidP="005C5E68">
      <w:pPr>
        <w:pStyle w:val="Heading2"/>
        <w:rPr>
          <w:rStyle w:val="Heading311ptBoldChar"/>
          <w:b/>
        </w:rPr>
      </w:pPr>
      <w:bookmarkStart w:id="249" w:name="_Toc104396676"/>
      <w:r w:rsidRPr="00C7675C">
        <w:rPr>
          <w:rStyle w:val="Heading311ptBoldChar"/>
          <w:b/>
        </w:rPr>
        <w:t>3.</w:t>
      </w:r>
      <w:r w:rsidR="004D28DE" w:rsidRPr="00C7675C">
        <w:rPr>
          <w:rStyle w:val="Heading311ptBoldChar"/>
          <w:b/>
        </w:rPr>
        <w:t>6</w:t>
      </w:r>
      <w:r w:rsidRPr="00C7675C">
        <w:rPr>
          <w:rStyle w:val="Heading311ptBoldChar"/>
          <w:b/>
        </w:rPr>
        <w:t>.2</w:t>
      </w:r>
      <w:r w:rsidRPr="00C7675C">
        <w:rPr>
          <w:rStyle w:val="Heading311ptBoldChar"/>
          <w:b/>
        </w:rPr>
        <w:tab/>
      </w:r>
      <w:r w:rsidR="00CA3877" w:rsidRPr="00C7675C">
        <w:rPr>
          <w:rStyle w:val="Heading311ptBoldChar"/>
          <w:b/>
        </w:rPr>
        <w:t>Update from India</w:t>
      </w:r>
      <w:bookmarkEnd w:id="249"/>
    </w:p>
    <w:p w14:paraId="0F69ECBA" w14:textId="77777777" w:rsidR="00CA3877" w:rsidRPr="00F076C3" w:rsidRDefault="00CA3877" w:rsidP="00CA3877">
      <w:r>
        <w:t>Owing to the COVID-19 pandemic, little progress has been made recently on development of new extinguishing agents. Toxicity studies are planned, but the timescale for completing these is not known at this time. Some intermediate-scale fire tests are planned for the near future.</w:t>
      </w:r>
    </w:p>
    <w:p w14:paraId="6DAB6380" w14:textId="126BFFB4" w:rsidR="00CA3877" w:rsidRPr="00C7675C" w:rsidRDefault="00C223D0" w:rsidP="005C5E68">
      <w:pPr>
        <w:pStyle w:val="Heading2"/>
        <w:rPr>
          <w:rStyle w:val="Heading311ptBoldChar"/>
          <w:b/>
        </w:rPr>
      </w:pPr>
      <w:bookmarkStart w:id="250" w:name="_Toc104396677"/>
      <w:r w:rsidRPr="00C7675C">
        <w:rPr>
          <w:rStyle w:val="Heading311ptBoldChar"/>
          <w:b/>
        </w:rPr>
        <w:t>3.</w:t>
      </w:r>
      <w:r w:rsidR="004D28DE" w:rsidRPr="00C7675C">
        <w:rPr>
          <w:rStyle w:val="Heading311ptBoldChar"/>
          <w:b/>
        </w:rPr>
        <w:t>6</w:t>
      </w:r>
      <w:r w:rsidRPr="00C7675C">
        <w:rPr>
          <w:rStyle w:val="Heading311ptBoldChar"/>
          <w:b/>
        </w:rPr>
        <w:t>.3</w:t>
      </w:r>
      <w:r w:rsidRPr="00C7675C">
        <w:rPr>
          <w:rStyle w:val="Heading311ptBoldChar"/>
          <w:b/>
        </w:rPr>
        <w:tab/>
      </w:r>
      <w:r w:rsidR="00CA3877" w:rsidRPr="00C7675C">
        <w:rPr>
          <w:rStyle w:val="Heading311ptBoldChar"/>
          <w:b/>
        </w:rPr>
        <w:t>Market Considerations</w:t>
      </w:r>
      <w:bookmarkEnd w:id="250"/>
    </w:p>
    <w:p w14:paraId="63150DB9" w14:textId="595DFAF3" w:rsidR="00CA3877" w:rsidRDefault="00CA3877" w:rsidP="00CA3877">
      <w:r>
        <w:t>Halons have been replaced with a range of firefighting alternatives meaning that any one agent has less of a market share than the agent it is replacing. Additionally, the experience with</w:t>
      </w:r>
      <w:r w:rsidR="005617DE">
        <w:t xml:space="preserve"> </w:t>
      </w:r>
      <w:r>
        <w:t>recycling of halons has shown that proper agent management will greatly reduce the need for newly produced agent. Therefore, the potential market for any new, single fire suppressant diminishes thereby making the business decision to develop new alternatives less attractive than in the past. Thus, fewer companies are willing to invest the significant resources necessary to develop chemicals that do not have wider application than fire suppression.</w:t>
      </w:r>
      <w:r w:rsidR="005617DE">
        <w:t xml:space="preserve"> </w:t>
      </w:r>
      <w:r>
        <w:t xml:space="preserve">For example, one major chemical manufacturer with a long history of providing firefighting agents has indicated to at least one potentially interested party that they do not plan to further the commercialization of a promising candidate solely as a potential total flooding alternative for halon 1301, HFC-227ea or HFC-125 due to its relatively small projected market (already competing with other existing alternatives such as FK-5-1-12, inert gases, water, etc.) unless and until it were to find broader use in non-fire application(s). The </w:t>
      </w:r>
      <w:bookmarkStart w:id="251" w:name="OLE_LINK13"/>
      <w:r>
        <w:t>HTOC is concerned that after many years of ongoing research, the chances of finding an as-yet undiscovered alternative that is safe and effective are now extremely low.</w:t>
      </w:r>
      <w:r w:rsidR="005617DE">
        <w:t xml:space="preserve"> </w:t>
      </w:r>
    </w:p>
    <w:bookmarkEnd w:id="251"/>
    <w:p w14:paraId="39BC6586" w14:textId="5335194E" w:rsidR="00CA3877" w:rsidRDefault="00CA3877" w:rsidP="00CA3877">
      <w:r w:rsidRPr="00E3489F">
        <w:t>Although initially reported as an issue for portable extinguishers in civil aviation, the loss of UL listing for fire extinguishing parts for halon 1301 systems is being reported to affect enduring users of halons outside of civil aviation as well.</w:t>
      </w:r>
      <w:r w:rsidR="005617DE">
        <w:t xml:space="preserve"> </w:t>
      </w:r>
      <w:r w:rsidRPr="00E3489F">
        <w:t>This can affect the ability to continue to use halon in these fire protection systems thereby changing market demand.</w:t>
      </w:r>
      <w:r w:rsidR="005617DE">
        <w:t xml:space="preserve"> </w:t>
      </w:r>
      <w:r w:rsidRPr="00E3489F">
        <w:t xml:space="preserve">It is not clear at this point how much </w:t>
      </w:r>
      <w:r>
        <w:t xml:space="preserve">of </w:t>
      </w:r>
      <w:r w:rsidRPr="00E3489F">
        <w:t>an effect this will have on the availability or price of recycled halons.</w:t>
      </w:r>
      <w:r w:rsidR="005617DE">
        <w:t xml:space="preserve"> </w:t>
      </w:r>
      <w:r w:rsidRPr="00E3489F">
        <w:t>The HTOC will continue to monitor this issue.</w:t>
      </w:r>
      <w:r>
        <w:t xml:space="preserve"> </w:t>
      </w:r>
    </w:p>
    <w:p w14:paraId="0B8F8E10" w14:textId="511C3313" w:rsidR="00CA3877" w:rsidRPr="006206A2" w:rsidRDefault="000C2DE2" w:rsidP="00821BBC">
      <w:pPr>
        <w:pStyle w:val="Heading2"/>
        <w:rPr>
          <w:rStyle w:val="Heading2Char"/>
          <w:rFonts w:cs="Times New Roman"/>
          <w:b/>
          <w:szCs w:val="24"/>
        </w:rPr>
      </w:pPr>
      <w:bookmarkStart w:id="252" w:name="_Toc104396678"/>
      <w:r w:rsidRPr="006206A2">
        <w:rPr>
          <w:rStyle w:val="Heading2Char"/>
          <w:b/>
          <w:szCs w:val="24"/>
        </w:rPr>
        <w:lastRenderedPageBreak/>
        <w:t>3.</w:t>
      </w:r>
      <w:r w:rsidR="004D28DE" w:rsidRPr="006206A2">
        <w:rPr>
          <w:rStyle w:val="Heading2Char"/>
          <w:b/>
          <w:szCs w:val="24"/>
        </w:rPr>
        <w:t>7</w:t>
      </w:r>
      <w:r w:rsidRPr="006206A2">
        <w:rPr>
          <w:rStyle w:val="Heading2Char"/>
          <w:b/>
          <w:szCs w:val="24"/>
        </w:rPr>
        <w:tab/>
      </w:r>
      <w:r w:rsidR="00CA3877" w:rsidRPr="006206A2">
        <w:rPr>
          <w:rStyle w:val="Heading2Char"/>
          <w:b/>
          <w:szCs w:val="24"/>
        </w:rPr>
        <w:t>Other Updates</w:t>
      </w:r>
      <w:bookmarkEnd w:id="252"/>
    </w:p>
    <w:p w14:paraId="1D49C120" w14:textId="55051DD0" w:rsidR="00CA3877" w:rsidRPr="00C7675C" w:rsidRDefault="000C2DE2" w:rsidP="005C5E68">
      <w:pPr>
        <w:pStyle w:val="Heading2"/>
        <w:rPr>
          <w:rStyle w:val="Heading311ptBoldChar"/>
          <w:b/>
        </w:rPr>
      </w:pPr>
      <w:bookmarkStart w:id="253" w:name="_Toc104396679"/>
      <w:r w:rsidRPr="00C7675C">
        <w:rPr>
          <w:rStyle w:val="Heading311ptBoldChar"/>
          <w:b/>
        </w:rPr>
        <w:t>3.</w:t>
      </w:r>
      <w:r w:rsidR="004D28DE" w:rsidRPr="00C7675C">
        <w:rPr>
          <w:rStyle w:val="Heading311ptBoldChar"/>
          <w:b/>
        </w:rPr>
        <w:t>7</w:t>
      </w:r>
      <w:r w:rsidRPr="00C7675C">
        <w:rPr>
          <w:rStyle w:val="Heading311ptBoldChar"/>
          <w:b/>
        </w:rPr>
        <w:t>.1</w:t>
      </w:r>
      <w:r w:rsidRPr="00C7675C">
        <w:rPr>
          <w:rStyle w:val="Heading311ptBoldChar"/>
          <w:b/>
        </w:rPr>
        <w:tab/>
      </w:r>
      <w:r w:rsidR="00CA3877" w:rsidRPr="00C7675C">
        <w:rPr>
          <w:rStyle w:val="Heading311ptBoldChar"/>
          <w:b/>
        </w:rPr>
        <w:t>Effects of Alternative Refrigerants Selection</w:t>
      </w:r>
      <w:bookmarkEnd w:id="253"/>
    </w:p>
    <w:p w14:paraId="31829CC7" w14:textId="47E14489" w:rsidR="00CA3877" w:rsidRPr="00F076C3" w:rsidRDefault="00CA3877" w:rsidP="00CA3877">
      <w:r>
        <w:t xml:space="preserve">The HTOC </w:t>
      </w:r>
      <w:r w:rsidRPr="00F076C3">
        <w:t>continues to express concern</w:t>
      </w:r>
      <w:r>
        <w:t xml:space="preserve">, as raised in the 2021 HTOC Progress Report, </w:t>
      </w:r>
      <w:r w:rsidRPr="00F076C3">
        <w:t xml:space="preserve">with expanded use of alternative refrigerants due to their potential flammability and </w:t>
      </w:r>
      <w:r>
        <w:t xml:space="preserve">yet to be determined </w:t>
      </w:r>
      <w:r w:rsidRPr="00F076C3">
        <w:t>effects on firefighting systems (e.g.</w:t>
      </w:r>
      <w:r>
        <w:t>,</w:t>
      </w:r>
      <w:r w:rsidRPr="00F076C3">
        <w:t xml:space="preserve"> agent effectiveness, by</w:t>
      </w:r>
      <w:r>
        <w:t>-</w:t>
      </w:r>
      <w:r w:rsidRPr="00F076C3">
        <w:t>products generated, etc.). In addition to industry standard tests for measuring flame propagation</w:t>
      </w:r>
      <w:r w:rsidRPr="00B347B2">
        <w:t xml:space="preserve"> </w:t>
      </w:r>
      <w:r>
        <w:t>(ASHRAE</w:t>
      </w:r>
      <w:r>
        <w:rPr>
          <w:rFonts w:eastAsiaTheme="minorHAnsi"/>
          <w:color w:val="auto"/>
          <w:szCs w:val="22"/>
          <w:lang w:val="en-US" w:eastAsia="en-US"/>
        </w:rPr>
        <w:t>-34/ISO-817)</w:t>
      </w:r>
      <w:r w:rsidRPr="00F076C3">
        <w:t>, new methods are being developed</w:t>
      </w:r>
      <w:r>
        <w:t xml:space="preserve">, but not yet available, </w:t>
      </w:r>
      <w:r w:rsidRPr="00F076C3">
        <w:t>to address these concerns</w:t>
      </w:r>
      <w:r w:rsidRPr="00720B32">
        <w:t>.</w:t>
      </w:r>
      <w:r w:rsidR="005617DE">
        <w:t xml:space="preserve"> </w:t>
      </w:r>
      <w:r>
        <w:t>Additional information will be included in the HTOC 2022 Assessment Report</w:t>
      </w:r>
    </w:p>
    <w:p w14:paraId="7AC541F3" w14:textId="2C5EE170" w:rsidR="00CA3877" w:rsidRPr="00C7675C" w:rsidRDefault="000C2DE2" w:rsidP="005C5E68">
      <w:pPr>
        <w:pStyle w:val="Heading2"/>
        <w:rPr>
          <w:rStyle w:val="Heading311ptBoldChar"/>
          <w:b/>
        </w:rPr>
      </w:pPr>
      <w:bookmarkStart w:id="254" w:name="_Toc42071376"/>
      <w:bookmarkStart w:id="255" w:name="_Toc104396680"/>
      <w:r w:rsidRPr="00C7675C">
        <w:rPr>
          <w:rStyle w:val="Heading311ptBoldChar"/>
          <w:b/>
        </w:rPr>
        <w:t>3.</w:t>
      </w:r>
      <w:r w:rsidR="004D28DE" w:rsidRPr="00C7675C">
        <w:rPr>
          <w:rStyle w:val="Heading311ptBoldChar"/>
          <w:b/>
        </w:rPr>
        <w:t>7</w:t>
      </w:r>
      <w:r w:rsidRPr="00C7675C">
        <w:rPr>
          <w:rStyle w:val="Heading311ptBoldChar"/>
          <w:b/>
        </w:rPr>
        <w:t>.2</w:t>
      </w:r>
      <w:r w:rsidRPr="00C7675C">
        <w:rPr>
          <w:rStyle w:val="Heading311ptBoldChar"/>
          <w:b/>
        </w:rPr>
        <w:tab/>
      </w:r>
      <w:r w:rsidR="00CA3877" w:rsidRPr="00C7675C">
        <w:rPr>
          <w:rStyle w:val="Heading311ptBoldChar"/>
          <w:b/>
        </w:rPr>
        <w:t>Knowledge and training</w:t>
      </w:r>
      <w:bookmarkEnd w:id="254"/>
      <w:bookmarkEnd w:id="255"/>
    </w:p>
    <w:p w14:paraId="7C80084D" w14:textId="6A5BA04B" w:rsidR="00CA3877" w:rsidRPr="00CA430A" w:rsidRDefault="00CA3877" w:rsidP="00CA3877">
      <w:pPr>
        <w:rPr>
          <w:lang w:val="en-US"/>
        </w:rPr>
      </w:pPr>
      <w:bookmarkStart w:id="256" w:name="OLE_LINK12"/>
      <w:r w:rsidRPr="00CA430A">
        <w:rPr>
          <w:lang w:val="en-US"/>
        </w:rPr>
        <w:t>The HTOC has a continuing concern regarding the historical knowledge that has been lost due to the le</w:t>
      </w:r>
      <w:bookmarkEnd w:id="256"/>
      <w:r w:rsidRPr="00CA430A">
        <w:rPr>
          <w:lang w:val="en-US"/>
        </w:rPr>
        <w:t xml:space="preserve">ngth of time over which the Montreal Protocol activities have been </w:t>
      </w:r>
      <w:r>
        <w:rPr>
          <w:lang w:val="en-US"/>
        </w:rPr>
        <w:t>conducted</w:t>
      </w:r>
      <w:r w:rsidRPr="00CA430A">
        <w:rPr>
          <w:lang w:val="en-US"/>
        </w:rPr>
        <w:t>.</w:t>
      </w:r>
      <w:r>
        <w:rPr>
          <w:lang w:val="en-US"/>
        </w:rPr>
        <w:t xml:space="preserve"> </w:t>
      </w:r>
      <w:r w:rsidRPr="00CA430A">
        <w:rPr>
          <w:lang w:val="en-US"/>
        </w:rPr>
        <w:t xml:space="preserve">Many personnel who are </w:t>
      </w:r>
      <w:r>
        <w:rPr>
          <w:lang w:val="en-US"/>
        </w:rPr>
        <w:t xml:space="preserve">currently </w:t>
      </w:r>
      <w:r w:rsidRPr="00CA430A">
        <w:rPr>
          <w:lang w:val="en-US"/>
        </w:rPr>
        <w:t>responsible for managing fire protection agents covered by the Montreal Protocol are not experienced with the issues surrounding the use, recovery, recycling, reclamation</w:t>
      </w:r>
      <w:r w:rsidR="002C0D7B" w:rsidRPr="002C0D7B">
        <w:rPr>
          <w:lang w:val="en-US"/>
        </w:rPr>
        <w:t>,</w:t>
      </w:r>
      <w:r w:rsidRPr="00CA430A">
        <w:rPr>
          <w:lang w:val="en-US"/>
        </w:rPr>
        <w:t xml:space="preserve"> and banking of these agents. The HTOC is finding that this is becoming an increasing challenge as it works with various parties and </w:t>
      </w:r>
      <w:proofErr w:type="spellStart"/>
      <w:r w:rsidRPr="00CA430A">
        <w:rPr>
          <w:lang w:val="en-US"/>
        </w:rPr>
        <w:t>organi</w:t>
      </w:r>
      <w:r w:rsidR="002C0D7B" w:rsidRPr="002C0D7B">
        <w:rPr>
          <w:lang w:val="en-US"/>
        </w:rPr>
        <w:t>s</w:t>
      </w:r>
      <w:r w:rsidRPr="00CA430A">
        <w:rPr>
          <w:lang w:val="en-US"/>
        </w:rPr>
        <w:t>ations</w:t>
      </w:r>
      <w:proofErr w:type="spellEnd"/>
      <w:r w:rsidRPr="00CA430A">
        <w:rPr>
          <w:lang w:val="en-US"/>
        </w:rPr>
        <w:t xml:space="preserve"> on issues related to acquiring halons </w:t>
      </w:r>
      <w:r>
        <w:rPr>
          <w:lang w:val="en-US"/>
        </w:rPr>
        <w:t xml:space="preserve">or identifying alternatives </w:t>
      </w:r>
      <w:r w:rsidRPr="00CA430A">
        <w:rPr>
          <w:lang w:val="en-US"/>
        </w:rPr>
        <w:t>to meet their continuing needs.</w:t>
      </w:r>
      <w:r>
        <w:rPr>
          <w:lang w:val="en-US"/>
        </w:rPr>
        <w:t xml:space="preserve"> </w:t>
      </w:r>
      <w:r w:rsidRPr="00CA430A">
        <w:rPr>
          <w:lang w:val="en-US"/>
        </w:rPr>
        <w:t>For example, m</w:t>
      </w:r>
      <w:r>
        <w:rPr>
          <w:lang w:val="en-US"/>
        </w:rPr>
        <w:t xml:space="preserve">any </w:t>
      </w:r>
      <w:r w:rsidRPr="00CA430A">
        <w:rPr>
          <w:lang w:val="en-US"/>
        </w:rPr>
        <w:t xml:space="preserve">NOU staff members indicated to </w:t>
      </w:r>
      <w:r>
        <w:rPr>
          <w:lang w:val="en-US"/>
        </w:rPr>
        <w:t xml:space="preserve">the </w:t>
      </w:r>
      <w:r w:rsidRPr="00CA430A">
        <w:rPr>
          <w:lang w:val="en-US"/>
        </w:rPr>
        <w:t>HTOC that they are looking for information that is already available from HTOC reports, but they seem unaware that the information is available and/or where to find it</w:t>
      </w:r>
      <w:r>
        <w:rPr>
          <w:lang w:val="en-US"/>
        </w:rPr>
        <w:t xml:space="preserve"> on the Ozone Secretariat website</w:t>
      </w:r>
      <w:r w:rsidRPr="00CA430A">
        <w:rPr>
          <w:lang w:val="en-US"/>
        </w:rPr>
        <w:t>.</w:t>
      </w:r>
      <w:r>
        <w:rPr>
          <w:lang w:val="en-US"/>
        </w:rPr>
        <w:t xml:space="preserve"> </w:t>
      </w:r>
    </w:p>
    <w:p w14:paraId="56CB6A15" w14:textId="77777777" w:rsidR="00CA3877" w:rsidRPr="00CA430A" w:rsidRDefault="00CA3877" w:rsidP="00CA3877">
      <w:pPr>
        <w:rPr>
          <w:lang w:val="en-US"/>
        </w:rPr>
      </w:pPr>
      <w:r w:rsidRPr="00CA430A">
        <w:rPr>
          <w:lang w:val="en-US"/>
        </w:rPr>
        <w:t>Parties may wish to consider:</w:t>
      </w:r>
    </w:p>
    <w:p w14:paraId="54B18810" w14:textId="77777777" w:rsidR="00CA3877" w:rsidRPr="00E3489F" w:rsidRDefault="00CA3877" w:rsidP="00107383">
      <w:pPr>
        <w:pStyle w:val="ListParagraph"/>
        <w:widowControl/>
        <w:numPr>
          <w:ilvl w:val="0"/>
          <w:numId w:val="61"/>
        </w:numPr>
        <w:spacing w:after="160" w:line="259" w:lineRule="auto"/>
        <w:ind w:firstLineChars="0"/>
        <w:contextualSpacing/>
        <w:jc w:val="left"/>
        <w:rPr>
          <w:rFonts w:ascii="Times New Roman" w:hAnsi="Times New Roman"/>
          <w:sz w:val="22"/>
          <w:lang w:val="en-AU"/>
        </w:rPr>
      </w:pPr>
      <w:r w:rsidRPr="00E3489F">
        <w:rPr>
          <w:rFonts w:ascii="Times New Roman" w:hAnsi="Times New Roman"/>
          <w:sz w:val="22"/>
          <w:lang w:val="en-AU"/>
        </w:rPr>
        <w:t xml:space="preserve">Supporting programmes to mitigate the loss in institutional memory of fire protection </w:t>
      </w:r>
      <w:r>
        <w:rPr>
          <w:rFonts w:ascii="Times New Roman" w:hAnsi="Times New Roman"/>
          <w:sz w:val="22"/>
          <w:lang w:val="en-AU"/>
        </w:rPr>
        <w:t>issue</w:t>
      </w:r>
      <w:r w:rsidRPr="00E3489F">
        <w:rPr>
          <w:rFonts w:ascii="Times New Roman" w:hAnsi="Times New Roman"/>
          <w:sz w:val="22"/>
          <w:lang w:val="en-AU"/>
        </w:rPr>
        <w:t xml:space="preserve">s under the Montreal Protocol; for example, including HTOC </w:t>
      </w:r>
      <w:r>
        <w:rPr>
          <w:rFonts w:ascii="Times New Roman" w:hAnsi="Times New Roman"/>
          <w:sz w:val="22"/>
          <w:lang w:val="en-AU"/>
        </w:rPr>
        <w:t>r</w:t>
      </w:r>
      <w:r w:rsidRPr="00E3489F">
        <w:rPr>
          <w:rFonts w:ascii="Times New Roman" w:hAnsi="Times New Roman"/>
          <w:sz w:val="22"/>
          <w:lang w:val="en-AU"/>
        </w:rPr>
        <w:t xml:space="preserve">eports and </w:t>
      </w:r>
      <w:r>
        <w:rPr>
          <w:rFonts w:ascii="Times New Roman" w:hAnsi="Times New Roman"/>
          <w:sz w:val="22"/>
          <w:lang w:val="en-AU"/>
        </w:rPr>
        <w:t>t</w:t>
      </w:r>
      <w:r w:rsidRPr="00E3489F">
        <w:rPr>
          <w:rFonts w:ascii="Times New Roman" w:hAnsi="Times New Roman"/>
          <w:sz w:val="22"/>
          <w:lang w:val="en-AU"/>
        </w:rPr>
        <w:t xml:space="preserve">echnical </w:t>
      </w:r>
      <w:r>
        <w:rPr>
          <w:rFonts w:ascii="Times New Roman" w:hAnsi="Times New Roman"/>
          <w:sz w:val="22"/>
          <w:lang w:val="en-AU"/>
        </w:rPr>
        <w:t>n</w:t>
      </w:r>
      <w:r w:rsidRPr="00E3489F">
        <w:rPr>
          <w:rFonts w:ascii="Times New Roman" w:hAnsi="Times New Roman"/>
          <w:sz w:val="22"/>
          <w:lang w:val="en-AU"/>
        </w:rPr>
        <w:t xml:space="preserve">otes, presentations, etc. in </w:t>
      </w:r>
      <w:bookmarkStart w:id="257" w:name="OLE_LINK9"/>
      <w:r w:rsidRPr="00E3489F">
        <w:rPr>
          <w:rFonts w:ascii="Times New Roman" w:hAnsi="Times New Roman"/>
          <w:sz w:val="22"/>
          <w:lang w:val="en-AU"/>
        </w:rPr>
        <w:t>Ozone Regional Manager Network or other applicable meetings</w:t>
      </w:r>
      <w:bookmarkEnd w:id="257"/>
      <w:r w:rsidRPr="00E3489F">
        <w:rPr>
          <w:rFonts w:ascii="Times New Roman" w:hAnsi="Times New Roman"/>
          <w:sz w:val="22"/>
          <w:lang w:val="en-AU"/>
        </w:rPr>
        <w:t>, and</w:t>
      </w:r>
    </w:p>
    <w:p w14:paraId="39BD9EE3" w14:textId="5018D62E" w:rsidR="00CA3877" w:rsidRPr="00E3489F" w:rsidRDefault="00CA3877" w:rsidP="00107383">
      <w:pPr>
        <w:pStyle w:val="ListParagraph"/>
        <w:widowControl/>
        <w:numPr>
          <w:ilvl w:val="0"/>
          <w:numId w:val="61"/>
        </w:numPr>
        <w:spacing w:after="160" w:line="259" w:lineRule="auto"/>
        <w:ind w:firstLineChars="0"/>
        <w:contextualSpacing/>
        <w:jc w:val="left"/>
        <w:rPr>
          <w:rFonts w:ascii="Times New Roman" w:hAnsi="Times New Roman"/>
          <w:sz w:val="22"/>
          <w:lang w:val="en-AU"/>
        </w:rPr>
      </w:pPr>
      <w:r w:rsidRPr="00E3489F">
        <w:rPr>
          <w:rFonts w:ascii="Times New Roman" w:hAnsi="Times New Roman"/>
          <w:sz w:val="22"/>
          <w:lang w:val="en-AU"/>
        </w:rPr>
        <w:t>Supporting training and awareness programmes to address recovery, recycling, reclamation</w:t>
      </w:r>
      <w:r w:rsidR="002C0D7B" w:rsidRPr="002C0D7B">
        <w:rPr>
          <w:rFonts w:ascii="Times New Roman" w:hAnsi="Times New Roman"/>
          <w:sz w:val="22"/>
          <w:lang w:val="en-AU"/>
        </w:rPr>
        <w:t>,</w:t>
      </w:r>
      <w:r w:rsidRPr="00E3489F">
        <w:rPr>
          <w:rFonts w:ascii="Times New Roman" w:hAnsi="Times New Roman"/>
          <w:sz w:val="22"/>
          <w:lang w:val="en-AU"/>
        </w:rPr>
        <w:t xml:space="preserve"> and banking of HCFC and HFC fire protection agents. </w:t>
      </w:r>
    </w:p>
    <w:p w14:paraId="06B7E187" w14:textId="77777777" w:rsidR="00487BF9" w:rsidRDefault="00487BF9" w:rsidP="00F718EB">
      <w:pPr>
        <w:pStyle w:val="Style15"/>
        <w:rPr>
          <w:lang w:eastAsia="en-US"/>
        </w:rPr>
        <w:sectPr w:rsidR="00487BF9" w:rsidSect="00944FC9">
          <w:type w:val="oddPage"/>
          <w:pgSz w:w="11906" w:h="16838"/>
          <w:pgMar w:top="1440" w:right="1440" w:bottom="1440" w:left="1440" w:header="708" w:footer="708" w:gutter="0"/>
          <w:cols w:space="720"/>
        </w:sectPr>
      </w:pPr>
    </w:p>
    <w:p w14:paraId="10941922" w14:textId="77777777" w:rsidR="00517FCE" w:rsidRPr="00517FCE" w:rsidRDefault="009501A1" w:rsidP="00BA0312">
      <w:pPr>
        <w:pStyle w:val="Heading1"/>
        <w:rPr>
          <w:lang w:eastAsia="en-US"/>
        </w:rPr>
      </w:pPr>
      <w:bookmarkStart w:id="258" w:name="_Toc104396681"/>
      <w:bookmarkStart w:id="259" w:name="_Toc77868872"/>
      <w:bookmarkStart w:id="260" w:name="_Toc78040718"/>
      <w:bookmarkStart w:id="261" w:name="_Toc79066524"/>
      <w:r w:rsidRPr="00D23986">
        <w:rPr>
          <w:rStyle w:val="Heading1Char2"/>
          <w:rFonts w:ascii="Times New Roman" w:hAnsi="Times New Roman"/>
        </w:rPr>
        <w:lastRenderedPageBreak/>
        <w:t>4</w:t>
      </w:r>
      <w:r w:rsidR="00591AA8" w:rsidRPr="00D23986">
        <w:rPr>
          <w:rStyle w:val="Heading1Char2"/>
          <w:rFonts w:ascii="Times New Roman" w:hAnsi="Times New Roman"/>
        </w:rPr>
        <w:tab/>
      </w:r>
      <w:r w:rsidR="00517FCE" w:rsidRPr="00517FCE">
        <w:rPr>
          <w:lang w:eastAsia="en-US"/>
        </w:rPr>
        <w:t>Updated response to Decision XXX/7: Future availability of halons and their alternatives</w:t>
      </w:r>
      <w:bookmarkEnd w:id="258"/>
    </w:p>
    <w:p w14:paraId="70E14BC2" w14:textId="657D9630" w:rsidR="00CA3877" w:rsidRDefault="00CA3877" w:rsidP="00CA3877">
      <w:r>
        <w:t>In the early stages of the COVID-19 pandemic in 2020, the HTOC raised concern that the economic downturn caused by the global response to the pandemic would have a lasting impact on the Halon 1301 sector. This remains the case.</w:t>
      </w:r>
      <w:r w:rsidR="005617DE">
        <w:t xml:space="preserve"> </w:t>
      </w:r>
      <w:r>
        <w:t>Airframe manufacturers have lowered their production rates and lowered their forecasts for aircraft sales for the next several years. Their internal predictions are that growth rates will not return to pre-COVID-19 levels for at least five years. Additionally, airlines have accelerated decommissioning their older, less efficient aircraft and are replacing them with new, smaller aircraft that use less halon (i.e., wide body, twin aisle aircraft are being replaced by narrow body, single aisle aircraft).</w:t>
      </w:r>
      <w:r w:rsidRPr="00172292">
        <w:t xml:space="preserve"> </w:t>
      </w:r>
    </w:p>
    <w:p w14:paraId="0E244120" w14:textId="313A73CE" w:rsidR="00CA3877" w:rsidRDefault="00CA3877" w:rsidP="00CA3877">
      <w:r>
        <w:t xml:space="preserve">Figure </w:t>
      </w:r>
      <w:r w:rsidR="00B710A8">
        <w:t>4.</w:t>
      </w:r>
      <w:r>
        <w:t>1 below shows the large decline in the number of commercial aviation flights in March-April 2020, and the gradual recovery in 2020 and 2021. In April 2022 flights were approximately 20% below the corresponding period in 2019.</w:t>
      </w:r>
    </w:p>
    <w:p w14:paraId="1FE30E9E" w14:textId="77777777" w:rsidR="00CA3877" w:rsidRDefault="00CA3877" w:rsidP="00487BF9">
      <w:pPr>
        <w:jc w:val="both"/>
      </w:pPr>
      <w:r w:rsidRPr="00BD7319">
        <w:rPr>
          <w:noProof/>
        </w:rPr>
        <w:drawing>
          <wp:inline distT="0" distB="0" distL="0" distR="0" wp14:anchorId="08D08D74" wp14:editId="43CF46AD">
            <wp:extent cx="5731510" cy="206121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061210"/>
                    </a:xfrm>
                    <a:prstGeom prst="rect">
                      <a:avLst/>
                    </a:prstGeom>
                  </pic:spPr>
                </pic:pic>
              </a:graphicData>
            </a:graphic>
          </wp:inline>
        </w:drawing>
      </w:r>
    </w:p>
    <w:p w14:paraId="64B47A65" w14:textId="2FF87F55" w:rsidR="00CA3877" w:rsidRDefault="00CA3877" w:rsidP="00CA3877">
      <w:pPr>
        <w:spacing w:after="0"/>
        <w:rPr>
          <w:rFonts w:eastAsiaTheme="minorHAnsi"/>
          <w:color w:val="auto"/>
          <w:sz w:val="24"/>
          <w:szCs w:val="24"/>
          <w:lang w:val="en-US" w:eastAsia="en-US"/>
        </w:rPr>
      </w:pPr>
      <w:r w:rsidRPr="00F51C97">
        <w:rPr>
          <w:b/>
        </w:rPr>
        <w:t>Fig</w:t>
      </w:r>
      <w:r w:rsidR="00B710A8">
        <w:rPr>
          <w:b/>
        </w:rPr>
        <w:t>.</w:t>
      </w:r>
      <w:r w:rsidRPr="00F51C97">
        <w:rPr>
          <w:b/>
        </w:rPr>
        <w:t xml:space="preserve"> </w:t>
      </w:r>
      <w:r w:rsidR="00B710A8">
        <w:rPr>
          <w:b/>
        </w:rPr>
        <w:t>4.1.</w:t>
      </w:r>
      <w:r w:rsidRPr="00F51C97">
        <w:rPr>
          <w:b/>
        </w:rPr>
        <w:t xml:space="preserve"> Effect of the COVID-19 Pandemic on Global Aviation.</w:t>
      </w:r>
      <w:r>
        <w:rPr>
          <w:b/>
        </w:rPr>
        <w:t xml:space="preserve"> Source: Flightradar24</w:t>
      </w:r>
      <w:r>
        <w:rPr>
          <w:rStyle w:val="FootnoteReference"/>
          <w:rFonts w:eastAsiaTheme="majorEastAsia"/>
          <w:b/>
        </w:rPr>
        <w:footnoteReference w:id="19"/>
      </w:r>
      <w:r>
        <w:rPr>
          <w:rFonts w:eastAsiaTheme="minorHAnsi"/>
          <w:color w:val="auto"/>
          <w:sz w:val="24"/>
          <w:szCs w:val="24"/>
          <w:lang w:val="en-US" w:eastAsia="en-US"/>
        </w:rPr>
        <w:t xml:space="preserve"> </w:t>
      </w:r>
    </w:p>
    <w:p w14:paraId="7AC85AF7" w14:textId="77777777" w:rsidR="00CA3877" w:rsidRDefault="00CA3877" w:rsidP="00CA3877">
      <w:pPr>
        <w:spacing w:after="0"/>
        <w:rPr>
          <w:rFonts w:eastAsiaTheme="minorHAnsi"/>
          <w:color w:val="auto"/>
          <w:sz w:val="24"/>
          <w:szCs w:val="24"/>
          <w:lang w:val="en-US" w:eastAsia="en-US"/>
        </w:rPr>
      </w:pPr>
    </w:p>
    <w:p w14:paraId="7356B39B" w14:textId="3E5FA330" w:rsidR="00CA3877" w:rsidRDefault="00CA3877" w:rsidP="00CA3877">
      <w:r>
        <w:t xml:space="preserve">A major question that was raised by the HTOC was if the economic impacts caused by the COVID-19 pandemic would present a new opportunity to understand the installed amounts and emissions (i.e., needs) of halon 1301 from the enduring uses that was never possible before. For example, did emissions change by region or did emissions change in relation to civil aviation flights or flight hours that could be directly attributed to changes in operations owing to the pandemic? The data for the latest estimates of global emissions based on atmospheric abundances though 2020 do not show any significant decrease in halon 1301 emissions during 2020. Since we know that civil aviation flight hours dropped by 60% during the pandemic, this suggested that global emissions for at least 2020 did not correlate well with civil aviation flight operations. In other words, total global emissions do not seem to be dependent on the number or duration of civil aviation flights. This does not necessarily mean that civil aviation is not the cause of some of or even a significant amount of the emissions but rather that a different part of the aviation lifecycle such as fire extinguisher maintenance could be responsible for much of these emissions. The HTOC is awaiting the 2021 data on the estimates of global emissions based on atmospheric abundances and is also working with ICAO, relevant </w:t>
      </w:r>
      <w:r>
        <w:lastRenderedPageBreak/>
        <w:t>companies, and civil aviation NGOs and working groups to better understand not only the magnitude of the emissions but also potentially where in the life cycle these emissions are occurring.</w:t>
      </w:r>
      <w:r w:rsidR="005617DE">
        <w:t xml:space="preserve"> </w:t>
      </w:r>
    </w:p>
    <w:p w14:paraId="60354781" w14:textId="77777777" w:rsidR="00CA3877" w:rsidRDefault="00CA3877" w:rsidP="00CA3877">
      <w:r>
        <w:t>Additionally, the HTOC continues to work cooperatively with the International Maritime Organization (IMO), maritime / merchant shipping NGOs, and other halon 1301 sector experts to understand the implications of these data to update the modelling and estimates for current and projected halon 1301 market in terms of uses, installed base and annual emissions. This remains a significant task for the HTOC and will be reported to the parties as part of its upcoming 2022 Quadrennial Assessment.</w:t>
      </w:r>
    </w:p>
    <w:p w14:paraId="770505FD" w14:textId="5A161405" w:rsidR="00CA3877" w:rsidRPr="000C2DE2" w:rsidRDefault="000C2DE2" w:rsidP="003E4636">
      <w:pPr>
        <w:pStyle w:val="Heading2"/>
        <w:rPr>
          <w:rStyle w:val="Heading2Char"/>
          <w:rFonts w:cs="Times New Roman"/>
          <w:b/>
          <w:snapToGrid w:val="0"/>
          <w:szCs w:val="20"/>
        </w:rPr>
      </w:pPr>
      <w:bookmarkStart w:id="262" w:name="_Toc104396682"/>
      <w:r w:rsidRPr="00B710A8">
        <w:rPr>
          <w:rStyle w:val="Heading2Char"/>
          <w:b/>
        </w:rPr>
        <w:t>4.1</w:t>
      </w:r>
      <w:r w:rsidRPr="00B710A8">
        <w:rPr>
          <w:rStyle w:val="Heading2Char"/>
          <w:b/>
        </w:rPr>
        <w:tab/>
      </w:r>
      <w:r w:rsidR="00CA3877" w:rsidRPr="000C2DE2">
        <w:rPr>
          <w:rStyle w:val="Heading2Char"/>
          <w:b/>
        </w:rPr>
        <w:t>Global Halon 1301 Emissions</w:t>
      </w:r>
      <w:bookmarkEnd w:id="262"/>
    </w:p>
    <w:p w14:paraId="16C3AADB" w14:textId="2D4CEE7B" w:rsidR="00CA3877" w:rsidRDefault="00CA3877" w:rsidP="00CA3877">
      <w:r w:rsidRPr="00881323">
        <w:t>There are two approaches that are provided in the HTOC Assessment reports on estimating halon 1301 emissions: (1) the HTOC model (in grey in Fig</w:t>
      </w:r>
      <w:r w:rsidR="00C7675C">
        <w:t>ure</w:t>
      </w:r>
      <w:r w:rsidRPr="00881323">
        <w:t xml:space="preserve"> </w:t>
      </w:r>
      <w:r w:rsidR="00B710A8">
        <w:t>4.</w:t>
      </w:r>
      <w:r>
        <w:t>2</w:t>
      </w:r>
      <w:r w:rsidRPr="00881323">
        <w:t xml:space="preserve">), and (2) estimates derived from measured atmospheric abundances combined with its atmospheric lifetime (the blue </w:t>
      </w:r>
      <w:r>
        <w:t xml:space="preserve">data </w:t>
      </w:r>
      <w:r w:rsidRPr="00881323">
        <w:t>in Fig</w:t>
      </w:r>
      <w:r w:rsidR="00C7675C">
        <w:t>ure</w:t>
      </w:r>
      <w:r w:rsidRPr="00881323">
        <w:t xml:space="preserve"> </w:t>
      </w:r>
      <w:r w:rsidR="00B710A8">
        <w:t>4.</w:t>
      </w:r>
      <w:r>
        <w:t>2</w:t>
      </w:r>
      <w:r w:rsidRPr="00881323">
        <w:t>).</w:t>
      </w:r>
      <w:r w:rsidR="005617DE">
        <w:t xml:space="preserve"> </w:t>
      </w:r>
    </w:p>
    <w:p w14:paraId="6B7E556B" w14:textId="77777777" w:rsidR="00CA3877" w:rsidRDefault="00CA3877" w:rsidP="00CA3877">
      <w:r>
        <w:rPr>
          <w:noProof/>
          <w:lang w:eastAsia="en-GB"/>
        </w:rPr>
        <w:drawing>
          <wp:inline distT="0" distB="0" distL="0" distR="0" wp14:anchorId="01D722C8" wp14:editId="30D47680">
            <wp:extent cx="5947200" cy="43225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8008" cy="4337631"/>
                    </a:xfrm>
                    <a:prstGeom prst="rect">
                      <a:avLst/>
                    </a:prstGeom>
                    <a:noFill/>
                  </pic:spPr>
                </pic:pic>
              </a:graphicData>
            </a:graphic>
          </wp:inline>
        </w:drawing>
      </w:r>
    </w:p>
    <w:p w14:paraId="689FDD1C" w14:textId="217F3AE6" w:rsidR="00CA3877" w:rsidRPr="004A7226" w:rsidRDefault="00CA3877" w:rsidP="00CA3877">
      <w:pPr>
        <w:jc w:val="center"/>
        <w:rPr>
          <w:b/>
        </w:rPr>
      </w:pPr>
      <w:r w:rsidRPr="004A7226">
        <w:rPr>
          <w:b/>
        </w:rPr>
        <w:t>Fig</w:t>
      </w:r>
      <w:r w:rsidR="00B710A8">
        <w:rPr>
          <w:b/>
        </w:rPr>
        <w:t>.</w:t>
      </w:r>
      <w:r w:rsidRPr="004A7226">
        <w:rPr>
          <w:b/>
        </w:rPr>
        <w:t xml:space="preserve"> </w:t>
      </w:r>
      <w:r w:rsidR="00B710A8">
        <w:rPr>
          <w:b/>
        </w:rPr>
        <w:t>4.</w:t>
      </w:r>
      <w:r w:rsidRPr="004A7226">
        <w:rPr>
          <w:b/>
        </w:rPr>
        <w:t>2.</w:t>
      </w:r>
      <w:r w:rsidR="005617DE">
        <w:rPr>
          <w:b/>
        </w:rPr>
        <w:t xml:space="preserve"> </w:t>
      </w:r>
      <w:r w:rsidRPr="004A7226">
        <w:rPr>
          <w:b/>
        </w:rPr>
        <w:t xml:space="preserve">Comparison of halon 1301 emissions from the HTOC model </w:t>
      </w:r>
      <w:r>
        <w:rPr>
          <w:b/>
        </w:rPr>
        <w:br/>
      </w:r>
      <w:r w:rsidRPr="004A7226">
        <w:rPr>
          <w:b/>
        </w:rPr>
        <w:t xml:space="preserve">versus the latest estimates derived from atmospheric abundances </w:t>
      </w:r>
    </w:p>
    <w:p w14:paraId="02CDE8A5" w14:textId="77777777" w:rsidR="00487BF9" w:rsidRDefault="00CA3877" w:rsidP="00B865BA">
      <w:r w:rsidRPr="000C2DE2">
        <w:t>In general, the agreement between the two approaches is remarkably good. However, there have been two recent periods where the emissions estimated from atmospheric measurements are higher than the HTOC modelled emissions, indicated by the blue and orange circles. The first is from about 2010 to 2016, and the second from about 2018 to 2020.</w:t>
      </w:r>
      <w:r w:rsidR="005617DE">
        <w:t xml:space="preserve"> </w:t>
      </w:r>
      <w:r w:rsidRPr="000C2DE2">
        <w:t>The HTOC is concerned about these discrepancies because any “additional” halon 1301 emissions over those estimated by the HTOC model would decrease the size of the global halon bank estimated by the HTOC and therefore would reduce the estimated amount of halon that will be available to support enduring uses.</w:t>
      </w:r>
      <w:r w:rsidR="005617DE">
        <w:t xml:space="preserve"> </w:t>
      </w:r>
      <w:r w:rsidRPr="000C2DE2">
        <w:t xml:space="preserve">The HTOC is continuing to </w:t>
      </w:r>
      <w:r w:rsidRPr="000C2DE2">
        <w:lastRenderedPageBreak/>
        <w:t>work with atmospheric scientists from the Advanced Global Atmospheric Gases Experiment (AGAGE) network to determine if additional data analysis can provide any insight into these “additional” emissions.</w:t>
      </w:r>
    </w:p>
    <w:p w14:paraId="3062AD53" w14:textId="77777777" w:rsidR="00487BF9" w:rsidRDefault="00487BF9" w:rsidP="00B865BA">
      <w:pPr>
        <w:rPr>
          <w:rStyle w:val="Heading1Char2"/>
          <w:rFonts w:ascii="Times New Roman" w:hAnsi="Times New Roman"/>
        </w:rPr>
        <w:sectPr w:rsidR="00487BF9" w:rsidSect="00944FC9">
          <w:type w:val="oddPage"/>
          <w:pgSz w:w="11906" w:h="16838"/>
          <w:pgMar w:top="1440" w:right="1440" w:bottom="1440" w:left="1440" w:header="708" w:footer="708" w:gutter="0"/>
          <w:cols w:space="720"/>
        </w:sectPr>
      </w:pPr>
    </w:p>
    <w:p w14:paraId="4EB846F4" w14:textId="77777777" w:rsidR="002800E0" w:rsidRDefault="00A768E1" w:rsidP="00BA0312">
      <w:pPr>
        <w:pStyle w:val="Heading1"/>
        <w:rPr>
          <w:rStyle w:val="Heading1Char2"/>
          <w:rFonts w:ascii="Times New Roman" w:hAnsi="Times New Roman"/>
        </w:rPr>
      </w:pPr>
      <w:bookmarkStart w:id="263" w:name="_Toc104396683"/>
      <w:r>
        <w:rPr>
          <w:rStyle w:val="Heading1Char2"/>
          <w:rFonts w:ascii="Times New Roman" w:hAnsi="Times New Roman"/>
        </w:rPr>
        <w:lastRenderedPageBreak/>
        <w:t>5</w:t>
      </w:r>
      <w:r>
        <w:rPr>
          <w:rStyle w:val="Heading1Char2"/>
          <w:rFonts w:ascii="Times New Roman" w:hAnsi="Times New Roman"/>
        </w:rPr>
        <w:tab/>
      </w:r>
      <w:r w:rsidR="00591AA8" w:rsidRPr="00D23986">
        <w:rPr>
          <w:rStyle w:val="Heading1Char2"/>
          <w:rFonts w:ascii="Times New Roman" w:hAnsi="Times New Roman"/>
        </w:rPr>
        <w:t>Methyl Bromide TOC (MBTOC) Progress Report</w:t>
      </w:r>
      <w:bookmarkEnd w:id="220"/>
      <w:bookmarkEnd w:id="221"/>
      <w:bookmarkEnd w:id="222"/>
      <w:bookmarkEnd w:id="223"/>
      <w:bookmarkEnd w:id="229"/>
      <w:bookmarkEnd w:id="230"/>
      <w:bookmarkEnd w:id="231"/>
      <w:bookmarkEnd w:id="259"/>
      <w:bookmarkEnd w:id="260"/>
      <w:bookmarkEnd w:id="261"/>
      <w:bookmarkEnd w:id="263"/>
      <w:r w:rsidR="00591AA8" w:rsidRPr="00D23986">
        <w:rPr>
          <w:rStyle w:val="Heading1Char2"/>
          <w:rFonts w:ascii="Times New Roman" w:hAnsi="Times New Roman"/>
        </w:rPr>
        <w:t xml:space="preserve"> </w:t>
      </w:r>
    </w:p>
    <w:p w14:paraId="50EE3111" w14:textId="5E887BE6" w:rsidR="00944FC9" w:rsidRDefault="00944FC9" w:rsidP="00944FC9">
      <w:pPr>
        <w:rPr>
          <w:szCs w:val="22"/>
        </w:rPr>
      </w:pPr>
      <w:bookmarkStart w:id="264" w:name="_Hlk40622781"/>
      <w:bookmarkStart w:id="265" w:name="_Toc484164349"/>
      <w:bookmarkStart w:id="266" w:name="_Toc40190274"/>
      <w:bookmarkStart w:id="267" w:name="_Toc40696074"/>
      <w:bookmarkStart w:id="268" w:name="_Toc77770763"/>
      <w:bookmarkStart w:id="269" w:name="_Toc77868907"/>
      <w:bookmarkStart w:id="270" w:name="_Toc78040740"/>
      <w:bookmarkStart w:id="271" w:name="_Toc79066546"/>
      <w:bookmarkStart w:id="272" w:name="_Toc388648365"/>
      <w:bookmarkStart w:id="273" w:name="_Toc295406142"/>
      <w:bookmarkStart w:id="274" w:name="_Toc514151663"/>
      <w:bookmarkStart w:id="275" w:name="_Toc9109590"/>
      <w:bookmarkStart w:id="276" w:name="_Toc40696092"/>
      <w:bookmarkStart w:id="277" w:name="_Toc230592156"/>
      <w:bookmarkEnd w:id="224"/>
      <w:bookmarkEnd w:id="225"/>
      <w:bookmarkEnd w:id="226"/>
      <w:r w:rsidRPr="00C5322F">
        <w:rPr>
          <w:szCs w:val="22"/>
        </w:rPr>
        <w:t>The May 202</w:t>
      </w:r>
      <w:r>
        <w:rPr>
          <w:szCs w:val="22"/>
        </w:rPr>
        <w:t>2</w:t>
      </w:r>
      <w:r w:rsidRPr="00C5322F">
        <w:rPr>
          <w:szCs w:val="22"/>
        </w:rPr>
        <w:t xml:space="preserve"> MBTOC Progress Report provides an overview on the production and consumption of MB for both controlled and exempted (QPS) uses and </w:t>
      </w:r>
      <w:r>
        <w:rPr>
          <w:szCs w:val="22"/>
        </w:rPr>
        <w:t>a summary of</w:t>
      </w:r>
      <w:r w:rsidRPr="00C5322F">
        <w:rPr>
          <w:szCs w:val="22"/>
        </w:rPr>
        <w:t xml:space="preserve"> MB alternatives </w:t>
      </w:r>
      <w:r>
        <w:rPr>
          <w:szCs w:val="22"/>
        </w:rPr>
        <w:t>developed for</w:t>
      </w:r>
      <w:r w:rsidRPr="00C5322F">
        <w:rPr>
          <w:szCs w:val="22"/>
        </w:rPr>
        <w:t xml:space="preserve"> sectors for which critical uses have been nominated this year for use in 202</w:t>
      </w:r>
      <w:r w:rsidR="008C1373">
        <w:rPr>
          <w:szCs w:val="22"/>
        </w:rPr>
        <w:t>3</w:t>
      </w:r>
      <w:r w:rsidRPr="00C5322F">
        <w:rPr>
          <w:szCs w:val="22"/>
        </w:rPr>
        <w:t xml:space="preserve"> or 202</w:t>
      </w:r>
      <w:r w:rsidR="008C1373">
        <w:rPr>
          <w:szCs w:val="22"/>
        </w:rPr>
        <w:t>4</w:t>
      </w:r>
      <w:r w:rsidRPr="00C5322F">
        <w:rPr>
          <w:szCs w:val="22"/>
        </w:rPr>
        <w:t xml:space="preserve">. </w:t>
      </w:r>
    </w:p>
    <w:p w14:paraId="2EBE3DD2" w14:textId="77777777" w:rsidR="00944FC9" w:rsidRDefault="00944FC9" w:rsidP="00944FC9">
      <w:pPr>
        <w:contextualSpacing/>
      </w:pPr>
      <w:r w:rsidRPr="00C5322F">
        <w:rPr>
          <w:szCs w:val="22"/>
        </w:rPr>
        <w:t xml:space="preserve">Recent research on alternatives to QPS uses of MB and the trend in atmospheric emissions of MB is also presented. </w:t>
      </w:r>
      <w:r w:rsidRPr="00CA0424">
        <w:t xml:space="preserve">MBTOC considers </w:t>
      </w:r>
      <w:r>
        <w:t xml:space="preserve">that </w:t>
      </w:r>
      <w:r w:rsidRPr="00CA0424">
        <w:t xml:space="preserve">accurate reporting and determination of </w:t>
      </w:r>
      <w:r>
        <w:t xml:space="preserve">the correct </w:t>
      </w:r>
      <w:r w:rsidRPr="00CA0424">
        <w:t>categories of use</w:t>
      </w:r>
      <w:r>
        <w:t>s of MB for Q and PS</w:t>
      </w:r>
      <w:r w:rsidRPr="00CA0424">
        <w:t xml:space="preserve"> </w:t>
      </w:r>
      <w:r>
        <w:t>are</w:t>
      </w:r>
      <w:r w:rsidRPr="00CA0424">
        <w:t xml:space="preserve"> </w:t>
      </w:r>
      <w:r>
        <w:t xml:space="preserve">critically </w:t>
      </w:r>
      <w:r w:rsidRPr="00CA0424">
        <w:t xml:space="preserve">important to assist </w:t>
      </w:r>
      <w:r>
        <w:t xml:space="preserve">the parties understanding of these uses and for the </w:t>
      </w:r>
      <w:r w:rsidRPr="00CA0424">
        <w:t xml:space="preserve">future development and adoption of alternatives </w:t>
      </w:r>
      <w:r>
        <w:t>around the world for these uses</w:t>
      </w:r>
      <w:r w:rsidRPr="00CA0424">
        <w:t xml:space="preserve">. </w:t>
      </w:r>
    </w:p>
    <w:p w14:paraId="53567FD9" w14:textId="77777777" w:rsidR="00944FC9" w:rsidRDefault="00944FC9" w:rsidP="00944FC9">
      <w:pPr>
        <w:contextualSpacing/>
      </w:pPr>
    </w:p>
    <w:p w14:paraId="38738A83" w14:textId="324C169D" w:rsidR="00944FC9" w:rsidRPr="003C2753" w:rsidRDefault="00944FC9" w:rsidP="00944FC9">
      <w:pPr>
        <w:contextualSpacing/>
      </w:pPr>
      <w:r>
        <w:t xml:space="preserve">A brief overview of the situation with the use and adoption </w:t>
      </w:r>
      <w:r w:rsidRPr="0042399A">
        <w:t>of re-capture/</w:t>
      </w:r>
      <w:r w:rsidRPr="00ED4A67">
        <w:t>recycl</w:t>
      </w:r>
      <w:r w:rsidRPr="006F22A3">
        <w:t>ing</w:t>
      </w:r>
      <w:r w:rsidRPr="00170575">
        <w:t xml:space="preserve"> of MB for QPS </w:t>
      </w:r>
      <w:r>
        <w:t xml:space="preserve">uses </w:t>
      </w:r>
      <w:r w:rsidRPr="00170575">
        <w:t xml:space="preserve">in different sectors and regions </w:t>
      </w:r>
      <w:r>
        <w:t>is also presented.</w:t>
      </w:r>
      <w:r w:rsidR="005617DE">
        <w:t xml:space="preserve"> </w:t>
      </w:r>
      <w:r>
        <w:t xml:space="preserve">In the absence of phase out of MB, this technology is considered essential to adopt in order to </w:t>
      </w:r>
      <w:r w:rsidRPr="00170575">
        <w:t xml:space="preserve">reduce emissions </w:t>
      </w:r>
      <w:r>
        <w:t>from MB use without damaging the</w:t>
      </w:r>
      <w:r w:rsidRPr="00170575">
        <w:t xml:space="preserve"> ozone layer.</w:t>
      </w:r>
    </w:p>
    <w:p w14:paraId="4395A5E5" w14:textId="77777777" w:rsidR="00944FC9" w:rsidRPr="00CA5EE8" w:rsidRDefault="00944FC9" w:rsidP="00944FC9">
      <w:pPr>
        <w:rPr>
          <w:szCs w:val="22"/>
        </w:rPr>
      </w:pPr>
      <w:r>
        <w:rPr>
          <w:szCs w:val="22"/>
        </w:rPr>
        <w:br/>
      </w:r>
      <w:r w:rsidRPr="00C5322F">
        <w:rPr>
          <w:szCs w:val="22"/>
        </w:rPr>
        <w:t xml:space="preserve">An update on the collaboration between </w:t>
      </w:r>
      <w:r>
        <w:rPr>
          <w:szCs w:val="22"/>
        </w:rPr>
        <w:t>the International Plant Protection Convention (</w:t>
      </w:r>
      <w:r w:rsidRPr="00C5322F">
        <w:rPr>
          <w:szCs w:val="22"/>
        </w:rPr>
        <w:t>IPPC</w:t>
      </w:r>
      <w:r>
        <w:rPr>
          <w:szCs w:val="22"/>
        </w:rPr>
        <w:t>)</w:t>
      </w:r>
      <w:r w:rsidRPr="00C5322F">
        <w:rPr>
          <w:szCs w:val="22"/>
        </w:rPr>
        <w:t xml:space="preserve"> and MBTO</w:t>
      </w:r>
      <w:r>
        <w:rPr>
          <w:szCs w:val="22"/>
        </w:rPr>
        <w:t>C</w:t>
      </w:r>
      <w:r w:rsidRPr="00C5322F">
        <w:rPr>
          <w:szCs w:val="22"/>
        </w:rPr>
        <w:t xml:space="preserve">, plus some remaining challenges associated </w:t>
      </w:r>
      <w:r>
        <w:rPr>
          <w:szCs w:val="22"/>
        </w:rPr>
        <w:t>with</w:t>
      </w:r>
      <w:r w:rsidRPr="00C5322F">
        <w:rPr>
          <w:szCs w:val="22"/>
        </w:rPr>
        <w:t xml:space="preserve"> MB use and phase-out are</w:t>
      </w:r>
      <w:r>
        <w:rPr>
          <w:szCs w:val="22"/>
        </w:rPr>
        <w:t xml:space="preserve"> </w:t>
      </w:r>
      <w:r w:rsidRPr="00C5322F">
        <w:rPr>
          <w:szCs w:val="22"/>
        </w:rPr>
        <w:t>discussed.</w:t>
      </w:r>
    </w:p>
    <w:p w14:paraId="5F0A2804" w14:textId="1215F98D" w:rsidR="00944FC9" w:rsidRPr="00EA7839" w:rsidRDefault="00944FC9" w:rsidP="003E4636">
      <w:pPr>
        <w:pStyle w:val="Heading2"/>
        <w:rPr>
          <w:rStyle w:val="Heading2Char"/>
          <w:rFonts w:cs="Times New Roman"/>
          <w:b/>
          <w:snapToGrid w:val="0"/>
          <w:szCs w:val="20"/>
        </w:rPr>
      </w:pPr>
      <w:bookmarkStart w:id="278" w:name="_Toc34276787"/>
      <w:bookmarkStart w:id="279" w:name="_Toc34363012"/>
      <w:bookmarkStart w:id="280" w:name="_Toc38555027"/>
      <w:bookmarkStart w:id="281" w:name="_Toc39926362"/>
      <w:bookmarkStart w:id="282" w:name="_Toc40696044"/>
      <w:bookmarkStart w:id="283" w:name="_Toc77868873"/>
      <w:bookmarkStart w:id="284" w:name="_Toc78040719"/>
      <w:bookmarkStart w:id="285" w:name="_Toc79066525"/>
      <w:bookmarkStart w:id="286" w:name="_Toc79069702"/>
      <w:bookmarkStart w:id="287" w:name="_Toc104396684"/>
      <w:bookmarkEnd w:id="264"/>
      <w:r>
        <w:rPr>
          <w:rStyle w:val="Heading2Char"/>
          <w:b/>
        </w:rPr>
        <w:t>5</w:t>
      </w:r>
      <w:r w:rsidRPr="00EA7839">
        <w:rPr>
          <w:rStyle w:val="Heading2Char"/>
          <w:b/>
        </w:rPr>
        <w:t xml:space="preserve">.1 </w:t>
      </w:r>
      <w:r w:rsidRPr="00EA7839">
        <w:rPr>
          <w:rStyle w:val="Heading2Char"/>
          <w:b/>
        </w:rPr>
        <w:tab/>
        <w:t xml:space="preserve">Global MB </w:t>
      </w:r>
      <w:bookmarkEnd w:id="278"/>
      <w:bookmarkEnd w:id="279"/>
      <w:bookmarkEnd w:id="280"/>
      <w:bookmarkEnd w:id="281"/>
      <w:r w:rsidRPr="00EA7839">
        <w:rPr>
          <w:rStyle w:val="Heading2Char"/>
          <w:b/>
        </w:rPr>
        <w:t>production and consumption</w:t>
      </w:r>
      <w:bookmarkEnd w:id="282"/>
      <w:bookmarkEnd w:id="283"/>
      <w:bookmarkEnd w:id="284"/>
      <w:bookmarkEnd w:id="285"/>
      <w:bookmarkEnd w:id="286"/>
      <w:bookmarkEnd w:id="287"/>
    </w:p>
    <w:p w14:paraId="6970A5A9" w14:textId="7013413B" w:rsidR="00944FC9" w:rsidRPr="00E537F1" w:rsidRDefault="00944FC9" w:rsidP="003E4636">
      <w:pPr>
        <w:pStyle w:val="Heading2"/>
        <w:rPr>
          <w:rStyle w:val="Heading311ptBoldChar"/>
          <w:b/>
          <w:sz w:val="24"/>
        </w:rPr>
      </w:pPr>
      <w:bookmarkStart w:id="288" w:name="_Toc39926363"/>
      <w:bookmarkStart w:id="289" w:name="_Toc40696045"/>
      <w:bookmarkStart w:id="290" w:name="_Toc77868874"/>
      <w:bookmarkStart w:id="291" w:name="_Toc78040720"/>
      <w:bookmarkStart w:id="292" w:name="_Toc79066526"/>
      <w:bookmarkStart w:id="293" w:name="_Toc79069703"/>
      <w:bookmarkStart w:id="294" w:name="_Toc104396685"/>
      <w:r w:rsidRPr="00E537F1">
        <w:rPr>
          <w:rStyle w:val="Heading311ptBoldChar"/>
          <w:b/>
          <w:sz w:val="24"/>
        </w:rPr>
        <w:t>5.1.1</w:t>
      </w:r>
      <w:r w:rsidRPr="00E537F1">
        <w:rPr>
          <w:rStyle w:val="Heading311ptBoldChar"/>
          <w:b/>
          <w:sz w:val="24"/>
        </w:rPr>
        <w:tab/>
      </w:r>
      <w:bookmarkEnd w:id="288"/>
      <w:r w:rsidRPr="00E537F1">
        <w:rPr>
          <w:rStyle w:val="Heading311ptBoldChar"/>
          <w:b/>
          <w:sz w:val="24"/>
        </w:rPr>
        <w:t>Controlled uses</w:t>
      </w:r>
      <w:bookmarkEnd w:id="289"/>
      <w:bookmarkEnd w:id="290"/>
      <w:bookmarkEnd w:id="291"/>
      <w:bookmarkEnd w:id="292"/>
      <w:bookmarkEnd w:id="293"/>
      <w:bookmarkEnd w:id="294"/>
    </w:p>
    <w:p w14:paraId="21902834" w14:textId="366A133D" w:rsidR="00944FC9" w:rsidRPr="00DC6357" w:rsidRDefault="00944FC9" w:rsidP="00944FC9">
      <w:pPr>
        <w:rPr>
          <w:i/>
          <w:iCs/>
          <w:szCs w:val="22"/>
        </w:rPr>
      </w:pPr>
      <w:r w:rsidRPr="00CF5B44">
        <w:rPr>
          <w:b/>
          <w:i/>
          <w:iCs/>
          <w:szCs w:val="22"/>
        </w:rPr>
        <w:t>Production</w:t>
      </w:r>
      <w:r>
        <w:rPr>
          <w:i/>
          <w:iCs/>
          <w:szCs w:val="22"/>
        </w:rPr>
        <w:br/>
      </w:r>
      <w:r>
        <w:rPr>
          <w:szCs w:val="22"/>
        </w:rPr>
        <w:t>In the past decade, four parties have reported p</w:t>
      </w:r>
      <w:r w:rsidRPr="00873713">
        <w:rPr>
          <w:szCs w:val="22"/>
        </w:rPr>
        <w:t>roduction</w:t>
      </w:r>
      <w:r w:rsidRPr="00C5322F">
        <w:rPr>
          <w:szCs w:val="22"/>
        </w:rPr>
        <w:t xml:space="preserve"> of MB for controlled uses: China, Israel</w:t>
      </w:r>
      <w:r>
        <w:rPr>
          <w:szCs w:val="22"/>
        </w:rPr>
        <w:t>, Japan</w:t>
      </w:r>
      <w:r w:rsidR="002C0D7B" w:rsidRPr="002C0D7B">
        <w:rPr>
          <w:szCs w:val="22"/>
        </w:rPr>
        <w:t>,</w:t>
      </w:r>
      <w:r w:rsidRPr="00C5322F">
        <w:rPr>
          <w:szCs w:val="22"/>
        </w:rPr>
        <w:t xml:space="preserve"> and the United States. </w:t>
      </w:r>
      <w:r>
        <w:rPr>
          <w:szCs w:val="22"/>
        </w:rPr>
        <w:t xml:space="preserve">Japan has not reported production since 2014 and China has not reported since 2018. </w:t>
      </w:r>
      <w:r w:rsidRPr="00C5322F">
        <w:rPr>
          <w:szCs w:val="22"/>
        </w:rPr>
        <w:t>In 20</w:t>
      </w:r>
      <w:r>
        <w:rPr>
          <w:szCs w:val="22"/>
        </w:rPr>
        <w:t xml:space="preserve">20, </w:t>
      </w:r>
      <w:r w:rsidRPr="00B01434">
        <w:rPr>
          <w:szCs w:val="22"/>
        </w:rPr>
        <w:t xml:space="preserve">Israel reported </w:t>
      </w:r>
      <w:r w:rsidRPr="00B02B89">
        <w:rPr>
          <w:szCs w:val="22"/>
        </w:rPr>
        <w:t>a negative amount of -68.8 tonnes (i.e., zero production; exports taken from stockpiles) and the US reported production of MB for controlled uses of 6.83 tonnes</w:t>
      </w:r>
      <w:r>
        <w:rPr>
          <w:szCs w:val="22"/>
        </w:rPr>
        <w:t xml:space="preserve"> that same year (2020)</w:t>
      </w:r>
      <w:r w:rsidRPr="00905ABD">
        <w:rPr>
          <w:szCs w:val="22"/>
        </w:rPr>
        <w:t>.</w:t>
      </w:r>
    </w:p>
    <w:p w14:paraId="32630445" w14:textId="5CA25F96" w:rsidR="00944FC9" w:rsidRPr="00CF5B44" w:rsidRDefault="00944FC9" w:rsidP="00944FC9">
      <w:pPr>
        <w:pStyle w:val="Style15"/>
        <w:rPr>
          <w:i/>
          <w:iCs/>
          <w:sz w:val="22"/>
          <w:szCs w:val="22"/>
        </w:rPr>
      </w:pPr>
      <w:r w:rsidRPr="00CF5B44">
        <w:rPr>
          <w:i/>
          <w:iCs/>
          <w:sz w:val="22"/>
          <w:szCs w:val="22"/>
        </w:rPr>
        <w:t>Consumption</w:t>
      </w:r>
    </w:p>
    <w:p w14:paraId="6A96D77E" w14:textId="77777777" w:rsidR="002C0D7B" w:rsidRPr="002C0D7B" w:rsidRDefault="00944FC9" w:rsidP="00944FC9">
      <w:pPr>
        <w:rPr>
          <w:szCs w:val="22"/>
        </w:rPr>
      </w:pPr>
      <w:r w:rsidRPr="00B02B89">
        <w:rPr>
          <w:szCs w:val="22"/>
        </w:rPr>
        <w:t xml:space="preserve">In 2020, </w:t>
      </w:r>
      <w:r>
        <w:rPr>
          <w:szCs w:val="22"/>
        </w:rPr>
        <w:t xml:space="preserve">reported </w:t>
      </w:r>
      <w:r w:rsidRPr="00B02B89">
        <w:rPr>
          <w:szCs w:val="22"/>
        </w:rPr>
        <w:t xml:space="preserve">MB consumption for controlled uses was 69 tonnes. This matches with amounts granted under the Critical Use Exemption (CUE) by the MOP (A5 parties 35.7 tonnes; non-A5 parties 33.3 tonnes) and is a significant reduction from </w:t>
      </w:r>
      <w:r>
        <w:rPr>
          <w:szCs w:val="22"/>
        </w:rPr>
        <w:t>the</w:t>
      </w:r>
      <w:r w:rsidRPr="00B02B89">
        <w:rPr>
          <w:szCs w:val="22"/>
        </w:rPr>
        <w:t xml:space="preserve">116 tonnes </w:t>
      </w:r>
      <w:r>
        <w:rPr>
          <w:szCs w:val="22"/>
        </w:rPr>
        <w:t xml:space="preserve">consumed </w:t>
      </w:r>
      <w:r w:rsidRPr="00B02B89">
        <w:rPr>
          <w:szCs w:val="22"/>
        </w:rPr>
        <w:t xml:space="preserve">in 2019. In addition, MB </w:t>
      </w:r>
      <w:r>
        <w:rPr>
          <w:szCs w:val="22"/>
        </w:rPr>
        <w:t xml:space="preserve">amounts drawn </w:t>
      </w:r>
      <w:r w:rsidRPr="00B02B89">
        <w:rPr>
          <w:szCs w:val="22"/>
        </w:rPr>
        <w:t xml:space="preserve">from stockpiles and exported to A5 parties in 2020 </w:t>
      </w:r>
      <w:r>
        <w:rPr>
          <w:szCs w:val="22"/>
        </w:rPr>
        <w:t xml:space="preserve">were reported </w:t>
      </w:r>
      <w:r w:rsidRPr="00B02B89">
        <w:rPr>
          <w:szCs w:val="22"/>
        </w:rPr>
        <w:t>by EU</w:t>
      </w:r>
      <w:r>
        <w:rPr>
          <w:szCs w:val="22"/>
        </w:rPr>
        <w:t xml:space="preserve"> of</w:t>
      </w:r>
      <w:r w:rsidRPr="00B02B89">
        <w:rPr>
          <w:szCs w:val="22"/>
        </w:rPr>
        <w:t xml:space="preserve"> </w:t>
      </w:r>
      <w:r>
        <w:rPr>
          <w:szCs w:val="22"/>
        </w:rPr>
        <w:t>-</w:t>
      </w:r>
      <w:r w:rsidRPr="00B02B89">
        <w:rPr>
          <w:szCs w:val="22"/>
        </w:rPr>
        <w:t xml:space="preserve"> 6.2 tonnes, by Israel </w:t>
      </w:r>
      <w:r>
        <w:rPr>
          <w:szCs w:val="22"/>
        </w:rPr>
        <w:t>-</w:t>
      </w:r>
      <w:r w:rsidRPr="00B02B89">
        <w:rPr>
          <w:szCs w:val="22"/>
        </w:rPr>
        <w:t xml:space="preserve"> 68.8 tonnes and the United States </w:t>
      </w:r>
      <w:r>
        <w:rPr>
          <w:szCs w:val="22"/>
        </w:rPr>
        <w:t>-</w:t>
      </w:r>
      <w:r w:rsidRPr="00B02B89">
        <w:rPr>
          <w:szCs w:val="22"/>
        </w:rPr>
        <w:t xml:space="preserve"> 19.2 tonnes</w:t>
      </w:r>
      <w:r>
        <w:rPr>
          <w:szCs w:val="22"/>
        </w:rPr>
        <w:t>. (Negative values result from such amounts being exported, i.e.</w:t>
      </w:r>
      <w:r w:rsidR="002C0D7B" w:rsidRPr="002C0D7B">
        <w:rPr>
          <w:szCs w:val="22"/>
        </w:rPr>
        <w:t>,</w:t>
      </w:r>
      <w:r>
        <w:rPr>
          <w:szCs w:val="22"/>
        </w:rPr>
        <w:t xml:space="preserve"> not consumed domestically)</w:t>
      </w:r>
      <w:r w:rsidR="002C0D7B" w:rsidRPr="002C0D7B">
        <w:rPr>
          <w:szCs w:val="22"/>
        </w:rPr>
        <w:t xml:space="preserve"> </w:t>
      </w:r>
    </w:p>
    <w:p w14:paraId="07B65DBE" w14:textId="37D5F389" w:rsidR="00944FC9" w:rsidRPr="00C5322F" w:rsidRDefault="00944FC9" w:rsidP="00944FC9">
      <w:pPr>
        <w:jc w:val="both"/>
        <w:rPr>
          <w:szCs w:val="22"/>
        </w:rPr>
      </w:pPr>
      <w:r w:rsidRPr="00B02B89">
        <w:rPr>
          <w:szCs w:val="22"/>
        </w:rPr>
        <w:t xml:space="preserve">Phase-out of the remaining controlled uses of MB has continued under the CUE process; in 2022 only three parties requested CUNs. This reflects successful adoption of alternatives in the vast majority of sectors where MB was once used, both as a soil fumigant and as a postharvest or structural treatment (or re-categorisation to QPS by one party). </w:t>
      </w:r>
    </w:p>
    <w:p w14:paraId="7A3705C1" w14:textId="447D667B" w:rsidR="00944FC9" w:rsidRPr="00DC6357" w:rsidRDefault="00944FC9" w:rsidP="00944FC9">
      <w:pPr>
        <w:jc w:val="both"/>
        <w:rPr>
          <w:szCs w:val="22"/>
        </w:rPr>
      </w:pPr>
      <w:r w:rsidRPr="00C5322F">
        <w:rPr>
          <w:szCs w:val="22"/>
        </w:rPr>
        <w:t>In some A5 parties, it is possible that</w:t>
      </w:r>
      <w:r>
        <w:rPr>
          <w:szCs w:val="22"/>
        </w:rPr>
        <w:t xml:space="preserve"> continuing controlled</w:t>
      </w:r>
      <w:r w:rsidRPr="00C5322F">
        <w:rPr>
          <w:szCs w:val="22"/>
        </w:rPr>
        <w:t xml:space="preserve"> critical uses may be being supplied from an estimated 1,</w:t>
      </w:r>
      <w:r w:rsidR="008C1373">
        <w:rPr>
          <w:szCs w:val="22"/>
        </w:rPr>
        <w:t>2</w:t>
      </w:r>
      <w:r w:rsidRPr="00C5322F">
        <w:rPr>
          <w:szCs w:val="22"/>
        </w:rPr>
        <w:t>00 tonnes of stocks (presumably pre-2015</w:t>
      </w:r>
      <w:r>
        <w:rPr>
          <w:szCs w:val="22"/>
        </w:rPr>
        <w:t xml:space="preserve"> stocks</w:t>
      </w:r>
      <w:r w:rsidRPr="00C5322F">
        <w:rPr>
          <w:szCs w:val="22"/>
        </w:rPr>
        <w:t>), instead of making a CUE application.</w:t>
      </w:r>
    </w:p>
    <w:p w14:paraId="2BE4C51C" w14:textId="2DBA5851" w:rsidR="00944FC9" w:rsidRPr="00E537F1" w:rsidRDefault="00944FC9" w:rsidP="003E4636">
      <w:pPr>
        <w:pStyle w:val="Heading2"/>
        <w:rPr>
          <w:rStyle w:val="Heading311ptBoldChar"/>
          <w:rFonts w:cs="Times New Roman"/>
          <w:b/>
          <w:snapToGrid/>
          <w:color w:val="000000"/>
          <w:sz w:val="24"/>
          <w:szCs w:val="20"/>
          <w:lang w:val="en-GB" w:eastAsia="zh-CN"/>
        </w:rPr>
      </w:pPr>
      <w:bookmarkStart w:id="295" w:name="_Toc39926364"/>
      <w:bookmarkStart w:id="296" w:name="_Toc40696046"/>
      <w:bookmarkStart w:id="297" w:name="_Toc77868875"/>
      <w:bookmarkStart w:id="298" w:name="_Toc78040721"/>
      <w:bookmarkStart w:id="299" w:name="_Toc79066527"/>
      <w:bookmarkStart w:id="300" w:name="_Toc79069704"/>
      <w:bookmarkStart w:id="301" w:name="_Toc104396686"/>
      <w:r w:rsidRPr="00E537F1">
        <w:rPr>
          <w:rStyle w:val="Heading311ptBoldChar"/>
          <w:b/>
          <w:sz w:val="24"/>
        </w:rPr>
        <w:t>5.1.2</w:t>
      </w:r>
      <w:r w:rsidRPr="00E537F1">
        <w:rPr>
          <w:rStyle w:val="Heading311ptBoldChar"/>
          <w:b/>
          <w:sz w:val="24"/>
        </w:rPr>
        <w:tab/>
        <w:t>Methyl bromide production and consumption for QPS (exempted uses</w:t>
      </w:r>
      <w:bookmarkEnd w:id="295"/>
      <w:bookmarkEnd w:id="296"/>
      <w:bookmarkEnd w:id="297"/>
      <w:bookmarkEnd w:id="298"/>
      <w:r w:rsidRPr="00E537F1">
        <w:rPr>
          <w:rStyle w:val="Heading311ptBoldChar"/>
          <w:b/>
          <w:sz w:val="24"/>
        </w:rPr>
        <w:t>)</w:t>
      </w:r>
      <w:bookmarkEnd w:id="299"/>
      <w:bookmarkEnd w:id="300"/>
      <w:bookmarkEnd w:id="301"/>
    </w:p>
    <w:p w14:paraId="026A90BA" w14:textId="357D02EF" w:rsidR="00944FC9" w:rsidRPr="00431BFD" w:rsidRDefault="00944FC9" w:rsidP="00944FC9">
      <w:pPr>
        <w:rPr>
          <w:i/>
          <w:iCs/>
        </w:rPr>
      </w:pPr>
      <w:r w:rsidRPr="00CF5B44">
        <w:rPr>
          <w:b/>
          <w:i/>
          <w:iCs/>
        </w:rPr>
        <w:t>Production of MB for QPS</w:t>
      </w:r>
      <w:r>
        <w:rPr>
          <w:i/>
          <w:iCs/>
        </w:rPr>
        <w:br/>
      </w:r>
      <w:r w:rsidRPr="00B02B89">
        <w:rPr>
          <w:szCs w:val="22"/>
        </w:rPr>
        <w:t>Reported world production of MB for QPS amounted to 10,143 metric tonnes in 2020. Five parties, two A5s (China and India) and three non-A5 parties (United States, Israel</w:t>
      </w:r>
      <w:r w:rsidR="002C0D7B" w:rsidRPr="002C0D7B">
        <w:rPr>
          <w:szCs w:val="22"/>
        </w:rPr>
        <w:t>,</w:t>
      </w:r>
      <w:r w:rsidRPr="00B02B89">
        <w:rPr>
          <w:szCs w:val="22"/>
        </w:rPr>
        <w:t xml:space="preserve"> and Japan) currently produce MB for QPS.</w:t>
      </w:r>
      <w:r w:rsidRPr="00C5322F">
        <w:rPr>
          <w:szCs w:val="22"/>
        </w:rPr>
        <w:t xml:space="preserve"> </w:t>
      </w:r>
    </w:p>
    <w:p w14:paraId="4D3EE2F8" w14:textId="5CE6C2CD" w:rsidR="00944FC9" w:rsidRPr="00CF5B44" w:rsidRDefault="00944FC9" w:rsidP="00487BF9">
      <w:pPr>
        <w:pStyle w:val="Style15"/>
        <w:keepNext/>
        <w:rPr>
          <w:bCs/>
          <w:i/>
          <w:sz w:val="22"/>
          <w:szCs w:val="22"/>
        </w:rPr>
      </w:pPr>
      <w:r w:rsidRPr="00CF5B44">
        <w:rPr>
          <w:bCs/>
          <w:i/>
          <w:iCs/>
          <w:sz w:val="22"/>
          <w:szCs w:val="22"/>
        </w:rPr>
        <w:lastRenderedPageBreak/>
        <w:t>Consumption of MB for QPS</w:t>
      </w:r>
    </w:p>
    <w:p w14:paraId="1D825A69" w14:textId="14BECCC4" w:rsidR="00944FC9" w:rsidRDefault="00944FC9" w:rsidP="00944FC9">
      <w:pPr>
        <w:rPr>
          <w:szCs w:val="22"/>
        </w:rPr>
      </w:pPr>
      <w:r w:rsidRPr="00C5322F">
        <w:rPr>
          <w:szCs w:val="22"/>
        </w:rPr>
        <w:t>QPS use</w:t>
      </w:r>
      <w:r>
        <w:rPr>
          <w:szCs w:val="22"/>
        </w:rPr>
        <w:t>s</w:t>
      </w:r>
      <w:r w:rsidRPr="00C5322F">
        <w:rPr>
          <w:szCs w:val="22"/>
        </w:rPr>
        <w:t xml:space="preserve"> </w:t>
      </w:r>
      <w:r>
        <w:rPr>
          <w:szCs w:val="22"/>
        </w:rPr>
        <w:t>continue to far</w:t>
      </w:r>
      <w:r w:rsidRPr="00C5322F">
        <w:rPr>
          <w:szCs w:val="22"/>
        </w:rPr>
        <w:t xml:space="preserve"> exceed the use of MB for controlled uses</w:t>
      </w:r>
      <w:r w:rsidRPr="00E710EF">
        <w:rPr>
          <w:szCs w:val="22"/>
        </w:rPr>
        <w:t xml:space="preserve"> </w:t>
      </w:r>
      <w:r>
        <w:rPr>
          <w:szCs w:val="22"/>
        </w:rPr>
        <w:t xml:space="preserve">and </w:t>
      </w:r>
      <w:r w:rsidRPr="00C5322F">
        <w:rPr>
          <w:szCs w:val="22"/>
        </w:rPr>
        <w:t xml:space="preserve">are now the major anthropogenic contributor of </w:t>
      </w:r>
      <w:r>
        <w:rPr>
          <w:szCs w:val="22"/>
        </w:rPr>
        <w:t>MB</w:t>
      </w:r>
      <w:r w:rsidRPr="00C5322F">
        <w:rPr>
          <w:szCs w:val="22"/>
        </w:rPr>
        <w:t xml:space="preserve"> to the stratosphere. QPS treatments are highly emissive of MB, although some countries are implementing emission reduction technologies. </w:t>
      </w:r>
      <w:r>
        <w:rPr>
          <w:szCs w:val="22"/>
        </w:rPr>
        <w:t>In particular, r</w:t>
      </w:r>
      <w:r w:rsidRPr="00C5322F">
        <w:rPr>
          <w:szCs w:val="22"/>
        </w:rPr>
        <w:t xml:space="preserve">ecapture of MB </w:t>
      </w:r>
      <w:r>
        <w:rPr>
          <w:szCs w:val="22"/>
        </w:rPr>
        <w:t xml:space="preserve">to reduce emissions associated with QPS use </w:t>
      </w:r>
      <w:r w:rsidRPr="00C5322F">
        <w:rPr>
          <w:szCs w:val="22"/>
        </w:rPr>
        <w:t>is increasing in some countries where regulations are driving its adoption (e.g.</w:t>
      </w:r>
      <w:r w:rsidR="002C0D7B" w:rsidRPr="002C0D7B">
        <w:rPr>
          <w:szCs w:val="22"/>
        </w:rPr>
        <w:t>,</w:t>
      </w:r>
      <w:r w:rsidRPr="00C5322F">
        <w:rPr>
          <w:szCs w:val="22"/>
        </w:rPr>
        <w:t xml:space="preserve"> New Zealand).</w:t>
      </w:r>
      <w:r w:rsidR="00B865BA">
        <w:rPr>
          <w:szCs w:val="22"/>
        </w:rPr>
        <w:br/>
      </w:r>
      <w:r>
        <w:rPr>
          <w:szCs w:val="22"/>
        </w:rPr>
        <w:br/>
      </w:r>
      <w:r w:rsidRPr="00C5322F">
        <w:rPr>
          <w:szCs w:val="22"/>
        </w:rPr>
        <w:t xml:space="preserve">Over the last decade, </w:t>
      </w:r>
      <w:r>
        <w:rPr>
          <w:szCs w:val="22"/>
        </w:rPr>
        <w:t>the average</w:t>
      </w:r>
      <w:r w:rsidRPr="00C5322F">
        <w:rPr>
          <w:szCs w:val="22"/>
        </w:rPr>
        <w:t xml:space="preserve"> global </w:t>
      </w:r>
      <w:r w:rsidRPr="004D3766">
        <w:rPr>
          <w:szCs w:val="22"/>
        </w:rPr>
        <w:t>consumption</w:t>
      </w:r>
      <w:r w:rsidRPr="00CF5889">
        <w:rPr>
          <w:szCs w:val="22"/>
        </w:rPr>
        <w:t xml:space="preserve"> </w:t>
      </w:r>
      <w:r w:rsidRPr="00C5322F">
        <w:rPr>
          <w:szCs w:val="22"/>
        </w:rPr>
        <w:t xml:space="preserve">of MB for QPS has remained </w:t>
      </w:r>
      <w:r>
        <w:rPr>
          <w:szCs w:val="22"/>
        </w:rPr>
        <w:t>stable</w:t>
      </w:r>
      <w:r w:rsidRPr="00C5322F">
        <w:rPr>
          <w:szCs w:val="22"/>
        </w:rPr>
        <w:t xml:space="preserve"> at around 10,000 tonnes/year in spite of some parties completely phasing out QPS use of MB (e.g.</w:t>
      </w:r>
      <w:r w:rsidR="002C0D7B" w:rsidRPr="002C0D7B">
        <w:rPr>
          <w:szCs w:val="22"/>
        </w:rPr>
        <w:t>,</w:t>
      </w:r>
      <w:r w:rsidRPr="00C5322F">
        <w:rPr>
          <w:szCs w:val="22"/>
        </w:rPr>
        <w:t xml:space="preserve"> EU). </w:t>
      </w:r>
      <w:r>
        <w:rPr>
          <w:szCs w:val="22"/>
        </w:rPr>
        <w:t>Consumption varies, sometimes widely, from year to year: e.g.</w:t>
      </w:r>
      <w:r w:rsidR="002C0D7B" w:rsidRPr="002C0D7B">
        <w:rPr>
          <w:szCs w:val="22"/>
        </w:rPr>
        <w:t>,</w:t>
      </w:r>
      <w:r>
        <w:rPr>
          <w:szCs w:val="22"/>
        </w:rPr>
        <w:t xml:space="preserve"> b</w:t>
      </w:r>
      <w:r w:rsidRPr="00C5322F">
        <w:rPr>
          <w:szCs w:val="22"/>
        </w:rPr>
        <w:t>etween 2017 and 2018, there was a</w:t>
      </w:r>
      <w:r>
        <w:rPr>
          <w:szCs w:val="22"/>
        </w:rPr>
        <w:t xml:space="preserve">n </w:t>
      </w:r>
      <w:r w:rsidRPr="00C5322F">
        <w:rPr>
          <w:szCs w:val="22"/>
        </w:rPr>
        <w:t xml:space="preserve">increase in global consumption for QPS </w:t>
      </w:r>
      <w:r>
        <w:rPr>
          <w:szCs w:val="22"/>
        </w:rPr>
        <w:t>(</w:t>
      </w:r>
      <w:r w:rsidRPr="00C5322F">
        <w:rPr>
          <w:szCs w:val="22"/>
        </w:rPr>
        <w:t>1</w:t>
      </w:r>
      <w:r>
        <w:rPr>
          <w:szCs w:val="22"/>
        </w:rPr>
        <w:t>0</w:t>
      </w:r>
      <w:r w:rsidRPr="00C5322F">
        <w:rPr>
          <w:szCs w:val="22"/>
        </w:rPr>
        <w:t>,</w:t>
      </w:r>
      <w:r>
        <w:rPr>
          <w:szCs w:val="22"/>
        </w:rPr>
        <w:t>7</w:t>
      </w:r>
      <w:r w:rsidRPr="00C5322F">
        <w:rPr>
          <w:szCs w:val="22"/>
        </w:rPr>
        <w:t>00 tonnes</w:t>
      </w:r>
      <w:r>
        <w:rPr>
          <w:szCs w:val="22"/>
        </w:rPr>
        <w:t xml:space="preserve">), followed by a decline in 2019 (8,970 tonnes) and once again an increase in 2020 to about 9,500 tonnes </w:t>
      </w:r>
      <w:r w:rsidRPr="00C5322F">
        <w:rPr>
          <w:szCs w:val="22"/>
        </w:rPr>
        <w:t xml:space="preserve">(Fig </w:t>
      </w:r>
      <w:r>
        <w:rPr>
          <w:szCs w:val="22"/>
        </w:rPr>
        <w:t>5.1</w:t>
      </w:r>
      <w:r w:rsidRPr="00C5322F">
        <w:rPr>
          <w:szCs w:val="22"/>
        </w:rPr>
        <w:t xml:space="preserve">). </w:t>
      </w:r>
    </w:p>
    <w:p w14:paraId="3D55B010" w14:textId="68501F3A" w:rsidR="00944FC9" w:rsidRPr="007E0860" w:rsidRDefault="00944FC9" w:rsidP="00944FC9">
      <w:r w:rsidRPr="00D123CC">
        <w:rPr>
          <w:b/>
        </w:rPr>
        <w:t xml:space="preserve">Fig. </w:t>
      </w:r>
      <w:r>
        <w:rPr>
          <w:b/>
        </w:rPr>
        <w:t>5.1</w:t>
      </w:r>
      <w:r w:rsidRPr="00D123CC">
        <w:rPr>
          <w:b/>
        </w:rPr>
        <w:t xml:space="preserve"> Consumption of MB for QPS (exempted) uses </w:t>
      </w:r>
      <w:r>
        <w:rPr>
          <w:b/>
        </w:rPr>
        <w:t>from 2000 to</w:t>
      </w:r>
      <w:r w:rsidRPr="00D123CC">
        <w:rPr>
          <w:b/>
        </w:rPr>
        <w:t xml:space="preserve"> 20</w:t>
      </w:r>
      <w:r>
        <w:rPr>
          <w:b/>
        </w:rPr>
        <w:t>20</w:t>
      </w:r>
    </w:p>
    <w:p w14:paraId="1B501E9C" w14:textId="04EA9486" w:rsidR="00944FC9" w:rsidRDefault="00944FC9" w:rsidP="00944FC9">
      <w:pPr>
        <w:rPr>
          <w:sz w:val="20"/>
        </w:rPr>
      </w:pPr>
      <w:r w:rsidRPr="00C615F8">
        <w:rPr>
          <w:noProof/>
          <w:sz w:val="20"/>
        </w:rPr>
        <w:drawing>
          <wp:inline distT="0" distB="0" distL="0" distR="0" wp14:anchorId="2413849C" wp14:editId="1BD3150A">
            <wp:extent cx="5119007" cy="2122715"/>
            <wp:effectExtent l="0" t="0" r="12065" b="11430"/>
            <wp:docPr id="26" name="Chart 26">
              <a:extLst xmlns:a="http://schemas.openxmlformats.org/drawingml/2006/main">
                <a:ext uri="{FF2B5EF4-FFF2-40B4-BE49-F238E27FC236}">
                  <a16:creationId xmlns:a16="http://schemas.microsoft.com/office/drawing/2014/main" id="{CD1870A3-C9D2-774E-B2E1-53DA4708A7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D123CC">
        <w:rPr>
          <w:sz w:val="20"/>
        </w:rPr>
        <w:t xml:space="preserve">Source: Ozone Secretariat Data Access Centre, accessed </w:t>
      </w:r>
      <w:r>
        <w:rPr>
          <w:sz w:val="20"/>
        </w:rPr>
        <w:t>April</w:t>
      </w:r>
      <w:r w:rsidRPr="00D123CC">
        <w:rPr>
          <w:sz w:val="20"/>
        </w:rPr>
        <w:t xml:space="preserve"> 202</w:t>
      </w:r>
      <w:r>
        <w:rPr>
          <w:sz w:val="20"/>
        </w:rPr>
        <w:t>2. NA5: Non-Article 5 par</w:t>
      </w:r>
      <w:r w:rsidR="002C0D7B" w:rsidRPr="002C0D7B">
        <w:rPr>
          <w:sz w:val="20"/>
        </w:rPr>
        <w:t>t</w:t>
      </w:r>
      <w:r>
        <w:rPr>
          <w:sz w:val="20"/>
        </w:rPr>
        <w:t>ies. A5: Article 5 parties.</w:t>
      </w:r>
    </w:p>
    <w:p w14:paraId="4BFCB7EF" w14:textId="6ED1E960" w:rsidR="00944FC9" w:rsidRDefault="00944FC9" w:rsidP="00944FC9">
      <w:pPr>
        <w:rPr>
          <w:szCs w:val="22"/>
        </w:rPr>
      </w:pPr>
      <w:r>
        <w:rPr>
          <w:szCs w:val="22"/>
        </w:rPr>
        <w:t>Non</w:t>
      </w:r>
      <w:r w:rsidR="00B710A8">
        <w:rPr>
          <w:szCs w:val="22"/>
        </w:rPr>
        <w:t>-</w:t>
      </w:r>
      <w:r>
        <w:rPr>
          <w:szCs w:val="22"/>
        </w:rPr>
        <w:t xml:space="preserve">A5 parties have shown a downward trend in consumption since 1999, whilst </w:t>
      </w:r>
      <w:r w:rsidRPr="00C5322F">
        <w:rPr>
          <w:szCs w:val="22"/>
        </w:rPr>
        <w:t>consumption has been increasing in A5 parties</w:t>
      </w:r>
      <w:r>
        <w:rPr>
          <w:szCs w:val="22"/>
        </w:rPr>
        <w:t xml:space="preserve"> since 2015.</w:t>
      </w:r>
      <w:r w:rsidRPr="00C5322F">
        <w:rPr>
          <w:szCs w:val="22"/>
        </w:rPr>
        <w:t xml:space="preserve"> </w:t>
      </w:r>
      <w:r>
        <w:rPr>
          <w:szCs w:val="22"/>
        </w:rPr>
        <w:t>Increased use in some regions (Fig</w:t>
      </w:r>
      <w:r w:rsidR="00C7675C">
        <w:rPr>
          <w:szCs w:val="22"/>
        </w:rPr>
        <w:t>ure</w:t>
      </w:r>
      <w:r>
        <w:rPr>
          <w:szCs w:val="22"/>
        </w:rPr>
        <w:t xml:space="preserve"> 5.2) is offsetting the benefits gained by phasing out MB for controlled uses globally.</w:t>
      </w:r>
      <w:r w:rsidR="005617DE">
        <w:rPr>
          <w:szCs w:val="22"/>
        </w:rPr>
        <w:t xml:space="preserve"> </w:t>
      </w:r>
    </w:p>
    <w:p w14:paraId="76351050" w14:textId="1236087E" w:rsidR="00944FC9" w:rsidRPr="00B865BA" w:rsidRDefault="00944FC9" w:rsidP="00944FC9">
      <w:pPr>
        <w:rPr>
          <w:b/>
        </w:rPr>
      </w:pPr>
      <w:r w:rsidRPr="00D123CC">
        <w:rPr>
          <w:b/>
        </w:rPr>
        <w:t xml:space="preserve">Fig. </w:t>
      </w:r>
      <w:r>
        <w:rPr>
          <w:b/>
        </w:rPr>
        <w:t>5.2</w:t>
      </w:r>
      <w:r w:rsidRPr="00D123CC">
        <w:rPr>
          <w:b/>
        </w:rPr>
        <w:t xml:space="preserve">. Consumption of MB for QPS (exempted) uses </w:t>
      </w:r>
      <w:r>
        <w:rPr>
          <w:b/>
        </w:rPr>
        <w:t>from 2000 to</w:t>
      </w:r>
      <w:r w:rsidRPr="00D123CC">
        <w:rPr>
          <w:b/>
        </w:rPr>
        <w:t xml:space="preserve"> 20</w:t>
      </w:r>
      <w:r>
        <w:rPr>
          <w:b/>
        </w:rPr>
        <w:t>20</w:t>
      </w:r>
    </w:p>
    <w:p w14:paraId="6CBFC279" w14:textId="77777777" w:rsidR="00944FC9" w:rsidRPr="00426C7D" w:rsidRDefault="00944FC9" w:rsidP="00944FC9">
      <w:pPr>
        <w:pStyle w:val="Style15"/>
      </w:pPr>
      <w:r w:rsidRPr="00426C7D">
        <w:rPr>
          <w:noProof/>
        </w:rPr>
        <w:drawing>
          <wp:inline distT="0" distB="0" distL="0" distR="0" wp14:anchorId="0BDAD53C" wp14:editId="0A3B6160">
            <wp:extent cx="5263200" cy="2872800"/>
            <wp:effectExtent l="0" t="0" r="7620" b="10160"/>
            <wp:docPr id="27" name="Chart 2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3948E13" w14:textId="77777777" w:rsidR="00944FC9" w:rsidRDefault="00944FC9" w:rsidP="00944FC9">
      <w:pPr>
        <w:rPr>
          <w:sz w:val="20"/>
        </w:rPr>
      </w:pPr>
      <w:r w:rsidRPr="00D123CC">
        <w:rPr>
          <w:sz w:val="20"/>
        </w:rPr>
        <w:t xml:space="preserve">Source: Ozone Secretariat Data Access Centre, accessed </w:t>
      </w:r>
      <w:r>
        <w:rPr>
          <w:sz w:val="20"/>
        </w:rPr>
        <w:t>April</w:t>
      </w:r>
      <w:r w:rsidRPr="00D123CC">
        <w:rPr>
          <w:sz w:val="20"/>
        </w:rPr>
        <w:t xml:space="preserve"> 202</w:t>
      </w:r>
      <w:r>
        <w:rPr>
          <w:sz w:val="20"/>
        </w:rPr>
        <w:t>2 * Includes USA and Canada only</w:t>
      </w:r>
    </w:p>
    <w:p w14:paraId="761AD42B" w14:textId="690FB383" w:rsidR="00944FC9" w:rsidRPr="00B865BA" w:rsidRDefault="00944FC9" w:rsidP="00944FC9">
      <w:pPr>
        <w:rPr>
          <w:szCs w:val="22"/>
        </w:rPr>
      </w:pPr>
      <w:r w:rsidRPr="00C5322F">
        <w:rPr>
          <w:szCs w:val="22"/>
        </w:rPr>
        <w:lastRenderedPageBreak/>
        <w:t xml:space="preserve">Even though MB </w:t>
      </w:r>
      <w:r>
        <w:rPr>
          <w:szCs w:val="22"/>
        </w:rPr>
        <w:t xml:space="preserve">used </w:t>
      </w:r>
      <w:r w:rsidRPr="00C5322F">
        <w:rPr>
          <w:szCs w:val="22"/>
        </w:rPr>
        <w:t xml:space="preserve">for QPS </w:t>
      </w:r>
      <w:r>
        <w:rPr>
          <w:szCs w:val="22"/>
        </w:rPr>
        <w:t>is</w:t>
      </w:r>
      <w:r w:rsidRPr="00C5322F">
        <w:rPr>
          <w:szCs w:val="22"/>
        </w:rPr>
        <w:t xml:space="preserve"> exempt</w:t>
      </w:r>
      <w:r>
        <w:rPr>
          <w:szCs w:val="22"/>
        </w:rPr>
        <w:t>ed</w:t>
      </w:r>
      <w:r w:rsidRPr="00C5322F">
        <w:rPr>
          <w:szCs w:val="22"/>
        </w:rPr>
        <w:t xml:space="preserve"> from phase-out under the Montreal Protocol, parties are encouraged to minimize and replace these uses whenever possible</w:t>
      </w:r>
      <w:r>
        <w:rPr>
          <w:szCs w:val="22"/>
        </w:rPr>
        <w:t>.</w:t>
      </w:r>
      <w:r w:rsidRPr="000F6D0F">
        <w:rPr>
          <w:szCs w:val="22"/>
        </w:rPr>
        <w:t xml:space="preserve"> </w:t>
      </w:r>
      <w:r>
        <w:rPr>
          <w:szCs w:val="22"/>
        </w:rPr>
        <w:t>However, there is no real incentive to</w:t>
      </w:r>
      <w:r w:rsidRPr="000F6D0F">
        <w:rPr>
          <w:szCs w:val="22"/>
        </w:rPr>
        <w:t xml:space="preserve"> </w:t>
      </w:r>
      <w:r>
        <w:rPr>
          <w:szCs w:val="22"/>
        </w:rPr>
        <w:t>do so</w:t>
      </w:r>
      <w:r w:rsidR="002C0D7B" w:rsidRPr="002C0D7B">
        <w:rPr>
          <w:szCs w:val="22"/>
        </w:rPr>
        <w:t>,</w:t>
      </w:r>
      <w:r w:rsidRPr="000F6D0F">
        <w:rPr>
          <w:szCs w:val="22"/>
        </w:rPr>
        <w:t xml:space="preserve"> </w:t>
      </w:r>
      <w:r>
        <w:rPr>
          <w:szCs w:val="22"/>
        </w:rPr>
        <w:t>and various factors take priority</w:t>
      </w:r>
      <w:r w:rsidRPr="000F6D0F">
        <w:rPr>
          <w:szCs w:val="22"/>
        </w:rPr>
        <w:t xml:space="preserve">: economic constraints, </w:t>
      </w:r>
      <w:r>
        <w:rPr>
          <w:szCs w:val="22"/>
        </w:rPr>
        <w:t xml:space="preserve">market </w:t>
      </w:r>
      <w:r w:rsidRPr="000F6D0F">
        <w:rPr>
          <w:szCs w:val="22"/>
        </w:rPr>
        <w:t>access</w:t>
      </w:r>
      <w:r>
        <w:rPr>
          <w:szCs w:val="22"/>
        </w:rPr>
        <w:t xml:space="preserve"> restrictions</w:t>
      </w:r>
      <w:r w:rsidRPr="000F6D0F">
        <w:rPr>
          <w:szCs w:val="22"/>
        </w:rPr>
        <w:t xml:space="preserve"> due to lack of internationally accepted alternatives or the very slow and tedious process to obtain regulated alternatives for quarantine use </w:t>
      </w:r>
      <w:r>
        <w:rPr>
          <w:szCs w:val="22"/>
        </w:rPr>
        <w:t xml:space="preserve">bilaterally and </w:t>
      </w:r>
      <w:r w:rsidRPr="000F6D0F">
        <w:rPr>
          <w:szCs w:val="22"/>
        </w:rPr>
        <w:t xml:space="preserve">within the IPPC. </w:t>
      </w:r>
      <w:r>
        <w:rPr>
          <w:szCs w:val="22"/>
        </w:rPr>
        <w:t xml:space="preserve">Nevertheless, initiatives are being proposed to use alternatives and include QPS uses </w:t>
      </w:r>
      <w:r w:rsidR="008C1373">
        <w:rPr>
          <w:szCs w:val="22"/>
        </w:rPr>
        <w:t>being considered under</w:t>
      </w:r>
      <w:r>
        <w:rPr>
          <w:szCs w:val="22"/>
        </w:rPr>
        <w:t xml:space="preserve"> the CUE process (</w:t>
      </w:r>
      <w:proofErr w:type="spellStart"/>
      <w:r>
        <w:rPr>
          <w:szCs w:val="22"/>
        </w:rPr>
        <w:t>Nothomb</w:t>
      </w:r>
      <w:proofErr w:type="spellEnd"/>
      <w:r>
        <w:rPr>
          <w:szCs w:val="22"/>
        </w:rPr>
        <w:t xml:space="preserve">, 2021). Increasing registration of </w:t>
      </w:r>
      <w:proofErr w:type="spellStart"/>
      <w:r>
        <w:rPr>
          <w:szCs w:val="22"/>
        </w:rPr>
        <w:t>ethanedinitrile</w:t>
      </w:r>
      <w:proofErr w:type="spellEnd"/>
      <w:r>
        <w:rPr>
          <w:szCs w:val="22"/>
        </w:rPr>
        <w:t xml:space="preserve"> for wood products, which are a major user of MB, may reduce MB use substantially in the near future.</w:t>
      </w:r>
    </w:p>
    <w:p w14:paraId="090457EC" w14:textId="481886B1" w:rsidR="00944FC9" w:rsidRPr="00413888" w:rsidRDefault="00944FC9" w:rsidP="00944FC9">
      <w:r w:rsidRPr="00B02B89">
        <w:t>MBTOC suggests that parties may wish to revisit the current QPS definition for pre-shipment applications with a view of establishing whether it is possible to remove the “</w:t>
      </w:r>
      <w:proofErr w:type="spellStart"/>
      <w:r w:rsidRPr="00B02B89">
        <w:t>preshipment</w:t>
      </w:r>
      <w:proofErr w:type="spellEnd"/>
      <w:r w:rsidRPr="00B02B89">
        <w:t xml:space="preserve">” option or control the use of methyl bromide for that purpose, given that alternatives are readily available and an estimated 30-40% of the QPS consumption falls into this category. </w:t>
      </w:r>
    </w:p>
    <w:p w14:paraId="52664640" w14:textId="7047E911" w:rsidR="00944FC9" w:rsidRPr="00B02B89" w:rsidRDefault="00944FC9" w:rsidP="00944FC9">
      <w:r w:rsidRPr="00B02B89">
        <w:t xml:space="preserve">This would require parties to make a clear distinction between “Q” and “PS” categories of use and report them separately. MBTOC stands ready to assist parties in achieving this. As a first step, parties may wish to ask MBTOC to update information collected for its 2010 and 2011 reports in response to Decision XX/6 and other relevant decisions of the Protocol. </w:t>
      </w:r>
    </w:p>
    <w:p w14:paraId="3628F952" w14:textId="26903F21" w:rsidR="00944FC9" w:rsidRPr="00B02B89" w:rsidRDefault="00944FC9" w:rsidP="00944FC9">
      <w:r w:rsidRPr="00B02B89">
        <w:t>Pre-shipment treatments are generally aimed at a lower standard of pest control than quarantine uses and are normally targeted against pests that are not quarantine pests.</w:t>
      </w:r>
      <w:r w:rsidR="005617DE">
        <w:t xml:space="preserve"> </w:t>
      </w:r>
      <w:r w:rsidRPr="00B02B89">
        <w:t>Whilst quarantine treatments should lead to a commodity that is</w:t>
      </w:r>
      <w:r>
        <w:t xml:space="preserve"> at least</w:t>
      </w:r>
      <w:r w:rsidRPr="00B02B89">
        <w:t xml:space="preserve"> 99.9% free of regulated quarantine pests, pre-shipment only requires the consignment to be “</w:t>
      </w:r>
      <w:r w:rsidRPr="00B02B89">
        <w:rPr>
          <w:i/>
        </w:rPr>
        <w:t>practically free</w:t>
      </w:r>
      <w:r w:rsidRPr="00B02B89">
        <w:t>” of pests. This lower level of security gives greater opportunity to use a wider choice of alternatives, which in a large number of cases are well-proven and immediately available in both A5 and non-A5 parties.</w:t>
      </w:r>
      <w:r w:rsidR="005617DE">
        <w:t xml:space="preserve"> </w:t>
      </w:r>
      <w:r w:rsidRPr="00B02B89">
        <w:t>In general, these alternatives also have, a reduced requirement for efficacy testing.</w:t>
      </w:r>
      <w:r w:rsidR="005617DE">
        <w:t xml:space="preserve"> </w:t>
      </w:r>
    </w:p>
    <w:p w14:paraId="5CF18957" w14:textId="60DAD3D8" w:rsidR="00944FC9" w:rsidRPr="00CF5B44" w:rsidRDefault="00944FC9" w:rsidP="003E4636">
      <w:pPr>
        <w:pStyle w:val="Heading2"/>
        <w:rPr>
          <w:rStyle w:val="Heading2Char"/>
          <w:rFonts w:cs="Times New Roman"/>
          <w:b/>
          <w:snapToGrid w:val="0"/>
          <w:szCs w:val="20"/>
        </w:rPr>
      </w:pPr>
      <w:bookmarkStart w:id="302" w:name="_Toc34276788"/>
      <w:bookmarkStart w:id="303" w:name="_Toc34363013"/>
      <w:bookmarkStart w:id="304" w:name="_Toc38555028"/>
      <w:bookmarkStart w:id="305" w:name="_Toc39926367"/>
      <w:bookmarkStart w:id="306" w:name="_Toc40696047"/>
      <w:bookmarkStart w:id="307" w:name="_Toc77868876"/>
      <w:bookmarkStart w:id="308" w:name="_Toc78040722"/>
      <w:bookmarkStart w:id="309" w:name="_Toc79066528"/>
      <w:bookmarkStart w:id="310" w:name="_Toc79069705"/>
      <w:bookmarkStart w:id="311" w:name="_Toc104396687"/>
      <w:r>
        <w:rPr>
          <w:rStyle w:val="Heading2Char"/>
          <w:b/>
        </w:rPr>
        <w:t>5</w:t>
      </w:r>
      <w:r w:rsidRPr="00CF5B44">
        <w:rPr>
          <w:rStyle w:val="Heading2Char"/>
          <w:b/>
        </w:rPr>
        <w:t>.2</w:t>
      </w:r>
      <w:r w:rsidRPr="00CF5B44">
        <w:rPr>
          <w:rStyle w:val="Heading2Char"/>
          <w:b/>
        </w:rPr>
        <w:tab/>
        <w:t>Update on alternatives for remaining critical uses</w:t>
      </w:r>
      <w:bookmarkEnd w:id="302"/>
      <w:bookmarkEnd w:id="303"/>
      <w:bookmarkEnd w:id="304"/>
      <w:bookmarkEnd w:id="305"/>
      <w:bookmarkEnd w:id="306"/>
      <w:bookmarkEnd w:id="307"/>
      <w:bookmarkEnd w:id="308"/>
      <w:bookmarkEnd w:id="309"/>
      <w:bookmarkEnd w:id="310"/>
      <w:bookmarkEnd w:id="311"/>
    </w:p>
    <w:p w14:paraId="5236DE97" w14:textId="1A8CB95B" w:rsidR="00944FC9" w:rsidRPr="00B865BA" w:rsidRDefault="00944FC9" w:rsidP="00944FC9">
      <w:pPr>
        <w:rPr>
          <w:b/>
        </w:rPr>
      </w:pPr>
      <w:r w:rsidRPr="00B02B89">
        <w:t>Technically and economically feasible chemical and non-chemical alternatives to MB have been found for virtually all soils, structure and commodity applications for which MB was used in the past including nearly all critical uses applied for since 2005.</w:t>
      </w:r>
      <w:r w:rsidR="005617DE">
        <w:t xml:space="preserve"> </w:t>
      </w:r>
      <w:r w:rsidRPr="00B02B89">
        <w:t>Comprehensive information is available on the adoption of key alternatives in the MBTOC 2018 Assessment Report (MBTOC, 2019) past MBTOC CUN reports (MBTOC, 2003 - 202</w:t>
      </w:r>
      <w:r>
        <w:t>1</w:t>
      </w:r>
      <w:r w:rsidRPr="00B02B89">
        <w:t xml:space="preserve">) and the MBTOC Progress Report (TEAP, 2003-2021). </w:t>
      </w:r>
    </w:p>
    <w:p w14:paraId="6A6F11DD" w14:textId="5966FD81" w:rsidR="00944FC9" w:rsidRPr="009D7EE4" w:rsidRDefault="00944FC9" w:rsidP="00944FC9">
      <w:r w:rsidRPr="00B02B89">
        <w:t xml:space="preserve">This May 2022 progress report provides updated information on recent research related to alternatives for controlled uses of MB for which critical uses are still being requested, namely strawberry runners (soil-borne pathogens and weeds) and houses (wood pests). </w:t>
      </w:r>
    </w:p>
    <w:p w14:paraId="420D2D24" w14:textId="45FDFD0E" w:rsidR="00944FC9" w:rsidRPr="00B02B89" w:rsidRDefault="00944FC9" w:rsidP="003E4636">
      <w:pPr>
        <w:pStyle w:val="Heading2"/>
        <w:rPr>
          <w:rStyle w:val="Heading311ptBoldChar"/>
          <w:rFonts w:cs="Times New Roman"/>
          <w:b/>
          <w:snapToGrid/>
          <w:color w:val="000000"/>
          <w:sz w:val="24"/>
          <w:szCs w:val="20"/>
          <w:lang w:val="en-GB" w:eastAsia="zh-CN"/>
        </w:rPr>
      </w:pPr>
      <w:bookmarkStart w:id="312" w:name="_Toc104396688"/>
      <w:r w:rsidRPr="00B02B89">
        <w:rPr>
          <w:rStyle w:val="Heading311ptBoldChar"/>
          <w:b/>
          <w:sz w:val="24"/>
        </w:rPr>
        <w:t>5.2.1</w:t>
      </w:r>
      <w:r w:rsidRPr="00B02B89">
        <w:rPr>
          <w:rStyle w:val="Heading311ptBoldChar"/>
          <w:b/>
          <w:sz w:val="24"/>
        </w:rPr>
        <w:tab/>
      </w:r>
      <w:r w:rsidRPr="00821BBC">
        <w:rPr>
          <w:rStyle w:val="Heading311ptBoldChar"/>
          <w:b/>
          <w:sz w:val="24"/>
        </w:rPr>
        <w:t>Strawberry runner production – Australia</w:t>
      </w:r>
      <w:bookmarkEnd w:id="312"/>
    </w:p>
    <w:p w14:paraId="50DD954D" w14:textId="509D6012" w:rsidR="00944FC9" w:rsidRPr="00B02B89" w:rsidRDefault="00944FC9" w:rsidP="00B865BA">
      <w:r w:rsidRPr="00B02B89">
        <w:t>Australia continues to prioritize the registration of Methyl Iodide (MI) as the most efficient alternative to MB for treating soil grown with strawberry nurseries in the State of Victoria. Extensive R&amp;</w:t>
      </w:r>
      <w:r>
        <w:t>D</w:t>
      </w:r>
      <w:r w:rsidRPr="00B02B89">
        <w:t xml:space="preserve"> in the runner industry at </w:t>
      </w:r>
      <w:proofErr w:type="spellStart"/>
      <w:r w:rsidRPr="00B02B89">
        <w:t>Toolangi</w:t>
      </w:r>
      <w:proofErr w:type="spellEnd"/>
      <w:r w:rsidRPr="00B02B89">
        <w:t xml:space="preserve">, Victoria, proved that soil disinfestation with MI/Pic controls soil-borne pathogens and weeds as effectively as MB/Pic, and produces equivalent runner yields to MB/Pic in commercial trials. </w:t>
      </w:r>
      <w:r>
        <w:t>Although</w:t>
      </w:r>
      <w:r w:rsidRPr="00B02B89">
        <w:t xml:space="preserve"> in 2012 </w:t>
      </w:r>
      <w:proofErr w:type="spellStart"/>
      <w:r w:rsidRPr="00B02B89">
        <w:t>Arysta</w:t>
      </w:r>
      <w:proofErr w:type="spellEnd"/>
      <w:r w:rsidRPr="00B02B89">
        <w:t xml:space="preserve"> Life Sciences withdrew its application to register MI in Australia and other countries around the world</w:t>
      </w:r>
      <w:r>
        <w:t>,</w:t>
      </w:r>
      <w:r w:rsidRPr="00B02B89">
        <w:t xml:space="preserve"> </w:t>
      </w:r>
      <w:proofErr w:type="spellStart"/>
      <w:r w:rsidRPr="00B02B89">
        <w:rPr>
          <w:i/>
          <w:iCs/>
        </w:rPr>
        <w:t>Saluterra</w:t>
      </w:r>
      <w:proofErr w:type="spellEnd"/>
      <w:r w:rsidRPr="00B02B89">
        <w:rPr>
          <w:i/>
          <w:iCs/>
        </w:rPr>
        <w:t xml:space="preserve"> Pty Ltd </w:t>
      </w:r>
      <w:r w:rsidRPr="00B02B89">
        <w:t xml:space="preserve">has applied for registration of </w:t>
      </w:r>
      <w:r w:rsidRPr="00B02B89">
        <w:rPr>
          <w:i/>
          <w:iCs/>
        </w:rPr>
        <w:t xml:space="preserve">MI/PIC 980 Soil Fumigant </w:t>
      </w:r>
      <w:r w:rsidRPr="00B02B89">
        <w:t xml:space="preserve">in strawberry runner production. The product has been shown to control </w:t>
      </w:r>
      <w:r w:rsidRPr="00B02B89">
        <w:rPr>
          <w:i/>
          <w:iCs/>
        </w:rPr>
        <w:t xml:space="preserve">Fusarium, Pythium, Phytophthora, </w:t>
      </w:r>
      <w:proofErr w:type="spellStart"/>
      <w:r w:rsidRPr="00B02B89">
        <w:rPr>
          <w:i/>
          <w:iCs/>
        </w:rPr>
        <w:t>Rhizoctonia</w:t>
      </w:r>
      <w:proofErr w:type="spellEnd"/>
      <w:r w:rsidRPr="00B02B89">
        <w:rPr>
          <w:i/>
          <w:iCs/>
        </w:rPr>
        <w:t xml:space="preserve">, Sclerotium </w:t>
      </w:r>
      <w:proofErr w:type="spellStart"/>
      <w:r w:rsidRPr="00B02B89">
        <w:rPr>
          <w:i/>
          <w:iCs/>
        </w:rPr>
        <w:t>rolfsii</w:t>
      </w:r>
      <w:proofErr w:type="spellEnd"/>
      <w:r w:rsidRPr="00B02B89">
        <w:rPr>
          <w:i/>
          <w:iCs/>
        </w:rPr>
        <w:t xml:space="preserve">, </w:t>
      </w:r>
      <w:proofErr w:type="spellStart"/>
      <w:r w:rsidRPr="00B02B89">
        <w:rPr>
          <w:i/>
          <w:iCs/>
        </w:rPr>
        <w:t>Macrophomina</w:t>
      </w:r>
      <w:proofErr w:type="spellEnd"/>
      <w:r w:rsidRPr="00B02B89">
        <w:rPr>
          <w:i/>
          <w:iCs/>
        </w:rPr>
        <w:t xml:space="preserve"> </w:t>
      </w:r>
      <w:proofErr w:type="spellStart"/>
      <w:r w:rsidRPr="00B02B89">
        <w:rPr>
          <w:i/>
          <w:iCs/>
        </w:rPr>
        <w:t>phaseolina</w:t>
      </w:r>
      <w:proofErr w:type="spellEnd"/>
      <w:r w:rsidRPr="00B02B89">
        <w:t>, plant parasitic nematodes and seeds of some weed species</w:t>
      </w:r>
      <w:r>
        <w:t>.</w:t>
      </w:r>
    </w:p>
    <w:p w14:paraId="5FB57AEB" w14:textId="77777777" w:rsidR="00944FC9" w:rsidRPr="00B02B89" w:rsidRDefault="00944FC9" w:rsidP="00944FC9">
      <w:pPr>
        <w:autoSpaceDE w:val="0"/>
        <w:autoSpaceDN w:val="0"/>
        <w:adjustRightInd w:val="0"/>
      </w:pPr>
      <w:r w:rsidRPr="00B02B89">
        <w:t xml:space="preserve">The Australian research program continues </w:t>
      </w:r>
      <w:r>
        <w:t xml:space="preserve">to look at other alternatives </w:t>
      </w:r>
      <w:r w:rsidRPr="00B02B89">
        <w:t>with encouraging results</w:t>
      </w:r>
      <w:r>
        <w:t>:</w:t>
      </w:r>
      <w:r w:rsidRPr="00B02B89">
        <w:t xml:space="preserve"> ethane dinitrile (EDN), TF-80®, microwave</w:t>
      </w:r>
      <w:r>
        <w:t xml:space="preserve"> treatment</w:t>
      </w:r>
      <w:r w:rsidRPr="00B02B89">
        <w:t xml:space="preserve">s, and different rates and formulations of MI/Pic. DMDS and DMDS/Pic </w:t>
      </w:r>
      <w:r>
        <w:t xml:space="preserve">are being </w:t>
      </w:r>
      <w:proofErr w:type="spellStart"/>
      <w:r>
        <w:t>trialed</w:t>
      </w:r>
      <w:proofErr w:type="spellEnd"/>
      <w:r>
        <w:t xml:space="preserve"> in</w:t>
      </w:r>
      <w:r w:rsidRPr="00B02B89">
        <w:t xml:space="preserve"> Australia </w:t>
      </w:r>
      <w:r>
        <w:t>s</w:t>
      </w:r>
      <w:r w:rsidRPr="00B02B89">
        <w:t>in</w:t>
      </w:r>
      <w:r>
        <w:t>ce</w:t>
      </w:r>
      <w:r w:rsidRPr="00B02B89">
        <w:t xml:space="preserve"> 2014 and Arkema </w:t>
      </w:r>
      <w:r>
        <w:t>is</w:t>
      </w:r>
      <w:r w:rsidRPr="00B02B89">
        <w:t xml:space="preserve"> proceed</w:t>
      </w:r>
      <w:r>
        <w:t>ing</w:t>
      </w:r>
      <w:r w:rsidRPr="00B02B89">
        <w:t xml:space="preserve"> with registration. </w:t>
      </w:r>
    </w:p>
    <w:p w14:paraId="5039824E" w14:textId="3BE1D807" w:rsidR="00944FC9" w:rsidRPr="00B02B89" w:rsidRDefault="00944FC9" w:rsidP="003E4636">
      <w:pPr>
        <w:pStyle w:val="Heading2"/>
        <w:rPr>
          <w:rStyle w:val="Heading311ptBoldChar"/>
          <w:rFonts w:cs="Times New Roman"/>
          <w:b/>
          <w:snapToGrid/>
          <w:color w:val="000000"/>
          <w:sz w:val="24"/>
          <w:szCs w:val="20"/>
          <w:lang w:val="en-GB" w:eastAsia="zh-CN"/>
        </w:rPr>
      </w:pPr>
      <w:bookmarkStart w:id="313" w:name="_Toc104396689"/>
      <w:r w:rsidRPr="00B02B89">
        <w:rPr>
          <w:rStyle w:val="Heading311ptBoldChar"/>
          <w:b/>
          <w:sz w:val="24"/>
        </w:rPr>
        <w:lastRenderedPageBreak/>
        <w:t>5.2.2</w:t>
      </w:r>
      <w:r w:rsidRPr="00B02B89">
        <w:rPr>
          <w:rStyle w:val="Heading311ptBoldChar"/>
          <w:b/>
          <w:sz w:val="24"/>
        </w:rPr>
        <w:tab/>
      </w:r>
      <w:r w:rsidRPr="00821BBC">
        <w:rPr>
          <w:rStyle w:val="Heading311ptBoldChar"/>
          <w:b/>
          <w:sz w:val="24"/>
        </w:rPr>
        <w:t>Strawberry runner production – Canada</w:t>
      </w:r>
      <w:bookmarkEnd w:id="313"/>
    </w:p>
    <w:p w14:paraId="0891F8E7" w14:textId="611B9F9C" w:rsidR="00944FC9" w:rsidRPr="00B02B89" w:rsidRDefault="00944FC9" w:rsidP="00B865BA">
      <w:r w:rsidRPr="00B02B89">
        <w:t>Many countries producing strawberry runners find soilless culture systems technically and economically feasible, at least for a portion of certified nursery production operations, as well as for stock plants</w:t>
      </w:r>
      <w:r w:rsidR="008C1373">
        <w:t>.</w:t>
      </w:r>
      <w:r w:rsidRPr="00B02B89">
        <w:t xml:space="preserve"> </w:t>
      </w:r>
      <w:r w:rsidR="008C1373">
        <w:t>S</w:t>
      </w:r>
      <w:r w:rsidRPr="00B02B89">
        <w:t xml:space="preserve">uch systems allow for producing pest and disease-free nursery material that meets the required plant health standards (López-Galarza </w:t>
      </w:r>
      <w:r w:rsidRPr="00585419">
        <w:rPr>
          <w:i/>
        </w:rPr>
        <w:t>et al</w:t>
      </w:r>
      <w:r w:rsidRPr="00B02B89">
        <w:t>., 2010; Rodríguez-</w:t>
      </w:r>
      <w:proofErr w:type="spellStart"/>
      <w:r w:rsidRPr="00B02B89">
        <w:t>Delfín</w:t>
      </w:r>
      <w:proofErr w:type="spellEnd"/>
      <w:r w:rsidRPr="00B02B89">
        <w:t>, 2012; Xu, 2019</w:t>
      </w:r>
      <w:r>
        <w:t xml:space="preserve"> Wei </w:t>
      </w:r>
      <w:r w:rsidRPr="00585419">
        <w:rPr>
          <w:i/>
        </w:rPr>
        <w:t>et. al</w:t>
      </w:r>
      <w:r>
        <w:t>. 2020;</w:t>
      </w:r>
      <w:r w:rsidRPr="00B02B89">
        <w:t xml:space="preserve">). </w:t>
      </w:r>
    </w:p>
    <w:p w14:paraId="069629EC" w14:textId="7D9CFD3E" w:rsidR="00944FC9" w:rsidRPr="00B865BA" w:rsidRDefault="00944FC9" w:rsidP="00B865BA">
      <w:pPr>
        <w:autoSpaceDE w:val="0"/>
        <w:autoSpaceDN w:val="0"/>
        <w:adjustRightInd w:val="0"/>
        <w:rPr>
          <w:rStyle w:val="Heading311ptBoldChar"/>
          <w:b w:val="0"/>
          <w:i w:val="0"/>
        </w:rPr>
      </w:pPr>
      <w:r w:rsidRPr="00B02B89">
        <w:t xml:space="preserve">Canada continues to conduct research aimed at perfecting a soilless production system that will avert the need for soil fumigants, as no chemical alternatives to MB are allowed on Prince Edward Island, where the need for a CUE arises. </w:t>
      </w:r>
      <w:r>
        <w:t>Other Canadian Maritime provinces do not need MB to produce healthy strawberry runners in similar circumstances.</w:t>
      </w:r>
    </w:p>
    <w:p w14:paraId="3BBB189F" w14:textId="62296B7E" w:rsidR="00944FC9" w:rsidRPr="00821BBC" w:rsidRDefault="00944FC9" w:rsidP="003E4636">
      <w:pPr>
        <w:pStyle w:val="Heading2"/>
        <w:rPr>
          <w:rStyle w:val="Heading311ptBoldChar"/>
          <w:b/>
          <w:sz w:val="24"/>
        </w:rPr>
      </w:pPr>
      <w:bookmarkStart w:id="314" w:name="_Toc34276793"/>
      <w:bookmarkStart w:id="315" w:name="_Toc34363028"/>
      <w:bookmarkStart w:id="316" w:name="_Toc38555033"/>
      <w:bookmarkStart w:id="317" w:name="_Toc39926377"/>
      <w:bookmarkStart w:id="318" w:name="_Toc40696052"/>
      <w:bookmarkStart w:id="319" w:name="_Toc77868881"/>
      <w:bookmarkStart w:id="320" w:name="_Toc104396690"/>
      <w:r w:rsidRPr="00821BBC">
        <w:rPr>
          <w:rStyle w:val="Heading311ptBoldChar"/>
          <w:b/>
          <w:sz w:val="24"/>
        </w:rPr>
        <w:t>5.2.3</w:t>
      </w:r>
      <w:r w:rsidRPr="00821BBC">
        <w:rPr>
          <w:rStyle w:val="Heading311ptBoldChar"/>
          <w:b/>
          <w:sz w:val="24"/>
        </w:rPr>
        <w:tab/>
        <w:t>Structures – disinfestation of houses in South Africa</w:t>
      </w:r>
      <w:bookmarkEnd w:id="314"/>
      <w:bookmarkEnd w:id="315"/>
      <w:bookmarkEnd w:id="316"/>
      <w:bookmarkEnd w:id="317"/>
      <w:bookmarkEnd w:id="318"/>
      <w:bookmarkEnd w:id="319"/>
      <w:bookmarkEnd w:id="320"/>
    </w:p>
    <w:p w14:paraId="54363F7C" w14:textId="6EBE6582" w:rsidR="00944FC9" w:rsidRPr="00B865BA" w:rsidRDefault="00944FC9" w:rsidP="00B865BA">
      <w:r w:rsidRPr="00B865BA">
        <w:t>The Republic of South Africa (RSA) has continually reduced their nomination for treating structures (houses) with MB but still finds challenges. Disinfestation of wooden structures in dwellings is achieved with either heat (</w:t>
      </w:r>
      <w:proofErr w:type="spellStart"/>
      <w:r w:rsidRPr="00B865BA">
        <w:t>Hofmeier</w:t>
      </w:r>
      <w:proofErr w:type="spellEnd"/>
      <w:r w:rsidRPr="00B865BA">
        <w:t xml:space="preserve">, 1996; </w:t>
      </w:r>
      <w:proofErr w:type="spellStart"/>
      <w:r w:rsidRPr="00B865BA">
        <w:t>Reichmuth</w:t>
      </w:r>
      <w:proofErr w:type="spellEnd"/>
      <w:r w:rsidRPr="00B865BA">
        <w:t xml:space="preserve"> </w:t>
      </w:r>
      <w:r w:rsidRPr="008C1373">
        <w:rPr>
          <w:i/>
        </w:rPr>
        <w:t>et al</w:t>
      </w:r>
      <w:r w:rsidRPr="00B865BA">
        <w:t xml:space="preserve">., 2002; 2007) or SF (Reichmuth </w:t>
      </w:r>
      <w:r w:rsidRPr="008C1373">
        <w:rPr>
          <w:i/>
        </w:rPr>
        <w:t>et al</w:t>
      </w:r>
      <w:r w:rsidRPr="00B865BA">
        <w:t xml:space="preserve">., 2003, </w:t>
      </w:r>
      <w:proofErr w:type="spellStart"/>
      <w:r w:rsidRPr="00B865BA">
        <w:t>Ducom</w:t>
      </w:r>
      <w:proofErr w:type="spellEnd"/>
      <w:r w:rsidRPr="00B865BA">
        <w:t xml:space="preserve"> </w:t>
      </w:r>
      <w:r w:rsidRPr="008C1373">
        <w:rPr>
          <w:i/>
        </w:rPr>
        <w:t>et al</w:t>
      </w:r>
      <w:r w:rsidRPr="00B865BA">
        <w:t xml:space="preserve">., 2003) in many countries around the world. Williams and </w:t>
      </w:r>
      <w:proofErr w:type="spellStart"/>
      <w:r w:rsidRPr="00B865BA">
        <w:t>Sprenkel</w:t>
      </w:r>
      <w:proofErr w:type="spellEnd"/>
      <w:r w:rsidRPr="00B865BA">
        <w:t xml:space="preserve"> (1990) have demonstrated the efficacy of these treatments against eggs of key pests of wood like anobiid and lyctid beetles. </w:t>
      </w:r>
    </w:p>
    <w:p w14:paraId="4BA68789" w14:textId="57290867" w:rsidR="00944FC9" w:rsidRPr="00B865BA" w:rsidRDefault="00944FC9" w:rsidP="00B865BA">
      <w:r w:rsidRPr="00B865BA">
        <w:t xml:space="preserve">La Fage </w:t>
      </w:r>
      <w:r w:rsidRPr="008C1373">
        <w:rPr>
          <w:i/>
        </w:rPr>
        <w:t>et al</w:t>
      </w:r>
      <w:r w:rsidRPr="00B865BA">
        <w:t xml:space="preserve">. (1982) showed that SF was effective against the Formosan termite </w:t>
      </w:r>
      <w:proofErr w:type="spellStart"/>
      <w:r w:rsidRPr="00B865BA">
        <w:t>Cryptotermes</w:t>
      </w:r>
      <w:proofErr w:type="spellEnd"/>
      <w:r w:rsidRPr="00B865BA">
        <w:t xml:space="preserve"> </w:t>
      </w:r>
      <w:proofErr w:type="spellStart"/>
      <w:r w:rsidRPr="00B865BA">
        <w:t>formosanus</w:t>
      </w:r>
      <w:proofErr w:type="spellEnd"/>
      <w:r w:rsidRPr="00B865BA">
        <w:t xml:space="preserve"> (</w:t>
      </w:r>
      <w:proofErr w:type="spellStart"/>
      <w:r w:rsidRPr="00B865BA">
        <w:t>Isoptera</w:t>
      </w:r>
      <w:proofErr w:type="spellEnd"/>
      <w:r w:rsidRPr="00B865BA">
        <w:t xml:space="preserve">: </w:t>
      </w:r>
      <w:proofErr w:type="spellStart"/>
      <w:r w:rsidRPr="00B865BA">
        <w:t>Rhinotermitidae</w:t>
      </w:r>
      <w:proofErr w:type="spellEnd"/>
      <w:r w:rsidRPr="00B865BA">
        <w:t xml:space="preserve">). There are significant differences in tolerance between adult insects and especially eggs to SF (eggs versus adults; see also MBTOC’s review on SF-use in previous reports). Both the literature and trained fumigators do not recommend using SF at temperatures below 20°C, due to pronounced increase of tolerance of the eggs of target pests. </w:t>
      </w:r>
    </w:p>
    <w:p w14:paraId="4EAA5ED2" w14:textId="77777777" w:rsidR="00944FC9" w:rsidRPr="00B02B89" w:rsidRDefault="00944FC9" w:rsidP="00944FC9">
      <w:pPr>
        <w:shd w:val="clear" w:color="auto" w:fill="FFFFFF"/>
      </w:pPr>
      <w:r>
        <w:t>O</w:t>
      </w:r>
      <w:r w:rsidRPr="00905ABD">
        <w:t>ther alternatives</w:t>
      </w:r>
      <w:r>
        <w:t xml:space="preserve"> include</w:t>
      </w:r>
      <w:r w:rsidRPr="00B02B89">
        <w:t xml:space="preserve"> </w:t>
      </w:r>
      <w:r>
        <w:t>e</w:t>
      </w:r>
      <w:r w:rsidRPr="00B02B89">
        <w:t>thane-dinitrile (EDN)</w:t>
      </w:r>
      <w:r>
        <w:t>, with</w:t>
      </w:r>
      <w:r w:rsidRPr="00B02B89">
        <w:t xml:space="preserve"> good penetration characteristics, high efficacy and short application time (Ryan </w:t>
      </w:r>
      <w:r w:rsidRPr="00B02B89">
        <w:rPr>
          <w:i/>
          <w:iCs/>
        </w:rPr>
        <w:t>et al</w:t>
      </w:r>
      <w:r w:rsidRPr="00B02B89">
        <w:t>., 2006). EDN</w:t>
      </w:r>
      <w:r w:rsidRPr="00B02B89">
        <w:rPr>
          <w:vertAlign w:val="superscript"/>
        </w:rPr>
        <w:t>®</w:t>
      </w:r>
      <w:r w:rsidRPr="00B02B89">
        <w:t xml:space="preserve"> applications limit the risks of pests and diseases spreading within the agricultural and timber industry. BLUEFUME™ (HCN) is </w:t>
      </w:r>
      <w:r>
        <w:t xml:space="preserve">also </w:t>
      </w:r>
      <w:r w:rsidRPr="00B02B89">
        <w:t xml:space="preserve">a promising treatment for controlling wood infesting pests in packages and structures and was registered in the EU in 2017. Pest resistance is currently not an issue </w:t>
      </w:r>
      <w:r>
        <w:t>with</w:t>
      </w:r>
      <w:r w:rsidRPr="00B02B89">
        <w:t xml:space="preserve"> EDN</w:t>
      </w:r>
      <w:r>
        <w:t xml:space="preserve"> or HCN</w:t>
      </w:r>
      <w:r w:rsidRPr="00B02B89">
        <w:t xml:space="preserve"> and their wide range of action for controlling timber pests (insects, mites, rodents, nematodes, fungi, etc.) makes them good potential alternatives to MB for treating wooden structures (</w:t>
      </w:r>
      <w:proofErr w:type="spellStart"/>
      <w:r w:rsidRPr="00B02B89">
        <w:t>Hnatek</w:t>
      </w:r>
      <w:proofErr w:type="spellEnd"/>
      <w:r w:rsidRPr="00B02B89">
        <w:t xml:space="preserve"> </w:t>
      </w:r>
      <w:r w:rsidRPr="00B02B89">
        <w:rPr>
          <w:i/>
          <w:iCs/>
        </w:rPr>
        <w:t>et al.,</w:t>
      </w:r>
      <w:r w:rsidRPr="00B02B89">
        <w:t xml:space="preserve"> 2018). </w:t>
      </w:r>
    </w:p>
    <w:p w14:paraId="79048623" w14:textId="6A0DB0A4" w:rsidR="00944FC9" w:rsidRDefault="00944FC9" w:rsidP="003E4636">
      <w:pPr>
        <w:pStyle w:val="Heading2"/>
        <w:rPr>
          <w:rStyle w:val="Heading2Char"/>
          <w:rFonts w:cs="Times New Roman"/>
          <w:b/>
          <w:snapToGrid w:val="0"/>
          <w:szCs w:val="20"/>
        </w:rPr>
      </w:pPr>
      <w:bookmarkStart w:id="321" w:name="_Toc39926383"/>
      <w:bookmarkStart w:id="322" w:name="_Toc40696053"/>
      <w:bookmarkStart w:id="323" w:name="_Toc77868882"/>
      <w:bookmarkStart w:id="324" w:name="_Toc78040724"/>
      <w:bookmarkStart w:id="325" w:name="_Toc79066530"/>
      <w:bookmarkStart w:id="326" w:name="_Toc79069707"/>
      <w:bookmarkStart w:id="327" w:name="_Toc104396691"/>
      <w:bookmarkStart w:id="328" w:name="_Toc34276796"/>
      <w:bookmarkStart w:id="329" w:name="_Toc34363031"/>
      <w:bookmarkStart w:id="330" w:name="_Toc38555036"/>
      <w:r>
        <w:rPr>
          <w:rStyle w:val="Heading2Char"/>
          <w:b/>
        </w:rPr>
        <w:t>5</w:t>
      </w:r>
      <w:r w:rsidRPr="00997ECA">
        <w:rPr>
          <w:rStyle w:val="Heading2Char"/>
          <w:b/>
        </w:rPr>
        <w:t>.3</w:t>
      </w:r>
      <w:r w:rsidRPr="00997ECA">
        <w:rPr>
          <w:rStyle w:val="Heading2Char"/>
          <w:b/>
        </w:rPr>
        <w:tab/>
        <w:t>QPS uses of methyl bromide</w:t>
      </w:r>
      <w:bookmarkEnd w:id="321"/>
      <w:bookmarkEnd w:id="322"/>
      <w:bookmarkEnd w:id="323"/>
      <w:bookmarkEnd w:id="324"/>
      <w:bookmarkEnd w:id="325"/>
      <w:bookmarkEnd w:id="326"/>
      <w:bookmarkEnd w:id="327"/>
      <w:r w:rsidRPr="00997ECA">
        <w:rPr>
          <w:rStyle w:val="Heading2Char"/>
          <w:b/>
        </w:rPr>
        <w:t xml:space="preserve"> </w:t>
      </w:r>
      <w:bookmarkEnd w:id="328"/>
      <w:bookmarkEnd w:id="329"/>
      <w:bookmarkEnd w:id="330"/>
    </w:p>
    <w:p w14:paraId="3D9AE37A" w14:textId="518AA234" w:rsidR="00944FC9" w:rsidRDefault="00944FC9" w:rsidP="00944FC9">
      <w:r>
        <w:t>MBTOC keeps track of research on alternatives to MB for QPS purposes, as well as on the status of registration and availability of alternatives to MB around the world.</w:t>
      </w:r>
    </w:p>
    <w:p w14:paraId="7A159569" w14:textId="2A3E64B0" w:rsidR="00944FC9" w:rsidRPr="00B02B89" w:rsidRDefault="00944FC9" w:rsidP="003E4636">
      <w:pPr>
        <w:pStyle w:val="Heading2"/>
        <w:rPr>
          <w:rStyle w:val="Heading311ptBoldChar"/>
          <w:rFonts w:cs="Times New Roman"/>
          <w:b/>
          <w:snapToGrid/>
          <w:color w:val="000000"/>
          <w:sz w:val="24"/>
          <w:szCs w:val="20"/>
          <w:lang w:val="en-GB" w:eastAsia="zh-CN"/>
        </w:rPr>
      </w:pPr>
      <w:bookmarkStart w:id="331" w:name="_Toc38555037"/>
      <w:bookmarkStart w:id="332" w:name="_Toc39926384"/>
      <w:bookmarkStart w:id="333" w:name="_Toc40696054"/>
      <w:bookmarkStart w:id="334" w:name="_Toc77868883"/>
      <w:bookmarkStart w:id="335" w:name="_Toc78040725"/>
      <w:bookmarkStart w:id="336" w:name="_Toc79066531"/>
      <w:bookmarkStart w:id="337" w:name="_Toc79069708"/>
      <w:bookmarkStart w:id="338" w:name="_Toc104396692"/>
      <w:r w:rsidRPr="00B02B89">
        <w:rPr>
          <w:rStyle w:val="Heading311ptBoldChar"/>
          <w:b/>
          <w:sz w:val="24"/>
        </w:rPr>
        <w:t>5.3.1</w:t>
      </w:r>
      <w:r w:rsidRPr="00B02B89">
        <w:rPr>
          <w:rStyle w:val="Heading311ptBoldChar"/>
          <w:b/>
          <w:sz w:val="24"/>
        </w:rPr>
        <w:tab/>
        <w:t>Chemical alternatives</w:t>
      </w:r>
      <w:bookmarkEnd w:id="331"/>
      <w:bookmarkEnd w:id="332"/>
      <w:bookmarkEnd w:id="333"/>
      <w:bookmarkEnd w:id="334"/>
      <w:bookmarkEnd w:id="335"/>
      <w:bookmarkEnd w:id="336"/>
      <w:bookmarkEnd w:id="337"/>
      <w:bookmarkEnd w:id="338"/>
    </w:p>
    <w:p w14:paraId="2911D209" w14:textId="36A97700" w:rsidR="00944FC9" w:rsidRPr="00C7675C" w:rsidRDefault="00944FC9" w:rsidP="00944FC9">
      <w:pPr>
        <w:rPr>
          <w:rStyle w:val="Heading4Char"/>
          <w:sz w:val="24"/>
          <w:u w:val="single"/>
        </w:rPr>
      </w:pPr>
      <w:bookmarkStart w:id="339" w:name="_Toc38555038"/>
      <w:bookmarkStart w:id="340" w:name="_Toc39926385"/>
      <w:bookmarkStart w:id="341" w:name="_Toc40696055"/>
      <w:bookmarkStart w:id="342" w:name="_Toc77868884"/>
      <w:r w:rsidRPr="00C7675C">
        <w:rPr>
          <w:rStyle w:val="Heading4Char"/>
          <w:sz w:val="24"/>
          <w:u w:val="single"/>
        </w:rPr>
        <w:t>5.3.1.1</w:t>
      </w:r>
      <w:r w:rsidRPr="00C7675C">
        <w:rPr>
          <w:rStyle w:val="Heading4Char"/>
          <w:sz w:val="24"/>
          <w:u w:val="single"/>
        </w:rPr>
        <w:tab/>
        <w:t>Hydrogen cyanide</w:t>
      </w:r>
      <w:bookmarkEnd w:id="339"/>
      <w:r w:rsidRPr="00C7675C">
        <w:rPr>
          <w:rStyle w:val="Heading4Char"/>
          <w:sz w:val="24"/>
          <w:u w:val="single"/>
        </w:rPr>
        <w:t xml:space="preserve"> (HCN)</w:t>
      </w:r>
      <w:bookmarkEnd w:id="340"/>
      <w:bookmarkEnd w:id="341"/>
      <w:bookmarkEnd w:id="342"/>
    </w:p>
    <w:p w14:paraId="2BB36489" w14:textId="7D9249BD" w:rsidR="00944FC9" w:rsidRPr="00B02B89" w:rsidRDefault="00944FC9" w:rsidP="00944FC9">
      <w:r w:rsidRPr="00B02B89">
        <w:t>HCN continues to show promise as an alternative to MB South Korea for treatment of stem and bulb nematodes infesting garlic cloves (</w:t>
      </w:r>
      <w:proofErr w:type="spellStart"/>
      <w:r w:rsidRPr="00B02B89">
        <w:t>Zouhar</w:t>
      </w:r>
      <w:proofErr w:type="spellEnd"/>
      <w:r w:rsidRPr="00B02B89">
        <w:t xml:space="preserve"> </w:t>
      </w:r>
      <w:r w:rsidRPr="00585419">
        <w:rPr>
          <w:i/>
        </w:rPr>
        <w:t>et al</w:t>
      </w:r>
      <w:r w:rsidRPr="00B02B89">
        <w:t>., 2016)</w:t>
      </w:r>
      <w:r>
        <w:t xml:space="preserve"> and New Zealand for some fruit</w:t>
      </w:r>
      <w:r w:rsidRPr="00B02B89">
        <w:t xml:space="preserve">. Malaysia also reported registration of HCN in 2019/2020 as an alternative to MB for postharvest treatments (Glassey, </w:t>
      </w:r>
      <w:proofErr w:type="spellStart"/>
      <w:r w:rsidRPr="00B02B89">
        <w:t>pers</w:t>
      </w:r>
      <w:proofErr w:type="spellEnd"/>
      <w:r w:rsidRPr="00B02B89">
        <w:t xml:space="preserve"> comm., 2021).</w:t>
      </w:r>
    </w:p>
    <w:p w14:paraId="1C249744" w14:textId="1E470448" w:rsidR="00944FC9" w:rsidRPr="00542F73" w:rsidRDefault="00944FC9" w:rsidP="00C63254">
      <w:pPr>
        <w:pStyle w:val="Heading6"/>
        <w:rPr>
          <w:rStyle w:val="Heading4Char"/>
          <w:sz w:val="24"/>
        </w:rPr>
      </w:pPr>
      <w:bookmarkStart w:id="343" w:name="_Toc38555039"/>
      <w:bookmarkStart w:id="344" w:name="_Toc39926386"/>
      <w:bookmarkStart w:id="345" w:name="_Toc40696056"/>
      <w:bookmarkStart w:id="346" w:name="_Toc77868885"/>
      <w:r w:rsidRPr="003B2A2A">
        <w:rPr>
          <w:rStyle w:val="Heading4Char"/>
          <w:sz w:val="24"/>
        </w:rPr>
        <w:t>5.3.1.2</w:t>
      </w:r>
      <w:r w:rsidRPr="003B2A2A">
        <w:rPr>
          <w:rStyle w:val="Heading4Char"/>
          <w:sz w:val="24"/>
        </w:rPr>
        <w:tab/>
      </w:r>
      <w:r w:rsidRPr="003B2A2A">
        <w:rPr>
          <w:rStyle w:val="Heading4Char"/>
          <w:rFonts w:hint="eastAsia"/>
          <w:sz w:val="24"/>
        </w:rPr>
        <w:t xml:space="preserve">Ethyl </w:t>
      </w:r>
      <w:proofErr w:type="spellStart"/>
      <w:r w:rsidRPr="003B2A2A">
        <w:rPr>
          <w:rStyle w:val="Heading4Char"/>
          <w:rFonts w:hint="eastAsia"/>
          <w:sz w:val="24"/>
        </w:rPr>
        <w:t>form</w:t>
      </w:r>
      <w:r w:rsidRPr="001820E8">
        <w:rPr>
          <w:rStyle w:val="Heading4Char"/>
          <w:rFonts w:hint="eastAsia"/>
          <w:sz w:val="24"/>
        </w:rPr>
        <w:t>ate</w:t>
      </w:r>
      <w:bookmarkEnd w:id="343"/>
      <w:proofErr w:type="spellEnd"/>
      <w:r w:rsidRPr="00542F73">
        <w:rPr>
          <w:rStyle w:val="Heading4Char"/>
          <w:sz w:val="24"/>
        </w:rPr>
        <w:t xml:space="preserve"> (EF)</w:t>
      </w:r>
      <w:bookmarkEnd w:id="344"/>
      <w:bookmarkEnd w:id="345"/>
      <w:bookmarkEnd w:id="346"/>
    </w:p>
    <w:p w14:paraId="42CBC7B9" w14:textId="221E2635" w:rsidR="00944FC9" w:rsidRDefault="00944FC9" w:rsidP="00944FC9">
      <w:pPr>
        <w:pStyle w:val="NormalWeb"/>
        <w:rPr>
          <w:lang w:eastAsia="ja-JP"/>
        </w:rPr>
      </w:pPr>
      <w:r w:rsidRPr="00B02B89">
        <w:rPr>
          <w:lang w:eastAsia="ja-JP"/>
        </w:rPr>
        <w:t>E</w:t>
      </w:r>
      <w:r w:rsidRPr="00B02B89">
        <w:rPr>
          <w:rFonts w:hint="eastAsia"/>
          <w:lang w:eastAsia="ja-JP"/>
        </w:rPr>
        <w:t>fficacy of EF</w:t>
      </w:r>
      <w:r w:rsidRPr="00B02B89">
        <w:rPr>
          <w:lang w:eastAsia="ja-JP"/>
        </w:rPr>
        <w:t xml:space="preserve"> and MB</w:t>
      </w:r>
      <w:r w:rsidRPr="00B02B89">
        <w:rPr>
          <w:rFonts w:hint="eastAsia"/>
          <w:lang w:eastAsia="ja-JP"/>
        </w:rPr>
        <w:t xml:space="preserve"> w</w:t>
      </w:r>
      <w:r w:rsidRPr="00B02B89">
        <w:rPr>
          <w:lang w:eastAsia="ja-JP"/>
        </w:rPr>
        <w:t>ere</w:t>
      </w:r>
      <w:r w:rsidRPr="00B02B89">
        <w:rPr>
          <w:rFonts w:hint="eastAsia"/>
          <w:lang w:eastAsia="ja-JP"/>
        </w:rPr>
        <w:t xml:space="preserve"> compared for disinfestation of</w:t>
      </w:r>
      <w:r>
        <w:rPr>
          <w:lang w:eastAsia="ja-JP"/>
        </w:rPr>
        <w:t xml:space="preserve"> the citrus mealybug</w:t>
      </w:r>
      <w:r w:rsidRPr="00B02B89">
        <w:rPr>
          <w:rFonts w:hint="eastAsia"/>
          <w:lang w:eastAsia="ja-JP"/>
        </w:rPr>
        <w:t xml:space="preserve"> </w:t>
      </w:r>
      <w:proofErr w:type="spellStart"/>
      <w:r w:rsidRPr="00B02B89">
        <w:rPr>
          <w:rFonts w:hint="eastAsia"/>
          <w:i/>
          <w:lang w:eastAsia="ja-JP"/>
        </w:rPr>
        <w:t>Planococcus</w:t>
      </w:r>
      <w:proofErr w:type="spellEnd"/>
      <w:r w:rsidRPr="00B02B89">
        <w:rPr>
          <w:rFonts w:hint="eastAsia"/>
          <w:i/>
          <w:lang w:eastAsia="ja-JP"/>
        </w:rPr>
        <w:t xml:space="preserve"> </w:t>
      </w:r>
      <w:proofErr w:type="spellStart"/>
      <w:r w:rsidRPr="00B02B89">
        <w:rPr>
          <w:rFonts w:hint="eastAsia"/>
          <w:i/>
          <w:lang w:eastAsia="ja-JP"/>
        </w:rPr>
        <w:t>citri</w:t>
      </w:r>
      <w:proofErr w:type="spellEnd"/>
      <w:r>
        <w:rPr>
          <w:i/>
          <w:lang w:eastAsia="ja-JP"/>
        </w:rPr>
        <w:t xml:space="preserve"> </w:t>
      </w:r>
      <w:r w:rsidRPr="00BF0FD5">
        <w:rPr>
          <w:rFonts w:eastAsia="SimSun"/>
        </w:rPr>
        <w:t xml:space="preserve">(Hemiptera: </w:t>
      </w:r>
      <w:proofErr w:type="spellStart"/>
      <w:r w:rsidRPr="00BF0FD5">
        <w:rPr>
          <w:rFonts w:eastAsia="SimSun"/>
        </w:rPr>
        <w:t>Pseudococcidae</w:t>
      </w:r>
      <w:proofErr w:type="spellEnd"/>
      <w:r w:rsidRPr="00BF0FD5">
        <w:rPr>
          <w:rFonts w:eastAsia="SimSun"/>
        </w:rPr>
        <w:t>)</w:t>
      </w:r>
      <w:r w:rsidRPr="00B02B89">
        <w:rPr>
          <w:rFonts w:hint="eastAsia"/>
          <w:lang w:eastAsia="ja-JP"/>
        </w:rPr>
        <w:t xml:space="preserve"> on banana</w:t>
      </w:r>
      <w:r w:rsidRPr="00B02B89">
        <w:rPr>
          <w:lang w:eastAsia="ja-JP"/>
        </w:rPr>
        <w:t>s</w:t>
      </w:r>
      <w:r>
        <w:rPr>
          <w:lang w:eastAsia="ja-JP"/>
        </w:rPr>
        <w:t xml:space="preserve"> </w:t>
      </w:r>
      <w:r w:rsidRPr="00B02B89">
        <w:rPr>
          <w:rFonts w:hint="eastAsia"/>
          <w:lang w:eastAsia="ja-JP"/>
        </w:rPr>
        <w:t>import</w:t>
      </w:r>
      <w:r w:rsidRPr="00B02B89">
        <w:rPr>
          <w:lang w:eastAsia="ja-JP"/>
        </w:rPr>
        <w:t xml:space="preserve">ed into </w:t>
      </w:r>
      <w:r w:rsidRPr="00B02B89">
        <w:rPr>
          <w:rFonts w:hint="eastAsia"/>
          <w:lang w:eastAsia="ja-JP"/>
        </w:rPr>
        <w:t>South Korea (Park</w:t>
      </w:r>
      <w:r w:rsidRPr="00585419">
        <w:rPr>
          <w:rFonts w:hint="eastAsia"/>
          <w:i/>
          <w:lang w:eastAsia="ja-JP"/>
        </w:rPr>
        <w:t xml:space="preserve"> et al</w:t>
      </w:r>
      <w:r w:rsidRPr="00B02B89">
        <w:rPr>
          <w:rFonts w:hint="eastAsia"/>
          <w:lang w:eastAsia="ja-JP"/>
        </w:rPr>
        <w:t>.</w:t>
      </w:r>
      <w:r>
        <w:rPr>
          <w:lang w:eastAsia="ja-JP"/>
        </w:rPr>
        <w:t>,</w:t>
      </w:r>
      <w:r w:rsidRPr="00B02B89">
        <w:rPr>
          <w:rFonts w:hint="eastAsia"/>
          <w:lang w:eastAsia="ja-JP"/>
        </w:rPr>
        <w:t xml:space="preserve"> 2020)</w:t>
      </w:r>
      <w:r>
        <w:rPr>
          <w:lang w:eastAsia="ja-JP"/>
        </w:rPr>
        <w:t>.</w:t>
      </w:r>
      <w:r w:rsidR="005617DE">
        <w:rPr>
          <w:lang w:eastAsia="ja-JP"/>
        </w:rPr>
        <w:t xml:space="preserve"> </w:t>
      </w:r>
      <w:r>
        <w:rPr>
          <w:lang w:eastAsia="ja-JP"/>
        </w:rPr>
        <w:t xml:space="preserve">Results showed that </w:t>
      </w:r>
      <w:r w:rsidRPr="00B02B89">
        <w:rPr>
          <w:rFonts w:hint="eastAsia"/>
          <w:lang w:eastAsia="ja-JP"/>
        </w:rPr>
        <w:t xml:space="preserve">EF fumigation </w:t>
      </w:r>
    </w:p>
    <w:p w14:paraId="1EB9CAA4" w14:textId="77777777" w:rsidR="00944FC9" w:rsidRPr="00B02B89" w:rsidRDefault="00944FC9" w:rsidP="00944FC9">
      <w:pPr>
        <w:pStyle w:val="NormalWeb"/>
        <w:rPr>
          <w:lang w:eastAsia="ja-JP"/>
        </w:rPr>
      </w:pPr>
      <w:r>
        <w:rPr>
          <w:lang w:eastAsia="ja-JP"/>
        </w:rPr>
        <w:lastRenderedPageBreak/>
        <w:t>sorption to bananas and</w:t>
      </w:r>
      <w:r w:rsidRPr="00B02B89">
        <w:rPr>
          <w:rFonts w:hint="eastAsia"/>
          <w:lang w:eastAsia="ja-JP"/>
        </w:rPr>
        <w:t xml:space="preserve"> packaging materials </w:t>
      </w:r>
      <w:r>
        <w:rPr>
          <w:lang w:eastAsia="ja-JP"/>
        </w:rPr>
        <w:t xml:space="preserve">lowered the realized EF concentrations around banana and reduced the mortality of </w:t>
      </w:r>
      <w:r w:rsidRPr="00BF0FD5">
        <w:rPr>
          <w:i/>
          <w:iCs/>
          <w:lang w:eastAsia="ja-JP"/>
        </w:rPr>
        <w:t xml:space="preserve">P. </w:t>
      </w:r>
      <w:proofErr w:type="spellStart"/>
      <w:r w:rsidRPr="00BF0FD5">
        <w:rPr>
          <w:i/>
          <w:iCs/>
          <w:lang w:eastAsia="ja-JP"/>
        </w:rPr>
        <w:t>citri</w:t>
      </w:r>
      <w:proofErr w:type="spellEnd"/>
      <w:r>
        <w:rPr>
          <w:lang w:eastAsia="ja-JP"/>
        </w:rPr>
        <w:t xml:space="preserve"> eggs despite similar efficacy of MB and EF for controlling </w:t>
      </w:r>
      <w:r w:rsidRPr="00BF0FD5">
        <w:rPr>
          <w:i/>
          <w:iCs/>
          <w:lang w:eastAsia="ja-JP"/>
        </w:rPr>
        <w:t xml:space="preserve">P. </w:t>
      </w:r>
      <w:proofErr w:type="spellStart"/>
      <w:r w:rsidRPr="00BF0FD5">
        <w:rPr>
          <w:i/>
          <w:iCs/>
          <w:lang w:eastAsia="ja-JP"/>
        </w:rPr>
        <w:t>citri</w:t>
      </w:r>
      <w:proofErr w:type="spellEnd"/>
      <w:r>
        <w:rPr>
          <w:lang w:eastAsia="ja-JP"/>
        </w:rPr>
        <w:t>.</w:t>
      </w:r>
      <w:r w:rsidRPr="00B02B89">
        <w:rPr>
          <w:rFonts w:hint="eastAsia"/>
          <w:lang w:eastAsia="ja-JP"/>
        </w:rPr>
        <w:t xml:space="preserve"> </w:t>
      </w:r>
    </w:p>
    <w:p w14:paraId="589FC587" w14:textId="64CAF492" w:rsidR="00944FC9" w:rsidRPr="00B02B89" w:rsidRDefault="00944FC9" w:rsidP="00944FC9">
      <w:pPr>
        <w:pStyle w:val="NormalWeb"/>
        <w:rPr>
          <w:lang w:eastAsia="ja-JP"/>
        </w:rPr>
      </w:pPr>
      <w:r w:rsidRPr="00B02B89">
        <w:rPr>
          <w:rFonts w:hint="eastAsia"/>
          <w:lang w:eastAsia="ja-JP"/>
        </w:rPr>
        <w:t xml:space="preserve">Cho </w:t>
      </w:r>
      <w:r w:rsidRPr="00A441E5">
        <w:rPr>
          <w:rFonts w:hint="eastAsia"/>
          <w:i/>
          <w:lang w:eastAsia="ja-JP"/>
        </w:rPr>
        <w:t>et al</w:t>
      </w:r>
      <w:r w:rsidRPr="00B02B89">
        <w:rPr>
          <w:rFonts w:hint="eastAsia"/>
          <w:lang w:eastAsia="ja-JP"/>
        </w:rPr>
        <w:t>.</w:t>
      </w:r>
      <w:r>
        <w:rPr>
          <w:lang w:eastAsia="ja-JP"/>
        </w:rPr>
        <w:t>,</w:t>
      </w:r>
      <w:r w:rsidRPr="00B02B89">
        <w:rPr>
          <w:rFonts w:hint="eastAsia"/>
          <w:lang w:eastAsia="ja-JP"/>
        </w:rPr>
        <w:t xml:space="preserve"> (20</w:t>
      </w:r>
      <w:r w:rsidRPr="00B02B89">
        <w:rPr>
          <w:lang w:eastAsia="ja-JP"/>
        </w:rPr>
        <w:t>20</w:t>
      </w:r>
      <w:r w:rsidRPr="00B02B89">
        <w:rPr>
          <w:rFonts w:hint="eastAsia"/>
          <w:lang w:eastAsia="ja-JP"/>
        </w:rPr>
        <w:t xml:space="preserve">) evaluated </w:t>
      </w:r>
      <w:r w:rsidRPr="00B02B89">
        <w:rPr>
          <w:lang w:eastAsia="ja-JP"/>
        </w:rPr>
        <w:t>the combined</w:t>
      </w:r>
      <w:r w:rsidRPr="00B02B89">
        <w:rPr>
          <w:rFonts w:hint="eastAsia"/>
          <w:lang w:eastAsia="ja-JP"/>
        </w:rPr>
        <w:t xml:space="preserve"> effect of EF</w:t>
      </w:r>
      <w:r w:rsidRPr="00B02B89">
        <w:rPr>
          <w:lang w:eastAsia="ja-JP"/>
        </w:rPr>
        <w:t xml:space="preserve"> (</w:t>
      </w:r>
      <w:r w:rsidRPr="00B02B89">
        <w:rPr>
          <w:rFonts w:hint="eastAsia"/>
          <w:lang w:eastAsia="ja-JP"/>
        </w:rPr>
        <w:t>20</w:t>
      </w:r>
      <w:r w:rsidRPr="00B02B89">
        <w:rPr>
          <w:lang w:eastAsia="ja-JP"/>
        </w:rPr>
        <w:t xml:space="preserve"> </w:t>
      </w:r>
      <w:r w:rsidRPr="00B02B89">
        <w:rPr>
          <w:rFonts w:hint="eastAsia"/>
          <w:lang w:eastAsia="ja-JP"/>
        </w:rPr>
        <w:t>g/m</w:t>
      </w:r>
      <w:r w:rsidRPr="00B02B89">
        <w:rPr>
          <w:rFonts w:hint="eastAsia"/>
          <w:vertAlign w:val="superscript"/>
          <w:lang w:eastAsia="ja-JP"/>
        </w:rPr>
        <w:t>3</w:t>
      </w:r>
      <w:r w:rsidRPr="00B02B89">
        <w:rPr>
          <w:lang w:eastAsia="ja-JP"/>
        </w:rPr>
        <w:t>) plus</w:t>
      </w:r>
      <w:r w:rsidRPr="00B02B89">
        <w:rPr>
          <w:rFonts w:hint="eastAsia"/>
          <w:lang w:eastAsia="ja-JP"/>
        </w:rPr>
        <w:t xml:space="preserve"> PH</w:t>
      </w:r>
      <w:r w:rsidRPr="00B02B89">
        <w:rPr>
          <w:rFonts w:hint="eastAsia"/>
          <w:vertAlign w:val="subscript"/>
          <w:lang w:eastAsia="ja-JP"/>
        </w:rPr>
        <w:t>3</w:t>
      </w:r>
      <w:r w:rsidRPr="00B02B89">
        <w:rPr>
          <w:lang w:eastAsia="ja-JP"/>
        </w:rPr>
        <w:t xml:space="preserve"> (</w:t>
      </w:r>
      <w:r w:rsidRPr="00B02B89">
        <w:rPr>
          <w:rFonts w:hint="eastAsia"/>
          <w:lang w:eastAsia="ja-JP"/>
        </w:rPr>
        <w:t>1 g/m</w:t>
      </w:r>
      <w:r w:rsidRPr="00B02B89">
        <w:rPr>
          <w:rFonts w:hint="eastAsia"/>
          <w:vertAlign w:val="superscript"/>
          <w:lang w:eastAsia="ja-JP"/>
        </w:rPr>
        <w:t>3</w:t>
      </w:r>
      <w:r w:rsidRPr="00B02B89">
        <w:rPr>
          <w:lang w:eastAsia="ja-JP"/>
        </w:rPr>
        <w:t xml:space="preserve">) on mealy bugs nursery plants and despite good control there was some </w:t>
      </w:r>
      <w:proofErr w:type="spellStart"/>
      <w:r w:rsidRPr="00B02B89">
        <w:rPr>
          <w:lang w:eastAsia="ja-JP"/>
        </w:rPr>
        <w:t>phytotoixicty</w:t>
      </w:r>
      <w:proofErr w:type="spellEnd"/>
      <w:r w:rsidRPr="00B02B89">
        <w:rPr>
          <w:lang w:eastAsia="ja-JP"/>
        </w:rPr>
        <w:t xml:space="preserve"> of the treatments. </w:t>
      </w:r>
    </w:p>
    <w:p w14:paraId="04699E9E" w14:textId="77777777" w:rsidR="00944FC9" w:rsidRPr="00B02B89" w:rsidRDefault="00944FC9" w:rsidP="00944FC9">
      <w:pPr>
        <w:pStyle w:val="NormalWeb"/>
        <w:rPr>
          <w:rFonts w:eastAsia="SimSun"/>
        </w:rPr>
      </w:pPr>
      <w:r w:rsidRPr="00B02B89">
        <w:rPr>
          <w:lang w:eastAsia="ja-JP"/>
        </w:rPr>
        <w:t>EF was evaluated as a potential MB alternative</w:t>
      </w:r>
      <w:r>
        <w:rPr>
          <w:lang w:eastAsia="ja-JP"/>
        </w:rPr>
        <w:t xml:space="preserve"> for controlling</w:t>
      </w:r>
      <w:r w:rsidRPr="00B02B89">
        <w:rPr>
          <w:lang w:eastAsia="ja-JP"/>
        </w:rPr>
        <w:t xml:space="preserve"> </w:t>
      </w:r>
      <w:r w:rsidRPr="00951434">
        <w:rPr>
          <w:lang w:eastAsia="ja-JP"/>
        </w:rPr>
        <w:t xml:space="preserve">exotic ants and termites from stone and lumber imported into Korea </w:t>
      </w:r>
      <w:r w:rsidRPr="00B02B89">
        <w:rPr>
          <w:lang w:eastAsia="ja-JP"/>
        </w:rPr>
        <w:t>with</w:t>
      </w:r>
      <w:r>
        <w:rPr>
          <w:lang w:eastAsia="ja-JP"/>
        </w:rPr>
        <w:t xml:space="preserve"> encouraging results. C</w:t>
      </w:r>
      <w:r w:rsidRPr="00B02B89">
        <w:rPr>
          <w:lang w:eastAsia="ja-JP"/>
        </w:rPr>
        <w:t xml:space="preserve">ommercial scale trials suggest that EF fumigation may be applicable for disinfestation of invasive </w:t>
      </w:r>
      <w:r>
        <w:rPr>
          <w:lang w:eastAsia="ja-JP"/>
        </w:rPr>
        <w:t xml:space="preserve">worker ants and female </w:t>
      </w:r>
      <w:proofErr w:type="spellStart"/>
      <w:r>
        <w:rPr>
          <w:lang w:eastAsia="ja-JP"/>
        </w:rPr>
        <w:t>alates</w:t>
      </w:r>
      <w:proofErr w:type="spellEnd"/>
      <w:r>
        <w:rPr>
          <w:lang w:eastAsia="ja-JP"/>
        </w:rPr>
        <w:t xml:space="preserve"> of </w:t>
      </w:r>
      <w:proofErr w:type="spellStart"/>
      <w:r w:rsidRPr="00B02B89">
        <w:rPr>
          <w:i/>
          <w:lang w:eastAsia="ja-JP"/>
        </w:rPr>
        <w:t>S</w:t>
      </w:r>
      <w:r>
        <w:rPr>
          <w:i/>
          <w:lang w:eastAsia="ja-JP"/>
        </w:rPr>
        <w:t>oleopsis</w:t>
      </w:r>
      <w:proofErr w:type="spellEnd"/>
      <w:r w:rsidRPr="00B02B89">
        <w:rPr>
          <w:i/>
          <w:lang w:eastAsia="ja-JP"/>
        </w:rPr>
        <w:t xml:space="preserve"> </w:t>
      </w:r>
      <w:proofErr w:type="spellStart"/>
      <w:r w:rsidRPr="00B02B89">
        <w:rPr>
          <w:i/>
          <w:lang w:eastAsia="ja-JP"/>
        </w:rPr>
        <w:t>invicta</w:t>
      </w:r>
      <w:proofErr w:type="spellEnd"/>
      <w:r w:rsidRPr="00B02B89">
        <w:rPr>
          <w:lang w:eastAsia="ja-JP"/>
        </w:rPr>
        <w:t xml:space="preserve"> on imported lumber (Kim, D. </w:t>
      </w:r>
      <w:r w:rsidRPr="00A441E5">
        <w:rPr>
          <w:i/>
          <w:lang w:eastAsia="ja-JP"/>
        </w:rPr>
        <w:t>et al.</w:t>
      </w:r>
      <w:r>
        <w:rPr>
          <w:lang w:eastAsia="ja-JP"/>
        </w:rPr>
        <w:t>,</w:t>
      </w:r>
      <w:r w:rsidRPr="00B02B89">
        <w:rPr>
          <w:lang w:eastAsia="ja-JP"/>
        </w:rPr>
        <w:t xml:space="preserve"> 2021).</w:t>
      </w:r>
      <w:r>
        <w:rPr>
          <w:lang w:eastAsia="ja-JP"/>
        </w:rPr>
        <w:t xml:space="preserve"> New Zealand has adopted EF (with CO2) to </w:t>
      </w:r>
      <w:r w:rsidRPr="008D494E">
        <w:rPr>
          <w:lang w:eastAsia="ja-JP"/>
        </w:rPr>
        <w:t xml:space="preserve">control both ants and the brown marmorated stick bug </w:t>
      </w:r>
      <w:r w:rsidRPr="00460CC6">
        <w:rPr>
          <w:szCs w:val="22"/>
          <w:lang w:eastAsia="ja-JP"/>
        </w:rPr>
        <w:t>(</w:t>
      </w:r>
      <w:hyperlink r:id="rId45" w:tooltip="1555 - Approved Biosecurity Treatments for Risk Goods " w:history="1">
        <w:r w:rsidRPr="00460CC6">
          <w:rPr>
            <w:color w:val="1875B4"/>
            <w:szCs w:val="22"/>
            <w:u w:val="single"/>
            <w:bdr w:val="none" w:sz="0" w:space="0" w:color="auto" w:frame="1"/>
          </w:rPr>
          <w:t>Approved biosecurity treatments</w:t>
        </w:r>
      </w:hyperlink>
      <w:r w:rsidRPr="00460CC6">
        <w:rPr>
          <w:color w:val="000000"/>
          <w:szCs w:val="22"/>
        </w:rPr>
        <w:t>).</w:t>
      </w:r>
      <w:r w:rsidRPr="008D494E">
        <w:rPr>
          <w:lang w:eastAsia="ja-JP"/>
        </w:rPr>
        <w:br/>
      </w:r>
      <w:r>
        <w:rPr>
          <w:lang w:eastAsia="ja-JP"/>
        </w:rPr>
        <w:br/>
      </w:r>
      <w:r w:rsidRPr="00B02B89">
        <w:rPr>
          <w:rFonts w:eastAsia="SimSun"/>
        </w:rPr>
        <w:t xml:space="preserve">Spotted wing drosophila, </w:t>
      </w:r>
      <w:r w:rsidRPr="00B02B89">
        <w:rPr>
          <w:rFonts w:eastAsia="SimSun"/>
          <w:i/>
        </w:rPr>
        <w:t xml:space="preserve">Drosophila </w:t>
      </w:r>
      <w:proofErr w:type="spellStart"/>
      <w:r w:rsidRPr="00B02B89">
        <w:rPr>
          <w:rFonts w:eastAsia="SimSun"/>
          <w:i/>
        </w:rPr>
        <w:t>suzukii</w:t>
      </w:r>
      <w:proofErr w:type="spellEnd"/>
      <w:r w:rsidRPr="00B02B89">
        <w:rPr>
          <w:rFonts w:eastAsia="SimSun"/>
        </w:rPr>
        <w:t xml:space="preserve"> (</w:t>
      </w:r>
      <w:proofErr w:type="spellStart"/>
      <w:r w:rsidRPr="00B02B89">
        <w:rPr>
          <w:rFonts w:eastAsia="SimSun"/>
        </w:rPr>
        <w:t>Diptera</w:t>
      </w:r>
      <w:proofErr w:type="spellEnd"/>
      <w:r w:rsidRPr="00B02B89">
        <w:rPr>
          <w:rFonts w:eastAsia="SimSun"/>
        </w:rPr>
        <w:t xml:space="preserve">: </w:t>
      </w:r>
      <w:proofErr w:type="spellStart"/>
      <w:r w:rsidRPr="00B02B89">
        <w:rPr>
          <w:rFonts w:eastAsia="SimSun"/>
        </w:rPr>
        <w:t>Drosophilidae</w:t>
      </w:r>
      <w:proofErr w:type="spellEnd"/>
      <w:r w:rsidRPr="00B02B89">
        <w:rPr>
          <w:rFonts w:eastAsia="SimSun"/>
        </w:rPr>
        <w:t>) in the U.S. and Europe has become a major phytosanitary trade barrier.</w:t>
      </w:r>
      <w:r w:rsidRPr="00B02B89">
        <w:rPr>
          <w:rFonts w:hint="eastAsia"/>
          <w:lang w:eastAsia="ja-JP"/>
        </w:rPr>
        <w:t xml:space="preserve"> </w:t>
      </w:r>
      <w:r w:rsidRPr="00B02B89">
        <w:rPr>
          <w:lang w:eastAsia="ja-JP"/>
        </w:rPr>
        <w:t xml:space="preserve">Kwon </w:t>
      </w:r>
      <w:r w:rsidRPr="00E537F1">
        <w:rPr>
          <w:i/>
          <w:lang w:eastAsia="ja-JP"/>
        </w:rPr>
        <w:t>et al</w:t>
      </w:r>
      <w:r w:rsidRPr="00B02B89">
        <w:rPr>
          <w:lang w:eastAsia="ja-JP"/>
        </w:rPr>
        <w:t>. (2021a)</w:t>
      </w:r>
      <w:r w:rsidRPr="00B02B89">
        <w:rPr>
          <w:rFonts w:eastAsia="SimSun"/>
        </w:rPr>
        <w:t xml:space="preserve"> explored the potential of using stand-alone EF treatment and a combined treatment of EF and cold temperature for </w:t>
      </w:r>
      <w:r w:rsidRPr="00B02B89">
        <w:rPr>
          <w:rFonts w:eastAsia="SimSun"/>
          <w:i/>
        </w:rPr>
        <w:t xml:space="preserve">D. </w:t>
      </w:r>
      <w:proofErr w:type="spellStart"/>
      <w:r w:rsidRPr="00B02B89">
        <w:rPr>
          <w:rFonts w:eastAsia="SimSun"/>
          <w:i/>
        </w:rPr>
        <w:t>suzukii</w:t>
      </w:r>
      <w:proofErr w:type="spellEnd"/>
      <w:r w:rsidRPr="00B02B89">
        <w:rPr>
          <w:rFonts w:eastAsia="SimSun"/>
        </w:rPr>
        <w:t xml:space="preserve"> in imported blueberries. In small scale pilot studies, 9-d</w:t>
      </w:r>
      <w:r>
        <w:rPr>
          <w:rFonts w:eastAsia="SimSun"/>
        </w:rPr>
        <w:t>ay</w:t>
      </w:r>
      <w:r w:rsidRPr="00B02B89">
        <w:rPr>
          <w:rFonts w:eastAsia="SimSun"/>
        </w:rPr>
        <w:t xml:space="preserve"> stand-alone cold treatment at 5°C was sufficient for complete control of </w:t>
      </w:r>
      <w:r w:rsidRPr="00B02B89">
        <w:rPr>
          <w:rFonts w:eastAsia="SimSun"/>
          <w:i/>
        </w:rPr>
        <w:t xml:space="preserve">D. </w:t>
      </w:r>
      <w:proofErr w:type="spellStart"/>
      <w:r w:rsidRPr="00B02B89">
        <w:rPr>
          <w:rFonts w:eastAsia="SimSun"/>
          <w:i/>
        </w:rPr>
        <w:t>suzukii</w:t>
      </w:r>
      <w:proofErr w:type="spellEnd"/>
      <w:r w:rsidRPr="00B02B89">
        <w:rPr>
          <w:rFonts w:eastAsia="SimSun"/>
          <w:i/>
        </w:rPr>
        <w:t xml:space="preserve"> </w:t>
      </w:r>
      <w:r w:rsidRPr="00B02B89">
        <w:rPr>
          <w:rFonts w:eastAsia="SimSun"/>
        </w:rPr>
        <w:t xml:space="preserve">eggs and larvae tested, but not pupae. The efficacy of this cold treatment appeared to improve when </w:t>
      </w:r>
      <w:r w:rsidRPr="00B02B89">
        <w:rPr>
          <w:rFonts w:eastAsia="SimSun"/>
          <w:i/>
        </w:rPr>
        <w:t xml:space="preserve">D. </w:t>
      </w:r>
      <w:proofErr w:type="spellStart"/>
      <w:r w:rsidRPr="00B02B89">
        <w:rPr>
          <w:rFonts w:eastAsia="SimSun"/>
          <w:i/>
        </w:rPr>
        <w:t>suzukii</w:t>
      </w:r>
      <w:proofErr w:type="spellEnd"/>
      <w:r w:rsidRPr="00B02B89">
        <w:rPr>
          <w:rFonts w:eastAsia="SimSun"/>
        </w:rPr>
        <w:t xml:space="preserve"> eggs were first treated with low-dose EF (LCt50% level) prior to the cold treatment. </w:t>
      </w:r>
    </w:p>
    <w:p w14:paraId="62F6CD51" w14:textId="44D17A79" w:rsidR="00944FC9" w:rsidRPr="00B02B89" w:rsidRDefault="00944FC9" w:rsidP="00944FC9">
      <w:pPr>
        <w:spacing w:before="120" w:after="120"/>
      </w:pPr>
      <w:r w:rsidRPr="00B02B89">
        <w:t>The brown marmorated stink bug (BMSB)</w:t>
      </w:r>
      <w:r w:rsidRPr="00B02B89">
        <w:rPr>
          <w:rFonts w:eastAsia="SimSun"/>
        </w:rPr>
        <w:t xml:space="preserve">, </w:t>
      </w:r>
      <w:proofErr w:type="spellStart"/>
      <w:r w:rsidRPr="00B02B89">
        <w:rPr>
          <w:rFonts w:eastAsia="SimSun"/>
          <w:i/>
          <w:iCs/>
        </w:rPr>
        <w:t>Halyomorpha</w:t>
      </w:r>
      <w:proofErr w:type="spellEnd"/>
      <w:r w:rsidRPr="00B02B89">
        <w:rPr>
          <w:rFonts w:eastAsia="SimSun"/>
          <w:i/>
          <w:iCs/>
        </w:rPr>
        <w:t xml:space="preserve"> </w:t>
      </w:r>
      <w:proofErr w:type="spellStart"/>
      <w:r w:rsidRPr="00B02B89">
        <w:rPr>
          <w:rFonts w:eastAsia="SimSun"/>
          <w:i/>
          <w:iCs/>
        </w:rPr>
        <w:t>halys</w:t>
      </w:r>
      <w:proofErr w:type="spellEnd"/>
      <w:r w:rsidRPr="00B02B89">
        <w:rPr>
          <w:rFonts w:eastAsia="SimSun"/>
        </w:rPr>
        <w:t xml:space="preserve"> (</w:t>
      </w:r>
      <w:r>
        <w:rPr>
          <w:rFonts w:eastAsia="SimSun"/>
        </w:rPr>
        <w:t xml:space="preserve">Hemiptera: </w:t>
      </w:r>
      <w:proofErr w:type="spellStart"/>
      <w:r w:rsidRPr="00B02B89">
        <w:rPr>
          <w:rFonts w:eastAsia="SimSun"/>
        </w:rPr>
        <w:t>Pentatomidae</w:t>
      </w:r>
      <w:proofErr w:type="spellEnd"/>
      <w:r w:rsidRPr="00B02B89">
        <w:rPr>
          <w:rFonts w:eastAsia="SimSun"/>
        </w:rPr>
        <w:t>)</w:t>
      </w:r>
      <w:r w:rsidRPr="00B02B89">
        <w:rPr>
          <w:rFonts w:eastAsia="SimSun"/>
          <w:b/>
        </w:rPr>
        <w:t xml:space="preserve"> </w:t>
      </w:r>
      <w:r w:rsidRPr="00B02B89">
        <w:t>is a sap sucking insect native to China, Japan</w:t>
      </w:r>
      <w:r w:rsidR="00F0728E">
        <w:t xml:space="preserve"> and</w:t>
      </w:r>
      <w:bookmarkStart w:id="347" w:name="_GoBack"/>
      <w:bookmarkEnd w:id="347"/>
      <w:r w:rsidRPr="00B02B89">
        <w:t xml:space="preserve"> Korea that has become invasive in North America, Europe and Chile. It causes significant damage to a wide array of economically important crop species. Ethyl </w:t>
      </w:r>
      <w:proofErr w:type="spellStart"/>
      <w:r w:rsidRPr="00B02B89">
        <w:t>formate</w:t>
      </w:r>
      <w:proofErr w:type="spellEnd"/>
      <w:r w:rsidRPr="00B02B89">
        <w:t xml:space="preserve"> </w:t>
      </w:r>
      <w:r>
        <w:t>(with CO</w:t>
      </w:r>
      <w:r w:rsidRPr="00BF0FD5">
        <w:rPr>
          <w:vertAlign w:val="subscript"/>
        </w:rPr>
        <w:t>2</w:t>
      </w:r>
      <w:r>
        <w:t xml:space="preserve">) </w:t>
      </w:r>
      <w:r w:rsidRPr="00B02B89">
        <w:t>has been successfully tested against overwintering BMSB by Kawagoe</w:t>
      </w:r>
      <w:r>
        <w:t xml:space="preserve"> </w:t>
      </w:r>
      <w:r>
        <w:rPr>
          <w:i/>
        </w:rPr>
        <w:t>et al.,</w:t>
      </w:r>
      <w:r w:rsidRPr="00B02B89">
        <w:t xml:space="preserve"> (202</w:t>
      </w:r>
      <w:r>
        <w:t>2</w:t>
      </w:r>
      <w:r w:rsidRPr="00B02B89">
        <w:t xml:space="preserve">) </w:t>
      </w:r>
      <w:r>
        <w:t>with</w:t>
      </w:r>
      <w:r w:rsidRPr="00B02B89">
        <w:t xml:space="preserve"> a 4</w:t>
      </w:r>
      <w:r>
        <w:t>-</w:t>
      </w:r>
      <w:r w:rsidRPr="00B02B89">
        <w:t>hour trea</w:t>
      </w:r>
      <w:r>
        <w:t>t</w:t>
      </w:r>
      <w:r w:rsidRPr="00B02B89">
        <w:t xml:space="preserve">ment schedule </w:t>
      </w:r>
      <w:r>
        <w:t>using</w:t>
      </w:r>
      <w:r w:rsidRPr="00B02B89">
        <w:t xml:space="preserve"> 15 g/m</w:t>
      </w:r>
      <w:r w:rsidRPr="00EB15BC">
        <w:rPr>
          <w:vertAlign w:val="superscript"/>
        </w:rPr>
        <w:t>3</w:t>
      </w:r>
      <w:r w:rsidRPr="00B02B89">
        <w:t xml:space="preserve"> E</w:t>
      </w:r>
      <w:r>
        <w:t>F</w:t>
      </w:r>
      <w:r w:rsidRPr="00B02B89">
        <w:t xml:space="preserve"> and 3% CO</w:t>
      </w:r>
      <w:r w:rsidRPr="00585419">
        <w:rPr>
          <w:vertAlign w:val="subscript"/>
        </w:rPr>
        <w:t>2</w:t>
      </w:r>
      <w:r w:rsidRPr="00B02B89">
        <w:t>.</w:t>
      </w:r>
    </w:p>
    <w:p w14:paraId="312F85ED" w14:textId="77777777" w:rsidR="00944FC9" w:rsidRPr="00460CC6" w:rsidRDefault="00944FC9" w:rsidP="00460CC6">
      <w:pPr>
        <w:rPr>
          <w:rFonts w:eastAsia="SimSun"/>
        </w:rPr>
      </w:pPr>
      <w:r w:rsidRPr="00460CC6">
        <w:rPr>
          <w:rFonts w:eastAsia="SimSun"/>
        </w:rPr>
        <w:t xml:space="preserve">Kim, et al. (2021) attempted to shorten phosphine treatment time and avoid resistance to this fumigant with a combined treatment with EF for control of </w:t>
      </w:r>
      <w:proofErr w:type="spellStart"/>
      <w:r w:rsidRPr="00460CC6">
        <w:rPr>
          <w:rFonts w:eastAsia="SimSun"/>
        </w:rPr>
        <w:t>Planococcus</w:t>
      </w:r>
      <w:proofErr w:type="spellEnd"/>
      <w:r w:rsidRPr="00460CC6">
        <w:rPr>
          <w:rFonts w:eastAsia="SimSun"/>
        </w:rPr>
        <w:t xml:space="preserve"> </w:t>
      </w:r>
      <w:proofErr w:type="spellStart"/>
      <w:r w:rsidRPr="00460CC6">
        <w:rPr>
          <w:rFonts w:eastAsia="SimSun"/>
        </w:rPr>
        <w:t>citri</w:t>
      </w:r>
      <w:proofErr w:type="spellEnd"/>
      <w:r w:rsidRPr="00460CC6">
        <w:rPr>
          <w:rFonts w:eastAsia="SimSun"/>
        </w:rPr>
        <w:t xml:space="preserve">. The efficacy of PH3 decreased after reducing the treatment time, but synergistic effects were observed at all stages of development of P. </w:t>
      </w:r>
      <w:proofErr w:type="spellStart"/>
      <w:r w:rsidRPr="00460CC6">
        <w:rPr>
          <w:rFonts w:eastAsia="SimSun"/>
        </w:rPr>
        <w:t>citri</w:t>
      </w:r>
      <w:proofErr w:type="spellEnd"/>
      <w:r w:rsidRPr="00460CC6">
        <w:rPr>
          <w:rFonts w:eastAsia="SimSun"/>
        </w:rPr>
        <w:t xml:space="preserve"> when both fumigants were used simultaneously for 4 h. </w:t>
      </w:r>
    </w:p>
    <w:p w14:paraId="16A10F6A" w14:textId="7BC71CF0" w:rsidR="00944FC9" w:rsidRPr="00460CC6" w:rsidRDefault="00944FC9" w:rsidP="00460CC6">
      <w:pPr>
        <w:rPr>
          <w:rFonts w:eastAsia="SimSun"/>
        </w:rPr>
      </w:pPr>
      <w:r w:rsidRPr="00460CC6">
        <w:rPr>
          <w:rFonts w:eastAsia="SimSun"/>
        </w:rPr>
        <w:t xml:space="preserve">Kwon et al, (2021b) evaluated the efficacy of EF, Phosphine (PH3) and EF + PH3 on the mushroom fly, </w:t>
      </w:r>
      <w:proofErr w:type="spellStart"/>
      <w:r w:rsidRPr="00460CC6">
        <w:rPr>
          <w:rFonts w:eastAsia="SimSun"/>
        </w:rPr>
        <w:t>Lycoriella</w:t>
      </w:r>
      <w:proofErr w:type="spellEnd"/>
      <w:r w:rsidRPr="00460CC6">
        <w:rPr>
          <w:rFonts w:eastAsia="SimSun"/>
        </w:rPr>
        <w:t xml:space="preserve"> </w:t>
      </w:r>
      <w:proofErr w:type="spellStart"/>
      <w:r w:rsidRPr="00460CC6">
        <w:rPr>
          <w:rFonts w:eastAsia="SimSun"/>
        </w:rPr>
        <w:t>mali</w:t>
      </w:r>
      <w:proofErr w:type="spellEnd"/>
      <w:r w:rsidRPr="00460CC6">
        <w:rPr>
          <w:rFonts w:eastAsia="SimSun"/>
        </w:rPr>
        <w:t xml:space="preserve"> (</w:t>
      </w:r>
      <w:proofErr w:type="spellStart"/>
      <w:r w:rsidRPr="00460CC6">
        <w:rPr>
          <w:rFonts w:eastAsia="SimSun"/>
        </w:rPr>
        <w:t>Diptera</w:t>
      </w:r>
      <w:proofErr w:type="spellEnd"/>
      <w:r w:rsidRPr="00460CC6">
        <w:rPr>
          <w:rFonts w:eastAsia="SimSun"/>
        </w:rPr>
        <w:t xml:space="preserve">: </w:t>
      </w:r>
      <w:proofErr w:type="spellStart"/>
      <w:r w:rsidRPr="00460CC6">
        <w:rPr>
          <w:rFonts w:eastAsia="SimSun"/>
        </w:rPr>
        <w:t>Sciaridae</w:t>
      </w:r>
      <w:proofErr w:type="spellEnd"/>
      <w:r w:rsidRPr="00460CC6">
        <w:rPr>
          <w:rFonts w:eastAsia="SimSun"/>
        </w:rPr>
        <w:t>), the primary pest in imported mushrooms in South Korea. The combination treatment had a synergistic effect, with no phytotoxic damage.</w:t>
      </w:r>
    </w:p>
    <w:p w14:paraId="14790C56" w14:textId="257C0A5C" w:rsidR="00944FC9" w:rsidRPr="00B865BA" w:rsidRDefault="00944FC9" w:rsidP="00C63254">
      <w:pPr>
        <w:pStyle w:val="Heading6"/>
        <w:rPr>
          <w:snapToGrid w:val="0"/>
        </w:rPr>
      </w:pPr>
      <w:bookmarkStart w:id="348" w:name="_Toc38555040"/>
      <w:bookmarkStart w:id="349" w:name="_Toc39926387"/>
      <w:bookmarkStart w:id="350" w:name="_Toc40696057"/>
      <w:bookmarkStart w:id="351" w:name="_Toc77868886"/>
      <w:r w:rsidRPr="003B2A2A">
        <w:rPr>
          <w:rStyle w:val="Heading4Char"/>
          <w:sz w:val="24"/>
        </w:rPr>
        <w:t>5.3.1.3</w:t>
      </w:r>
      <w:r w:rsidRPr="003B2A2A">
        <w:rPr>
          <w:rStyle w:val="Heading4Char"/>
          <w:sz w:val="24"/>
        </w:rPr>
        <w:tab/>
        <w:t>Phosphine</w:t>
      </w:r>
      <w:bookmarkEnd w:id="348"/>
      <w:r w:rsidRPr="003B2A2A">
        <w:rPr>
          <w:rStyle w:val="Heading4Char"/>
          <w:sz w:val="24"/>
        </w:rPr>
        <w:t xml:space="preserve"> (PH</w:t>
      </w:r>
      <w:r w:rsidRPr="003B2A2A">
        <w:rPr>
          <w:rStyle w:val="Heading4Char"/>
          <w:sz w:val="24"/>
          <w:vertAlign w:val="subscript"/>
        </w:rPr>
        <w:t>3</w:t>
      </w:r>
      <w:r w:rsidRPr="003B2A2A">
        <w:rPr>
          <w:rStyle w:val="Heading4Char"/>
          <w:sz w:val="24"/>
        </w:rPr>
        <w:t>)</w:t>
      </w:r>
      <w:bookmarkEnd w:id="349"/>
      <w:bookmarkEnd w:id="350"/>
      <w:bookmarkEnd w:id="351"/>
    </w:p>
    <w:p w14:paraId="26D1B52B" w14:textId="2F9F169C" w:rsidR="00944FC9" w:rsidRPr="00B865BA" w:rsidRDefault="00944FC9" w:rsidP="00B865BA">
      <w:bookmarkStart w:id="352" w:name="_Toc38555041"/>
      <w:bookmarkStart w:id="353" w:name="_Toc39926388"/>
      <w:bookmarkStart w:id="354" w:name="_Toc40696058"/>
      <w:r>
        <w:t>R</w:t>
      </w:r>
      <w:r w:rsidRPr="00B02B89">
        <w:t xml:space="preserve">ecent </w:t>
      </w:r>
      <w:r>
        <w:t>research</w:t>
      </w:r>
      <w:r w:rsidRPr="00B02B89">
        <w:t xml:space="preserve"> continue</w:t>
      </w:r>
      <w:r>
        <w:t>s</w:t>
      </w:r>
      <w:r w:rsidRPr="00B02B89">
        <w:t xml:space="preserve"> to support use of phosphine as an alternative to </w:t>
      </w:r>
      <w:r>
        <w:t>MB</w:t>
      </w:r>
      <w:r w:rsidRPr="00B02B89">
        <w:t xml:space="preserve"> fumigation </w:t>
      </w:r>
      <w:r>
        <w:t>of</w:t>
      </w:r>
      <w:r w:rsidRPr="00B02B89">
        <w:t xml:space="preserve"> stored grain. One small scale project (Arora </w:t>
      </w:r>
      <w:r w:rsidRPr="00B02B89">
        <w:rPr>
          <w:i/>
        </w:rPr>
        <w:t>et al</w:t>
      </w:r>
      <w:r w:rsidRPr="00B02B89">
        <w:t>., 2021) showed effectiveness of phosphine in well-sealed systems under Indian conditions against three common beetle pests of wheat with 7 and 10-day exposures.</w:t>
      </w:r>
    </w:p>
    <w:p w14:paraId="262937F1" w14:textId="053327E1" w:rsidR="00944FC9" w:rsidRPr="00B865BA" w:rsidRDefault="00944FC9" w:rsidP="00B865BA">
      <w:r w:rsidRPr="00B865BA">
        <w:t>Sri Lanka and Pakistan are increasing the acceptance of PH3 to replace MB for imported grains (Mirage News, 2022).</w:t>
      </w:r>
    </w:p>
    <w:p w14:paraId="2A19FF72" w14:textId="17D6F3C6" w:rsidR="00944FC9" w:rsidRPr="00B865BA" w:rsidRDefault="00944FC9" w:rsidP="00B865BA">
      <w:pPr>
        <w:rPr>
          <w:rFonts w:eastAsia="MS PGothic"/>
        </w:rPr>
      </w:pPr>
      <w:r w:rsidRPr="00B02B89">
        <w:rPr>
          <w:rFonts w:eastAsia="MS Gothic"/>
        </w:rPr>
        <w:t xml:space="preserve">In Japan, a newly developed method for applying </w:t>
      </w:r>
      <w:proofErr w:type="spellStart"/>
      <w:r w:rsidRPr="00B02B89">
        <w:rPr>
          <w:rFonts w:eastAsia="MS Gothic"/>
        </w:rPr>
        <w:t>aluminum</w:t>
      </w:r>
      <w:proofErr w:type="spellEnd"/>
      <w:r w:rsidRPr="00B02B89">
        <w:rPr>
          <w:rFonts w:eastAsia="MS Gothic"/>
        </w:rPr>
        <w:t xml:space="preserve"> phosphide </w:t>
      </w:r>
      <w:r>
        <w:rPr>
          <w:rFonts w:eastAsia="MS Gothic"/>
        </w:rPr>
        <w:t xml:space="preserve">that </w:t>
      </w:r>
      <w:r w:rsidRPr="00B02B89">
        <w:rPr>
          <w:rFonts w:eastAsia="MS Gothic"/>
        </w:rPr>
        <w:t xml:space="preserve">prevents residual powder remaining on treated grain layer, substantially saving </w:t>
      </w:r>
      <w:proofErr w:type="spellStart"/>
      <w:r w:rsidRPr="00B02B89">
        <w:rPr>
          <w:rFonts w:eastAsia="MS Gothic"/>
        </w:rPr>
        <w:t>labor</w:t>
      </w:r>
      <w:proofErr w:type="spellEnd"/>
      <w:r>
        <w:rPr>
          <w:rFonts w:eastAsia="MS Gothic"/>
        </w:rPr>
        <w:t xml:space="preserve"> is now registered</w:t>
      </w:r>
      <w:r w:rsidRPr="00B02B89">
        <w:rPr>
          <w:rFonts w:eastAsia="MS Gothic"/>
        </w:rPr>
        <w:t xml:space="preserve">. Sachets of dose formulation are hung above the grain layer; phosphine gas is generated from the formulation and evenly distributed throughout the grain layer with air circulation. Once the fumigation is finished sachets are removed from the silo and disposed safely (Soma </w:t>
      </w:r>
      <w:r w:rsidRPr="00A441E5">
        <w:rPr>
          <w:rFonts w:eastAsia="MS Gothic"/>
          <w:i/>
        </w:rPr>
        <w:t>et al</w:t>
      </w:r>
      <w:r>
        <w:rPr>
          <w:rFonts w:eastAsia="MS Gothic"/>
          <w:i/>
        </w:rPr>
        <w:t>.</w:t>
      </w:r>
      <w:r w:rsidRPr="00A441E5">
        <w:rPr>
          <w:rFonts w:eastAsia="MS Gothic"/>
          <w:i/>
        </w:rPr>
        <w:t>,</w:t>
      </w:r>
      <w:r w:rsidRPr="00B02B89">
        <w:rPr>
          <w:rFonts w:eastAsia="MS Gothic"/>
        </w:rPr>
        <w:t xml:space="preserve"> 2018).</w:t>
      </w:r>
    </w:p>
    <w:p w14:paraId="65AF89B5" w14:textId="20AE1F0C" w:rsidR="00944FC9" w:rsidRPr="00B865BA" w:rsidRDefault="00944FC9" w:rsidP="00B865BA">
      <w:r w:rsidRPr="00B865BA">
        <w:t xml:space="preserve">Bean </w:t>
      </w:r>
      <w:proofErr w:type="spellStart"/>
      <w:r w:rsidRPr="00B865BA">
        <w:t>thrips</w:t>
      </w:r>
      <w:proofErr w:type="spellEnd"/>
      <w:r w:rsidRPr="00B865BA">
        <w:t xml:space="preserve"> (BT), </w:t>
      </w:r>
      <w:proofErr w:type="spellStart"/>
      <w:r w:rsidRPr="008C1373">
        <w:rPr>
          <w:i/>
        </w:rPr>
        <w:t>Caliothrips</w:t>
      </w:r>
      <w:proofErr w:type="spellEnd"/>
      <w:r w:rsidRPr="008C1373">
        <w:rPr>
          <w:i/>
        </w:rPr>
        <w:t xml:space="preserve"> </w:t>
      </w:r>
      <w:proofErr w:type="spellStart"/>
      <w:r w:rsidRPr="008C1373">
        <w:rPr>
          <w:i/>
        </w:rPr>
        <w:t>fasciatus</w:t>
      </w:r>
      <w:proofErr w:type="spellEnd"/>
      <w:r w:rsidR="008C1373">
        <w:t xml:space="preserve"> </w:t>
      </w:r>
      <w:r w:rsidRPr="00B865BA">
        <w:t>(</w:t>
      </w:r>
      <w:proofErr w:type="spellStart"/>
      <w:r w:rsidRPr="00B865BA">
        <w:t>Thysanoptera</w:t>
      </w:r>
      <w:proofErr w:type="spellEnd"/>
      <w:r w:rsidRPr="00B865BA">
        <w:t xml:space="preserve">: </w:t>
      </w:r>
      <w:proofErr w:type="spellStart"/>
      <w:r w:rsidRPr="00B865BA">
        <w:t>Thripidae</w:t>
      </w:r>
      <w:proofErr w:type="spellEnd"/>
      <w:r w:rsidRPr="00B865BA">
        <w:t xml:space="preserve">), are a pest of concern to certain countries that import fresh citrus fruit from California, USA. </w:t>
      </w:r>
      <w:proofErr w:type="spellStart"/>
      <w:r w:rsidRPr="00B865BA">
        <w:t>Walse</w:t>
      </w:r>
      <w:proofErr w:type="spellEnd"/>
      <w:r w:rsidRPr="00B865BA">
        <w:t xml:space="preserve"> and Jimenez (2021) conducted a series of laboratory-scale exploratory fumigations with different phosphine formulations to evaluate the postharvest control of adults. Results provided evidence to support the control of BT following fumigation with an applied dose of ≤ 1.5 g m-3 phosphine, showing good potential for this treatment.</w:t>
      </w:r>
    </w:p>
    <w:p w14:paraId="1A42D6CC" w14:textId="77777777" w:rsidR="00944FC9" w:rsidRPr="00E537F1" w:rsidRDefault="00944FC9" w:rsidP="00944FC9">
      <w:r w:rsidRPr="00E537F1">
        <w:lastRenderedPageBreak/>
        <w:t xml:space="preserve">The </w:t>
      </w:r>
      <w:proofErr w:type="spellStart"/>
      <w:r w:rsidRPr="00E537F1">
        <w:t>khapra</w:t>
      </w:r>
      <w:proofErr w:type="spellEnd"/>
      <w:r w:rsidRPr="00E537F1">
        <w:t xml:space="preserve"> beetle, </w:t>
      </w:r>
      <w:proofErr w:type="spellStart"/>
      <w:r w:rsidRPr="00E537F1">
        <w:rPr>
          <w:i/>
        </w:rPr>
        <w:t>Trogoderma</w:t>
      </w:r>
      <w:proofErr w:type="spellEnd"/>
      <w:r w:rsidRPr="00E537F1">
        <w:rPr>
          <w:i/>
        </w:rPr>
        <w:t xml:space="preserve"> </w:t>
      </w:r>
      <w:proofErr w:type="spellStart"/>
      <w:r w:rsidRPr="00E537F1">
        <w:rPr>
          <w:i/>
        </w:rPr>
        <w:t>granarium</w:t>
      </w:r>
      <w:proofErr w:type="spellEnd"/>
      <w:r w:rsidRPr="00E537F1">
        <w:t xml:space="preserve"> </w:t>
      </w:r>
      <w:r>
        <w:t>(</w:t>
      </w:r>
      <w:proofErr w:type="spellStart"/>
      <w:r>
        <w:t>Coleoptera</w:t>
      </w:r>
      <w:proofErr w:type="spellEnd"/>
      <w:r>
        <w:t xml:space="preserve">: </w:t>
      </w:r>
      <w:proofErr w:type="spellStart"/>
      <w:r>
        <w:t>Dermestidae</w:t>
      </w:r>
      <w:proofErr w:type="spellEnd"/>
      <w:r>
        <w:t>)</w:t>
      </w:r>
      <w:r w:rsidRPr="00E537F1">
        <w:t xml:space="preserve"> is one of the most important quarantine pests of stored grains. Most studies with phosphine gas highlight eggs as the most tolerant stage. </w:t>
      </w:r>
      <w:proofErr w:type="spellStart"/>
      <w:r w:rsidRPr="00E537F1">
        <w:t>Lampiri</w:t>
      </w:r>
      <w:proofErr w:type="spellEnd"/>
      <w:r w:rsidRPr="00E537F1">
        <w:t xml:space="preserve"> and </w:t>
      </w:r>
      <w:proofErr w:type="spellStart"/>
      <w:r w:rsidRPr="00E537F1">
        <w:t>Athanassiou</w:t>
      </w:r>
      <w:proofErr w:type="spellEnd"/>
      <w:r w:rsidRPr="00E537F1">
        <w:t xml:space="preserve"> (2021) recently suggest delayed effects of phosphine fumigation on larval growth and faster hatching in eggs exposed to phosphine for 2 d</w:t>
      </w:r>
      <w:r>
        <w:t>ays</w:t>
      </w:r>
      <w:r w:rsidRPr="00E537F1">
        <w:t>.</w:t>
      </w:r>
    </w:p>
    <w:p w14:paraId="093204E8" w14:textId="77777777" w:rsidR="00944FC9" w:rsidRDefault="00944FC9" w:rsidP="00944FC9">
      <w:pPr>
        <w:rPr>
          <w:lang w:eastAsia="ja-JP"/>
        </w:rPr>
      </w:pPr>
      <w:proofErr w:type="spellStart"/>
      <w:r w:rsidRPr="00B02B89">
        <w:rPr>
          <w:rFonts w:hint="eastAsia"/>
          <w:lang w:eastAsia="ja-JP"/>
        </w:rPr>
        <w:t>Gourgouta</w:t>
      </w:r>
      <w:proofErr w:type="spellEnd"/>
      <w:r w:rsidRPr="00B02B89">
        <w:rPr>
          <w:rFonts w:hint="eastAsia"/>
          <w:lang w:eastAsia="ja-JP"/>
        </w:rPr>
        <w:t xml:space="preserve"> </w:t>
      </w:r>
      <w:r w:rsidRPr="00B02B89">
        <w:rPr>
          <w:rFonts w:hint="eastAsia"/>
          <w:i/>
          <w:iCs/>
          <w:lang w:eastAsia="ja-JP"/>
        </w:rPr>
        <w:t>et al.</w:t>
      </w:r>
      <w:r w:rsidRPr="00B02B89">
        <w:rPr>
          <w:rFonts w:hint="eastAsia"/>
          <w:lang w:eastAsia="ja-JP"/>
        </w:rPr>
        <w:t xml:space="preserve"> (2021) conducted mortality test</w:t>
      </w:r>
      <w:r w:rsidRPr="00B02B89">
        <w:rPr>
          <w:lang w:eastAsia="ja-JP"/>
        </w:rPr>
        <w:t>s</w:t>
      </w:r>
      <w:r w:rsidRPr="00B02B89">
        <w:rPr>
          <w:rFonts w:hint="eastAsia"/>
          <w:lang w:eastAsia="ja-JP"/>
        </w:rPr>
        <w:t xml:space="preserve"> o</w:t>
      </w:r>
      <w:r w:rsidRPr="00B02B89">
        <w:rPr>
          <w:lang w:eastAsia="ja-JP"/>
        </w:rPr>
        <w:t>n</w:t>
      </w:r>
      <w:r w:rsidRPr="00B02B89">
        <w:rPr>
          <w:rFonts w:hint="eastAsia"/>
          <w:lang w:eastAsia="ja-JP"/>
        </w:rPr>
        <w:t xml:space="preserve"> different life stages of </w:t>
      </w:r>
      <w:r>
        <w:rPr>
          <w:lang w:eastAsia="ja-JP"/>
        </w:rPr>
        <w:t>the k</w:t>
      </w:r>
      <w:r w:rsidRPr="00B02B89">
        <w:rPr>
          <w:rFonts w:hint="eastAsia"/>
          <w:lang w:eastAsia="ja-JP"/>
        </w:rPr>
        <w:t xml:space="preserve">hapra beetle (including diapause larva), with phosphine </w:t>
      </w:r>
      <w:r w:rsidRPr="00B02B89">
        <w:rPr>
          <w:lang w:eastAsia="ja-JP"/>
        </w:rPr>
        <w:t>at dosages of</w:t>
      </w:r>
      <w:r w:rsidRPr="00B02B89">
        <w:rPr>
          <w:rFonts w:hint="eastAsia"/>
          <w:lang w:eastAsia="ja-JP"/>
        </w:rPr>
        <w:t xml:space="preserve"> 50, 100, 200, 300, 500 and 1,000 ppm for 3 days and found that </w:t>
      </w:r>
      <w:r w:rsidRPr="00B02B89">
        <w:rPr>
          <w:lang w:eastAsia="ja-JP"/>
        </w:rPr>
        <w:t xml:space="preserve">although </w:t>
      </w:r>
      <w:r w:rsidRPr="00B02B89">
        <w:rPr>
          <w:rFonts w:hint="eastAsia"/>
          <w:lang w:eastAsia="ja-JP"/>
        </w:rPr>
        <w:t>egg</w:t>
      </w:r>
      <w:r w:rsidRPr="00B02B89">
        <w:rPr>
          <w:lang w:eastAsia="ja-JP"/>
        </w:rPr>
        <w:t>s</w:t>
      </w:r>
      <w:r w:rsidRPr="00B02B89">
        <w:rPr>
          <w:rFonts w:hint="eastAsia"/>
          <w:lang w:eastAsia="ja-JP"/>
        </w:rPr>
        <w:t xml:space="preserve"> </w:t>
      </w:r>
      <w:r w:rsidRPr="00B02B89">
        <w:rPr>
          <w:lang w:eastAsia="ja-JP"/>
        </w:rPr>
        <w:t>are the most tolerant</w:t>
      </w:r>
      <w:r w:rsidRPr="00B02B89">
        <w:rPr>
          <w:rFonts w:hint="eastAsia"/>
          <w:lang w:eastAsia="ja-JP"/>
        </w:rPr>
        <w:t xml:space="preserve"> to phosphine</w:t>
      </w:r>
      <w:r w:rsidRPr="00B02B89">
        <w:rPr>
          <w:lang w:eastAsia="ja-JP"/>
        </w:rPr>
        <w:t>,</w:t>
      </w:r>
      <w:r w:rsidRPr="00B02B89">
        <w:rPr>
          <w:rFonts w:hint="eastAsia"/>
          <w:lang w:eastAsia="ja-JP"/>
        </w:rPr>
        <w:t xml:space="preserve"> 100% </w:t>
      </w:r>
      <w:r w:rsidRPr="00B02B89">
        <w:rPr>
          <w:lang w:eastAsia="ja-JP"/>
        </w:rPr>
        <w:t>were killed with</w:t>
      </w:r>
      <w:r w:rsidRPr="00B02B89">
        <w:rPr>
          <w:rFonts w:hint="eastAsia"/>
          <w:lang w:eastAsia="ja-JP"/>
        </w:rPr>
        <w:t xml:space="preserve"> 1,000 ppm </w:t>
      </w:r>
      <w:r w:rsidRPr="00B02B89">
        <w:rPr>
          <w:lang w:eastAsia="ja-JP"/>
        </w:rPr>
        <w:t>of phosphine after a</w:t>
      </w:r>
      <w:r w:rsidRPr="00B02B89">
        <w:rPr>
          <w:rFonts w:hint="eastAsia"/>
          <w:lang w:eastAsia="ja-JP"/>
        </w:rPr>
        <w:t xml:space="preserve"> 3</w:t>
      </w:r>
      <w:r>
        <w:rPr>
          <w:lang w:eastAsia="ja-JP"/>
        </w:rPr>
        <w:t>-</w:t>
      </w:r>
      <w:r w:rsidRPr="00B02B89">
        <w:rPr>
          <w:rFonts w:hint="eastAsia"/>
          <w:lang w:eastAsia="ja-JP"/>
        </w:rPr>
        <w:t>day exposure</w:t>
      </w:r>
      <w:r w:rsidRPr="00B02B89">
        <w:rPr>
          <w:lang w:eastAsia="ja-JP"/>
        </w:rPr>
        <w:t xml:space="preserve">. </w:t>
      </w:r>
    </w:p>
    <w:p w14:paraId="2D747281" w14:textId="61F3B25B" w:rsidR="00944FC9" w:rsidRDefault="00944FC9" w:rsidP="00944FC9">
      <w:pPr>
        <w:rPr>
          <w:lang w:eastAsia="ja-JP"/>
        </w:rPr>
      </w:pPr>
      <w:proofErr w:type="spellStart"/>
      <w:r w:rsidRPr="000E6660">
        <w:rPr>
          <w:lang w:eastAsia="ja-JP"/>
        </w:rPr>
        <w:t>Lampiri</w:t>
      </w:r>
      <w:proofErr w:type="spellEnd"/>
      <w:r w:rsidRPr="000E6660">
        <w:rPr>
          <w:lang w:eastAsia="ja-JP"/>
        </w:rPr>
        <w:t xml:space="preserve"> (2021) </w:t>
      </w:r>
      <w:r>
        <w:rPr>
          <w:lang w:eastAsia="ja-JP"/>
        </w:rPr>
        <w:t>f</w:t>
      </w:r>
      <w:r w:rsidRPr="000E6660">
        <w:rPr>
          <w:lang w:eastAsia="ja-JP"/>
        </w:rPr>
        <w:t>ound that 2-d</w:t>
      </w:r>
      <w:r>
        <w:rPr>
          <w:lang w:eastAsia="ja-JP"/>
        </w:rPr>
        <w:t>ay</w:t>
      </w:r>
      <w:r w:rsidRPr="000E6660">
        <w:rPr>
          <w:lang w:eastAsia="ja-JP"/>
        </w:rPr>
        <w:t>-old eggs of </w:t>
      </w:r>
      <w:r w:rsidRPr="00A441E5">
        <w:rPr>
          <w:i/>
          <w:lang w:eastAsia="ja-JP"/>
        </w:rPr>
        <w:t xml:space="preserve">T. </w:t>
      </w:r>
      <w:proofErr w:type="spellStart"/>
      <w:r w:rsidRPr="00A441E5">
        <w:rPr>
          <w:i/>
          <w:lang w:eastAsia="ja-JP"/>
        </w:rPr>
        <w:t>granarium</w:t>
      </w:r>
      <w:proofErr w:type="spellEnd"/>
      <w:r w:rsidRPr="000E6660">
        <w:rPr>
          <w:lang w:eastAsia="ja-JP"/>
        </w:rPr>
        <w:t> are more susceptible than 1-d</w:t>
      </w:r>
      <w:r>
        <w:rPr>
          <w:lang w:eastAsia="ja-JP"/>
        </w:rPr>
        <w:t>ay</w:t>
      </w:r>
      <w:r w:rsidRPr="000E6660">
        <w:rPr>
          <w:lang w:eastAsia="ja-JP"/>
        </w:rPr>
        <w:t>-old eggs. Faster hatching was observed in eggs exposed to phosphine for 2 d</w:t>
      </w:r>
      <w:r>
        <w:rPr>
          <w:lang w:eastAsia="ja-JP"/>
        </w:rPr>
        <w:t>ays</w:t>
      </w:r>
      <w:r w:rsidRPr="000E6660">
        <w:rPr>
          <w:lang w:eastAsia="ja-JP"/>
        </w:rPr>
        <w:t xml:space="preserve"> compared to controls and the result was more pronounced for 1-d</w:t>
      </w:r>
      <w:r>
        <w:rPr>
          <w:lang w:eastAsia="ja-JP"/>
        </w:rPr>
        <w:t>ay</w:t>
      </w:r>
      <w:r w:rsidRPr="000E6660">
        <w:rPr>
          <w:lang w:eastAsia="ja-JP"/>
        </w:rPr>
        <w:t>-old than 2-d</w:t>
      </w:r>
      <w:r>
        <w:rPr>
          <w:lang w:eastAsia="ja-JP"/>
        </w:rPr>
        <w:t>ays</w:t>
      </w:r>
      <w:r w:rsidRPr="000E6660">
        <w:rPr>
          <w:lang w:eastAsia="ja-JP"/>
        </w:rPr>
        <w:t>-old eggs. In contrast to the 2-d exposure, hatching rates of eggs exposed to 4 and 6 d</w:t>
      </w:r>
      <w:r>
        <w:rPr>
          <w:lang w:eastAsia="ja-JP"/>
        </w:rPr>
        <w:t>ays</w:t>
      </w:r>
      <w:r w:rsidRPr="000E6660">
        <w:rPr>
          <w:lang w:eastAsia="ja-JP"/>
        </w:rPr>
        <w:t xml:space="preserve"> were notably reduced, while there was a delay in egg hatching compared to controls. These dissimilar patters in larval growth may suggest certain delayed effects of phosphine fumigation. The results of the work can be further utilized for the development of phosphine-based quarantine and pre-shipment treatments for the control of </w:t>
      </w:r>
      <w:r w:rsidRPr="00585419">
        <w:rPr>
          <w:i/>
          <w:lang w:eastAsia="ja-JP"/>
        </w:rPr>
        <w:t xml:space="preserve">T. </w:t>
      </w:r>
      <w:proofErr w:type="spellStart"/>
      <w:r w:rsidRPr="00585419">
        <w:rPr>
          <w:i/>
          <w:lang w:eastAsia="ja-JP"/>
        </w:rPr>
        <w:t>granarium</w:t>
      </w:r>
      <w:proofErr w:type="spellEnd"/>
      <w:r w:rsidRPr="000E6660">
        <w:rPr>
          <w:lang w:eastAsia="ja-JP"/>
        </w:rPr>
        <w:t>.</w:t>
      </w:r>
    </w:p>
    <w:p w14:paraId="675996FA" w14:textId="77777777" w:rsidR="00944FC9" w:rsidRPr="00B02B89" w:rsidRDefault="00944FC9" w:rsidP="00944FC9">
      <w:pPr>
        <w:rPr>
          <w:lang w:eastAsia="ja-JP"/>
        </w:rPr>
      </w:pPr>
      <w:proofErr w:type="spellStart"/>
      <w:r>
        <w:rPr>
          <w:lang w:eastAsia="ja-JP"/>
        </w:rPr>
        <w:t>Lampiri</w:t>
      </w:r>
      <w:proofErr w:type="spellEnd"/>
      <w:r>
        <w:rPr>
          <w:lang w:eastAsia="ja-JP"/>
        </w:rPr>
        <w:t xml:space="preserve"> et al (2021) also tested four stored product </w:t>
      </w:r>
      <w:r w:rsidRPr="000E6660">
        <w:rPr>
          <w:lang w:eastAsia="ja-JP"/>
        </w:rPr>
        <w:t>species: </w:t>
      </w:r>
      <w:proofErr w:type="spellStart"/>
      <w:r w:rsidRPr="00585419">
        <w:rPr>
          <w:i/>
          <w:lang w:eastAsia="ja-JP"/>
        </w:rPr>
        <w:t>Oryzaephilus</w:t>
      </w:r>
      <w:proofErr w:type="spellEnd"/>
      <w:r w:rsidRPr="00585419">
        <w:rPr>
          <w:i/>
          <w:lang w:eastAsia="ja-JP"/>
        </w:rPr>
        <w:t xml:space="preserve"> </w:t>
      </w:r>
      <w:proofErr w:type="spellStart"/>
      <w:r w:rsidRPr="00585419">
        <w:rPr>
          <w:i/>
          <w:lang w:eastAsia="ja-JP"/>
        </w:rPr>
        <w:t>surinamensis</w:t>
      </w:r>
      <w:proofErr w:type="spellEnd"/>
      <w:r w:rsidRPr="00585419">
        <w:rPr>
          <w:i/>
          <w:lang w:eastAsia="ja-JP"/>
        </w:rPr>
        <w:t> </w:t>
      </w:r>
      <w:r w:rsidRPr="00A441E5">
        <w:rPr>
          <w:lang w:eastAsia="ja-JP"/>
        </w:rPr>
        <w:t>(L.)</w:t>
      </w:r>
      <w:r w:rsidRPr="00585419">
        <w:rPr>
          <w:i/>
          <w:lang w:eastAsia="ja-JP"/>
        </w:rPr>
        <w:t>, </w:t>
      </w:r>
      <w:proofErr w:type="spellStart"/>
      <w:r w:rsidRPr="00585419">
        <w:rPr>
          <w:i/>
          <w:lang w:eastAsia="ja-JP"/>
        </w:rPr>
        <w:t>Tribolium</w:t>
      </w:r>
      <w:proofErr w:type="spellEnd"/>
      <w:r w:rsidRPr="00585419">
        <w:rPr>
          <w:i/>
          <w:lang w:eastAsia="ja-JP"/>
        </w:rPr>
        <w:t xml:space="preserve"> </w:t>
      </w:r>
      <w:proofErr w:type="spellStart"/>
      <w:r w:rsidRPr="00585419">
        <w:rPr>
          <w:i/>
          <w:lang w:eastAsia="ja-JP"/>
        </w:rPr>
        <w:t>castaneum</w:t>
      </w:r>
      <w:proofErr w:type="spellEnd"/>
      <w:r w:rsidRPr="00585419">
        <w:rPr>
          <w:i/>
          <w:lang w:eastAsia="ja-JP"/>
        </w:rPr>
        <w:t> </w:t>
      </w:r>
      <w:r w:rsidRPr="00A441E5">
        <w:rPr>
          <w:lang w:eastAsia="ja-JP"/>
        </w:rPr>
        <w:t>(Herbst)</w:t>
      </w:r>
      <w:r w:rsidRPr="00585419">
        <w:rPr>
          <w:i/>
          <w:lang w:eastAsia="ja-JP"/>
        </w:rPr>
        <w:t xml:space="preserve">, Sitophilus </w:t>
      </w:r>
      <w:proofErr w:type="spellStart"/>
      <w:r w:rsidRPr="00585419">
        <w:rPr>
          <w:i/>
          <w:lang w:eastAsia="ja-JP"/>
        </w:rPr>
        <w:t>oryzae</w:t>
      </w:r>
      <w:proofErr w:type="spellEnd"/>
      <w:r w:rsidRPr="00585419">
        <w:rPr>
          <w:i/>
          <w:lang w:eastAsia="ja-JP"/>
        </w:rPr>
        <w:t> </w:t>
      </w:r>
      <w:r w:rsidRPr="00A441E5">
        <w:rPr>
          <w:lang w:eastAsia="ja-JP"/>
        </w:rPr>
        <w:t>(L.)</w:t>
      </w:r>
      <w:r w:rsidRPr="00585419">
        <w:rPr>
          <w:i/>
          <w:lang w:eastAsia="ja-JP"/>
        </w:rPr>
        <w:t xml:space="preserve"> </w:t>
      </w:r>
      <w:r w:rsidRPr="00C44E63">
        <w:rPr>
          <w:lang w:eastAsia="ja-JP"/>
        </w:rPr>
        <w:t>and</w:t>
      </w:r>
      <w:r w:rsidRPr="00585419">
        <w:rPr>
          <w:i/>
          <w:lang w:eastAsia="ja-JP"/>
        </w:rPr>
        <w:t> </w:t>
      </w:r>
      <w:proofErr w:type="spellStart"/>
      <w:r w:rsidRPr="00585419">
        <w:rPr>
          <w:i/>
          <w:lang w:eastAsia="ja-JP"/>
        </w:rPr>
        <w:t>Rhyzopertha</w:t>
      </w:r>
      <w:proofErr w:type="spellEnd"/>
      <w:r w:rsidRPr="00585419">
        <w:rPr>
          <w:i/>
          <w:lang w:eastAsia="ja-JP"/>
        </w:rPr>
        <w:t xml:space="preserve"> </w:t>
      </w:r>
      <w:proofErr w:type="spellStart"/>
      <w:r w:rsidRPr="00585419">
        <w:rPr>
          <w:i/>
          <w:lang w:eastAsia="ja-JP"/>
        </w:rPr>
        <w:t>dominica</w:t>
      </w:r>
      <w:proofErr w:type="spellEnd"/>
      <w:r w:rsidRPr="00585419">
        <w:rPr>
          <w:i/>
          <w:lang w:eastAsia="ja-JP"/>
        </w:rPr>
        <w:t> </w:t>
      </w:r>
      <w:r w:rsidRPr="00A441E5">
        <w:rPr>
          <w:lang w:eastAsia="ja-JP"/>
        </w:rPr>
        <w:t>(F.)</w:t>
      </w:r>
      <w:r w:rsidRPr="000E6660">
        <w:rPr>
          <w:lang w:eastAsia="ja-JP"/>
        </w:rPr>
        <w:t xml:space="preserve"> with populations that had different levels of phosphine resistance. The majority of susceptible populations of all species were instantly immobilized even in the shortest exposure period (15 min), in contrast with resistant populations that were active even after 300 min. After exposure to phosphine, populations and exposure time affected mortality of susceptible populations, whereas resistant populations recovered regardless of species and exposure time. Additional bioassays showed the presence of the "sweet spot", i.e., decrease of mortality with the increase of concentration. </w:t>
      </w:r>
      <w:r>
        <w:rPr>
          <w:lang w:eastAsia="ja-JP"/>
        </w:rPr>
        <w:t>F</w:t>
      </w:r>
      <w:r w:rsidRPr="000E6660">
        <w:rPr>
          <w:lang w:eastAsia="ja-JP"/>
        </w:rPr>
        <w:t xml:space="preserve">or most of the tested species, the "sweet spot" appeared in 1000 and 2000 ppm at a 5-h exposure time, regardless of the level of resistance to phosphine. </w:t>
      </w:r>
      <w:r>
        <w:rPr>
          <w:lang w:eastAsia="ja-JP"/>
        </w:rPr>
        <w:t xml:space="preserve">Temperature was also observed as being important. </w:t>
      </w:r>
      <w:r w:rsidRPr="000E6660">
        <w:rPr>
          <w:lang w:eastAsia="ja-JP"/>
        </w:rPr>
        <w:t>Th</w:t>
      </w:r>
      <w:r>
        <w:rPr>
          <w:lang w:eastAsia="ja-JP"/>
        </w:rPr>
        <w:t>e results are</w:t>
      </w:r>
      <w:r w:rsidRPr="000E6660">
        <w:rPr>
          <w:lang w:eastAsia="ja-JP"/>
        </w:rPr>
        <w:t xml:space="preserve"> particularly </w:t>
      </w:r>
      <w:r>
        <w:rPr>
          <w:lang w:eastAsia="ja-JP"/>
        </w:rPr>
        <w:t>relevant</w:t>
      </w:r>
      <w:r w:rsidRPr="000E6660">
        <w:rPr>
          <w:lang w:eastAsia="ja-JP"/>
        </w:rPr>
        <w:t xml:space="preserve"> in terms of the assessment of resistance and in the context of non-linear recovery at elevated concentrations, indicating the occurrence of strong </w:t>
      </w:r>
      <w:proofErr w:type="spellStart"/>
      <w:r w:rsidRPr="000E6660">
        <w:rPr>
          <w:lang w:eastAsia="ja-JP"/>
        </w:rPr>
        <w:t>hormetic</w:t>
      </w:r>
      <w:proofErr w:type="spellEnd"/>
      <w:r w:rsidRPr="000E6660">
        <w:rPr>
          <w:lang w:eastAsia="ja-JP"/>
        </w:rPr>
        <w:t xml:space="preserve"> reversals in phosphine efficacy.</w:t>
      </w:r>
    </w:p>
    <w:p w14:paraId="7301E609" w14:textId="6C9129DD" w:rsidR="00944FC9" w:rsidRPr="00413888" w:rsidRDefault="00944FC9" w:rsidP="00944FC9">
      <w:pPr>
        <w:pStyle w:val="Style15"/>
        <w:rPr>
          <w:b w:val="0"/>
          <w:sz w:val="22"/>
          <w:szCs w:val="22"/>
        </w:rPr>
      </w:pPr>
      <w:r w:rsidRPr="00413888">
        <w:rPr>
          <w:b w:val="0"/>
          <w:sz w:val="22"/>
          <w:szCs w:val="22"/>
        </w:rPr>
        <w:t xml:space="preserve">Resistant and tolerant red flour beetles </w:t>
      </w:r>
      <w:proofErr w:type="spellStart"/>
      <w:r w:rsidRPr="00413888">
        <w:rPr>
          <w:b w:val="0"/>
          <w:i/>
          <w:iCs/>
          <w:sz w:val="22"/>
          <w:szCs w:val="22"/>
        </w:rPr>
        <w:t>Tribolium</w:t>
      </w:r>
      <w:proofErr w:type="spellEnd"/>
      <w:r w:rsidRPr="00413888">
        <w:rPr>
          <w:b w:val="0"/>
          <w:i/>
          <w:iCs/>
          <w:sz w:val="22"/>
          <w:szCs w:val="22"/>
        </w:rPr>
        <w:t xml:space="preserve"> </w:t>
      </w:r>
      <w:proofErr w:type="spellStart"/>
      <w:r w:rsidRPr="00413888">
        <w:rPr>
          <w:b w:val="0"/>
          <w:i/>
          <w:iCs/>
          <w:sz w:val="22"/>
          <w:szCs w:val="22"/>
        </w:rPr>
        <w:t>castaneum</w:t>
      </w:r>
      <w:proofErr w:type="spellEnd"/>
      <w:r w:rsidRPr="00413888">
        <w:rPr>
          <w:b w:val="0"/>
          <w:sz w:val="22"/>
          <w:szCs w:val="22"/>
        </w:rPr>
        <w:t xml:space="preserve"> (</w:t>
      </w:r>
      <w:proofErr w:type="spellStart"/>
      <w:r w:rsidRPr="00413888">
        <w:rPr>
          <w:b w:val="0"/>
          <w:sz w:val="22"/>
          <w:szCs w:val="22"/>
        </w:rPr>
        <w:t>Coleoptera</w:t>
      </w:r>
      <w:proofErr w:type="spellEnd"/>
      <w:r w:rsidRPr="00413888">
        <w:rPr>
          <w:b w:val="0"/>
          <w:sz w:val="22"/>
          <w:szCs w:val="22"/>
        </w:rPr>
        <w:t xml:space="preserve">: </w:t>
      </w:r>
      <w:proofErr w:type="spellStart"/>
      <w:r w:rsidRPr="00413888">
        <w:rPr>
          <w:b w:val="0"/>
          <w:sz w:val="22"/>
          <w:szCs w:val="22"/>
        </w:rPr>
        <w:t>Tenebrionidae</w:t>
      </w:r>
      <w:proofErr w:type="spellEnd"/>
      <w:r w:rsidRPr="00413888">
        <w:rPr>
          <w:b w:val="0"/>
          <w:sz w:val="22"/>
          <w:szCs w:val="22"/>
        </w:rPr>
        <w:t xml:space="preserve">) and the lesser grain borer </w:t>
      </w:r>
      <w:proofErr w:type="spellStart"/>
      <w:r w:rsidRPr="00413888">
        <w:rPr>
          <w:b w:val="0"/>
          <w:i/>
          <w:iCs/>
          <w:sz w:val="22"/>
          <w:szCs w:val="22"/>
        </w:rPr>
        <w:t>Rhyzopertha</w:t>
      </w:r>
      <w:proofErr w:type="spellEnd"/>
      <w:r w:rsidRPr="00413888">
        <w:rPr>
          <w:b w:val="0"/>
          <w:i/>
          <w:iCs/>
          <w:sz w:val="22"/>
          <w:szCs w:val="22"/>
        </w:rPr>
        <w:t xml:space="preserve"> </w:t>
      </w:r>
      <w:proofErr w:type="spellStart"/>
      <w:r w:rsidRPr="00413888">
        <w:rPr>
          <w:b w:val="0"/>
          <w:i/>
          <w:iCs/>
          <w:sz w:val="22"/>
          <w:szCs w:val="22"/>
        </w:rPr>
        <w:t>dominica</w:t>
      </w:r>
      <w:proofErr w:type="spellEnd"/>
      <w:r w:rsidRPr="00413888">
        <w:rPr>
          <w:b w:val="0"/>
          <w:i/>
          <w:iCs/>
          <w:sz w:val="22"/>
          <w:szCs w:val="22"/>
        </w:rPr>
        <w:t xml:space="preserve"> </w:t>
      </w:r>
      <w:r w:rsidRPr="00413888">
        <w:rPr>
          <w:b w:val="0"/>
          <w:sz w:val="22"/>
          <w:szCs w:val="22"/>
        </w:rPr>
        <w:t>(</w:t>
      </w:r>
      <w:proofErr w:type="spellStart"/>
      <w:r w:rsidRPr="00413888">
        <w:rPr>
          <w:b w:val="0"/>
          <w:sz w:val="22"/>
          <w:szCs w:val="22"/>
        </w:rPr>
        <w:t>Coleoptera</w:t>
      </w:r>
      <w:proofErr w:type="spellEnd"/>
      <w:r w:rsidRPr="00413888">
        <w:rPr>
          <w:b w:val="0"/>
          <w:sz w:val="22"/>
          <w:szCs w:val="22"/>
        </w:rPr>
        <w:t xml:space="preserve">: </w:t>
      </w:r>
      <w:proofErr w:type="spellStart"/>
      <w:r w:rsidRPr="00413888">
        <w:rPr>
          <w:b w:val="0"/>
          <w:sz w:val="22"/>
          <w:szCs w:val="22"/>
        </w:rPr>
        <w:t>Bostrichidae</w:t>
      </w:r>
      <w:proofErr w:type="spellEnd"/>
      <w:r w:rsidRPr="00413888">
        <w:rPr>
          <w:b w:val="0"/>
          <w:sz w:val="22"/>
          <w:szCs w:val="22"/>
        </w:rPr>
        <w:t xml:space="preserve">) were </w:t>
      </w:r>
      <w:proofErr w:type="spellStart"/>
      <w:r w:rsidRPr="00413888">
        <w:rPr>
          <w:b w:val="0"/>
          <w:sz w:val="22"/>
          <w:szCs w:val="22"/>
        </w:rPr>
        <w:t>exoposed</w:t>
      </w:r>
      <w:proofErr w:type="spellEnd"/>
      <w:r w:rsidRPr="00413888">
        <w:rPr>
          <w:b w:val="0"/>
          <w:sz w:val="22"/>
          <w:szCs w:val="22"/>
        </w:rPr>
        <w:t xml:space="preserve"> to 0 (control), 1000, and 3000 ppm of phosphine for 15 or 90 minutes to estimate </w:t>
      </w:r>
      <w:proofErr w:type="spellStart"/>
      <w:r w:rsidRPr="00413888">
        <w:rPr>
          <w:b w:val="0"/>
          <w:sz w:val="22"/>
          <w:szCs w:val="22"/>
        </w:rPr>
        <w:t>behavioral</w:t>
      </w:r>
      <w:proofErr w:type="spellEnd"/>
      <w:r w:rsidRPr="00413888">
        <w:rPr>
          <w:b w:val="0"/>
          <w:sz w:val="22"/>
          <w:szCs w:val="22"/>
        </w:rPr>
        <w:t xml:space="preserve"> and mobility responses (</w:t>
      </w:r>
      <w:proofErr w:type="spellStart"/>
      <w:r w:rsidRPr="00413888">
        <w:rPr>
          <w:b w:val="0"/>
          <w:sz w:val="22"/>
          <w:szCs w:val="22"/>
        </w:rPr>
        <w:t>Agrafioti</w:t>
      </w:r>
      <w:proofErr w:type="spellEnd"/>
      <w:r w:rsidRPr="00413888">
        <w:rPr>
          <w:b w:val="0"/>
          <w:sz w:val="22"/>
          <w:szCs w:val="22"/>
        </w:rPr>
        <w:t xml:space="preserve">, </w:t>
      </w:r>
      <w:r w:rsidRPr="00413888">
        <w:rPr>
          <w:b w:val="0"/>
          <w:i/>
          <w:sz w:val="22"/>
          <w:szCs w:val="22"/>
        </w:rPr>
        <w:t>et al</w:t>
      </w:r>
      <w:r w:rsidRPr="00413888">
        <w:rPr>
          <w:b w:val="0"/>
          <w:sz w:val="22"/>
          <w:szCs w:val="22"/>
        </w:rPr>
        <w:t>., 2020).</w:t>
      </w:r>
      <w:r w:rsidR="005617DE">
        <w:rPr>
          <w:b w:val="0"/>
          <w:sz w:val="22"/>
          <w:szCs w:val="22"/>
        </w:rPr>
        <w:t xml:space="preserve"> </w:t>
      </w:r>
      <w:r w:rsidRPr="00413888">
        <w:rPr>
          <w:b w:val="0"/>
          <w:sz w:val="22"/>
          <w:szCs w:val="22"/>
        </w:rPr>
        <w:t>For both species, the highest percentage of dead adults was noted at 3000 ppm for both exposure times. Changes in movement parameters can be further exploited in assessing the efficacy of different management tactics, such as trapping and sampling.</w:t>
      </w:r>
    </w:p>
    <w:p w14:paraId="2AE2D2B8" w14:textId="77777777" w:rsidR="00944FC9" w:rsidRPr="00E537F1" w:rsidRDefault="00944FC9" w:rsidP="00944FC9">
      <w:pPr>
        <w:pStyle w:val="Style15"/>
        <w:rPr>
          <w:b w:val="0"/>
          <w:sz w:val="24"/>
        </w:rPr>
      </w:pPr>
    </w:p>
    <w:p w14:paraId="5ABAA29A" w14:textId="77777777" w:rsidR="00944FC9" w:rsidRPr="00E537F1" w:rsidRDefault="00944FC9" w:rsidP="00944FC9">
      <w:pPr>
        <w:spacing w:line="232" w:lineRule="auto"/>
        <w:ind w:left="-4"/>
      </w:pPr>
      <w:r>
        <w:t>C</w:t>
      </w:r>
      <w:r w:rsidRPr="00E537F1">
        <w:t xml:space="preserve">o-fumigation </w:t>
      </w:r>
      <w:r>
        <w:t>of</w:t>
      </w:r>
      <w:r w:rsidRPr="00E537F1">
        <w:t xml:space="preserve"> reduced rates of phosphine and sulfuryl fluoride</w:t>
      </w:r>
    </w:p>
    <w:p w14:paraId="31275494" w14:textId="3560715B" w:rsidR="00944FC9" w:rsidRDefault="00944FC9" w:rsidP="00413888">
      <w:pPr>
        <w:spacing w:line="232" w:lineRule="auto"/>
      </w:pPr>
      <w:r w:rsidRPr="008E26D2">
        <w:rPr>
          <w:noProof/>
          <w:lang w:eastAsia="ja-JP"/>
        </w:rPr>
        <mc:AlternateContent>
          <mc:Choice Requires="wps">
            <w:drawing>
              <wp:anchor distT="0" distB="0" distL="114300" distR="114300" simplePos="0" relativeHeight="251669504" behindDoc="0" locked="0" layoutInCell="1" allowOverlap="1" wp14:anchorId="7641F737" wp14:editId="5BB5F330">
                <wp:simplePos x="0" y="0"/>
                <wp:positionH relativeFrom="column">
                  <wp:posOffset>6094981</wp:posOffset>
                </wp:positionH>
                <wp:positionV relativeFrom="paragraph">
                  <wp:posOffset>9639359</wp:posOffset>
                </wp:positionV>
                <wp:extent cx="850237" cy="127781"/>
                <wp:effectExtent l="0" t="0" r="0" b="0"/>
                <wp:wrapNone/>
                <wp:docPr id="33645" name="Rectangle 33645"/>
                <wp:cNvGraphicFramePr/>
                <a:graphic xmlns:a="http://schemas.openxmlformats.org/drawingml/2006/main">
                  <a:graphicData uri="http://schemas.microsoft.com/office/word/2010/wordprocessingShape">
                    <wps:wsp>
                      <wps:cNvSpPr/>
                      <wps:spPr>
                        <a:xfrm>
                          <a:off x="0" y="0"/>
                          <a:ext cx="850237" cy="127781"/>
                        </a:xfrm>
                        <a:prstGeom prst="rect">
                          <a:avLst/>
                        </a:prstGeom>
                        <a:ln>
                          <a:noFill/>
                        </a:ln>
                      </wps:spPr>
                      <wps:txbx>
                        <w:txbxContent>
                          <w:p w14:paraId="1A83E4D3" w14:textId="77777777" w:rsidR="00992301" w:rsidRDefault="00992301" w:rsidP="00944FC9">
                            <w:pPr>
                              <w:spacing w:after="160" w:line="259" w:lineRule="auto"/>
                            </w:pPr>
                            <w:r>
                              <w:rPr>
                                <w:rFonts w:ascii="Calibri" w:eastAsia="Calibri" w:hAnsi="Calibri" w:cs="Calibri"/>
                                <w:sz w:val="17"/>
                              </w:rPr>
                              <w:t>Pest</w:t>
                            </w:r>
                            <w:r>
                              <w:rPr>
                                <w:rFonts w:ascii="Calibri" w:eastAsia="Calibri" w:hAnsi="Calibri" w:cs="Calibri"/>
                                <w:spacing w:val="6"/>
                                <w:sz w:val="17"/>
                              </w:rPr>
                              <w:t xml:space="preserve"> </w:t>
                            </w:r>
                            <w:r>
                              <w:rPr>
                                <w:rFonts w:ascii="Calibri" w:eastAsia="Calibri" w:hAnsi="Calibri" w:cs="Calibri"/>
                                <w:sz w:val="17"/>
                              </w:rPr>
                              <w:t>Manag</w:t>
                            </w:r>
                            <w:r>
                              <w:rPr>
                                <w:rFonts w:ascii="Calibri" w:eastAsia="Calibri" w:hAnsi="Calibri" w:cs="Calibri"/>
                                <w:spacing w:val="7"/>
                                <w:sz w:val="17"/>
                              </w:rPr>
                              <w:t xml:space="preserve"> </w:t>
                            </w:r>
                            <w:r>
                              <w:rPr>
                                <w:rFonts w:ascii="Calibri" w:eastAsia="Calibri" w:hAnsi="Calibri" w:cs="Calibri"/>
                                <w:sz w:val="17"/>
                              </w:rPr>
                              <w:t>Sci</w:t>
                            </w:r>
                          </w:p>
                        </w:txbxContent>
                      </wps:txbx>
                      <wps:bodyPr horzOverflow="overflow" vert="horz" lIns="0" tIns="0" rIns="0" bIns="0" rtlCol="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641F737" id="Rectangle 33645" o:spid="_x0000_s1026" style="position:absolute;margin-left:479.9pt;margin-top:759pt;width:66.95pt;height:10.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" filled="f" stroked="f">
                <v:textbox inset="0,0,0,0">
                  <w:txbxContent>
                    <w:p w14:paraId="1A83E4D3" w14:textId="77777777" w:rsidR="00992301" w:rsidRDefault="00992301" w:rsidP="00944FC9">
                      <w:pPr>
                        <w:spacing w:after="160" w:line="259" w:lineRule="auto"/>
                      </w:pPr>
                      <w:r>
                        <w:rPr>
                          <w:rFonts w:ascii="Calibri" w:eastAsia="Calibri" w:hAnsi="Calibri" w:cs="Calibri"/>
                          <w:sz w:val="17"/>
                        </w:rPr>
                        <w:t>Pest</w:t>
                      </w:r>
                      <w:r>
                        <w:rPr>
                          <w:rFonts w:ascii="Calibri" w:eastAsia="Calibri" w:hAnsi="Calibri" w:cs="Calibri"/>
                          <w:spacing w:val="6"/>
                          <w:sz w:val="17"/>
                        </w:rPr>
                        <w:t xml:space="preserve"> </w:t>
                      </w:r>
                      <w:r>
                        <w:rPr>
                          <w:rFonts w:ascii="Calibri" w:eastAsia="Calibri" w:hAnsi="Calibri" w:cs="Calibri"/>
                          <w:sz w:val="17"/>
                        </w:rPr>
                        <w:t>Manag</w:t>
                      </w:r>
                      <w:r>
                        <w:rPr>
                          <w:rFonts w:ascii="Calibri" w:eastAsia="Calibri" w:hAnsi="Calibri" w:cs="Calibri"/>
                          <w:spacing w:val="7"/>
                          <w:sz w:val="17"/>
                        </w:rPr>
                        <w:t xml:space="preserve"> </w:t>
                      </w:r>
                      <w:r>
                        <w:rPr>
                          <w:rFonts w:ascii="Calibri" w:eastAsia="Calibri" w:hAnsi="Calibri" w:cs="Calibri"/>
                          <w:sz w:val="17"/>
                        </w:rPr>
                        <w:t>Sci</w:t>
                      </w:r>
                    </w:p>
                  </w:txbxContent>
                </v:textbox>
              </v:rect>
            </w:pict>
          </mc:Fallback>
        </mc:AlternateContent>
      </w:r>
      <w:r w:rsidRPr="00E537F1">
        <w:t xml:space="preserve">control </w:t>
      </w:r>
      <w:r>
        <w:t>highly</w:t>
      </w:r>
      <w:r w:rsidRPr="00E537F1">
        <w:t xml:space="preserve"> resistant rusty grain beetle</w:t>
      </w:r>
      <w:r>
        <w:t>s</w:t>
      </w:r>
      <w:r w:rsidRPr="00E537F1">
        <w:t xml:space="preserve">, </w:t>
      </w:r>
      <w:proofErr w:type="spellStart"/>
      <w:r w:rsidRPr="00E537F1">
        <w:rPr>
          <w:i/>
        </w:rPr>
        <w:t>Cryptolestes</w:t>
      </w:r>
      <w:proofErr w:type="spellEnd"/>
      <w:r w:rsidRPr="00E537F1">
        <w:rPr>
          <w:i/>
        </w:rPr>
        <w:t xml:space="preserve"> </w:t>
      </w:r>
      <w:proofErr w:type="spellStart"/>
      <w:r w:rsidRPr="00E537F1">
        <w:rPr>
          <w:i/>
        </w:rPr>
        <w:t>ferrugineus</w:t>
      </w:r>
      <w:proofErr w:type="spellEnd"/>
      <w:r w:rsidRPr="00E537F1">
        <w:t xml:space="preserve"> (Stephens) (</w:t>
      </w:r>
      <w:proofErr w:type="spellStart"/>
      <w:r w:rsidRPr="00E537F1">
        <w:t>Coleoptera</w:t>
      </w:r>
      <w:proofErr w:type="spellEnd"/>
      <w:r w:rsidRPr="00E537F1">
        <w:t xml:space="preserve">: </w:t>
      </w:r>
      <w:proofErr w:type="spellStart"/>
      <w:r w:rsidRPr="00E537F1">
        <w:t>Laemophloeidae</w:t>
      </w:r>
      <w:proofErr w:type="spellEnd"/>
      <w:r w:rsidRPr="00E537F1">
        <w:t>) (</w:t>
      </w:r>
      <w:proofErr w:type="spellStart"/>
      <w:r w:rsidRPr="00E537F1">
        <w:t>Jagadeesena</w:t>
      </w:r>
      <w:proofErr w:type="spellEnd"/>
      <w:r w:rsidRPr="00E537F1">
        <w:t xml:space="preserve"> </w:t>
      </w:r>
      <w:r w:rsidRPr="00E537F1">
        <w:rPr>
          <w:i/>
        </w:rPr>
        <w:t>et al</w:t>
      </w:r>
      <w:r w:rsidRPr="00E537F1">
        <w:t xml:space="preserve">, 2021). </w:t>
      </w:r>
    </w:p>
    <w:p w14:paraId="4CE48EAD" w14:textId="77777777" w:rsidR="00944FC9" w:rsidRPr="007F2D2D" w:rsidRDefault="00944FC9" w:rsidP="00944FC9">
      <w:r w:rsidRPr="007F2D2D">
        <w:t>MBTOC notes as in previous reports that resistance to phosphine (PH</w:t>
      </w:r>
      <w:r w:rsidRPr="007F2D2D">
        <w:rPr>
          <w:vertAlign w:val="subscript"/>
        </w:rPr>
        <w:t>3</w:t>
      </w:r>
      <w:r w:rsidRPr="007F2D2D">
        <w:t xml:space="preserve">) has been recorded </w:t>
      </w:r>
      <w:r>
        <w:t>in</w:t>
      </w:r>
      <w:r w:rsidRPr="007F2D2D">
        <w:t xml:space="preserve"> storage pests </w:t>
      </w:r>
      <w:r>
        <w:t>around</w:t>
      </w:r>
      <w:r w:rsidRPr="007F2D2D">
        <w:t xml:space="preserve"> the world (</w:t>
      </w:r>
      <w:proofErr w:type="spellStart"/>
      <w:r w:rsidRPr="007F2D2D">
        <w:t>Opit</w:t>
      </w:r>
      <w:proofErr w:type="spellEnd"/>
      <w:r w:rsidRPr="007F2D2D">
        <w:t xml:space="preserve"> </w:t>
      </w:r>
      <w:r w:rsidRPr="007F2D2D">
        <w:rPr>
          <w:i/>
          <w:iCs/>
        </w:rPr>
        <w:t>et al</w:t>
      </w:r>
      <w:r w:rsidRPr="007F2D2D">
        <w:t xml:space="preserve">., 2012; </w:t>
      </w:r>
      <w:proofErr w:type="spellStart"/>
      <w:r w:rsidRPr="007F2D2D">
        <w:t>Jagadeesan</w:t>
      </w:r>
      <w:proofErr w:type="spellEnd"/>
      <w:r w:rsidRPr="007F2D2D">
        <w:t xml:space="preserve"> </w:t>
      </w:r>
      <w:r w:rsidRPr="007F2D2D">
        <w:rPr>
          <w:i/>
          <w:iCs/>
        </w:rPr>
        <w:t>et al.</w:t>
      </w:r>
      <w:r w:rsidRPr="007F2D2D">
        <w:t>, 2012). Recent surve</w:t>
      </w:r>
      <w:r>
        <w:t>ys</w:t>
      </w:r>
      <w:r w:rsidRPr="007F2D2D">
        <w:t xml:space="preserve"> in major grain-growing countries </w:t>
      </w:r>
      <w:r>
        <w:t>confirms this ongoing concern for</w:t>
      </w:r>
      <w:r w:rsidRPr="007F2D2D">
        <w:t xml:space="preserve"> PH</w:t>
      </w:r>
      <w:r w:rsidRPr="007F2D2D">
        <w:rPr>
          <w:vertAlign w:val="subscript"/>
        </w:rPr>
        <w:t xml:space="preserve">3 </w:t>
      </w:r>
      <w:r w:rsidRPr="007F2D2D">
        <w:t xml:space="preserve">resistance, as grain is stored </w:t>
      </w:r>
      <w:proofErr w:type="spellStart"/>
      <w:r>
        <w:t>every where</w:t>
      </w:r>
      <w:proofErr w:type="spellEnd"/>
      <w:r w:rsidRPr="007F2D2D">
        <w:t xml:space="preserve"> and resistant insects survive poor fumigations</w:t>
      </w:r>
      <w:r>
        <w:t xml:space="preserve"> (Collins </w:t>
      </w:r>
      <w:r w:rsidRPr="00A441E5">
        <w:rPr>
          <w:i/>
        </w:rPr>
        <w:t>et al.,</w:t>
      </w:r>
      <w:r>
        <w:t xml:space="preserve"> 2017: Nayak </w:t>
      </w:r>
      <w:r w:rsidRPr="00A441E5">
        <w:rPr>
          <w:i/>
        </w:rPr>
        <w:t>et al.,</w:t>
      </w:r>
      <w:r>
        <w:t xml:space="preserve"> 2020).</w:t>
      </w:r>
      <w:r w:rsidRPr="007F2D2D">
        <w:t xml:space="preserve"> </w:t>
      </w:r>
    </w:p>
    <w:p w14:paraId="774265AD" w14:textId="22A63AD9" w:rsidR="00944FC9" w:rsidRPr="003B2A2A" w:rsidRDefault="00944FC9" w:rsidP="00C63254">
      <w:pPr>
        <w:pStyle w:val="Heading6"/>
        <w:rPr>
          <w:rStyle w:val="Heading4Char"/>
          <w:sz w:val="24"/>
        </w:rPr>
      </w:pPr>
      <w:bookmarkStart w:id="355" w:name="_Toc77868887"/>
      <w:r w:rsidRPr="003B2A2A">
        <w:rPr>
          <w:rStyle w:val="Heading4Char"/>
          <w:sz w:val="24"/>
        </w:rPr>
        <w:t>5.3.1.4</w:t>
      </w:r>
      <w:r w:rsidRPr="003B2A2A">
        <w:rPr>
          <w:rStyle w:val="Heading4Char"/>
          <w:sz w:val="24"/>
        </w:rPr>
        <w:tab/>
      </w:r>
      <w:r w:rsidRPr="003B2A2A">
        <w:rPr>
          <w:rStyle w:val="Heading4Char"/>
          <w:rFonts w:hint="eastAsia"/>
          <w:sz w:val="24"/>
        </w:rPr>
        <w:t>Nitric oxide</w:t>
      </w:r>
      <w:bookmarkEnd w:id="352"/>
      <w:r w:rsidRPr="003B2A2A">
        <w:rPr>
          <w:rStyle w:val="Heading4Char"/>
          <w:sz w:val="24"/>
        </w:rPr>
        <w:t xml:space="preserve"> (NO)</w:t>
      </w:r>
      <w:bookmarkEnd w:id="353"/>
      <w:bookmarkEnd w:id="354"/>
      <w:bookmarkEnd w:id="355"/>
    </w:p>
    <w:p w14:paraId="49438E17" w14:textId="77777777" w:rsidR="00944FC9" w:rsidRPr="00B02B89" w:rsidRDefault="00944FC9" w:rsidP="00944FC9">
      <w:pPr>
        <w:pStyle w:val="NormalWeb"/>
        <w:jc w:val="both"/>
        <w:rPr>
          <w:rFonts w:eastAsiaTheme="minorEastAsia"/>
          <w:lang w:eastAsia="ja-JP"/>
        </w:rPr>
      </w:pPr>
      <w:r w:rsidRPr="00B02B89">
        <w:rPr>
          <w:rFonts w:eastAsiaTheme="minorEastAsia"/>
          <w:lang w:eastAsia="ja-JP"/>
        </w:rPr>
        <w:t xml:space="preserve">NO is considered as an alternative to MB for postharvest pest control on lettuce, particularly the </w:t>
      </w:r>
      <w:proofErr w:type="spellStart"/>
      <w:r>
        <w:rPr>
          <w:rFonts w:eastAsiaTheme="minorEastAsia"/>
          <w:lang w:eastAsia="ja-JP"/>
        </w:rPr>
        <w:t>currat</w:t>
      </w:r>
      <w:proofErr w:type="spellEnd"/>
      <w:r>
        <w:rPr>
          <w:rFonts w:eastAsiaTheme="minorEastAsia"/>
          <w:lang w:eastAsia="ja-JP"/>
        </w:rPr>
        <w:t xml:space="preserve">-lettuce </w:t>
      </w:r>
      <w:r w:rsidRPr="00B02B89">
        <w:rPr>
          <w:rFonts w:eastAsiaTheme="minorEastAsia"/>
          <w:lang w:eastAsia="ja-JP"/>
        </w:rPr>
        <w:t xml:space="preserve">aphid </w:t>
      </w:r>
      <w:proofErr w:type="spellStart"/>
      <w:r w:rsidRPr="00B02B89">
        <w:rPr>
          <w:rFonts w:eastAsiaTheme="minorEastAsia"/>
          <w:i/>
          <w:lang w:eastAsia="ja-JP"/>
        </w:rPr>
        <w:t>Nasonovia</w:t>
      </w:r>
      <w:proofErr w:type="spellEnd"/>
      <w:r w:rsidRPr="00B02B89">
        <w:rPr>
          <w:rFonts w:eastAsiaTheme="minorEastAsia"/>
          <w:i/>
          <w:lang w:eastAsia="ja-JP"/>
        </w:rPr>
        <w:t xml:space="preserve"> </w:t>
      </w:r>
      <w:proofErr w:type="spellStart"/>
      <w:r w:rsidRPr="00B02B89">
        <w:rPr>
          <w:rFonts w:eastAsiaTheme="minorEastAsia"/>
          <w:i/>
          <w:lang w:eastAsia="ja-JP"/>
        </w:rPr>
        <w:t>ribisnigri</w:t>
      </w:r>
      <w:proofErr w:type="spellEnd"/>
      <w:r w:rsidRPr="00B02B89">
        <w:rPr>
          <w:rFonts w:eastAsiaTheme="minorEastAsia"/>
          <w:lang w:eastAsia="ja-JP"/>
        </w:rPr>
        <w:t xml:space="preserve"> </w:t>
      </w:r>
      <w:r>
        <w:rPr>
          <w:rFonts w:eastAsiaTheme="minorEastAsia"/>
          <w:lang w:eastAsia="ja-JP"/>
        </w:rPr>
        <w:t xml:space="preserve">(Hemiptera: </w:t>
      </w:r>
      <w:proofErr w:type="spellStart"/>
      <w:r>
        <w:rPr>
          <w:rFonts w:eastAsiaTheme="minorEastAsia"/>
          <w:lang w:eastAsia="ja-JP"/>
        </w:rPr>
        <w:t>Aphididae</w:t>
      </w:r>
      <w:proofErr w:type="spellEnd"/>
      <w:r>
        <w:rPr>
          <w:rFonts w:eastAsiaTheme="minorEastAsia"/>
          <w:lang w:eastAsia="ja-JP"/>
        </w:rPr>
        <w:t xml:space="preserve">) </w:t>
      </w:r>
      <w:r w:rsidRPr="00B02B89">
        <w:rPr>
          <w:rFonts w:eastAsiaTheme="minorEastAsia"/>
          <w:lang w:eastAsia="ja-JP"/>
        </w:rPr>
        <w:t xml:space="preserve">and western flower </w:t>
      </w:r>
      <w:proofErr w:type="spellStart"/>
      <w:r w:rsidRPr="00B02B89">
        <w:rPr>
          <w:rFonts w:eastAsiaTheme="minorEastAsia"/>
          <w:lang w:eastAsia="ja-JP"/>
        </w:rPr>
        <w:t>thrips</w:t>
      </w:r>
      <w:proofErr w:type="spellEnd"/>
      <w:r w:rsidRPr="00B02B89">
        <w:rPr>
          <w:rFonts w:eastAsiaTheme="minorEastAsia"/>
          <w:lang w:eastAsia="ja-JP"/>
        </w:rPr>
        <w:t xml:space="preserve">, </w:t>
      </w:r>
      <w:proofErr w:type="spellStart"/>
      <w:r w:rsidRPr="00B02B89">
        <w:rPr>
          <w:rFonts w:eastAsiaTheme="minorEastAsia"/>
          <w:i/>
          <w:lang w:eastAsia="ja-JP"/>
        </w:rPr>
        <w:t>Frankliniella</w:t>
      </w:r>
      <w:proofErr w:type="spellEnd"/>
      <w:r w:rsidRPr="00B02B89">
        <w:rPr>
          <w:rFonts w:eastAsiaTheme="minorEastAsia"/>
          <w:i/>
          <w:lang w:eastAsia="ja-JP"/>
        </w:rPr>
        <w:t xml:space="preserve"> </w:t>
      </w:r>
      <w:proofErr w:type="spellStart"/>
      <w:r w:rsidRPr="00B02B89">
        <w:rPr>
          <w:rFonts w:eastAsiaTheme="minorEastAsia"/>
          <w:i/>
          <w:lang w:eastAsia="ja-JP"/>
        </w:rPr>
        <w:t>occidentalis</w:t>
      </w:r>
      <w:proofErr w:type="spellEnd"/>
      <w:r>
        <w:rPr>
          <w:rFonts w:eastAsiaTheme="minorEastAsia"/>
          <w:i/>
          <w:lang w:eastAsia="ja-JP"/>
        </w:rPr>
        <w:t xml:space="preserve"> </w:t>
      </w:r>
      <w:r>
        <w:rPr>
          <w:rFonts w:eastAsiaTheme="minorEastAsia"/>
          <w:lang w:eastAsia="ja-JP"/>
        </w:rPr>
        <w:t>(</w:t>
      </w:r>
      <w:proofErr w:type="spellStart"/>
      <w:r w:rsidRPr="00263254">
        <w:rPr>
          <w:rFonts w:eastAsiaTheme="minorEastAsia"/>
          <w:lang w:eastAsia="ja-JP"/>
        </w:rPr>
        <w:t>Thysanoptera</w:t>
      </w:r>
      <w:proofErr w:type="spellEnd"/>
      <w:r>
        <w:rPr>
          <w:rFonts w:eastAsiaTheme="minorEastAsia"/>
          <w:lang w:eastAsia="ja-JP"/>
        </w:rPr>
        <w:t>:</w:t>
      </w:r>
      <w:r w:rsidRPr="00263254">
        <w:t xml:space="preserve"> </w:t>
      </w:r>
      <w:proofErr w:type="spellStart"/>
      <w:r w:rsidRPr="00263254">
        <w:rPr>
          <w:rFonts w:eastAsiaTheme="minorEastAsia"/>
          <w:lang w:eastAsia="ja-JP"/>
        </w:rPr>
        <w:t>Thripidae</w:t>
      </w:r>
      <w:proofErr w:type="spellEnd"/>
      <w:r>
        <w:rPr>
          <w:rFonts w:eastAsiaTheme="minorEastAsia"/>
          <w:lang w:eastAsia="ja-JP"/>
        </w:rPr>
        <w:t>)</w:t>
      </w:r>
      <w:r w:rsidRPr="00B02B89">
        <w:rPr>
          <w:rFonts w:eastAsiaTheme="minorEastAsia"/>
          <w:i/>
          <w:lang w:eastAsia="ja-JP"/>
        </w:rPr>
        <w:t xml:space="preserve"> </w:t>
      </w:r>
      <w:r w:rsidRPr="00B02B89">
        <w:rPr>
          <w:rFonts w:eastAsiaTheme="minorEastAsia"/>
          <w:lang w:eastAsia="ja-JP"/>
        </w:rPr>
        <w:t>(Yang and Liu, 2019).</w:t>
      </w:r>
    </w:p>
    <w:p w14:paraId="3FAEE617" w14:textId="51CC7897" w:rsidR="00944FC9" w:rsidRPr="00B02B89" w:rsidRDefault="00944FC9" w:rsidP="00944FC9">
      <w:r w:rsidRPr="00B02B89">
        <w:lastRenderedPageBreak/>
        <w:t xml:space="preserve">Liu and Simmons (2021) demonstrated that </w:t>
      </w:r>
      <w:r>
        <w:t>NO</w:t>
      </w:r>
      <w:r w:rsidRPr="00B02B89">
        <w:t xml:space="preserve"> fumigation was effective against all life stages of the </w:t>
      </w:r>
      <w:r>
        <w:t xml:space="preserve">light </w:t>
      </w:r>
      <w:r w:rsidRPr="00B02B89">
        <w:t>brown apple moth</w:t>
      </w:r>
      <w:r>
        <w:t>,</w:t>
      </w:r>
      <w:r w:rsidRPr="00263254">
        <w:t xml:space="preserve"> </w:t>
      </w:r>
      <w:proofErr w:type="spellStart"/>
      <w:r w:rsidRPr="00BF0FD5">
        <w:rPr>
          <w:i/>
        </w:rPr>
        <w:t>Epiphyas</w:t>
      </w:r>
      <w:proofErr w:type="spellEnd"/>
      <w:r w:rsidRPr="00BF0FD5">
        <w:rPr>
          <w:i/>
        </w:rPr>
        <w:t xml:space="preserve"> </w:t>
      </w:r>
      <w:proofErr w:type="spellStart"/>
      <w:r w:rsidRPr="00BF0FD5">
        <w:rPr>
          <w:i/>
        </w:rPr>
        <w:t>postvittana</w:t>
      </w:r>
      <w:proofErr w:type="spellEnd"/>
      <w:r w:rsidRPr="00263254">
        <w:t xml:space="preserve"> (Lepidoptera: </w:t>
      </w:r>
      <w:proofErr w:type="spellStart"/>
      <w:r w:rsidRPr="00263254">
        <w:t>Tortricidae</w:t>
      </w:r>
      <w:proofErr w:type="spellEnd"/>
      <w:r w:rsidRPr="00263254">
        <w:t>)</w:t>
      </w:r>
      <w:r w:rsidRPr="00B02B89">
        <w:t>. N</w:t>
      </w:r>
      <w:r>
        <w:t>O</w:t>
      </w:r>
      <w:r w:rsidRPr="00B02B89">
        <w:t xml:space="preserve"> was</w:t>
      </w:r>
      <w:r>
        <w:t xml:space="preserve"> further</w:t>
      </w:r>
      <w:r w:rsidRPr="00B02B89">
        <w:t xml:space="preserve"> </w:t>
      </w:r>
      <w:r>
        <w:t>shown</w:t>
      </w:r>
      <w:r w:rsidRPr="00B02B89">
        <w:t xml:space="preserve"> to be effective against navel </w:t>
      </w:r>
      <w:proofErr w:type="spellStart"/>
      <w:r w:rsidRPr="00B02B89">
        <w:t>orangeworm</w:t>
      </w:r>
      <w:proofErr w:type="spellEnd"/>
      <w:r w:rsidRPr="00B02B89">
        <w:t xml:space="preserve">, </w:t>
      </w:r>
      <w:proofErr w:type="spellStart"/>
      <w:r w:rsidRPr="00BF0FD5">
        <w:rPr>
          <w:i/>
        </w:rPr>
        <w:t>Amyelois</w:t>
      </w:r>
      <w:proofErr w:type="spellEnd"/>
      <w:r w:rsidRPr="00BF0FD5">
        <w:rPr>
          <w:i/>
        </w:rPr>
        <w:t xml:space="preserve"> </w:t>
      </w:r>
      <w:proofErr w:type="spellStart"/>
      <w:r w:rsidRPr="00BF0FD5">
        <w:rPr>
          <w:i/>
        </w:rPr>
        <w:t>transitella</w:t>
      </w:r>
      <w:proofErr w:type="spellEnd"/>
      <w:r>
        <w:t xml:space="preserve"> (</w:t>
      </w:r>
      <w:proofErr w:type="spellStart"/>
      <w:proofErr w:type="gramStart"/>
      <w:r w:rsidRPr="00263254">
        <w:t>Lepidoptera:Pyralidae</w:t>
      </w:r>
      <w:proofErr w:type="spellEnd"/>
      <w:proofErr w:type="gramEnd"/>
      <w:r>
        <w:t xml:space="preserve">) </w:t>
      </w:r>
      <w:r w:rsidRPr="00B02B89">
        <w:t>although timing and application rates were variable depending upon the life stage to be treated (Yang et al., 2021).</w:t>
      </w:r>
      <w:r w:rsidR="005617DE">
        <w:t xml:space="preserve"> </w:t>
      </w:r>
      <w:r w:rsidRPr="00B02B89">
        <w:t>Eggs were more tolerant to NO than larvae and pupae.</w:t>
      </w:r>
    </w:p>
    <w:p w14:paraId="16BE9273" w14:textId="5E2C5EFD" w:rsidR="00944FC9" w:rsidRPr="00413888" w:rsidRDefault="00944FC9" w:rsidP="00C63254">
      <w:pPr>
        <w:pStyle w:val="Heading6"/>
        <w:rPr>
          <w:snapToGrid w:val="0"/>
        </w:rPr>
      </w:pPr>
      <w:bookmarkStart w:id="356" w:name="_Toc38555042"/>
      <w:bookmarkStart w:id="357" w:name="_Toc39926389"/>
      <w:bookmarkStart w:id="358" w:name="_Toc40696059"/>
      <w:bookmarkStart w:id="359" w:name="_Toc77868888"/>
      <w:r w:rsidRPr="00B02B89">
        <w:rPr>
          <w:rStyle w:val="Heading4Char"/>
          <w:sz w:val="24"/>
        </w:rPr>
        <w:t>5.3.1.5</w:t>
      </w:r>
      <w:r w:rsidRPr="00B02B89">
        <w:rPr>
          <w:rStyle w:val="Heading4Char"/>
          <w:sz w:val="24"/>
        </w:rPr>
        <w:tab/>
      </w:r>
      <w:proofErr w:type="spellStart"/>
      <w:r w:rsidRPr="00B02B89">
        <w:rPr>
          <w:rStyle w:val="Heading4Char"/>
          <w:sz w:val="24"/>
        </w:rPr>
        <w:t>Ethanedinitrile</w:t>
      </w:r>
      <w:bookmarkEnd w:id="356"/>
      <w:proofErr w:type="spellEnd"/>
      <w:r w:rsidRPr="00B02B89">
        <w:rPr>
          <w:rStyle w:val="Heading4Char"/>
          <w:sz w:val="24"/>
        </w:rPr>
        <w:t xml:space="preserve"> (EDN)</w:t>
      </w:r>
      <w:bookmarkEnd w:id="357"/>
      <w:bookmarkEnd w:id="358"/>
      <w:bookmarkEnd w:id="359"/>
    </w:p>
    <w:p w14:paraId="6308D6B4" w14:textId="5AAF7A5D" w:rsidR="00944FC9" w:rsidRPr="00B02B89" w:rsidRDefault="00944FC9" w:rsidP="00944FC9">
      <w:r w:rsidRPr="00B02B89">
        <w:t xml:space="preserve">Research on EDN as an alternative to MB for QPS uses, particularly for timber and logs is very active for example in New Zealand, the Czech Republic and Korea with encouraging results (Armstrong and </w:t>
      </w:r>
      <w:proofErr w:type="spellStart"/>
      <w:r w:rsidRPr="00B02B89">
        <w:t>Najar</w:t>
      </w:r>
      <w:proofErr w:type="spellEnd"/>
      <w:r w:rsidRPr="00B02B89">
        <w:t xml:space="preserve">-Rodriguez, 2019; </w:t>
      </w:r>
      <w:proofErr w:type="spellStart"/>
      <w:r w:rsidRPr="00B02B89">
        <w:t>Najar</w:t>
      </w:r>
      <w:proofErr w:type="spellEnd"/>
      <w:r w:rsidRPr="00B02B89">
        <w:t xml:space="preserve">-Rodríguez </w:t>
      </w:r>
      <w:r w:rsidRPr="00B02B89">
        <w:rPr>
          <w:i/>
        </w:rPr>
        <w:t>et al.</w:t>
      </w:r>
      <w:r w:rsidRPr="00B02B89">
        <w:t xml:space="preserve">, 2020; Stejskal </w:t>
      </w:r>
      <w:r w:rsidRPr="00B02B89">
        <w:rPr>
          <w:i/>
        </w:rPr>
        <w:t>et al</w:t>
      </w:r>
      <w:r w:rsidRPr="00B02B89">
        <w:t xml:space="preserve">., 2017; </w:t>
      </w:r>
      <w:proofErr w:type="spellStart"/>
      <w:r w:rsidRPr="00B02B89">
        <w:t>Uzunovic</w:t>
      </w:r>
      <w:proofErr w:type="spellEnd"/>
      <w:r w:rsidRPr="00B02B89">
        <w:t xml:space="preserve"> </w:t>
      </w:r>
      <w:r w:rsidRPr="00B02B89">
        <w:rPr>
          <w:i/>
        </w:rPr>
        <w:t>et al.</w:t>
      </w:r>
      <w:r w:rsidRPr="00B02B89">
        <w:t xml:space="preserve">, 2019). </w:t>
      </w:r>
    </w:p>
    <w:p w14:paraId="57E0C729" w14:textId="52CE9824" w:rsidR="00944FC9" w:rsidRPr="00413888" w:rsidRDefault="00944FC9" w:rsidP="00944FC9">
      <w:pPr>
        <w:rPr>
          <w:rFonts w:eastAsia="SimSun"/>
        </w:rPr>
      </w:pPr>
      <w:r w:rsidRPr="00B02B89">
        <w:rPr>
          <w:rFonts w:eastAsia="SimSun"/>
        </w:rPr>
        <w:t xml:space="preserve">Phosphine, </w:t>
      </w:r>
      <w:r>
        <w:rPr>
          <w:rFonts w:eastAsia="SimSun"/>
        </w:rPr>
        <w:t>SF</w:t>
      </w:r>
      <w:r w:rsidRPr="00B02B89">
        <w:rPr>
          <w:rFonts w:eastAsia="SimSun"/>
        </w:rPr>
        <w:t xml:space="preserve"> and </w:t>
      </w:r>
      <w:r>
        <w:rPr>
          <w:rFonts w:eastAsia="SimSun"/>
        </w:rPr>
        <w:t>ED</w:t>
      </w:r>
      <w:r w:rsidRPr="00B02B89">
        <w:rPr>
          <w:rFonts w:eastAsia="SimSun"/>
        </w:rPr>
        <w:t xml:space="preserve"> were tested against the pinewood nematode, in a range of artificially infested wood samples with high moisture content and, in some cases, the bark layer intact on the surface exposed to the fumigant. Phosphine and </w:t>
      </w:r>
      <w:r>
        <w:rPr>
          <w:rFonts w:eastAsia="SimSun"/>
        </w:rPr>
        <w:t>SF</w:t>
      </w:r>
      <w:r w:rsidRPr="00B02B89">
        <w:rPr>
          <w:rFonts w:eastAsia="SimSun"/>
        </w:rPr>
        <w:t xml:space="preserve"> successfully eliminated pinewood nematodes on pine wood chips but neither was completely effective on pine blocks with intact bark. E</w:t>
      </w:r>
      <w:r>
        <w:rPr>
          <w:rFonts w:eastAsia="SimSun"/>
        </w:rPr>
        <w:t>DN</w:t>
      </w:r>
      <w:r w:rsidRPr="00B02B89">
        <w:rPr>
          <w:rFonts w:eastAsia="SimSun"/>
        </w:rPr>
        <w:t xml:space="preserve"> was effective on pine chips, blocks and logs at all the doses tested: 40-100 mgL-1 for 24 h at 20C. </w:t>
      </w:r>
      <w:proofErr w:type="spellStart"/>
      <w:r w:rsidRPr="00B02B89">
        <w:rPr>
          <w:rFonts w:eastAsia="SimSun"/>
        </w:rPr>
        <w:t>Ethanedinitrile</w:t>
      </w:r>
      <w:proofErr w:type="spellEnd"/>
      <w:r w:rsidRPr="00B02B89">
        <w:rPr>
          <w:rFonts w:eastAsia="SimSun"/>
        </w:rPr>
        <w:t xml:space="preserve"> appears to be a promising alternative to </w:t>
      </w:r>
      <w:r>
        <w:rPr>
          <w:rFonts w:eastAsia="SimSun"/>
        </w:rPr>
        <w:t>MB</w:t>
      </w:r>
      <w:r w:rsidRPr="00B02B89">
        <w:rPr>
          <w:rFonts w:eastAsia="SimSun"/>
        </w:rPr>
        <w:t xml:space="preserve"> for the fumigation of pine logs. Further testing at lower temperatures and doses, and with commercial-scale log loads is recommended (Seabright </w:t>
      </w:r>
      <w:r w:rsidRPr="00585419">
        <w:rPr>
          <w:rFonts w:eastAsia="SimSun"/>
          <w:i/>
        </w:rPr>
        <w:t>et al.</w:t>
      </w:r>
      <w:r w:rsidRPr="00B02B89">
        <w:rPr>
          <w:rFonts w:eastAsia="SimSun"/>
        </w:rPr>
        <w:t>, 2020).</w:t>
      </w:r>
    </w:p>
    <w:p w14:paraId="65454982" w14:textId="7D9B8873" w:rsidR="00944FC9" w:rsidRPr="00B02B89" w:rsidRDefault="00944FC9" w:rsidP="00944FC9">
      <w:r w:rsidRPr="00B02B89">
        <w:t>The New Zealand EPA has recently approved EDN for use on export logs and timber but not imported logs and timber. This has the potential of reducing about 600 tonnes of MB however some requirements still need to be met</w:t>
      </w:r>
      <w:r>
        <w:t xml:space="preserve"> particularly in relation to safe application methods and acceptance by trade partners.</w:t>
      </w:r>
    </w:p>
    <w:p w14:paraId="2E21E35C" w14:textId="77777777" w:rsidR="00944FC9" w:rsidRPr="00460CC6" w:rsidRDefault="00944FC9" w:rsidP="00944FC9">
      <w:pPr>
        <w:pStyle w:val="Style15"/>
        <w:rPr>
          <w:b w:val="0"/>
          <w:sz w:val="22"/>
          <w:szCs w:val="22"/>
        </w:rPr>
      </w:pPr>
      <w:r w:rsidRPr="00413888">
        <w:rPr>
          <w:rStyle w:val="Heading4Char"/>
          <w:b w:val="0"/>
          <w:i w:val="0"/>
          <w:sz w:val="22"/>
          <w:szCs w:val="22"/>
        </w:rPr>
        <w:t xml:space="preserve">Malaysia, which reported usage of 170 tonnes of MB for QPS in 2019, has registered EDN in 2019/2020 as an alternative to MB for postharvest treatments (Glassey, </w:t>
      </w:r>
      <w:proofErr w:type="spellStart"/>
      <w:r w:rsidRPr="00413888">
        <w:rPr>
          <w:rStyle w:val="Heading4Char"/>
          <w:b w:val="0"/>
          <w:i w:val="0"/>
          <w:sz w:val="22"/>
          <w:szCs w:val="22"/>
        </w:rPr>
        <w:t>pers</w:t>
      </w:r>
      <w:proofErr w:type="spellEnd"/>
      <w:r w:rsidRPr="00413888">
        <w:rPr>
          <w:rStyle w:val="Heading4Char"/>
          <w:b w:val="0"/>
          <w:i w:val="0"/>
          <w:sz w:val="22"/>
          <w:szCs w:val="22"/>
        </w:rPr>
        <w:t xml:space="preserve"> </w:t>
      </w:r>
      <w:proofErr w:type="spellStart"/>
      <w:r w:rsidRPr="00413888">
        <w:rPr>
          <w:rStyle w:val="Heading4Char"/>
          <w:b w:val="0"/>
          <w:i w:val="0"/>
          <w:sz w:val="22"/>
          <w:szCs w:val="22"/>
        </w:rPr>
        <w:t>comm</w:t>
      </w:r>
      <w:proofErr w:type="spellEnd"/>
      <w:r w:rsidRPr="00413888">
        <w:rPr>
          <w:rStyle w:val="Heading4Char"/>
          <w:b w:val="0"/>
          <w:i w:val="0"/>
          <w:sz w:val="22"/>
          <w:szCs w:val="22"/>
        </w:rPr>
        <w:t>, 2021). Consumption in 2020 was reported at 136 tonnes</w:t>
      </w:r>
      <w:r w:rsidRPr="00460CC6">
        <w:rPr>
          <w:rStyle w:val="Heading4Char"/>
          <w:b w:val="0"/>
          <w:sz w:val="22"/>
          <w:szCs w:val="22"/>
        </w:rPr>
        <w:t xml:space="preserve">. </w:t>
      </w:r>
      <w:r w:rsidRPr="00460CC6">
        <w:rPr>
          <w:b w:val="0"/>
          <w:sz w:val="22"/>
          <w:szCs w:val="22"/>
        </w:rPr>
        <w:t>South Korea has also registered EDN for logs and timber (</w:t>
      </w:r>
      <w:proofErr w:type="spellStart"/>
      <w:r w:rsidRPr="00460CC6">
        <w:rPr>
          <w:b w:val="0"/>
          <w:sz w:val="22"/>
          <w:szCs w:val="22"/>
        </w:rPr>
        <w:t>Draslovka</w:t>
      </w:r>
      <w:proofErr w:type="spellEnd"/>
      <w:r w:rsidRPr="00460CC6">
        <w:rPr>
          <w:b w:val="0"/>
          <w:sz w:val="22"/>
          <w:szCs w:val="22"/>
        </w:rPr>
        <w:t xml:space="preserve"> MBAO 2020).</w:t>
      </w:r>
    </w:p>
    <w:p w14:paraId="651BFFCF" w14:textId="6744E6AD" w:rsidR="00944FC9" w:rsidRPr="00B02B89" w:rsidRDefault="00944FC9" w:rsidP="00C63254">
      <w:pPr>
        <w:pStyle w:val="Heading6"/>
        <w:rPr>
          <w:rStyle w:val="Heading4Char"/>
          <w:sz w:val="24"/>
        </w:rPr>
      </w:pPr>
      <w:bookmarkStart w:id="360" w:name="_Toc38555043"/>
      <w:bookmarkStart w:id="361" w:name="_Toc39926390"/>
      <w:bookmarkStart w:id="362" w:name="_Toc40696060"/>
      <w:bookmarkStart w:id="363" w:name="_Toc77868889"/>
      <w:r w:rsidRPr="00B02B89">
        <w:rPr>
          <w:rStyle w:val="Heading4Char"/>
          <w:sz w:val="24"/>
        </w:rPr>
        <w:t>5.3.1.6</w:t>
      </w:r>
      <w:r w:rsidRPr="00B02B89">
        <w:rPr>
          <w:rStyle w:val="Heading4Char"/>
          <w:sz w:val="24"/>
        </w:rPr>
        <w:tab/>
        <w:t>Sulfuryl fluoride</w:t>
      </w:r>
      <w:bookmarkEnd w:id="360"/>
      <w:r w:rsidRPr="00B02B89">
        <w:rPr>
          <w:rStyle w:val="Heading4Char"/>
          <w:sz w:val="24"/>
        </w:rPr>
        <w:t xml:space="preserve"> (SF)</w:t>
      </w:r>
      <w:bookmarkEnd w:id="361"/>
      <w:bookmarkEnd w:id="362"/>
      <w:bookmarkEnd w:id="363"/>
    </w:p>
    <w:p w14:paraId="013C7F56" w14:textId="23408784" w:rsidR="00944FC9" w:rsidRPr="00413888" w:rsidRDefault="00944FC9" w:rsidP="00413888">
      <w:r w:rsidRPr="00B02B89">
        <w:t xml:space="preserve">SF has long been shown to penetrate wood as effectively as MB </w:t>
      </w:r>
      <w:r>
        <w:t>and</w:t>
      </w:r>
      <w:r w:rsidRPr="00B02B89">
        <w:t xml:space="preserve"> is also known to have a great potential for controlling forest pest insects</w:t>
      </w:r>
      <w:r>
        <w:t>;</w:t>
      </w:r>
      <w:r w:rsidRPr="00B02B89">
        <w:t xml:space="preserve"> </w:t>
      </w:r>
      <w:r>
        <w:t xml:space="preserve">it </w:t>
      </w:r>
      <w:r w:rsidRPr="00B02B89">
        <w:t>is considered suitable for fumigation of exported logs. As such it has been implemented into the recommendations for a range of phytosanitary treatments in quarantine (ISPM 15, 2018; ISPM 28, 2017)</w:t>
      </w:r>
      <w:r>
        <w:t>.</w:t>
      </w:r>
      <w:r w:rsidRPr="00B02B89">
        <w:t xml:space="preserve"> </w:t>
      </w:r>
      <w:r w:rsidR="00413888">
        <w:br/>
      </w:r>
      <w:r w:rsidRPr="00B02B89">
        <w:rPr>
          <w:lang w:eastAsia="ja-JP"/>
        </w:rPr>
        <w:br/>
      </w:r>
      <w:r w:rsidRPr="00B02B89">
        <w:rPr>
          <w:rFonts w:hint="eastAsia"/>
          <w:lang w:eastAsia="ja-JP"/>
        </w:rPr>
        <w:t xml:space="preserve">Cottrell </w:t>
      </w:r>
      <w:r w:rsidRPr="00B02B89">
        <w:rPr>
          <w:rFonts w:hint="eastAsia"/>
          <w:i/>
          <w:lang w:eastAsia="ja-JP"/>
        </w:rPr>
        <w:t>et al.</w:t>
      </w:r>
      <w:r w:rsidRPr="00B02B89">
        <w:rPr>
          <w:i/>
          <w:lang w:eastAsia="ja-JP"/>
        </w:rPr>
        <w:t>,</w:t>
      </w:r>
      <w:r w:rsidRPr="00B02B89">
        <w:rPr>
          <w:rFonts w:hint="eastAsia"/>
          <w:lang w:eastAsia="ja-JP"/>
        </w:rPr>
        <w:t xml:space="preserve"> (20</w:t>
      </w:r>
      <w:r w:rsidRPr="00B02B89">
        <w:rPr>
          <w:lang w:eastAsia="ja-JP"/>
        </w:rPr>
        <w:t>2</w:t>
      </w:r>
      <w:r w:rsidRPr="00B02B89">
        <w:rPr>
          <w:rFonts w:hint="eastAsia"/>
          <w:lang w:eastAsia="ja-JP"/>
        </w:rPr>
        <w:t xml:space="preserve">0) </w:t>
      </w:r>
      <w:r>
        <w:rPr>
          <w:lang w:eastAsia="ja-JP"/>
        </w:rPr>
        <w:t>recently published research on the control</w:t>
      </w:r>
      <w:r w:rsidRPr="00B02B89">
        <w:rPr>
          <w:rFonts w:hint="eastAsia"/>
          <w:lang w:eastAsia="ja-JP"/>
        </w:rPr>
        <w:t xml:space="preserve"> of </w:t>
      </w:r>
      <w:r w:rsidRPr="00B02B89">
        <w:rPr>
          <w:lang w:eastAsia="ja-JP"/>
        </w:rPr>
        <w:t>the p</w:t>
      </w:r>
      <w:r w:rsidRPr="00B02B89">
        <w:rPr>
          <w:rFonts w:hint="eastAsia"/>
          <w:lang w:eastAsia="ja-JP"/>
        </w:rPr>
        <w:t>ecan weevil</w:t>
      </w:r>
      <w:r>
        <w:rPr>
          <w:lang w:eastAsia="ja-JP"/>
        </w:rPr>
        <w:t>,</w:t>
      </w:r>
      <w:r w:rsidRPr="00B02B89">
        <w:rPr>
          <w:rFonts w:hint="eastAsia"/>
          <w:lang w:eastAsia="ja-JP"/>
        </w:rPr>
        <w:t xml:space="preserve"> </w:t>
      </w:r>
      <w:r w:rsidRPr="00B02B89">
        <w:rPr>
          <w:rFonts w:hint="eastAsia"/>
          <w:i/>
          <w:lang w:eastAsia="ja-JP"/>
        </w:rPr>
        <w:t xml:space="preserve">Curculio </w:t>
      </w:r>
      <w:proofErr w:type="spellStart"/>
      <w:r w:rsidRPr="00B02B89">
        <w:rPr>
          <w:rFonts w:hint="eastAsia"/>
          <w:i/>
          <w:lang w:eastAsia="ja-JP"/>
        </w:rPr>
        <w:t>caryae</w:t>
      </w:r>
      <w:proofErr w:type="spellEnd"/>
      <w:r w:rsidRPr="00B02B89">
        <w:rPr>
          <w:lang w:eastAsia="ja-JP"/>
        </w:rPr>
        <w:t xml:space="preserve">, </w:t>
      </w:r>
      <w:r>
        <w:rPr>
          <w:lang w:eastAsia="ja-JP"/>
        </w:rPr>
        <w:t>(</w:t>
      </w:r>
      <w:proofErr w:type="spellStart"/>
      <w:r w:rsidRPr="00ED6105">
        <w:rPr>
          <w:lang w:eastAsia="ja-JP"/>
        </w:rPr>
        <w:t>Coleoptera</w:t>
      </w:r>
      <w:proofErr w:type="spellEnd"/>
      <w:r>
        <w:rPr>
          <w:lang w:eastAsia="ja-JP"/>
        </w:rPr>
        <w:t>:</w:t>
      </w:r>
      <w:r w:rsidRPr="00ED6105">
        <w:t xml:space="preserve"> </w:t>
      </w:r>
      <w:proofErr w:type="spellStart"/>
      <w:r w:rsidRPr="00ED6105">
        <w:rPr>
          <w:lang w:eastAsia="ja-JP"/>
        </w:rPr>
        <w:t>Curculionidae</w:t>
      </w:r>
      <w:proofErr w:type="spellEnd"/>
      <w:r>
        <w:rPr>
          <w:lang w:eastAsia="ja-JP"/>
        </w:rPr>
        <w:t xml:space="preserve">), </w:t>
      </w:r>
      <w:r w:rsidRPr="00B02B89">
        <w:rPr>
          <w:lang w:eastAsia="ja-JP"/>
        </w:rPr>
        <w:t>which is native to North America</w:t>
      </w:r>
      <w:r>
        <w:rPr>
          <w:lang w:eastAsia="ja-JP"/>
        </w:rPr>
        <w:t xml:space="preserve"> and is a quarantine pest</w:t>
      </w:r>
      <w:r w:rsidRPr="00B02B89">
        <w:rPr>
          <w:lang w:eastAsia="ja-JP"/>
        </w:rPr>
        <w:t xml:space="preserve">, </w:t>
      </w:r>
      <w:r>
        <w:rPr>
          <w:lang w:eastAsia="ja-JP"/>
        </w:rPr>
        <w:t>with SF.</w:t>
      </w:r>
    </w:p>
    <w:p w14:paraId="23313710" w14:textId="0E65ED5D" w:rsidR="00944FC9" w:rsidRPr="00413888" w:rsidRDefault="00944FC9" w:rsidP="00413888">
      <w:r w:rsidRPr="00B02B89">
        <w:t xml:space="preserve">SF is </w:t>
      </w:r>
      <w:r>
        <w:t>also</w:t>
      </w:r>
      <w:r w:rsidRPr="00B02B89">
        <w:t xml:space="preserve"> being used in the USA and Europe as a quarantine treatment on cargo at risk of carrying the Brown Marmorated Stink bug </w:t>
      </w:r>
      <w:proofErr w:type="spellStart"/>
      <w:r w:rsidRPr="00B02B89">
        <w:rPr>
          <w:i/>
        </w:rPr>
        <w:t>Halyomorpha</w:t>
      </w:r>
      <w:proofErr w:type="spellEnd"/>
      <w:r w:rsidRPr="00B02B89">
        <w:rPr>
          <w:i/>
        </w:rPr>
        <w:t xml:space="preserve"> </w:t>
      </w:r>
      <w:proofErr w:type="spellStart"/>
      <w:r w:rsidRPr="00B02B89">
        <w:rPr>
          <w:i/>
        </w:rPr>
        <w:t>haly</w:t>
      </w:r>
      <w:r w:rsidRPr="00B02B89">
        <w:t>s</w:t>
      </w:r>
      <w:proofErr w:type="spellEnd"/>
      <w:r w:rsidRPr="00B02B89">
        <w:t xml:space="preserve"> to Australia and New Zealand. It is approved for export logs to China from Australia and being used on European logs to China (</w:t>
      </w:r>
      <w:proofErr w:type="spellStart"/>
      <w:r w:rsidRPr="00B02B89">
        <w:t>Reichmuth</w:t>
      </w:r>
      <w:proofErr w:type="spellEnd"/>
      <w:r w:rsidRPr="00B02B89">
        <w:t xml:space="preserve"> </w:t>
      </w:r>
      <w:proofErr w:type="spellStart"/>
      <w:r w:rsidRPr="00B02B89">
        <w:t>pers</w:t>
      </w:r>
      <w:proofErr w:type="spellEnd"/>
      <w:r w:rsidRPr="00B02B89">
        <w:t xml:space="preserve"> </w:t>
      </w:r>
      <w:proofErr w:type="spellStart"/>
      <w:r w:rsidRPr="00B02B89">
        <w:t>comm</w:t>
      </w:r>
      <w:proofErr w:type="spellEnd"/>
      <w:r w:rsidR="00413888">
        <w:t>, 2022</w:t>
      </w:r>
      <w:r w:rsidRPr="00B02B89">
        <w:t xml:space="preserve">). </w:t>
      </w:r>
    </w:p>
    <w:p w14:paraId="321A1DC5" w14:textId="77777777" w:rsidR="00944FC9" w:rsidRPr="00413888" w:rsidRDefault="00944FC9" w:rsidP="00944FC9">
      <w:pPr>
        <w:pStyle w:val="06BodyMaintext"/>
        <w:spacing w:line="240" w:lineRule="auto"/>
        <w:ind w:firstLine="0"/>
        <w:jc w:val="left"/>
        <w:rPr>
          <w:rFonts w:ascii="Times New Roman" w:hAnsi="Times New Roman"/>
          <w:sz w:val="22"/>
          <w:szCs w:val="22"/>
        </w:rPr>
      </w:pPr>
      <w:r w:rsidRPr="00413888">
        <w:rPr>
          <w:rFonts w:ascii="Times New Roman" w:hAnsi="Times New Roman"/>
          <w:sz w:val="22"/>
          <w:szCs w:val="22"/>
        </w:rPr>
        <w:t xml:space="preserve">Myers </w:t>
      </w:r>
      <w:r w:rsidRPr="00413888">
        <w:rPr>
          <w:rFonts w:ascii="Times New Roman" w:hAnsi="Times New Roman"/>
          <w:i/>
          <w:sz w:val="22"/>
          <w:szCs w:val="22"/>
        </w:rPr>
        <w:t>et al</w:t>
      </w:r>
      <w:r w:rsidRPr="00413888">
        <w:rPr>
          <w:rFonts w:ascii="Times New Roman" w:hAnsi="Times New Roman"/>
          <w:sz w:val="22"/>
          <w:szCs w:val="22"/>
        </w:rPr>
        <w:t xml:space="preserve"> (2021) have evaluated a treatment for </w:t>
      </w:r>
      <w:proofErr w:type="spellStart"/>
      <w:r w:rsidRPr="00413888">
        <w:rPr>
          <w:rFonts w:ascii="Times New Roman" w:hAnsi="Times New Roman"/>
          <w:sz w:val="22"/>
          <w:szCs w:val="22"/>
        </w:rPr>
        <w:t>khapra</w:t>
      </w:r>
      <w:proofErr w:type="spellEnd"/>
      <w:r w:rsidRPr="00413888">
        <w:rPr>
          <w:rFonts w:ascii="Times New Roman" w:hAnsi="Times New Roman"/>
          <w:sz w:val="22"/>
          <w:szCs w:val="22"/>
        </w:rPr>
        <w:t xml:space="preserve"> beetle </w:t>
      </w:r>
      <w:proofErr w:type="spellStart"/>
      <w:r w:rsidRPr="00413888">
        <w:rPr>
          <w:rFonts w:ascii="Times New Roman" w:hAnsi="Times New Roman"/>
          <w:i/>
          <w:sz w:val="22"/>
          <w:szCs w:val="22"/>
        </w:rPr>
        <w:t>Trogoderma</w:t>
      </w:r>
      <w:proofErr w:type="spellEnd"/>
      <w:r w:rsidRPr="00413888">
        <w:rPr>
          <w:rFonts w:ascii="Times New Roman" w:hAnsi="Times New Roman"/>
          <w:i/>
          <w:sz w:val="22"/>
          <w:szCs w:val="22"/>
        </w:rPr>
        <w:t xml:space="preserve"> </w:t>
      </w:r>
      <w:proofErr w:type="spellStart"/>
      <w:r w:rsidRPr="00413888">
        <w:rPr>
          <w:rFonts w:ascii="Times New Roman" w:hAnsi="Times New Roman"/>
          <w:i/>
          <w:sz w:val="22"/>
          <w:szCs w:val="22"/>
        </w:rPr>
        <w:t>granarium</w:t>
      </w:r>
      <w:proofErr w:type="spellEnd"/>
      <w:r w:rsidRPr="00413888">
        <w:rPr>
          <w:rFonts w:ascii="Times New Roman" w:hAnsi="Times New Roman"/>
          <w:sz w:val="22"/>
          <w:szCs w:val="22"/>
        </w:rPr>
        <w:t xml:space="preserve"> using a combination SF and propylene oxide (PPO). </w:t>
      </w:r>
    </w:p>
    <w:p w14:paraId="2EF4CC32" w14:textId="595261B9" w:rsidR="00944FC9" w:rsidRPr="00B02B89" w:rsidRDefault="00944FC9" w:rsidP="003E4636">
      <w:pPr>
        <w:pStyle w:val="Heading2"/>
        <w:rPr>
          <w:rStyle w:val="Heading311ptBoldChar"/>
          <w:rFonts w:ascii="Garamond" w:eastAsia="Calibri" w:hAnsi="Garamond" w:cs="Times New Roman"/>
          <w:b/>
          <w:snapToGrid/>
          <w:color w:val="000000"/>
          <w:sz w:val="24"/>
          <w:szCs w:val="20"/>
        </w:rPr>
      </w:pPr>
      <w:bookmarkStart w:id="364" w:name="_Toc38555044"/>
      <w:bookmarkStart w:id="365" w:name="_Toc39926391"/>
      <w:bookmarkStart w:id="366" w:name="_Toc40696061"/>
      <w:bookmarkStart w:id="367" w:name="_Toc77868890"/>
      <w:bookmarkStart w:id="368" w:name="_Toc78040726"/>
      <w:bookmarkStart w:id="369" w:name="_Toc79066532"/>
      <w:bookmarkStart w:id="370" w:name="_Toc79069709"/>
      <w:bookmarkStart w:id="371" w:name="_Toc104396693"/>
      <w:r w:rsidRPr="00B02B89">
        <w:rPr>
          <w:rStyle w:val="Heading311ptBoldChar"/>
          <w:b/>
          <w:sz w:val="24"/>
        </w:rPr>
        <w:t>5.3.2</w:t>
      </w:r>
      <w:r w:rsidRPr="00B02B89">
        <w:rPr>
          <w:rStyle w:val="Heading311ptBoldChar"/>
          <w:b/>
          <w:sz w:val="24"/>
        </w:rPr>
        <w:tab/>
        <w:t>Non-chemical alternatives</w:t>
      </w:r>
      <w:bookmarkEnd w:id="364"/>
      <w:bookmarkEnd w:id="365"/>
      <w:bookmarkEnd w:id="366"/>
      <w:bookmarkEnd w:id="367"/>
      <w:bookmarkEnd w:id="368"/>
      <w:bookmarkEnd w:id="369"/>
      <w:bookmarkEnd w:id="370"/>
      <w:bookmarkEnd w:id="371"/>
    </w:p>
    <w:p w14:paraId="004A7026" w14:textId="487BDF1B" w:rsidR="00944FC9" w:rsidRPr="00B02B89" w:rsidRDefault="00944FC9" w:rsidP="00C63254">
      <w:pPr>
        <w:pStyle w:val="Heading6"/>
        <w:rPr>
          <w:rStyle w:val="Heading4Char"/>
          <w:sz w:val="24"/>
        </w:rPr>
      </w:pPr>
      <w:bookmarkStart w:id="372" w:name="_Toc38555045"/>
      <w:bookmarkStart w:id="373" w:name="_Toc39926392"/>
      <w:bookmarkStart w:id="374" w:name="_Toc40696062"/>
      <w:bookmarkStart w:id="375" w:name="_Toc77868891"/>
      <w:r w:rsidRPr="00B02B89">
        <w:rPr>
          <w:rStyle w:val="Heading4Char"/>
          <w:sz w:val="24"/>
        </w:rPr>
        <w:t>5.3.2.1</w:t>
      </w:r>
      <w:r w:rsidRPr="00B02B89">
        <w:rPr>
          <w:rStyle w:val="Heading4Char"/>
          <w:sz w:val="24"/>
        </w:rPr>
        <w:tab/>
        <w:t>Irradiation</w:t>
      </w:r>
      <w:bookmarkEnd w:id="372"/>
      <w:bookmarkEnd w:id="373"/>
      <w:bookmarkEnd w:id="374"/>
      <w:bookmarkEnd w:id="375"/>
    </w:p>
    <w:p w14:paraId="6A83114A" w14:textId="774FCE51" w:rsidR="00944FC9" w:rsidRPr="00B02B89" w:rsidRDefault="00944FC9" w:rsidP="00944FC9">
      <w:r w:rsidRPr="00B02B89">
        <w:t xml:space="preserve">Use of irradiation for postharvest </w:t>
      </w:r>
      <w:r>
        <w:t>treatment</w:t>
      </w:r>
      <w:r w:rsidRPr="00B02B89">
        <w:t xml:space="preserve"> of fresh commodities </w:t>
      </w:r>
      <w:r>
        <w:t xml:space="preserve">to free them </w:t>
      </w:r>
      <w:r w:rsidRPr="00B02B89">
        <w:t xml:space="preserve">from insect pests of quarantine concern continues to increase. However, many commodities are stored in controlled or </w:t>
      </w:r>
      <w:r w:rsidRPr="00B02B89">
        <w:lastRenderedPageBreak/>
        <w:t xml:space="preserve">modified atmospheres to preserve commodity quality and extend shelf life and low-oxygen environments have been shown to affect radiotolerance in some insects, e.g. the cabbage looper, </w:t>
      </w:r>
      <w:proofErr w:type="spellStart"/>
      <w:r w:rsidRPr="00B02B89">
        <w:rPr>
          <w:i/>
        </w:rPr>
        <w:t>Trichoplus</w:t>
      </w:r>
      <w:proofErr w:type="spellEnd"/>
      <w:r w:rsidRPr="00B02B89">
        <w:rPr>
          <w:i/>
        </w:rPr>
        <w:t xml:space="preserve"> </w:t>
      </w:r>
      <w:proofErr w:type="spellStart"/>
      <w:r w:rsidRPr="00B02B89">
        <w:rPr>
          <w:i/>
        </w:rPr>
        <w:t>iani</w:t>
      </w:r>
      <w:proofErr w:type="spellEnd"/>
      <w:r w:rsidRPr="00B02B89">
        <w:rPr>
          <w:i/>
        </w:rPr>
        <w:t xml:space="preserve"> </w:t>
      </w:r>
      <w:r w:rsidRPr="00B02B89">
        <w:t>(</w:t>
      </w:r>
      <w:proofErr w:type="spellStart"/>
      <w:r w:rsidRPr="00B02B89">
        <w:t>Hübner</w:t>
      </w:r>
      <w:proofErr w:type="spellEnd"/>
      <w:r w:rsidRPr="00B02B89">
        <w:t xml:space="preserve">) (Lepidoptera: </w:t>
      </w:r>
      <w:proofErr w:type="spellStart"/>
      <w:r w:rsidRPr="00B02B89">
        <w:t>Noctuidae</w:t>
      </w:r>
      <w:proofErr w:type="spellEnd"/>
      <w:r w:rsidRPr="00B02B89">
        <w:t xml:space="preserve">) (Lopez-Martinez </w:t>
      </w:r>
      <w:r w:rsidRPr="00B02B89">
        <w:rPr>
          <w:i/>
          <w:iCs/>
        </w:rPr>
        <w:t>et al</w:t>
      </w:r>
      <w:r w:rsidRPr="00B02B89">
        <w:t xml:space="preserve">., 2016). </w:t>
      </w:r>
    </w:p>
    <w:p w14:paraId="17348E3F" w14:textId="7EE21E7E" w:rsidR="00944FC9" w:rsidRPr="00B02B89" w:rsidRDefault="00944FC9" w:rsidP="00944FC9">
      <w:r>
        <w:t>T</w:t>
      </w:r>
      <w:r w:rsidRPr="00B02B89">
        <w:t xml:space="preserve">his is not the case of </w:t>
      </w:r>
      <w:r w:rsidRPr="00B02B89">
        <w:rPr>
          <w:i/>
        </w:rPr>
        <w:t xml:space="preserve">Drosophila </w:t>
      </w:r>
      <w:proofErr w:type="spellStart"/>
      <w:r w:rsidRPr="00B02B89">
        <w:rPr>
          <w:i/>
        </w:rPr>
        <w:t>suzukii</w:t>
      </w:r>
      <w:proofErr w:type="spellEnd"/>
      <w:r w:rsidRPr="00B02B89">
        <w:t xml:space="preserve"> Matsumura (</w:t>
      </w:r>
      <w:proofErr w:type="spellStart"/>
      <w:r w:rsidRPr="00B02B89">
        <w:t>Diptera</w:t>
      </w:r>
      <w:proofErr w:type="spellEnd"/>
      <w:r w:rsidRPr="00B02B89">
        <w:t xml:space="preserve">: </w:t>
      </w:r>
      <w:proofErr w:type="spellStart"/>
      <w:r w:rsidRPr="00B02B89">
        <w:t>Drosophilidae</w:t>
      </w:r>
      <w:proofErr w:type="spellEnd"/>
      <w:r w:rsidRPr="00B02B89">
        <w:t>)</w:t>
      </w:r>
      <w:r>
        <w:t xml:space="preserve"> where</w:t>
      </w:r>
      <w:r w:rsidRPr="00B02B89">
        <w:t xml:space="preserve"> </w:t>
      </w:r>
      <w:r>
        <w:t>l</w:t>
      </w:r>
      <w:r w:rsidRPr="00B02B89">
        <w:t>ow</w:t>
      </w:r>
      <w:r>
        <w:t xml:space="preserve"> </w:t>
      </w:r>
      <w:r w:rsidRPr="00B02B89">
        <w:t xml:space="preserve">oxygen modified atmospheres did not enhance survival of </w:t>
      </w:r>
      <w:r w:rsidRPr="00B02B89">
        <w:rPr>
          <w:i/>
        </w:rPr>
        <w:t xml:space="preserve">D. </w:t>
      </w:r>
      <w:proofErr w:type="spellStart"/>
      <w:r w:rsidRPr="00B02B89">
        <w:rPr>
          <w:i/>
        </w:rPr>
        <w:t>suzukii</w:t>
      </w:r>
      <w:proofErr w:type="spellEnd"/>
      <w:r w:rsidRPr="00B02B89">
        <w:t xml:space="preserve"> pupae irradiated at 60 </w:t>
      </w:r>
      <w:proofErr w:type="spellStart"/>
      <w:r w:rsidRPr="00B02B89">
        <w:t>Gy</w:t>
      </w:r>
      <w:proofErr w:type="spellEnd"/>
      <w:r w:rsidRPr="00B02B89">
        <w:t xml:space="preserve"> in sweet cherry (Follett </w:t>
      </w:r>
      <w:r w:rsidRPr="00B02B89">
        <w:rPr>
          <w:i/>
          <w:iCs/>
        </w:rPr>
        <w:t>et al.</w:t>
      </w:r>
      <w:r w:rsidRPr="00B02B89">
        <w:t xml:space="preserve">, 2018). </w:t>
      </w:r>
    </w:p>
    <w:p w14:paraId="36C78338" w14:textId="4E146135" w:rsidR="00944FC9" w:rsidRPr="00413888" w:rsidRDefault="00944FC9" w:rsidP="00944FC9">
      <w:pPr>
        <w:rPr>
          <w:lang w:eastAsia="ja-JP"/>
        </w:rPr>
      </w:pPr>
      <w:r w:rsidRPr="00B02B89">
        <w:rPr>
          <w:rFonts w:hint="eastAsia"/>
          <w:lang w:eastAsia="ja-JP"/>
        </w:rPr>
        <w:t>In South Korea</w:t>
      </w:r>
      <w:r>
        <w:rPr>
          <w:lang w:eastAsia="ja-JP"/>
        </w:rPr>
        <w:t>,</w:t>
      </w:r>
      <w:r w:rsidRPr="00B02B89">
        <w:rPr>
          <w:rFonts w:hint="eastAsia"/>
          <w:lang w:eastAsia="ja-JP"/>
        </w:rPr>
        <w:t xml:space="preserve"> Cho </w:t>
      </w:r>
      <w:r w:rsidRPr="00B02B89">
        <w:rPr>
          <w:i/>
          <w:lang w:eastAsia="ja-JP"/>
        </w:rPr>
        <w:t>et al.</w:t>
      </w:r>
      <w:r w:rsidRPr="00B02B89">
        <w:rPr>
          <w:rFonts w:hint="eastAsia"/>
          <w:lang w:eastAsia="ja-JP"/>
        </w:rPr>
        <w:t xml:space="preserve"> (2019) examined </w:t>
      </w:r>
      <w:r w:rsidRPr="00B02B89">
        <w:rPr>
          <w:lang w:eastAsia="ja-JP"/>
        </w:rPr>
        <w:t xml:space="preserve">the </w:t>
      </w:r>
      <w:r w:rsidRPr="00B02B89">
        <w:rPr>
          <w:rFonts w:hint="eastAsia"/>
          <w:lang w:eastAsia="ja-JP"/>
        </w:rPr>
        <w:t xml:space="preserve">effects of gamma-ray irradiation on the development and reproductive sterility of </w:t>
      </w:r>
      <w:r>
        <w:rPr>
          <w:lang w:eastAsia="ja-JP"/>
        </w:rPr>
        <w:t xml:space="preserve">whiteflies, </w:t>
      </w:r>
      <w:proofErr w:type="spellStart"/>
      <w:r w:rsidRPr="00B02B89">
        <w:rPr>
          <w:rFonts w:hint="eastAsia"/>
          <w:i/>
          <w:lang w:eastAsia="ja-JP"/>
        </w:rPr>
        <w:t>Bemisia</w:t>
      </w:r>
      <w:proofErr w:type="spellEnd"/>
      <w:r w:rsidRPr="00B02B89">
        <w:rPr>
          <w:rFonts w:hint="eastAsia"/>
          <w:i/>
          <w:lang w:eastAsia="ja-JP"/>
        </w:rPr>
        <w:t xml:space="preserve"> </w:t>
      </w:r>
      <w:proofErr w:type="spellStart"/>
      <w:r w:rsidRPr="00B02B89">
        <w:rPr>
          <w:rFonts w:hint="eastAsia"/>
          <w:i/>
          <w:lang w:eastAsia="ja-JP"/>
        </w:rPr>
        <w:t>tabaci</w:t>
      </w:r>
      <w:proofErr w:type="spellEnd"/>
      <w:r w:rsidRPr="00B02B89">
        <w:rPr>
          <w:rFonts w:hint="eastAsia"/>
          <w:lang w:eastAsia="ja-JP"/>
        </w:rPr>
        <w:t xml:space="preserve"> and </w:t>
      </w:r>
      <w:proofErr w:type="spellStart"/>
      <w:r w:rsidRPr="00B02B89">
        <w:rPr>
          <w:rFonts w:hint="eastAsia"/>
          <w:i/>
          <w:lang w:eastAsia="ja-JP"/>
        </w:rPr>
        <w:t>Trialeurodes</w:t>
      </w:r>
      <w:proofErr w:type="spellEnd"/>
      <w:r w:rsidRPr="00B02B89">
        <w:rPr>
          <w:rFonts w:hint="eastAsia"/>
          <w:i/>
          <w:lang w:eastAsia="ja-JP"/>
        </w:rPr>
        <w:t xml:space="preserve"> </w:t>
      </w:r>
      <w:proofErr w:type="spellStart"/>
      <w:r w:rsidRPr="00B02B89">
        <w:rPr>
          <w:rFonts w:hint="eastAsia"/>
          <w:i/>
          <w:lang w:eastAsia="ja-JP"/>
        </w:rPr>
        <w:t>vaporariorum</w:t>
      </w:r>
      <w:proofErr w:type="spellEnd"/>
      <w:r w:rsidRPr="00297091">
        <w:rPr>
          <w:rFonts w:hint="eastAsia"/>
          <w:lang w:eastAsia="ja-JP"/>
        </w:rPr>
        <w:t xml:space="preserve"> </w:t>
      </w:r>
      <w:r>
        <w:rPr>
          <w:lang w:eastAsia="ja-JP"/>
        </w:rPr>
        <w:t>(</w:t>
      </w:r>
      <w:r w:rsidRPr="008A793F">
        <w:rPr>
          <w:lang w:eastAsia="ja-JP"/>
        </w:rPr>
        <w:t>Hemiptera</w:t>
      </w:r>
      <w:r>
        <w:rPr>
          <w:lang w:eastAsia="ja-JP"/>
        </w:rPr>
        <w:t>:</w:t>
      </w:r>
      <w:r w:rsidRPr="008A793F">
        <w:t xml:space="preserve"> </w:t>
      </w:r>
      <w:proofErr w:type="spellStart"/>
      <w:r w:rsidRPr="008A793F">
        <w:rPr>
          <w:lang w:eastAsia="ja-JP"/>
        </w:rPr>
        <w:t>Aleyrodidae</w:t>
      </w:r>
      <w:proofErr w:type="spellEnd"/>
      <w:r>
        <w:rPr>
          <w:lang w:eastAsia="ja-JP"/>
        </w:rPr>
        <w:t xml:space="preserve">) on </w:t>
      </w:r>
      <w:r w:rsidRPr="00B02B89">
        <w:rPr>
          <w:rFonts w:hint="eastAsia"/>
          <w:lang w:eastAsia="ja-JP"/>
        </w:rPr>
        <w:t>export</w:t>
      </w:r>
      <w:r w:rsidRPr="00B02B89">
        <w:rPr>
          <w:lang w:eastAsia="ja-JP"/>
        </w:rPr>
        <w:t>ed</w:t>
      </w:r>
      <w:r w:rsidRPr="00B02B89">
        <w:rPr>
          <w:rFonts w:hint="eastAsia"/>
          <w:lang w:eastAsia="ja-JP"/>
        </w:rPr>
        <w:t xml:space="preserve"> strawberry fruit. </w:t>
      </w:r>
      <w:r w:rsidRPr="00B02B89">
        <w:rPr>
          <w:lang w:eastAsia="ja-JP"/>
        </w:rPr>
        <w:t>They found that</w:t>
      </w:r>
      <w:r w:rsidRPr="00B02B89">
        <w:rPr>
          <w:rFonts w:hint="eastAsia"/>
          <w:lang w:eastAsia="ja-JP"/>
        </w:rPr>
        <w:t xml:space="preserve"> 100 </w:t>
      </w:r>
      <w:proofErr w:type="spellStart"/>
      <w:r w:rsidRPr="00B02B89">
        <w:rPr>
          <w:rFonts w:hint="eastAsia"/>
          <w:lang w:eastAsia="ja-JP"/>
        </w:rPr>
        <w:t>Gy</w:t>
      </w:r>
      <w:proofErr w:type="spellEnd"/>
      <w:r w:rsidRPr="00B02B89">
        <w:rPr>
          <w:rFonts w:hint="eastAsia"/>
          <w:lang w:eastAsia="ja-JP"/>
        </w:rPr>
        <w:t xml:space="preserve"> suppressed the development and reproduction of eggs and adults in both</w:t>
      </w:r>
      <w:r w:rsidRPr="00B02B89">
        <w:rPr>
          <w:lang w:eastAsia="ja-JP"/>
        </w:rPr>
        <w:t xml:space="preserve"> species</w:t>
      </w:r>
      <w:r w:rsidRPr="00B02B89">
        <w:rPr>
          <w:rFonts w:hint="eastAsia"/>
          <w:i/>
          <w:lang w:eastAsia="ja-JP"/>
        </w:rPr>
        <w:t>.</w:t>
      </w:r>
    </w:p>
    <w:p w14:paraId="1F01D21D" w14:textId="77777777" w:rsidR="00944FC9" w:rsidRPr="00B02B89" w:rsidRDefault="00944FC9" w:rsidP="00944FC9">
      <w:r w:rsidRPr="00B02B89">
        <w:t xml:space="preserve">Zhao </w:t>
      </w:r>
      <w:r w:rsidRPr="00585419">
        <w:rPr>
          <w:i/>
        </w:rPr>
        <w:t>et al</w:t>
      </w:r>
      <w:r w:rsidRPr="00B02B89">
        <w:t>.</w:t>
      </w:r>
      <w:r>
        <w:t>,</w:t>
      </w:r>
      <w:r w:rsidRPr="00B02B89">
        <w:t xml:space="preserve"> (2021) reported that the combination of modified atmosphere (MA) and ionizing radiation </w:t>
      </w:r>
      <w:r>
        <w:t>led to</w:t>
      </w:r>
      <w:r w:rsidRPr="00B02B89">
        <w:t xml:space="preserve"> synergistic effects </w:t>
      </w:r>
      <w:r>
        <w:t>successfully controlling</w:t>
      </w:r>
      <w:r w:rsidRPr="00B02B89">
        <w:t xml:space="preserve"> </w:t>
      </w:r>
      <w:r>
        <w:t>oriental fruit flies in</w:t>
      </w:r>
      <w:r w:rsidRPr="00B02B89">
        <w:t xml:space="preserve"> </w:t>
      </w:r>
      <w:r>
        <w:t>irradiated fruit held</w:t>
      </w:r>
      <w:r w:rsidRPr="00B02B89">
        <w:t xml:space="preserve"> </w:t>
      </w:r>
      <w:r>
        <w:t>in a</w:t>
      </w:r>
      <w:r w:rsidRPr="00B02B89">
        <w:t xml:space="preserve"> 1% O</w:t>
      </w:r>
      <w:r w:rsidRPr="00B02B89">
        <w:rPr>
          <w:vertAlign w:val="subscript"/>
        </w:rPr>
        <w:t>2</w:t>
      </w:r>
      <w:r w:rsidRPr="00B02B89">
        <w:t xml:space="preserve"> atmosphere for 14- or 15-d</w:t>
      </w:r>
      <w:r>
        <w:t>ays.</w:t>
      </w:r>
      <w:r w:rsidRPr="00B02B89">
        <w:t xml:space="preserve"> </w:t>
      </w:r>
      <w:r>
        <w:t>This</w:t>
      </w:r>
      <w:r w:rsidRPr="00B02B89">
        <w:t xml:space="preserve"> resulted in </w:t>
      </w:r>
      <w:r>
        <w:t>the required</w:t>
      </w:r>
      <w:r w:rsidRPr="00B02B89">
        <w:t xml:space="preserve"> efficacy of 99.99</w:t>
      </w:r>
      <w:r>
        <w:t>68</w:t>
      </w:r>
      <w:r w:rsidRPr="00B02B89">
        <w:t xml:space="preserve">% mortality at 95% confidence level. </w:t>
      </w:r>
    </w:p>
    <w:p w14:paraId="23E6630D" w14:textId="532AF409" w:rsidR="00944FC9" w:rsidRPr="00B02B89" w:rsidRDefault="00944FC9" w:rsidP="00C63254">
      <w:pPr>
        <w:pStyle w:val="Heading6"/>
        <w:rPr>
          <w:rStyle w:val="Heading4Char"/>
          <w:sz w:val="24"/>
        </w:rPr>
      </w:pPr>
      <w:bookmarkStart w:id="376" w:name="_Toc38555046"/>
      <w:bookmarkStart w:id="377" w:name="_Toc39926393"/>
      <w:bookmarkStart w:id="378" w:name="_Toc40696063"/>
      <w:bookmarkStart w:id="379" w:name="_Toc77868892"/>
      <w:r w:rsidRPr="00B02B89">
        <w:rPr>
          <w:rStyle w:val="Heading4Char"/>
          <w:sz w:val="24"/>
        </w:rPr>
        <w:t>5.3.2.2</w:t>
      </w:r>
      <w:r w:rsidRPr="00B02B89">
        <w:rPr>
          <w:rStyle w:val="Heading4Char"/>
          <w:sz w:val="24"/>
        </w:rPr>
        <w:tab/>
        <w:t>Radio frequency</w:t>
      </w:r>
    </w:p>
    <w:p w14:paraId="42474534" w14:textId="5486AFD5" w:rsidR="00944FC9" w:rsidRPr="00B02B89" w:rsidRDefault="00944FC9" w:rsidP="00944FC9">
      <w:pPr>
        <w:rPr>
          <w:color w:val="222222"/>
          <w:shd w:val="clear" w:color="auto" w:fill="FFFFFF"/>
        </w:rPr>
      </w:pPr>
      <w:r w:rsidRPr="00B02B89">
        <w:rPr>
          <w:color w:val="222222"/>
          <w:shd w:val="clear" w:color="auto" w:fill="FFFFFF"/>
        </w:rPr>
        <w:t xml:space="preserve">New methods to utilize </w:t>
      </w:r>
      <w:bookmarkStart w:id="380" w:name="_Hlk100155318"/>
      <w:r w:rsidRPr="00B02B89">
        <w:rPr>
          <w:color w:val="222222"/>
          <w:shd w:val="clear" w:color="auto" w:fill="FFFFFF"/>
        </w:rPr>
        <w:t>radiofrequency</w:t>
      </w:r>
      <w:bookmarkEnd w:id="380"/>
      <w:r w:rsidRPr="00B02B89">
        <w:rPr>
          <w:color w:val="222222"/>
          <w:shd w:val="clear" w:color="auto" w:fill="FFFFFF"/>
        </w:rPr>
        <w:t xml:space="preserve"> (RF) power have been investigated by </w:t>
      </w:r>
      <w:r w:rsidRPr="00B02B89">
        <w:t>Lagunas-Solar</w:t>
      </w:r>
      <w:r>
        <w:t xml:space="preserve"> </w:t>
      </w:r>
      <w:r w:rsidRPr="00585419">
        <w:rPr>
          <w:i/>
        </w:rPr>
        <w:t>et</w:t>
      </w:r>
      <w:r>
        <w:rPr>
          <w:i/>
        </w:rPr>
        <w:t>.</w:t>
      </w:r>
      <w:r w:rsidRPr="00585419">
        <w:rPr>
          <w:i/>
        </w:rPr>
        <w:t xml:space="preserve"> al</w:t>
      </w:r>
      <w:r>
        <w:rPr>
          <w:i/>
        </w:rPr>
        <w:t>,</w:t>
      </w:r>
      <w:r>
        <w:t xml:space="preserve"> (</w:t>
      </w:r>
      <w:r w:rsidRPr="00A441E5">
        <w:rPr>
          <w:color w:val="auto"/>
        </w:rPr>
        <w:t>2006</w:t>
      </w:r>
      <w:r>
        <w:t>)</w:t>
      </w:r>
      <w:r w:rsidRPr="00B02B89">
        <w:rPr>
          <w:color w:val="222222"/>
          <w:shd w:val="clear" w:color="auto" w:fill="FFFFFF"/>
        </w:rPr>
        <w:t xml:space="preserve"> as</w:t>
      </w:r>
      <w:r>
        <w:rPr>
          <w:color w:val="222222"/>
          <w:shd w:val="clear" w:color="auto" w:fill="FFFFFF"/>
        </w:rPr>
        <w:t xml:space="preserve"> a</w:t>
      </w:r>
      <w:r w:rsidRPr="00B02B89">
        <w:rPr>
          <w:color w:val="222222"/>
          <w:shd w:val="clear" w:color="auto" w:fill="FFFFFF"/>
        </w:rPr>
        <w:t xml:space="preserve"> physical thermal method for disinfecting and disinfesting various foods and non-food materials, including agricultural soils.</w:t>
      </w:r>
      <w:r w:rsidRPr="008E11C1" w:rsidDel="008E11C1">
        <w:rPr>
          <w:rStyle w:val="CommentReference"/>
          <w:rFonts w:ascii="Arial" w:hAnsi="Arial"/>
          <w:sz w:val="24"/>
        </w:rPr>
        <w:t xml:space="preserve"> </w:t>
      </w:r>
      <w:r>
        <w:rPr>
          <w:color w:val="222222"/>
          <w:shd w:val="clear" w:color="auto" w:fill="FFFFFF"/>
        </w:rPr>
        <w:t>Control of</w:t>
      </w:r>
      <w:r w:rsidRPr="0098303B">
        <w:rPr>
          <w:color w:val="222222"/>
          <w:shd w:val="clear" w:color="auto" w:fill="FFFFFF"/>
        </w:rPr>
        <w:t xml:space="preserve"> fungi and nematodes </w:t>
      </w:r>
      <w:r>
        <w:rPr>
          <w:color w:val="222222"/>
          <w:shd w:val="clear" w:color="auto" w:fill="FFFFFF"/>
        </w:rPr>
        <w:t>was effectively achieved.</w:t>
      </w:r>
    </w:p>
    <w:p w14:paraId="34DBCA5A" w14:textId="6EEEA6EC" w:rsidR="00413888" w:rsidRPr="00413888" w:rsidRDefault="00944FC9" w:rsidP="00413888">
      <w:pPr>
        <w:rPr>
          <w:color w:val="222222"/>
          <w:shd w:val="clear" w:color="auto" w:fill="FFFFFF"/>
        </w:rPr>
      </w:pPr>
      <w:r w:rsidRPr="00B02B89">
        <w:rPr>
          <w:color w:val="222222"/>
          <w:shd w:val="clear" w:color="auto" w:fill="FFFFFF"/>
        </w:rPr>
        <w:t xml:space="preserve">RF applications are </w:t>
      </w:r>
      <w:r>
        <w:rPr>
          <w:color w:val="222222"/>
          <w:shd w:val="clear" w:color="auto" w:fill="FFFFFF"/>
        </w:rPr>
        <w:t>currently</w:t>
      </w:r>
      <w:r w:rsidRPr="00B02B89">
        <w:rPr>
          <w:color w:val="222222"/>
          <w:shd w:val="clear" w:color="auto" w:fill="FFFFFF"/>
        </w:rPr>
        <w:t xml:space="preserve"> limited to frozen foods, fruit juices, post-baking drying, and some pasteurization processes due to high cost</w:t>
      </w:r>
      <w:r>
        <w:rPr>
          <w:color w:val="222222"/>
          <w:shd w:val="clear" w:color="auto" w:fill="FFFFFF"/>
        </w:rPr>
        <w:t>s</w:t>
      </w:r>
      <w:r w:rsidRPr="00B02B89">
        <w:rPr>
          <w:color w:val="222222"/>
          <w:shd w:val="clear" w:color="auto" w:fill="FFFFFF"/>
        </w:rPr>
        <w:t xml:space="preserve"> </w:t>
      </w:r>
      <w:r>
        <w:rPr>
          <w:color w:val="222222"/>
          <w:shd w:val="clear" w:color="auto" w:fill="FFFFFF"/>
        </w:rPr>
        <w:t>and</w:t>
      </w:r>
      <w:r w:rsidRPr="00B02B89">
        <w:rPr>
          <w:color w:val="222222"/>
          <w:shd w:val="clear" w:color="auto" w:fill="FFFFFF"/>
        </w:rPr>
        <w:t xml:space="preserve"> </w:t>
      </w:r>
      <w:r>
        <w:rPr>
          <w:color w:val="222222"/>
          <w:shd w:val="clear" w:color="auto" w:fill="FFFFFF"/>
        </w:rPr>
        <w:t>uncertainty</w:t>
      </w:r>
      <w:r w:rsidRPr="00B02B89">
        <w:rPr>
          <w:color w:val="222222"/>
          <w:shd w:val="clear" w:color="auto" w:fill="FFFFFF"/>
        </w:rPr>
        <w:t xml:space="preserve"> regarding the RF properties of foods and other materials. At U</w:t>
      </w:r>
      <w:r>
        <w:rPr>
          <w:color w:val="222222"/>
          <w:shd w:val="clear" w:color="auto" w:fill="FFFFFF"/>
        </w:rPr>
        <w:t>niversity of California at</w:t>
      </w:r>
      <w:r w:rsidRPr="00B02B89">
        <w:rPr>
          <w:color w:val="222222"/>
          <w:shd w:val="clear" w:color="auto" w:fill="FFFFFF"/>
        </w:rPr>
        <w:t xml:space="preserve"> Davis, new bands of the RF spectrum (few kHz to &lt; 10 MHz) have been studied and tested successfully allowing significant cost reduction</w:t>
      </w:r>
      <w:r>
        <w:rPr>
          <w:color w:val="222222"/>
          <w:shd w:val="clear" w:color="auto" w:fill="FFFFFF"/>
        </w:rPr>
        <w:t>s</w:t>
      </w:r>
      <w:r w:rsidRPr="00B02B89">
        <w:rPr>
          <w:color w:val="222222"/>
          <w:shd w:val="clear" w:color="auto" w:fill="FFFFFF"/>
        </w:rPr>
        <w:t xml:space="preserve"> and capable of operating </w:t>
      </w:r>
      <w:r>
        <w:rPr>
          <w:color w:val="222222"/>
          <w:shd w:val="clear" w:color="auto" w:fill="FFFFFF"/>
        </w:rPr>
        <w:t>high</w:t>
      </w:r>
      <w:r w:rsidRPr="00B02B89">
        <w:rPr>
          <w:color w:val="222222"/>
          <w:shd w:val="clear" w:color="auto" w:fill="FFFFFF"/>
        </w:rPr>
        <w:t xml:space="preserve"> energy efficienc</w:t>
      </w:r>
      <w:r>
        <w:rPr>
          <w:color w:val="222222"/>
          <w:shd w:val="clear" w:color="auto" w:fill="FFFFFF"/>
        </w:rPr>
        <w:t>y</w:t>
      </w:r>
      <w:r w:rsidRPr="00B02B89">
        <w:rPr>
          <w:color w:val="222222"/>
          <w:shd w:val="clear" w:color="auto" w:fill="FFFFFF"/>
        </w:rPr>
        <w:t xml:space="preserve">. </w:t>
      </w:r>
    </w:p>
    <w:p w14:paraId="2F4F4381" w14:textId="77777777" w:rsidR="00944FC9" w:rsidRPr="00B02B89" w:rsidRDefault="00944FC9" w:rsidP="00944FC9">
      <w:pPr>
        <w:rPr>
          <w:color w:val="222222"/>
          <w:shd w:val="clear" w:color="auto" w:fill="FFFFFF"/>
        </w:rPr>
      </w:pPr>
      <w:r w:rsidRPr="002931A4">
        <w:rPr>
          <w:color w:val="222222"/>
          <w:shd w:val="clear" w:color="auto" w:fill="FFFFFF"/>
        </w:rPr>
        <w:t xml:space="preserve">A project developing radio frequency (RF) technology has generated the data required to have this treatment method approved by the IPPC in compliance with ISPM-15 </w:t>
      </w:r>
      <w:r>
        <w:rPr>
          <w:color w:val="222222"/>
          <w:shd w:val="clear" w:color="auto" w:fill="FFFFFF"/>
        </w:rPr>
        <w:t xml:space="preserve">for wood packaging, </w:t>
      </w:r>
      <w:r w:rsidRPr="002931A4">
        <w:rPr>
          <w:color w:val="222222"/>
          <w:shd w:val="clear" w:color="auto" w:fill="FFFFFF"/>
        </w:rPr>
        <w:t>but cost effectiveness need</w:t>
      </w:r>
      <w:r>
        <w:rPr>
          <w:color w:val="222222"/>
          <w:shd w:val="clear" w:color="auto" w:fill="FFFFFF"/>
        </w:rPr>
        <w:t>ed</w:t>
      </w:r>
      <w:r w:rsidRPr="002931A4">
        <w:rPr>
          <w:color w:val="222222"/>
          <w:shd w:val="clear" w:color="auto" w:fill="FFFFFF"/>
        </w:rPr>
        <w:t xml:space="preserve"> to be improved for adoption to occur. In 2016, it was found that by adding pressure to the RF chamber during treatment dramatically reduced the time required to treat, improved heating uniformity, and reduced energy and </w:t>
      </w:r>
      <w:proofErr w:type="spellStart"/>
      <w:r w:rsidRPr="002931A4">
        <w:rPr>
          <w:color w:val="222222"/>
          <w:shd w:val="clear" w:color="auto" w:fill="FFFFFF"/>
        </w:rPr>
        <w:t>labor</w:t>
      </w:r>
      <w:proofErr w:type="spellEnd"/>
      <w:r w:rsidRPr="002931A4">
        <w:rPr>
          <w:color w:val="222222"/>
          <w:shd w:val="clear" w:color="auto" w:fill="FFFFFF"/>
        </w:rPr>
        <w:t xml:space="preserve"> costs significantly. A commercial application is close </w:t>
      </w:r>
      <w:r>
        <w:rPr>
          <w:color w:val="222222"/>
          <w:shd w:val="clear" w:color="auto" w:fill="FFFFFF"/>
        </w:rPr>
        <w:t>t</w:t>
      </w:r>
      <w:r w:rsidRPr="002931A4">
        <w:rPr>
          <w:color w:val="222222"/>
          <w:shd w:val="clear" w:color="auto" w:fill="FFFFFF"/>
        </w:rPr>
        <w:t>o realization.</w:t>
      </w:r>
    </w:p>
    <w:p w14:paraId="0EDD796B" w14:textId="31E0E652" w:rsidR="00944FC9" w:rsidRPr="00B02B89" w:rsidRDefault="00944FC9" w:rsidP="00C63254">
      <w:pPr>
        <w:pStyle w:val="Heading6"/>
        <w:rPr>
          <w:rStyle w:val="Heading4Char"/>
          <w:sz w:val="24"/>
        </w:rPr>
      </w:pPr>
      <w:r w:rsidRPr="00B02B89">
        <w:rPr>
          <w:rStyle w:val="Heading4Char"/>
          <w:sz w:val="24"/>
        </w:rPr>
        <w:t>5.3.2.3</w:t>
      </w:r>
      <w:r w:rsidRPr="00B02B89">
        <w:rPr>
          <w:rStyle w:val="Heading4Char"/>
          <w:sz w:val="24"/>
        </w:rPr>
        <w:tab/>
        <w:t>Controlled atmospheres (CA) and temperature</w:t>
      </w:r>
      <w:bookmarkEnd w:id="376"/>
      <w:r w:rsidRPr="00B02B89">
        <w:rPr>
          <w:rStyle w:val="Heading4Char"/>
          <w:sz w:val="24"/>
        </w:rPr>
        <w:t xml:space="preserve"> treatments</w:t>
      </w:r>
      <w:bookmarkEnd w:id="377"/>
      <w:bookmarkEnd w:id="378"/>
      <w:bookmarkEnd w:id="379"/>
    </w:p>
    <w:p w14:paraId="2DA89522" w14:textId="778572B9" w:rsidR="00944FC9" w:rsidRDefault="00944FC9" w:rsidP="00944FC9">
      <w:r w:rsidRPr="00B02B89">
        <w:t>Controlled atmospheres (with low content of oxygen and increased CO</w:t>
      </w:r>
      <w:r w:rsidRPr="00B02B89">
        <w:rPr>
          <w:vertAlign w:val="subscript"/>
        </w:rPr>
        <w:t>2</w:t>
      </w:r>
      <w:r w:rsidRPr="00B02B89">
        <w:t xml:space="preserve"> and/or nitrogen content) combined with low temperature are increasingly used and accepted as quarantine treatments, often with good potential to replace MB. </w:t>
      </w:r>
    </w:p>
    <w:p w14:paraId="156FEA23" w14:textId="721ADEE4" w:rsidR="00944FC9" w:rsidRPr="00585419" w:rsidRDefault="00944FC9" w:rsidP="00944FC9">
      <w:r w:rsidRPr="006D1F5E">
        <w:t>The use of low oxygen by increasing nitrogen is an effective management</w:t>
      </w:r>
      <w:r w:rsidR="00413888">
        <w:t xml:space="preserve"> </w:t>
      </w:r>
      <w:r w:rsidRPr="006D1F5E">
        <w:t xml:space="preserve">strategy for the control of </w:t>
      </w:r>
      <w:r w:rsidRPr="00A441E5">
        <w:rPr>
          <w:i/>
        </w:rPr>
        <w:t xml:space="preserve">T. </w:t>
      </w:r>
      <w:proofErr w:type="spellStart"/>
      <w:r w:rsidRPr="00A441E5">
        <w:rPr>
          <w:i/>
        </w:rPr>
        <w:t>granarium</w:t>
      </w:r>
      <w:proofErr w:type="spellEnd"/>
      <w:r w:rsidRPr="006D1F5E">
        <w:t xml:space="preserve"> on d</w:t>
      </w:r>
      <w:r w:rsidRPr="00C44E63">
        <w:t>ifferent commodities (figs,</w:t>
      </w:r>
      <w:r w:rsidR="00413888">
        <w:t xml:space="preserve"> </w:t>
      </w:r>
      <w:r w:rsidRPr="00C44E63">
        <w:t>plums and sultanas) following a certain action plan based on specific</w:t>
      </w:r>
      <w:r w:rsidR="00413888">
        <w:t xml:space="preserve"> </w:t>
      </w:r>
      <w:r w:rsidRPr="00C44E63">
        <w:t>combinations of temperature and exposure (28°C for 9 days or 40°C for 2.5</w:t>
      </w:r>
      <w:r w:rsidR="00413888">
        <w:t xml:space="preserve"> </w:t>
      </w:r>
      <w:r w:rsidRPr="00C44E63">
        <w:t>days of exposure) (</w:t>
      </w:r>
      <w:proofErr w:type="spellStart"/>
      <w:r w:rsidRPr="00C44E63">
        <w:t>Sakka</w:t>
      </w:r>
      <w:proofErr w:type="spellEnd"/>
      <w:r w:rsidRPr="00C44E63">
        <w:t xml:space="preserve"> </w:t>
      </w:r>
      <w:r w:rsidRPr="00A441E5">
        <w:rPr>
          <w:i/>
        </w:rPr>
        <w:t>et al.</w:t>
      </w:r>
      <w:r>
        <w:t>,</w:t>
      </w:r>
      <w:r w:rsidRPr="00C44E63">
        <w:t xml:space="preserve"> 2022). When comparing a high carbon dioxide</w:t>
      </w:r>
      <w:r w:rsidR="00413888">
        <w:t xml:space="preserve"> </w:t>
      </w:r>
      <w:r w:rsidRPr="00C44E63">
        <w:t>concentr</w:t>
      </w:r>
      <w:r w:rsidRPr="00585419">
        <w:t>ation modified atmosphere of 70% or a low oxygen concentration of</w:t>
      </w:r>
      <w:r w:rsidR="00413888">
        <w:t xml:space="preserve"> </w:t>
      </w:r>
      <w:r w:rsidRPr="00585419">
        <w:t>0.1%, the latter was more effective in controlling this pest. An exposure</w:t>
      </w:r>
      <w:r w:rsidR="005617DE">
        <w:t xml:space="preserve"> </w:t>
      </w:r>
      <w:r w:rsidRPr="00585419">
        <w:t>period of 4 days at 28ºC was effective, as no progeny production was</w:t>
      </w:r>
      <w:r w:rsidR="00413888">
        <w:t xml:space="preserve"> </w:t>
      </w:r>
      <w:r w:rsidRPr="00585419">
        <w:t>recorded (</w:t>
      </w:r>
      <w:proofErr w:type="spellStart"/>
      <w:r w:rsidRPr="00585419">
        <w:t>Vassilakos</w:t>
      </w:r>
      <w:proofErr w:type="spellEnd"/>
      <w:r w:rsidRPr="00585419">
        <w:t xml:space="preserve"> </w:t>
      </w:r>
      <w:r w:rsidRPr="00A441E5">
        <w:rPr>
          <w:i/>
        </w:rPr>
        <w:t>et al</w:t>
      </w:r>
      <w:r>
        <w:t>.,</w:t>
      </w:r>
      <w:r w:rsidRPr="00585419">
        <w:t xml:space="preserve"> 2019</w:t>
      </w:r>
      <w:r w:rsidR="00413888">
        <w:t>)</w:t>
      </w:r>
      <w:r w:rsidRPr="00585419">
        <w:t>. The schedule for import treatment</w:t>
      </w:r>
      <w:r>
        <w:t xml:space="preserve"> (e.g. rice) from khapra countries to Australia</w:t>
      </w:r>
      <w:r w:rsidRPr="006D1F5E">
        <w:t xml:space="preserve"> using CA </w:t>
      </w:r>
      <w:r>
        <w:t>is now published</w:t>
      </w:r>
      <w:r w:rsidRPr="006D1F5E">
        <w:t xml:space="preserve"> </w:t>
      </w:r>
      <w:r>
        <w:t xml:space="preserve">and can </w:t>
      </w:r>
      <w:proofErr w:type="spellStart"/>
      <w:r>
        <w:t>de</w:t>
      </w:r>
      <w:proofErr w:type="spellEnd"/>
      <w:r w:rsidRPr="006D1F5E">
        <w:t xml:space="preserve"> download</w:t>
      </w:r>
      <w:r>
        <w:t>ed</w:t>
      </w:r>
      <w:r w:rsidRPr="006D1F5E">
        <w:t xml:space="preserve"> </w:t>
      </w:r>
      <w:r>
        <w:t>at</w:t>
      </w:r>
      <w:r w:rsidR="00413888">
        <w:t xml:space="preserve"> </w:t>
      </w:r>
      <w:hyperlink r:id="rId46" w:history="1">
        <w:r w:rsidR="00413888" w:rsidRPr="004232D3">
          <w:rPr>
            <w:rStyle w:val="Hyperlink"/>
          </w:rPr>
          <w:t>https://www.awe.gov.au/biosecurity-trade/import/arrival/treatments/treatment</w:t>
        </w:r>
      </w:hyperlink>
      <w:r w:rsidRPr="006D1F5E">
        <w:br/>
      </w:r>
      <w:proofErr w:type="spellStart"/>
      <w:r w:rsidRPr="006D1F5E">
        <w:t>s-fumigant</w:t>
      </w:r>
      <w:r w:rsidRPr="00C44E63">
        <w:t>s#controlled-atmosphere-treatment</w:t>
      </w:r>
      <w:proofErr w:type="spellEnd"/>
      <w:r w:rsidRPr="00C44E63">
        <w:t>.</w:t>
      </w:r>
    </w:p>
    <w:p w14:paraId="29503D7F" w14:textId="40745085" w:rsidR="00944FC9" w:rsidRPr="00413888" w:rsidRDefault="00944FC9" w:rsidP="00413888">
      <w:r w:rsidRPr="00EB15BC">
        <w:rPr>
          <w:shd w:val="clear" w:color="auto" w:fill="FFFFFF"/>
        </w:rPr>
        <w:lastRenderedPageBreak/>
        <w:t xml:space="preserve">In Vietnam, a continuous in-line CA treatment process, which takes only 40 minutes kills insects attacking dry commodities in all stages of development. The treatment is conducted within a compartment at 55-70 C (depending on the product) and a very low oxygen environment, where the product is dropped in and any insects present are eliminated within 30 min. A conveyor belt then takes the product to a second compartment at 15 - 25 C where it is cooled down to ambient temperatures by mechanical means. The cooling process also enables moisture control of the product. The system works with a heat pump and cooling system, with high energy efficiency and is currently commercially operated for treating nuts and </w:t>
      </w:r>
      <w:proofErr w:type="spellStart"/>
      <w:r w:rsidRPr="00EB15BC">
        <w:rPr>
          <w:shd w:val="clear" w:color="auto" w:fill="FFFFFF"/>
        </w:rPr>
        <w:t>trialed</w:t>
      </w:r>
      <w:proofErr w:type="spellEnd"/>
      <w:r w:rsidRPr="00EB15BC">
        <w:rPr>
          <w:shd w:val="clear" w:color="auto" w:fill="FFFFFF"/>
        </w:rPr>
        <w:t xml:space="preserve"> for dried fruit products and fresh fruit (</w:t>
      </w:r>
      <w:proofErr w:type="spellStart"/>
      <w:r w:rsidRPr="00EB15BC">
        <w:rPr>
          <w:shd w:val="clear" w:color="auto" w:fill="FFFFFF"/>
        </w:rPr>
        <w:t>Bergwerff</w:t>
      </w:r>
      <w:proofErr w:type="spellEnd"/>
      <w:r w:rsidRPr="00EB15BC">
        <w:rPr>
          <w:shd w:val="clear" w:color="auto" w:fill="FFFFFF"/>
        </w:rPr>
        <w:t xml:space="preserve">, </w:t>
      </w:r>
      <w:proofErr w:type="spellStart"/>
      <w:r w:rsidRPr="00EB15BC">
        <w:rPr>
          <w:shd w:val="clear" w:color="auto" w:fill="FFFFFF"/>
        </w:rPr>
        <w:t>pers</w:t>
      </w:r>
      <w:proofErr w:type="spellEnd"/>
      <w:r w:rsidRPr="00EB15BC">
        <w:rPr>
          <w:shd w:val="clear" w:color="auto" w:fill="FFFFFF"/>
        </w:rPr>
        <w:t xml:space="preserve"> </w:t>
      </w:r>
      <w:proofErr w:type="spellStart"/>
      <w:r w:rsidRPr="00EB15BC">
        <w:rPr>
          <w:shd w:val="clear" w:color="auto" w:fill="FFFFFF"/>
        </w:rPr>
        <w:t>comm</w:t>
      </w:r>
      <w:proofErr w:type="spellEnd"/>
      <w:r w:rsidRPr="00EB15BC">
        <w:rPr>
          <w:shd w:val="clear" w:color="auto" w:fill="FFFFFF"/>
        </w:rPr>
        <w:t>).</w:t>
      </w:r>
    </w:p>
    <w:p w14:paraId="5C3C8F49" w14:textId="4941CA25" w:rsidR="00944FC9" w:rsidRPr="00413888" w:rsidRDefault="00944FC9" w:rsidP="00944FC9">
      <w:r w:rsidRPr="00B02B89">
        <w:t xml:space="preserve">Patil </w:t>
      </w:r>
      <w:r w:rsidRPr="00B02B89">
        <w:rPr>
          <w:i/>
        </w:rPr>
        <w:t>et al.</w:t>
      </w:r>
      <w:r w:rsidRPr="00B02B89">
        <w:t xml:space="preserve"> (2019) reported a novel cold-quarantine treatment </w:t>
      </w:r>
      <w:r>
        <w:t xml:space="preserve">for </w:t>
      </w:r>
      <w:r w:rsidRPr="00D60543">
        <w:t xml:space="preserve">mango quarantine pests </w:t>
      </w:r>
      <w:r w:rsidRPr="00B02B89">
        <w:t>combining cold storage at 2ºC with artificial ripening with 150 ppm ethylene and modified atmosphere (fruit enclosed in perforated bags), resulting in significantly reduced chilling injury and ensuring consumer acceptance (taste, aroma and texture).</w:t>
      </w:r>
    </w:p>
    <w:p w14:paraId="1A51BBC0" w14:textId="7BF4C062" w:rsidR="00944FC9" w:rsidRPr="00B02B89" w:rsidRDefault="00944FC9" w:rsidP="00944FC9">
      <w:r>
        <w:t xml:space="preserve">The tomato </w:t>
      </w:r>
      <w:proofErr w:type="spellStart"/>
      <w:r>
        <w:t>leafminer</w:t>
      </w:r>
      <w:proofErr w:type="spellEnd"/>
      <w:r>
        <w:t xml:space="preserve"> </w:t>
      </w:r>
      <w:proofErr w:type="spellStart"/>
      <w:r w:rsidRPr="00B02B89">
        <w:rPr>
          <w:i/>
        </w:rPr>
        <w:t>Tuta</w:t>
      </w:r>
      <w:proofErr w:type="spellEnd"/>
      <w:r w:rsidRPr="00B02B89">
        <w:rPr>
          <w:i/>
        </w:rPr>
        <w:t xml:space="preserve"> </w:t>
      </w:r>
      <w:proofErr w:type="spellStart"/>
      <w:r w:rsidRPr="00B02B89">
        <w:rPr>
          <w:i/>
        </w:rPr>
        <w:t>absoluta</w:t>
      </w:r>
      <w:proofErr w:type="spellEnd"/>
      <w:r w:rsidRPr="00B02B89">
        <w:rPr>
          <w:i/>
        </w:rPr>
        <w:t xml:space="preserve">, </w:t>
      </w:r>
      <w:r w:rsidRPr="00BF0FD5">
        <w:t xml:space="preserve">(Lepidoptera, </w:t>
      </w:r>
      <w:proofErr w:type="spellStart"/>
      <w:r w:rsidRPr="00BF0FD5">
        <w:t>Gelechiidae</w:t>
      </w:r>
      <w:proofErr w:type="spellEnd"/>
      <w:r w:rsidRPr="00BF0FD5">
        <w:t>)</w:t>
      </w:r>
      <w:r>
        <w:t>,</w:t>
      </w:r>
      <w:r w:rsidRPr="00B02B89">
        <w:rPr>
          <w:i/>
        </w:rPr>
        <w:t xml:space="preserve"> </w:t>
      </w:r>
      <w:r w:rsidRPr="00B02B89">
        <w:t>an invasive and increasingly troublesome pest species affecting tomatoes, other solanaceous species and many other crops including cut flowers, can limit exports in various countries, is effectively controlled with modified atmospheres and cold treatments</w:t>
      </w:r>
      <w:r>
        <w:t xml:space="preserve"> (</w:t>
      </w:r>
      <w:proofErr w:type="spellStart"/>
      <w:r>
        <w:t>Tarusikirwa</w:t>
      </w:r>
      <w:proofErr w:type="spellEnd"/>
      <w:r>
        <w:t xml:space="preserve"> </w:t>
      </w:r>
      <w:r>
        <w:rPr>
          <w:i/>
        </w:rPr>
        <w:t>et. al,</w:t>
      </w:r>
      <w:r>
        <w:t xml:space="preserve"> 2021; Riudavets </w:t>
      </w:r>
      <w:r>
        <w:rPr>
          <w:i/>
        </w:rPr>
        <w:t>et. al.</w:t>
      </w:r>
      <w:r>
        <w:t>, 2016)</w:t>
      </w:r>
      <w:r w:rsidRPr="00B02B89">
        <w:t>.</w:t>
      </w:r>
    </w:p>
    <w:p w14:paraId="4C9C76D6" w14:textId="77777777" w:rsidR="00944FC9" w:rsidRPr="00413888" w:rsidRDefault="00944FC9" w:rsidP="00944FC9">
      <w:pPr>
        <w:pStyle w:val="Style15"/>
        <w:rPr>
          <w:rFonts w:eastAsiaTheme="minorEastAsia"/>
          <w:sz w:val="22"/>
          <w:szCs w:val="22"/>
          <w:lang w:eastAsia="ja-JP"/>
        </w:rPr>
      </w:pPr>
      <w:r w:rsidRPr="00413888">
        <w:rPr>
          <w:b w:val="0"/>
          <w:sz w:val="22"/>
          <w:szCs w:val="22"/>
        </w:rPr>
        <w:t xml:space="preserve">Hot water treatment combined with high-pressure controls taro mite, </w:t>
      </w:r>
      <w:proofErr w:type="spellStart"/>
      <w:r w:rsidRPr="00413888">
        <w:rPr>
          <w:b w:val="0"/>
          <w:i/>
          <w:iCs/>
          <w:sz w:val="22"/>
          <w:szCs w:val="22"/>
        </w:rPr>
        <w:t>Rhixoglyphus</w:t>
      </w:r>
      <w:proofErr w:type="spellEnd"/>
      <w:r w:rsidRPr="00413888">
        <w:rPr>
          <w:b w:val="0"/>
          <w:i/>
          <w:iCs/>
          <w:sz w:val="22"/>
          <w:szCs w:val="22"/>
        </w:rPr>
        <w:t xml:space="preserve"> sp.</w:t>
      </w:r>
      <w:r w:rsidRPr="00413888">
        <w:rPr>
          <w:b w:val="0"/>
          <w:sz w:val="22"/>
          <w:szCs w:val="22"/>
        </w:rPr>
        <w:t xml:space="preserve">, and root knot nematodes, </w:t>
      </w:r>
      <w:r w:rsidRPr="00413888">
        <w:rPr>
          <w:b w:val="0"/>
          <w:i/>
          <w:iCs/>
          <w:sz w:val="22"/>
          <w:szCs w:val="22"/>
        </w:rPr>
        <w:t>Meloidogyne spp.</w:t>
      </w:r>
      <w:r w:rsidRPr="00413888">
        <w:rPr>
          <w:b w:val="0"/>
          <w:sz w:val="22"/>
          <w:szCs w:val="22"/>
        </w:rPr>
        <w:t>) (Jamieson, 2018).</w:t>
      </w:r>
      <w:r w:rsidRPr="00413888">
        <w:rPr>
          <w:rFonts w:eastAsiaTheme="minorEastAsia"/>
          <w:sz w:val="22"/>
          <w:szCs w:val="22"/>
          <w:lang w:eastAsia="ja-JP"/>
        </w:rPr>
        <w:t xml:space="preserve"> </w:t>
      </w:r>
      <w:r w:rsidRPr="00413888">
        <w:rPr>
          <w:rFonts w:eastAsiaTheme="minorEastAsia"/>
          <w:sz w:val="22"/>
          <w:szCs w:val="22"/>
          <w:lang w:eastAsia="ja-JP"/>
        </w:rPr>
        <w:br/>
      </w:r>
    </w:p>
    <w:p w14:paraId="2987D186" w14:textId="77777777" w:rsidR="00944FC9" w:rsidRPr="00997ECA" w:rsidRDefault="00944FC9" w:rsidP="003E4636">
      <w:pPr>
        <w:pStyle w:val="Heading2"/>
        <w:rPr>
          <w:rStyle w:val="Heading2Char"/>
          <w:rFonts w:cs="Times New Roman"/>
          <w:b/>
          <w:snapToGrid w:val="0"/>
          <w:szCs w:val="20"/>
        </w:rPr>
      </w:pPr>
      <w:bookmarkStart w:id="381" w:name="_Toc34276797"/>
      <w:bookmarkStart w:id="382" w:name="_Toc34363032"/>
      <w:bookmarkStart w:id="383" w:name="_Toc38555047"/>
      <w:bookmarkStart w:id="384" w:name="_Toc39926394"/>
      <w:bookmarkStart w:id="385" w:name="_Toc40696064"/>
      <w:bookmarkStart w:id="386" w:name="_Toc77868894"/>
      <w:bookmarkStart w:id="387" w:name="_Toc78040727"/>
      <w:bookmarkStart w:id="388" w:name="_Toc79066533"/>
      <w:bookmarkStart w:id="389" w:name="_Toc79069710"/>
      <w:bookmarkStart w:id="390" w:name="_Toc104396694"/>
      <w:r>
        <w:rPr>
          <w:rStyle w:val="Heading2Char"/>
          <w:b/>
        </w:rPr>
        <w:t>5</w:t>
      </w:r>
      <w:r w:rsidRPr="00997ECA">
        <w:rPr>
          <w:rStyle w:val="Heading2Char"/>
          <w:b/>
        </w:rPr>
        <w:t>.4.</w:t>
      </w:r>
      <w:r w:rsidRPr="00997ECA">
        <w:rPr>
          <w:rStyle w:val="Heading2Char"/>
          <w:b/>
        </w:rPr>
        <w:tab/>
        <w:t>M</w:t>
      </w:r>
      <w:bookmarkEnd w:id="381"/>
      <w:bookmarkEnd w:id="382"/>
      <w:bookmarkEnd w:id="383"/>
      <w:bookmarkEnd w:id="384"/>
      <w:r w:rsidRPr="00997ECA">
        <w:rPr>
          <w:rStyle w:val="Heading2Char"/>
          <w:b/>
        </w:rPr>
        <w:t>ethyl bromide emissions and recapture</w:t>
      </w:r>
      <w:bookmarkEnd w:id="385"/>
      <w:bookmarkEnd w:id="386"/>
      <w:bookmarkEnd w:id="387"/>
      <w:bookmarkEnd w:id="388"/>
      <w:bookmarkEnd w:id="389"/>
      <w:bookmarkEnd w:id="390"/>
    </w:p>
    <w:p w14:paraId="5A7DDD17" w14:textId="77777777" w:rsidR="00944FC9" w:rsidRPr="00E537F1" w:rsidRDefault="00944FC9" w:rsidP="003E4636">
      <w:pPr>
        <w:pStyle w:val="Heading2"/>
        <w:rPr>
          <w:rStyle w:val="Heading311ptBoldChar"/>
          <w:b/>
          <w:sz w:val="24"/>
        </w:rPr>
      </w:pPr>
      <w:bookmarkStart w:id="391" w:name="_Toc77868895"/>
      <w:bookmarkStart w:id="392" w:name="_Toc78040728"/>
      <w:bookmarkStart w:id="393" w:name="_Toc79066534"/>
      <w:bookmarkStart w:id="394" w:name="_Toc79069711"/>
      <w:bookmarkStart w:id="395" w:name="_Toc104396695"/>
      <w:r w:rsidRPr="00E537F1">
        <w:rPr>
          <w:rStyle w:val="Heading311ptBoldChar"/>
          <w:b/>
          <w:sz w:val="24"/>
        </w:rPr>
        <w:t xml:space="preserve">5.4.1 </w:t>
      </w:r>
      <w:r w:rsidRPr="00E537F1">
        <w:rPr>
          <w:rStyle w:val="Heading311ptBoldChar"/>
          <w:b/>
          <w:sz w:val="24"/>
        </w:rPr>
        <w:tab/>
        <w:t>Emissions of MB</w:t>
      </w:r>
      <w:bookmarkEnd w:id="391"/>
      <w:bookmarkEnd w:id="392"/>
      <w:bookmarkEnd w:id="393"/>
      <w:bookmarkEnd w:id="394"/>
      <w:bookmarkEnd w:id="395"/>
    </w:p>
    <w:p w14:paraId="3AB8C901" w14:textId="14730986" w:rsidR="00944FC9" w:rsidRPr="00B02B89" w:rsidRDefault="00944FC9" w:rsidP="00944FC9">
      <w:r w:rsidRPr="00B02B89">
        <w:t>Since 1999, the reduction in MB production and use has led to a more than 30% reduction in the concentration of MB in the atmosphere and this has been responsible for more than 35% of the present fall in Effective Equivalent Stratospheric Chlorine and a key driver for the recovery of the ozone layer (Porter and Fraser, 2020).</w:t>
      </w:r>
      <w:r w:rsidRPr="00B02B89">
        <w:rPr>
          <w:rFonts w:asciiTheme="minorHAnsi" w:hAnsiTheme="minorHAnsi" w:cstheme="majorHAnsi"/>
          <w:b/>
        </w:rPr>
        <w:t xml:space="preserve"> </w:t>
      </w:r>
      <w:r w:rsidRPr="00B02B89">
        <w:t>Figure 3 provides an update of the atmospheric concentration of MB up until 2021 and shows that after a period of increase in MB concentration in the atmosphere from 2015-2017, the MB concentration appear</w:t>
      </w:r>
      <w:r w:rsidR="008C1373">
        <w:t>ed</w:t>
      </w:r>
      <w:r w:rsidRPr="00B02B89">
        <w:t xml:space="preserve"> to </w:t>
      </w:r>
      <w:r w:rsidR="008C1373">
        <w:t>continue to</w:t>
      </w:r>
      <w:r w:rsidRPr="00B02B89">
        <w:t xml:space="preserve"> declin</w:t>
      </w:r>
      <w:r w:rsidR="008C1373">
        <w:t>e</w:t>
      </w:r>
      <w:r w:rsidRPr="00B02B89">
        <w:t xml:space="preserve"> </w:t>
      </w:r>
      <w:r w:rsidR="008C1373">
        <w:t>until</w:t>
      </w:r>
      <w:r w:rsidRPr="00B02B89">
        <w:t xml:space="preserve"> the last few years (Fig</w:t>
      </w:r>
      <w:r w:rsidR="00C7675C">
        <w:t>ure</w:t>
      </w:r>
      <w:r w:rsidRPr="00B02B89">
        <w:t xml:space="preserve"> </w:t>
      </w:r>
      <w:r w:rsidR="00C7675C">
        <w:t>5.</w:t>
      </w:r>
      <w:r w:rsidRPr="00B02B89">
        <w:t xml:space="preserve">3.) </w:t>
      </w:r>
    </w:p>
    <w:p w14:paraId="5AB8B407" w14:textId="1ED5C1C5" w:rsidR="00944FC9" w:rsidRPr="00B02B89" w:rsidRDefault="00944FC9" w:rsidP="00944FC9">
      <w:r w:rsidRPr="00B02B89">
        <w:t>The slight rise in 2020</w:t>
      </w:r>
      <w:r>
        <w:t>/2021</w:t>
      </w:r>
      <w:r w:rsidRPr="00B02B89">
        <w:t xml:space="preserve"> suggests that there is still a measurable level of unidentified source of MB within the fluctuations of change of atmospheric concentrations, which could be due to natural fluctuations or from changes in consumption, presumably for QPS or possibly from unknown uses (Choi </w:t>
      </w:r>
      <w:r w:rsidRPr="00B02B89">
        <w:rPr>
          <w:i/>
        </w:rPr>
        <w:t>et al</w:t>
      </w:r>
      <w:r w:rsidRPr="00B02B89">
        <w:t>, 202</w:t>
      </w:r>
      <w:r>
        <w:t>2</w:t>
      </w:r>
      <w:r w:rsidRPr="00B02B89">
        <w:t xml:space="preserve">). </w:t>
      </w:r>
    </w:p>
    <w:p w14:paraId="65464B7A" w14:textId="3ABD205E" w:rsidR="00944FC9" w:rsidRPr="00413888" w:rsidRDefault="00944FC9" w:rsidP="00944FC9">
      <w:r w:rsidRPr="00B02B89">
        <w:t>As indicated earlier in this report, future gains in reduction of atmospheric concentrations will rely on reduction in emissions from QPS use of MB, by either reducing use of MB for QPS or by reducing emissions of MB from QPS applications by recapture, recycling and/or reuse.</w:t>
      </w:r>
    </w:p>
    <w:p w14:paraId="54CA69DA" w14:textId="0B688808" w:rsidR="00944FC9" w:rsidRPr="000C6600" w:rsidRDefault="00944FC9" w:rsidP="005831E9">
      <w:pPr>
        <w:keepNext/>
        <w:rPr>
          <w:b/>
        </w:rPr>
      </w:pPr>
      <w:r>
        <w:rPr>
          <w:b/>
        </w:rPr>
        <w:lastRenderedPageBreak/>
        <w:t>Fig. 5.3.</w:t>
      </w:r>
      <w:r w:rsidR="005617DE">
        <w:rPr>
          <w:b/>
        </w:rPr>
        <w:t xml:space="preserve"> </w:t>
      </w:r>
      <w:r>
        <w:rPr>
          <w:b/>
        </w:rPr>
        <w:t>Trend in Atmospheric concentration of methyl bromide (ppt) from 1930 - 2020.</w:t>
      </w:r>
    </w:p>
    <w:p w14:paraId="744BA490" w14:textId="77777777" w:rsidR="00944FC9" w:rsidRDefault="00944FC9" w:rsidP="005831E9">
      <w:pPr>
        <w:spacing w:after="0"/>
        <w:rPr>
          <w:b/>
          <w:sz w:val="20"/>
        </w:rPr>
      </w:pPr>
      <w:r>
        <w:rPr>
          <w:noProof/>
        </w:rPr>
        <w:drawing>
          <wp:inline distT="0" distB="0" distL="0" distR="0" wp14:anchorId="6E3F5C2A" wp14:editId="0FBFAE66">
            <wp:extent cx="5870121" cy="2915877"/>
            <wp:effectExtent l="0" t="0" r="0" b="5715"/>
            <wp:docPr id="29" name="Picture 2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with low confidence"/>
                    <pic:cNvPicPr/>
                  </pic:nvPicPr>
                  <pic:blipFill rotWithShape="1">
                    <a:blip r:embed="rId47"/>
                    <a:srcRect l="5417" t="12626" r="2492" b="6056"/>
                    <a:stretch/>
                  </pic:blipFill>
                  <pic:spPr bwMode="auto">
                    <a:xfrm>
                      <a:off x="0" y="0"/>
                      <a:ext cx="5949282" cy="2955199"/>
                    </a:xfrm>
                    <a:prstGeom prst="rect">
                      <a:avLst/>
                    </a:prstGeom>
                    <a:ln>
                      <a:noFill/>
                    </a:ln>
                    <a:extLst>
                      <a:ext uri="{53640926-AAD7-44D8-BBD7-CCE9431645EC}">
                        <a14:shadowObscured xmlns:a14="http://schemas.microsoft.com/office/drawing/2010/main"/>
                      </a:ext>
                    </a:extLst>
                  </pic:spPr>
                </pic:pic>
              </a:graphicData>
            </a:graphic>
          </wp:inline>
        </w:drawing>
      </w:r>
    </w:p>
    <w:p w14:paraId="14F51663" w14:textId="77777777" w:rsidR="00944FC9" w:rsidRPr="001004E1" w:rsidRDefault="00944FC9" w:rsidP="005831E9">
      <w:pPr>
        <w:jc w:val="center"/>
        <w:rPr>
          <w:noProof/>
        </w:rPr>
      </w:pPr>
      <w:r w:rsidRPr="00BC0A85">
        <w:rPr>
          <w:b/>
          <w:sz w:val="20"/>
        </w:rPr>
        <w:t>Source:</w:t>
      </w:r>
      <w:r>
        <w:t xml:space="preserve"> Fraser, Porter, Derek (Australia, pers. comm. 2022)</w:t>
      </w:r>
    </w:p>
    <w:p w14:paraId="592996D8" w14:textId="5205E380" w:rsidR="00944FC9" w:rsidRPr="00821BBC" w:rsidRDefault="00944FC9" w:rsidP="003E4636">
      <w:pPr>
        <w:pStyle w:val="Heading2"/>
        <w:rPr>
          <w:rStyle w:val="Heading311ptBoldChar"/>
          <w:b/>
          <w:sz w:val="24"/>
        </w:rPr>
      </w:pPr>
      <w:bookmarkStart w:id="396" w:name="_Toc104396696"/>
      <w:bookmarkStart w:id="397" w:name="_Toc77868896"/>
      <w:bookmarkStart w:id="398" w:name="_Toc78040729"/>
      <w:bookmarkStart w:id="399" w:name="_Toc79066535"/>
      <w:bookmarkStart w:id="400" w:name="_Toc79069712"/>
      <w:r w:rsidRPr="00EB15BC">
        <w:rPr>
          <w:rStyle w:val="Heading311ptBoldChar"/>
          <w:b/>
          <w:sz w:val="24"/>
        </w:rPr>
        <w:t>5.4.2</w:t>
      </w:r>
      <w:r w:rsidR="00F02CFB">
        <w:rPr>
          <w:rStyle w:val="Heading311ptBoldChar"/>
          <w:b/>
          <w:sz w:val="24"/>
        </w:rPr>
        <w:tab/>
      </w:r>
      <w:r w:rsidRPr="00EB15BC">
        <w:rPr>
          <w:rStyle w:val="Heading311ptBoldChar"/>
          <w:b/>
          <w:sz w:val="24"/>
        </w:rPr>
        <w:t xml:space="preserve"> Copper based chemicals contribute to </w:t>
      </w:r>
      <w:r w:rsidRPr="00821BBC">
        <w:rPr>
          <w:rStyle w:val="Heading311ptBoldChar"/>
          <w:b/>
          <w:sz w:val="24"/>
        </w:rPr>
        <w:t>unaccounted</w:t>
      </w:r>
      <w:r w:rsidRPr="00EB15BC">
        <w:rPr>
          <w:rStyle w:val="Heading311ptBoldChar"/>
          <w:b/>
          <w:sz w:val="24"/>
        </w:rPr>
        <w:t xml:space="preserve"> </w:t>
      </w:r>
      <w:r>
        <w:rPr>
          <w:rStyle w:val="Heading311ptBoldChar"/>
          <w:b/>
          <w:sz w:val="24"/>
        </w:rPr>
        <w:t>a</w:t>
      </w:r>
      <w:r w:rsidRPr="00EB15BC">
        <w:rPr>
          <w:rStyle w:val="Heading311ptBoldChar"/>
          <w:b/>
          <w:sz w:val="24"/>
        </w:rPr>
        <w:t xml:space="preserve">tmospheric </w:t>
      </w:r>
      <w:r w:rsidRPr="00821BBC">
        <w:rPr>
          <w:rStyle w:val="Heading311ptBoldChar"/>
          <w:b/>
          <w:sz w:val="24"/>
        </w:rPr>
        <w:t>MB levels</w:t>
      </w:r>
      <w:bookmarkEnd w:id="396"/>
      <w:r w:rsidRPr="00821BBC">
        <w:rPr>
          <w:rStyle w:val="Heading311ptBoldChar"/>
          <w:b/>
          <w:sz w:val="24"/>
        </w:rPr>
        <w:t xml:space="preserve"> </w:t>
      </w:r>
    </w:p>
    <w:p w14:paraId="2B8CBF00" w14:textId="77777777" w:rsidR="00944FC9" w:rsidRDefault="00944FC9" w:rsidP="00944FC9">
      <w:pPr>
        <w:rPr>
          <w:color w:val="222222"/>
          <w:shd w:val="clear" w:color="auto" w:fill="FFFFFF"/>
        </w:rPr>
      </w:pPr>
      <w:r w:rsidRPr="00B02B89">
        <w:rPr>
          <w:color w:val="222222"/>
          <w:shd w:val="clear" w:color="auto" w:fill="FFFFFF"/>
        </w:rPr>
        <w:t xml:space="preserve">A </w:t>
      </w:r>
      <w:r>
        <w:rPr>
          <w:color w:val="222222"/>
          <w:shd w:val="clear" w:color="auto" w:fill="FFFFFF"/>
        </w:rPr>
        <w:t xml:space="preserve">current </w:t>
      </w:r>
      <w:r w:rsidRPr="00B02B89">
        <w:rPr>
          <w:color w:val="222222"/>
          <w:shd w:val="clear" w:color="auto" w:fill="FFFFFF"/>
        </w:rPr>
        <w:t xml:space="preserve">study by Jiao </w:t>
      </w:r>
      <w:r w:rsidRPr="00585419">
        <w:rPr>
          <w:i/>
          <w:color w:val="222222"/>
          <w:shd w:val="clear" w:color="auto" w:fill="FFFFFF"/>
        </w:rPr>
        <w:t>et al</w:t>
      </w:r>
      <w:r>
        <w:rPr>
          <w:i/>
          <w:color w:val="222222"/>
          <w:shd w:val="clear" w:color="auto" w:fill="FFFFFF"/>
        </w:rPr>
        <w:t>.,</w:t>
      </w:r>
      <w:r w:rsidRPr="00B02B89">
        <w:rPr>
          <w:color w:val="222222"/>
          <w:shd w:val="clear" w:color="auto" w:fill="FFFFFF"/>
        </w:rPr>
        <w:t xml:space="preserve"> (2022) indicates that application of copper</w:t>
      </w:r>
      <w:r>
        <w:rPr>
          <w:color w:val="222222"/>
          <w:shd w:val="clear" w:color="auto" w:fill="FFFFFF"/>
        </w:rPr>
        <w:t xml:space="preserve"> </w:t>
      </w:r>
      <w:r w:rsidRPr="00B02B89">
        <w:rPr>
          <w:color w:val="222222"/>
          <w:shd w:val="clear" w:color="auto" w:fill="FFFFFF"/>
        </w:rPr>
        <w:t>(II)-based chemicals may increase atmospheric concentrations of methyl halides, especially for CH</w:t>
      </w:r>
      <w:r w:rsidRPr="00B02B89">
        <w:rPr>
          <w:color w:val="222222"/>
          <w:shd w:val="clear" w:color="auto" w:fill="FFFFFF"/>
          <w:vertAlign w:val="subscript"/>
        </w:rPr>
        <w:t>3</w:t>
      </w:r>
      <w:r w:rsidRPr="00B02B89">
        <w:rPr>
          <w:color w:val="222222"/>
          <w:shd w:val="clear" w:color="auto" w:fill="FFFFFF"/>
        </w:rPr>
        <w:t>Br (~10% of the missing sources), contribute to stratospheric halogen load, and thereby affect ozone levels. A simplified estimation suggests this process may be responsible for 4,100 ± 1,900 t CH</w:t>
      </w:r>
      <w:r w:rsidRPr="00B02B89">
        <w:rPr>
          <w:color w:val="222222"/>
          <w:shd w:val="clear" w:color="auto" w:fill="FFFFFF"/>
          <w:vertAlign w:val="subscript"/>
        </w:rPr>
        <w:t>3</w:t>
      </w:r>
      <w:r w:rsidRPr="00B02B89">
        <w:rPr>
          <w:color w:val="222222"/>
          <w:shd w:val="clear" w:color="auto" w:fill="FFFFFF"/>
        </w:rPr>
        <w:t>Br yr</w:t>
      </w:r>
      <w:r w:rsidRPr="00B02B89">
        <w:rPr>
          <w:color w:val="222222"/>
          <w:shd w:val="clear" w:color="auto" w:fill="FFFFFF"/>
          <w:vertAlign w:val="superscript"/>
        </w:rPr>
        <w:t>−1</w:t>
      </w:r>
      <w:r w:rsidRPr="00B02B89">
        <w:rPr>
          <w:color w:val="222222"/>
          <w:shd w:val="clear" w:color="auto" w:fill="FFFFFF"/>
        </w:rPr>
        <w:t> and 2,500 ± 700 t CH</w:t>
      </w:r>
      <w:r w:rsidRPr="00B02B89">
        <w:rPr>
          <w:color w:val="222222"/>
          <w:shd w:val="clear" w:color="auto" w:fill="FFFFFF"/>
          <w:vertAlign w:val="subscript"/>
        </w:rPr>
        <w:t>3</w:t>
      </w:r>
      <w:r w:rsidRPr="00B02B89">
        <w:rPr>
          <w:color w:val="222222"/>
          <w:shd w:val="clear" w:color="auto" w:fill="FFFFFF"/>
        </w:rPr>
        <w:t>Cl yr</w:t>
      </w:r>
      <w:r w:rsidRPr="00B02B89">
        <w:rPr>
          <w:color w:val="222222"/>
          <w:shd w:val="clear" w:color="auto" w:fill="FFFFFF"/>
          <w:vertAlign w:val="superscript"/>
        </w:rPr>
        <w:t>−1</w:t>
      </w:r>
      <w:r w:rsidRPr="00B02B89">
        <w:rPr>
          <w:color w:val="222222"/>
          <w:shd w:val="clear" w:color="auto" w:fill="FFFFFF"/>
        </w:rPr>
        <w:t xml:space="preserve">, respectively. </w:t>
      </w:r>
    </w:p>
    <w:p w14:paraId="71C0FF37" w14:textId="10186B2B" w:rsidR="00944FC9" w:rsidRDefault="00944FC9" w:rsidP="00413888">
      <w:pPr>
        <w:rPr>
          <w:color w:val="222222"/>
          <w:shd w:val="clear" w:color="auto" w:fill="FFFFFF"/>
        </w:rPr>
      </w:pPr>
      <w:r w:rsidRPr="00B02B89">
        <w:rPr>
          <w:color w:val="222222"/>
          <w:shd w:val="clear" w:color="auto" w:fill="FFFFFF"/>
        </w:rPr>
        <w:t xml:space="preserve">Of note is that copper production has gone up 65% in the last 10 years. </w:t>
      </w:r>
    </w:p>
    <w:p w14:paraId="140BDAAB" w14:textId="77777777" w:rsidR="00944FC9" w:rsidRPr="00B02B89" w:rsidRDefault="00944FC9" w:rsidP="00944FC9">
      <w:pPr>
        <w:textAlignment w:val="baseline"/>
        <w:rPr>
          <w:color w:val="222222"/>
          <w:shd w:val="clear" w:color="auto" w:fill="FFFFFF"/>
        </w:rPr>
      </w:pPr>
      <w:proofErr w:type="spellStart"/>
      <w:r w:rsidRPr="00B02B89">
        <w:rPr>
          <w:color w:val="222222"/>
          <w:shd w:val="clear" w:color="auto" w:fill="FFFFFF"/>
        </w:rPr>
        <w:t>Nicewonger</w:t>
      </w:r>
      <w:proofErr w:type="spellEnd"/>
      <w:r w:rsidRPr="00B02B89">
        <w:rPr>
          <w:color w:val="222222"/>
          <w:shd w:val="clear" w:color="auto" w:fill="FFFFFF"/>
        </w:rPr>
        <w:t xml:space="preserve"> </w:t>
      </w:r>
      <w:r w:rsidRPr="00585419">
        <w:rPr>
          <w:i/>
          <w:color w:val="222222"/>
          <w:shd w:val="clear" w:color="auto" w:fill="FFFFFF"/>
        </w:rPr>
        <w:t>et al</w:t>
      </w:r>
      <w:r>
        <w:rPr>
          <w:i/>
          <w:color w:val="222222"/>
          <w:shd w:val="clear" w:color="auto" w:fill="FFFFFF"/>
        </w:rPr>
        <w:t>.,</w:t>
      </w:r>
      <w:r w:rsidRPr="00B02B89">
        <w:rPr>
          <w:color w:val="222222"/>
          <w:shd w:val="clear" w:color="auto" w:fill="FFFFFF"/>
        </w:rPr>
        <w:t xml:space="preserve"> (202</w:t>
      </w:r>
      <w:r>
        <w:rPr>
          <w:color w:val="222222"/>
          <w:shd w:val="clear" w:color="auto" w:fill="FFFFFF"/>
        </w:rPr>
        <w:t>2</w:t>
      </w:r>
      <w:r w:rsidRPr="00B02B89">
        <w:rPr>
          <w:color w:val="222222"/>
          <w:shd w:val="clear" w:color="auto" w:fill="FFFFFF"/>
        </w:rPr>
        <w:t>) found that interannual variations in the atmospheric MB are related to El Niño Southern Oscillation (ENSO) events, and the increased burning during the warm phase of ENSO is determined to be the most likely cause of these interannual changes.</w:t>
      </w:r>
    </w:p>
    <w:p w14:paraId="25D08500" w14:textId="1BF0A498" w:rsidR="00944FC9" w:rsidRPr="00C7675C" w:rsidRDefault="00944FC9" w:rsidP="003E4636">
      <w:pPr>
        <w:pStyle w:val="Heading2"/>
      </w:pPr>
      <w:bookmarkStart w:id="401" w:name="_Toc104396697"/>
      <w:r w:rsidRPr="00E537F1">
        <w:rPr>
          <w:rStyle w:val="Heading311ptBoldChar"/>
          <w:b/>
          <w:sz w:val="24"/>
        </w:rPr>
        <w:t>5.4.3</w:t>
      </w:r>
      <w:r w:rsidR="00F02CFB">
        <w:rPr>
          <w:rStyle w:val="Heading311ptBoldChar"/>
          <w:b/>
          <w:sz w:val="24"/>
        </w:rPr>
        <w:tab/>
      </w:r>
      <w:r>
        <w:rPr>
          <w:rStyle w:val="Heading311ptBoldChar"/>
          <w:b/>
          <w:sz w:val="24"/>
        </w:rPr>
        <w:t xml:space="preserve"> </w:t>
      </w:r>
      <w:r w:rsidRPr="00E537F1">
        <w:rPr>
          <w:rStyle w:val="Heading311ptBoldChar"/>
          <w:b/>
          <w:sz w:val="24"/>
        </w:rPr>
        <w:t>Recapture of MB</w:t>
      </w:r>
      <w:bookmarkEnd w:id="397"/>
      <w:bookmarkEnd w:id="398"/>
      <w:bookmarkEnd w:id="399"/>
      <w:bookmarkEnd w:id="400"/>
      <w:bookmarkEnd w:id="401"/>
    </w:p>
    <w:p w14:paraId="4B8B114A" w14:textId="77777777" w:rsidR="00944FC9" w:rsidRPr="00B02B89" w:rsidRDefault="00944FC9" w:rsidP="00944FC9">
      <w:r w:rsidRPr="00B02B89">
        <w:t>As noted in previous MBTOC reports, in 2010 the New Zealand Environmental Protection Agency (NZ</w:t>
      </w:r>
      <w:r>
        <w:t xml:space="preserve"> </w:t>
      </w:r>
      <w:r w:rsidRPr="00B02B89">
        <w:t>EPA) ruled that all QPS MB emissions were to be recaptured as of October 2020, although this ha</w:t>
      </w:r>
      <w:r>
        <w:t>d</w:t>
      </w:r>
      <w:r w:rsidRPr="00B02B89">
        <w:t xml:space="preserve"> been extended through to February 2022. In response, a range of new technologies for recycling and recapture systems have been developed that are able to recapture up to </w:t>
      </w:r>
      <w:r>
        <w:t>9</w:t>
      </w:r>
      <w:r w:rsidRPr="00B02B89">
        <w:t>0% of MB in the headspace within hours, in commercial conditions (</w:t>
      </w:r>
      <w:r>
        <w:t>MPI, 2021</w:t>
      </w:r>
      <w:r w:rsidRPr="00B02B89">
        <w:t>). However, due to the lack of available technology to achieve the required targets the NZ</w:t>
      </w:r>
      <w:r>
        <w:t xml:space="preserve"> </w:t>
      </w:r>
      <w:r w:rsidRPr="00B02B89">
        <w:t>EPA reassess</w:t>
      </w:r>
      <w:r>
        <w:t>ed</w:t>
      </w:r>
      <w:r w:rsidRPr="00B02B89">
        <w:t xml:space="preserve"> this ruling. The majority of current emissions from container and undercover log QPS fumigations at four major ports are being controlled with available recapture equipment, but emissions arising from fumigation of ship holds remain</w:t>
      </w:r>
      <w:r>
        <w:t>ed</w:t>
      </w:r>
      <w:r w:rsidRPr="00B02B89">
        <w:t xml:space="preserve"> a challenge. </w:t>
      </w:r>
    </w:p>
    <w:p w14:paraId="312317E1" w14:textId="77777777" w:rsidR="00944FC9" w:rsidRPr="000F776D" w:rsidRDefault="00944FC9" w:rsidP="00944FC9">
      <w:pPr>
        <w:spacing w:before="100" w:beforeAutospacing="1" w:after="100" w:afterAutospacing="1"/>
      </w:pPr>
      <w:r w:rsidRPr="000F776D">
        <w:t xml:space="preserve">The NZ EPA in 2021 completed a reassessment of </w:t>
      </w:r>
      <w:r>
        <w:t>MB</w:t>
      </w:r>
      <w:r w:rsidRPr="000F776D">
        <w:t xml:space="preserve">. The reassessment focused on recapture requirements, and a comprehensive suite of controls to mitigate the risks of </w:t>
      </w:r>
      <w:r>
        <w:t>MB</w:t>
      </w:r>
      <w:r w:rsidRPr="000F776D">
        <w:t xml:space="preserve"> use including banning the fumigation of ships holds from 1 January 2023. </w:t>
      </w:r>
    </w:p>
    <w:p w14:paraId="2A57DDF8" w14:textId="1C53CE9C" w:rsidR="00944FC9" w:rsidRPr="00B02B89" w:rsidRDefault="00944FC9" w:rsidP="00944FC9">
      <w:r w:rsidRPr="000F776D">
        <w:t xml:space="preserve">In general terms, recapture of </w:t>
      </w:r>
      <w:r>
        <w:t>MB</w:t>
      </w:r>
      <w:r w:rsidRPr="000F776D">
        <w:t xml:space="preserve"> refers to the use of technology to remove methyl bromide from the fumigated enclosure, so that it cannot be released into the air. From 1 January 2023, 80</w:t>
      </w:r>
      <w:r>
        <w:t>%</w:t>
      </w:r>
      <w:r w:rsidRPr="000F776D">
        <w:t xml:space="preserve"> of </w:t>
      </w:r>
      <w:r>
        <w:t xml:space="preserve">the MB </w:t>
      </w:r>
      <w:r>
        <w:lastRenderedPageBreak/>
        <w:t>used</w:t>
      </w:r>
      <w:r w:rsidRPr="000F776D">
        <w:t xml:space="preserve"> will need to be recaptured from every container fumigation, increasing to 99</w:t>
      </w:r>
      <w:r>
        <w:t>%</w:t>
      </w:r>
      <w:r w:rsidRPr="000F776D">
        <w:t xml:space="preserve"> recapture from 1 January 2031. From 1 January 2022, recapture technology must be used on half of all undercover fumigations</w:t>
      </w:r>
      <w:r w:rsidR="002C0D7B" w:rsidRPr="002C0D7B">
        <w:t>,</w:t>
      </w:r>
      <w:r w:rsidRPr="000F776D">
        <w:t xml:space="preserve"> and all must use recapture technology from 1 January 2025. New carbon-based equipment has been developed to recapture MB from large log stacks and is proving to be around 90% effective. </w:t>
      </w:r>
      <w:hyperlink r:id="rId48" w:history="1">
        <w:r w:rsidRPr="00B02B89">
          <w:rPr>
            <w:rStyle w:val="Hyperlink"/>
          </w:rPr>
          <w:t>Assessment of Methyl Bromide Fumigation Recapture Regimes (mpi.govt.nz)</w:t>
        </w:r>
      </w:hyperlink>
    </w:p>
    <w:p w14:paraId="07EB34A9" w14:textId="77777777" w:rsidR="00944FC9" w:rsidRPr="00B02B89" w:rsidRDefault="00944FC9" w:rsidP="00944FC9">
      <w:pPr>
        <w:spacing w:before="100" w:beforeAutospacing="1" w:after="100" w:afterAutospacing="1"/>
      </w:pPr>
      <w:r w:rsidRPr="00B02B89">
        <w:t>A requirement to use “dosing to concentration” technology will be required from 1 January 2024</w:t>
      </w:r>
      <w:r>
        <w:t>;</w:t>
      </w:r>
      <w:r w:rsidRPr="00B02B89">
        <w:t xml:space="preserve"> at least 50</w:t>
      </w:r>
      <w:r>
        <w:t>%</w:t>
      </w:r>
      <w:r w:rsidRPr="00B02B89">
        <w:t xml:space="preserve"> of all fumigations must be dosed to concentration, increasing to 100</w:t>
      </w:r>
      <w:r>
        <w:t>%</w:t>
      </w:r>
      <w:r w:rsidRPr="00B02B89">
        <w:t xml:space="preserve"> of all fumigations from 1 January 2027. This is intended to reduce the amount of MB being used while maintaining efficacy with monitoring of concentration during the fumigation.</w:t>
      </w:r>
    </w:p>
    <w:p w14:paraId="459362F4" w14:textId="720491F3" w:rsidR="00944FC9" w:rsidRDefault="00944FC9" w:rsidP="00944FC9">
      <w:r w:rsidRPr="00B02B89">
        <w:t xml:space="preserve">The reassessment decision encourages parties to continue negotiations with international trade partners to reduce and, where possible, eliminate the use of </w:t>
      </w:r>
      <w:r>
        <w:t>MB</w:t>
      </w:r>
      <w:r w:rsidRPr="00B02B89">
        <w:t xml:space="preserve">, and to explore alternative processes. </w:t>
      </w:r>
    </w:p>
    <w:p w14:paraId="4247F292" w14:textId="006EC4E4" w:rsidR="00944FC9" w:rsidRPr="00284397" w:rsidRDefault="00944FC9" w:rsidP="00944FC9">
      <w:r w:rsidRPr="00284397">
        <w:t>In Australia, a specific regulation on damage of emissions of MB to the ozone layer in addition to concerns on MB emissions on public health have led to adoption of recapture systems into several major fresh vegetable and fruit markets. Regulations also exist in other sectors of the world (e.g.</w:t>
      </w:r>
      <w:r w:rsidR="002C0D7B" w:rsidRPr="002C0D7B">
        <w:t>,</w:t>
      </w:r>
      <w:r w:rsidRPr="00284397">
        <w:t xml:space="preserve"> US timber exports) to implement systems to reduce emissions. Limitations to date have been the added cost for the user of equipment required to recapture and destroy or landfill compared to venting directly to the atmosphere. In addition, in most areas local policies are generally not in place to encourage or mandate their use or are difficult to implement.</w:t>
      </w:r>
    </w:p>
    <w:p w14:paraId="5D31B343" w14:textId="79E715A9" w:rsidR="00944FC9" w:rsidRPr="00997ECA" w:rsidRDefault="00944FC9" w:rsidP="003E4636">
      <w:pPr>
        <w:pStyle w:val="Heading2"/>
        <w:rPr>
          <w:rStyle w:val="Heading2Char"/>
          <w:rFonts w:cs="Times New Roman"/>
          <w:b/>
          <w:snapToGrid w:val="0"/>
          <w:szCs w:val="20"/>
        </w:rPr>
      </w:pPr>
      <w:bookmarkStart w:id="402" w:name="_Toc34276798"/>
      <w:bookmarkStart w:id="403" w:name="_Toc34363033"/>
      <w:bookmarkStart w:id="404" w:name="_Toc38555048"/>
      <w:bookmarkStart w:id="405" w:name="_Toc39926395"/>
      <w:bookmarkStart w:id="406" w:name="_Toc40696065"/>
      <w:bookmarkStart w:id="407" w:name="_Toc77868897"/>
      <w:bookmarkStart w:id="408" w:name="_Toc78040730"/>
      <w:bookmarkStart w:id="409" w:name="_Toc79066536"/>
      <w:bookmarkStart w:id="410" w:name="_Toc79069713"/>
      <w:bookmarkStart w:id="411" w:name="_Toc104396698"/>
      <w:r>
        <w:rPr>
          <w:rStyle w:val="Heading2Char"/>
          <w:b/>
        </w:rPr>
        <w:t>5</w:t>
      </w:r>
      <w:r w:rsidRPr="00997ECA">
        <w:rPr>
          <w:rStyle w:val="Heading2Char"/>
          <w:b/>
        </w:rPr>
        <w:t>.5</w:t>
      </w:r>
      <w:r w:rsidRPr="00997ECA">
        <w:rPr>
          <w:rStyle w:val="Heading2Char"/>
          <w:b/>
        </w:rPr>
        <w:tab/>
        <w:t>International Plant Protection Convention (IPPC)</w:t>
      </w:r>
      <w:bookmarkEnd w:id="402"/>
      <w:bookmarkEnd w:id="403"/>
      <w:bookmarkEnd w:id="404"/>
      <w:bookmarkEnd w:id="405"/>
      <w:bookmarkEnd w:id="406"/>
      <w:bookmarkEnd w:id="407"/>
      <w:bookmarkEnd w:id="408"/>
      <w:bookmarkEnd w:id="409"/>
      <w:bookmarkEnd w:id="410"/>
      <w:bookmarkEnd w:id="411"/>
    </w:p>
    <w:p w14:paraId="4637898B" w14:textId="61022E70" w:rsidR="00944FC9" w:rsidRPr="00B02B89" w:rsidRDefault="00944FC9" w:rsidP="00944FC9">
      <w:r w:rsidRPr="00B02B89">
        <w:t>As per the Memorandum of Understanding signed between the Montreal Protocol and the IPPC, MBTOC continues to collaborate with the IPPC. A short contribution featuring MBTOC’s recent activities which are of relevance to IPPC was submitted to the IPPC for inclusion under the agenda item “Written reports from international organizations” of the IPPC’s 16</w:t>
      </w:r>
      <w:r w:rsidRPr="00B02B89">
        <w:rPr>
          <w:vertAlign w:val="superscript"/>
        </w:rPr>
        <w:t>th</w:t>
      </w:r>
      <w:r w:rsidRPr="00B02B89">
        <w:t xml:space="preserve"> meeting of the Commission on Phytosanitary Measures (CPM). This virtual meeting took place </w:t>
      </w:r>
      <w:r>
        <w:t>in</w:t>
      </w:r>
      <w:r w:rsidRPr="00B02B89">
        <w:t xml:space="preserve"> April 2022, and MBTOC co-chairs and some members attended some sessions. </w:t>
      </w:r>
    </w:p>
    <w:p w14:paraId="4C73F83C" w14:textId="2BBC68A3" w:rsidR="00944FC9" w:rsidRPr="00413888" w:rsidRDefault="00944FC9" w:rsidP="00944FC9">
      <w:r w:rsidRPr="00B02B89">
        <w:t xml:space="preserve">MBTOC also monitored developments arising from the work conducted by the convention with potential to impact MB use and replacement. There are now 32 approved treatments available shown in the </w:t>
      </w:r>
      <w:r w:rsidRPr="00B02B89">
        <w:rPr>
          <w:color w:val="0000FF"/>
          <w:u w:val="single"/>
        </w:rPr>
        <w:t>IPPC Phytosanitary Treatments search tool (</w:t>
      </w:r>
      <w:hyperlink r:id="rId49" w:history="1">
        <w:r w:rsidRPr="00B02B89">
          <w:t>https://www.ippc.int/en/core-activities/standards-setting/technical-panels/technical-panel-phytosanitary-treatments/phytosanitary-treatments-tool/</w:t>
        </w:r>
      </w:hyperlink>
      <w:r w:rsidRPr="00B02B89">
        <w:t>)</w:t>
      </w:r>
    </w:p>
    <w:p w14:paraId="60180FDF" w14:textId="64D40CF2" w:rsidR="00944FC9" w:rsidRPr="00413888" w:rsidRDefault="00944FC9" w:rsidP="00413888">
      <w:pPr>
        <w:rPr>
          <w:szCs w:val="22"/>
        </w:rPr>
      </w:pPr>
      <w:r w:rsidRPr="00B02B89">
        <w:t>One ISPM and four draft phytosanitary treatments, some with potential to replace MB were presented for consultation (IPPC, 2021a)</w:t>
      </w:r>
      <w:r>
        <w:t xml:space="preserve"> and adopted duri</w:t>
      </w:r>
      <w:r w:rsidR="002C0D7B" w:rsidRPr="002C0D7B">
        <w:t>n</w:t>
      </w:r>
      <w:r>
        <w:t>g CPM-16 (IPPC, 2022)</w:t>
      </w:r>
      <w:r w:rsidRPr="00B02B89">
        <w:t xml:space="preserve"> as follows</w:t>
      </w:r>
    </w:p>
    <w:p w14:paraId="1625D41A" w14:textId="77777777" w:rsidR="00944FC9" w:rsidRPr="00413888" w:rsidRDefault="00944FC9" w:rsidP="00107383">
      <w:pPr>
        <w:pStyle w:val="ListParagraph"/>
        <w:numPr>
          <w:ilvl w:val="0"/>
          <w:numId w:val="68"/>
        </w:numPr>
        <w:ind w:firstLineChars="0"/>
        <w:contextualSpacing/>
        <w:rPr>
          <w:rFonts w:ascii="Times New Roman" w:hAnsi="Times New Roman"/>
          <w:sz w:val="22"/>
        </w:rPr>
      </w:pPr>
      <w:r w:rsidRPr="00413888">
        <w:rPr>
          <w:rFonts w:ascii="Times New Roman" w:hAnsi="Times New Roman"/>
          <w:sz w:val="22"/>
        </w:rPr>
        <w:t xml:space="preserve">Cold treatment of ‘Red Globe’ grape for </w:t>
      </w:r>
      <w:r w:rsidRPr="00413888">
        <w:rPr>
          <w:rFonts w:ascii="Times New Roman" w:hAnsi="Times New Roman"/>
          <w:i/>
          <w:sz w:val="22"/>
        </w:rPr>
        <w:t xml:space="preserve">Drosophila </w:t>
      </w:r>
      <w:proofErr w:type="spellStart"/>
      <w:r w:rsidRPr="00413888">
        <w:rPr>
          <w:rFonts w:ascii="Times New Roman" w:hAnsi="Times New Roman"/>
          <w:i/>
          <w:sz w:val="22"/>
        </w:rPr>
        <w:t>suzukii</w:t>
      </w:r>
      <w:proofErr w:type="spellEnd"/>
      <w:r w:rsidRPr="00413888">
        <w:rPr>
          <w:rFonts w:ascii="Times New Roman" w:hAnsi="Times New Roman"/>
          <w:sz w:val="22"/>
        </w:rPr>
        <w:t xml:space="preserve"> (</w:t>
      </w:r>
      <w:proofErr w:type="spellStart"/>
      <w:proofErr w:type="gramStart"/>
      <w:r w:rsidRPr="00413888">
        <w:rPr>
          <w:rFonts w:ascii="Times New Roman" w:hAnsi="Times New Roman"/>
          <w:sz w:val="22"/>
        </w:rPr>
        <w:t>Diptera:Drosophilidae</w:t>
      </w:r>
      <w:proofErr w:type="spellEnd"/>
      <w:proofErr w:type="gramEnd"/>
      <w:r w:rsidRPr="00413888">
        <w:rPr>
          <w:rFonts w:ascii="Times New Roman" w:hAnsi="Times New Roman"/>
          <w:sz w:val="22"/>
        </w:rPr>
        <w:t>)</w:t>
      </w:r>
    </w:p>
    <w:p w14:paraId="4446A71D" w14:textId="1A78E3BF" w:rsidR="00944FC9" w:rsidRPr="00413888" w:rsidRDefault="00944FC9" w:rsidP="00107383">
      <w:pPr>
        <w:pStyle w:val="ListParagraph"/>
        <w:numPr>
          <w:ilvl w:val="0"/>
          <w:numId w:val="68"/>
        </w:numPr>
        <w:ind w:firstLineChars="0"/>
        <w:contextualSpacing/>
        <w:rPr>
          <w:rFonts w:ascii="Times New Roman" w:hAnsi="Times New Roman"/>
          <w:sz w:val="22"/>
        </w:rPr>
      </w:pPr>
      <w:r w:rsidRPr="00413888">
        <w:rPr>
          <w:rFonts w:ascii="Times New Roman" w:hAnsi="Times New Roman"/>
          <w:sz w:val="22"/>
        </w:rPr>
        <w:t>Vapor heat treatment of dragon fruit (</w:t>
      </w:r>
      <w:proofErr w:type="spellStart"/>
      <w:r w:rsidRPr="00413888">
        <w:rPr>
          <w:rFonts w:ascii="Times New Roman" w:hAnsi="Times New Roman"/>
          <w:sz w:val="22"/>
        </w:rPr>
        <w:t>Selenicereus</w:t>
      </w:r>
      <w:proofErr w:type="spellEnd"/>
      <w:r w:rsidRPr="00413888">
        <w:rPr>
          <w:rFonts w:ascii="Times New Roman" w:hAnsi="Times New Roman"/>
          <w:sz w:val="22"/>
        </w:rPr>
        <w:t xml:space="preserve"> </w:t>
      </w:r>
      <w:proofErr w:type="spellStart"/>
      <w:r w:rsidRPr="00413888">
        <w:rPr>
          <w:rFonts w:ascii="Times New Roman" w:hAnsi="Times New Roman"/>
          <w:sz w:val="22"/>
        </w:rPr>
        <w:t>undatus</w:t>
      </w:r>
      <w:proofErr w:type="spellEnd"/>
      <w:r w:rsidRPr="00413888">
        <w:rPr>
          <w:rFonts w:ascii="Times New Roman" w:hAnsi="Times New Roman"/>
          <w:sz w:val="22"/>
        </w:rPr>
        <w:t xml:space="preserve"> (Haworth) D.R. Hunt) for</w:t>
      </w:r>
      <w:r w:rsidR="005617DE">
        <w:rPr>
          <w:rFonts w:ascii="Times New Roman" w:hAnsi="Times New Roman"/>
          <w:sz w:val="22"/>
        </w:rPr>
        <w:t xml:space="preserve"> </w:t>
      </w:r>
      <w:proofErr w:type="spellStart"/>
      <w:r w:rsidRPr="00413888">
        <w:rPr>
          <w:rFonts w:ascii="Times New Roman" w:hAnsi="Times New Roman"/>
          <w:i/>
          <w:sz w:val="22"/>
        </w:rPr>
        <w:t>Planococcus</w:t>
      </w:r>
      <w:proofErr w:type="spellEnd"/>
      <w:r w:rsidRPr="00413888">
        <w:rPr>
          <w:rFonts w:ascii="Times New Roman" w:hAnsi="Times New Roman"/>
          <w:i/>
          <w:sz w:val="22"/>
        </w:rPr>
        <w:t xml:space="preserve"> </w:t>
      </w:r>
      <w:proofErr w:type="spellStart"/>
      <w:r w:rsidRPr="00413888">
        <w:rPr>
          <w:rFonts w:ascii="Times New Roman" w:hAnsi="Times New Roman"/>
          <w:i/>
          <w:sz w:val="22"/>
        </w:rPr>
        <w:t>lilacinus</w:t>
      </w:r>
      <w:proofErr w:type="spellEnd"/>
      <w:r w:rsidRPr="00413888">
        <w:rPr>
          <w:rFonts w:ascii="Times New Roman" w:hAnsi="Times New Roman"/>
          <w:sz w:val="22"/>
        </w:rPr>
        <w:t xml:space="preserve"> (</w:t>
      </w:r>
      <w:proofErr w:type="spellStart"/>
      <w:r w:rsidRPr="00413888">
        <w:rPr>
          <w:rFonts w:ascii="Times New Roman" w:hAnsi="Times New Roman"/>
          <w:sz w:val="22"/>
        </w:rPr>
        <w:t>Cockerell</w:t>
      </w:r>
      <w:proofErr w:type="spellEnd"/>
      <w:r w:rsidRPr="00413888">
        <w:rPr>
          <w:rFonts w:ascii="Times New Roman" w:hAnsi="Times New Roman"/>
          <w:sz w:val="22"/>
        </w:rPr>
        <w:t>)</w:t>
      </w:r>
    </w:p>
    <w:p w14:paraId="6585C9D1" w14:textId="77777777" w:rsidR="00944FC9" w:rsidRPr="00413888" w:rsidRDefault="00944FC9" w:rsidP="00107383">
      <w:pPr>
        <w:pStyle w:val="ListParagraph"/>
        <w:numPr>
          <w:ilvl w:val="0"/>
          <w:numId w:val="68"/>
        </w:numPr>
        <w:ind w:firstLineChars="0"/>
        <w:contextualSpacing/>
        <w:rPr>
          <w:rFonts w:ascii="Times New Roman" w:eastAsiaTheme="minorEastAsia" w:hAnsi="Times New Roman"/>
          <w:sz w:val="22"/>
          <w:lang w:eastAsia="ja-JP"/>
        </w:rPr>
      </w:pPr>
      <w:r w:rsidRPr="00413888">
        <w:rPr>
          <w:rFonts w:ascii="Times New Roman" w:hAnsi="Times New Roman"/>
          <w:sz w:val="22"/>
        </w:rPr>
        <w:t xml:space="preserve">Cold treatment for </w:t>
      </w:r>
      <w:proofErr w:type="spellStart"/>
      <w:r w:rsidRPr="00413888">
        <w:rPr>
          <w:rFonts w:ascii="Times New Roman" w:hAnsi="Times New Roman"/>
          <w:i/>
          <w:sz w:val="22"/>
        </w:rPr>
        <w:t>Thaumatotibia</w:t>
      </w:r>
      <w:proofErr w:type="spellEnd"/>
      <w:r w:rsidRPr="00413888">
        <w:rPr>
          <w:rFonts w:ascii="Times New Roman" w:hAnsi="Times New Roman"/>
          <w:i/>
          <w:sz w:val="22"/>
        </w:rPr>
        <w:t xml:space="preserve"> </w:t>
      </w:r>
      <w:proofErr w:type="spellStart"/>
      <w:r w:rsidRPr="00413888">
        <w:rPr>
          <w:rFonts w:ascii="Times New Roman" w:hAnsi="Times New Roman"/>
          <w:i/>
          <w:sz w:val="22"/>
        </w:rPr>
        <w:t>leucotreta</w:t>
      </w:r>
      <w:proofErr w:type="spellEnd"/>
      <w:r w:rsidRPr="00413888">
        <w:rPr>
          <w:rFonts w:ascii="Times New Roman" w:hAnsi="Times New Roman"/>
          <w:sz w:val="22"/>
        </w:rPr>
        <w:t xml:space="preserve"> on </w:t>
      </w:r>
      <w:r w:rsidRPr="00413888">
        <w:rPr>
          <w:rFonts w:ascii="Times New Roman" w:hAnsi="Times New Roman"/>
          <w:i/>
          <w:sz w:val="22"/>
        </w:rPr>
        <w:t>Citrus sinensis</w:t>
      </w:r>
      <w:r w:rsidRPr="00413888">
        <w:rPr>
          <w:rFonts w:ascii="Times New Roman" w:hAnsi="Times New Roman"/>
          <w:sz w:val="22"/>
        </w:rPr>
        <w:t xml:space="preserve"> (2017- 2029)</w:t>
      </w:r>
    </w:p>
    <w:p w14:paraId="589C3F4D" w14:textId="77777777" w:rsidR="00944FC9" w:rsidRPr="00413888" w:rsidRDefault="00944FC9" w:rsidP="00107383">
      <w:pPr>
        <w:pStyle w:val="ListParagraph"/>
        <w:numPr>
          <w:ilvl w:val="0"/>
          <w:numId w:val="68"/>
        </w:numPr>
        <w:ind w:firstLineChars="0"/>
        <w:contextualSpacing/>
        <w:rPr>
          <w:rFonts w:ascii="Times New Roman" w:hAnsi="Times New Roman"/>
          <w:sz w:val="22"/>
        </w:rPr>
      </w:pPr>
      <w:r w:rsidRPr="00413888">
        <w:rPr>
          <w:rFonts w:ascii="Times New Roman" w:hAnsi="Times New Roman"/>
          <w:sz w:val="22"/>
        </w:rPr>
        <w:t xml:space="preserve">Revision of ISPM 18 (Guidelines for the use of irradiation as a phytosanitary measure) </w:t>
      </w:r>
    </w:p>
    <w:p w14:paraId="7D3547C8" w14:textId="77777777" w:rsidR="00944FC9" w:rsidRPr="00413888" w:rsidRDefault="00944FC9" w:rsidP="00107383">
      <w:pPr>
        <w:pStyle w:val="ListParagraph"/>
        <w:numPr>
          <w:ilvl w:val="0"/>
          <w:numId w:val="68"/>
        </w:numPr>
        <w:ind w:firstLineChars="0"/>
        <w:contextualSpacing/>
        <w:rPr>
          <w:rFonts w:ascii="Times New Roman" w:hAnsi="Times New Roman"/>
          <w:sz w:val="22"/>
        </w:rPr>
      </w:pPr>
      <w:r w:rsidRPr="00413888">
        <w:rPr>
          <w:rFonts w:ascii="Times New Roman" w:hAnsi="Times New Roman"/>
          <w:sz w:val="22"/>
        </w:rPr>
        <w:t xml:space="preserve">Irradiation treatment for </w:t>
      </w:r>
      <w:proofErr w:type="spellStart"/>
      <w:r w:rsidRPr="00413888">
        <w:rPr>
          <w:rFonts w:ascii="Times New Roman" w:hAnsi="Times New Roman"/>
          <w:i/>
          <w:sz w:val="22"/>
        </w:rPr>
        <w:t>Pseudococcus</w:t>
      </w:r>
      <w:proofErr w:type="spellEnd"/>
      <w:r w:rsidRPr="00413888">
        <w:rPr>
          <w:rFonts w:ascii="Times New Roman" w:hAnsi="Times New Roman"/>
          <w:i/>
          <w:sz w:val="22"/>
        </w:rPr>
        <w:t xml:space="preserve"> </w:t>
      </w:r>
      <w:proofErr w:type="spellStart"/>
      <w:r w:rsidRPr="00413888">
        <w:rPr>
          <w:rFonts w:ascii="Times New Roman" w:hAnsi="Times New Roman"/>
          <w:i/>
          <w:sz w:val="22"/>
        </w:rPr>
        <w:t>jackbeardsleyi</w:t>
      </w:r>
      <w:proofErr w:type="spellEnd"/>
      <w:r w:rsidRPr="00413888">
        <w:rPr>
          <w:rFonts w:ascii="Times New Roman" w:hAnsi="Times New Roman"/>
          <w:sz w:val="22"/>
        </w:rPr>
        <w:t xml:space="preserve"> </w:t>
      </w:r>
    </w:p>
    <w:p w14:paraId="000FC98F" w14:textId="77777777" w:rsidR="00944FC9" w:rsidRPr="00B02B89" w:rsidRDefault="00944FC9" w:rsidP="00944FC9">
      <w:pPr>
        <w:contextualSpacing/>
      </w:pPr>
    </w:p>
    <w:p w14:paraId="2FDD102C" w14:textId="3D4B70F5" w:rsidR="00944FC9" w:rsidRPr="00413888" w:rsidRDefault="00944FC9" w:rsidP="00944FC9">
      <w:pPr>
        <w:rPr>
          <w:szCs w:val="22"/>
        </w:rPr>
      </w:pPr>
      <w:r w:rsidRPr="00B02B89">
        <w:t>Additionally, the following International Standards for Phytosanitary Measures (ISPM) that will contribute to reducing the need to treat with MB were approved in 2021 (IPPC, 2021b):</w:t>
      </w:r>
    </w:p>
    <w:p w14:paraId="4EC235FC" w14:textId="77777777" w:rsidR="00944FC9" w:rsidRPr="00413888" w:rsidRDefault="00944FC9" w:rsidP="00107383">
      <w:pPr>
        <w:pStyle w:val="ListParagraph"/>
        <w:numPr>
          <w:ilvl w:val="0"/>
          <w:numId w:val="69"/>
        </w:numPr>
        <w:pBdr>
          <w:bottom w:val="single" w:sz="6" w:space="0" w:color="EEEEEE"/>
        </w:pBdr>
        <w:shd w:val="clear" w:color="auto" w:fill="FFFFFF"/>
        <w:ind w:firstLineChars="0"/>
        <w:contextualSpacing/>
        <w:rPr>
          <w:rStyle w:val="Heading2Char"/>
          <w:b w:val="0"/>
          <w:snapToGrid/>
          <w:color w:val="auto"/>
          <w:kern w:val="0"/>
          <w:sz w:val="22"/>
          <w:lang w:val="en-US"/>
        </w:rPr>
      </w:pPr>
      <w:r w:rsidRPr="00413888">
        <w:rPr>
          <w:rStyle w:val="Heading2Char"/>
          <w:b w:val="0"/>
          <w:snapToGrid/>
          <w:color w:val="auto"/>
          <w:sz w:val="22"/>
          <w:lang w:val="en-US"/>
        </w:rPr>
        <w:t>ISPM 28 Phytosanitary treatments for regulated pests</w:t>
      </w:r>
    </w:p>
    <w:p w14:paraId="0B9DE1C3" w14:textId="77777777" w:rsidR="00944FC9" w:rsidRPr="00413888" w:rsidRDefault="00944FC9" w:rsidP="00107383">
      <w:pPr>
        <w:pStyle w:val="ListParagraph"/>
        <w:numPr>
          <w:ilvl w:val="0"/>
          <w:numId w:val="69"/>
        </w:numPr>
        <w:pBdr>
          <w:bottom w:val="single" w:sz="6" w:space="0" w:color="EEEEEE"/>
        </w:pBdr>
        <w:shd w:val="clear" w:color="auto" w:fill="FFFFFF"/>
        <w:ind w:firstLineChars="0"/>
        <w:contextualSpacing/>
        <w:rPr>
          <w:rStyle w:val="Heading2Char"/>
          <w:b w:val="0"/>
          <w:snapToGrid/>
          <w:color w:val="auto"/>
          <w:sz w:val="22"/>
          <w:lang w:val="en-US"/>
        </w:rPr>
      </w:pPr>
      <w:r w:rsidRPr="00413888">
        <w:rPr>
          <w:rStyle w:val="Heading2Char"/>
          <w:b w:val="0"/>
          <w:snapToGrid/>
          <w:color w:val="auto"/>
          <w:sz w:val="22"/>
          <w:lang w:val="en-US"/>
        </w:rPr>
        <w:t>ISPM 44 Requirements for the use of modified atmosphere treatments as phytosanitary measures (adopted in 2021)</w:t>
      </w:r>
    </w:p>
    <w:p w14:paraId="42EAA7D1" w14:textId="77777777" w:rsidR="00944FC9" w:rsidRPr="00413888" w:rsidRDefault="00944FC9" w:rsidP="00944FC9">
      <w:pPr>
        <w:pStyle w:val="ListParagraph"/>
        <w:widowControl/>
        <w:pBdr>
          <w:bottom w:val="single" w:sz="6" w:space="0" w:color="EEEEEE"/>
        </w:pBdr>
        <w:shd w:val="clear" w:color="auto" w:fill="FFFFFF"/>
        <w:ind w:left="360" w:firstLineChars="0" w:firstLine="0"/>
        <w:contextualSpacing/>
        <w:jc w:val="left"/>
        <w:rPr>
          <w:rStyle w:val="Heading2Char"/>
          <w:b w:val="0"/>
          <w:snapToGrid/>
          <w:color w:val="auto"/>
          <w:sz w:val="22"/>
          <w:lang w:val="en-US"/>
        </w:rPr>
      </w:pPr>
      <w:bookmarkStart w:id="412" w:name="_Toc34276799"/>
      <w:bookmarkStart w:id="413" w:name="_Toc34363034"/>
      <w:bookmarkStart w:id="414" w:name="_Toc38555049"/>
      <w:bookmarkStart w:id="415" w:name="_Toc39926396"/>
      <w:bookmarkStart w:id="416" w:name="_Toc40696066"/>
    </w:p>
    <w:p w14:paraId="3F34DCAF" w14:textId="77777777" w:rsidR="00944FC9" w:rsidRPr="00413888" w:rsidRDefault="00944FC9" w:rsidP="00944FC9">
      <w:pPr>
        <w:pBdr>
          <w:bottom w:val="single" w:sz="6" w:space="0" w:color="EEEEEE"/>
        </w:pBdr>
        <w:shd w:val="clear" w:color="auto" w:fill="FFFFFF"/>
        <w:contextualSpacing/>
        <w:rPr>
          <w:rStyle w:val="Heading2Char"/>
          <w:b w:val="0"/>
          <w:snapToGrid/>
          <w:color w:val="auto"/>
          <w:sz w:val="22"/>
          <w:szCs w:val="22"/>
          <w:lang w:val="en-US"/>
        </w:rPr>
      </w:pPr>
      <w:r w:rsidRPr="00413888">
        <w:rPr>
          <w:rStyle w:val="Heading2Char"/>
          <w:b w:val="0"/>
          <w:sz w:val="22"/>
          <w:szCs w:val="22"/>
        </w:rPr>
        <w:t>In addition, MBTOC continues to support IPPC’s “Recommendation on replacement or reduction of the use of methyl bromide as a phytosanitary measure” (IPPC 2008, published 2017).</w:t>
      </w:r>
    </w:p>
    <w:p w14:paraId="6A0304A8" w14:textId="3136E84F" w:rsidR="00944FC9" w:rsidRPr="00997ECA" w:rsidRDefault="00944FC9" w:rsidP="003E4636">
      <w:pPr>
        <w:pStyle w:val="Heading2"/>
        <w:rPr>
          <w:rStyle w:val="Heading2Char"/>
          <w:rFonts w:cs="Times New Roman"/>
          <w:b/>
          <w:snapToGrid w:val="0"/>
          <w:szCs w:val="20"/>
        </w:rPr>
      </w:pPr>
      <w:bookmarkStart w:id="417" w:name="_Toc77868898"/>
      <w:bookmarkStart w:id="418" w:name="_Toc78040731"/>
      <w:bookmarkStart w:id="419" w:name="_Toc79066537"/>
      <w:bookmarkStart w:id="420" w:name="_Toc79069714"/>
      <w:bookmarkStart w:id="421" w:name="_Toc104396699"/>
      <w:r>
        <w:rPr>
          <w:rStyle w:val="Heading2Char"/>
          <w:b/>
        </w:rPr>
        <w:lastRenderedPageBreak/>
        <w:t>5</w:t>
      </w:r>
      <w:r w:rsidRPr="00997ECA">
        <w:rPr>
          <w:rStyle w:val="Heading2Char"/>
          <w:b/>
        </w:rPr>
        <w:t>.6</w:t>
      </w:r>
      <w:r w:rsidRPr="00997ECA">
        <w:rPr>
          <w:rStyle w:val="Heading2Char"/>
          <w:b/>
        </w:rPr>
        <w:tab/>
        <w:t>Other issues</w:t>
      </w:r>
      <w:bookmarkEnd w:id="412"/>
      <w:bookmarkEnd w:id="413"/>
      <w:bookmarkEnd w:id="414"/>
      <w:bookmarkEnd w:id="415"/>
      <w:bookmarkEnd w:id="416"/>
      <w:bookmarkEnd w:id="417"/>
      <w:bookmarkEnd w:id="418"/>
      <w:bookmarkEnd w:id="419"/>
      <w:bookmarkEnd w:id="420"/>
      <w:bookmarkEnd w:id="421"/>
    </w:p>
    <w:p w14:paraId="12174D73" w14:textId="77777777" w:rsidR="00944FC9" w:rsidRPr="00821BBC" w:rsidRDefault="00944FC9" w:rsidP="00821BBC">
      <w:pPr>
        <w:pStyle w:val="Heading2"/>
        <w:rPr>
          <w:rStyle w:val="Heading311ptBoldChar"/>
          <w:sz w:val="24"/>
        </w:rPr>
      </w:pPr>
      <w:bookmarkStart w:id="422" w:name="_Toc104396700"/>
      <w:bookmarkStart w:id="423" w:name="_Toc39926397"/>
      <w:bookmarkStart w:id="424" w:name="_Toc40696067"/>
      <w:bookmarkStart w:id="425" w:name="_Toc77868899"/>
      <w:bookmarkStart w:id="426" w:name="_Toc78040732"/>
      <w:bookmarkStart w:id="427" w:name="_Toc79066538"/>
      <w:bookmarkStart w:id="428" w:name="_Toc79069715"/>
      <w:bookmarkStart w:id="429" w:name="_Toc34276800"/>
      <w:bookmarkStart w:id="430" w:name="_Toc34363035"/>
      <w:bookmarkStart w:id="431" w:name="_Toc38555050"/>
      <w:r w:rsidRPr="00B04360">
        <w:rPr>
          <w:rStyle w:val="Heading311ptBoldChar"/>
          <w:b/>
          <w:sz w:val="24"/>
        </w:rPr>
        <w:t>5.6.1</w:t>
      </w:r>
      <w:r w:rsidRPr="00B04360">
        <w:rPr>
          <w:rStyle w:val="Heading311ptBoldChar"/>
          <w:b/>
          <w:sz w:val="24"/>
        </w:rPr>
        <w:tab/>
        <w:t xml:space="preserve"> </w:t>
      </w:r>
      <w:r w:rsidRPr="00821BBC">
        <w:rPr>
          <w:rStyle w:val="Heading311ptBoldChar"/>
          <w:sz w:val="24"/>
        </w:rPr>
        <w:t>International trade treated with MB</w:t>
      </w:r>
      <w:bookmarkEnd w:id="422"/>
    </w:p>
    <w:p w14:paraId="2302F6DE" w14:textId="12393F59" w:rsidR="00944FC9" w:rsidRPr="00905ABD" w:rsidRDefault="00944FC9" w:rsidP="00944FC9">
      <w:r w:rsidRPr="00B02B89">
        <w:t xml:space="preserve">MBTOC is aware that the Ministry of Food Security and Research of Pakistan </w:t>
      </w:r>
      <w:r>
        <w:t>i</w:t>
      </w:r>
      <w:r w:rsidRPr="00B02B89">
        <w:t>s initiat</w:t>
      </w:r>
      <w:r>
        <w:t>ing</w:t>
      </w:r>
      <w:r w:rsidRPr="00B02B89">
        <w:t xml:space="preserve"> an inquiry on the single importer of MB which is also the sole distributor and fumigator. The ministry has constituted a committee, which was mandated to in</w:t>
      </w:r>
      <w:r>
        <w:t>vestigate</w:t>
      </w:r>
      <w:r w:rsidRPr="00B02B89">
        <w:t xml:space="preserve"> the controversy over </w:t>
      </w:r>
      <w:r>
        <w:t xml:space="preserve">MB </w:t>
      </w:r>
      <w:r w:rsidRPr="00B02B89">
        <w:t>import</w:t>
      </w:r>
      <w:r>
        <w:t>s</w:t>
      </w:r>
      <w:r w:rsidRPr="00B02B89">
        <w:t xml:space="preserve"> and the monopoly exist</w:t>
      </w:r>
      <w:r>
        <w:t>ing</w:t>
      </w:r>
      <w:r w:rsidRPr="00B02B89">
        <w:t xml:space="preserve"> in this s</w:t>
      </w:r>
      <w:r>
        <w:t>ector</w:t>
      </w:r>
      <w:r w:rsidRPr="00B02B89">
        <w:t xml:space="preserve"> and fix responsibility for any wrongdoing that may have occurred in the past. MBTOC hopes that this enquiry results in better awareness and reporting of MB use (Pakistan </w:t>
      </w:r>
      <w:r>
        <w:t>T</w:t>
      </w:r>
      <w:r w:rsidRPr="00B02B89">
        <w:t>oday, 2022).</w:t>
      </w:r>
      <w:r w:rsidRPr="00B02B89" w:rsidDel="00333823">
        <w:t xml:space="preserve"> </w:t>
      </w:r>
    </w:p>
    <w:p w14:paraId="43C55E11" w14:textId="77777777" w:rsidR="00944FC9" w:rsidRPr="00905ABD" w:rsidRDefault="00944FC9" w:rsidP="00944FC9">
      <w:pPr>
        <w:spacing w:before="100" w:beforeAutospacing="1" w:after="100" w:afterAutospacing="1"/>
      </w:pPr>
      <w:r w:rsidRPr="00905ABD">
        <w:t>India and Canada have agreed to lift the MB fumigation requirement for the Canadian pulse export to India while a systems approach is being worked out. This measure will potentially reduce MB treatments of pulses on arrival substantially.</w:t>
      </w:r>
    </w:p>
    <w:p w14:paraId="05B68D98" w14:textId="77777777" w:rsidR="00944FC9" w:rsidRPr="00905ABD" w:rsidRDefault="00944FC9" w:rsidP="00944FC9">
      <w:r w:rsidRPr="00905ABD">
        <w:rPr>
          <w:rStyle w:val="Heading311ptBoldChar"/>
          <w:b w:val="0"/>
          <w:i w:val="0"/>
          <w:sz w:val="24"/>
        </w:rPr>
        <w:t xml:space="preserve">MBTOC further notes that some parties do not report MB consumption and yet have certified MB fumigators to enable the import of grain exports. For example, Lao PDR exporting to Australia: </w:t>
      </w:r>
      <w:hyperlink r:id="rId50" w:history="1">
        <w:r w:rsidRPr="00333823">
          <w:rPr>
            <w:rStyle w:val="Hyperlink"/>
          </w:rPr>
          <w:t>lao-pdr_1.pdf (awe.gov.au)</w:t>
        </w:r>
      </w:hyperlink>
      <w:r w:rsidRPr="00905ABD">
        <w:t xml:space="preserve">. Tonga on its part, fumigates watermelons destined for New Zealand with MB, but does not report any consumption. </w:t>
      </w:r>
    </w:p>
    <w:p w14:paraId="4762A469" w14:textId="77777777" w:rsidR="00944FC9" w:rsidRPr="00E537F1" w:rsidRDefault="00944FC9" w:rsidP="003E4636">
      <w:pPr>
        <w:pStyle w:val="Heading2"/>
        <w:rPr>
          <w:rStyle w:val="Heading311ptBoldChar"/>
          <w:rFonts w:cs="Times New Roman"/>
          <w:b/>
          <w:snapToGrid/>
          <w:color w:val="000000"/>
          <w:sz w:val="24"/>
          <w:szCs w:val="20"/>
          <w:lang w:val="en-GB" w:eastAsia="zh-CN"/>
        </w:rPr>
      </w:pPr>
      <w:bookmarkStart w:id="432" w:name="_Toc39926399"/>
      <w:bookmarkStart w:id="433" w:name="_Toc40696068"/>
      <w:bookmarkStart w:id="434" w:name="_Toc77868900"/>
      <w:bookmarkStart w:id="435" w:name="_Toc78040733"/>
      <w:bookmarkStart w:id="436" w:name="_Toc79066539"/>
      <w:bookmarkStart w:id="437" w:name="_Toc79069716"/>
      <w:bookmarkStart w:id="438" w:name="_Toc104396701"/>
      <w:bookmarkEnd w:id="423"/>
      <w:bookmarkEnd w:id="424"/>
      <w:bookmarkEnd w:id="425"/>
      <w:bookmarkEnd w:id="426"/>
      <w:bookmarkEnd w:id="427"/>
      <w:bookmarkEnd w:id="428"/>
      <w:bookmarkEnd w:id="429"/>
      <w:bookmarkEnd w:id="430"/>
      <w:bookmarkEnd w:id="431"/>
      <w:r w:rsidRPr="00E537F1">
        <w:rPr>
          <w:rStyle w:val="Heading311ptBoldChar"/>
          <w:b/>
          <w:sz w:val="24"/>
        </w:rPr>
        <w:t>5.6.2</w:t>
      </w:r>
      <w:r>
        <w:rPr>
          <w:rStyle w:val="Heading311ptBoldChar"/>
          <w:b/>
          <w:sz w:val="24"/>
        </w:rPr>
        <w:tab/>
      </w:r>
      <w:r w:rsidRPr="00E537F1">
        <w:rPr>
          <w:rStyle w:val="Heading311ptBoldChar"/>
          <w:b/>
          <w:sz w:val="24"/>
        </w:rPr>
        <w:tab/>
        <w:t>Post-harvest use for cured hams</w:t>
      </w:r>
      <w:bookmarkEnd w:id="432"/>
      <w:bookmarkEnd w:id="433"/>
      <w:bookmarkEnd w:id="434"/>
      <w:bookmarkEnd w:id="435"/>
      <w:bookmarkEnd w:id="436"/>
      <w:bookmarkEnd w:id="437"/>
      <w:bookmarkEnd w:id="438"/>
    </w:p>
    <w:p w14:paraId="2E4A1FB8" w14:textId="48AF44A3" w:rsidR="00944FC9" w:rsidRPr="00905ABD" w:rsidRDefault="00944FC9" w:rsidP="00944FC9">
      <w:pPr>
        <w:contextualSpacing/>
      </w:pPr>
      <w:r w:rsidRPr="00905ABD">
        <w:t>Methyl bromide is still used on stored ham in the United States, although no CUE has been applied for or granted since 2016;</w:t>
      </w:r>
      <w:r w:rsidRPr="00905ABD">
        <w:rPr>
          <w:color w:val="FF0000"/>
        </w:rPr>
        <w:t xml:space="preserve"> </w:t>
      </w:r>
      <w:r w:rsidRPr="00905ABD">
        <w:t>the use is small</w:t>
      </w:r>
      <w:r>
        <w:t xml:space="preserve"> (less than 2 tonnes)</w:t>
      </w:r>
      <w:r w:rsidRPr="00905ABD">
        <w:t xml:space="preserve"> and drawn from limited stock.</w:t>
      </w:r>
      <w:r>
        <w:t xml:space="preserve"> </w:t>
      </w:r>
      <w:r w:rsidRPr="00905ABD">
        <w:t>An alternative method is to use protective netting treated with polypropylene glycol (</w:t>
      </w:r>
      <w:proofErr w:type="spellStart"/>
      <w:r w:rsidRPr="00905ABD">
        <w:t>Zettler</w:t>
      </w:r>
      <w:proofErr w:type="spellEnd"/>
      <w:r w:rsidRPr="00905ABD">
        <w:t xml:space="preserve"> </w:t>
      </w:r>
      <w:r w:rsidRPr="00905ABD">
        <w:rPr>
          <w:i/>
        </w:rPr>
        <w:t>et al.,</w:t>
      </w:r>
      <w:r w:rsidRPr="00905ABD">
        <w:t xml:space="preserve"> 2001), which is awaiting approval from the U.S. Department of Agriculture (USDA). The industry cannot use SF because control of mite eggs is only achieved by increasing the exposure amount to levels which affect ham quality and which leave unsafe residues (Zhang </w:t>
      </w:r>
      <w:r w:rsidRPr="00905ABD">
        <w:rPr>
          <w:i/>
        </w:rPr>
        <w:t>et al.,</w:t>
      </w:r>
      <w:r w:rsidRPr="00905ABD">
        <w:t xml:space="preserve"> 2017).</w:t>
      </w:r>
    </w:p>
    <w:p w14:paraId="6CAFABEF" w14:textId="77777777" w:rsidR="00944FC9" w:rsidRPr="00905ABD" w:rsidRDefault="00944FC9" w:rsidP="00944FC9">
      <w:pPr>
        <w:contextualSpacing/>
      </w:pPr>
    </w:p>
    <w:p w14:paraId="2A63E4B7" w14:textId="77777777" w:rsidR="00944FC9" w:rsidRPr="00905ABD" w:rsidRDefault="00944FC9" w:rsidP="00944FC9">
      <w:pPr>
        <w:contextualSpacing/>
        <w:rPr>
          <w:szCs w:val="22"/>
        </w:rPr>
      </w:pPr>
      <w:r w:rsidRPr="00333823">
        <w:t xml:space="preserve">Research on alternatives for this use continues and includes phosphine </w:t>
      </w:r>
      <w:r>
        <w:t xml:space="preserve">(with </w:t>
      </w:r>
      <w:r w:rsidRPr="00333823">
        <w:t>resistance management</w:t>
      </w:r>
      <w:r>
        <w:t>)</w:t>
      </w:r>
      <w:r w:rsidRPr="00333823">
        <w:t>, establishing efficacy and experimental criteri</w:t>
      </w:r>
      <w:r>
        <w:t>a</w:t>
      </w:r>
      <w:r w:rsidRPr="00333823">
        <w:t xml:space="preserve"> for quarantine applications, and the development of models to quantitatively understand the underpinnings of fumigations and related phytosanitary treatments (</w:t>
      </w:r>
      <w:proofErr w:type="spellStart"/>
      <w:r w:rsidRPr="00333823">
        <w:t>Walse</w:t>
      </w:r>
      <w:proofErr w:type="spellEnd"/>
      <w:r w:rsidRPr="00333823">
        <w:t xml:space="preserve"> </w:t>
      </w:r>
      <w:r w:rsidRPr="00333823">
        <w:rPr>
          <w:i/>
        </w:rPr>
        <w:t>et al.</w:t>
      </w:r>
      <w:r w:rsidRPr="00333823">
        <w:t>, 2018).</w:t>
      </w:r>
      <w:r>
        <w:t xml:space="preserve"> </w:t>
      </w:r>
      <w:r w:rsidRPr="00333823">
        <w:t xml:space="preserve">Very recent studies </w:t>
      </w:r>
      <w:r>
        <w:t>(</w:t>
      </w:r>
      <w:r w:rsidRPr="00905ABD">
        <w:t xml:space="preserve">Yang </w:t>
      </w:r>
      <w:r w:rsidRPr="00905ABD">
        <w:rPr>
          <w:i/>
        </w:rPr>
        <w:t>et al</w:t>
      </w:r>
      <w:r w:rsidRPr="00905ABD">
        <w:t>. 2022)</w:t>
      </w:r>
      <w:r w:rsidRPr="00333823">
        <w:t>,</w:t>
      </w:r>
      <w:r w:rsidRPr="00905ABD">
        <w:t xml:space="preserve"> show that nitric oxide </w:t>
      </w:r>
      <w:r>
        <w:t>i</w:t>
      </w:r>
      <w:r w:rsidRPr="00905ABD">
        <w:t>s effective against all mite stages and 100</w:t>
      </w:r>
      <w:r>
        <w:t>%</w:t>
      </w:r>
      <w:r w:rsidRPr="00905ABD">
        <w:t xml:space="preserve"> control was achieved on ham.</w:t>
      </w:r>
      <w:r w:rsidRPr="00333823">
        <w:t xml:space="preserve"> </w:t>
      </w:r>
    </w:p>
    <w:p w14:paraId="554A01BE" w14:textId="227AF88A" w:rsidR="00944FC9" w:rsidRPr="00413888" w:rsidRDefault="00944FC9" w:rsidP="003E4636">
      <w:pPr>
        <w:pStyle w:val="Heading2"/>
      </w:pPr>
      <w:bookmarkStart w:id="439" w:name="_Toc34276802"/>
      <w:bookmarkStart w:id="440" w:name="_Toc34363037"/>
      <w:bookmarkStart w:id="441" w:name="_Toc38555052"/>
      <w:bookmarkStart w:id="442" w:name="_Toc39926401"/>
      <w:bookmarkStart w:id="443" w:name="_Toc40696070"/>
      <w:bookmarkStart w:id="444" w:name="_Toc77868902"/>
      <w:bookmarkStart w:id="445" w:name="_Toc78040735"/>
      <w:bookmarkStart w:id="446" w:name="_Toc79066541"/>
      <w:bookmarkStart w:id="447" w:name="_Toc79069718"/>
      <w:bookmarkStart w:id="448" w:name="_Toc104396702"/>
      <w:r w:rsidRPr="00E537F1">
        <w:rPr>
          <w:rStyle w:val="Heading311ptBoldChar"/>
          <w:b/>
          <w:sz w:val="24"/>
        </w:rPr>
        <w:t>5.6.3</w:t>
      </w:r>
      <w:r w:rsidRPr="00E537F1">
        <w:rPr>
          <w:rStyle w:val="Heading311ptBoldChar"/>
          <w:b/>
          <w:sz w:val="24"/>
        </w:rPr>
        <w:tab/>
        <w:t xml:space="preserve">Sulfuryl fluoride and its </w:t>
      </w:r>
      <w:bookmarkEnd w:id="439"/>
      <w:bookmarkEnd w:id="440"/>
      <w:bookmarkEnd w:id="441"/>
      <w:r w:rsidRPr="00E537F1">
        <w:rPr>
          <w:rStyle w:val="Heading311ptBoldChar"/>
          <w:b/>
          <w:sz w:val="24"/>
        </w:rPr>
        <w:t>GWP</w:t>
      </w:r>
      <w:bookmarkEnd w:id="442"/>
      <w:bookmarkEnd w:id="443"/>
      <w:bookmarkEnd w:id="444"/>
      <w:bookmarkEnd w:id="445"/>
      <w:bookmarkEnd w:id="446"/>
      <w:bookmarkEnd w:id="447"/>
      <w:bookmarkEnd w:id="448"/>
    </w:p>
    <w:p w14:paraId="7568151E" w14:textId="346CFBE6" w:rsidR="00944FC9" w:rsidRPr="00905ABD" w:rsidRDefault="00944FC9" w:rsidP="00413888">
      <w:pPr>
        <w:shd w:val="clear" w:color="auto" w:fill="FFFFFF"/>
      </w:pPr>
      <w:r w:rsidRPr="00905ABD">
        <w:t>SF is widely adopted around the world as an alternative to MB for disinfestation of structures. Its registration and commercial adoption occurred in the 1990s and continued for many years until it was made available in many countries. SF is a key alternative to MB for treatment of empty structures such as flour mills and food and feed processing premises, particularly buildings larger than 40,000 m³, where heat treatment is not an option due to logistic reasons. Its use around the world is extensive. For example, Germany alone uses about 200 t of SF which replaces controlled as well as QPS uses of MB.</w:t>
      </w:r>
    </w:p>
    <w:p w14:paraId="34FF0CB2" w14:textId="629D97CE" w:rsidR="00944FC9" w:rsidRPr="00905ABD" w:rsidRDefault="00944FC9" w:rsidP="00944FC9">
      <w:pPr>
        <w:autoSpaceDE w:val="0"/>
        <w:autoSpaceDN w:val="0"/>
        <w:adjustRightInd w:val="0"/>
      </w:pPr>
      <w:r>
        <w:t>T</w:t>
      </w:r>
      <w:r w:rsidRPr="00905ABD">
        <w:t>here is growing concern about SF use due to its high global warming potential (GWP), which puts the continuity of its registration at risk (</w:t>
      </w:r>
      <w:proofErr w:type="spellStart"/>
      <w:r w:rsidRPr="00905ABD">
        <w:t>Gressent</w:t>
      </w:r>
      <w:proofErr w:type="spellEnd"/>
      <w:r w:rsidRPr="00905ABD">
        <w:t xml:space="preserve"> </w:t>
      </w:r>
      <w:r w:rsidRPr="00905ABD">
        <w:rPr>
          <w:i/>
        </w:rPr>
        <w:t>et al</w:t>
      </w:r>
      <w:r w:rsidRPr="00905ABD">
        <w:t xml:space="preserve">., 2021; Miller </w:t>
      </w:r>
      <w:r w:rsidRPr="00905ABD">
        <w:rPr>
          <w:i/>
        </w:rPr>
        <w:t>et al</w:t>
      </w:r>
      <w:r w:rsidRPr="00905ABD">
        <w:t xml:space="preserve">., 2017; Reimann </w:t>
      </w:r>
      <w:r w:rsidRPr="00905ABD">
        <w:rPr>
          <w:i/>
        </w:rPr>
        <w:t>et al</w:t>
      </w:r>
      <w:r w:rsidRPr="00905ABD">
        <w:t xml:space="preserve">., 2015, Dillon </w:t>
      </w:r>
      <w:r w:rsidRPr="00905ABD">
        <w:rPr>
          <w:i/>
        </w:rPr>
        <w:t>et al.,</w:t>
      </w:r>
      <w:r w:rsidRPr="00905ABD">
        <w:t xml:space="preserve"> 2008). The 20year GWP value of SF is reported at 7510 (IPCC, 2021). The IPPC states that, although the contribution of SF to ERF (Effective Radiative Forcing) is small, the atmospheric abundance of SF reached 2.5 ppt in 2019, which is a 46% increase from the value recorded in 2011.</w:t>
      </w:r>
      <w:r w:rsidR="005617DE">
        <w:t xml:space="preserve"> </w:t>
      </w:r>
    </w:p>
    <w:p w14:paraId="3796D89D" w14:textId="77777777" w:rsidR="00944FC9" w:rsidRPr="00905ABD" w:rsidRDefault="00944FC9" w:rsidP="00944FC9">
      <w:pPr>
        <w:autoSpaceDE w:val="0"/>
        <w:autoSpaceDN w:val="0"/>
        <w:adjustRightInd w:val="0"/>
      </w:pPr>
    </w:p>
    <w:p w14:paraId="07760798" w14:textId="5408754E" w:rsidR="00944FC9" w:rsidRPr="00905ABD" w:rsidRDefault="00944FC9" w:rsidP="00944FC9">
      <w:pPr>
        <w:autoSpaceDE w:val="0"/>
        <w:autoSpaceDN w:val="0"/>
        <w:adjustRightInd w:val="0"/>
      </w:pPr>
      <w:proofErr w:type="spellStart"/>
      <w:r w:rsidRPr="00905ABD">
        <w:lastRenderedPageBreak/>
        <w:t>Gressent</w:t>
      </w:r>
      <w:proofErr w:type="spellEnd"/>
      <w:r w:rsidRPr="00905ABD">
        <w:t xml:space="preserve"> </w:t>
      </w:r>
      <w:r w:rsidRPr="00905ABD">
        <w:rPr>
          <w:i/>
        </w:rPr>
        <w:t>et al</w:t>
      </w:r>
      <w:r w:rsidRPr="00905ABD">
        <w:t xml:space="preserve"> (2021) have used atmospheric observations from the Advanced Global Atmospheric Gases Experiment (AGAGE) to show that global emissions of SF increased from close to zero in the early 1980s to </w:t>
      </w:r>
      <w:r w:rsidRPr="00905ABD">
        <w:rPr>
          <w:rFonts w:ascii="Cambria Math" w:hAnsi="Cambria Math" w:cs="Cambria Math"/>
        </w:rPr>
        <w:t>∼</w:t>
      </w:r>
      <w:r w:rsidRPr="00905ABD">
        <w:t xml:space="preserve">2.4 Gg yr−1 in 2019. They report that the primary source of these global emissions in 2019 was structural fumigation in North America, but that the increase over the last two decades has also been driven by the growing use of SF in postharvest treatment of crops in many countries around the world. </w:t>
      </w:r>
    </w:p>
    <w:p w14:paraId="560E155A" w14:textId="7F0CF49A" w:rsidR="00944FC9" w:rsidRPr="00905ABD" w:rsidRDefault="00944FC9" w:rsidP="00944FC9">
      <w:pPr>
        <w:autoSpaceDE w:val="0"/>
        <w:autoSpaceDN w:val="0"/>
        <w:adjustRightInd w:val="0"/>
      </w:pPr>
      <w:r w:rsidRPr="00905ABD">
        <w:t xml:space="preserve">In the EU, there are preliminary indications </w:t>
      </w:r>
      <w:r>
        <w:t>SF registration and use</w:t>
      </w:r>
      <w:r w:rsidRPr="00905ABD">
        <w:t xml:space="preserve"> may be</w:t>
      </w:r>
      <w:r>
        <w:t>come</w:t>
      </w:r>
      <w:r w:rsidRPr="00905ABD">
        <w:t xml:space="preserve"> complicated due to GWP issues.</w:t>
      </w:r>
      <w:r w:rsidR="005617DE">
        <w:t xml:space="preserve"> </w:t>
      </w:r>
      <w:r w:rsidRPr="00905ABD">
        <w:t>Due to its wide adoption as an alternative to MB for disinfestation of structures, deregistration of SF would create significant disruption in pest control strategies. Recapture and other technologies to reduce emissions could be considered to reduce its negative effects as correlated to its high GWP.</w:t>
      </w:r>
      <w:r>
        <w:t xml:space="preserve"> </w:t>
      </w:r>
      <w:r w:rsidRPr="00905ABD">
        <w:t>The Department of Civil and Environmental Engineering</w:t>
      </w:r>
      <w:r>
        <w:t xml:space="preserve"> at</w:t>
      </w:r>
      <w:r w:rsidRPr="00905ABD">
        <w:t xml:space="preserve"> Stanford University</w:t>
      </w:r>
      <w:r>
        <w:t>, USA</w:t>
      </w:r>
      <w:r w:rsidRPr="00905ABD">
        <w:t xml:space="preserve"> is working on capturing SF on activated carbon and destruction by electrochemical treatment (M</w:t>
      </w:r>
      <w:r>
        <w:t>itch,</w:t>
      </w:r>
      <w:r w:rsidRPr="00905ABD">
        <w:t xml:space="preserve"> 2020).</w:t>
      </w:r>
    </w:p>
    <w:p w14:paraId="7556144E" w14:textId="52D59339" w:rsidR="00944FC9" w:rsidRPr="00905ABD" w:rsidRDefault="00944FC9" w:rsidP="003E4636">
      <w:pPr>
        <w:pStyle w:val="Heading2"/>
        <w:rPr>
          <w:rStyle w:val="Heading311ptBoldChar"/>
          <w:rFonts w:cs="Times New Roman"/>
          <w:b/>
          <w:snapToGrid/>
          <w:color w:val="000000"/>
          <w:sz w:val="24"/>
          <w:szCs w:val="20"/>
          <w:lang w:val="en-GB" w:eastAsia="zh-CN"/>
        </w:rPr>
      </w:pPr>
      <w:bookmarkStart w:id="449" w:name="_Toc34276804"/>
      <w:bookmarkStart w:id="450" w:name="_Toc34363039"/>
      <w:bookmarkStart w:id="451" w:name="_Toc38555053"/>
      <w:bookmarkStart w:id="452" w:name="_Toc39926402"/>
      <w:bookmarkStart w:id="453" w:name="_Toc40696071"/>
      <w:bookmarkStart w:id="454" w:name="_Toc77868903"/>
      <w:bookmarkStart w:id="455" w:name="_Toc78040736"/>
      <w:bookmarkStart w:id="456" w:name="_Toc79066542"/>
      <w:bookmarkStart w:id="457" w:name="_Toc79069719"/>
      <w:bookmarkStart w:id="458" w:name="_Toc104396703"/>
      <w:r w:rsidRPr="00905ABD">
        <w:rPr>
          <w:rStyle w:val="Heading311ptBoldChar"/>
          <w:rFonts w:cs="Times New Roman"/>
          <w:b/>
          <w:sz w:val="24"/>
        </w:rPr>
        <w:t>5.6.</w:t>
      </w:r>
      <w:r>
        <w:rPr>
          <w:rStyle w:val="Heading311ptBoldChar"/>
          <w:rFonts w:cs="Times New Roman"/>
          <w:b/>
          <w:sz w:val="24"/>
        </w:rPr>
        <w:t>4</w:t>
      </w:r>
      <w:r w:rsidRPr="00905ABD">
        <w:rPr>
          <w:rStyle w:val="Heading311ptBoldChar"/>
          <w:rFonts w:cs="Times New Roman"/>
          <w:b/>
          <w:sz w:val="24"/>
        </w:rPr>
        <w:tab/>
        <w:t>Reporting of methyl bromide stocks and their uses</w:t>
      </w:r>
      <w:bookmarkEnd w:id="449"/>
      <w:bookmarkEnd w:id="450"/>
      <w:bookmarkEnd w:id="451"/>
      <w:bookmarkEnd w:id="452"/>
      <w:bookmarkEnd w:id="453"/>
      <w:bookmarkEnd w:id="454"/>
      <w:bookmarkEnd w:id="455"/>
      <w:bookmarkEnd w:id="456"/>
      <w:bookmarkEnd w:id="457"/>
      <w:bookmarkEnd w:id="458"/>
    </w:p>
    <w:p w14:paraId="0255E2C9" w14:textId="1B81F91B" w:rsidR="00944FC9" w:rsidRPr="00905ABD" w:rsidRDefault="00944FC9" w:rsidP="00944FC9">
      <w:pPr>
        <w:shd w:val="clear" w:color="auto" w:fill="FFFFFF"/>
        <w:rPr>
          <w:lang w:eastAsia="fr-FR"/>
        </w:rPr>
      </w:pPr>
      <w:r w:rsidRPr="00905ABD">
        <w:rPr>
          <w:lang w:eastAsia="fr-FR"/>
        </w:rPr>
        <w:t xml:space="preserve">MBTOC is concerned that confusion can exist over how stocks of methyl bromide are reported by countries for production and consumption for controlled non-QPS uses and </w:t>
      </w:r>
      <w:r>
        <w:rPr>
          <w:lang w:eastAsia="fr-FR"/>
        </w:rPr>
        <w:t xml:space="preserve">exempted </w:t>
      </w:r>
      <w:r w:rsidRPr="00905ABD">
        <w:rPr>
          <w:lang w:eastAsia="fr-FR"/>
        </w:rPr>
        <w:t xml:space="preserve">QPS uses. Although only three countries </w:t>
      </w:r>
      <w:r>
        <w:rPr>
          <w:lang w:eastAsia="fr-FR"/>
        </w:rPr>
        <w:t>report</w:t>
      </w:r>
      <w:r w:rsidRPr="00905ABD">
        <w:rPr>
          <w:lang w:eastAsia="fr-FR"/>
        </w:rPr>
        <w:t xml:space="preserve"> MB</w:t>
      </w:r>
      <w:r>
        <w:rPr>
          <w:lang w:eastAsia="fr-FR"/>
        </w:rPr>
        <w:t xml:space="preserve"> production</w:t>
      </w:r>
      <w:r w:rsidRPr="00905ABD">
        <w:rPr>
          <w:lang w:eastAsia="fr-FR"/>
        </w:rPr>
        <w:t xml:space="preserve">, recent reporting information received under Article 7 data has been difficult to interpret against known uses. Information reported under Article 7 for MB consumption is even more confusing for sorting out how stockpiles are being used. </w:t>
      </w:r>
    </w:p>
    <w:p w14:paraId="33E9E29B" w14:textId="667DE64B" w:rsidR="00944FC9" w:rsidRPr="00BB48C4" w:rsidRDefault="005831E9" w:rsidP="003E4636">
      <w:pPr>
        <w:pStyle w:val="Heading2"/>
      </w:pPr>
      <w:bookmarkStart w:id="459" w:name="_Toc38555056"/>
      <w:bookmarkStart w:id="460" w:name="_Toc39926405"/>
      <w:bookmarkStart w:id="461" w:name="_Toc77868906"/>
      <w:bookmarkStart w:id="462" w:name="_Toc78040739"/>
      <w:bookmarkStart w:id="463" w:name="_Toc79066545"/>
      <w:bookmarkStart w:id="464" w:name="_Toc79069722"/>
      <w:r>
        <w:rPr>
          <w:rStyle w:val="Heading2Char"/>
          <w:b/>
          <w:lang w:val="en-US"/>
        </w:rPr>
        <w:t xml:space="preserve"> </w:t>
      </w:r>
      <w:bookmarkStart w:id="465" w:name="_Toc104396704"/>
      <w:r w:rsidR="00944FC9">
        <w:rPr>
          <w:rStyle w:val="Heading2Char"/>
          <w:b/>
          <w:lang w:val="en-US"/>
        </w:rPr>
        <w:t>5</w:t>
      </w:r>
      <w:r w:rsidR="00944FC9" w:rsidRPr="00997ECA">
        <w:rPr>
          <w:rStyle w:val="Heading2Char"/>
          <w:b/>
          <w:lang w:val="en-US"/>
        </w:rPr>
        <w:t>.</w:t>
      </w:r>
      <w:r w:rsidR="00E713C6">
        <w:rPr>
          <w:rStyle w:val="Heading2Char"/>
          <w:b/>
          <w:lang w:val="en-US"/>
        </w:rPr>
        <w:t>7</w:t>
      </w:r>
      <w:r w:rsidR="00944FC9" w:rsidRPr="00997ECA">
        <w:rPr>
          <w:rStyle w:val="Heading2Char"/>
          <w:b/>
          <w:lang w:val="en-US"/>
        </w:rPr>
        <w:tab/>
        <w:t>R</w:t>
      </w:r>
      <w:bookmarkEnd w:id="459"/>
      <w:bookmarkEnd w:id="460"/>
      <w:r w:rsidR="00944FC9" w:rsidRPr="00997ECA">
        <w:rPr>
          <w:rStyle w:val="Heading2Char"/>
          <w:b/>
          <w:lang w:val="en-US"/>
        </w:rPr>
        <w:t>eferences</w:t>
      </w:r>
      <w:bookmarkEnd w:id="461"/>
      <w:bookmarkEnd w:id="462"/>
      <w:bookmarkEnd w:id="463"/>
      <w:bookmarkEnd w:id="464"/>
      <w:bookmarkEnd w:id="465"/>
      <w:r w:rsidR="00944FC9">
        <w:rPr>
          <w:rStyle w:val="Heading2Char"/>
          <w:b/>
          <w:lang w:val="en-US"/>
        </w:rPr>
        <w:t xml:space="preserve"> </w:t>
      </w:r>
    </w:p>
    <w:p w14:paraId="2EA726E2" w14:textId="77777777" w:rsidR="00944FC9" w:rsidRPr="005B36CB" w:rsidRDefault="00944FC9" w:rsidP="00944FC9">
      <w:pPr>
        <w:pStyle w:val="Style15"/>
        <w:ind w:left="708" w:hangingChars="354" w:hanging="708"/>
        <w:rPr>
          <w:b w:val="0"/>
          <w:color w:val="FF0000"/>
          <w:lang w:val="en-US" w:eastAsia="ja-JP"/>
        </w:rPr>
      </w:pPr>
      <w:proofErr w:type="spellStart"/>
      <w:r w:rsidRPr="005B36CB">
        <w:rPr>
          <w:rFonts w:ascii="Garamond" w:hAnsi="Garamond"/>
          <w:b w:val="0"/>
          <w:color w:val="auto"/>
          <w:lang w:val="en-US" w:eastAsia="ja-JP"/>
        </w:rPr>
        <w:t>Agrafioti</w:t>
      </w:r>
      <w:proofErr w:type="spellEnd"/>
      <w:r w:rsidRPr="005B36CB">
        <w:rPr>
          <w:rFonts w:ascii="Garamond" w:hAnsi="Garamond"/>
          <w:b w:val="0"/>
          <w:color w:val="auto"/>
          <w:lang w:val="en-US" w:eastAsia="ja-JP"/>
        </w:rPr>
        <w:t xml:space="preserve">, P., </w:t>
      </w:r>
      <w:proofErr w:type="spellStart"/>
      <w:r w:rsidRPr="005B36CB">
        <w:rPr>
          <w:rFonts w:ascii="Garamond" w:hAnsi="Garamond"/>
          <w:b w:val="0"/>
          <w:color w:val="auto"/>
          <w:lang w:val="en-US" w:eastAsia="ja-JP"/>
        </w:rPr>
        <w:t>Brabec</w:t>
      </w:r>
      <w:proofErr w:type="spellEnd"/>
      <w:r w:rsidRPr="005B36CB">
        <w:rPr>
          <w:rFonts w:ascii="Garamond" w:hAnsi="Garamond"/>
          <w:b w:val="0"/>
          <w:color w:val="auto"/>
          <w:lang w:val="en-US" w:eastAsia="ja-JP"/>
        </w:rPr>
        <w:t xml:space="preserve">, D., L., Morrison III, W., R., Campbell, J. F., </w:t>
      </w:r>
      <w:proofErr w:type="spellStart"/>
      <w:r w:rsidRPr="005B36CB">
        <w:rPr>
          <w:rFonts w:ascii="Garamond" w:hAnsi="Garamond"/>
          <w:b w:val="0"/>
          <w:color w:val="auto"/>
          <w:lang w:val="en-US" w:eastAsia="ja-JP"/>
        </w:rPr>
        <w:t>Athanassiou</w:t>
      </w:r>
      <w:proofErr w:type="spellEnd"/>
      <w:r w:rsidRPr="005B36CB">
        <w:rPr>
          <w:rFonts w:ascii="Garamond" w:hAnsi="Garamond"/>
          <w:b w:val="0"/>
          <w:color w:val="auto"/>
          <w:lang w:val="en-US" w:eastAsia="ja-JP"/>
        </w:rPr>
        <w:t xml:space="preserve">, C. G., (2020). Scaling recovery of susceptible and resistant stored </w:t>
      </w:r>
      <w:proofErr w:type="spellStart"/>
      <w:r w:rsidRPr="005B36CB">
        <w:rPr>
          <w:rFonts w:ascii="Garamond" w:hAnsi="Garamond"/>
          <w:b w:val="0"/>
          <w:color w:val="auto"/>
          <w:lang w:val="en-US" w:eastAsia="ja-JP"/>
        </w:rPr>
        <w:t>producto</w:t>
      </w:r>
      <w:proofErr w:type="spellEnd"/>
      <w:r w:rsidRPr="005B36CB">
        <w:rPr>
          <w:rFonts w:ascii="Garamond" w:hAnsi="Garamond"/>
          <w:b w:val="0"/>
          <w:color w:val="auto"/>
          <w:lang w:val="en-US" w:eastAsia="ja-JP"/>
        </w:rPr>
        <w:t xml:space="preserve"> insects </w:t>
      </w:r>
      <w:proofErr w:type="spellStart"/>
      <w:r w:rsidRPr="005B36CB">
        <w:rPr>
          <w:rFonts w:ascii="Garamond" w:hAnsi="Garamond"/>
          <w:b w:val="0"/>
          <w:color w:val="auto"/>
          <w:lang w:val="en-US" w:eastAsia="ja-JP"/>
        </w:rPr>
        <w:t>afer</w:t>
      </w:r>
      <w:proofErr w:type="spellEnd"/>
      <w:r w:rsidRPr="005B36CB">
        <w:rPr>
          <w:rFonts w:ascii="Garamond" w:hAnsi="Garamond"/>
          <w:b w:val="0"/>
          <w:color w:val="auto"/>
          <w:lang w:val="en-US" w:eastAsia="ja-JP"/>
        </w:rPr>
        <w:t xml:space="preserve"> short exposures to phosphine by using automated video-tracking software. </w:t>
      </w:r>
      <w:r w:rsidRPr="005B36CB">
        <w:rPr>
          <w:rFonts w:ascii="Garamond" w:hAnsi="Garamond"/>
          <w:b w:val="0"/>
          <w:i/>
          <w:iCs/>
          <w:color w:val="auto"/>
          <w:lang w:val="en-US" w:eastAsia="ja-JP"/>
        </w:rPr>
        <w:t>Pest Management Science</w:t>
      </w:r>
      <w:r w:rsidRPr="005B36CB">
        <w:rPr>
          <w:rFonts w:ascii="Garamond" w:hAnsi="Garamond"/>
          <w:b w:val="0"/>
          <w:color w:val="auto"/>
          <w:lang w:val="en-US" w:eastAsia="ja-JP"/>
        </w:rPr>
        <w:t>, 77, 12145-1255. https://doi.org/10.1002/ps6135</w:t>
      </w:r>
      <w:r w:rsidRPr="005B36CB">
        <w:rPr>
          <w:b w:val="0"/>
          <w:color w:val="FF0000"/>
          <w:lang w:val="en-US" w:eastAsia="ja-JP"/>
        </w:rPr>
        <w:t>.</w:t>
      </w:r>
    </w:p>
    <w:p w14:paraId="5D8B7D06" w14:textId="77777777" w:rsidR="00944FC9" w:rsidRPr="00640866" w:rsidRDefault="00944FC9" w:rsidP="00944FC9">
      <w:pPr>
        <w:pStyle w:val="References"/>
        <w:jc w:val="left"/>
        <w:rPr>
          <w:shd w:val="clear" w:color="auto" w:fill="FFFFFF"/>
          <w:lang w:val="en-US"/>
        </w:rPr>
      </w:pPr>
      <w:r w:rsidRPr="007324D4">
        <w:t xml:space="preserve">Armstrong J and </w:t>
      </w:r>
      <w:proofErr w:type="spellStart"/>
      <w:r w:rsidRPr="007324D4">
        <w:t>Najar</w:t>
      </w:r>
      <w:proofErr w:type="spellEnd"/>
      <w:r w:rsidRPr="007324D4">
        <w:t xml:space="preserve">-Rodriguez A, (2019). Efficacy of </w:t>
      </w:r>
      <w:proofErr w:type="spellStart"/>
      <w:r w:rsidRPr="007324D4">
        <w:t>ethanedinitrile</w:t>
      </w:r>
      <w:proofErr w:type="spellEnd"/>
      <w:r w:rsidRPr="007324D4">
        <w:t xml:space="preserve"> (EDN) as a fumigant for export logs. Report prepared for Stakeholders in Methyl Bromide Reduction (</w:t>
      </w:r>
      <w:proofErr w:type="spellStart"/>
      <w:r w:rsidRPr="007324D4">
        <w:t>StiMBR</w:t>
      </w:r>
      <w:proofErr w:type="spellEnd"/>
      <w:r w:rsidRPr="007324D4">
        <w:t xml:space="preserve">). </w:t>
      </w:r>
    </w:p>
    <w:p w14:paraId="4B482F9D" w14:textId="77777777" w:rsidR="00944FC9" w:rsidRPr="00341535" w:rsidRDefault="00143903" w:rsidP="00944FC9">
      <w:pPr>
        <w:pStyle w:val="References"/>
        <w:jc w:val="left"/>
        <w:rPr>
          <w:color w:val="2E2E2E"/>
        </w:rPr>
      </w:pPr>
      <w:hyperlink r:id="rId51" w:anchor="!" w:history="1">
        <w:r w:rsidR="00944FC9" w:rsidRPr="00A71914">
          <w:rPr>
            <w:rStyle w:val="Hyperlink"/>
            <w:color w:val="auto"/>
            <w:u w:val="none"/>
            <w:lang w:val="en-US"/>
          </w:rPr>
          <w:t>Arora, S.,</w:t>
        </w:r>
        <w:r w:rsidR="00944FC9" w:rsidRPr="00A71914">
          <w:rPr>
            <w:rStyle w:val="apple-converted-space"/>
            <w:rFonts w:ascii="Garamond" w:hAnsi="Garamond"/>
            <w:lang w:val="en-US"/>
          </w:rPr>
          <w:t> </w:t>
        </w:r>
      </w:hyperlink>
      <w:bookmarkStart w:id="466" w:name="bau2"/>
      <w:bookmarkEnd w:id="466"/>
      <w:r w:rsidR="00944FC9" w:rsidRPr="00BB48C4">
        <w:fldChar w:fldCharType="begin"/>
      </w:r>
      <w:r w:rsidR="00944FC9" w:rsidRPr="00A71914">
        <w:rPr>
          <w:lang w:val="en-US"/>
        </w:rPr>
        <w:instrText xml:space="preserve"> HYPERLINK "https://www.sciencedirect.com/science/article/abs/pii/S0261219421000727?dgcid=raven_sd_via_email" \l "!" </w:instrText>
      </w:r>
      <w:r w:rsidR="00944FC9" w:rsidRPr="00BB48C4">
        <w:fldChar w:fldCharType="separate"/>
      </w:r>
      <w:r w:rsidR="00944FC9" w:rsidRPr="00A71914">
        <w:rPr>
          <w:rStyle w:val="Hyperlink"/>
          <w:color w:val="auto"/>
          <w:u w:val="none"/>
          <w:lang w:val="en-US"/>
        </w:rPr>
        <w:t>Stanley,</w:t>
      </w:r>
      <w:r w:rsidR="00944FC9" w:rsidRPr="00A71914">
        <w:rPr>
          <w:lang w:val="en-US"/>
        </w:rPr>
        <w:t xml:space="preserve"> </w:t>
      </w:r>
      <w:r w:rsidR="00944FC9" w:rsidRPr="00A71914">
        <w:rPr>
          <w:rStyle w:val="Hyperlink"/>
          <w:color w:val="auto"/>
          <w:u w:val="none"/>
          <w:lang w:val="en-US"/>
        </w:rPr>
        <w:t>J.,</w:t>
      </w:r>
      <w:r w:rsidR="00944FC9" w:rsidRPr="00A71914">
        <w:rPr>
          <w:rStyle w:val="apple-converted-space"/>
          <w:rFonts w:ascii="Garamond" w:hAnsi="Garamond"/>
          <w:lang w:val="en-US"/>
        </w:rPr>
        <w:t> </w:t>
      </w:r>
      <w:r w:rsidR="00944FC9" w:rsidRPr="00BB48C4">
        <w:fldChar w:fldCharType="end"/>
      </w:r>
      <w:bookmarkStart w:id="467" w:name="bau3"/>
      <w:bookmarkEnd w:id="467"/>
      <w:r w:rsidR="00944FC9" w:rsidRPr="00BB48C4">
        <w:fldChar w:fldCharType="begin"/>
      </w:r>
      <w:r w:rsidR="00944FC9" w:rsidRPr="00A71914">
        <w:rPr>
          <w:lang w:val="en-US"/>
        </w:rPr>
        <w:instrText xml:space="preserve"> HYPERLINK "https://www.sciencedirect.com/science/article/abs/pii/S0261219421000727?dgcid=raven_sd_via_email" \l "!" </w:instrText>
      </w:r>
      <w:r w:rsidR="00944FC9" w:rsidRPr="00BB48C4">
        <w:fldChar w:fldCharType="separate"/>
      </w:r>
      <w:r w:rsidR="00944FC9" w:rsidRPr="00A71914">
        <w:rPr>
          <w:rStyle w:val="Hyperlink"/>
          <w:color w:val="auto"/>
          <w:u w:val="none"/>
          <w:lang w:val="en-US"/>
        </w:rPr>
        <w:t>Srivastava, C. (2021).</w:t>
      </w:r>
      <w:r w:rsidR="00944FC9" w:rsidRPr="00A71914">
        <w:rPr>
          <w:rStyle w:val="apple-converted-space"/>
          <w:rFonts w:ascii="Garamond" w:hAnsi="Garamond"/>
          <w:lang w:val="en-US"/>
        </w:rPr>
        <w:t> </w:t>
      </w:r>
      <w:r w:rsidR="00944FC9" w:rsidRPr="00BB48C4">
        <w:fldChar w:fldCharType="end"/>
      </w:r>
      <w:r w:rsidR="00944FC9" w:rsidRPr="00BB48C4">
        <w:rPr>
          <w:color w:val="505050"/>
        </w:rPr>
        <w:t>Tempo</w:t>
      </w:r>
      <w:r w:rsidR="00944FC9" w:rsidRPr="00341535">
        <w:rPr>
          <w:color w:val="505050"/>
        </w:rPr>
        <w:t>ral dynamics of phosphine fumigation against insect pests in wheat storage,</w:t>
      </w:r>
      <w:r w:rsidR="00944FC9" w:rsidRPr="00341535">
        <w:rPr>
          <w:rStyle w:val="apple-converted-space"/>
          <w:rFonts w:ascii="Garamond" w:hAnsi="Garamond"/>
          <w:color w:val="505050"/>
        </w:rPr>
        <w:t> </w:t>
      </w:r>
      <w:r w:rsidR="00944FC9" w:rsidRPr="00341535">
        <w:rPr>
          <w:i/>
        </w:rPr>
        <w:t xml:space="preserve">Crop Protection </w:t>
      </w:r>
      <w:r w:rsidR="00944FC9" w:rsidRPr="00341535">
        <w:rPr>
          <w:color w:val="2E2E2E"/>
        </w:rPr>
        <w:t>144, June 2021(In press).</w:t>
      </w:r>
    </w:p>
    <w:p w14:paraId="2B576B1C" w14:textId="77777777" w:rsidR="00944FC9" w:rsidRPr="00341535" w:rsidRDefault="00944FC9" w:rsidP="00944FC9">
      <w:pPr>
        <w:pStyle w:val="References"/>
        <w:jc w:val="left"/>
      </w:pPr>
      <w:r w:rsidRPr="00341535">
        <w:rPr>
          <w:color w:val="000000"/>
          <w:shd w:val="clear" w:color="auto" w:fill="FFFFFF"/>
        </w:rPr>
        <w:t xml:space="preserve">Bergwerff, F. 2022. </w:t>
      </w:r>
      <w:proofErr w:type="spellStart"/>
      <w:r w:rsidRPr="00341535">
        <w:rPr>
          <w:color w:val="000000"/>
          <w:shd w:val="clear" w:color="auto" w:fill="FFFFFF"/>
        </w:rPr>
        <w:t>pers</w:t>
      </w:r>
      <w:proofErr w:type="spellEnd"/>
      <w:r w:rsidRPr="00341535">
        <w:rPr>
          <w:color w:val="000000"/>
          <w:shd w:val="clear" w:color="auto" w:fill="FFFFFF"/>
        </w:rPr>
        <w:t xml:space="preserve"> comm.</w:t>
      </w:r>
    </w:p>
    <w:p w14:paraId="53B4D92D" w14:textId="77777777" w:rsidR="00944FC9" w:rsidRPr="00341535" w:rsidRDefault="00944FC9" w:rsidP="00944FC9">
      <w:pPr>
        <w:pStyle w:val="References"/>
        <w:jc w:val="left"/>
        <w:rPr>
          <w:lang w:eastAsia="ja-JP"/>
        </w:rPr>
      </w:pPr>
      <w:r w:rsidRPr="00341535">
        <w:rPr>
          <w:lang w:eastAsia="ja-JP"/>
        </w:rPr>
        <w:t xml:space="preserve">Cho, S., Koo, H., Shin, S., Kim, H., Park, J., </w:t>
      </w:r>
      <w:proofErr w:type="spellStart"/>
      <w:r w:rsidRPr="00341535">
        <w:rPr>
          <w:lang w:eastAsia="ja-JP"/>
        </w:rPr>
        <w:t>Yoom</w:t>
      </w:r>
      <w:proofErr w:type="spellEnd"/>
      <w:r w:rsidRPr="00341535">
        <w:rPr>
          <w:lang w:eastAsia="ja-JP"/>
        </w:rPr>
        <w:t>, Y. and Kim, G.</w:t>
      </w:r>
      <w:r w:rsidRPr="00341535">
        <w:rPr>
          <w:lang w:val="de-DE" w:eastAsia="ja-JP"/>
        </w:rPr>
        <w:t xml:space="preserve"> (2019). Gamma-ray irradiation control of whiteflies </w:t>
      </w:r>
      <w:r w:rsidRPr="00341535">
        <w:rPr>
          <w:i/>
          <w:lang w:val="de-DE" w:eastAsia="ja-JP"/>
        </w:rPr>
        <w:t>Bemisia tabaci</w:t>
      </w:r>
      <w:r w:rsidRPr="00341535">
        <w:rPr>
          <w:lang w:val="de-DE" w:eastAsia="ja-JP"/>
        </w:rPr>
        <w:t xml:space="preserve"> (Hemiptera: Aleyrodidae) and </w:t>
      </w:r>
      <w:r w:rsidRPr="00341535">
        <w:rPr>
          <w:i/>
          <w:lang w:val="de-DE" w:eastAsia="ja-JP"/>
        </w:rPr>
        <w:t>Trialeurodes vaporariorum</w:t>
      </w:r>
      <w:r w:rsidRPr="00341535">
        <w:rPr>
          <w:lang w:val="de-DE" w:eastAsia="ja-JP"/>
        </w:rPr>
        <w:t xml:space="preserve"> in the exportation of fresh strawberries</w:t>
      </w:r>
      <w:r w:rsidRPr="00341535">
        <w:rPr>
          <w:lang w:eastAsia="ja-JP"/>
        </w:rPr>
        <w:t xml:space="preserve">. </w:t>
      </w:r>
      <w:r w:rsidRPr="00341535">
        <w:rPr>
          <w:i/>
          <w:iCs/>
          <w:lang w:eastAsia="ja-JP"/>
        </w:rPr>
        <w:t>Journal of Economic Entomology</w:t>
      </w:r>
      <w:r w:rsidRPr="00341535">
        <w:rPr>
          <w:lang w:eastAsia="ja-JP"/>
        </w:rPr>
        <w:t xml:space="preserve"> 112 (4), 1611-1617.</w:t>
      </w:r>
    </w:p>
    <w:p w14:paraId="5BFC828A" w14:textId="77777777" w:rsidR="00944FC9" w:rsidRDefault="00944FC9" w:rsidP="00944FC9">
      <w:pPr>
        <w:pStyle w:val="References"/>
        <w:jc w:val="left"/>
        <w:rPr>
          <w:lang w:val="de-DE" w:eastAsia="ja-JP"/>
        </w:rPr>
      </w:pPr>
      <w:r w:rsidRPr="00341535">
        <w:rPr>
          <w:lang w:eastAsia="ja-JP"/>
        </w:rPr>
        <w:t>Cho S., Kim, H., Kim, B., Yang, J. and Kim, G.</w:t>
      </w:r>
      <w:r w:rsidRPr="00341535">
        <w:rPr>
          <w:lang w:val="de-DE" w:eastAsia="ja-JP"/>
        </w:rPr>
        <w:t xml:space="preserve"> (2020). Combinatory effect of ethyl formate and phosphine fumigation on </w:t>
      </w:r>
      <w:r w:rsidRPr="00341535">
        <w:rPr>
          <w:i/>
          <w:lang w:val="de-DE" w:eastAsia="ja-JP"/>
        </w:rPr>
        <w:t>Pseudococcus longisphinus</w:t>
      </w:r>
      <w:r w:rsidRPr="00341535">
        <w:rPr>
          <w:lang w:val="de-DE" w:eastAsia="ja-JP"/>
        </w:rPr>
        <w:t xml:space="preserve"> and </w:t>
      </w:r>
      <w:r w:rsidRPr="00341535">
        <w:rPr>
          <w:i/>
          <w:lang w:val="de-DE" w:eastAsia="ja-JP"/>
        </w:rPr>
        <w:t>P. Orchidicola</w:t>
      </w:r>
      <w:r w:rsidRPr="00341535">
        <w:rPr>
          <w:lang w:val="de-DE" w:eastAsia="ja-JP"/>
        </w:rPr>
        <w:t xml:space="preserve"> (Hemiptera: Pseudococcidae) mortality and phytotoxicity to 13 foliage nursery plants. </w:t>
      </w:r>
      <w:r w:rsidRPr="00341535">
        <w:rPr>
          <w:i/>
          <w:lang w:val="de-DE" w:eastAsia="ja-JP"/>
        </w:rPr>
        <w:t>Journal of Asia-Pacific Entomology</w:t>
      </w:r>
      <w:r w:rsidRPr="00341535">
        <w:rPr>
          <w:lang w:val="de-DE" w:eastAsia="ja-JP"/>
        </w:rPr>
        <w:t xml:space="preserve"> 23(1), 152-158.</w:t>
      </w:r>
    </w:p>
    <w:p w14:paraId="0128D741" w14:textId="2CE8D8D6" w:rsidR="00944FC9" w:rsidRPr="00690DB3" w:rsidRDefault="00944FC9" w:rsidP="00944FC9">
      <w:pPr>
        <w:pStyle w:val="References"/>
        <w:jc w:val="left"/>
        <w:rPr>
          <w:lang w:val="de-DE" w:eastAsia="ja-JP"/>
        </w:rPr>
      </w:pPr>
      <w:r w:rsidRPr="00690DB3">
        <w:rPr>
          <w:color w:val="000000"/>
          <w:lang w:val="de-DE"/>
        </w:rPr>
        <w:t>Choi , H., Park, M., Fraser,P.J., Park, H., Geum, S., Mu</w:t>
      </w:r>
      <w:r w:rsidRPr="00690DB3">
        <w:rPr>
          <w:rFonts w:ascii="Times New Roman" w:hAnsi="Times New Roman"/>
          <w:color w:val="000000"/>
          <w:lang w:val="de-DE"/>
        </w:rPr>
        <w:t>̈</w:t>
      </w:r>
      <w:r w:rsidRPr="00690DB3">
        <w:rPr>
          <w:color w:val="000000"/>
          <w:lang w:val="de-DE"/>
        </w:rPr>
        <w:t>hle,J., Kim, J., Porter, I., Salameh, P.J., Harth, C.M., Dunse, B.L., Krummel, P.B.,</w:t>
      </w:r>
      <w:r w:rsidRPr="00690DB3">
        <w:rPr>
          <w:rStyle w:val="apple-converted-space"/>
          <w:rFonts w:ascii="Garamond" w:hAnsi="Garamond"/>
          <w:lang w:val="de-DE"/>
        </w:rPr>
        <w:t> </w:t>
      </w:r>
      <w:r w:rsidRPr="00690DB3">
        <w:rPr>
          <w:color w:val="000000"/>
          <w:lang w:val="de-DE"/>
        </w:rPr>
        <w:t xml:space="preserve">Weiss, R.F., O'Doherty, S,. </w:t>
      </w:r>
      <w:r w:rsidRPr="00690DB3">
        <w:rPr>
          <w:color w:val="000000"/>
        </w:rPr>
        <w:t>Young, D. and Park, S.</w:t>
      </w:r>
      <w:r w:rsidRPr="00690DB3">
        <w:rPr>
          <w:rStyle w:val="apple-converted-space"/>
          <w:rFonts w:ascii="Garamond" w:hAnsi="Garamond"/>
        </w:rPr>
        <w:t> </w:t>
      </w:r>
      <w:r w:rsidRPr="00690DB3">
        <w:rPr>
          <w:color w:val="000000"/>
        </w:rPr>
        <w:t>(2022). Top-down and bottom-up estimates of anthropogenic methyl bromide emissions from eastern China. Atmospheric Chemistry and Physics. Atmos. Chem. Phys., 22, 5157–5173.</w:t>
      </w:r>
      <w:r w:rsidR="005617DE">
        <w:rPr>
          <w:color w:val="000000"/>
        </w:rPr>
        <w:t xml:space="preserve"> </w:t>
      </w:r>
      <w:hyperlink r:id="rId52" w:tgtFrame="_blank" w:history="1">
        <w:r w:rsidRPr="00690DB3">
          <w:rPr>
            <w:rStyle w:val="Hyperlink"/>
          </w:rPr>
          <w:t>https://doi.org/10.5194/acp-22-5157-2022</w:t>
        </w:r>
      </w:hyperlink>
    </w:p>
    <w:p w14:paraId="16D69A67" w14:textId="77777777" w:rsidR="00944FC9" w:rsidRPr="00341535" w:rsidRDefault="00944FC9" w:rsidP="00944FC9">
      <w:pPr>
        <w:pStyle w:val="References"/>
        <w:jc w:val="left"/>
        <w:rPr>
          <w:lang w:eastAsia="ja-JP"/>
        </w:rPr>
      </w:pPr>
      <w:r w:rsidRPr="00341535">
        <w:t xml:space="preserve">Collins, P.J., </w:t>
      </w:r>
      <w:proofErr w:type="spellStart"/>
      <w:r w:rsidRPr="00341535">
        <w:t>Fal</w:t>
      </w:r>
      <w:proofErr w:type="spellEnd"/>
      <w:r w:rsidRPr="00341535">
        <w:t xml:space="preserve">, M.G., Nayak, M.K., Emery, R.N., and Holloway, J.C. (2017). Monitoring resistance to phosphine in the lesser grain borer, </w:t>
      </w:r>
      <w:proofErr w:type="spellStart"/>
      <w:r w:rsidRPr="00341535">
        <w:t>Rhyzopertha</w:t>
      </w:r>
      <w:proofErr w:type="spellEnd"/>
      <w:r w:rsidRPr="00341535">
        <w:t xml:space="preserve"> </w:t>
      </w:r>
      <w:proofErr w:type="spellStart"/>
      <w:r w:rsidRPr="00341535">
        <w:t>dominica</w:t>
      </w:r>
      <w:proofErr w:type="spellEnd"/>
      <w:r w:rsidRPr="00341535">
        <w:t>, in Australia: a national analysis of trends, storage types and geography in relation to resistance detections. Journal of Stored Products Research 70:25-36. Doi: 10.1016/j.jspr.2016.10.006.</w:t>
      </w:r>
    </w:p>
    <w:p w14:paraId="41EE2754" w14:textId="77777777" w:rsidR="00944FC9" w:rsidRPr="00341535" w:rsidRDefault="00944FC9" w:rsidP="00944FC9">
      <w:pPr>
        <w:pStyle w:val="References"/>
        <w:jc w:val="left"/>
        <w:rPr>
          <w:lang w:eastAsia="ja-JP"/>
        </w:rPr>
      </w:pPr>
      <w:r w:rsidRPr="00341535">
        <w:rPr>
          <w:lang w:val="en-US" w:eastAsia="ja-JP"/>
        </w:rPr>
        <w:t xml:space="preserve">Cottrell T. E., </w:t>
      </w:r>
      <w:proofErr w:type="spellStart"/>
      <w:r w:rsidRPr="00341535">
        <w:rPr>
          <w:lang w:val="en-US" w:eastAsia="ja-JP"/>
        </w:rPr>
        <w:t>Aikins</w:t>
      </w:r>
      <w:proofErr w:type="spellEnd"/>
      <w:r w:rsidRPr="00341535">
        <w:rPr>
          <w:lang w:val="en-US" w:eastAsia="ja-JP"/>
        </w:rPr>
        <w:t xml:space="preserve">, M. </w:t>
      </w:r>
      <w:proofErr w:type="gramStart"/>
      <w:r w:rsidRPr="00341535">
        <w:rPr>
          <w:lang w:val="en-US" w:eastAsia="ja-JP"/>
        </w:rPr>
        <w:t>J.,</w:t>
      </w:r>
      <w:proofErr w:type="spellStart"/>
      <w:r w:rsidRPr="00341535">
        <w:rPr>
          <w:lang w:val="en-US" w:eastAsia="ja-JP"/>
        </w:rPr>
        <w:t>Thoms</w:t>
      </w:r>
      <w:proofErr w:type="spellEnd"/>
      <w:proofErr w:type="gramEnd"/>
      <w:r w:rsidRPr="00341535">
        <w:rPr>
          <w:lang w:val="en-US" w:eastAsia="ja-JP"/>
        </w:rPr>
        <w:t xml:space="preserve">, E. M. and Phillips, T. W. </w:t>
      </w:r>
      <w:r w:rsidRPr="00341535">
        <w:rPr>
          <w:lang w:val="de-DE" w:eastAsia="ja-JP"/>
        </w:rPr>
        <w:t>(2020). Efficacy of sulfuryl fluoride against fourth-instar pecan weevil (Coleoptera: Curdullionidae) in pecans for quarantine security</w:t>
      </w:r>
      <w:r w:rsidRPr="00341535">
        <w:rPr>
          <w:lang w:val="en-US" w:eastAsia="ja-JP"/>
        </w:rPr>
        <w:t xml:space="preserve">. </w:t>
      </w:r>
      <w:r w:rsidRPr="00341535">
        <w:rPr>
          <w:i/>
          <w:iCs/>
          <w:lang w:val="en-US" w:eastAsia="ja-JP"/>
        </w:rPr>
        <w:t>Journal of Economic Entomology</w:t>
      </w:r>
      <w:r w:rsidRPr="00341535">
        <w:rPr>
          <w:lang w:val="en-US" w:eastAsia="ja-JP"/>
        </w:rPr>
        <w:t xml:space="preserve"> 113 (3), 1152-1157.</w:t>
      </w:r>
    </w:p>
    <w:p w14:paraId="6867928C" w14:textId="77777777" w:rsidR="00944FC9" w:rsidRPr="00341535" w:rsidRDefault="00944FC9" w:rsidP="00944FC9">
      <w:pPr>
        <w:pStyle w:val="References"/>
        <w:jc w:val="left"/>
        <w:rPr>
          <w:color w:val="000000"/>
        </w:rPr>
      </w:pPr>
      <w:r w:rsidRPr="00341535">
        <w:rPr>
          <w:color w:val="000000"/>
        </w:rPr>
        <w:t>Department of Agriculture, Environment and Water Resources. 2021.</w:t>
      </w:r>
      <w:r w:rsidRPr="00341535">
        <w:rPr>
          <w:color w:val="000000"/>
        </w:rPr>
        <w:br/>
        <w:t>Controlled atmosphere treatment methodology. Version 1.0. Download from</w:t>
      </w:r>
      <w:r w:rsidRPr="00341535">
        <w:rPr>
          <w:color w:val="000000"/>
        </w:rPr>
        <w:br/>
      </w:r>
      <w:hyperlink r:id="rId53" w:history="1">
        <w:r w:rsidRPr="00341535">
          <w:rPr>
            <w:rStyle w:val="Hyperlink"/>
          </w:rPr>
          <w:t>https://www.awe.gov.au/biosecurity-trade/import/arrival/treatments/treatment</w:t>
        </w:r>
      </w:hyperlink>
      <w:r w:rsidRPr="00341535">
        <w:rPr>
          <w:color w:val="000000"/>
        </w:rPr>
        <w:br/>
      </w:r>
      <w:proofErr w:type="spellStart"/>
      <w:r w:rsidRPr="00341535">
        <w:rPr>
          <w:color w:val="000000"/>
        </w:rPr>
        <w:t>s-fumigants#controlled-atmosphere-treatment</w:t>
      </w:r>
      <w:proofErr w:type="spellEnd"/>
      <w:r w:rsidRPr="00341535">
        <w:rPr>
          <w:color w:val="000000"/>
        </w:rPr>
        <w:t>.</w:t>
      </w:r>
    </w:p>
    <w:p w14:paraId="686E02E3" w14:textId="77777777" w:rsidR="00944FC9" w:rsidRPr="00341535" w:rsidRDefault="00944FC9" w:rsidP="00944FC9">
      <w:pPr>
        <w:pStyle w:val="References"/>
        <w:jc w:val="left"/>
      </w:pPr>
      <w:r w:rsidRPr="00341535">
        <w:lastRenderedPageBreak/>
        <w:t>Dillon, T. J., Horowitz Dillon, A., Crowley, J. N. (2008) The atmospheric chemistry of sulphuryl fluoride, SO</w:t>
      </w:r>
      <w:r w:rsidRPr="00341535">
        <w:rPr>
          <w:vertAlign w:val="subscript"/>
        </w:rPr>
        <w:t>2</w:t>
      </w:r>
      <w:r w:rsidRPr="00341535">
        <w:t>F</w:t>
      </w:r>
      <w:r w:rsidRPr="00341535">
        <w:rPr>
          <w:vertAlign w:val="subscript"/>
        </w:rPr>
        <w:t>2</w:t>
      </w:r>
      <w:r w:rsidRPr="00341535">
        <w:t xml:space="preserve">. </w:t>
      </w:r>
      <w:r w:rsidRPr="00341535">
        <w:rPr>
          <w:rStyle w:val="st"/>
          <w:i/>
          <w:iCs/>
        </w:rPr>
        <w:t>Atmospheric Chemistry and Physics</w:t>
      </w:r>
      <w:r w:rsidRPr="00341535">
        <w:rPr>
          <w:i/>
          <w:iCs/>
        </w:rPr>
        <w:t xml:space="preserve"> </w:t>
      </w:r>
      <w:r w:rsidRPr="00341535">
        <w:t>8, 1547–1557</w:t>
      </w:r>
    </w:p>
    <w:p w14:paraId="5F71AC3C" w14:textId="77777777" w:rsidR="00944FC9" w:rsidRPr="007C52DB" w:rsidRDefault="00944FC9" w:rsidP="00944FC9">
      <w:pPr>
        <w:pStyle w:val="References"/>
        <w:jc w:val="left"/>
        <w:rPr>
          <w:lang w:val="en-US" w:eastAsia="ja-JP"/>
        </w:rPr>
      </w:pPr>
      <w:proofErr w:type="spellStart"/>
      <w:r w:rsidRPr="005B36CB">
        <w:rPr>
          <w:lang w:val="en-US"/>
        </w:rPr>
        <w:t>Draslovka</w:t>
      </w:r>
      <w:proofErr w:type="spellEnd"/>
      <w:r w:rsidRPr="005B36CB">
        <w:rPr>
          <w:lang w:val="en-US"/>
        </w:rPr>
        <w:t xml:space="preserve"> MBAO 2020).</w:t>
      </w:r>
      <w:r w:rsidRPr="005B36CB">
        <w:t xml:space="preserve"> Homepage: </w:t>
      </w:r>
      <w:proofErr w:type="spellStart"/>
      <w:r w:rsidRPr="005B36CB">
        <w:t>Havlíčkova</w:t>
      </w:r>
      <w:proofErr w:type="spellEnd"/>
      <w:r w:rsidRPr="005B36CB">
        <w:t xml:space="preserve"> 605, </w:t>
      </w:r>
      <w:proofErr w:type="spellStart"/>
      <w:r w:rsidRPr="005B36CB">
        <w:t>Kolin</w:t>
      </w:r>
      <w:proofErr w:type="spellEnd"/>
      <w:r w:rsidRPr="005B36CB">
        <w:t>, https:/homepage: www.draslovka.com</w:t>
      </w:r>
    </w:p>
    <w:p w14:paraId="26E9579C" w14:textId="77777777" w:rsidR="00944FC9" w:rsidRPr="00341535" w:rsidRDefault="00944FC9" w:rsidP="00944FC9">
      <w:pPr>
        <w:pStyle w:val="References"/>
        <w:jc w:val="left"/>
      </w:pPr>
      <w:proofErr w:type="spellStart"/>
      <w:r w:rsidRPr="00341535">
        <w:t>Ducom</w:t>
      </w:r>
      <w:proofErr w:type="spellEnd"/>
      <w:r w:rsidRPr="00341535">
        <w:t xml:space="preserve">, P., Roussel, C., </w:t>
      </w:r>
      <w:proofErr w:type="spellStart"/>
      <w:r w:rsidRPr="00341535">
        <w:t>Stefanini</w:t>
      </w:r>
      <w:proofErr w:type="spellEnd"/>
      <w:r w:rsidRPr="00341535">
        <w:t xml:space="preserve">, V. (2003). Efficacy of sulfuryl fluoride on European house borer eggs, </w:t>
      </w:r>
      <w:proofErr w:type="spellStart"/>
      <w:r w:rsidRPr="00341535">
        <w:rPr>
          <w:i/>
          <w:iCs/>
        </w:rPr>
        <w:t>Hylotrupes</w:t>
      </w:r>
      <w:proofErr w:type="spellEnd"/>
      <w:r w:rsidRPr="00341535">
        <w:rPr>
          <w:i/>
          <w:iCs/>
        </w:rPr>
        <w:t xml:space="preserve"> </w:t>
      </w:r>
      <w:proofErr w:type="spellStart"/>
      <w:r w:rsidRPr="00341535">
        <w:rPr>
          <w:i/>
          <w:iCs/>
        </w:rPr>
        <w:t>bajulus</w:t>
      </w:r>
      <w:proofErr w:type="spellEnd"/>
      <w:r w:rsidRPr="00341535">
        <w:rPr>
          <w:i/>
          <w:iCs/>
        </w:rPr>
        <w:t xml:space="preserve"> </w:t>
      </w:r>
      <w:r w:rsidRPr="00341535">
        <w:t xml:space="preserve">(L.) </w:t>
      </w:r>
      <w:r w:rsidRPr="00341535">
        <w:rPr>
          <w:lang w:val="fr-FR"/>
        </w:rPr>
        <w:t>(</w:t>
      </w:r>
      <w:proofErr w:type="spellStart"/>
      <w:r w:rsidRPr="00341535">
        <w:rPr>
          <w:lang w:val="fr-FR"/>
        </w:rPr>
        <w:t>Coleoptera</w:t>
      </w:r>
      <w:proofErr w:type="spellEnd"/>
      <w:r w:rsidRPr="00341535">
        <w:rPr>
          <w:lang w:val="fr-FR"/>
        </w:rPr>
        <w:t xml:space="preserve">: </w:t>
      </w:r>
      <w:proofErr w:type="spellStart"/>
      <w:r w:rsidRPr="00341535">
        <w:rPr>
          <w:lang w:val="fr-FR"/>
        </w:rPr>
        <w:t>Cerambycidae</w:t>
      </w:r>
      <w:proofErr w:type="spellEnd"/>
      <w:r w:rsidRPr="00341535">
        <w:rPr>
          <w:lang w:val="fr-FR"/>
        </w:rPr>
        <w:t xml:space="preserve">), </w:t>
      </w:r>
      <w:proofErr w:type="spellStart"/>
      <w:r w:rsidRPr="00341535">
        <w:rPr>
          <w:lang w:val="fr-FR"/>
        </w:rPr>
        <w:t>contract</w:t>
      </w:r>
      <w:proofErr w:type="spellEnd"/>
      <w:r w:rsidRPr="00341535">
        <w:rPr>
          <w:lang w:val="fr-FR"/>
        </w:rPr>
        <w:t xml:space="preserve"> </w:t>
      </w:r>
      <w:proofErr w:type="spellStart"/>
      <w:r w:rsidRPr="00341535">
        <w:rPr>
          <w:lang w:val="fr-FR"/>
        </w:rPr>
        <w:t>research</w:t>
      </w:r>
      <w:proofErr w:type="spellEnd"/>
      <w:r w:rsidRPr="00341535">
        <w:rPr>
          <w:lang w:val="fr-FR"/>
        </w:rPr>
        <w:t xml:space="preserve"> </w:t>
      </w:r>
      <w:proofErr w:type="spellStart"/>
      <w:r w:rsidRPr="00341535">
        <w:rPr>
          <w:lang w:val="fr-FR"/>
        </w:rPr>
        <w:t>project</w:t>
      </w:r>
      <w:proofErr w:type="spellEnd"/>
      <w:r w:rsidRPr="00341535">
        <w:rPr>
          <w:lang w:val="fr-FR"/>
        </w:rPr>
        <w:t xml:space="preserve">. Laboratoire National de la Protection des Végétaux, Station d`Etude des Techniques de fumigation et de Protection des Denrées Stockées, Chemin d`Artigues - 33150 Cenon, France. </w:t>
      </w:r>
      <w:r w:rsidRPr="00341535">
        <w:t xml:space="preserve">In: </w:t>
      </w:r>
      <w:r w:rsidRPr="00341535">
        <w:rPr>
          <w:i/>
          <w:iCs/>
        </w:rPr>
        <w:t>Inclusion of active substances in Annex I to Directive 98/8/EC</w:t>
      </w:r>
      <w:r w:rsidRPr="00341535">
        <w:t>: Assessment report: Sulfuryl fluoride, PT8, Appendix IV (List of studies), p. 31, September 2006.</w:t>
      </w:r>
    </w:p>
    <w:p w14:paraId="60D2BF08" w14:textId="77777777" w:rsidR="00944FC9" w:rsidRPr="00341535" w:rsidRDefault="00944FC9" w:rsidP="00944FC9">
      <w:pPr>
        <w:pStyle w:val="References"/>
        <w:jc w:val="left"/>
      </w:pPr>
      <w:r w:rsidRPr="00341535">
        <w:t xml:space="preserve">Follett, P. A., </w:t>
      </w:r>
      <w:proofErr w:type="spellStart"/>
      <w:r w:rsidRPr="00341535">
        <w:t>Swedman</w:t>
      </w:r>
      <w:proofErr w:type="spellEnd"/>
      <w:r w:rsidRPr="00341535">
        <w:t xml:space="preserve">, A., Mackey, B. (2018). Effect of low-oxygen conditions created by modified atmosphere packaging on radiation tolerance in </w:t>
      </w:r>
      <w:r w:rsidRPr="00341535">
        <w:rPr>
          <w:i/>
        </w:rPr>
        <w:t xml:space="preserve">Drosophila </w:t>
      </w:r>
      <w:proofErr w:type="spellStart"/>
      <w:r w:rsidRPr="00341535">
        <w:rPr>
          <w:i/>
        </w:rPr>
        <w:t>suzukii</w:t>
      </w:r>
      <w:proofErr w:type="spellEnd"/>
      <w:r w:rsidRPr="00341535">
        <w:t xml:space="preserve"> (</w:t>
      </w:r>
      <w:proofErr w:type="spellStart"/>
      <w:r w:rsidRPr="00341535">
        <w:t>Diptera</w:t>
      </w:r>
      <w:proofErr w:type="spellEnd"/>
      <w:r w:rsidRPr="00341535">
        <w:t xml:space="preserve">: </w:t>
      </w:r>
      <w:proofErr w:type="spellStart"/>
      <w:r w:rsidRPr="00341535">
        <w:t>Drosophilidae</w:t>
      </w:r>
      <w:proofErr w:type="spellEnd"/>
      <w:r w:rsidRPr="00341535">
        <w:t xml:space="preserve">) in sweet cherries. </w:t>
      </w:r>
      <w:r w:rsidRPr="00341535">
        <w:rPr>
          <w:i/>
          <w:iCs/>
          <w:lang w:val="en-US"/>
        </w:rPr>
        <w:t>Journal of Economic Entomology</w:t>
      </w:r>
      <w:r w:rsidRPr="00341535">
        <w:rPr>
          <w:lang w:val="en-US"/>
        </w:rPr>
        <w:t xml:space="preserve"> 111 (1), 141-145. </w:t>
      </w:r>
    </w:p>
    <w:p w14:paraId="0FF77B10" w14:textId="77777777" w:rsidR="00944FC9" w:rsidRPr="00341535" w:rsidRDefault="00944FC9" w:rsidP="00944FC9">
      <w:pPr>
        <w:pStyle w:val="References"/>
        <w:jc w:val="left"/>
        <w:rPr>
          <w:color w:val="000000"/>
          <w:shd w:val="clear" w:color="auto" w:fill="FFFFFF"/>
        </w:rPr>
      </w:pPr>
      <w:r w:rsidRPr="00D069EA">
        <w:rPr>
          <w:color w:val="000000"/>
          <w:shd w:val="clear" w:color="auto" w:fill="FFFFFF"/>
        </w:rPr>
        <w:t xml:space="preserve">Gagnon, M., K. </w:t>
      </w:r>
      <w:proofErr w:type="spellStart"/>
      <w:r w:rsidRPr="00D069EA">
        <w:rPr>
          <w:color w:val="000000"/>
          <w:shd w:val="clear" w:color="auto" w:fill="FFFFFF"/>
        </w:rPr>
        <w:t>Szymona</w:t>
      </w:r>
      <w:proofErr w:type="spellEnd"/>
      <w:r w:rsidRPr="00D069EA">
        <w:rPr>
          <w:color w:val="000000"/>
          <w:shd w:val="clear" w:color="auto" w:fill="FFFFFF"/>
        </w:rPr>
        <w:t xml:space="preserve">, J. </w:t>
      </w:r>
      <w:proofErr w:type="spellStart"/>
      <w:r w:rsidRPr="00D069EA">
        <w:rPr>
          <w:color w:val="000000"/>
          <w:shd w:val="clear" w:color="auto" w:fill="FFFFFF"/>
        </w:rPr>
        <w:t>Janowiak</w:t>
      </w:r>
      <w:proofErr w:type="spellEnd"/>
      <w:r w:rsidRPr="00D069EA">
        <w:rPr>
          <w:color w:val="000000"/>
          <w:shd w:val="clear" w:color="auto" w:fill="FFFFFF"/>
        </w:rPr>
        <w:t>, and K. Hoover. 2019. Radio Frequency Dielectric Heating for Pallet Sanitization. Central Magazine, National Wooden Pallet &amp; Container Association.</w:t>
      </w:r>
    </w:p>
    <w:p w14:paraId="2438D088" w14:textId="77777777" w:rsidR="00944FC9" w:rsidRPr="007C52DB" w:rsidRDefault="00944FC9" w:rsidP="00944FC9">
      <w:pPr>
        <w:pStyle w:val="References"/>
        <w:jc w:val="left"/>
        <w:rPr>
          <w:rStyle w:val="Heading4Char"/>
        </w:rPr>
      </w:pPr>
      <w:r w:rsidRPr="007C52DB">
        <w:rPr>
          <w:rStyle w:val="Heading4Char"/>
        </w:rPr>
        <w:t xml:space="preserve">Glassey, </w:t>
      </w:r>
      <w:proofErr w:type="spellStart"/>
      <w:r w:rsidRPr="007C52DB">
        <w:rPr>
          <w:rStyle w:val="Heading4Char"/>
        </w:rPr>
        <w:t>pers</w:t>
      </w:r>
      <w:proofErr w:type="spellEnd"/>
      <w:r w:rsidRPr="007C52DB">
        <w:rPr>
          <w:rStyle w:val="Heading4Char"/>
        </w:rPr>
        <w:t xml:space="preserve"> </w:t>
      </w:r>
      <w:proofErr w:type="spellStart"/>
      <w:r w:rsidRPr="007C52DB">
        <w:rPr>
          <w:rStyle w:val="Heading4Char"/>
        </w:rPr>
        <w:t>comm</w:t>
      </w:r>
      <w:proofErr w:type="spellEnd"/>
      <w:r w:rsidRPr="007C52DB">
        <w:rPr>
          <w:rStyle w:val="Heading4Char"/>
        </w:rPr>
        <w:t>, 2021</w:t>
      </w:r>
    </w:p>
    <w:p w14:paraId="32A4C254" w14:textId="77777777" w:rsidR="00944FC9" w:rsidRPr="00341535" w:rsidRDefault="00944FC9" w:rsidP="00944FC9">
      <w:pPr>
        <w:pStyle w:val="References"/>
        <w:jc w:val="left"/>
      </w:pPr>
      <w:proofErr w:type="spellStart"/>
      <w:r w:rsidRPr="00341535">
        <w:t>Gourgouta.M</w:t>
      </w:r>
      <w:proofErr w:type="spellEnd"/>
      <w:r w:rsidRPr="00341535">
        <w:t xml:space="preserve">., </w:t>
      </w:r>
      <w:proofErr w:type="spellStart"/>
      <w:r w:rsidRPr="00341535">
        <w:t>Agrafioti.P</w:t>
      </w:r>
      <w:proofErr w:type="spellEnd"/>
      <w:r w:rsidRPr="00341535">
        <w:t xml:space="preserve">., </w:t>
      </w:r>
      <w:proofErr w:type="spellStart"/>
      <w:r w:rsidRPr="00341535">
        <w:t>Athanassiou</w:t>
      </w:r>
      <w:proofErr w:type="spellEnd"/>
      <w:r w:rsidRPr="00341535">
        <w:t xml:space="preserve"> C.G.,2021. Immediate and delayed effects of short exposures to phosphine on adults and larvae of the </w:t>
      </w:r>
      <w:proofErr w:type="spellStart"/>
      <w:r w:rsidRPr="00341535">
        <w:t>khapra</w:t>
      </w:r>
      <w:proofErr w:type="spellEnd"/>
      <w:r w:rsidRPr="00341535">
        <w:t xml:space="preserve"> beetle, </w:t>
      </w:r>
      <w:proofErr w:type="spellStart"/>
      <w:r w:rsidRPr="00341535">
        <w:t>Trogoderma</w:t>
      </w:r>
      <w:proofErr w:type="spellEnd"/>
      <w:r w:rsidRPr="00341535">
        <w:t xml:space="preserve"> </w:t>
      </w:r>
      <w:proofErr w:type="spellStart"/>
      <w:r w:rsidRPr="00341535">
        <w:t>granarium</w:t>
      </w:r>
      <w:proofErr w:type="spellEnd"/>
      <w:r w:rsidRPr="00341535">
        <w:t xml:space="preserve">, Journal of Stored Products Research 90: </w:t>
      </w:r>
      <w:hyperlink r:id="rId54" w:history="1">
        <w:r w:rsidRPr="00341535">
          <w:rPr>
            <w:rStyle w:val="Hyperlink"/>
          </w:rPr>
          <w:t>https://www.sciencedirect.com/science/article/pii/S0022474X20304823</w:t>
        </w:r>
      </w:hyperlink>
    </w:p>
    <w:p w14:paraId="75BFF0F2" w14:textId="77777777" w:rsidR="00944FC9" w:rsidRPr="00341535" w:rsidRDefault="00944FC9" w:rsidP="00944FC9">
      <w:pPr>
        <w:pStyle w:val="References"/>
        <w:jc w:val="left"/>
        <w:rPr>
          <w:rStyle w:val="Hyperlink"/>
          <w:color w:val="auto"/>
          <w:u w:val="none"/>
          <w:lang w:val="en-US"/>
        </w:rPr>
      </w:pPr>
      <w:proofErr w:type="spellStart"/>
      <w:r w:rsidRPr="00341535">
        <w:t>Gressent</w:t>
      </w:r>
      <w:proofErr w:type="spellEnd"/>
      <w:r w:rsidRPr="00341535">
        <w:t xml:space="preserve">, A., Rigby, M., Ganesan, A.L., Prinn, R. G., Manning, A. J., </w:t>
      </w:r>
      <w:proofErr w:type="spellStart"/>
      <w:r w:rsidRPr="00341535">
        <w:t>Mu</w:t>
      </w:r>
      <w:r w:rsidRPr="00341535">
        <w:rPr>
          <w:rFonts w:ascii="Times New Roman" w:hAnsi="Times New Roman"/>
        </w:rPr>
        <w:t>̈</w:t>
      </w:r>
      <w:r w:rsidRPr="00341535">
        <w:t>hle</w:t>
      </w:r>
      <w:proofErr w:type="spellEnd"/>
      <w:r w:rsidRPr="00341535">
        <w:t xml:space="preserve">, J., et al. (2021). Growing atmospheric emissions of sulfuryl fluoride. Journal of Geophysical Research: Atmospheres, 126, e2020JD034327. </w:t>
      </w:r>
      <w:hyperlink r:id="rId55" w:history="1">
        <w:r w:rsidRPr="00A441E5">
          <w:rPr>
            <w:rStyle w:val="Hyperlink"/>
            <w:lang w:val="en-US"/>
          </w:rPr>
          <w:t>https://doi.org/10.1029/2020JD034327</w:t>
        </w:r>
      </w:hyperlink>
    </w:p>
    <w:p w14:paraId="5F8B6B59" w14:textId="77777777" w:rsidR="00944FC9" w:rsidRPr="00341535" w:rsidRDefault="00944FC9" w:rsidP="00944FC9">
      <w:pPr>
        <w:pStyle w:val="References"/>
        <w:jc w:val="left"/>
        <w:rPr>
          <w:lang w:eastAsia="tr-TR"/>
        </w:rPr>
      </w:pPr>
      <w:proofErr w:type="spellStart"/>
      <w:r w:rsidRPr="00A441E5">
        <w:rPr>
          <w:lang w:val="en-US"/>
        </w:rPr>
        <w:t>Hnatek</w:t>
      </w:r>
      <w:proofErr w:type="spellEnd"/>
      <w:r w:rsidRPr="00A441E5">
        <w:rPr>
          <w:lang w:val="en-US"/>
        </w:rPr>
        <w:t xml:space="preserve">, J., Stejskal, V., Jonas, A., </w:t>
      </w:r>
      <w:proofErr w:type="spellStart"/>
      <w:r w:rsidRPr="00A441E5">
        <w:rPr>
          <w:lang w:val="en-US"/>
        </w:rPr>
        <w:t>Malkova</w:t>
      </w:r>
      <w:proofErr w:type="spellEnd"/>
      <w:r w:rsidRPr="00A441E5">
        <w:rPr>
          <w:lang w:val="en-US"/>
        </w:rPr>
        <w:t xml:space="preserve">, J., </w:t>
      </w:r>
      <w:proofErr w:type="spellStart"/>
      <w:r w:rsidRPr="00A441E5">
        <w:rPr>
          <w:lang w:val="en-US"/>
        </w:rPr>
        <w:t>Aulıcky</w:t>
      </w:r>
      <w:proofErr w:type="spellEnd"/>
      <w:r w:rsidRPr="00A441E5">
        <w:rPr>
          <w:lang w:val="en-US"/>
        </w:rPr>
        <w:t xml:space="preserve">, R., </w:t>
      </w:r>
      <w:proofErr w:type="spellStart"/>
      <w:r w:rsidRPr="00A441E5">
        <w:rPr>
          <w:lang w:val="en-US"/>
        </w:rPr>
        <w:t>Weıss</w:t>
      </w:r>
      <w:proofErr w:type="spellEnd"/>
      <w:r w:rsidRPr="00A441E5">
        <w:rPr>
          <w:lang w:val="en-US"/>
        </w:rPr>
        <w:t xml:space="preserve"> V. (2018). </w:t>
      </w:r>
      <w:r w:rsidRPr="00341535">
        <w:rPr>
          <w:lang w:val="en-US"/>
        </w:rPr>
        <w:t>Two new fumigation preparations (EDN</w:t>
      </w:r>
      <w:r w:rsidRPr="00341535">
        <w:rPr>
          <w:vertAlign w:val="superscript"/>
          <w:lang w:val="en-US"/>
        </w:rPr>
        <w:t>®</w:t>
      </w:r>
      <w:r w:rsidRPr="00341535">
        <w:rPr>
          <w:lang w:val="en-US"/>
        </w:rPr>
        <w:t xml:space="preserve"> and BLUEFUME™) to control soil, wood, timber, structural and stored product pest arthropods - an overview. </w:t>
      </w:r>
      <w:r w:rsidRPr="00341535">
        <w:rPr>
          <w:i/>
          <w:iCs/>
          <w:lang w:val="en-US" w:eastAsia="tr-TR"/>
        </w:rPr>
        <w:t>The Kharkov Entomological Society Gazette</w:t>
      </w:r>
      <w:r w:rsidRPr="00341535">
        <w:rPr>
          <w:lang w:val="en-US" w:eastAsia="tr-TR"/>
        </w:rPr>
        <w:t xml:space="preserve"> XXVI (1), 115-118.</w:t>
      </w:r>
    </w:p>
    <w:p w14:paraId="02A223DB" w14:textId="77777777" w:rsidR="00944FC9" w:rsidRPr="00341535" w:rsidRDefault="00944FC9" w:rsidP="00944FC9">
      <w:pPr>
        <w:pStyle w:val="References"/>
        <w:jc w:val="left"/>
        <w:rPr>
          <w:lang w:eastAsia="tr-TR"/>
        </w:rPr>
      </w:pPr>
      <w:proofErr w:type="spellStart"/>
      <w:r w:rsidRPr="00341535">
        <w:t>Hofmeier</w:t>
      </w:r>
      <w:proofErr w:type="spellEnd"/>
      <w:r w:rsidRPr="00341535">
        <w:t xml:space="preserve">, H. (1996). </w:t>
      </w:r>
      <w:proofErr w:type="spellStart"/>
      <w:r w:rsidRPr="00341535">
        <w:t>Schädlingsbekämpfung</w:t>
      </w:r>
      <w:proofErr w:type="spellEnd"/>
      <w:r w:rsidRPr="00341535">
        <w:t xml:space="preserve"> </w:t>
      </w:r>
      <w:proofErr w:type="spellStart"/>
      <w:r w:rsidRPr="00341535">
        <w:t>durch</w:t>
      </w:r>
      <w:proofErr w:type="spellEnd"/>
      <w:r w:rsidRPr="00341535">
        <w:t xml:space="preserve"> </w:t>
      </w:r>
      <w:proofErr w:type="spellStart"/>
      <w:r w:rsidRPr="00341535">
        <w:t>Wärme</w:t>
      </w:r>
      <w:proofErr w:type="spellEnd"/>
      <w:r w:rsidRPr="00341535">
        <w:t xml:space="preserve"> in der </w:t>
      </w:r>
      <w:proofErr w:type="spellStart"/>
      <w:r w:rsidRPr="00341535">
        <w:t>Mühle</w:t>
      </w:r>
      <w:proofErr w:type="spellEnd"/>
      <w:r w:rsidRPr="00341535">
        <w:t xml:space="preserve">, In </w:t>
      </w:r>
      <w:proofErr w:type="spellStart"/>
      <w:r w:rsidRPr="00341535">
        <w:t>Bäckereien</w:t>
      </w:r>
      <w:proofErr w:type="spellEnd"/>
      <w:r w:rsidRPr="00341535">
        <w:t xml:space="preserve"> und </w:t>
      </w:r>
      <w:proofErr w:type="spellStart"/>
      <w:r w:rsidRPr="00341535">
        <w:t>Gaststätten</w:t>
      </w:r>
      <w:proofErr w:type="spellEnd"/>
      <w:r w:rsidRPr="00341535">
        <w:t xml:space="preserve"> [Pest control with heat in mills, bakeries and restaurants]. </w:t>
      </w:r>
      <w:r w:rsidRPr="00341535">
        <w:rPr>
          <w:i/>
          <w:iCs/>
        </w:rPr>
        <w:t xml:space="preserve">Die </w:t>
      </w:r>
      <w:proofErr w:type="spellStart"/>
      <w:r w:rsidRPr="00341535">
        <w:rPr>
          <w:i/>
          <w:iCs/>
        </w:rPr>
        <w:t>Mühle</w:t>
      </w:r>
      <w:proofErr w:type="spellEnd"/>
      <w:r w:rsidRPr="00341535">
        <w:rPr>
          <w:i/>
          <w:iCs/>
        </w:rPr>
        <w:t xml:space="preserve"> + </w:t>
      </w:r>
      <w:proofErr w:type="spellStart"/>
      <w:r w:rsidRPr="00341535">
        <w:rPr>
          <w:i/>
          <w:iCs/>
        </w:rPr>
        <w:t>Mischfuttertechnik</w:t>
      </w:r>
      <w:proofErr w:type="spellEnd"/>
      <w:r w:rsidRPr="00341535">
        <w:rPr>
          <w:i/>
          <w:iCs/>
        </w:rPr>
        <w:t xml:space="preserve"> </w:t>
      </w:r>
      <w:r w:rsidRPr="00341535">
        <w:t>133, 842-849.</w:t>
      </w:r>
    </w:p>
    <w:p w14:paraId="214638F7" w14:textId="74056650" w:rsidR="00944FC9" w:rsidRPr="00341535" w:rsidRDefault="00944FC9" w:rsidP="00944FC9">
      <w:pPr>
        <w:pStyle w:val="References"/>
        <w:jc w:val="left"/>
        <w:rPr>
          <w:u w:val="single"/>
          <w:lang w:val="en-US"/>
        </w:rPr>
      </w:pPr>
      <w:r w:rsidRPr="00341535">
        <w:rPr>
          <w:lang w:val="en-US"/>
        </w:rPr>
        <w:t>IPPC 2017. International Plant Protection Convention</w:t>
      </w:r>
      <w:r w:rsidR="005617DE">
        <w:rPr>
          <w:b/>
          <w:lang w:val="en-US"/>
        </w:rPr>
        <w:t xml:space="preserve"> </w:t>
      </w:r>
      <w:hyperlink r:id="rId56" w:tgtFrame="_blank" w:history="1">
        <w:r w:rsidRPr="00341535">
          <w:rPr>
            <w:rStyle w:val="Hyperlink"/>
          </w:rPr>
          <w:t>R_03_En_2017-04-26_Combined.pdf (ippc.int)</w:t>
        </w:r>
      </w:hyperlink>
    </w:p>
    <w:p w14:paraId="1E041C40" w14:textId="77777777" w:rsidR="00944FC9" w:rsidRPr="00341535" w:rsidRDefault="00944FC9" w:rsidP="00944FC9">
      <w:pPr>
        <w:rPr>
          <w:rFonts w:ascii="Garamond" w:hAnsi="Garamond"/>
          <w:sz w:val="20"/>
        </w:rPr>
      </w:pPr>
      <w:r w:rsidRPr="00341535">
        <w:rPr>
          <w:rFonts w:ascii="Garamond" w:hAnsi="Garamond"/>
          <w:sz w:val="20"/>
        </w:rPr>
        <w:t>IPPC, 2021a</w:t>
      </w:r>
      <w:r>
        <w:rPr>
          <w:rFonts w:ascii="Garamond" w:hAnsi="Garamond"/>
          <w:sz w:val="20"/>
        </w:rPr>
        <w:t xml:space="preserve">. </w:t>
      </w:r>
      <w:r w:rsidRPr="00341535">
        <w:rPr>
          <w:rFonts w:ascii="Garamond" w:hAnsi="Garamond"/>
          <w:sz w:val="20"/>
          <w:lang w:val="en-US"/>
        </w:rPr>
        <w:t>International Plant Protection Convention</w:t>
      </w:r>
    </w:p>
    <w:p w14:paraId="1EBC766E" w14:textId="77777777" w:rsidR="00944FC9" w:rsidRPr="00341535" w:rsidRDefault="00944FC9" w:rsidP="00944FC9">
      <w:pPr>
        <w:rPr>
          <w:rStyle w:val="Heading2Char"/>
          <w:rFonts w:ascii="Garamond" w:hAnsi="Garamond"/>
          <w:b w:val="0"/>
          <w:sz w:val="20"/>
        </w:rPr>
      </w:pPr>
      <w:r w:rsidRPr="00341535">
        <w:rPr>
          <w:rFonts w:ascii="Garamond" w:hAnsi="Garamond"/>
          <w:sz w:val="20"/>
        </w:rPr>
        <w:t>IPPC, 2021b</w:t>
      </w:r>
      <w:r>
        <w:rPr>
          <w:rFonts w:ascii="Garamond" w:hAnsi="Garamond"/>
          <w:sz w:val="20"/>
        </w:rPr>
        <w:t xml:space="preserve">. </w:t>
      </w:r>
      <w:r w:rsidRPr="00341535">
        <w:rPr>
          <w:rFonts w:ascii="Garamond" w:hAnsi="Garamond"/>
          <w:sz w:val="20"/>
          <w:lang w:val="en-US"/>
        </w:rPr>
        <w:t>International Plant Protection Convention</w:t>
      </w:r>
    </w:p>
    <w:p w14:paraId="3F180FC3" w14:textId="77777777" w:rsidR="00944FC9" w:rsidRPr="00341535" w:rsidRDefault="00944FC9" w:rsidP="00944FC9">
      <w:pPr>
        <w:rPr>
          <w:rFonts w:ascii="Garamond" w:hAnsi="Garamond"/>
          <w:sz w:val="20"/>
        </w:rPr>
      </w:pPr>
      <w:r w:rsidRPr="00341535">
        <w:rPr>
          <w:rFonts w:ascii="Garamond" w:hAnsi="Garamond"/>
          <w:sz w:val="20"/>
        </w:rPr>
        <w:t xml:space="preserve">IPPC, 2022. International Plant Protection </w:t>
      </w:r>
      <w:proofErr w:type="spellStart"/>
      <w:r w:rsidRPr="00341535">
        <w:rPr>
          <w:rFonts w:ascii="Garamond" w:hAnsi="Garamond"/>
          <w:sz w:val="20"/>
        </w:rPr>
        <w:t>Convetion.Draft</w:t>
      </w:r>
      <w:proofErr w:type="spellEnd"/>
      <w:r w:rsidRPr="00341535">
        <w:rPr>
          <w:rFonts w:ascii="Garamond" w:hAnsi="Garamond"/>
          <w:sz w:val="20"/>
        </w:rPr>
        <w:t xml:space="preserve"> Report – Sixteenth session of the Commission of Phytosanitary Measures. https://assets.ippc.int/static/media/files/publication/en/2022/04/CPM-16_Draft_Report_Consolidated_2022-04-12.pdf</w:t>
      </w:r>
    </w:p>
    <w:p w14:paraId="19216F5A" w14:textId="543BE45E" w:rsidR="00944FC9" w:rsidRPr="00341535" w:rsidRDefault="00944FC9" w:rsidP="00944FC9">
      <w:pPr>
        <w:pStyle w:val="References"/>
        <w:jc w:val="left"/>
      </w:pPr>
      <w:r w:rsidRPr="00341535">
        <w:t xml:space="preserve">ISPM 15 (2018). Regulation of wood packaging material in international trade. Food and Agriculture Organization of the United Nations, International Plant Protection Convention, </w:t>
      </w:r>
      <w:proofErr w:type="spellStart"/>
      <w:r w:rsidRPr="00341535">
        <w:t>Viale</w:t>
      </w:r>
      <w:proofErr w:type="spellEnd"/>
      <w:r w:rsidRPr="00341535">
        <w:t xml:space="preserve"> </w:t>
      </w:r>
      <w:proofErr w:type="spellStart"/>
      <w:r w:rsidRPr="00341535">
        <w:t>delle</w:t>
      </w:r>
      <w:proofErr w:type="spellEnd"/>
      <w:r w:rsidRPr="00341535">
        <w:t xml:space="preserve"> Terme di Caracalla, 00153 Rome, Italy, </w:t>
      </w:r>
      <w:hyperlink r:id="rId57" w:history="1">
        <w:r w:rsidRPr="00341535">
          <w:rPr>
            <w:rStyle w:val="Hyperlink"/>
            <w:color w:val="auto"/>
          </w:rPr>
          <w:t>www.fao.org/publications</w:t>
        </w:r>
      </w:hyperlink>
      <w:r w:rsidRPr="00341535">
        <w:t>, 15-1 – 15-21.</w:t>
      </w:r>
      <w:r w:rsidR="005617DE">
        <w:t xml:space="preserve"> </w:t>
      </w:r>
    </w:p>
    <w:p w14:paraId="32B99C6C" w14:textId="77777777" w:rsidR="00944FC9" w:rsidRPr="00341535" w:rsidRDefault="00944FC9" w:rsidP="00944FC9">
      <w:pPr>
        <w:pStyle w:val="References"/>
        <w:jc w:val="left"/>
      </w:pPr>
      <w:r w:rsidRPr="00341535">
        <w:t>ISPM 28 (2017). Phytosanitary treatments for regulated pests, PT 23: Sulphuryl fluoride fumigation treatment for nematodes and insects in debarked wood. Food and Agriculture Organization of the United Nations, International Plant Protection Convention</w:t>
      </w:r>
    </w:p>
    <w:p w14:paraId="15B2B514" w14:textId="77777777" w:rsidR="00944FC9" w:rsidRPr="00A441E5" w:rsidRDefault="00944FC9" w:rsidP="00944FC9">
      <w:pPr>
        <w:pStyle w:val="References"/>
        <w:jc w:val="left"/>
        <w:rPr>
          <w:lang w:val="en-US"/>
        </w:rPr>
      </w:pPr>
      <w:proofErr w:type="spellStart"/>
      <w:r w:rsidRPr="00341535">
        <w:t>Jagadeesan</w:t>
      </w:r>
      <w:proofErr w:type="spellEnd"/>
      <w:r w:rsidRPr="00341535">
        <w:t xml:space="preserve">, R., Collins, P. J., Daglish, G. J., Ebert, P. R., </w:t>
      </w:r>
      <w:proofErr w:type="spellStart"/>
      <w:r w:rsidRPr="00341535">
        <w:t>Schlipalius</w:t>
      </w:r>
      <w:proofErr w:type="spellEnd"/>
      <w:r w:rsidRPr="00341535">
        <w:t xml:space="preserve">, D. I. (2012). </w:t>
      </w:r>
      <w:r w:rsidRPr="00341535">
        <w:rPr>
          <w:lang w:val="en-US"/>
        </w:rPr>
        <w:t xml:space="preserve">Phosphine resistance in the rust red flour beetle, </w:t>
      </w:r>
      <w:proofErr w:type="spellStart"/>
      <w:r w:rsidRPr="00341535">
        <w:rPr>
          <w:i/>
          <w:lang w:val="en-US"/>
        </w:rPr>
        <w:t>Tribolium</w:t>
      </w:r>
      <w:proofErr w:type="spellEnd"/>
      <w:r w:rsidRPr="00341535">
        <w:rPr>
          <w:i/>
          <w:lang w:val="en-US"/>
        </w:rPr>
        <w:t xml:space="preserve"> </w:t>
      </w:r>
      <w:proofErr w:type="spellStart"/>
      <w:r w:rsidRPr="00341535">
        <w:rPr>
          <w:i/>
          <w:lang w:val="en-US"/>
        </w:rPr>
        <w:t>castaneum</w:t>
      </w:r>
      <w:proofErr w:type="spellEnd"/>
      <w:r w:rsidRPr="00341535">
        <w:rPr>
          <w:lang w:val="en-US"/>
        </w:rPr>
        <w:t xml:space="preserve"> (</w:t>
      </w:r>
      <w:proofErr w:type="spellStart"/>
      <w:r w:rsidRPr="00341535">
        <w:rPr>
          <w:lang w:val="en-US"/>
        </w:rPr>
        <w:t>Coleoptera</w:t>
      </w:r>
      <w:proofErr w:type="spellEnd"/>
      <w:r w:rsidRPr="00341535">
        <w:rPr>
          <w:lang w:val="en-US"/>
        </w:rPr>
        <w:t xml:space="preserve">: </w:t>
      </w:r>
      <w:proofErr w:type="spellStart"/>
      <w:r w:rsidRPr="00341535">
        <w:rPr>
          <w:lang w:val="en-US"/>
        </w:rPr>
        <w:t>Tenebrionidae</w:t>
      </w:r>
      <w:proofErr w:type="spellEnd"/>
      <w:r w:rsidRPr="00341535">
        <w:rPr>
          <w:lang w:val="en-US"/>
        </w:rPr>
        <w:t xml:space="preserve">): Inheritance, gene interactions and fitness costs. </w:t>
      </w:r>
      <w:proofErr w:type="spellStart"/>
      <w:r w:rsidRPr="00A441E5">
        <w:rPr>
          <w:i/>
          <w:iCs/>
          <w:lang w:val="en-US"/>
        </w:rPr>
        <w:t>PLoS</w:t>
      </w:r>
      <w:proofErr w:type="spellEnd"/>
      <w:r w:rsidRPr="00A441E5">
        <w:rPr>
          <w:i/>
          <w:iCs/>
          <w:lang w:val="en-US"/>
        </w:rPr>
        <w:t xml:space="preserve"> ONE</w:t>
      </w:r>
      <w:r w:rsidRPr="00A441E5">
        <w:rPr>
          <w:lang w:val="en-US"/>
        </w:rPr>
        <w:t xml:space="preserve"> 7, e31582.</w:t>
      </w:r>
    </w:p>
    <w:p w14:paraId="03D96B94" w14:textId="77777777" w:rsidR="00944FC9" w:rsidRDefault="00944FC9" w:rsidP="00944FC9">
      <w:pPr>
        <w:pStyle w:val="References"/>
        <w:jc w:val="left"/>
        <w:rPr>
          <w:rFonts w:eastAsiaTheme="minorEastAsia"/>
          <w:lang w:eastAsia="ja-JP"/>
        </w:rPr>
      </w:pPr>
      <w:r w:rsidRPr="00341535">
        <w:rPr>
          <w:rFonts w:eastAsiaTheme="minorEastAsia"/>
          <w:lang w:eastAsia="ja-JP"/>
        </w:rPr>
        <w:t xml:space="preserve">Jamieson, L. E., Page-Weir, N. E. M., </w:t>
      </w:r>
      <w:proofErr w:type="spellStart"/>
      <w:r w:rsidRPr="00341535">
        <w:rPr>
          <w:rFonts w:eastAsiaTheme="minorEastAsia"/>
          <w:lang w:eastAsia="ja-JP"/>
        </w:rPr>
        <w:t>Wikinson</w:t>
      </w:r>
      <w:proofErr w:type="spellEnd"/>
      <w:r w:rsidRPr="00341535">
        <w:rPr>
          <w:rFonts w:eastAsiaTheme="minorEastAsia"/>
          <w:lang w:eastAsia="ja-JP"/>
        </w:rPr>
        <w:t xml:space="preserve">, R. T., Redpath, S. P., Hawthorne, A. J., Brown, S. D. J., </w:t>
      </w:r>
      <w:proofErr w:type="spellStart"/>
      <w:r w:rsidRPr="00341535">
        <w:rPr>
          <w:rFonts w:eastAsiaTheme="minorEastAsia"/>
          <w:lang w:eastAsia="ja-JP"/>
        </w:rPr>
        <w:t>Aalders</w:t>
      </w:r>
      <w:proofErr w:type="spellEnd"/>
      <w:r w:rsidRPr="00341535">
        <w:rPr>
          <w:rFonts w:eastAsiaTheme="minorEastAsia"/>
          <w:lang w:eastAsia="ja-JP"/>
        </w:rPr>
        <w:t xml:space="preserve">, L. T., </w:t>
      </w:r>
      <w:proofErr w:type="spellStart"/>
      <w:r w:rsidRPr="00341535">
        <w:rPr>
          <w:rFonts w:eastAsiaTheme="minorEastAsia"/>
          <w:lang w:eastAsia="ja-JP"/>
        </w:rPr>
        <w:t>Tunupopo</w:t>
      </w:r>
      <w:proofErr w:type="spellEnd"/>
      <w:r w:rsidRPr="00341535">
        <w:rPr>
          <w:rFonts w:eastAsiaTheme="minorEastAsia"/>
          <w:lang w:eastAsia="ja-JP"/>
        </w:rPr>
        <w:t xml:space="preserve">, F., </w:t>
      </w:r>
      <w:proofErr w:type="spellStart"/>
      <w:r w:rsidRPr="00341535">
        <w:rPr>
          <w:rFonts w:eastAsiaTheme="minorEastAsia"/>
          <w:lang w:eastAsia="ja-JP"/>
        </w:rPr>
        <w:t>Tugaga</w:t>
      </w:r>
      <w:proofErr w:type="spellEnd"/>
      <w:r w:rsidRPr="00341535">
        <w:rPr>
          <w:rFonts w:eastAsiaTheme="minorEastAsia"/>
          <w:lang w:eastAsia="ja-JP"/>
        </w:rPr>
        <w:t xml:space="preserve">, A., </w:t>
      </w:r>
      <w:proofErr w:type="spellStart"/>
      <w:r w:rsidRPr="00341535">
        <w:rPr>
          <w:rFonts w:eastAsiaTheme="minorEastAsia"/>
          <w:lang w:eastAsia="ja-JP"/>
        </w:rPr>
        <w:t>To’omata</w:t>
      </w:r>
      <w:proofErr w:type="spellEnd"/>
      <w:r w:rsidRPr="00341535">
        <w:rPr>
          <w:rFonts w:eastAsiaTheme="minorEastAsia"/>
          <w:lang w:eastAsia="ja-JP"/>
        </w:rPr>
        <w:t xml:space="preserve">, T., Shah, F., Armstrong, J. W., Woolf A. B. (2018). Developing risk management treatments for taro from the Pacific islands. </w:t>
      </w:r>
      <w:r w:rsidRPr="00341535">
        <w:rPr>
          <w:rFonts w:eastAsiaTheme="minorEastAsia"/>
          <w:i/>
          <w:iCs/>
          <w:lang w:eastAsia="ja-JP"/>
        </w:rPr>
        <w:t>New Zealand Plant Protection</w:t>
      </w:r>
      <w:r w:rsidRPr="00341535">
        <w:rPr>
          <w:rFonts w:eastAsiaTheme="minorEastAsia"/>
          <w:lang w:eastAsia="ja-JP"/>
        </w:rPr>
        <w:t xml:space="preserve"> 71, 81-92.</w:t>
      </w:r>
    </w:p>
    <w:p w14:paraId="4700BFCB" w14:textId="77777777" w:rsidR="00944FC9" w:rsidRPr="005B36CB" w:rsidRDefault="00944FC9" w:rsidP="00944FC9">
      <w:pPr>
        <w:pStyle w:val="References"/>
        <w:jc w:val="left"/>
        <w:rPr>
          <w:rFonts w:eastAsiaTheme="minorEastAsia"/>
          <w:lang w:eastAsia="ja-JP"/>
        </w:rPr>
      </w:pPr>
      <w:r w:rsidRPr="005B36CB">
        <w:rPr>
          <w:rFonts w:cs="Calibri"/>
          <w:color w:val="000000"/>
        </w:rPr>
        <w:t xml:space="preserve">Jiao, Y., Zhang, W., Kim, J.Y.R. et al. (2022) Application of </w:t>
      </w:r>
      <w:proofErr w:type="gramStart"/>
      <w:r w:rsidRPr="005B36CB">
        <w:rPr>
          <w:rFonts w:cs="Calibri"/>
          <w:color w:val="000000"/>
        </w:rPr>
        <w:t>copper(</w:t>
      </w:r>
      <w:proofErr w:type="gramEnd"/>
      <w:r w:rsidRPr="005B36CB">
        <w:rPr>
          <w:rFonts w:cs="Calibri"/>
          <w:color w:val="000000"/>
        </w:rPr>
        <w:t xml:space="preserve">II)-based chemicals induces CH3Br and CH3Cl emissions from soil and seawater. Nat </w:t>
      </w:r>
      <w:proofErr w:type="spellStart"/>
      <w:r w:rsidRPr="005B36CB">
        <w:rPr>
          <w:rFonts w:cs="Calibri"/>
          <w:color w:val="000000"/>
        </w:rPr>
        <w:t>Commun</w:t>
      </w:r>
      <w:proofErr w:type="spellEnd"/>
      <w:r w:rsidRPr="005B36CB">
        <w:rPr>
          <w:rFonts w:cs="Calibri"/>
          <w:color w:val="000000"/>
        </w:rPr>
        <w:t xml:space="preserve"> 13, 47.</w:t>
      </w:r>
      <w:r w:rsidRPr="005B36CB">
        <w:rPr>
          <w:rStyle w:val="apple-converted-space"/>
          <w:rFonts w:ascii="Garamond" w:hAnsi="Garamond" w:cs="Calibri"/>
        </w:rPr>
        <w:t> </w:t>
      </w:r>
      <w:hyperlink r:id="rId58" w:history="1">
        <w:r w:rsidRPr="005B36CB">
          <w:rPr>
            <w:rStyle w:val="Hyperlink"/>
            <w:rFonts w:cs="Calibri"/>
          </w:rPr>
          <w:t>https://doi.org/10.1038/s41467-021-27779-3</w:t>
        </w:r>
      </w:hyperlink>
    </w:p>
    <w:p w14:paraId="02CA9CFA" w14:textId="77777777" w:rsidR="00944FC9" w:rsidRDefault="00944FC9" w:rsidP="00944FC9">
      <w:pPr>
        <w:pStyle w:val="References"/>
        <w:jc w:val="left"/>
      </w:pPr>
      <w:r>
        <w:t xml:space="preserve">Kawagoe, J.C., Abrams, A.E., Lourie, A.P., and </w:t>
      </w:r>
      <w:proofErr w:type="spellStart"/>
      <w:r>
        <w:t>Walse</w:t>
      </w:r>
      <w:proofErr w:type="spellEnd"/>
      <w:r>
        <w:t xml:space="preserve">, S.S. (2022). Ethyl </w:t>
      </w:r>
      <w:proofErr w:type="spellStart"/>
      <w:r>
        <w:t>formate</w:t>
      </w:r>
      <w:proofErr w:type="spellEnd"/>
      <w:r>
        <w:t xml:space="preserve"> dilution in carbon dioxide for fumigation control of the brown </w:t>
      </w:r>
      <w:proofErr w:type="spellStart"/>
      <w:r>
        <w:t>marborated</w:t>
      </w:r>
      <w:proofErr w:type="spellEnd"/>
      <w:r>
        <w:t xml:space="preserve"> stink bug </w:t>
      </w:r>
      <w:proofErr w:type="spellStart"/>
      <w:r w:rsidRPr="001E51FC">
        <w:rPr>
          <w:i/>
          <w:iCs/>
        </w:rPr>
        <w:t>Halyomorpha</w:t>
      </w:r>
      <w:proofErr w:type="spellEnd"/>
      <w:r w:rsidRPr="001E51FC">
        <w:rPr>
          <w:i/>
          <w:iCs/>
        </w:rPr>
        <w:t xml:space="preserve"> </w:t>
      </w:r>
      <w:proofErr w:type="spellStart"/>
      <w:r w:rsidRPr="001E51FC">
        <w:rPr>
          <w:i/>
          <w:iCs/>
        </w:rPr>
        <w:t>halys</w:t>
      </w:r>
      <w:proofErr w:type="spellEnd"/>
      <w:r>
        <w:t xml:space="preserve">, </w:t>
      </w:r>
      <w:proofErr w:type="spellStart"/>
      <w:r>
        <w:t>St</w:t>
      </w:r>
      <w:r>
        <w:rPr>
          <w:rFonts w:cs="Arial"/>
        </w:rPr>
        <w:t>å</w:t>
      </w:r>
      <w:r>
        <w:t>l</w:t>
      </w:r>
      <w:proofErr w:type="spellEnd"/>
      <w:r>
        <w:t xml:space="preserve"> (</w:t>
      </w:r>
      <w:r w:rsidRPr="001E51FC">
        <w:rPr>
          <w:i/>
          <w:iCs/>
        </w:rPr>
        <w:t xml:space="preserve">Hemiptera: </w:t>
      </w:r>
      <w:proofErr w:type="spellStart"/>
      <w:r w:rsidRPr="001E51FC">
        <w:rPr>
          <w:i/>
          <w:iCs/>
        </w:rPr>
        <w:t>Pentatomidae</w:t>
      </w:r>
      <w:proofErr w:type="spellEnd"/>
      <w:r>
        <w:t xml:space="preserve">). </w:t>
      </w:r>
      <w:r w:rsidRPr="00C37A5D">
        <w:rPr>
          <w:i/>
          <w:iCs/>
        </w:rPr>
        <w:t xml:space="preserve">Pest </w:t>
      </w:r>
      <w:proofErr w:type="spellStart"/>
      <w:r w:rsidRPr="00C37A5D">
        <w:rPr>
          <w:i/>
          <w:iCs/>
        </w:rPr>
        <w:t>Manag</w:t>
      </w:r>
      <w:proofErr w:type="spellEnd"/>
      <w:r w:rsidRPr="00C37A5D">
        <w:rPr>
          <w:i/>
          <w:iCs/>
        </w:rPr>
        <w:t xml:space="preserve"> Sci</w:t>
      </w:r>
      <w:r>
        <w:rPr>
          <w:i/>
          <w:iCs/>
        </w:rPr>
        <w:t>.</w:t>
      </w:r>
      <w:r>
        <w:t xml:space="preserve"> </w:t>
      </w:r>
      <w:hyperlink r:id="rId59" w:history="1">
        <w:r w:rsidRPr="004232D3">
          <w:rPr>
            <w:rStyle w:val="Hyperlink"/>
          </w:rPr>
          <w:t>https://doi.org/10.1002/ps.6935</w:t>
        </w:r>
      </w:hyperlink>
      <w:r>
        <w:t>.</w:t>
      </w:r>
    </w:p>
    <w:p w14:paraId="2EFC7BE2" w14:textId="77777777" w:rsidR="00AC39D0" w:rsidRDefault="00AC39D0" w:rsidP="00AC39D0">
      <w:pPr>
        <w:pStyle w:val="References"/>
        <w:jc w:val="left"/>
      </w:pPr>
      <w:r w:rsidRPr="00921DAF">
        <w:t xml:space="preserve">Kim, </w:t>
      </w:r>
      <w:proofErr w:type="spellStart"/>
      <w:proofErr w:type="gramStart"/>
      <w:r w:rsidRPr="00921DAF">
        <w:t>D.,Kim</w:t>
      </w:r>
      <w:proofErr w:type="spellEnd"/>
      <w:proofErr w:type="gramEnd"/>
      <w:r w:rsidRPr="00921DAF">
        <w:t xml:space="preserve">, K., Park, M., </w:t>
      </w:r>
      <w:proofErr w:type="spellStart"/>
      <w:r w:rsidRPr="00921DAF">
        <w:t>Roh</w:t>
      </w:r>
      <w:proofErr w:type="spellEnd"/>
      <w:r w:rsidRPr="00921DAF">
        <w:t xml:space="preserve">, G., Cha, D. (2021). New feasible quarantine disinfestation using ethyl </w:t>
      </w:r>
      <w:proofErr w:type="spellStart"/>
      <w:r w:rsidRPr="00921DAF">
        <w:t>formate</w:t>
      </w:r>
      <w:proofErr w:type="spellEnd"/>
      <w:r w:rsidRPr="00921DAF">
        <w:t xml:space="preserve"> for termites and ants on imported lumber. Journal of Asia-Pacific Entomology 24(4): 969-974.</w:t>
      </w:r>
    </w:p>
    <w:p w14:paraId="5E8681B7" w14:textId="77777777" w:rsidR="002C0D7B" w:rsidRPr="002C0D7B" w:rsidRDefault="00AC39D0" w:rsidP="00AC39D0">
      <w:pPr>
        <w:pStyle w:val="References"/>
        <w:jc w:val="left"/>
        <w:rPr>
          <w:rFonts w:eastAsia="SimSun"/>
        </w:rPr>
      </w:pPr>
      <w:r w:rsidRPr="00921DAF">
        <w:lastRenderedPageBreak/>
        <w:t xml:space="preserve">Kim, K., Park, M., Lee, Y., Jeon, H., Kwon, T., Kim, C., Park, J., Lee, B., Yang, J., Lee, S. (2021) Synergistic Effects and Toxic Mechanism of Phosphine with Ethyl </w:t>
      </w:r>
      <w:proofErr w:type="spellStart"/>
      <w:r w:rsidRPr="00921DAF">
        <w:t>Formate</w:t>
      </w:r>
      <w:proofErr w:type="spellEnd"/>
      <w:r w:rsidRPr="00921DAF">
        <w:t xml:space="preserve"> against Citrus Mealybug (</w:t>
      </w:r>
      <w:proofErr w:type="spellStart"/>
      <w:r w:rsidRPr="00921DAF">
        <w:t>Planococcus</w:t>
      </w:r>
      <w:proofErr w:type="spellEnd"/>
      <w:r w:rsidRPr="00921DAF">
        <w:t xml:space="preserve"> </w:t>
      </w:r>
      <w:proofErr w:type="spellStart"/>
      <w:r w:rsidRPr="00921DAF">
        <w:t>citri</w:t>
      </w:r>
      <w:proofErr w:type="spellEnd"/>
      <w:r w:rsidRPr="00921DAF">
        <w:t>). Applied Sciences 11: 21, 9877. https://doi.org/10.3390/app11219877</w:t>
      </w:r>
      <w:r w:rsidR="00944FC9" w:rsidRPr="00BF0FD5">
        <w:rPr>
          <w:lang w:eastAsia="ja-JP"/>
        </w:rPr>
        <w:t>Kw</w:t>
      </w:r>
      <w:r w:rsidR="00944FC9">
        <w:rPr>
          <w:lang w:eastAsia="ja-JP"/>
        </w:rPr>
        <w:t xml:space="preserve">on, T.H. Park, C.G, Lee, B.-H., </w:t>
      </w:r>
      <w:proofErr w:type="spellStart"/>
      <w:r w:rsidR="00944FC9">
        <w:rPr>
          <w:lang w:eastAsia="ja-JP"/>
        </w:rPr>
        <w:t>Zarders</w:t>
      </w:r>
      <w:proofErr w:type="spellEnd"/>
      <w:r w:rsidR="00944FC9">
        <w:rPr>
          <w:lang w:eastAsia="ja-JP"/>
        </w:rPr>
        <w:t xml:space="preserve">, D.R., </w:t>
      </w:r>
      <w:proofErr w:type="spellStart"/>
      <w:r w:rsidR="00944FC9">
        <w:rPr>
          <w:lang w:eastAsia="ja-JP"/>
        </w:rPr>
        <w:t>Roh</w:t>
      </w:r>
      <w:proofErr w:type="spellEnd"/>
      <w:r w:rsidR="00944FC9">
        <w:rPr>
          <w:lang w:eastAsia="ja-JP"/>
        </w:rPr>
        <w:t xml:space="preserve">, G.H., Kendra, P.E., and Cha, D.H. 2021a. </w:t>
      </w:r>
      <w:r w:rsidR="00944FC9" w:rsidRPr="00A26AFF">
        <w:rPr>
          <w:lang w:eastAsia="ja-JP"/>
        </w:rPr>
        <w:t xml:space="preserve">Ethyl </w:t>
      </w:r>
      <w:proofErr w:type="spellStart"/>
      <w:r w:rsidR="00944FC9" w:rsidRPr="00A26AFF">
        <w:rPr>
          <w:lang w:eastAsia="ja-JP"/>
        </w:rPr>
        <w:t>formate</w:t>
      </w:r>
      <w:proofErr w:type="spellEnd"/>
      <w:r w:rsidR="00944FC9" w:rsidRPr="00A26AFF">
        <w:rPr>
          <w:lang w:eastAsia="ja-JP"/>
        </w:rPr>
        <w:t xml:space="preserve"> fumigation and ethyl </w:t>
      </w:r>
      <w:proofErr w:type="spellStart"/>
      <w:r w:rsidR="00944FC9" w:rsidRPr="00A26AFF">
        <w:rPr>
          <w:lang w:eastAsia="ja-JP"/>
        </w:rPr>
        <w:t>formate</w:t>
      </w:r>
      <w:proofErr w:type="spellEnd"/>
      <w:r w:rsidR="00944FC9" w:rsidRPr="00A26AFF">
        <w:rPr>
          <w:lang w:eastAsia="ja-JP"/>
        </w:rPr>
        <w:t xml:space="preserve"> plus cold treatment combination as potential phytosanitary quarantine treatments of </w:t>
      </w:r>
      <w:r w:rsidR="00944FC9" w:rsidRPr="00BF0FD5">
        <w:rPr>
          <w:i/>
          <w:iCs/>
          <w:lang w:eastAsia="ja-JP"/>
        </w:rPr>
        <w:t xml:space="preserve">Drosophila </w:t>
      </w:r>
      <w:proofErr w:type="spellStart"/>
      <w:r w:rsidR="00944FC9" w:rsidRPr="00BF0FD5">
        <w:rPr>
          <w:i/>
          <w:iCs/>
          <w:lang w:eastAsia="ja-JP"/>
        </w:rPr>
        <w:t>suzukii</w:t>
      </w:r>
      <w:proofErr w:type="spellEnd"/>
      <w:r w:rsidR="00944FC9" w:rsidRPr="00A26AFF">
        <w:rPr>
          <w:lang w:eastAsia="ja-JP"/>
        </w:rPr>
        <w:t xml:space="preserve"> in blueberries</w:t>
      </w:r>
      <w:r w:rsidR="00944FC9">
        <w:rPr>
          <w:lang w:eastAsia="ja-JP"/>
        </w:rPr>
        <w:t xml:space="preserve">. J. Asia-Pacific </w:t>
      </w:r>
      <w:proofErr w:type="spellStart"/>
      <w:r w:rsidR="00944FC9">
        <w:rPr>
          <w:lang w:eastAsia="ja-JP"/>
        </w:rPr>
        <w:t>Entomol</w:t>
      </w:r>
      <w:proofErr w:type="spellEnd"/>
      <w:r w:rsidR="00944FC9">
        <w:rPr>
          <w:lang w:eastAsia="ja-JP"/>
        </w:rPr>
        <w:t xml:space="preserve"> 24:129-135. </w:t>
      </w:r>
      <w:r w:rsidR="00944FC9" w:rsidRPr="00A26AFF">
        <w:rPr>
          <w:lang w:eastAsia="ja-JP"/>
        </w:rPr>
        <w:t>https://doi.org/10.1016/j.aspen.2020.11.008.</w:t>
      </w:r>
      <w:r w:rsidR="00944FC9" w:rsidRPr="00BF0FD5">
        <w:rPr>
          <w:rFonts w:eastAsia="SimSun"/>
        </w:rPr>
        <w:t xml:space="preserve"> </w:t>
      </w:r>
    </w:p>
    <w:p w14:paraId="34453E1B" w14:textId="692B39DF" w:rsidR="00944FC9" w:rsidRDefault="00944FC9" w:rsidP="00944FC9">
      <w:pPr>
        <w:pStyle w:val="References"/>
        <w:jc w:val="left"/>
      </w:pPr>
      <w:r>
        <w:t xml:space="preserve">Kwon, T., Kim, D.B., Kim, K.W., Park, M.G., </w:t>
      </w:r>
      <w:proofErr w:type="spellStart"/>
      <w:r>
        <w:t>Roh</w:t>
      </w:r>
      <w:proofErr w:type="spellEnd"/>
      <w:r>
        <w:t xml:space="preserve">, G.H. and Lee, B.H. 2021b. Scaled-up ethyl </w:t>
      </w:r>
      <w:proofErr w:type="spellStart"/>
      <w:r>
        <w:t>formate</w:t>
      </w:r>
      <w:proofErr w:type="spellEnd"/>
      <w:r>
        <w:t xml:space="preserve"> fumigation to replace methyl bromide on traded mushroom to disinfest mushroom fly (</w:t>
      </w:r>
      <w:proofErr w:type="spellStart"/>
      <w:r>
        <w:rPr>
          <w:i/>
          <w:iCs/>
        </w:rPr>
        <w:t>Lycoriella</w:t>
      </w:r>
      <w:proofErr w:type="spellEnd"/>
      <w:r>
        <w:rPr>
          <w:i/>
          <w:iCs/>
        </w:rPr>
        <w:t xml:space="preserve"> </w:t>
      </w:r>
      <w:proofErr w:type="spellStart"/>
      <w:r>
        <w:rPr>
          <w:i/>
          <w:iCs/>
        </w:rPr>
        <w:t>mali</w:t>
      </w:r>
      <w:proofErr w:type="spellEnd"/>
      <w:r>
        <w:t xml:space="preserve">). </w:t>
      </w:r>
      <w:proofErr w:type="spellStart"/>
      <w:r>
        <w:rPr>
          <w:i/>
          <w:iCs/>
        </w:rPr>
        <w:t>Appl</w:t>
      </w:r>
      <w:proofErr w:type="spellEnd"/>
      <w:r>
        <w:rPr>
          <w:i/>
          <w:iCs/>
        </w:rPr>
        <w:t xml:space="preserve"> </w:t>
      </w:r>
      <w:proofErr w:type="spellStart"/>
      <w:r>
        <w:rPr>
          <w:i/>
          <w:iCs/>
        </w:rPr>
        <w:t>Biol</w:t>
      </w:r>
      <w:proofErr w:type="spellEnd"/>
      <w:r>
        <w:rPr>
          <w:i/>
          <w:iCs/>
        </w:rPr>
        <w:t xml:space="preserve"> </w:t>
      </w:r>
      <w:proofErr w:type="spellStart"/>
      <w:r>
        <w:rPr>
          <w:i/>
          <w:iCs/>
        </w:rPr>
        <w:t>Chem</w:t>
      </w:r>
      <w:proofErr w:type="spellEnd"/>
      <w:r>
        <w:t xml:space="preserve"> </w:t>
      </w:r>
      <w:r>
        <w:rPr>
          <w:b/>
          <w:bCs/>
        </w:rPr>
        <w:t xml:space="preserve">64, </w:t>
      </w:r>
      <w:r>
        <w:t xml:space="preserve">64 (2021). </w:t>
      </w:r>
      <w:hyperlink r:id="rId60" w:history="1">
        <w:r w:rsidRPr="00E47297">
          <w:rPr>
            <w:rStyle w:val="Hyperlink"/>
          </w:rPr>
          <w:t>https://doi.org/10.1186/s13765-021-00635-0</w:t>
        </w:r>
      </w:hyperlink>
    </w:p>
    <w:p w14:paraId="5F6C5D43" w14:textId="77777777" w:rsidR="00944FC9" w:rsidRDefault="00944FC9" w:rsidP="00944FC9">
      <w:pPr>
        <w:pStyle w:val="References"/>
        <w:jc w:val="left"/>
      </w:pPr>
      <w:r w:rsidRPr="00341535">
        <w:rPr>
          <w:lang w:val="en-US"/>
        </w:rPr>
        <w:t xml:space="preserve">La Fage, J. P., Jones, M., Lawrence, T. (1982). </w:t>
      </w:r>
      <w:r w:rsidRPr="00341535">
        <w:t>A laboratory evaluation of the fumigant, sulfuryl fluoride (</w:t>
      </w:r>
      <w:proofErr w:type="spellStart"/>
      <w:r w:rsidRPr="00341535">
        <w:t>Vikane</w:t>
      </w:r>
      <w:proofErr w:type="spellEnd"/>
      <w:r w:rsidRPr="00341535">
        <w:t xml:space="preserve">), against the Formosan termite </w:t>
      </w:r>
      <w:proofErr w:type="spellStart"/>
      <w:r w:rsidRPr="00341535">
        <w:rPr>
          <w:i/>
          <w:iCs/>
        </w:rPr>
        <w:t>Coptotermes</w:t>
      </w:r>
      <w:proofErr w:type="spellEnd"/>
      <w:r w:rsidRPr="00341535">
        <w:rPr>
          <w:i/>
          <w:iCs/>
        </w:rPr>
        <w:t xml:space="preserve"> </w:t>
      </w:r>
      <w:proofErr w:type="spellStart"/>
      <w:r w:rsidRPr="00341535">
        <w:rPr>
          <w:i/>
          <w:iCs/>
        </w:rPr>
        <w:t>formosanus</w:t>
      </w:r>
      <w:proofErr w:type="spellEnd"/>
      <w:r w:rsidRPr="00341535">
        <w:rPr>
          <w:i/>
          <w:iCs/>
        </w:rPr>
        <w:t xml:space="preserve"> </w:t>
      </w:r>
      <w:proofErr w:type="spellStart"/>
      <w:r w:rsidRPr="00341535">
        <w:t>Shiraki</w:t>
      </w:r>
      <w:proofErr w:type="spellEnd"/>
      <w:r w:rsidRPr="00341535">
        <w:t xml:space="preserve">. International Research Group on Wood Protection (IRGWP), </w:t>
      </w:r>
      <w:r w:rsidRPr="00341535">
        <w:rPr>
          <w:i/>
          <w:iCs/>
        </w:rPr>
        <w:t>Thirteenth Annual Meeting</w:t>
      </w:r>
      <w:r w:rsidRPr="00341535">
        <w:t xml:space="preserve">. </w:t>
      </w:r>
      <w:r w:rsidRPr="00341535">
        <w:rPr>
          <w:lang w:val="en-US"/>
        </w:rPr>
        <w:t>Stockholm, May, 1982. Stockholm, IRGWP Secretariat</w:t>
      </w:r>
    </w:p>
    <w:p w14:paraId="5B42A9CE" w14:textId="77777777" w:rsidR="00944FC9" w:rsidRPr="00341535" w:rsidRDefault="00944FC9" w:rsidP="00944FC9">
      <w:pPr>
        <w:pStyle w:val="References"/>
        <w:jc w:val="left"/>
      </w:pPr>
      <w:r w:rsidRPr="00341535">
        <w:rPr>
          <w:lang w:val="en-US"/>
        </w:rPr>
        <w:t xml:space="preserve">Lagunas-Solar, M.C., Zeng, N.X., Essert, T.E., Truong, T.D. and Piña, U.C. (2006). </w:t>
      </w:r>
      <w:r w:rsidRPr="00341535">
        <w:t>Radiofrequency power disinfects and disinfests food, soils and wastewater. California Agriculture 60:192-199.</w:t>
      </w:r>
    </w:p>
    <w:p w14:paraId="27793534" w14:textId="77777777" w:rsidR="00944FC9" w:rsidRPr="00341535" w:rsidRDefault="00944FC9" w:rsidP="00944FC9">
      <w:pPr>
        <w:pStyle w:val="References"/>
        <w:jc w:val="left"/>
        <w:rPr>
          <w:lang w:eastAsia="ja-JP"/>
        </w:rPr>
      </w:pPr>
      <w:proofErr w:type="spellStart"/>
      <w:r w:rsidRPr="00341535">
        <w:rPr>
          <w:lang w:eastAsia="ja-JP"/>
        </w:rPr>
        <w:t>Lampiri</w:t>
      </w:r>
      <w:proofErr w:type="spellEnd"/>
      <w:r w:rsidRPr="00341535">
        <w:rPr>
          <w:lang w:eastAsia="ja-JP"/>
        </w:rPr>
        <w:t xml:space="preserve">, E., </w:t>
      </w:r>
      <w:proofErr w:type="spellStart"/>
      <w:r w:rsidRPr="00341535">
        <w:rPr>
          <w:lang w:eastAsia="ja-JP"/>
        </w:rPr>
        <w:t>Agrafioti</w:t>
      </w:r>
      <w:proofErr w:type="spellEnd"/>
      <w:r w:rsidRPr="00341535">
        <w:rPr>
          <w:lang w:eastAsia="ja-JP"/>
        </w:rPr>
        <w:t xml:space="preserve">, P. and </w:t>
      </w:r>
      <w:proofErr w:type="spellStart"/>
      <w:r w:rsidRPr="00341535">
        <w:rPr>
          <w:lang w:eastAsia="ja-JP"/>
        </w:rPr>
        <w:t>Athanassiou</w:t>
      </w:r>
      <w:proofErr w:type="spellEnd"/>
      <w:r w:rsidRPr="00341535">
        <w:rPr>
          <w:lang w:eastAsia="ja-JP"/>
        </w:rPr>
        <w:t xml:space="preserve">, C.G. 2021 Delayed mortality, resistance and the sweet spot, as the good, the bad and the ugly in phosphine use. Sci Rep 11, 3933 (2021). </w:t>
      </w:r>
      <w:hyperlink r:id="rId61" w:history="1">
        <w:r w:rsidRPr="00341535">
          <w:rPr>
            <w:lang w:eastAsia="ja-JP"/>
          </w:rPr>
          <w:t>https://doi.org/10.1038/s41598-021-83463-y</w:t>
        </w:r>
      </w:hyperlink>
    </w:p>
    <w:p w14:paraId="6FFADEE9" w14:textId="77777777" w:rsidR="00944FC9" w:rsidRPr="00341535" w:rsidRDefault="00944FC9" w:rsidP="00944FC9">
      <w:pPr>
        <w:pStyle w:val="References"/>
        <w:jc w:val="left"/>
        <w:rPr>
          <w:lang w:eastAsia="ja-JP"/>
        </w:rPr>
      </w:pPr>
      <w:proofErr w:type="spellStart"/>
      <w:r w:rsidRPr="00341535">
        <w:rPr>
          <w:lang w:eastAsia="ja-JP"/>
        </w:rPr>
        <w:t>Lampiri</w:t>
      </w:r>
      <w:proofErr w:type="spellEnd"/>
      <w:r w:rsidRPr="00341535">
        <w:rPr>
          <w:lang w:eastAsia="ja-JP"/>
        </w:rPr>
        <w:t>. E., and </w:t>
      </w:r>
      <w:proofErr w:type="spellStart"/>
      <w:r w:rsidRPr="00341535">
        <w:rPr>
          <w:lang w:eastAsia="ja-JP"/>
        </w:rPr>
        <w:t>Athanassiou.C.G</w:t>
      </w:r>
      <w:proofErr w:type="spellEnd"/>
      <w:r w:rsidRPr="00341535">
        <w:rPr>
          <w:lang w:eastAsia="ja-JP"/>
        </w:rPr>
        <w:t xml:space="preserve">. 2021. Insecticidal Effect of Phosphine on Eggs of the </w:t>
      </w:r>
      <w:proofErr w:type="spellStart"/>
      <w:r w:rsidRPr="00341535">
        <w:rPr>
          <w:lang w:eastAsia="ja-JP"/>
        </w:rPr>
        <w:t>Khapra</w:t>
      </w:r>
      <w:proofErr w:type="spellEnd"/>
      <w:r w:rsidRPr="00341535">
        <w:rPr>
          <w:lang w:eastAsia="ja-JP"/>
        </w:rPr>
        <w:t xml:space="preserve"> Beetle (</w:t>
      </w:r>
      <w:proofErr w:type="spellStart"/>
      <w:r w:rsidRPr="00341535">
        <w:rPr>
          <w:lang w:eastAsia="ja-JP"/>
        </w:rPr>
        <w:t>Coleoptera</w:t>
      </w:r>
      <w:proofErr w:type="spellEnd"/>
      <w:r w:rsidRPr="00341535">
        <w:rPr>
          <w:lang w:eastAsia="ja-JP"/>
        </w:rPr>
        <w:t xml:space="preserve">: </w:t>
      </w:r>
      <w:proofErr w:type="spellStart"/>
      <w:r w:rsidRPr="00341535">
        <w:rPr>
          <w:lang w:eastAsia="ja-JP"/>
        </w:rPr>
        <w:t>Dermestidae</w:t>
      </w:r>
      <w:proofErr w:type="spellEnd"/>
      <w:r w:rsidRPr="00341535">
        <w:rPr>
          <w:lang w:eastAsia="ja-JP"/>
        </w:rPr>
        <w:t>). Journal of Economic Entomology 114(3), 1389-1400, (11 May 2021). </w:t>
      </w:r>
      <w:hyperlink r:id="rId62" w:history="1">
        <w:r w:rsidRPr="00341535">
          <w:rPr>
            <w:lang w:eastAsia="ja-JP"/>
          </w:rPr>
          <w:t>https://doi.org/10.1093/jee/toab074\</w:t>
        </w:r>
      </w:hyperlink>
    </w:p>
    <w:p w14:paraId="06467461" w14:textId="77777777" w:rsidR="00944FC9" w:rsidRPr="005B36CB" w:rsidRDefault="00944FC9" w:rsidP="002C0D7B">
      <w:pPr>
        <w:autoSpaceDE w:val="0"/>
        <w:autoSpaceDN w:val="0"/>
        <w:adjustRightInd w:val="0"/>
        <w:spacing w:after="0"/>
        <w:ind w:left="1170" w:hanging="1170"/>
        <w:rPr>
          <w:rFonts w:eastAsiaTheme="minorEastAsia"/>
          <w:lang w:val="es-ES" w:eastAsia="ja-JP"/>
        </w:rPr>
      </w:pPr>
      <w:r w:rsidRPr="00BF0FD5">
        <w:rPr>
          <w:rFonts w:ascii="Garamond" w:eastAsia="MinionPro-Capt" w:hAnsi="Garamond" w:cs="MinionPro-Capt"/>
          <w:sz w:val="20"/>
        </w:rPr>
        <w:t>Liu, Y.-B. and Simmons, G.S. 2021</w:t>
      </w:r>
      <w:r>
        <w:rPr>
          <w:rFonts w:ascii="Garamond" w:eastAsia="MinionPro-Capt" w:hAnsi="Garamond" w:cs="MinionPro-Capt"/>
          <w:sz w:val="20"/>
        </w:rPr>
        <w:t>.</w:t>
      </w:r>
      <w:r w:rsidRPr="00BF0FD5">
        <w:rPr>
          <w:rFonts w:ascii="Garamond" w:eastAsia="MinionPro-Capt" w:hAnsi="Garamond" w:cs="MinionPro-Capt"/>
          <w:sz w:val="20"/>
        </w:rPr>
        <w:t xml:space="preserve"> Effects of </w:t>
      </w:r>
      <w:r>
        <w:rPr>
          <w:rFonts w:ascii="Garamond" w:eastAsia="MinionPro-Capt" w:hAnsi="Garamond" w:cs="MinionPro-Capt"/>
          <w:sz w:val="20"/>
        </w:rPr>
        <w:t>n</w:t>
      </w:r>
      <w:r w:rsidRPr="00BF0FD5">
        <w:rPr>
          <w:rFonts w:ascii="Garamond" w:eastAsia="MinionPro-Capt" w:hAnsi="Garamond" w:cs="MinionPro-Capt"/>
          <w:sz w:val="20"/>
        </w:rPr>
        <w:t xml:space="preserve">itric </w:t>
      </w:r>
      <w:r>
        <w:rPr>
          <w:rFonts w:ascii="Garamond" w:eastAsia="MinionPro-Capt" w:hAnsi="Garamond" w:cs="MinionPro-Capt"/>
          <w:sz w:val="20"/>
        </w:rPr>
        <w:t>o</w:t>
      </w:r>
      <w:r w:rsidRPr="00BF0FD5">
        <w:rPr>
          <w:rFonts w:ascii="Garamond" w:eastAsia="MinionPro-Capt" w:hAnsi="Garamond" w:cs="MinionPro-Capt"/>
          <w:sz w:val="20"/>
        </w:rPr>
        <w:t xml:space="preserve">xide </w:t>
      </w:r>
      <w:r>
        <w:rPr>
          <w:rFonts w:ascii="Garamond" w:eastAsia="MinionPro-Capt" w:hAnsi="Garamond" w:cs="MinionPro-Capt"/>
          <w:sz w:val="20"/>
        </w:rPr>
        <w:t>f</w:t>
      </w:r>
      <w:r w:rsidRPr="00BF0FD5">
        <w:rPr>
          <w:rFonts w:ascii="Garamond" w:eastAsia="MinionPro-Capt" w:hAnsi="Garamond" w:cs="MinionPro-Capt"/>
          <w:sz w:val="20"/>
        </w:rPr>
        <w:t xml:space="preserve">umigation on </w:t>
      </w:r>
      <w:r>
        <w:rPr>
          <w:rFonts w:ascii="Garamond" w:eastAsia="MinionPro-Capt" w:hAnsi="Garamond" w:cs="MinionPro-Capt"/>
          <w:sz w:val="20"/>
        </w:rPr>
        <w:t>m</w:t>
      </w:r>
      <w:r w:rsidRPr="00BF0FD5">
        <w:rPr>
          <w:rFonts w:ascii="Garamond" w:eastAsia="MinionPro-Capt" w:hAnsi="Garamond" w:cs="MinionPro-Capt"/>
          <w:sz w:val="20"/>
        </w:rPr>
        <w:t xml:space="preserve">ortality of </w:t>
      </w:r>
      <w:r>
        <w:rPr>
          <w:rFonts w:ascii="Garamond" w:eastAsia="MinionPro-Capt" w:hAnsi="Garamond" w:cs="MinionPro-Capt"/>
          <w:sz w:val="20"/>
        </w:rPr>
        <w:t>l</w:t>
      </w:r>
      <w:r w:rsidRPr="00BF0FD5">
        <w:rPr>
          <w:rFonts w:ascii="Garamond" w:eastAsia="MinionPro-Capt" w:hAnsi="Garamond" w:cs="MinionPro-Capt"/>
          <w:sz w:val="20"/>
        </w:rPr>
        <w:t xml:space="preserve">ight </w:t>
      </w:r>
      <w:r>
        <w:rPr>
          <w:rFonts w:ascii="Garamond" w:eastAsia="MinionPro-Capt" w:hAnsi="Garamond" w:cs="MinionPro-Capt"/>
          <w:sz w:val="20"/>
        </w:rPr>
        <w:t>b</w:t>
      </w:r>
      <w:r w:rsidRPr="00BF0FD5">
        <w:rPr>
          <w:rFonts w:ascii="Garamond" w:eastAsia="MinionPro-Capt" w:hAnsi="Garamond" w:cs="MinionPro-Capt"/>
          <w:sz w:val="20"/>
        </w:rPr>
        <w:t>rown</w:t>
      </w:r>
      <w:r>
        <w:rPr>
          <w:rFonts w:ascii="Garamond" w:eastAsia="MinionPro-Capt" w:hAnsi="Garamond" w:cs="MinionPro-Capt"/>
          <w:sz w:val="20"/>
        </w:rPr>
        <w:t xml:space="preserve"> a</w:t>
      </w:r>
      <w:r w:rsidRPr="00BF0FD5">
        <w:rPr>
          <w:rFonts w:ascii="Garamond" w:eastAsia="MinionPro-Capt" w:hAnsi="Garamond" w:cs="MinionPro-Capt"/>
          <w:sz w:val="20"/>
        </w:rPr>
        <w:t xml:space="preserve">pple </w:t>
      </w:r>
      <w:r>
        <w:rPr>
          <w:rFonts w:ascii="Garamond" w:eastAsia="MinionPro-Capt" w:hAnsi="Garamond" w:cs="MinionPro-Capt"/>
          <w:sz w:val="20"/>
        </w:rPr>
        <w:t>m</w:t>
      </w:r>
      <w:r w:rsidRPr="00BF0FD5">
        <w:rPr>
          <w:rFonts w:ascii="Garamond" w:eastAsia="MinionPro-Capt" w:hAnsi="Garamond" w:cs="MinionPro-Capt"/>
          <w:sz w:val="20"/>
        </w:rPr>
        <w:t xml:space="preserve">oth, </w:t>
      </w:r>
      <w:proofErr w:type="spellStart"/>
      <w:r w:rsidRPr="00BF0FD5">
        <w:rPr>
          <w:rFonts w:ascii="Garamond" w:eastAsia="MinionPro-Capt" w:hAnsi="Garamond" w:cs="MinionPro-Capt"/>
          <w:i/>
          <w:iCs/>
          <w:sz w:val="20"/>
        </w:rPr>
        <w:t>Epiphyas</w:t>
      </w:r>
      <w:proofErr w:type="spellEnd"/>
      <w:r w:rsidRPr="00BF0FD5">
        <w:rPr>
          <w:rFonts w:ascii="Garamond" w:eastAsia="MinionPro-Capt" w:hAnsi="Garamond" w:cs="MinionPro-Capt"/>
          <w:i/>
          <w:iCs/>
          <w:sz w:val="20"/>
        </w:rPr>
        <w:t xml:space="preserve"> </w:t>
      </w:r>
      <w:proofErr w:type="spellStart"/>
      <w:r w:rsidRPr="00BF0FD5">
        <w:rPr>
          <w:rFonts w:ascii="Garamond" w:eastAsia="MinionPro-Capt" w:hAnsi="Garamond" w:cs="MinionPro-Capt"/>
          <w:i/>
          <w:iCs/>
          <w:sz w:val="20"/>
        </w:rPr>
        <w:t>postvittana</w:t>
      </w:r>
      <w:proofErr w:type="spellEnd"/>
      <w:r w:rsidRPr="00BF0FD5">
        <w:rPr>
          <w:rFonts w:ascii="Garamond" w:eastAsia="MinionPro-Capt" w:hAnsi="Garamond" w:cs="MinionPro-Capt"/>
          <w:sz w:val="20"/>
        </w:rPr>
        <w:t xml:space="preserve"> (Lepidoptera: </w:t>
      </w:r>
      <w:proofErr w:type="spellStart"/>
      <w:r w:rsidRPr="00BF0FD5">
        <w:rPr>
          <w:rFonts w:ascii="Garamond" w:eastAsia="MinionPro-Capt" w:hAnsi="Garamond" w:cs="MinionPro-Capt"/>
          <w:sz w:val="20"/>
        </w:rPr>
        <w:t>Tortricidae</w:t>
      </w:r>
      <w:proofErr w:type="spellEnd"/>
      <w:r w:rsidRPr="00BF0FD5">
        <w:rPr>
          <w:rFonts w:ascii="Garamond" w:eastAsia="MinionPro-Capt" w:hAnsi="Garamond" w:cs="MinionPro-Capt"/>
          <w:sz w:val="20"/>
        </w:rPr>
        <w:t xml:space="preserve">). </w:t>
      </w:r>
      <w:proofErr w:type="spellStart"/>
      <w:r w:rsidRPr="005B36CB">
        <w:rPr>
          <w:rFonts w:ascii="Garamond" w:eastAsia="MinionPro-Capt" w:hAnsi="Garamond" w:cs="MinionPro-Capt"/>
          <w:sz w:val="20"/>
          <w:lang w:val="es-ES"/>
        </w:rPr>
        <w:t>Agricultural</w:t>
      </w:r>
      <w:proofErr w:type="spellEnd"/>
      <w:r w:rsidRPr="005B36CB">
        <w:rPr>
          <w:rFonts w:ascii="Garamond" w:eastAsia="MinionPro-Capt" w:hAnsi="Garamond" w:cs="MinionPro-Capt"/>
          <w:sz w:val="20"/>
          <w:lang w:val="es-ES"/>
        </w:rPr>
        <w:t xml:space="preserve"> Sciences,12:1286-1294. </w:t>
      </w:r>
      <w:r w:rsidRPr="005B36CB">
        <w:rPr>
          <w:rFonts w:ascii="Garamond" w:eastAsia="MinionPro-Capt" w:hAnsi="Garamond" w:cs="MinionPro-Capt"/>
          <w:color w:val="0000FF"/>
          <w:sz w:val="20"/>
          <w:lang w:val="es-ES"/>
        </w:rPr>
        <w:t>https://doi.org/10.4236/as.2021.1211082</w:t>
      </w:r>
      <w:r w:rsidRPr="00E06534">
        <w:rPr>
          <w:rFonts w:ascii="Garamond" w:hAnsi="Garamond"/>
          <w:sz w:val="20"/>
          <w:lang w:val="es-ES"/>
        </w:rPr>
        <w:t xml:space="preserve"> </w:t>
      </w:r>
    </w:p>
    <w:p w14:paraId="57EB57B9" w14:textId="77777777" w:rsidR="00944FC9" w:rsidRPr="00341535" w:rsidRDefault="00944FC9" w:rsidP="002C0D7B">
      <w:pPr>
        <w:spacing w:before="60" w:after="0"/>
        <w:ind w:left="709" w:hanging="709"/>
        <w:rPr>
          <w:rFonts w:ascii="Garamond" w:hAnsi="Garamond"/>
          <w:sz w:val="20"/>
        </w:rPr>
      </w:pPr>
      <w:r w:rsidRPr="00341535">
        <w:rPr>
          <w:rFonts w:ascii="Garamond" w:hAnsi="Garamond"/>
          <w:sz w:val="20"/>
          <w:lang w:val="es-ES"/>
        </w:rPr>
        <w:t xml:space="preserve">López-Galarza, S., San Bautista, A., Martínez, A., Pascual, B., Maroto, J. V. (2010). </w:t>
      </w:r>
      <w:r w:rsidRPr="00341535">
        <w:rPr>
          <w:rFonts w:ascii="Garamond" w:hAnsi="Garamond"/>
          <w:sz w:val="20"/>
        </w:rPr>
        <w:t xml:space="preserve">Influence of substrate on strawberry plug plant production. </w:t>
      </w:r>
      <w:r w:rsidRPr="00341535">
        <w:rPr>
          <w:rFonts w:ascii="Garamond" w:hAnsi="Garamond"/>
          <w:i/>
          <w:sz w:val="20"/>
        </w:rPr>
        <w:t>Journal of Horticultural Science and Biotechnology</w:t>
      </w:r>
      <w:r w:rsidRPr="00341535">
        <w:rPr>
          <w:rFonts w:ascii="Garamond" w:hAnsi="Garamond"/>
          <w:sz w:val="20"/>
        </w:rPr>
        <w:t xml:space="preserve"> 85, 415-420.</w:t>
      </w:r>
    </w:p>
    <w:p w14:paraId="7A912DAB" w14:textId="77777777" w:rsidR="00944FC9" w:rsidRPr="00341535" w:rsidRDefault="00944FC9" w:rsidP="00944FC9">
      <w:pPr>
        <w:pStyle w:val="References"/>
        <w:jc w:val="left"/>
      </w:pPr>
      <w:r w:rsidRPr="00341535">
        <w:t xml:space="preserve">Lopez-Martinez, G., Meagher, R. L., Jeffers, L. A., Bailey, W. D., Hahn, D. A. (2016). Low oxygen atmosphere enhances post-irradiation survival of </w:t>
      </w:r>
      <w:proofErr w:type="spellStart"/>
      <w:r w:rsidRPr="00341535">
        <w:rPr>
          <w:i/>
        </w:rPr>
        <w:t>Trichoplusiani</w:t>
      </w:r>
      <w:proofErr w:type="spellEnd"/>
      <w:r w:rsidRPr="00341535">
        <w:t xml:space="preserve"> (Lepidoptera: </w:t>
      </w:r>
      <w:proofErr w:type="spellStart"/>
      <w:r w:rsidRPr="00341535">
        <w:t>Noctuidae</w:t>
      </w:r>
      <w:proofErr w:type="spellEnd"/>
      <w:r w:rsidRPr="00341535">
        <w:t xml:space="preserve">). </w:t>
      </w:r>
      <w:r w:rsidRPr="00341535">
        <w:rPr>
          <w:i/>
          <w:iCs/>
          <w:lang w:val="en-US"/>
        </w:rPr>
        <w:t xml:space="preserve">Fl. </w:t>
      </w:r>
      <w:proofErr w:type="spellStart"/>
      <w:r w:rsidRPr="00341535">
        <w:rPr>
          <w:i/>
          <w:iCs/>
          <w:lang w:val="en-US"/>
        </w:rPr>
        <w:t>Entomol</w:t>
      </w:r>
      <w:proofErr w:type="spellEnd"/>
      <w:r w:rsidRPr="00341535">
        <w:rPr>
          <w:lang w:val="en-US"/>
        </w:rPr>
        <w:t xml:space="preserve"> 99 (2), 24-33.</w:t>
      </w:r>
    </w:p>
    <w:p w14:paraId="1A65D0B2" w14:textId="6ACF6712" w:rsidR="00944FC9" w:rsidRPr="00341535" w:rsidRDefault="00944FC9" w:rsidP="00944FC9">
      <w:pPr>
        <w:pStyle w:val="References"/>
        <w:jc w:val="left"/>
      </w:pPr>
      <w:r w:rsidRPr="00341535">
        <w:t>MBTOC (2019), Report of the Methyl Bromide Technical Options Committee, 2018 assessment,</w:t>
      </w:r>
      <w:r w:rsidR="005617DE">
        <w:t xml:space="preserve"> </w:t>
      </w:r>
      <w:hyperlink r:id="rId63" w:history="1">
        <w:r w:rsidRPr="00341535">
          <w:rPr>
            <w:rStyle w:val="Hyperlink"/>
            <w:i/>
            <w:iCs/>
            <w:color w:val="auto"/>
          </w:rPr>
          <w:t>https://ozone.unep.org/science/assessment/teap</w:t>
        </w:r>
      </w:hyperlink>
      <w:r w:rsidRPr="00341535">
        <w:t>, 150 pp.</w:t>
      </w:r>
    </w:p>
    <w:p w14:paraId="4F03EF8A" w14:textId="15E199BE" w:rsidR="00944FC9" w:rsidRPr="00341535" w:rsidRDefault="00944FC9" w:rsidP="00944FC9">
      <w:pPr>
        <w:pStyle w:val="References"/>
        <w:jc w:val="left"/>
      </w:pPr>
      <w:r w:rsidRPr="00341535">
        <w:rPr>
          <w:lang w:val="en-US"/>
        </w:rPr>
        <w:t xml:space="preserve">Miller, B. R., Hall, B. D., </w:t>
      </w:r>
      <w:proofErr w:type="spellStart"/>
      <w:proofErr w:type="gramStart"/>
      <w:r w:rsidRPr="00341535">
        <w:rPr>
          <w:lang w:val="en-US"/>
        </w:rPr>
        <w:t>O‘</w:t>
      </w:r>
      <w:proofErr w:type="gramEnd"/>
      <w:r w:rsidRPr="00341535">
        <w:rPr>
          <w:lang w:val="en-US"/>
        </w:rPr>
        <w:t>Donnel</w:t>
      </w:r>
      <w:proofErr w:type="spellEnd"/>
      <w:r w:rsidRPr="00341535">
        <w:rPr>
          <w:lang w:val="en-US"/>
        </w:rPr>
        <w:t xml:space="preserve">, C., </w:t>
      </w:r>
      <w:proofErr w:type="spellStart"/>
      <w:r w:rsidRPr="00341535">
        <w:rPr>
          <w:lang w:val="en-US"/>
        </w:rPr>
        <w:t>Crotwell</w:t>
      </w:r>
      <w:proofErr w:type="spellEnd"/>
      <w:r w:rsidRPr="00341535">
        <w:rPr>
          <w:lang w:val="en-US"/>
        </w:rPr>
        <w:t xml:space="preserve">, M., </w:t>
      </w:r>
      <w:proofErr w:type="spellStart"/>
      <w:r w:rsidRPr="00341535">
        <w:rPr>
          <w:lang w:val="en-US"/>
        </w:rPr>
        <w:t>Sislo</w:t>
      </w:r>
      <w:proofErr w:type="spellEnd"/>
      <w:r w:rsidRPr="00341535">
        <w:rPr>
          <w:lang w:val="en-US"/>
        </w:rPr>
        <w:t xml:space="preserve">, C., Montzka, S. A., Andrews, A., </w:t>
      </w:r>
      <w:proofErr w:type="spellStart"/>
      <w:r w:rsidRPr="00341535">
        <w:rPr>
          <w:lang w:val="en-US"/>
        </w:rPr>
        <w:t>Sweeneley</w:t>
      </w:r>
      <w:proofErr w:type="spellEnd"/>
      <w:r w:rsidRPr="00341535">
        <w:rPr>
          <w:lang w:val="en-US"/>
        </w:rPr>
        <w:t xml:space="preserve">, C., Tans, P. (2017). </w:t>
      </w:r>
      <w:r w:rsidRPr="00341535">
        <w:t>Sulfuryl fluoride atmospheric abundance and trend from the GGGRN North American Tower and Aircraft Networks and the HATS Global Flask Network.</w:t>
      </w:r>
      <w:r w:rsidR="005617DE">
        <w:t xml:space="preserve"> </w:t>
      </w:r>
      <w:r w:rsidRPr="00341535">
        <w:rPr>
          <w:i/>
          <w:iCs/>
        </w:rPr>
        <w:t>NOAA/ESRL/GMD Global Monitoring Annual Conference</w:t>
      </w:r>
      <w:r w:rsidRPr="00341535">
        <w:t>, Poster.</w:t>
      </w:r>
    </w:p>
    <w:p w14:paraId="650967C8" w14:textId="77777777" w:rsidR="00944FC9" w:rsidRPr="00341535" w:rsidRDefault="00944FC9" w:rsidP="00944FC9">
      <w:pPr>
        <w:pStyle w:val="References"/>
        <w:jc w:val="left"/>
      </w:pPr>
      <w:r w:rsidRPr="00341535">
        <w:t>Mirage News Insight (2021). Sri Lanka’s rule changes mean fresh opportunities for grain, pulse and oilseed exporters. Australian grains, pulses and oilseeds making inroads into Pakistan.</w:t>
      </w:r>
    </w:p>
    <w:p w14:paraId="34DF5E04" w14:textId="77777777" w:rsidR="00944FC9" w:rsidRPr="00341535" w:rsidRDefault="00944FC9" w:rsidP="00944FC9">
      <w:pPr>
        <w:pStyle w:val="References"/>
        <w:jc w:val="left"/>
      </w:pPr>
      <w:r w:rsidRPr="00341535">
        <w:t xml:space="preserve">Mitch, 2020. Capture of Sulfuryl fluoride o GAC and destruction by electrochemical treatment. Methyl Bromide </w:t>
      </w:r>
      <w:proofErr w:type="spellStart"/>
      <w:r w:rsidRPr="00341535">
        <w:t>Alternnatives</w:t>
      </w:r>
      <w:proofErr w:type="spellEnd"/>
      <w:r w:rsidRPr="00341535">
        <w:t xml:space="preserve"> Outreach Conference </w:t>
      </w:r>
      <w:hyperlink r:id="rId64" w:history="1">
        <w:r w:rsidRPr="00341535">
          <w:rPr>
            <w:rStyle w:val="Hyperlink"/>
          </w:rPr>
          <w:t>https://mbao.org/static/docs/confs/2020-online/papers/20_kawagoe_zachary___mbao_2020.pdf</w:t>
        </w:r>
      </w:hyperlink>
      <w:r w:rsidRPr="00341535">
        <w:t xml:space="preserve"> </w:t>
      </w:r>
    </w:p>
    <w:p w14:paraId="78268AAE" w14:textId="0E6E8321" w:rsidR="00944FC9" w:rsidRPr="00992301" w:rsidRDefault="00944FC9" w:rsidP="00944FC9">
      <w:pPr>
        <w:pStyle w:val="References"/>
        <w:jc w:val="left"/>
        <w:rPr>
          <w:lang w:val="en-US"/>
        </w:rPr>
      </w:pPr>
      <w:r w:rsidRPr="00992301">
        <w:rPr>
          <w:lang w:val="en-US"/>
        </w:rPr>
        <w:t>MPI, 2021</w:t>
      </w:r>
      <w:r w:rsidR="00992301" w:rsidRPr="00992301">
        <w:rPr>
          <w:lang w:val="en-US"/>
        </w:rPr>
        <w:t xml:space="preserve">. </w:t>
      </w:r>
      <w:r w:rsidR="00992301" w:rsidRPr="00992301">
        <w:t xml:space="preserve">Assessment of Methyl Bromide Fumigation Recapture Regimes Biosecurity New Zealand Technical Paper No: 2021/08 </w:t>
      </w:r>
      <w:hyperlink r:id="rId65" w:history="1">
        <w:r w:rsidR="00992301" w:rsidRPr="00992301">
          <w:rPr>
            <w:rFonts w:ascii="Times New Roman" w:hAnsi="Times New Roman"/>
            <w:u w:val="single"/>
          </w:rPr>
          <w:t>Assessment of Methyl Bromide Fumigation Recapture Regimes (mpi.govt.nz)</w:t>
        </w:r>
      </w:hyperlink>
    </w:p>
    <w:p w14:paraId="79A31D22" w14:textId="77777777" w:rsidR="00944FC9" w:rsidRPr="005B36CB" w:rsidRDefault="00944FC9" w:rsidP="00944FC9">
      <w:pPr>
        <w:pStyle w:val="References"/>
        <w:jc w:val="left"/>
        <w:rPr>
          <w:lang w:val="en-US"/>
        </w:rPr>
      </w:pPr>
      <w:r w:rsidRPr="005B36CB">
        <w:rPr>
          <w:lang w:val="en-US"/>
        </w:rPr>
        <w:t xml:space="preserve">Myers, S.W., Ghimire, M.N., Arthur, F.H., and Phillips, T.W. 2021. A combination sulfuryl fluoride and propylene oxide treatment for </w:t>
      </w:r>
      <w:proofErr w:type="spellStart"/>
      <w:r w:rsidRPr="005B36CB">
        <w:rPr>
          <w:lang w:val="en-US"/>
        </w:rPr>
        <w:t>Trogoderma</w:t>
      </w:r>
      <w:proofErr w:type="spellEnd"/>
      <w:r w:rsidRPr="005B36CB">
        <w:rPr>
          <w:lang w:val="en-US"/>
        </w:rPr>
        <w:t xml:space="preserve"> </w:t>
      </w:r>
      <w:proofErr w:type="spellStart"/>
      <w:r w:rsidRPr="005B36CB">
        <w:rPr>
          <w:lang w:val="en-US"/>
        </w:rPr>
        <w:t>granarium</w:t>
      </w:r>
      <w:proofErr w:type="spellEnd"/>
      <w:r w:rsidRPr="005B36CB">
        <w:rPr>
          <w:lang w:val="en-US"/>
        </w:rPr>
        <w:t xml:space="preserve"> (</w:t>
      </w:r>
      <w:proofErr w:type="spellStart"/>
      <w:r w:rsidRPr="005B36CB">
        <w:rPr>
          <w:lang w:val="en-US"/>
        </w:rPr>
        <w:t>Coleoptera</w:t>
      </w:r>
      <w:proofErr w:type="spellEnd"/>
      <w:r w:rsidRPr="005B36CB">
        <w:rPr>
          <w:lang w:val="en-US"/>
        </w:rPr>
        <w:t xml:space="preserve">: </w:t>
      </w:r>
      <w:proofErr w:type="spellStart"/>
      <w:r w:rsidRPr="005B36CB">
        <w:rPr>
          <w:lang w:val="en-US"/>
        </w:rPr>
        <w:t>Dermestidae</w:t>
      </w:r>
      <w:proofErr w:type="spellEnd"/>
      <w:r w:rsidRPr="005B36CB">
        <w:rPr>
          <w:lang w:val="en-US"/>
        </w:rPr>
        <w:t xml:space="preserve">). J. Econ </w:t>
      </w:r>
      <w:proofErr w:type="spellStart"/>
      <w:r w:rsidRPr="005B36CB">
        <w:rPr>
          <w:lang w:val="en-US"/>
        </w:rPr>
        <w:t>Entomol</w:t>
      </w:r>
      <w:proofErr w:type="spellEnd"/>
      <w:r w:rsidRPr="005B36CB">
        <w:rPr>
          <w:lang w:val="en-US"/>
        </w:rPr>
        <w:t xml:space="preserve">. 114(4):1489-1495. </w:t>
      </w:r>
      <w:proofErr w:type="spellStart"/>
      <w:r>
        <w:rPr>
          <w:rStyle w:val="citation-doi"/>
        </w:rPr>
        <w:t>doi</w:t>
      </w:r>
      <w:proofErr w:type="spellEnd"/>
      <w:r>
        <w:rPr>
          <w:rStyle w:val="citation-doi"/>
        </w:rPr>
        <w:t>: 10.1093/</w:t>
      </w:r>
      <w:proofErr w:type="spellStart"/>
      <w:r>
        <w:rPr>
          <w:rStyle w:val="citation-doi"/>
        </w:rPr>
        <w:t>jee</w:t>
      </w:r>
      <w:proofErr w:type="spellEnd"/>
      <w:r>
        <w:rPr>
          <w:rStyle w:val="citation-doi"/>
        </w:rPr>
        <w:t>/toab124.</w:t>
      </w:r>
    </w:p>
    <w:p w14:paraId="01A19F29" w14:textId="77777777" w:rsidR="00944FC9" w:rsidRPr="00341535" w:rsidRDefault="00944FC9" w:rsidP="00944FC9">
      <w:pPr>
        <w:pStyle w:val="References"/>
        <w:jc w:val="left"/>
      </w:pPr>
      <w:proofErr w:type="spellStart"/>
      <w:r w:rsidRPr="00341535">
        <w:t>Najar</w:t>
      </w:r>
      <w:proofErr w:type="spellEnd"/>
      <w:r w:rsidRPr="00341535">
        <w:t xml:space="preserve">-Rodriguez A, Hall M, </w:t>
      </w:r>
      <w:proofErr w:type="spellStart"/>
      <w:r w:rsidRPr="00341535">
        <w:t>Afsar</w:t>
      </w:r>
      <w:proofErr w:type="spellEnd"/>
      <w:r w:rsidRPr="00341535">
        <w:t xml:space="preserve"> S, </w:t>
      </w:r>
      <w:proofErr w:type="spellStart"/>
      <w:r w:rsidRPr="00341535">
        <w:t>Esfandi</w:t>
      </w:r>
      <w:proofErr w:type="spellEnd"/>
      <w:r w:rsidRPr="00341535">
        <w:t xml:space="preserve"> K, </w:t>
      </w:r>
      <w:proofErr w:type="spellStart"/>
      <w:r w:rsidRPr="00341535">
        <w:t>Adlam</w:t>
      </w:r>
      <w:proofErr w:type="spellEnd"/>
      <w:r w:rsidRPr="00341535">
        <w:t xml:space="preserve"> A, Wilks C, Noakes E, Richards K and Brash D, 2020. Laboratory toxicity and large-scale commercial validation of the efficacy of </w:t>
      </w:r>
      <w:proofErr w:type="spellStart"/>
      <w:r w:rsidRPr="00341535">
        <w:t>ethanedinitrile</w:t>
      </w:r>
      <w:proofErr w:type="spellEnd"/>
      <w:r w:rsidRPr="00341535">
        <w:t>, a potential alternative fumigant to methyl bromide, to disinfest New Zealand Pinus radiata export logs. The New Zealand Institute for Plant and Food Research Limited, New Zealand</w:t>
      </w:r>
    </w:p>
    <w:p w14:paraId="7829DEBC" w14:textId="77777777" w:rsidR="00944FC9" w:rsidRDefault="00944FC9" w:rsidP="00944FC9">
      <w:pPr>
        <w:pStyle w:val="References"/>
        <w:jc w:val="left"/>
      </w:pPr>
      <w:r w:rsidRPr="00341535">
        <w:t xml:space="preserve">Nayak, M.K., Daglish, G.J, Phillips, T.W., and Ebert, P.R. (2020). Resistance to the fumigant phosphine and its management in insect pests of stored products: a global perspective. Annual Review of Entomology </w:t>
      </w:r>
      <w:proofErr w:type="gramStart"/>
      <w:r w:rsidRPr="00341535">
        <w:t>65:333-350.doi</w:t>
      </w:r>
      <w:proofErr w:type="gramEnd"/>
      <w:r w:rsidRPr="00341535">
        <w:t>: 10.1146/annurev-ento-011019-025047.</w:t>
      </w:r>
    </w:p>
    <w:p w14:paraId="7952C246" w14:textId="77777777" w:rsidR="00944FC9" w:rsidRPr="005B36CB" w:rsidRDefault="00944FC9" w:rsidP="00944FC9">
      <w:pPr>
        <w:pStyle w:val="References"/>
        <w:jc w:val="left"/>
      </w:pPr>
      <w:proofErr w:type="spellStart"/>
      <w:r w:rsidRPr="005B36CB">
        <w:rPr>
          <w:rFonts w:cs="Calibri"/>
          <w:color w:val="000000"/>
        </w:rPr>
        <w:t>Nicewonger</w:t>
      </w:r>
      <w:proofErr w:type="spellEnd"/>
      <w:r w:rsidRPr="005B36CB">
        <w:rPr>
          <w:rFonts w:cs="Calibri"/>
          <w:color w:val="000000"/>
        </w:rPr>
        <w:t>, M. R., Saltzman, E. S., &amp; Montzka, S. A. (2022) ENSO-driven fires cause large interannual variability in the naturally emitted, ozone-depleting trace gas CH3Br. Geophysical Research Letters, 49, e2021GL094756.</w:t>
      </w:r>
      <w:r w:rsidRPr="005B36CB">
        <w:rPr>
          <w:rStyle w:val="apple-converted-space"/>
          <w:rFonts w:ascii="Garamond" w:hAnsi="Garamond" w:cs="Calibri"/>
        </w:rPr>
        <w:t> </w:t>
      </w:r>
      <w:hyperlink r:id="rId66" w:history="1">
        <w:r w:rsidRPr="005B36CB">
          <w:rPr>
            <w:rStyle w:val="Hyperlink"/>
            <w:rFonts w:cs="Calibri"/>
          </w:rPr>
          <w:t>https://doi.org/10.1029/2021GL094756</w:t>
        </w:r>
      </w:hyperlink>
    </w:p>
    <w:p w14:paraId="76F3F648" w14:textId="77777777" w:rsidR="00944FC9" w:rsidRPr="00341535" w:rsidRDefault="00944FC9" w:rsidP="00944FC9">
      <w:pPr>
        <w:pStyle w:val="References"/>
        <w:jc w:val="left"/>
      </w:pPr>
      <w:proofErr w:type="spellStart"/>
      <w:r w:rsidRPr="00FA277E">
        <w:rPr>
          <w:lang w:val="en-US"/>
        </w:rPr>
        <w:lastRenderedPageBreak/>
        <w:t>Nothomb</w:t>
      </w:r>
      <w:proofErr w:type="spellEnd"/>
      <w:r w:rsidRPr="00FA277E">
        <w:rPr>
          <w:lang w:val="en-US"/>
        </w:rPr>
        <w:t>, A. 2021. Submitting methyl bromide QPS applications to Critical Use Exception Procedure. M</w:t>
      </w:r>
      <w:r>
        <w:t xml:space="preserve">BAO, 2021 </w:t>
      </w:r>
      <w:hyperlink r:id="rId67" w:history="1">
        <w:r w:rsidRPr="004232D3">
          <w:rPr>
            <w:rStyle w:val="Hyperlink"/>
          </w:rPr>
          <w:t>https://mbao.org/static/docs/confs/2021-online/papers/17_gpa_presentation_advocacy_for_submitting_mb_qps_to_cue_2021.pdf</w:t>
        </w:r>
      </w:hyperlink>
    </w:p>
    <w:p w14:paraId="083C15EE" w14:textId="77777777" w:rsidR="00944FC9" w:rsidRPr="00341535" w:rsidRDefault="00944FC9" w:rsidP="00944FC9">
      <w:pPr>
        <w:pStyle w:val="References"/>
        <w:jc w:val="left"/>
      </w:pPr>
      <w:proofErr w:type="spellStart"/>
      <w:r w:rsidRPr="00341535">
        <w:rPr>
          <w:lang w:val="en-US"/>
        </w:rPr>
        <w:t>Opit</w:t>
      </w:r>
      <w:proofErr w:type="spellEnd"/>
      <w:r w:rsidRPr="00341535">
        <w:rPr>
          <w:lang w:val="en-US"/>
        </w:rPr>
        <w:t xml:space="preserve">, G. P., Phillips, T. W., </w:t>
      </w:r>
      <w:proofErr w:type="spellStart"/>
      <w:r w:rsidRPr="00341535">
        <w:rPr>
          <w:lang w:val="en-US"/>
        </w:rPr>
        <w:t>Aikins</w:t>
      </w:r>
      <w:proofErr w:type="spellEnd"/>
      <w:r w:rsidRPr="00341535">
        <w:rPr>
          <w:lang w:val="en-US"/>
        </w:rPr>
        <w:t xml:space="preserve">, M. J., Hasan, M. M. (2012). Phosphine resistance in </w:t>
      </w:r>
      <w:proofErr w:type="spellStart"/>
      <w:r w:rsidRPr="00341535">
        <w:rPr>
          <w:i/>
          <w:lang w:val="en-US"/>
        </w:rPr>
        <w:t>Tribolium</w:t>
      </w:r>
      <w:proofErr w:type="spellEnd"/>
      <w:r w:rsidRPr="00341535">
        <w:rPr>
          <w:i/>
          <w:lang w:val="en-US"/>
        </w:rPr>
        <w:t xml:space="preserve"> </w:t>
      </w:r>
      <w:proofErr w:type="spellStart"/>
      <w:r w:rsidRPr="00341535">
        <w:rPr>
          <w:i/>
          <w:lang w:val="en-US"/>
        </w:rPr>
        <w:t>castaneum</w:t>
      </w:r>
      <w:proofErr w:type="spellEnd"/>
      <w:r w:rsidRPr="00341535">
        <w:rPr>
          <w:i/>
          <w:lang w:val="en-US"/>
        </w:rPr>
        <w:t xml:space="preserve"> </w:t>
      </w:r>
      <w:r w:rsidRPr="00341535">
        <w:rPr>
          <w:lang w:val="en-US"/>
        </w:rPr>
        <w:t xml:space="preserve">and </w:t>
      </w:r>
      <w:proofErr w:type="spellStart"/>
      <w:r w:rsidRPr="00341535">
        <w:rPr>
          <w:i/>
          <w:lang w:val="en-US"/>
        </w:rPr>
        <w:t>Rhyzopertha</w:t>
      </w:r>
      <w:proofErr w:type="spellEnd"/>
      <w:r w:rsidRPr="00341535">
        <w:rPr>
          <w:i/>
          <w:lang w:val="en-US"/>
        </w:rPr>
        <w:t xml:space="preserve"> </w:t>
      </w:r>
      <w:proofErr w:type="spellStart"/>
      <w:r w:rsidRPr="00341535">
        <w:rPr>
          <w:i/>
          <w:lang w:val="en-US"/>
        </w:rPr>
        <w:t>dominica</w:t>
      </w:r>
      <w:proofErr w:type="spellEnd"/>
      <w:r w:rsidRPr="00341535">
        <w:rPr>
          <w:lang w:val="en-US"/>
        </w:rPr>
        <w:t xml:space="preserve"> from stored wheat in Oklahoma. </w:t>
      </w:r>
      <w:r w:rsidRPr="00341535">
        <w:rPr>
          <w:i/>
          <w:iCs/>
          <w:lang w:val="en-US"/>
        </w:rPr>
        <w:t xml:space="preserve">J. Econ. </w:t>
      </w:r>
      <w:proofErr w:type="spellStart"/>
      <w:r w:rsidRPr="00341535">
        <w:rPr>
          <w:i/>
          <w:iCs/>
          <w:lang w:val="en-US"/>
        </w:rPr>
        <w:t>Entomol</w:t>
      </w:r>
      <w:proofErr w:type="spellEnd"/>
      <w:r w:rsidRPr="00341535">
        <w:rPr>
          <w:i/>
          <w:iCs/>
          <w:lang w:val="en-US"/>
        </w:rPr>
        <w:t>.</w:t>
      </w:r>
      <w:r w:rsidRPr="00341535">
        <w:rPr>
          <w:lang w:val="en-US"/>
        </w:rPr>
        <w:t xml:space="preserve"> 105 (1), 107- 114.</w:t>
      </w:r>
    </w:p>
    <w:p w14:paraId="042202FD" w14:textId="3EF046A9" w:rsidR="00944FC9" w:rsidRPr="00DD415F" w:rsidRDefault="00944FC9" w:rsidP="00944FC9">
      <w:pPr>
        <w:pStyle w:val="References"/>
        <w:jc w:val="left"/>
        <w:rPr>
          <w:lang w:val="en-US" w:eastAsia="en-US"/>
        </w:rPr>
      </w:pPr>
      <w:r w:rsidRPr="00DD415F">
        <w:rPr>
          <w:lang w:val="en-US"/>
        </w:rPr>
        <w:t>Pakistan Today, 2022</w:t>
      </w:r>
      <w:r w:rsidR="00DD415F" w:rsidRPr="00DD415F">
        <w:rPr>
          <w:lang w:val="en-US"/>
        </w:rPr>
        <w:t xml:space="preserve">. </w:t>
      </w:r>
      <w:hyperlink r:id="rId68" w:history="1">
        <w:r w:rsidR="00DD415F" w:rsidRPr="00DD415F">
          <w:t xml:space="preserve"> Department of Plant Protection urgently required Fresh Applications for Import of Notified Formulations of Methyl Bromide. </w:t>
        </w:r>
        <w:r w:rsidR="00DD415F" w:rsidRPr="00DD415F">
          <w:rPr>
            <w:u w:val="single"/>
          </w:rPr>
          <w:t>Methyl Bromide – Department of Plant Protection – Pakistan</w:t>
        </w:r>
      </w:hyperlink>
      <w:r w:rsidRPr="00DD415F" w:rsidDel="00333823">
        <w:rPr>
          <w:lang w:val="en-US"/>
        </w:rPr>
        <w:t xml:space="preserve"> </w:t>
      </w:r>
    </w:p>
    <w:p w14:paraId="27D947E1" w14:textId="77777777" w:rsidR="00944FC9" w:rsidRPr="00341535" w:rsidRDefault="00944FC9" w:rsidP="00944FC9">
      <w:pPr>
        <w:pStyle w:val="References"/>
        <w:jc w:val="left"/>
        <w:rPr>
          <w:lang w:eastAsia="ja-JP"/>
        </w:rPr>
      </w:pPr>
      <w:r w:rsidRPr="00341535">
        <w:rPr>
          <w:lang w:eastAsia="ja-JP"/>
        </w:rPr>
        <w:t>Park, M, Park, C., Yang, J., Kim, G., Ren, Y., Lee, B. and Cha, D.</w:t>
      </w:r>
      <w:r w:rsidRPr="00341535">
        <w:rPr>
          <w:lang w:val="de-DE" w:eastAsia="ja-JP"/>
        </w:rPr>
        <w:t xml:space="preserve"> (2020). Ethyl formate as a methyl bromide alternative for phytosanitary disinfestation of imported banana in Korea with logistical considerations</w:t>
      </w:r>
      <w:r w:rsidRPr="00341535">
        <w:rPr>
          <w:lang w:eastAsia="ja-JP"/>
        </w:rPr>
        <w:t xml:space="preserve">. </w:t>
      </w:r>
      <w:r w:rsidRPr="00341535">
        <w:rPr>
          <w:i/>
          <w:iCs/>
          <w:lang w:eastAsia="ja-JP"/>
        </w:rPr>
        <w:t>Journal of Economic Entomology</w:t>
      </w:r>
      <w:r w:rsidRPr="00341535">
        <w:rPr>
          <w:lang w:eastAsia="ja-JP"/>
        </w:rPr>
        <w:t xml:space="preserve"> 113 (4), 1711-1717.</w:t>
      </w:r>
    </w:p>
    <w:p w14:paraId="55A73D68" w14:textId="77777777" w:rsidR="00944FC9" w:rsidRPr="00341535" w:rsidRDefault="00944FC9" w:rsidP="00944FC9">
      <w:pPr>
        <w:pStyle w:val="References"/>
        <w:jc w:val="left"/>
      </w:pPr>
      <w:r w:rsidRPr="00341535">
        <w:t xml:space="preserve">Patil, A.S., Maurer, D., </w:t>
      </w:r>
      <w:proofErr w:type="spellStart"/>
      <w:r w:rsidRPr="00341535">
        <w:t>Feygenberg</w:t>
      </w:r>
      <w:proofErr w:type="spellEnd"/>
      <w:r w:rsidRPr="00341535">
        <w:t xml:space="preserve">, O., </w:t>
      </w:r>
      <w:proofErr w:type="spellStart"/>
      <w:r w:rsidRPr="00341535">
        <w:t>Alkan</w:t>
      </w:r>
      <w:proofErr w:type="spellEnd"/>
      <w:r w:rsidRPr="00341535">
        <w:t xml:space="preserve">, N. (2019). Exploring cold quarantine to mango fruit against fruit fly using artificial ripening. </w:t>
      </w:r>
      <w:r w:rsidRPr="00341535">
        <w:rPr>
          <w:i/>
          <w:iCs/>
        </w:rPr>
        <w:t>Scientific Reports</w:t>
      </w:r>
      <w:r w:rsidRPr="00341535">
        <w:t xml:space="preserve"> 9, 1948, https://doi.org/10.1038/s41598-019-38521-x.</w:t>
      </w:r>
    </w:p>
    <w:p w14:paraId="0BEBA13E" w14:textId="77777777" w:rsidR="00944FC9" w:rsidRPr="00341535" w:rsidRDefault="00944FC9" w:rsidP="00944FC9">
      <w:pPr>
        <w:pStyle w:val="References"/>
        <w:jc w:val="left"/>
      </w:pPr>
      <w:r w:rsidRPr="00341535">
        <w:rPr>
          <w:rFonts w:eastAsiaTheme="minorEastAsia"/>
          <w:lang w:val="en-US" w:eastAsia="ja-JP"/>
        </w:rPr>
        <w:t xml:space="preserve">Porter, I., and Fraser, P. (2020). Progress and remaining challenges with the phase-out of methyl bromide under the Montreal Protocol. </w:t>
      </w:r>
      <w:r w:rsidRPr="00341535">
        <w:rPr>
          <w:rFonts w:eastAsiaTheme="minorEastAsia"/>
          <w:i/>
          <w:iCs/>
          <w:lang w:val="en-US" w:eastAsia="ja-JP"/>
        </w:rPr>
        <w:t xml:space="preserve">Acta </w:t>
      </w:r>
      <w:proofErr w:type="spellStart"/>
      <w:r w:rsidRPr="00341535">
        <w:rPr>
          <w:rFonts w:eastAsiaTheme="minorEastAsia"/>
          <w:i/>
          <w:iCs/>
          <w:lang w:val="en-US" w:eastAsia="ja-JP"/>
        </w:rPr>
        <w:t>Hortic</w:t>
      </w:r>
      <w:proofErr w:type="spellEnd"/>
      <w:r w:rsidRPr="00341535">
        <w:rPr>
          <w:rFonts w:eastAsiaTheme="minorEastAsia"/>
          <w:i/>
          <w:iCs/>
          <w:lang w:val="en-US" w:eastAsia="ja-JP"/>
        </w:rPr>
        <w:t>.</w:t>
      </w:r>
      <w:r w:rsidRPr="00341535">
        <w:rPr>
          <w:rFonts w:eastAsiaTheme="minorEastAsia"/>
          <w:lang w:val="en-US" w:eastAsia="ja-JP"/>
        </w:rPr>
        <w:t xml:space="preserve"> 1270, 249-262</w:t>
      </w:r>
      <w:r w:rsidRPr="00341535">
        <w:rPr>
          <w:rFonts w:eastAsiaTheme="minorEastAsia"/>
          <w:lang w:val="en-US" w:eastAsia="ja-JP"/>
        </w:rPr>
        <w:br/>
      </w:r>
      <w:hyperlink r:id="rId69" w:history="1">
        <w:r w:rsidRPr="00341535">
          <w:rPr>
            <w:rStyle w:val="Hyperlink"/>
            <w:color w:val="auto"/>
            <w:u w:val="none"/>
          </w:rPr>
          <w:t>https://doi.org/10.17660/ActaHortic.2020.1270.31</w:t>
        </w:r>
      </w:hyperlink>
    </w:p>
    <w:p w14:paraId="69956E8F" w14:textId="77777777" w:rsidR="00944FC9" w:rsidRPr="00341535" w:rsidRDefault="00944FC9" w:rsidP="00944FC9">
      <w:pPr>
        <w:pStyle w:val="References"/>
        <w:jc w:val="left"/>
      </w:pPr>
      <w:r w:rsidRPr="00341535">
        <w:t xml:space="preserve">Reichmuth, Ch. (2002). Alternatives to methyl bromide for the treatment of wood, timber and artefacts in the European Community. In: Batchelor, T. A., Bolivar, J. M. (eds.), The remaining Challenges, Proceedings of an </w:t>
      </w:r>
      <w:proofErr w:type="spellStart"/>
      <w:r w:rsidRPr="00341535">
        <w:t>InternationalConference</w:t>
      </w:r>
      <w:proofErr w:type="spellEnd"/>
      <w:r w:rsidRPr="00341535">
        <w:t xml:space="preserve"> on Alternatives to Methyl Bromide, 5-8 March 2002 in Sevilla, Spain, European Commission, Brussels, Belgium, 432 pp., 93-97, </w:t>
      </w:r>
      <w:hyperlink r:id="rId70" w:history="1">
        <w:r w:rsidRPr="00341535">
          <w:rPr>
            <w:rStyle w:val="Hyperlink"/>
            <w:color w:val="auto"/>
          </w:rPr>
          <w:t>http://ec.europa.eu/clima/events/docs/0039/conference_proceedings_en.pdf</w:t>
        </w:r>
      </w:hyperlink>
      <w:r w:rsidRPr="00341535">
        <w:t>.</w:t>
      </w:r>
    </w:p>
    <w:p w14:paraId="24BF5624" w14:textId="77777777" w:rsidR="00944FC9" w:rsidRPr="00341535" w:rsidRDefault="00944FC9" w:rsidP="00944FC9">
      <w:pPr>
        <w:pStyle w:val="References"/>
        <w:jc w:val="left"/>
      </w:pPr>
      <w:r w:rsidRPr="00341535">
        <w:t xml:space="preserve">Reichmuth, Ch. (2007). Fumigants for pest control in wood protection. In: </w:t>
      </w:r>
      <w:proofErr w:type="spellStart"/>
      <w:r w:rsidRPr="00341535">
        <w:t>Noldt</w:t>
      </w:r>
      <w:proofErr w:type="spellEnd"/>
      <w:r w:rsidRPr="00341535">
        <w:t xml:space="preserve">, U., </w:t>
      </w:r>
      <w:proofErr w:type="spellStart"/>
      <w:r w:rsidRPr="00341535">
        <w:t>Michels</w:t>
      </w:r>
      <w:proofErr w:type="spellEnd"/>
      <w:r w:rsidRPr="00341535">
        <w:t xml:space="preserve">, H. (eds.), Wood–destroying Organisms in Focus – Alternative Measures for Preservation of Historical Buildings, </w:t>
      </w:r>
      <w:r w:rsidRPr="00341535">
        <w:rPr>
          <w:i/>
          <w:iCs/>
        </w:rPr>
        <w:t>Proceedings of the International Conference at the LWL-Open Air Museum</w:t>
      </w:r>
      <w:r w:rsidRPr="00341535">
        <w:t>, Detmold, Westphalian Museum of Rural History and Culture, 28-30 June 2006 in Detmold, Germany, 265 pp., 137-162.</w:t>
      </w:r>
    </w:p>
    <w:p w14:paraId="5B587606" w14:textId="77777777" w:rsidR="00944FC9" w:rsidRPr="00341535" w:rsidRDefault="00944FC9" w:rsidP="00944FC9">
      <w:pPr>
        <w:pStyle w:val="References"/>
        <w:jc w:val="left"/>
        <w:rPr>
          <w:bCs/>
          <w:iCs/>
        </w:rPr>
      </w:pPr>
      <w:r w:rsidRPr="00341535">
        <w:rPr>
          <w:bCs/>
          <w:iCs/>
          <w:lang w:val="de-DE"/>
        </w:rPr>
        <w:t xml:space="preserve">Reichmuth, Ch., Rassmann, W., Binker, G., Fröba, G., Drinkall, M. J. (2003). </w:t>
      </w:r>
      <w:r w:rsidRPr="00341535">
        <w:rPr>
          <w:bCs/>
          <w:iCs/>
        </w:rPr>
        <w:t>Disinfestation of rust-red flour beetle</w:t>
      </w:r>
      <w:r w:rsidRPr="00341535">
        <w:rPr>
          <w:bCs/>
          <w:i/>
        </w:rPr>
        <w:t xml:space="preserve"> </w:t>
      </w:r>
      <w:r w:rsidRPr="00341535">
        <w:rPr>
          <w:bCs/>
          <w:iCs/>
        </w:rPr>
        <w:t>(</w:t>
      </w:r>
      <w:proofErr w:type="spellStart"/>
      <w:r w:rsidRPr="00341535">
        <w:rPr>
          <w:bCs/>
          <w:i/>
          <w:iCs/>
        </w:rPr>
        <w:t>Tribolium</w:t>
      </w:r>
      <w:proofErr w:type="spellEnd"/>
      <w:r w:rsidRPr="00341535">
        <w:rPr>
          <w:bCs/>
          <w:i/>
          <w:iCs/>
        </w:rPr>
        <w:t xml:space="preserve"> </w:t>
      </w:r>
      <w:proofErr w:type="spellStart"/>
      <w:r w:rsidRPr="00341535">
        <w:rPr>
          <w:bCs/>
          <w:i/>
          <w:iCs/>
        </w:rPr>
        <w:t>castaneum</w:t>
      </w:r>
      <w:proofErr w:type="spellEnd"/>
      <w:r w:rsidRPr="00341535">
        <w:rPr>
          <w:bCs/>
          <w:i/>
        </w:rPr>
        <w:t xml:space="preserve">), </w:t>
      </w:r>
      <w:r w:rsidRPr="00341535">
        <w:rPr>
          <w:bCs/>
          <w:iCs/>
        </w:rPr>
        <w:t>saw-toothed grain beetle (</w:t>
      </w:r>
      <w:proofErr w:type="spellStart"/>
      <w:r w:rsidRPr="00341535">
        <w:rPr>
          <w:bCs/>
          <w:i/>
        </w:rPr>
        <w:t>Oryzaephilus</w:t>
      </w:r>
      <w:proofErr w:type="spellEnd"/>
      <w:r w:rsidRPr="00341535">
        <w:rPr>
          <w:bCs/>
          <w:i/>
        </w:rPr>
        <w:t xml:space="preserve"> </w:t>
      </w:r>
      <w:proofErr w:type="spellStart"/>
      <w:r w:rsidRPr="00341535">
        <w:rPr>
          <w:bCs/>
          <w:i/>
        </w:rPr>
        <w:t>surinamensis</w:t>
      </w:r>
      <w:proofErr w:type="spellEnd"/>
      <w:r w:rsidRPr="00341535">
        <w:rPr>
          <w:bCs/>
          <w:iCs/>
        </w:rPr>
        <w:t>), yellow meal worm (</w:t>
      </w:r>
      <w:r w:rsidRPr="00341535">
        <w:rPr>
          <w:bCs/>
          <w:i/>
        </w:rPr>
        <w:t xml:space="preserve">Tenebrio </w:t>
      </w:r>
      <w:proofErr w:type="spellStart"/>
      <w:r w:rsidRPr="00341535">
        <w:rPr>
          <w:bCs/>
          <w:i/>
        </w:rPr>
        <w:t>molitor</w:t>
      </w:r>
      <w:proofErr w:type="spellEnd"/>
      <w:r w:rsidRPr="00341535">
        <w:rPr>
          <w:bCs/>
          <w:iCs/>
        </w:rPr>
        <w:t>), Mediterranean flour moth (</w:t>
      </w:r>
      <w:proofErr w:type="spellStart"/>
      <w:r w:rsidRPr="00341535">
        <w:rPr>
          <w:bCs/>
          <w:i/>
        </w:rPr>
        <w:t>Ephestia</w:t>
      </w:r>
      <w:proofErr w:type="spellEnd"/>
      <w:r w:rsidRPr="00341535">
        <w:rPr>
          <w:bCs/>
          <w:i/>
        </w:rPr>
        <w:t xml:space="preserve"> </w:t>
      </w:r>
      <w:proofErr w:type="spellStart"/>
      <w:r w:rsidRPr="00341535">
        <w:rPr>
          <w:bCs/>
          <w:i/>
        </w:rPr>
        <w:t>kuehniella</w:t>
      </w:r>
      <w:proofErr w:type="spellEnd"/>
      <w:r w:rsidRPr="00341535">
        <w:rPr>
          <w:bCs/>
          <w:iCs/>
        </w:rPr>
        <w:t>), and Indian meal moth (</w:t>
      </w:r>
      <w:proofErr w:type="spellStart"/>
      <w:r w:rsidRPr="00341535">
        <w:rPr>
          <w:bCs/>
          <w:i/>
        </w:rPr>
        <w:t>Plodia</w:t>
      </w:r>
      <w:proofErr w:type="spellEnd"/>
      <w:r w:rsidRPr="00341535">
        <w:rPr>
          <w:bCs/>
          <w:iCs/>
        </w:rPr>
        <w:t xml:space="preserve"> </w:t>
      </w:r>
      <w:proofErr w:type="spellStart"/>
      <w:r w:rsidRPr="00341535">
        <w:rPr>
          <w:bCs/>
          <w:i/>
        </w:rPr>
        <w:t>interpunctella</w:t>
      </w:r>
      <w:proofErr w:type="spellEnd"/>
      <w:r w:rsidRPr="00341535">
        <w:rPr>
          <w:bCs/>
          <w:iCs/>
        </w:rPr>
        <w:t xml:space="preserve">) with sulfuryl fluoride in flour mills. In: </w:t>
      </w:r>
      <w:proofErr w:type="spellStart"/>
      <w:r w:rsidRPr="00341535">
        <w:rPr>
          <w:bCs/>
          <w:iCs/>
        </w:rPr>
        <w:t>Credland</w:t>
      </w:r>
      <w:proofErr w:type="spellEnd"/>
      <w:r w:rsidRPr="00341535">
        <w:rPr>
          <w:bCs/>
          <w:iCs/>
        </w:rPr>
        <w:t>, P. F., Armitage, D. M., Bell, C. H., Cogan P. M., Highley, E. (eds.), Advances in Stored Product Protection,</w:t>
      </w:r>
      <w:r w:rsidRPr="00341535">
        <w:rPr>
          <w:bCs/>
          <w:i/>
        </w:rPr>
        <w:t xml:space="preserve"> </w:t>
      </w:r>
      <w:r w:rsidRPr="00341535">
        <w:rPr>
          <w:bCs/>
          <w:i/>
          <w:iCs/>
        </w:rPr>
        <w:t>Proceedings of the 8</w:t>
      </w:r>
      <w:r w:rsidRPr="00341535">
        <w:rPr>
          <w:bCs/>
          <w:i/>
          <w:iCs/>
          <w:vertAlign w:val="superscript"/>
        </w:rPr>
        <w:t>th</w:t>
      </w:r>
      <w:r w:rsidRPr="00341535">
        <w:rPr>
          <w:bCs/>
          <w:i/>
          <w:iCs/>
        </w:rPr>
        <w:t xml:space="preserve"> International Working Conference on Stored Product Protection</w:t>
      </w:r>
      <w:r w:rsidRPr="00341535">
        <w:rPr>
          <w:bCs/>
          <w:iCs/>
        </w:rPr>
        <w:t>, 22-26 July in York, UK, CAB International, London, 736-738.</w:t>
      </w:r>
    </w:p>
    <w:p w14:paraId="6BB4A0F0" w14:textId="77777777" w:rsidR="00944FC9" w:rsidRPr="00341535" w:rsidRDefault="00944FC9" w:rsidP="00944FC9">
      <w:pPr>
        <w:pStyle w:val="References"/>
        <w:jc w:val="left"/>
        <w:rPr>
          <w:bCs/>
          <w:iCs/>
        </w:rPr>
      </w:pPr>
      <w:proofErr w:type="spellStart"/>
      <w:r w:rsidRPr="00341535">
        <w:t>Reichmuth</w:t>
      </w:r>
      <w:proofErr w:type="spellEnd"/>
      <w:r w:rsidRPr="00341535">
        <w:t xml:space="preserve"> </w:t>
      </w:r>
      <w:proofErr w:type="spellStart"/>
      <w:r w:rsidRPr="00341535">
        <w:t>pers</w:t>
      </w:r>
      <w:proofErr w:type="spellEnd"/>
      <w:r w:rsidRPr="00341535">
        <w:t xml:space="preserve"> </w:t>
      </w:r>
      <w:proofErr w:type="spellStart"/>
      <w:r w:rsidRPr="00341535">
        <w:t>comm</w:t>
      </w:r>
      <w:proofErr w:type="spellEnd"/>
      <w:r>
        <w:t>, 2022</w:t>
      </w:r>
      <w:r w:rsidRPr="00341535">
        <w:t xml:space="preserve">. </w:t>
      </w:r>
    </w:p>
    <w:p w14:paraId="0B8F1273" w14:textId="77777777" w:rsidR="00944FC9" w:rsidRPr="00341535" w:rsidRDefault="00944FC9" w:rsidP="00944FC9">
      <w:pPr>
        <w:pStyle w:val="References"/>
        <w:jc w:val="left"/>
        <w:rPr>
          <w:lang w:val="de-DE"/>
        </w:rPr>
      </w:pPr>
      <w:r w:rsidRPr="00341535">
        <w:rPr>
          <w:lang w:val="de-DE"/>
        </w:rPr>
        <w:t>Reimann, S., Vollmer, M. K., Brunner, D., Steinbacher, M., Hill, M., Wyss, S. A., Henne, S., Hörger, C., Emmenegger, L. (2015). Kontinuierliche Messung von Nicht-CO</w:t>
      </w:r>
      <w:r w:rsidRPr="00341535">
        <w:rPr>
          <w:vertAlign w:val="subscript"/>
          <w:lang w:val="de-DE"/>
        </w:rPr>
        <w:t>2</w:t>
      </w:r>
      <w:r w:rsidRPr="00341535">
        <w:rPr>
          <w:lang w:val="de-DE"/>
        </w:rPr>
        <w:t xml:space="preserve">-Treibhausgasen auf dem Jungfraujoch (Halclim-5). </w:t>
      </w:r>
      <w:r w:rsidRPr="00341535">
        <w:rPr>
          <w:i/>
          <w:iCs/>
          <w:lang w:val="de-DE"/>
        </w:rPr>
        <w:t>Empa Projekt-Nr.: 201‘203</w:t>
      </w:r>
      <w:r w:rsidRPr="00341535">
        <w:rPr>
          <w:lang w:val="de-DE"/>
        </w:rPr>
        <w:t>, Eidgenössische Materialprüfungs- und Forschungsanstalt, (EMPA), CH-8600 Dübendorf, EMPA, 82 pp.</w:t>
      </w:r>
    </w:p>
    <w:p w14:paraId="0AC3719D" w14:textId="77777777" w:rsidR="00944FC9" w:rsidRPr="00341535" w:rsidRDefault="00944FC9" w:rsidP="00944FC9">
      <w:pPr>
        <w:pStyle w:val="References"/>
        <w:jc w:val="left"/>
      </w:pPr>
      <w:r w:rsidRPr="00341535">
        <w:rPr>
          <w:lang w:val="es-ES"/>
        </w:rPr>
        <w:t xml:space="preserve">Riudavets, J., Alonso, M., Gabarra, R., Arno, J., Jaques, J. A., Palou, L. (2016). </w:t>
      </w:r>
      <w:r w:rsidRPr="00341535">
        <w:t xml:space="preserve">The effects of postharvest carbon dioxide and a cold storage treatment on </w:t>
      </w:r>
      <w:proofErr w:type="spellStart"/>
      <w:r w:rsidRPr="00341535">
        <w:rPr>
          <w:i/>
        </w:rPr>
        <w:t>Tutaabsoluta</w:t>
      </w:r>
      <w:proofErr w:type="spellEnd"/>
      <w:r w:rsidRPr="00341535">
        <w:t xml:space="preserve"> mortality and tomato fruit quality. </w:t>
      </w:r>
      <w:r w:rsidRPr="00341535">
        <w:rPr>
          <w:i/>
          <w:iCs/>
        </w:rPr>
        <w:t>Postharvest Biology and Technology</w:t>
      </w:r>
      <w:r w:rsidRPr="00341535">
        <w:t xml:space="preserve"> 120, 213-221. </w:t>
      </w:r>
      <w:hyperlink r:id="rId71" w:history="1">
        <w:r w:rsidRPr="00341535">
          <w:rPr>
            <w:rStyle w:val="Hyperlink"/>
          </w:rPr>
          <w:t>https://www.sciencedirect.com/science/article/pii/S092552141630134X</w:t>
        </w:r>
      </w:hyperlink>
    </w:p>
    <w:p w14:paraId="06EA517B" w14:textId="77777777" w:rsidR="00944FC9" w:rsidRPr="00341535" w:rsidRDefault="00944FC9" w:rsidP="00944FC9">
      <w:pPr>
        <w:pStyle w:val="References"/>
        <w:jc w:val="left"/>
        <w:rPr>
          <w:lang w:val="en-US"/>
        </w:rPr>
      </w:pPr>
      <w:r w:rsidRPr="00341535">
        <w:rPr>
          <w:lang w:val="en-US"/>
        </w:rPr>
        <w:t>Rodríguez-</w:t>
      </w:r>
      <w:proofErr w:type="spellStart"/>
      <w:r w:rsidRPr="00341535">
        <w:rPr>
          <w:lang w:val="en-US"/>
        </w:rPr>
        <w:t>Delfín</w:t>
      </w:r>
      <w:proofErr w:type="spellEnd"/>
      <w:r w:rsidRPr="00341535">
        <w:rPr>
          <w:lang w:val="en-US"/>
        </w:rPr>
        <w:t xml:space="preserve">, A. (2012). Advances of hydroponics in Latin America. </w:t>
      </w:r>
      <w:r w:rsidRPr="00341535">
        <w:rPr>
          <w:i/>
          <w:lang w:val="en-US"/>
        </w:rPr>
        <w:t xml:space="preserve">Acta </w:t>
      </w:r>
      <w:proofErr w:type="spellStart"/>
      <w:r w:rsidRPr="00341535">
        <w:rPr>
          <w:i/>
          <w:lang w:val="en-US"/>
        </w:rPr>
        <w:t>Horticulturae</w:t>
      </w:r>
      <w:proofErr w:type="spellEnd"/>
      <w:r w:rsidRPr="00341535">
        <w:rPr>
          <w:lang w:val="en-US"/>
        </w:rPr>
        <w:t xml:space="preserve"> 947, 23-32.</w:t>
      </w:r>
    </w:p>
    <w:p w14:paraId="66448D0F" w14:textId="77B348AE" w:rsidR="00944FC9" w:rsidRPr="00341535" w:rsidRDefault="00944FC9" w:rsidP="00944FC9">
      <w:pPr>
        <w:pStyle w:val="References"/>
        <w:jc w:val="left"/>
      </w:pPr>
      <w:r w:rsidRPr="00341535">
        <w:rPr>
          <w:lang w:val="en-US"/>
        </w:rPr>
        <w:t xml:space="preserve">Ryan, R., Martin, P., Haines, N., </w:t>
      </w:r>
      <w:proofErr w:type="spellStart"/>
      <w:r w:rsidRPr="00341535">
        <w:rPr>
          <w:lang w:val="en-US"/>
        </w:rPr>
        <w:t>Reddi</w:t>
      </w:r>
      <w:proofErr w:type="spellEnd"/>
      <w:r w:rsidRPr="00341535">
        <w:rPr>
          <w:lang w:val="en-US"/>
        </w:rPr>
        <w:t xml:space="preserve">, R., </w:t>
      </w:r>
      <w:proofErr w:type="spellStart"/>
      <w:r w:rsidRPr="00341535">
        <w:rPr>
          <w:lang w:val="en-US"/>
        </w:rPr>
        <w:t>Beven</w:t>
      </w:r>
      <w:proofErr w:type="spellEnd"/>
      <w:r w:rsidRPr="00341535">
        <w:rPr>
          <w:lang w:val="en-US"/>
        </w:rPr>
        <w:t xml:space="preserve">, D., Harvey, A. (2006). </w:t>
      </w:r>
      <w:proofErr w:type="spellStart"/>
      <w:r w:rsidRPr="00341535">
        <w:rPr>
          <w:lang w:val="en-US"/>
        </w:rPr>
        <w:t>Sterigas</w:t>
      </w:r>
      <w:proofErr w:type="spellEnd"/>
      <w:r w:rsidRPr="00341535">
        <w:rPr>
          <w:lang w:val="en-US"/>
        </w:rPr>
        <w:t xml:space="preserve">™ &amp; Cosmic™: update on proposed new fumigants. In: </w:t>
      </w:r>
      <w:proofErr w:type="spellStart"/>
      <w:r w:rsidRPr="00341535">
        <w:rPr>
          <w:lang w:val="en-US"/>
        </w:rPr>
        <w:t>Obenauf</w:t>
      </w:r>
      <w:proofErr w:type="spellEnd"/>
      <w:r w:rsidRPr="00341535">
        <w:rPr>
          <w:lang w:val="en-US"/>
        </w:rPr>
        <w:t xml:space="preserve">, G. L. (ed.), </w:t>
      </w:r>
      <w:r w:rsidRPr="00341535">
        <w:rPr>
          <w:i/>
          <w:lang w:val="en-US"/>
        </w:rPr>
        <w:t>Proceedings of the Annual International Research Conference on Methyl Bromide Alternatives and Emission Reductions</w:t>
      </w:r>
      <w:r w:rsidRPr="00341535">
        <w:rPr>
          <w:lang w:val="en-US"/>
        </w:rPr>
        <w:t>, (MBAO), 6-9 November 2006 in Orlando, Florida, USA, http://www.mbao.org, 138-1 – 138-2.</w:t>
      </w:r>
      <w:r w:rsidR="005617DE">
        <w:rPr>
          <w:lang w:val="en-US"/>
        </w:rPr>
        <w:t xml:space="preserve"> </w:t>
      </w:r>
    </w:p>
    <w:p w14:paraId="3AFDCF4E" w14:textId="77777777" w:rsidR="00460CC6" w:rsidRPr="00341535" w:rsidRDefault="00460CC6" w:rsidP="00460CC6">
      <w:pPr>
        <w:pStyle w:val="References"/>
        <w:jc w:val="left"/>
      </w:pPr>
      <w:proofErr w:type="spellStart"/>
      <w:r w:rsidRPr="00460CC6">
        <w:rPr>
          <w:color w:val="000000"/>
        </w:rPr>
        <w:t>Sakka</w:t>
      </w:r>
      <w:proofErr w:type="spellEnd"/>
      <w:r w:rsidRPr="00341535">
        <w:rPr>
          <w:color w:val="000000"/>
        </w:rPr>
        <w:t xml:space="preserve">, M., </w:t>
      </w:r>
      <w:proofErr w:type="spellStart"/>
      <w:r w:rsidRPr="00341535">
        <w:rPr>
          <w:color w:val="000000"/>
        </w:rPr>
        <w:t>Fotini</w:t>
      </w:r>
      <w:proofErr w:type="spellEnd"/>
      <w:r w:rsidRPr="00341535">
        <w:rPr>
          <w:color w:val="000000"/>
        </w:rPr>
        <w:t xml:space="preserve"> </w:t>
      </w:r>
      <w:proofErr w:type="spellStart"/>
      <w:r w:rsidRPr="00341535">
        <w:rPr>
          <w:color w:val="000000"/>
        </w:rPr>
        <w:t>Gatzali</w:t>
      </w:r>
      <w:proofErr w:type="spellEnd"/>
      <w:r w:rsidRPr="00341535">
        <w:rPr>
          <w:color w:val="000000"/>
        </w:rPr>
        <w:t xml:space="preserve">, </w:t>
      </w:r>
      <w:proofErr w:type="spellStart"/>
      <w:r w:rsidRPr="00341535">
        <w:rPr>
          <w:color w:val="000000"/>
        </w:rPr>
        <w:t>Vaios</w:t>
      </w:r>
      <w:proofErr w:type="spellEnd"/>
      <w:r w:rsidRPr="00341535">
        <w:rPr>
          <w:color w:val="000000"/>
        </w:rPr>
        <w:t xml:space="preserve"> </w:t>
      </w:r>
      <w:proofErr w:type="spellStart"/>
      <w:r w:rsidRPr="00341535">
        <w:rPr>
          <w:color w:val="000000"/>
        </w:rPr>
        <w:t>Karathanos</w:t>
      </w:r>
      <w:proofErr w:type="spellEnd"/>
      <w:r w:rsidRPr="00341535">
        <w:rPr>
          <w:color w:val="000000"/>
        </w:rPr>
        <w:t xml:space="preserve">, Christos G. </w:t>
      </w:r>
      <w:proofErr w:type="spellStart"/>
      <w:r w:rsidRPr="00341535">
        <w:rPr>
          <w:color w:val="000000"/>
        </w:rPr>
        <w:t>Athanassiou</w:t>
      </w:r>
      <w:proofErr w:type="spellEnd"/>
      <w:r w:rsidRPr="00341535">
        <w:rPr>
          <w:color w:val="000000"/>
        </w:rPr>
        <w:t>.</w:t>
      </w:r>
      <w:r w:rsidRPr="00341535">
        <w:rPr>
          <w:color w:val="000000"/>
        </w:rPr>
        <w:br/>
        <w:t xml:space="preserve">2022. Efficacy of low oxygen against </w:t>
      </w:r>
      <w:proofErr w:type="spellStart"/>
      <w:r w:rsidRPr="00341535">
        <w:rPr>
          <w:color w:val="000000"/>
        </w:rPr>
        <w:t>Trogoderma</w:t>
      </w:r>
      <w:proofErr w:type="spellEnd"/>
      <w:r w:rsidRPr="00341535">
        <w:rPr>
          <w:color w:val="000000"/>
        </w:rPr>
        <w:t xml:space="preserve"> </w:t>
      </w:r>
      <w:proofErr w:type="spellStart"/>
      <w:r w:rsidRPr="00341535">
        <w:rPr>
          <w:color w:val="000000"/>
        </w:rPr>
        <w:t>granarium</w:t>
      </w:r>
      <w:proofErr w:type="spellEnd"/>
      <w:r w:rsidRPr="00341535">
        <w:rPr>
          <w:color w:val="000000"/>
        </w:rPr>
        <w:t xml:space="preserve"> Everts, </w:t>
      </w:r>
      <w:proofErr w:type="spellStart"/>
      <w:r w:rsidRPr="00341535">
        <w:rPr>
          <w:color w:val="000000"/>
        </w:rPr>
        <w:t>Tribolium</w:t>
      </w:r>
      <w:proofErr w:type="spellEnd"/>
      <w:r w:rsidRPr="00341535">
        <w:rPr>
          <w:color w:val="000000"/>
        </w:rPr>
        <w:br/>
      </w:r>
      <w:proofErr w:type="spellStart"/>
      <w:r w:rsidRPr="00341535">
        <w:rPr>
          <w:color w:val="000000"/>
        </w:rPr>
        <w:t>castaneum</w:t>
      </w:r>
      <w:proofErr w:type="spellEnd"/>
      <w:r w:rsidRPr="00341535">
        <w:rPr>
          <w:color w:val="000000"/>
        </w:rPr>
        <w:t xml:space="preserve"> (Herbst) and </w:t>
      </w:r>
      <w:proofErr w:type="spellStart"/>
      <w:r w:rsidRPr="00341535">
        <w:rPr>
          <w:color w:val="000000"/>
        </w:rPr>
        <w:t>Callosobruchus</w:t>
      </w:r>
      <w:proofErr w:type="spellEnd"/>
      <w:r w:rsidRPr="00341535">
        <w:rPr>
          <w:color w:val="000000"/>
        </w:rPr>
        <w:t xml:space="preserve"> maculatus (F.) in commercial</w:t>
      </w:r>
      <w:r w:rsidRPr="00341535">
        <w:rPr>
          <w:color w:val="000000"/>
        </w:rPr>
        <w:br/>
        <w:t>Applications. Journal of Stored Products Research 97, 101968.</w:t>
      </w:r>
    </w:p>
    <w:p w14:paraId="4C3DA420" w14:textId="77777777" w:rsidR="00944FC9" w:rsidRPr="00BF0FD5" w:rsidRDefault="00944FC9" w:rsidP="00944FC9">
      <w:pPr>
        <w:ind w:left="1080" w:hanging="1080"/>
        <w:rPr>
          <w:rFonts w:ascii="Garamond" w:hAnsi="Garamond"/>
          <w:sz w:val="20"/>
        </w:rPr>
      </w:pPr>
      <w:r w:rsidRPr="00BF0FD5">
        <w:rPr>
          <w:rFonts w:ascii="Garamond" w:hAnsi="Garamond"/>
          <w:sz w:val="20"/>
        </w:rPr>
        <w:t xml:space="preserve">Seabright, K., Davila-Flores, A., Myers, S. and Tylor, A. 2020. Efficacy of methyl bromide and alternative fumigants against pinewood nematode in pine wood samples. Journal of Plant Diseases and Protection 127:393-400. DOI: 10.1007/s41348-019-00297-7 </w:t>
      </w:r>
    </w:p>
    <w:p w14:paraId="6CED493B" w14:textId="77777777" w:rsidR="002C0D7B" w:rsidRPr="002C0D7B" w:rsidRDefault="00E4736D" w:rsidP="00E4736D">
      <w:pPr>
        <w:pStyle w:val="References"/>
        <w:jc w:val="left"/>
        <w:rPr>
          <w:rFonts w:eastAsia="SimSun"/>
          <w:lang w:val="en-US"/>
        </w:rPr>
      </w:pPr>
      <w:r w:rsidRPr="00E4736D">
        <w:rPr>
          <w:rFonts w:eastAsia="SimSun"/>
          <w:lang w:val="en-US"/>
        </w:rPr>
        <w:t>Soma Y., Takahashi M., and Kawakami F. (2018) Aluminum phosphide fumigation by gas generation in the space and circulation system in commercial silos. The Proceedings of the 43rd Annual Meeting of Pesticide Science Society of Japan (2018) page 131.</w:t>
      </w:r>
    </w:p>
    <w:p w14:paraId="4BF1FFB5" w14:textId="661F5CB5" w:rsidR="00944FC9" w:rsidRPr="00341535" w:rsidRDefault="00944FC9" w:rsidP="00944FC9">
      <w:pPr>
        <w:pStyle w:val="References"/>
        <w:jc w:val="left"/>
      </w:pPr>
      <w:r w:rsidRPr="00341535">
        <w:t xml:space="preserve">Stejskal et al, 2017. New Technology of Wood Fumigation Against Bark Beetle. First trial results – EDN product used for forest protection in Czech Republic. </w:t>
      </w:r>
      <w:proofErr w:type="spellStart"/>
      <w:r w:rsidRPr="00341535">
        <w:t>Lesnicka</w:t>
      </w:r>
      <w:proofErr w:type="spellEnd"/>
      <w:r w:rsidRPr="00341535">
        <w:t xml:space="preserve"> </w:t>
      </w:r>
      <w:proofErr w:type="spellStart"/>
      <w:r w:rsidRPr="00341535">
        <w:t>prace</w:t>
      </w:r>
      <w:proofErr w:type="spellEnd"/>
      <w:r w:rsidRPr="00341535">
        <w:t xml:space="preserve">, Vol 11. pp 19-21 </w:t>
      </w:r>
    </w:p>
    <w:p w14:paraId="1DEBB279" w14:textId="77777777" w:rsidR="00944FC9" w:rsidRPr="00341535" w:rsidRDefault="00944FC9" w:rsidP="00944FC9">
      <w:pPr>
        <w:pStyle w:val="References"/>
        <w:jc w:val="left"/>
      </w:pPr>
      <w:r w:rsidRPr="00341535">
        <w:rPr>
          <w:lang w:val="en-US"/>
        </w:rPr>
        <w:lastRenderedPageBreak/>
        <w:t>TEAP (20</w:t>
      </w:r>
      <w:r w:rsidRPr="00341535">
        <w:t>21</w:t>
      </w:r>
      <w:r w:rsidRPr="00341535">
        <w:rPr>
          <w:lang w:val="en-US"/>
        </w:rPr>
        <w:t xml:space="preserve">). Report of the Technology and Economic Assessment Panel, Vol 2: Evaluation of 2019 CUNs for Methyl Bromide, Final Report, </w:t>
      </w:r>
      <w:hyperlink r:id="rId72" w:history="1">
        <w:r w:rsidRPr="00341535">
          <w:rPr>
            <w:rStyle w:val="Hyperlink"/>
            <w:color w:val="auto"/>
            <w:lang w:val="en-US"/>
          </w:rPr>
          <w:t>https://ozone.unep.org/science/assessment/teap</w:t>
        </w:r>
      </w:hyperlink>
      <w:r w:rsidRPr="00341535">
        <w:rPr>
          <w:lang w:val="en-US"/>
        </w:rPr>
        <w:t>, 70 pp.</w:t>
      </w:r>
    </w:p>
    <w:p w14:paraId="5C27804A" w14:textId="1AD526BA" w:rsidR="00944FC9" w:rsidRPr="00413888" w:rsidRDefault="00944FC9" w:rsidP="00413888">
      <w:pPr>
        <w:pStyle w:val="References"/>
        <w:jc w:val="left"/>
        <w:rPr>
          <w:lang w:val="en-US"/>
        </w:rPr>
      </w:pPr>
      <w:proofErr w:type="spellStart"/>
      <w:r w:rsidRPr="00341535">
        <w:rPr>
          <w:lang w:val="en-US"/>
        </w:rPr>
        <w:t>Tarusikirwa</w:t>
      </w:r>
      <w:proofErr w:type="spellEnd"/>
      <w:r w:rsidRPr="00341535">
        <w:rPr>
          <w:lang w:val="en-US"/>
        </w:rPr>
        <w:t xml:space="preserve">, V. L., R. </w:t>
      </w:r>
      <w:proofErr w:type="spellStart"/>
      <w:r w:rsidRPr="00341535">
        <w:rPr>
          <w:lang w:val="en-US"/>
        </w:rPr>
        <w:t>Mutamiswa</w:t>
      </w:r>
      <w:proofErr w:type="spellEnd"/>
      <w:r w:rsidRPr="00341535">
        <w:rPr>
          <w:lang w:val="en-US"/>
        </w:rPr>
        <w:t xml:space="preserve">, F. </w:t>
      </w:r>
      <w:proofErr w:type="spellStart"/>
      <w:r w:rsidRPr="00341535">
        <w:rPr>
          <w:lang w:val="en-US"/>
        </w:rPr>
        <w:t>Chidawanyika</w:t>
      </w:r>
      <w:proofErr w:type="spellEnd"/>
      <w:r w:rsidRPr="00341535">
        <w:rPr>
          <w:lang w:val="en-US"/>
        </w:rPr>
        <w:t xml:space="preserve">, and C. </w:t>
      </w:r>
      <w:proofErr w:type="spellStart"/>
      <w:r w:rsidRPr="00341535">
        <w:rPr>
          <w:lang w:val="en-US"/>
        </w:rPr>
        <w:t>Nyamukondiwa</w:t>
      </w:r>
      <w:proofErr w:type="spellEnd"/>
      <w:r w:rsidRPr="00341535">
        <w:rPr>
          <w:lang w:val="en-US"/>
        </w:rPr>
        <w:t xml:space="preserve">. </w:t>
      </w:r>
      <w:r w:rsidRPr="00341535">
        <w:t xml:space="preserve">2021. Cold hardiness of the South American tomato pinworm </w:t>
      </w:r>
      <w:proofErr w:type="spellStart"/>
      <w:r w:rsidRPr="00341535">
        <w:t>Tuta</w:t>
      </w:r>
      <w:proofErr w:type="spellEnd"/>
      <w:r w:rsidRPr="00341535">
        <w:t xml:space="preserve"> </w:t>
      </w:r>
      <w:proofErr w:type="spellStart"/>
      <w:r w:rsidRPr="00341535">
        <w:t>absoluta</w:t>
      </w:r>
      <w:proofErr w:type="spellEnd"/>
      <w:r w:rsidRPr="00341535">
        <w:t xml:space="preserve"> (Lepidoptera: </w:t>
      </w:r>
      <w:proofErr w:type="spellStart"/>
      <w:r w:rsidRPr="00341535">
        <w:t>Gelechiidae</w:t>
      </w:r>
      <w:proofErr w:type="spellEnd"/>
      <w:r w:rsidRPr="00341535">
        <w:t xml:space="preserve">): both larvae and adults are chill-susceptible. </w:t>
      </w:r>
      <w:r w:rsidRPr="00A441E5">
        <w:rPr>
          <w:lang w:val="en-US"/>
        </w:rPr>
        <w:t xml:space="preserve">Pest </w:t>
      </w:r>
      <w:proofErr w:type="spellStart"/>
      <w:r w:rsidRPr="00A441E5">
        <w:rPr>
          <w:lang w:val="en-US"/>
        </w:rPr>
        <w:t>Manag</w:t>
      </w:r>
      <w:proofErr w:type="spellEnd"/>
      <w:r w:rsidRPr="00A441E5">
        <w:rPr>
          <w:lang w:val="en-US"/>
        </w:rPr>
        <w:t xml:space="preserve">. </w:t>
      </w:r>
      <w:r w:rsidRPr="00341535">
        <w:rPr>
          <w:lang w:val="en-US"/>
        </w:rPr>
        <w:t>Sci. 77: 184–193.</w:t>
      </w:r>
    </w:p>
    <w:p w14:paraId="727185D9" w14:textId="77777777" w:rsidR="00944FC9" w:rsidRPr="00341535" w:rsidRDefault="00944FC9" w:rsidP="00944FC9">
      <w:pPr>
        <w:pStyle w:val="References"/>
        <w:jc w:val="left"/>
      </w:pPr>
      <w:proofErr w:type="spellStart"/>
      <w:r w:rsidRPr="00341535">
        <w:t>Uzunovic</w:t>
      </w:r>
      <w:proofErr w:type="spellEnd"/>
      <w:r w:rsidRPr="00341535">
        <w:t xml:space="preserve"> A, </w:t>
      </w:r>
      <w:proofErr w:type="spellStart"/>
      <w:r w:rsidRPr="00341535">
        <w:t>Kus</w:t>
      </w:r>
      <w:proofErr w:type="spellEnd"/>
      <w:r w:rsidRPr="00341535">
        <w:t xml:space="preserve"> S and Hook A. (2019). Efficacy of EDN to kill pine wood nematodes (</w:t>
      </w:r>
      <w:proofErr w:type="spellStart"/>
      <w:r w:rsidRPr="00341535">
        <w:t>Bursaphelenchus</w:t>
      </w:r>
      <w:proofErr w:type="spellEnd"/>
      <w:r w:rsidRPr="00341535">
        <w:t xml:space="preserve"> </w:t>
      </w:r>
      <w:proofErr w:type="spellStart"/>
      <w:r w:rsidRPr="00341535">
        <w:t>xylophilus</w:t>
      </w:r>
      <w:proofErr w:type="spellEnd"/>
      <w:r w:rsidRPr="00341535">
        <w:t xml:space="preserve">), and plant pathogens associated with forest commodities. A LUČEBNÍ ZÁVODY, DRASLOVKA A.S. KOLÍN. HAVLICKOVA 605,280 99 KOLIN, CZECH REPUBLIC </w:t>
      </w:r>
    </w:p>
    <w:p w14:paraId="2BCF8E20" w14:textId="77777777" w:rsidR="00460CC6" w:rsidRPr="00341535" w:rsidRDefault="00460CC6" w:rsidP="00460CC6">
      <w:pPr>
        <w:pStyle w:val="References"/>
        <w:jc w:val="left"/>
      </w:pPr>
      <w:proofErr w:type="spellStart"/>
      <w:proofErr w:type="gramStart"/>
      <w:r w:rsidRPr="00341535">
        <w:rPr>
          <w:color w:val="000000"/>
        </w:rPr>
        <w:t>Vassilakos,T</w:t>
      </w:r>
      <w:proofErr w:type="spellEnd"/>
      <w:r w:rsidRPr="00341535">
        <w:rPr>
          <w:color w:val="000000"/>
        </w:rPr>
        <w:t>.</w:t>
      </w:r>
      <w:proofErr w:type="gramEnd"/>
      <w:r w:rsidRPr="00341535">
        <w:rPr>
          <w:color w:val="000000"/>
        </w:rPr>
        <w:t xml:space="preserve">, Jordi </w:t>
      </w:r>
      <w:proofErr w:type="spellStart"/>
      <w:r w:rsidRPr="00341535">
        <w:rPr>
          <w:color w:val="000000"/>
        </w:rPr>
        <w:t>Riudavets</w:t>
      </w:r>
      <w:proofErr w:type="spellEnd"/>
      <w:r w:rsidRPr="00341535">
        <w:rPr>
          <w:color w:val="000000"/>
        </w:rPr>
        <w:t xml:space="preserve">, Cristina </w:t>
      </w:r>
      <w:proofErr w:type="spellStart"/>
      <w:r w:rsidRPr="00341535">
        <w:rPr>
          <w:color w:val="000000"/>
        </w:rPr>
        <w:t>Castañé</w:t>
      </w:r>
      <w:proofErr w:type="spellEnd"/>
      <w:r w:rsidRPr="00341535">
        <w:rPr>
          <w:color w:val="000000"/>
        </w:rPr>
        <w:t>, Rey D.</w:t>
      </w:r>
      <w:r>
        <w:rPr>
          <w:color w:val="000000"/>
        </w:rPr>
        <w:t xml:space="preserve"> </w:t>
      </w:r>
      <w:proofErr w:type="spellStart"/>
      <w:r w:rsidRPr="00341535">
        <w:rPr>
          <w:color w:val="000000"/>
        </w:rPr>
        <w:t>Iturralde</w:t>
      </w:r>
      <w:proofErr w:type="spellEnd"/>
      <w:r w:rsidRPr="00341535">
        <w:rPr>
          <w:color w:val="000000"/>
        </w:rPr>
        <w:t xml:space="preserve">-Garcia, and Christos G. </w:t>
      </w:r>
      <w:proofErr w:type="spellStart"/>
      <w:r w:rsidRPr="00341535">
        <w:rPr>
          <w:color w:val="000000"/>
        </w:rPr>
        <w:t>Athanassiou</w:t>
      </w:r>
      <w:proofErr w:type="spellEnd"/>
      <w:r w:rsidRPr="00341535">
        <w:rPr>
          <w:color w:val="000000"/>
        </w:rPr>
        <w:t>. 2019. Efficacy of Modified</w:t>
      </w:r>
      <w:r>
        <w:rPr>
          <w:color w:val="000000"/>
        </w:rPr>
        <w:t xml:space="preserve"> </w:t>
      </w:r>
      <w:r w:rsidRPr="00341535">
        <w:rPr>
          <w:color w:val="000000"/>
        </w:rPr>
        <w:t xml:space="preserve">Atmospheres on </w:t>
      </w:r>
      <w:proofErr w:type="spellStart"/>
      <w:r w:rsidRPr="00341535">
        <w:rPr>
          <w:color w:val="000000"/>
        </w:rPr>
        <w:t>Trogoderma</w:t>
      </w:r>
      <w:proofErr w:type="spellEnd"/>
      <w:r w:rsidRPr="00341535">
        <w:rPr>
          <w:color w:val="000000"/>
        </w:rPr>
        <w:t xml:space="preserve"> </w:t>
      </w:r>
      <w:proofErr w:type="spellStart"/>
      <w:r w:rsidRPr="00341535">
        <w:rPr>
          <w:color w:val="000000"/>
        </w:rPr>
        <w:t>granarium</w:t>
      </w:r>
      <w:proofErr w:type="spellEnd"/>
      <w:r w:rsidRPr="00341535">
        <w:rPr>
          <w:color w:val="000000"/>
        </w:rPr>
        <w:t xml:space="preserve"> (</w:t>
      </w:r>
      <w:proofErr w:type="spellStart"/>
      <w:r w:rsidRPr="00341535">
        <w:rPr>
          <w:color w:val="000000"/>
        </w:rPr>
        <w:t>Coleoptera</w:t>
      </w:r>
      <w:proofErr w:type="spellEnd"/>
      <w:r w:rsidRPr="00341535">
        <w:rPr>
          <w:color w:val="000000"/>
        </w:rPr>
        <w:t xml:space="preserve">: </w:t>
      </w:r>
      <w:proofErr w:type="spellStart"/>
      <w:r w:rsidRPr="00341535">
        <w:rPr>
          <w:color w:val="000000"/>
        </w:rPr>
        <w:t>Dermestidae</w:t>
      </w:r>
      <w:proofErr w:type="spellEnd"/>
      <w:r w:rsidRPr="00341535">
        <w:rPr>
          <w:color w:val="000000"/>
        </w:rPr>
        <w:t>) and Sitophilu</w:t>
      </w:r>
      <w:r>
        <w:rPr>
          <w:color w:val="000000"/>
        </w:rPr>
        <w:t xml:space="preserve">s </w:t>
      </w:r>
      <w:proofErr w:type="spellStart"/>
      <w:r w:rsidRPr="00341535">
        <w:rPr>
          <w:color w:val="000000"/>
        </w:rPr>
        <w:t>zeamais</w:t>
      </w:r>
      <w:proofErr w:type="spellEnd"/>
      <w:r w:rsidRPr="00341535">
        <w:rPr>
          <w:color w:val="000000"/>
        </w:rPr>
        <w:t xml:space="preserve"> (</w:t>
      </w:r>
      <w:proofErr w:type="spellStart"/>
      <w:r w:rsidRPr="00341535">
        <w:rPr>
          <w:color w:val="000000"/>
        </w:rPr>
        <w:t>Coleoptera</w:t>
      </w:r>
      <w:proofErr w:type="spellEnd"/>
      <w:r w:rsidRPr="00341535">
        <w:rPr>
          <w:color w:val="000000"/>
        </w:rPr>
        <w:t xml:space="preserve">: </w:t>
      </w:r>
      <w:proofErr w:type="spellStart"/>
      <w:r w:rsidRPr="00341535">
        <w:rPr>
          <w:color w:val="000000"/>
        </w:rPr>
        <w:t>Curculionidae</w:t>
      </w:r>
      <w:proofErr w:type="spellEnd"/>
      <w:r w:rsidRPr="00341535">
        <w:rPr>
          <w:color w:val="000000"/>
        </w:rPr>
        <w:t>). Journal of Economic Entomology 112(5),</w:t>
      </w:r>
      <w:r>
        <w:rPr>
          <w:color w:val="000000"/>
        </w:rPr>
        <w:t xml:space="preserve"> </w:t>
      </w:r>
      <w:r w:rsidRPr="00341535">
        <w:rPr>
          <w:color w:val="000000"/>
        </w:rPr>
        <w:t>2450-2457.</w:t>
      </w:r>
    </w:p>
    <w:p w14:paraId="21B6484C" w14:textId="77777777" w:rsidR="00944FC9" w:rsidRPr="005B36CB" w:rsidRDefault="00944FC9" w:rsidP="00944FC9">
      <w:pPr>
        <w:pStyle w:val="Style15"/>
        <w:ind w:left="708" w:hangingChars="354" w:hanging="708"/>
        <w:rPr>
          <w:rFonts w:ascii="Garamond" w:hAnsi="Garamond"/>
          <w:color w:val="auto"/>
          <w:szCs w:val="24"/>
          <w:lang w:val="en-US" w:eastAsia="ja-JP"/>
        </w:rPr>
      </w:pPr>
      <w:proofErr w:type="spellStart"/>
      <w:r w:rsidRPr="005B36CB">
        <w:rPr>
          <w:rFonts w:ascii="Garamond" w:hAnsi="Garamond"/>
          <w:b w:val="0"/>
          <w:color w:val="auto"/>
          <w:lang w:val="en-US" w:eastAsia="ja-JP"/>
        </w:rPr>
        <w:t>Walse</w:t>
      </w:r>
      <w:proofErr w:type="spellEnd"/>
      <w:r w:rsidRPr="005B36CB">
        <w:rPr>
          <w:rFonts w:ascii="Garamond" w:hAnsi="Garamond"/>
          <w:b w:val="0"/>
          <w:color w:val="auto"/>
          <w:lang w:val="en-US" w:eastAsia="ja-JP"/>
        </w:rPr>
        <w:t xml:space="preserve">, S. and Jimenez, L. 2021. Postharvest fumigation of fresh Citrus with </w:t>
      </w:r>
      <w:proofErr w:type="spellStart"/>
      <w:r w:rsidRPr="005B36CB">
        <w:rPr>
          <w:rFonts w:ascii="Garamond" w:hAnsi="Garamond"/>
          <w:b w:val="0"/>
          <w:color w:val="auto"/>
          <w:lang w:val="en-US" w:eastAsia="ja-JP"/>
        </w:rPr>
        <w:t>cylinderized</w:t>
      </w:r>
      <w:proofErr w:type="spellEnd"/>
      <w:r w:rsidRPr="005B36CB">
        <w:rPr>
          <w:rFonts w:ascii="Garamond" w:hAnsi="Garamond"/>
          <w:b w:val="0"/>
          <w:color w:val="auto"/>
          <w:lang w:val="en-US" w:eastAsia="ja-JP"/>
        </w:rPr>
        <w:t xml:space="preserve"> phosphine to control bean Thrips (Thysanoptera: Thripidae).</w:t>
      </w:r>
      <w:r w:rsidRPr="005B36CB">
        <w:rPr>
          <w:rFonts w:ascii="Garamond" w:hAnsi="Garamond"/>
          <w:b w:val="0"/>
          <w:i/>
          <w:color w:val="auto"/>
          <w:lang w:val="en-US" w:eastAsia="ja-JP"/>
        </w:rPr>
        <w:t xml:space="preserve"> </w:t>
      </w:r>
      <w:proofErr w:type="spellStart"/>
      <w:r w:rsidRPr="005B36CB">
        <w:rPr>
          <w:rFonts w:ascii="Garamond" w:hAnsi="Garamond"/>
          <w:b w:val="0"/>
          <w:i/>
          <w:color w:val="auto"/>
          <w:lang w:val="en-US" w:eastAsia="ja-JP"/>
        </w:rPr>
        <w:t>Horticulturae</w:t>
      </w:r>
      <w:proofErr w:type="spellEnd"/>
      <w:r w:rsidRPr="005B36CB">
        <w:rPr>
          <w:rFonts w:ascii="Garamond" w:hAnsi="Garamond"/>
          <w:b w:val="0"/>
          <w:color w:val="auto"/>
          <w:lang w:val="en-US" w:eastAsia="ja-JP"/>
        </w:rPr>
        <w:t xml:space="preserve"> 7, 134. </w:t>
      </w:r>
      <w:hyperlink r:id="rId73" w:history="1">
        <w:r w:rsidRPr="005B36CB">
          <w:rPr>
            <w:rStyle w:val="Hyperlink"/>
            <w:rFonts w:ascii="Garamond" w:hAnsi="Garamond"/>
            <w:b w:val="0"/>
            <w:color w:val="auto"/>
            <w:lang w:val="en-US" w:eastAsia="ja-JP"/>
          </w:rPr>
          <w:t>https://doi.org/10.3390/horticulturae70601347</w:t>
        </w:r>
      </w:hyperlink>
      <w:r w:rsidRPr="005B36CB">
        <w:rPr>
          <w:rFonts w:ascii="Garamond" w:hAnsi="Garamond"/>
          <w:b w:val="0"/>
          <w:color w:val="auto"/>
          <w:lang w:val="en-US" w:eastAsia="ja-JP"/>
        </w:rPr>
        <w:t>.</w:t>
      </w:r>
      <w:r w:rsidRPr="005B36CB">
        <w:rPr>
          <w:rFonts w:ascii="Garamond" w:hAnsi="Garamond"/>
          <w:color w:val="auto"/>
        </w:rPr>
        <w:t xml:space="preserve"> </w:t>
      </w:r>
    </w:p>
    <w:p w14:paraId="69005064" w14:textId="77777777" w:rsidR="00944FC9" w:rsidRPr="00341535" w:rsidRDefault="00944FC9" w:rsidP="00944FC9">
      <w:pPr>
        <w:pStyle w:val="References"/>
        <w:jc w:val="left"/>
        <w:rPr>
          <w:lang w:val="en-US" w:eastAsia="fr-FR"/>
        </w:rPr>
      </w:pPr>
      <w:proofErr w:type="spellStart"/>
      <w:r w:rsidRPr="00341535">
        <w:rPr>
          <w:lang w:val="en-US" w:eastAsia="fr-FR"/>
        </w:rPr>
        <w:t>Walse</w:t>
      </w:r>
      <w:proofErr w:type="spellEnd"/>
      <w:r w:rsidRPr="00341535">
        <w:rPr>
          <w:lang w:val="en-US" w:eastAsia="fr-FR"/>
        </w:rPr>
        <w:t xml:space="preserve">, S.S., M. Rodríguez and J.S. </w:t>
      </w:r>
      <w:proofErr w:type="spellStart"/>
      <w:r w:rsidRPr="00341535">
        <w:rPr>
          <w:lang w:val="en-US" w:eastAsia="fr-FR"/>
        </w:rPr>
        <w:t>Tebbets</w:t>
      </w:r>
      <w:proofErr w:type="spellEnd"/>
      <w:r w:rsidRPr="00341535">
        <w:rPr>
          <w:lang w:val="en-US" w:eastAsia="fr-FR"/>
        </w:rPr>
        <w:t>. Postharvest treatment research at USDA-APHIS: stored product fumigation. In: 12</w:t>
      </w:r>
      <w:r w:rsidRPr="00341535">
        <w:rPr>
          <w:vertAlign w:val="superscript"/>
          <w:lang w:val="en-US" w:eastAsia="fr-FR"/>
        </w:rPr>
        <w:t>th</w:t>
      </w:r>
      <w:r w:rsidRPr="00341535">
        <w:rPr>
          <w:lang w:val="en-US" w:eastAsia="fr-FR"/>
        </w:rPr>
        <w:t xml:space="preserve"> International workshop conference on stored product protection (IWCSPP) Berlin, Germany. October 7-11, 2018 </w:t>
      </w:r>
    </w:p>
    <w:p w14:paraId="4C1902CA" w14:textId="77777777" w:rsidR="00944FC9" w:rsidRDefault="00944FC9" w:rsidP="00944FC9">
      <w:pPr>
        <w:pStyle w:val="References"/>
        <w:jc w:val="left"/>
        <w:rPr>
          <w:rFonts w:cstheme="majorBidi"/>
        </w:rPr>
      </w:pPr>
      <w:r w:rsidRPr="00341535">
        <w:rPr>
          <w:rFonts w:cstheme="majorBidi"/>
        </w:rPr>
        <w:t>Wei, H., Liu, C., Jeong, B.R. 2020. An optimal combination of the propagation medium and fogging duration enhances the survival, rooting and early growth of strawberry daughter plants. Agronomy, 10, 557. Doi:10.339/agronomy10040557.</w:t>
      </w:r>
    </w:p>
    <w:p w14:paraId="157605DF" w14:textId="77777777" w:rsidR="00944FC9" w:rsidRPr="00341535" w:rsidRDefault="00944FC9" w:rsidP="00944FC9">
      <w:pPr>
        <w:pStyle w:val="References"/>
        <w:jc w:val="left"/>
      </w:pPr>
      <w:r w:rsidRPr="00341535">
        <w:t xml:space="preserve">Williams, L. H., </w:t>
      </w:r>
      <w:proofErr w:type="spellStart"/>
      <w:r w:rsidRPr="00341535">
        <w:t>Sprenkel</w:t>
      </w:r>
      <w:proofErr w:type="spellEnd"/>
      <w:r w:rsidRPr="00341535">
        <w:t xml:space="preserve">, R. J. (1990). Ovicidal activity of sulfuryl fluoride to anobiid and lyctid beetle eggs of various ages. </w:t>
      </w:r>
      <w:r w:rsidRPr="00341535">
        <w:rPr>
          <w:i/>
          <w:iCs/>
        </w:rPr>
        <w:t>Journal of Entomological Science</w:t>
      </w:r>
      <w:r w:rsidRPr="00341535">
        <w:t xml:space="preserve"> 25 (3), 366–375. </w:t>
      </w:r>
    </w:p>
    <w:p w14:paraId="6BCBFFF8" w14:textId="77777777" w:rsidR="00944FC9" w:rsidRPr="00341535" w:rsidRDefault="00944FC9" w:rsidP="00944FC9">
      <w:pPr>
        <w:pStyle w:val="References"/>
        <w:jc w:val="left"/>
        <w:rPr>
          <w:rFonts w:eastAsiaTheme="minorEastAsia"/>
          <w:lang w:eastAsia="ja-JP"/>
        </w:rPr>
      </w:pPr>
      <w:r>
        <w:t>Xu, X. 2019. Optimizing Environmental Parameters for Precision Indoor Propagation of Day-neutral Strawberry. Master Thesis. North Carolina State University: Raleigh, North Carolina, USA. 103 pp</w:t>
      </w:r>
      <w:r w:rsidRPr="00341535">
        <w:rPr>
          <w:rFonts w:eastAsiaTheme="minorEastAsia"/>
          <w:lang w:eastAsia="ja-JP"/>
        </w:rPr>
        <w:t xml:space="preserve"> Yang, X., Liu, Y. (2019). Nitric oxide fumigation for postharvest pest control on lettuce. </w:t>
      </w:r>
      <w:r w:rsidRPr="00341535">
        <w:rPr>
          <w:rFonts w:eastAsiaTheme="minorEastAsia"/>
          <w:i/>
          <w:iCs/>
          <w:lang w:eastAsia="ja-JP"/>
        </w:rPr>
        <w:t>Pest Management</w:t>
      </w:r>
      <w:r w:rsidRPr="00341535">
        <w:rPr>
          <w:rFonts w:eastAsiaTheme="minorEastAsia"/>
          <w:lang w:eastAsia="ja-JP"/>
        </w:rPr>
        <w:t xml:space="preserve"> </w:t>
      </w:r>
      <w:r w:rsidRPr="00341535">
        <w:rPr>
          <w:rFonts w:eastAsiaTheme="minorEastAsia"/>
          <w:i/>
          <w:iCs/>
          <w:lang w:eastAsia="ja-JP"/>
        </w:rPr>
        <w:t>Science</w:t>
      </w:r>
      <w:r w:rsidRPr="00341535">
        <w:rPr>
          <w:rFonts w:eastAsiaTheme="minorEastAsia"/>
          <w:lang w:eastAsia="ja-JP"/>
        </w:rPr>
        <w:t xml:space="preserve"> 75 (2), 390-395.</w:t>
      </w:r>
    </w:p>
    <w:p w14:paraId="0C27C3A2" w14:textId="77777777" w:rsidR="00944FC9" w:rsidRPr="00341535" w:rsidRDefault="00944FC9" w:rsidP="00944FC9">
      <w:pPr>
        <w:pStyle w:val="References"/>
        <w:jc w:val="left"/>
        <w:rPr>
          <w:rFonts w:eastAsiaTheme="minorEastAsia"/>
          <w:lang w:eastAsia="ja-JP"/>
        </w:rPr>
      </w:pPr>
      <w:r w:rsidRPr="00341535">
        <w:rPr>
          <w:rFonts w:eastAsiaTheme="minorEastAsia"/>
          <w:lang w:eastAsia="ja-JP"/>
        </w:rPr>
        <w:t xml:space="preserve">Yang, X and Y Liu (2021). </w:t>
      </w:r>
      <w:r w:rsidRPr="00341535">
        <w:rPr>
          <w:color w:val="000000"/>
          <w:lang w:eastAsia="en-US"/>
        </w:rPr>
        <w:t>Anisole is an environmentally friendly fumigant for postharvest pest control</w:t>
      </w:r>
      <w:r w:rsidRPr="00341535">
        <w:t xml:space="preserve">. </w:t>
      </w:r>
      <w:r w:rsidRPr="00341535">
        <w:rPr>
          <w:i/>
        </w:rPr>
        <w:t>J. Stored Products Res. (93)</w:t>
      </w:r>
    </w:p>
    <w:p w14:paraId="6C88DF1D" w14:textId="77777777" w:rsidR="00944FC9" w:rsidRPr="005B36CB" w:rsidRDefault="00944FC9" w:rsidP="00944FC9">
      <w:pPr>
        <w:pStyle w:val="Style15"/>
        <w:ind w:left="708" w:hangingChars="354" w:hanging="708"/>
        <w:rPr>
          <w:rFonts w:ascii="Garamond" w:hAnsi="Garamond"/>
          <w:b w:val="0"/>
          <w:color w:val="auto"/>
          <w:lang w:val="en-US" w:eastAsia="ja-JP"/>
        </w:rPr>
      </w:pPr>
      <w:r w:rsidRPr="005B36CB">
        <w:rPr>
          <w:rFonts w:ascii="Garamond" w:hAnsi="Garamond"/>
          <w:b w:val="0"/>
          <w:color w:val="auto"/>
          <w:lang w:val="en-US" w:eastAsia="ja-JP"/>
        </w:rPr>
        <w:t xml:space="preserve">Yang, X., Liu, Y.-B., Singh, R., and Phillips, T.W. 2022. Nitric oxide fumigation for control of ham mite, </w:t>
      </w:r>
      <w:proofErr w:type="spellStart"/>
      <w:r w:rsidRPr="005B36CB">
        <w:rPr>
          <w:rFonts w:ascii="Garamond" w:hAnsi="Garamond"/>
          <w:b w:val="0"/>
          <w:i/>
          <w:iCs/>
          <w:color w:val="auto"/>
          <w:lang w:val="en-US" w:eastAsia="ja-JP"/>
        </w:rPr>
        <w:t>Tyrophagus</w:t>
      </w:r>
      <w:proofErr w:type="spellEnd"/>
      <w:r w:rsidRPr="005B36CB">
        <w:rPr>
          <w:rFonts w:ascii="Garamond" w:hAnsi="Garamond"/>
          <w:b w:val="0"/>
          <w:i/>
          <w:iCs/>
          <w:color w:val="auto"/>
          <w:lang w:val="en-US" w:eastAsia="ja-JP"/>
        </w:rPr>
        <w:t xml:space="preserve"> </w:t>
      </w:r>
      <w:proofErr w:type="spellStart"/>
      <w:r w:rsidRPr="005B36CB">
        <w:rPr>
          <w:rFonts w:ascii="Garamond" w:hAnsi="Garamond"/>
          <w:b w:val="0"/>
          <w:i/>
          <w:iCs/>
          <w:color w:val="auto"/>
          <w:lang w:val="en-US" w:eastAsia="ja-JP"/>
        </w:rPr>
        <w:t>putrescentiae</w:t>
      </w:r>
      <w:proofErr w:type="spellEnd"/>
      <w:r w:rsidRPr="005B36CB">
        <w:rPr>
          <w:rFonts w:ascii="Garamond" w:hAnsi="Garamond"/>
          <w:b w:val="0"/>
          <w:color w:val="auto"/>
          <w:lang w:val="en-US" w:eastAsia="ja-JP"/>
        </w:rPr>
        <w:t xml:space="preserve"> (</w:t>
      </w:r>
      <w:proofErr w:type="spellStart"/>
      <w:r w:rsidRPr="005B36CB">
        <w:rPr>
          <w:rFonts w:ascii="Garamond" w:hAnsi="Garamond"/>
          <w:b w:val="0"/>
          <w:color w:val="auto"/>
          <w:lang w:val="en-US" w:eastAsia="ja-JP"/>
        </w:rPr>
        <w:t>Sarcoptiformes</w:t>
      </w:r>
      <w:proofErr w:type="spellEnd"/>
      <w:r w:rsidRPr="005B36CB">
        <w:rPr>
          <w:rFonts w:ascii="Garamond" w:hAnsi="Garamond"/>
          <w:b w:val="0"/>
          <w:color w:val="auto"/>
          <w:lang w:val="en-US" w:eastAsia="ja-JP"/>
        </w:rPr>
        <w:t xml:space="preserve">: </w:t>
      </w:r>
      <w:proofErr w:type="spellStart"/>
      <w:r w:rsidRPr="005B36CB">
        <w:rPr>
          <w:rFonts w:ascii="Garamond" w:hAnsi="Garamond"/>
          <w:b w:val="0"/>
          <w:color w:val="auto"/>
          <w:lang w:val="en-US" w:eastAsia="ja-JP"/>
        </w:rPr>
        <w:t>Aciridae</w:t>
      </w:r>
      <w:proofErr w:type="spellEnd"/>
      <w:r w:rsidRPr="005B36CB">
        <w:rPr>
          <w:rFonts w:ascii="Garamond" w:hAnsi="Garamond"/>
          <w:b w:val="0"/>
          <w:color w:val="auto"/>
          <w:lang w:val="en-US" w:eastAsia="ja-JP"/>
        </w:rPr>
        <w:t xml:space="preserve">). </w:t>
      </w:r>
      <w:r w:rsidRPr="005B36CB">
        <w:rPr>
          <w:rFonts w:ascii="Garamond" w:hAnsi="Garamond"/>
          <w:b w:val="0"/>
          <w:i/>
          <w:iCs/>
          <w:color w:val="auto"/>
          <w:lang w:val="en-US" w:eastAsia="ja-JP"/>
        </w:rPr>
        <w:t>Journal of Economic Entomology</w:t>
      </w:r>
      <w:r w:rsidRPr="005B36CB">
        <w:rPr>
          <w:rFonts w:ascii="Garamond" w:hAnsi="Garamond"/>
          <w:b w:val="0"/>
          <w:color w:val="auto"/>
          <w:lang w:val="en-US" w:eastAsia="ja-JP"/>
        </w:rPr>
        <w:t xml:space="preserve"> 1-7. https://doi.org/10.1093/jee/t0ac014/6527154.</w:t>
      </w:r>
    </w:p>
    <w:p w14:paraId="59E43D64" w14:textId="77777777" w:rsidR="00944FC9" w:rsidRPr="00341535" w:rsidRDefault="00944FC9" w:rsidP="00944FC9">
      <w:pPr>
        <w:spacing w:before="60" w:after="60"/>
        <w:ind w:left="709" w:hanging="709"/>
        <w:rPr>
          <w:rFonts w:ascii="Garamond" w:hAnsi="Garamond"/>
          <w:sz w:val="20"/>
        </w:rPr>
      </w:pPr>
      <w:r w:rsidRPr="00341535">
        <w:rPr>
          <w:rFonts w:ascii="Garamond" w:hAnsi="Garamond"/>
          <w:sz w:val="20"/>
        </w:rPr>
        <w:t xml:space="preserve">Yu, J., Land, C. J., </w:t>
      </w:r>
      <w:proofErr w:type="spellStart"/>
      <w:r w:rsidRPr="00341535">
        <w:rPr>
          <w:rFonts w:ascii="Garamond" w:hAnsi="Garamond"/>
          <w:sz w:val="20"/>
        </w:rPr>
        <w:t>Vallad</w:t>
      </w:r>
      <w:proofErr w:type="spellEnd"/>
      <w:r w:rsidRPr="00341535">
        <w:rPr>
          <w:rFonts w:ascii="Garamond" w:hAnsi="Garamond"/>
          <w:sz w:val="20"/>
        </w:rPr>
        <w:t xml:space="preserve">, G. E., Boyd, N. S. (2019). Tomato tolerance and pest control following fumigation with different ratios of dimethyl </w:t>
      </w:r>
      <w:proofErr w:type="spellStart"/>
      <w:r w:rsidRPr="00341535">
        <w:rPr>
          <w:rFonts w:ascii="Garamond" w:hAnsi="Garamond"/>
          <w:sz w:val="20"/>
        </w:rPr>
        <w:t>disulfide</w:t>
      </w:r>
      <w:proofErr w:type="spellEnd"/>
      <w:r w:rsidRPr="00341535">
        <w:rPr>
          <w:rFonts w:ascii="Garamond" w:hAnsi="Garamond"/>
          <w:sz w:val="20"/>
        </w:rPr>
        <w:t xml:space="preserve"> and chloropicrin. </w:t>
      </w:r>
      <w:r w:rsidRPr="00341535">
        <w:rPr>
          <w:rFonts w:ascii="Garamond" w:hAnsi="Garamond"/>
          <w:i/>
          <w:iCs/>
          <w:sz w:val="20"/>
        </w:rPr>
        <w:t>Pest Management Science</w:t>
      </w:r>
      <w:r w:rsidRPr="00341535">
        <w:rPr>
          <w:rFonts w:ascii="Garamond" w:hAnsi="Garamond"/>
          <w:sz w:val="20"/>
        </w:rPr>
        <w:t xml:space="preserve"> 75, 1416-1424.</w:t>
      </w:r>
    </w:p>
    <w:p w14:paraId="241407DC" w14:textId="77777777" w:rsidR="00944FC9" w:rsidRPr="00341535" w:rsidRDefault="00944FC9" w:rsidP="00944FC9">
      <w:pPr>
        <w:pStyle w:val="References"/>
        <w:jc w:val="left"/>
        <w:rPr>
          <w:lang w:val="en-US"/>
        </w:rPr>
      </w:pPr>
      <w:proofErr w:type="spellStart"/>
      <w:r w:rsidRPr="00341535">
        <w:t>Zettler</w:t>
      </w:r>
      <w:proofErr w:type="spellEnd"/>
      <w:r w:rsidRPr="00341535">
        <w:t xml:space="preserve">, J. L., </w:t>
      </w:r>
      <w:proofErr w:type="spellStart"/>
      <w:r w:rsidRPr="00341535">
        <w:t>Leesch</w:t>
      </w:r>
      <w:proofErr w:type="spellEnd"/>
      <w:r w:rsidRPr="00341535">
        <w:t xml:space="preserve">, J. G., Gill, R. F. (2001). </w:t>
      </w:r>
      <w:r w:rsidRPr="00341535">
        <w:rPr>
          <w:lang w:val="en-US"/>
        </w:rPr>
        <w:t>Chemical treatment alternatives for postharvest pests. 24</w:t>
      </w:r>
      <w:r w:rsidRPr="00341535">
        <w:rPr>
          <w:vertAlign w:val="superscript"/>
          <w:lang w:val="en-US"/>
        </w:rPr>
        <w:t>th</w:t>
      </w:r>
      <w:r w:rsidRPr="00341535">
        <w:rPr>
          <w:lang w:val="en-US"/>
        </w:rPr>
        <w:t xml:space="preserve"> Annual MB Alternatives. San Diego, CA, October 19, 2000. </w:t>
      </w:r>
      <w:r w:rsidRPr="00341535">
        <w:rPr>
          <w:i/>
          <w:iCs/>
          <w:lang w:val="en-US"/>
        </w:rPr>
        <w:t>NAPPO Bulletin</w:t>
      </w:r>
      <w:r w:rsidRPr="00341535">
        <w:rPr>
          <w:lang w:val="en-US"/>
        </w:rPr>
        <w:t xml:space="preserve"> 16, 32-35.</w:t>
      </w:r>
    </w:p>
    <w:p w14:paraId="2F7E574B" w14:textId="77777777" w:rsidR="00944FC9" w:rsidRPr="00341535" w:rsidRDefault="00944FC9" w:rsidP="00944FC9">
      <w:pPr>
        <w:pStyle w:val="References"/>
        <w:jc w:val="left"/>
      </w:pPr>
      <w:r w:rsidRPr="00341535">
        <w:rPr>
          <w:lang w:val="en-US"/>
        </w:rPr>
        <w:t xml:space="preserve">Zhang, X., Campbell, Y. L., Phillips, T. W., </w:t>
      </w:r>
      <w:proofErr w:type="spellStart"/>
      <w:r w:rsidRPr="00341535">
        <w:rPr>
          <w:lang w:val="en-US"/>
        </w:rPr>
        <w:t>Abbar</w:t>
      </w:r>
      <w:proofErr w:type="spellEnd"/>
      <w:r w:rsidRPr="00341535">
        <w:rPr>
          <w:lang w:val="en-US"/>
        </w:rPr>
        <w:t xml:space="preserve">, S., Goddard, J., Schilling, M. W. (2017). Application of food-grade ingredients to nets for dry cured hams to control mite infestations. </w:t>
      </w:r>
      <w:r w:rsidRPr="00341535">
        <w:rPr>
          <w:i/>
          <w:iCs/>
          <w:lang w:val="en-US"/>
        </w:rPr>
        <w:t>Meat and Muscle Biology</w:t>
      </w:r>
      <w:r w:rsidRPr="00341535">
        <w:rPr>
          <w:lang w:val="en-US"/>
        </w:rPr>
        <w:t xml:space="preserve"> 1, 53-60. Doi:10.22175/mmb2017.02.0014.</w:t>
      </w:r>
    </w:p>
    <w:p w14:paraId="1CE79FF4" w14:textId="77777777" w:rsidR="00944FC9" w:rsidRPr="00A441E5" w:rsidRDefault="00944FC9" w:rsidP="00944FC9">
      <w:pPr>
        <w:pStyle w:val="References"/>
        <w:jc w:val="left"/>
        <w:rPr>
          <w:rStyle w:val="Hyperlink"/>
          <w:color w:val="auto"/>
          <w:shd w:val="clear" w:color="auto" w:fill="FFFFFF"/>
          <w:lang w:val="en-US"/>
        </w:rPr>
      </w:pPr>
      <w:r w:rsidRPr="00A441E5">
        <w:rPr>
          <w:shd w:val="clear" w:color="auto" w:fill="FFFFFF"/>
          <w:lang w:val="en-US"/>
        </w:rPr>
        <w:t xml:space="preserve">Zhao, Q., Li, T., Song, Z., Sun, T., Liu, B., Han, X., Li, Z., Zhan, G. (2021). </w:t>
      </w:r>
      <w:r w:rsidRPr="005B36CB">
        <w:rPr>
          <w:shd w:val="clear" w:color="auto" w:fill="FFFFFF"/>
          <w:lang w:val="en-US"/>
        </w:rPr>
        <w:t xml:space="preserve">Combination of modified atmosphere and irradiation for the phytosanitary disinfestation of </w:t>
      </w:r>
      <w:proofErr w:type="spellStart"/>
      <w:r w:rsidRPr="005B36CB">
        <w:rPr>
          <w:shd w:val="clear" w:color="auto" w:fill="FFFFFF"/>
          <w:lang w:val="en-US"/>
        </w:rPr>
        <w:t>Trogoderma</w:t>
      </w:r>
      <w:proofErr w:type="spellEnd"/>
      <w:r w:rsidRPr="005B36CB">
        <w:rPr>
          <w:shd w:val="clear" w:color="auto" w:fill="FFFFFF"/>
          <w:lang w:val="en-US"/>
        </w:rPr>
        <w:t xml:space="preserve"> </w:t>
      </w:r>
      <w:proofErr w:type="spellStart"/>
      <w:r w:rsidRPr="005B36CB">
        <w:rPr>
          <w:shd w:val="clear" w:color="auto" w:fill="FFFFFF"/>
          <w:lang w:val="en-US"/>
        </w:rPr>
        <w:t>granarium</w:t>
      </w:r>
      <w:proofErr w:type="spellEnd"/>
      <w:r w:rsidRPr="005B36CB">
        <w:rPr>
          <w:shd w:val="clear" w:color="auto" w:fill="FFFFFF"/>
          <w:lang w:val="en-US"/>
        </w:rPr>
        <w:t xml:space="preserve"> everts (</w:t>
      </w:r>
      <w:proofErr w:type="spellStart"/>
      <w:r w:rsidRPr="005B36CB">
        <w:rPr>
          <w:shd w:val="clear" w:color="auto" w:fill="FFFFFF"/>
          <w:lang w:val="en-US"/>
        </w:rPr>
        <w:t>Coleoptera</w:t>
      </w:r>
      <w:proofErr w:type="spellEnd"/>
      <w:r w:rsidRPr="005B36CB">
        <w:rPr>
          <w:shd w:val="clear" w:color="auto" w:fill="FFFFFF"/>
          <w:lang w:val="en-US"/>
        </w:rPr>
        <w:t xml:space="preserve">: </w:t>
      </w:r>
      <w:proofErr w:type="spellStart"/>
      <w:r w:rsidRPr="005B36CB">
        <w:rPr>
          <w:shd w:val="clear" w:color="auto" w:fill="FFFFFF"/>
          <w:lang w:val="en-US"/>
        </w:rPr>
        <w:t>Dermestidae</w:t>
      </w:r>
      <w:proofErr w:type="spellEnd"/>
      <w:r w:rsidRPr="005B36CB">
        <w:rPr>
          <w:shd w:val="clear" w:color="auto" w:fill="FFFFFF"/>
          <w:lang w:val="en-US"/>
        </w:rPr>
        <w:t>).</w:t>
      </w:r>
      <w:r w:rsidRPr="005B36CB">
        <w:t xml:space="preserve"> </w:t>
      </w:r>
      <w:r w:rsidRPr="005B36CB">
        <w:rPr>
          <w:i/>
          <w:shd w:val="clear" w:color="auto" w:fill="FFFFFF"/>
          <w:lang w:val="en-US"/>
        </w:rPr>
        <w:t>Insects</w:t>
      </w:r>
      <w:r w:rsidRPr="005B36CB">
        <w:rPr>
          <w:shd w:val="clear" w:color="auto" w:fill="FFFFFF"/>
          <w:lang w:val="en-US"/>
        </w:rPr>
        <w:t xml:space="preserve"> 2021, 12, 442. </w:t>
      </w:r>
      <w:hyperlink r:id="rId74" w:history="1">
        <w:r w:rsidRPr="005B36CB">
          <w:rPr>
            <w:rStyle w:val="Hyperlink"/>
            <w:color w:val="auto"/>
            <w:shd w:val="clear" w:color="auto" w:fill="FFFFFF"/>
            <w:lang w:val="en-US"/>
          </w:rPr>
          <w:t>https://doi.org/10.3390/insects12050442</w:t>
        </w:r>
      </w:hyperlink>
    </w:p>
    <w:p w14:paraId="7CF026F5" w14:textId="42DBB8E5" w:rsidR="00944FC9" w:rsidRDefault="00944FC9" w:rsidP="00944FC9">
      <w:pPr>
        <w:pStyle w:val="References"/>
        <w:jc w:val="left"/>
        <w:rPr>
          <w:lang w:val="en-US"/>
        </w:rPr>
      </w:pPr>
      <w:proofErr w:type="spellStart"/>
      <w:r w:rsidRPr="00341535">
        <w:rPr>
          <w:lang w:val="en-US"/>
        </w:rPr>
        <w:t>Zouhar</w:t>
      </w:r>
      <w:proofErr w:type="spellEnd"/>
      <w:r w:rsidRPr="00341535">
        <w:rPr>
          <w:lang w:val="en-US"/>
        </w:rPr>
        <w:t xml:space="preserve">, M., </w:t>
      </w:r>
      <w:proofErr w:type="spellStart"/>
      <w:r w:rsidRPr="00341535">
        <w:rPr>
          <w:lang w:val="en-US"/>
        </w:rPr>
        <w:t>Douda</w:t>
      </w:r>
      <w:proofErr w:type="spellEnd"/>
      <w:r w:rsidRPr="00341535">
        <w:rPr>
          <w:lang w:val="en-US"/>
        </w:rPr>
        <w:t xml:space="preserve">, O., </w:t>
      </w:r>
      <w:proofErr w:type="spellStart"/>
      <w:r w:rsidRPr="00341535">
        <w:rPr>
          <w:lang w:val="en-US"/>
        </w:rPr>
        <w:t>Dlouhy</w:t>
      </w:r>
      <w:proofErr w:type="spellEnd"/>
      <w:r w:rsidRPr="00341535">
        <w:rPr>
          <w:lang w:val="en-US"/>
        </w:rPr>
        <w:t xml:space="preserve">, M., </w:t>
      </w:r>
      <w:proofErr w:type="spellStart"/>
      <w:r w:rsidRPr="00341535">
        <w:rPr>
          <w:lang w:val="en-US"/>
        </w:rPr>
        <w:t>Liskova</w:t>
      </w:r>
      <w:proofErr w:type="spellEnd"/>
      <w:r w:rsidRPr="00341535">
        <w:rPr>
          <w:lang w:val="en-US"/>
        </w:rPr>
        <w:t xml:space="preserve">, J., </w:t>
      </w:r>
      <w:proofErr w:type="spellStart"/>
      <w:r w:rsidRPr="00341535">
        <w:rPr>
          <w:lang w:val="en-US"/>
        </w:rPr>
        <w:t>Manasova</w:t>
      </w:r>
      <w:proofErr w:type="spellEnd"/>
      <w:r w:rsidRPr="00341535">
        <w:rPr>
          <w:lang w:val="en-US"/>
        </w:rPr>
        <w:t xml:space="preserve">, M., Stejskal, V. (2016) Using of hydrogen cyanide against </w:t>
      </w:r>
      <w:proofErr w:type="spellStart"/>
      <w:r w:rsidRPr="00341535">
        <w:rPr>
          <w:i/>
          <w:iCs/>
          <w:lang w:val="en-US"/>
        </w:rPr>
        <w:t>Ditylenchus</w:t>
      </w:r>
      <w:proofErr w:type="spellEnd"/>
      <w:r w:rsidRPr="00341535">
        <w:rPr>
          <w:i/>
          <w:iCs/>
          <w:lang w:val="en-US"/>
        </w:rPr>
        <w:t xml:space="preserve"> </w:t>
      </w:r>
      <w:proofErr w:type="spellStart"/>
      <w:r w:rsidRPr="00341535">
        <w:rPr>
          <w:i/>
          <w:iCs/>
          <w:lang w:val="en-US"/>
        </w:rPr>
        <w:t>dipsaci</w:t>
      </w:r>
      <w:proofErr w:type="spellEnd"/>
      <w:r w:rsidRPr="00341535">
        <w:rPr>
          <w:lang w:val="en-US"/>
        </w:rPr>
        <w:t xml:space="preserve"> nematode present on garlic. </w:t>
      </w:r>
      <w:r w:rsidRPr="00341535">
        <w:rPr>
          <w:i/>
          <w:iCs/>
          <w:lang w:val="en-US"/>
        </w:rPr>
        <w:t>Plant, Soil and Environment</w:t>
      </w:r>
      <w:r w:rsidRPr="00341535">
        <w:rPr>
          <w:lang w:val="en-US"/>
        </w:rPr>
        <w:t xml:space="preserve"> 62 (4), 184-188</w:t>
      </w:r>
    </w:p>
    <w:p w14:paraId="01E8B8A3" w14:textId="77777777" w:rsidR="00720FCC" w:rsidRDefault="00720FCC">
      <w:pPr>
        <w:spacing w:after="0"/>
        <w:sectPr w:rsidR="00720FCC" w:rsidSect="00944FC9">
          <w:type w:val="oddPage"/>
          <w:pgSz w:w="11906" w:h="16838"/>
          <w:pgMar w:top="1440" w:right="1440" w:bottom="1440" w:left="1440" w:header="708" w:footer="708" w:gutter="0"/>
          <w:cols w:space="720"/>
        </w:sectPr>
      </w:pPr>
    </w:p>
    <w:p w14:paraId="6BA02F33" w14:textId="621E324B" w:rsidR="008B321C" w:rsidRPr="0057483F" w:rsidRDefault="00A768E1" w:rsidP="00BA0312">
      <w:pPr>
        <w:pStyle w:val="Heading1"/>
        <w:rPr>
          <w:rStyle w:val="Heading1Char2"/>
          <w:rFonts w:ascii="Times New Roman" w:hAnsi="Times New Roman"/>
        </w:rPr>
      </w:pPr>
      <w:bookmarkStart w:id="468" w:name="_Toc104396705"/>
      <w:r>
        <w:rPr>
          <w:rStyle w:val="Heading1Char2"/>
          <w:rFonts w:ascii="Times New Roman" w:hAnsi="Times New Roman"/>
        </w:rPr>
        <w:lastRenderedPageBreak/>
        <w:t>6</w:t>
      </w:r>
      <w:r w:rsidR="008B321C" w:rsidRPr="0057483F">
        <w:rPr>
          <w:rStyle w:val="Heading1Char2"/>
          <w:rFonts w:ascii="Times New Roman" w:hAnsi="Times New Roman"/>
        </w:rPr>
        <w:tab/>
        <w:t>Medical and Chemicals TOC (MCTOC) Progress Report</w:t>
      </w:r>
      <w:bookmarkEnd w:id="265"/>
      <w:bookmarkEnd w:id="266"/>
      <w:bookmarkEnd w:id="267"/>
      <w:bookmarkEnd w:id="268"/>
      <w:bookmarkEnd w:id="269"/>
      <w:bookmarkEnd w:id="270"/>
      <w:bookmarkEnd w:id="271"/>
      <w:bookmarkEnd w:id="468"/>
    </w:p>
    <w:p w14:paraId="628DEE74" w14:textId="0077F812" w:rsidR="0046583A" w:rsidRDefault="0046583A" w:rsidP="0046583A">
      <w:r>
        <w:t xml:space="preserve">This report of the Medical and Chemicals Technical Options Committee provides information on the production and use of controlled substances, including for chemical feedstock, HFC-23 by-production and emissions, and new developments for </w:t>
      </w:r>
      <w:r w:rsidR="0070013C">
        <w:t>metered dose inhalers (MDIs)</w:t>
      </w:r>
      <w:r>
        <w:t xml:space="preserve">. It also includes background to, and an update on, TEAP’s assessment of destruction technologies under decision XXX/6, to be included in MCTOC’s 2022 Assessment Report. The status of aerosols (other than </w:t>
      </w:r>
      <w:r w:rsidR="0070013C">
        <w:t>MDI</w:t>
      </w:r>
      <w:r>
        <w:t>s), laboratory and analytical uses, process agent uses, and n-propyl bromide were reviewed, however, no compelling new information is reported this report.</w:t>
      </w:r>
    </w:p>
    <w:p w14:paraId="7A01CA7A" w14:textId="06F8BD5E" w:rsidR="0046583A" w:rsidRPr="002A198F" w:rsidRDefault="005C29DA" w:rsidP="003E4636">
      <w:pPr>
        <w:pStyle w:val="Heading2"/>
        <w:rPr>
          <w:rStyle w:val="Heading2Char"/>
          <w:rFonts w:cs="Times New Roman"/>
          <w:b/>
          <w:snapToGrid w:val="0"/>
          <w:szCs w:val="20"/>
        </w:rPr>
      </w:pPr>
      <w:bookmarkStart w:id="469" w:name="_Toc356240459"/>
      <w:bookmarkStart w:id="470" w:name="_Toc484164358"/>
      <w:bookmarkStart w:id="471" w:name="_Toc80642588"/>
      <w:bookmarkStart w:id="472" w:name="_Toc78040743"/>
      <w:bookmarkStart w:id="473" w:name="_Toc77868910"/>
      <w:bookmarkStart w:id="474" w:name="_Toc77770766"/>
      <w:bookmarkStart w:id="475" w:name="_Toc40696077"/>
      <w:bookmarkStart w:id="476" w:name="_Toc40190277"/>
      <w:bookmarkStart w:id="477" w:name="_Toc102135745"/>
      <w:bookmarkStart w:id="478" w:name="_Toc104396706"/>
      <w:r w:rsidRPr="002A198F">
        <w:rPr>
          <w:rStyle w:val="Heading2Char"/>
          <w:b/>
        </w:rPr>
        <w:t>6</w:t>
      </w:r>
      <w:r w:rsidR="0046583A" w:rsidRPr="002A198F">
        <w:rPr>
          <w:rStyle w:val="Heading2Char"/>
          <w:b/>
        </w:rPr>
        <w:t>.1</w:t>
      </w:r>
      <w:r w:rsidR="0046583A" w:rsidRPr="002A198F">
        <w:rPr>
          <w:rStyle w:val="Heading2Char"/>
          <w:b/>
        </w:rPr>
        <w:tab/>
      </w:r>
      <w:bookmarkStart w:id="479" w:name="_Toc484164360"/>
      <w:bookmarkEnd w:id="469"/>
      <w:bookmarkEnd w:id="470"/>
      <w:r w:rsidR="0046583A" w:rsidRPr="002A198F">
        <w:rPr>
          <w:rStyle w:val="Heading2Char"/>
          <w:b/>
        </w:rPr>
        <w:t>Production issues and use of controlled substances for chemical feedstock</w:t>
      </w:r>
      <w:bookmarkEnd w:id="471"/>
      <w:bookmarkEnd w:id="472"/>
      <w:bookmarkEnd w:id="473"/>
      <w:bookmarkEnd w:id="474"/>
      <w:bookmarkEnd w:id="475"/>
      <w:bookmarkEnd w:id="476"/>
      <w:bookmarkEnd w:id="477"/>
      <w:bookmarkEnd w:id="478"/>
      <w:bookmarkEnd w:id="479"/>
    </w:p>
    <w:p w14:paraId="31C1B191" w14:textId="0F8564C4" w:rsidR="0046583A" w:rsidRPr="00821BBC" w:rsidRDefault="005C29DA" w:rsidP="003E4636">
      <w:pPr>
        <w:pStyle w:val="Heading2"/>
        <w:rPr>
          <w:rStyle w:val="Heading311ptBoldChar"/>
          <w:rFonts w:cs="Times New Roman"/>
          <w:b/>
          <w:sz w:val="24"/>
        </w:rPr>
      </w:pPr>
      <w:bookmarkStart w:id="480" w:name="_Toc102135746"/>
      <w:bookmarkStart w:id="481" w:name="_Toc104396707"/>
      <w:r w:rsidRPr="00821BBC">
        <w:rPr>
          <w:rStyle w:val="Heading311ptBoldChar"/>
          <w:rFonts w:cs="Times New Roman"/>
          <w:b/>
          <w:sz w:val="24"/>
        </w:rPr>
        <w:t>6</w:t>
      </w:r>
      <w:r w:rsidR="0046583A" w:rsidRPr="00821BBC">
        <w:rPr>
          <w:rStyle w:val="Heading311ptBoldChar"/>
          <w:rFonts w:cs="Times New Roman"/>
          <w:b/>
          <w:sz w:val="24"/>
        </w:rPr>
        <w:t>.1.1</w:t>
      </w:r>
      <w:r w:rsidR="0046583A" w:rsidRPr="00821BBC">
        <w:rPr>
          <w:rStyle w:val="Heading311ptBoldChar"/>
          <w:rFonts w:cs="Times New Roman"/>
          <w:b/>
          <w:sz w:val="24"/>
        </w:rPr>
        <w:tab/>
        <w:t>Production and chemical supply issues in the transition to low-GWP HCFOs and HFOs</w:t>
      </w:r>
      <w:bookmarkEnd w:id="480"/>
      <w:bookmarkEnd w:id="481"/>
    </w:p>
    <w:p w14:paraId="6EC5DC44" w14:textId="46C45B6F" w:rsidR="0046583A" w:rsidRDefault="0070013C" w:rsidP="0046583A">
      <w:r>
        <w:t>As reported by FTOC, t</w:t>
      </w:r>
      <w:r w:rsidR="0046583A">
        <w:t>here have been reported challenges relating to production and chemical supply in the</w:t>
      </w:r>
      <w:r w:rsidR="0046583A" w:rsidRPr="005E0758">
        <w:t xml:space="preserve"> transition to low</w:t>
      </w:r>
      <w:r w:rsidR="0046583A">
        <w:t>-</w:t>
      </w:r>
      <w:r w:rsidR="0046583A" w:rsidRPr="005E0758">
        <w:t>GWP HCFO</w:t>
      </w:r>
      <w:r w:rsidR="0046583A">
        <w:t xml:space="preserve"> and </w:t>
      </w:r>
      <w:r w:rsidR="0046583A" w:rsidRPr="005E0758">
        <w:t xml:space="preserve">HFO </w:t>
      </w:r>
      <w:r w:rsidR="0046583A">
        <w:t xml:space="preserve">foam </w:t>
      </w:r>
      <w:r w:rsidR="0046583A" w:rsidRPr="005E0758">
        <w:t>blowing agents</w:t>
      </w:r>
      <w:r w:rsidR="0046583A">
        <w:t xml:space="preserve">, namely HCFO-1233zd, HFO-1234ze, and HFO-1336mzz. Similar challenges have not </w:t>
      </w:r>
      <w:r w:rsidR="0046583A" w:rsidRPr="00E327BC">
        <w:t>been reported for the production of alternatives for other sectors.</w:t>
      </w:r>
      <w:r w:rsidR="0046583A">
        <w:t xml:space="preserve"> The challenges relating to foam blowing agents are</w:t>
      </w:r>
      <w:r w:rsidR="0046583A" w:rsidRPr="005E0758">
        <w:t xml:space="preserve"> </w:t>
      </w:r>
      <w:r w:rsidR="0046583A">
        <w:t>related to several</w:t>
      </w:r>
      <w:r w:rsidR="0046583A" w:rsidRPr="005E0758">
        <w:t xml:space="preserve"> factors. </w:t>
      </w:r>
    </w:p>
    <w:p w14:paraId="37A01FAE" w14:textId="77777777" w:rsidR="0046583A" w:rsidRDefault="0046583A" w:rsidP="0046583A">
      <w:r w:rsidRPr="008C4B20">
        <w:t>Firstly</w:t>
      </w:r>
      <w:r>
        <w:t>,</w:t>
      </w:r>
      <w:r w:rsidRPr="005E0758">
        <w:t xml:space="preserve"> there </w:t>
      </w:r>
      <w:r>
        <w:t xml:space="preserve">are currently </w:t>
      </w:r>
      <w:r w:rsidRPr="002F1CB2">
        <w:t>production constraints</w:t>
      </w:r>
      <w:r>
        <w:t xml:space="preserve"> for</w:t>
      </w:r>
      <w:r w:rsidRPr="005E0758">
        <w:t xml:space="preserve"> </w:t>
      </w:r>
      <w:r>
        <w:t xml:space="preserve">these </w:t>
      </w:r>
      <w:r w:rsidRPr="005E0758">
        <w:t>HCFO</w:t>
      </w:r>
      <w:r>
        <w:t>/</w:t>
      </w:r>
      <w:r w:rsidRPr="005E0758">
        <w:t>HFO</w:t>
      </w:r>
      <w:r>
        <w:t>s</w:t>
      </w:r>
      <w:r w:rsidRPr="005E0758">
        <w:t xml:space="preserve"> worldwide</w:t>
      </w:r>
      <w:r>
        <w:t>, partly resulting from the global economic environment, making it difficult to meet demand</w:t>
      </w:r>
      <w:r w:rsidRPr="005E0758">
        <w:t>. Global development and manufacturing of HCFO</w:t>
      </w:r>
      <w:r>
        <w:t>/</w:t>
      </w:r>
      <w:r w:rsidRPr="005E0758">
        <w:t xml:space="preserve">HFO blowing agents is </w:t>
      </w:r>
      <w:r>
        <w:t>also limited</w:t>
      </w:r>
      <w:r w:rsidRPr="005E0758">
        <w:t xml:space="preserve"> due to the restriction of patents</w:t>
      </w:r>
      <w:r>
        <w:t>,</w:t>
      </w:r>
      <w:r w:rsidRPr="005E0758">
        <w:t xml:space="preserve"> especially application patents</w:t>
      </w:r>
      <w:r>
        <w:t xml:space="preserve">; </w:t>
      </w:r>
      <w:r w:rsidRPr="005E0758">
        <w:t>at present</w:t>
      </w:r>
      <w:r>
        <w:t>,</w:t>
      </w:r>
      <w:r w:rsidRPr="005E0758">
        <w:t xml:space="preserve"> only a few compan</w:t>
      </w:r>
      <w:r>
        <w:t>ies</w:t>
      </w:r>
      <w:r w:rsidRPr="005E0758">
        <w:t xml:space="preserve"> have established production capacity. </w:t>
      </w:r>
      <w:r>
        <w:t>New production capacity for HCFO/HFOs foam blowing agents is being built in China and the United States, which is expected to become available in 2023.</w:t>
      </w:r>
    </w:p>
    <w:p w14:paraId="14EC1D2C" w14:textId="77777777" w:rsidR="0046583A" w:rsidRDefault="0046583A" w:rsidP="0046583A">
      <w:r w:rsidRPr="008C4B20">
        <w:t>Secondly</w:t>
      </w:r>
      <w:r>
        <w:t xml:space="preserve">, the </w:t>
      </w:r>
      <w:r w:rsidRPr="005E0758">
        <w:t>high price of HCFO</w:t>
      </w:r>
      <w:r>
        <w:t>/</w:t>
      </w:r>
      <w:r w:rsidRPr="005E0758">
        <w:t>HFO</w:t>
      </w:r>
      <w:r>
        <w:t>s</w:t>
      </w:r>
      <w:r w:rsidRPr="005E0758">
        <w:t xml:space="preserve"> has </w:t>
      </w:r>
      <w:r>
        <w:t xml:space="preserve">had a </w:t>
      </w:r>
      <w:r w:rsidRPr="005E0758">
        <w:t>major impact on global use</w:t>
      </w:r>
      <w:r>
        <w:t>. For instance, t</w:t>
      </w:r>
      <w:r w:rsidRPr="005E0758">
        <w:t>he price of HCFO</w:t>
      </w:r>
      <w:r>
        <w:t>s</w:t>
      </w:r>
      <w:r w:rsidRPr="005E0758">
        <w:t>/HFO</w:t>
      </w:r>
      <w:r>
        <w:t>s</w:t>
      </w:r>
      <w:r w:rsidRPr="005E0758">
        <w:t xml:space="preserve"> is </w:t>
      </w:r>
      <w:r>
        <w:t xml:space="preserve">currently </w:t>
      </w:r>
      <w:r w:rsidRPr="005E0758">
        <w:t>much higher than HCFC-141b and even higher than HFC-245fa and HFC-365mfc</w:t>
      </w:r>
      <w:r>
        <w:t>. This is another reason why markets</w:t>
      </w:r>
      <w:r w:rsidRPr="005E0758">
        <w:t xml:space="preserve"> </w:t>
      </w:r>
      <w:r>
        <w:t>are</w:t>
      </w:r>
      <w:r w:rsidRPr="005E0758">
        <w:t xml:space="preserve"> continuing to use HCFC-141b, HFC-245fa and HFC-365mfc. HCFO/HFO</w:t>
      </w:r>
      <w:r>
        <w:t>s</w:t>
      </w:r>
      <w:r w:rsidRPr="005E0758">
        <w:t xml:space="preserve"> </w:t>
      </w:r>
      <w:r>
        <w:t>production is</w:t>
      </w:r>
      <w:r w:rsidRPr="005E0758">
        <w:t xml:space="preserve"> still </w:t>
      </w:r>
      <w:r>
        <w:t>in the early stages</w:t>
      </w:r>
      <w:r w:rsidRPr="005E0758">
        <w:t xml:space="preserve"> of commerciali</w:t>
      </w:r>
      <w:r>
        <w:t>s</w:t>
      </w:r>
      <w:r w:rsidRPr="005E0758">
        <w:t>ation</w:t>
      </w:r>
      <w:r>
        <w:t xml:space="preserve"> and</w:t>
      </w:r>
      <w:r w:rsidRPr="005E0758">
        <w:t xml:space="preserve"> high price</w:t>
      </w:r>
      <w:r>
        <w:t>s</w:t>
      </w:r>
      <w:r w:rsidRPr="005E0758">
        <w:t xml:space="preserve"> </w:t>
      </w:r>
      <w:r>
        <w:t xml:space="preserve">are to be expected, </w:t>
      </w:r>
      <w:r w:rsidRPr="005E0758">
        <w:t xml:space="preserve">just </w:t>
      </w:r>
      <w:r>
        <w:t xml:space="preserve">as they were for </w:t>
      </w:r>
      <w:r w:rsidRPr="005E0758">
        <w:t xml:space="preserve">HFCs </w:t>
      </w:r>
      <w:r>
        <w:t>in</w:t>
      </w:r>
      <w:r w:rsidRPr="005E0758">
        <w:t xml:space="preserve"> </w:t>
      </w:r>
      <w:r>
        <w:t>their</w:t>
      </w:r>
      <w:r w:rsidRPr="005E0758">
        <w:t xml:space="preserve"> early </w:t>
      </w:r>
      <w:r>
        <w:t>commercialisation</w:t>
      </w:r>
      <w:r w:rsidRPr="005E0758">
        <w:t>.</w:t>
      </w:r>
      <w:r>
        <w:t xml:space="preserve"> </w:t>
      </w:r>
      <w:r w:rsidRPr="005E0758">
        <w:t xml:space="preserve">The </w:t>
      </w:r>
      <w:r>
        <w:t xml:space="preserve">complexity of </w:t>
      </w:r>
      <w:r w:rsidRPr="005E0758">
        <w:t>manufacturing process</w:t>
      </w:r>
      <w:r>
        <w:t>es</w:t>
      </w:r>
      <w:r w:rsidRPr="005E0758">
        <w:t xml:space="preserve"> for some HCFO</w:t>
      </w:r>
      <w:r>
        <w:t>/HFOs</w:t>
      </w:r>
      <w:r w:rsidRPr="005E0758">
        <w:t xml:space="preserve"> </w:t>
      </w:r>
      <w:r>
        <w:t>may</w:t>
      </w:r>
      <w:r w:rsidRPr="005E0758">
        <w:t xml:space="preserve"> also be contribut</w:t>
      </w:r>
      <w:r>
        <w:t>ing</w:t>
      </w:r>
      <w:r w:rsidRPr="005E0758">
        <w:t xml:space="preserve"> to </w:t>
      </w:r>
      <w:r>
        <w:t xml:space="preserve">their higher </w:t>
      </w:r>
      <w:r w:rsidRPr="005E0758">
        <w:t xml:space="preserve">price </w:t>
      </w:r>
      <w:r>
        <w:t>because</w:t>
      </w:r>
      <w:r w:rsidRPr="005E0758">
        <w:t xml:space="preserve"> the production process</w:t>
      </w:r>
      <w:r>
        <w:t>es are</w:t>
      </w:r>
      <w:r w:rsidRPr="005E0758">
        <w:t xml:space="preserve"> </w:t>
      </w:r>
      <w:r>
        <w:t xml:space="preserve">relatively </w:t>
      </w:r>
      <w:r w:rsidRPr="005E0758">
        <w:t>more complicate</w:t>
      </w:r>
      <w:r>
        <w:t>d</w:t>
      </w:r>
      <w:r w:rsidRPr="005E0758">
        <w:t xml:space="preserve"> than </w:t>
      </w:r>
      <w:r>
        <w:t xml:space="preserve">for </w:t>
      </w:r>
      <w:r w:rsidRPr="005E0758">
        <w:t xml:space="preserve">HFCs. </w:t>
      </w:r>
    </w:p>
    <w:p w14:paraId="4127D4FC" w14:textId="77777777" w:rsidR="0046583A" w:rsidRPr="00264890" w:rsidRDefault="0046583A" w:rsidP="0046583A">
      <w:r>
        <w:t>A</w:t>
      </w:r>
      <w:r w:rsidRPr="005E0758">
        <w:t xml:space="preserve">nother </w:t>
      </w:r>
      <w:r>
        <w:t>challenge</w:t>
      </w:r>
      <w:r w:rsidRPr="005E0758">
        <w:t xml:space="preserve"> is </w:t>
      </w:r>
      <w:r>
        <w:t xml:space="preserve">regional </w:t>
      </w:r>
      <w:r w:rsidRPr="005E0758">
        <w:t>shortage</w:t>
      </w:r>
      <w:r>
        <w:t>s</w:t>
      </w:r>
      <w:r w:rsidRPr="005E0758">
        <w:t xml:space="preserve"> of CTC </w:t>
      </w:r>
      <w:r>
        <w:t>for</w:t>
      </w:r>
      <w:r w:rsidRPr="005E0758">
        <w:t xml:space="preserve"> feedstock </w:t>
      </w:r>
      <w:r>
        <w:t>use in HCFO/HFO production</w:t>
      </w:r>
      <w:r w:rsidRPr="005E0758">
        <w:t>.</w:t>
      </w:r>
      <w:r w:rsidRPr="00E65D00">
        <w:rPr>
          <w:rStyle w:val="FootnoteReference"/>
        </w:rPr>
        <w:t xml:space="preserve"> </w:t>
      </w:r>
      <w:r>
        <w:rPr>
          <w:rStyle w:val="FootnoteReference"/>
        </w:rPr>
        <w:footnoteReference w:id="20"/>
      </w:r>
      <w:r w:rsidRPr="005E0758">
        <w:t xml:space="preserve"> CTC is </w:t>
      </w:r>
      <w:r>
        <w:t xml:space="preserve">the main starting </w:t>
      </w:r>
      <w:r w:rsidRPr="005E0758">
        <w:t xml:space="preserve">raw material </w:t>
      </w:r>
      <w:r>
        <w:t>in</w:t>
      </w:r>
      <w:r w:rsidRPr="005E0758">
        <w:t xml:space="preserve"> the </w:t>
      </w:r>
      <w:r>
        <w:t>process</w:t>
      </w:r>
      <w:r w:rsidRPr="005E0758">
        <w:t xml:space="preserve"> </w:t>
      </w:r>
      <w:r>
        <w:t xml:space="preserve">to manufacture </w:t>
      </w:r>
      <w:r w:rsidRPr="005E0758">
        <w:t>HFC-245fa</w:t>
      </w:r>
      <w:r>
        <w:t>,</w:t>
      </w:r>
      <w:r w:rsidRPr="002A39E9">
        <w:t xml:space="preserve"> </w:t>
      </w:r>
      <w:r w:rsidRPr="005E0758">
        <w:t>HFC-365mfc</w:t>
      </w:r>
      <w:r>
        <w:t>, HFO-1234ze</w:t>
      </w:r>
      <w:r w:rsidRPr="005E0758">
        <w:t xml:space="preserve">, </w:t>
      </w:r>
      <w:r>
        <w:t xml:space="preserve">HFO-1234yf, </w:t>
      </w:r>
      <w:r w:rsidRPr="005E0758">
        <w:t xml:space="preserve">and HCFO-1233zd. </w:t>
      </w:r>
      <w:r>
        <w:t xml:space="preserve">While it is likely there is adequate global production capacity of chloromethanes-CTC and perchloroethylene (PCE)/CTC to meet global CTC demand, </w:t>
      </w:r>
      <w:r w:rsidRPr="005E0758">
        <w:t xml:space="preserve">CTC </w:t>
      </w:r>
      <w:r>
        <w:t>production, supply, use, and export are</w:t>
      </w:r>
      <w:r w:rsidRPr="005E0758">
        <w:t xml:space="preserve"> subject to </w:t>
      </w:r>
      <w:r>
        <w:t>factors that could inadvertently impact global supply and availability. These factors include national licensing controls; rights to place on market; and regional imbalances in supply and demand</w:t>
      </w:r>
      <w:r w:rsidRPr="005E0758">
        <w:t>. With the increas</w:t>
      </w:r>
      <w:r>
        <w:t>ing</w:t>
      </w:r>
      <w:r w:rsidRPr="005E0758">
        <w:t xml:space="preserve"> demand </w:t>
      </w:r>
      <w:r>
        <w:t>for</w:t>
      </w:r>
      <w:r w:rsidRPr="005E0758">
        <w:t xml:space="preserve"> </w:t>
      </w:r>
      <w:r w:rsidRPr="005B7CEC">
        <w:t xml:space="preserve">CTC as a raw material for a range of chemicals, </w:t>
      </w:r>
      <w:r>
        <w:t>regional</w:t>
      </w:r>
      <w:r w:rsidRPr="005B7CEC">
        <w:t xml:space="preserve"> shortage</w:t>
      </w:r>
      <w:r>
        <w:t>s</w:t>
      </w:r>
      <w:r w:rsidRPr="005B7CEC">
        <w:t xml:space="preserve"> of CTC for feedstock use </w:t>
      </w:r>
      <w:r>
        <w:t>have</w:t>
      </w:r>
      <w:r w:rsidRPr="005B7CEC">
        <w:t xml:space="preserve"> become a challenge for both producers and users. </w:t>
      </w:r>
    </w:p>
    <w:p w14:paraId="3022A3A3" w14:textId="0B776DBA" w:rsidR="0046583A" w:rsidRPr="00821BBC" w:rsidRDefault="005C29DA" w:rsidP="003E4636">
      <w:pPr>
        <w:pStyle w:val="Heading2"/>
        <w:rPr>
          <w:rStyle w:val="Heading311ptBoldChar"/>
          <w:rFonts w:cs="Times New Roman"/>
          <w:b/>
          <w:sz w:val="24"/>
        </w:rPr>
      </w:pPr>
      <w:bookmarkStart w:id="482" w:name="_Toc102135747"/>
      <w:bookmarkStart w:id="483" w:name="_Toc104396708"/>
      <w:r w:rsidRPr="00821BBC">
        <w:rPr>
          <w:rStyle w:val="Heading311ptBoldChar"/>
          <w:rFonts w:cs="Times New Roman"/>
          <w:b/>
          <w:sz w:val="24"/>
        </w:rPr>
        <w:t>6</w:t>
      </w:r>
      <w:r w:rsidR="0046583A" w:rsidRPr="00821BBC">
        <w:rPr>
          <w:rStyle w:val="Heading311ptBoldChar"/>
          <w:rFonts w:cs="Times New Roman"/>
          <w:b/>
          <w:sz w:val="24"/>
        </w:rPr>
        <w:t>.1.2</w:t>
      </w:r>
      <w:r w:rsidR="0046583A" w:rsidRPr="00821BBC">
        <w:rPr>
          <w:rStyle w:val="Heading311ptBoldChar"/>
          <w:rFonts w:cs="Times New Roman"/>
          <w:b/>
          <w:sz w:val="24"/>
        </w:rPr>
        <w:tab/>
        <w:t>Use of controlled substances for chemical feedstock</w:t>
      </w:r>
      <w:bookmarkEnd w:id="482"/>
      <w:bookmarkEnd w:id="483"/>
    </w:p>
    <w:p w14:paraId="3BEC60C2" w14:textId="77777777" w:rsidR="0046583A" w:rsidRDefault="0046583A" w:rsidP="0046583A">
      <w:r>
        <w:t xml:space="preserve">Feedstocks are chemical building blocks that allow the cost-effective commercial synthesis of other chemicals. Controlled substances (ODS and HFCs) can be produced and/or imported or exported for </w:t>
      </w:r>
      <w:r>
        <w:lastRenderedPageBreak/>
        <w:t xml:space="preserve">use as feedstocks. As raw materials, feedstocks are converted to other products, except for </w:t>
      </w:r>
      <w:r>
        <w:rPr>
          <w:i/>
          <w:iCs/>
        </w:rPr>
        <w:t>de minimis</w:t>
      </w:r>
      <w:r>
        <w:t xml:space="preserve"> residues and emissions of unconverted raw material. Emissions from the use of feedstock consist of residual levels in the ultimate products, and fugitive leaks in the production, storage and/or transport processes. Significant investments and effort are spent to handle ODS and HFC feedstocks in a responsible, environmentally sensitive manner and, in most countries, are regulated through national pollution control measures. </w:t>
      </w:r>
    </w:p>
    <w:p w14:paraId="7648C352" w14:textId="77777777" w:rsidR="0046583A" w:rsidRDefault="0046583A" w:rsidP="0046583A">
      <w:r>
        <w:t xml:space="preserve">The definition of production under the Montreal Protocol excludes the amounts of controlled substances entirely used as feedstock in the manufacture of other chemicals. Notwithstanding, </w:t>
      </w:r>
      <w:r>
        <w:rPr>
          <w:rFonts w:eastAsiaTheme="minorEastAsia"/>
          <w:lang w:val="en-US" w:eastAsia="fr-FR"/>
        </w:rPr>
        <w:t xml:space="preserve">parties are </w:t>
      </w:r>
      <w:r w:rsidRPr="004013F9">
        <w:rPr>
          <w:rFonts w:eastAsiaTheme="minorEastAsia"/>
          <w:lang w:val="en-US" w:eastAsia="fr-FR"/>
        </w:rPr>
        <w:t xml:space="preserve">required to report </w:t>
      </w:r>
      <w:r>
        <w:rPr>
          <w:rFonts w:eastAsiaTheme="minorEastAsia"/>
          <w:lang w:val="en-US" w:eastAsia="fr-FR"/>
        </w:rPr>
        <w:t>the production of controlled substances for feedstock uses</w:t>
      </w:r>
      <w:r w:rsidRPr="004013F9">
        <w:rPr>
          <w:rFonts w:eastAsiaTheme="minorEastAsia"/>
          <w:lang w:val="en-US" w:eastAsia="fr-FR"/>
        </w:rPr>
        <w:t xml:space="preserve"> annually.</w:t>
      </w:r>
      <w:r>
        <w:rPr>
          <w:rStyle w:val="FootnoteReference"/>
          <w:rFonts w:eastAsiaTheme="minorEastAsia" w:cstheme="majorBidi"/>
          <w:lang w:val="en-US" w:eastAsia="fr-FR"/>
        </w:rPr>
        <w:footnoteReference w:id="21"/>
      </w:r>
      <w:r w:rsidRPr="004013F9">
        <w:rPr>
          <w:rFonts w:eastAsiaTheme="minorEastAsia"/>
          <w:lang w:val="en-US" w:eastAsia="fr-FR"/>
        </w:rPr>
        <w:t xml:space="preserve"> </w:t>
      </w:r>
      <w:r>
        <w:t xml:space="preserve">Similarly, the definition of consumption excludes controlled substances entirely used as feedstock, nevertheless, imports and exports of controlled substances to be used entirely as feedstock must be reported by parties. </w:t>
      </w:r>
    </w:p>
    <w:p w14:paraId="607A209D" w14:textId="7FB926B9" w:rsidR="0046583A" w:rsidRPr="00517401" w:rsidRDefault="005C29DA" w:rsidP="003E4636">
      <w:pPr>
        <w:pStyle w:val="Heading2"/>
        <w:rPr>
          <w:rStyle w:val="Heading311ptBoldChar"/>
          <w:rFonts w:cs="Times New Roman"/>
          <w:b/>
          <w:snapToGrid/>
          <w:color w:val="000000"/>
          <w:szCs w:val="20"/>
          <w:lang w:val="en-GB" w:eastAsia="zh-CN"/>
        </w:rPr>
      </w:pPr>
      <w:bookmarkStart w:id="484" w:name="_Toc102135748"/>
      <w:bookmarkStart w:id="485" w:name="_Toc104396709"/>
      <w:r w:rsidRPr="00821BBC">
        <w:rPr>
          <w:rStyle w:val="Heading311ptBoldChar"/>
          <w:rFonts w:cs="Times New Roman"/>
          <w:b/>
          <w:sz w:val="24"/>
        </w:rPr>
        <w:t>6</w:t>
      </w:r>
      <w:r w:rsidR="0046583A" w:rsidRPr="00821BBC">
        <w:rPr>
          <w:rStyle w:val="Heading311ptBoldChar"/>
          <w:rFonts w:cs="Times New Roman"/>
          <w:b/>
          <w:sz w:val="24"/>
        </w:rPr>
        <w:t>.1.3</w:t>
      </w:r>
      <w:r w:rsidR="0046583A" w:rsidRPr="00821BBC">
        <w:rPr>
          <w:rStyle w:val="Heading311ptBoldChar"/>
          <w:rFonts w:cs="Times New Roman"/>
          <w:b/>
          <w:sz w:val="24"/>
        </w:rPr>
        <w:tab/>
        <w:t>How Article 7 reporting of production for feedstock uses contributes to understanding</w:t>
      </w:r>
      <w:r w:rsidR="0046583A" w:rsidRPr="007E70EE">
        <w:rPr>
          <w:rStyle w:val="Heading311ptBoldChar"/>
        </w:rPr>
        <w:t xml:space="preserve"> </w:t>
      </w:r>
      <w:r w:rsidR="0046583A" w:rsidRPr="00821BBC">
        <w:rPr>
          <w:rStyle w:val="Heading311ptBoldChar"/>
          <w:rFonts w:cs="Times New Roman"/>
          <w:b/>
          <w:sz w:val="24"/>
        </w:rPr>
        <w:t>atmospheric burdens</w:t>
      </w:r>
      <w:bookmarkEnd w:id="484"/>
      <w:bookmarkEnd w:id="485"/>
    </w:p>
    <w:p w14:paraId="484222BE" w14:textId="77777777" w:rsidR="0046583A" w:rsidRDefault="0046583A" w:rsidP="0046583A">
      <w:r>
        <w:t xml:space="preserve">Article 7 of the Montreal Protocol prescribes requirements for each party for the annual reporting of statistical data </w:t>
      </w:r>
      <w:r w:rsidRPr="00941633">
        <w:t>on production, imports</w:t>
      </w:r>
      <w:r>
        <w:t>,</w:t>
      </w:r>
      <w:r w:rsidRPr="00941633">
        <w:t xml:space="preserve"> and exports of each of the controlled substances</w:t>
      </w:r>
      <w:r>
        <w:t>. R</w:t>
      </w:r>
      <w:r w:rsidRPr="00E56990">
        <w:t>eporting is further described in various decisions of the meeting</w:t>
      </w:r>
      <w:r>
        <w:t>s</w:t>
      </w:r>
      <w:r w:rsidRPr="00E56990">
        <w:t xml:space="preserve"> of parties. Some decisions introduce additional </w:t>
      </w:r>
      <w:r>
        <w:t>data requests</w:t>
      </w:r>
      <w:r w:rsidRPr="00E56990">
        <w:t xml:space="preserve"> that parties may report voluntarily.</w:t>
      </w:r>
    </w:p>
    <w:p w14:paraId="2C3BA898" w14:textId="77777777" w:rsidR="0046583A" w:rsidRPr="00E56990" w:rsidRDefault="0046583A" w:rsidP="0046583A">
      <w:pPr>
        <w:rPr>
          <w:i/>
          <w:iCs/>
        </w:rPr>
      </w:pPr>
      <w:r>
        <w:t xml:space="preserve">Article 7, paragraph 3, </w:t>
      </w:r>
      <w:r w:rsidRPr="00E56990">
        <w:rPr>
          <w:i/>
          <w:iCs/>
        </w:rPr>
        <w:t>Each Party shall provide to the Secretariat statistical data on its annual production (as defined in paragraph 5 of Article 1) of each of the controlled substances listed in Annexes A, B, C, E and F and, separately, for each substance,</w:t>
      </w:r>
    </w:p>
    <w:p w14:paraId="07BF9355" w14:textId="77777777" w:rsidR="0046583A" w:rsidRDefault="0046583A" w:rsidP="0046583A">
      <w:pPr>
        <w:ind w:left="720"/>
      </w:pPr>
      <w:r w:rsidRPr="00E56990">
        <w:rPr>
          <w:i/>
          <w:iCs/>
        </w:rPr>
        <w:t>– Amounts used for feedstocks, …</w:t>
      </w:r>
    </w:p>
    <w:p w14:paraId="5B83DBA0" w14:textId="77777777" w:rsidR="0046583A" w:rsidRPr="00B0509A" w:rsidRDefault="0046583A" w:rsidP="0046583A">
      <w:pPr>
        <w:rPr>
          <w:rFonts w:eastAsiaTheme="minorEastAsia"/>
          <w:lang w:val="en-US" w:eastAsia="fr-FR"/>
        </w:rPr>
      </w:pPr>
      <w:r>
        <w:rPr>
          <w:rFonts w:eastAsiaTheme="minorEastAsia"/>
          <w:lang w:val="en-US" w:eastAsia="fr-FR"/>
        </w:rPr>
        <w:t xml:space="preserve">The Montreal Protocol defines that some quantities of controlled substances are not considered controlled substances under the Protocol owing to the insignificant emissions from their uses. </w:t>
      </w:r>
      <w:r w:rsidRPr="00053C98">
        <w:rPr>
          <w:rFonts w:eastAsiaTheme="minorEastAsia"/>
          <w:lang w:val="en-US" w:eastAsia="fr-FR"/>
        </w:rPr>
        <w:t xml:space="preserve">Decision IV/12, clarifies the definition of controlled substances, </w:t>
      </w:r>
      <w:r>
        <w:rPr>
          <w:rFonts w:eastAsiaTheme="minorEastAsia"/>
          <w:lang w:val="en-US" w:eastAsia="fr-FR"/>
        </w:rPr>
        <w:t>“</w:t>
      </w:r>
      <w:r w:rsidRPr="00AF2938">
        <w:rPr>
          <w:rFonts w:eastAsiaTheme="minorEastAsia"/>
          <w:i/>
          <w:iCs/>
          <w:lang w:val="en-US" w:eastAsia="fr-FR"/>
        </w:rPr>
        <w:t>That insignificant quantities of controlled substances originating from inadvertent or coincidental production during a manufacturing process, from unreacted feedstock, or from their use as process agents which are present in chemical substances as trace impurities, or that are emitted during product manufacture or handling, shall be considered not to be covered by the definition of a controlled substance contained in paragraph 4 of Article 1 of the Montreal Protocol</w:t>
      </w:r>
      <w:r w:rsidRPr="00AF2938">
        <w:rPr>
          <w:rFonts w:eastAsiaTheme="minorEastAsia"/>
          <w:lang w:val="en-US" w:eastAsia="fr-FR"/>
        </w:rPr>
        <w:t>”</w:t>
      </w:r>
      <w:r w:rsidRPr="00053C98">
        <w:rPr>
          <w:rFonts w:eastAsiaTheme="minorEastAsia"/>
          <w:lang w:val="en-US" w:eastAsia="fr-FR"/>
        </w:rPr>
        <w:t>.</w:t>
      </w:r>
      <w:r>
        <w:rPr>
          <w:rFonts w:eastAsiaTheme="minorEastAsia"/>
          <w:lang w:val="en-US" w:eastAsia="fr-FR"/>
        </w:rPr>
        <w:t xml:space="preserve"> Decision IV/12 further urges “…</w:t>
      </w:r>
      <w:r w:rsidRPr="00AF2938">
        <w:rPr>
          <w:rFonts w:eastAsiaTheme="minorEastAsia"/>
          <w:i/>
          <w:iCs/>
          <w:lang w:val="en-US" w:eastAsia="fr-FR"/>
        </w:rPr>
        <w:t>parties to take steps to minimize emissions of such substances, including such steps as avoidance of the creation of such emissions, reduction of emissions using practicable control technologies or process changes, containment or destruction</w:t>
      </w:r>
      <w:r w:rsidRPr="00AF2938">
        <w:rPr>
          <w:rFonts w:eastAsiaTheme="minorEastAsia"/>
          <w:lang w:val="en-US" w:eastAsia="fr-FR"/>
        </w:rPr>
        <w:t>”</w:t>
      </w:r>
      <w:r>
        <w:rPr>
          <w:rFonts w:eastAsiaTheme="minorEastAsia"/>
          <w:i/>
          <w:iCs/>
          <w:lang w:val="en-US" w:eastAsia="fr-FR"/>
        </w:rPr>
        <w:t>.</w:t>
      </w:r>
    </w:p>
    <w:p w14:paraId="6C8D685B" w14:textId="77777777" w:rsidR="0046583A" w:rsidRDefault="0046583A" w:rsidP="0046583A">
      <w:pPr>
        <w:rPr>
          <w:rFonts w:eastAsiaTheme="minorEastAsia"/>
          <w:lang w:val="en-US" w:eastAsia="fr-FR"/>
        </w:rPr>
      </w:pPr>
      <w:r>
        <w:rPr>
          <w:lang w:val="en-US" w:eastAsia="fr-FR"/>
        </w:rPr>
        <w:t xml:space="preserve">As noted, parties are </w:t>
      </w:r>
      <w:r w:rsidRPr="004013F9">
        <w:rPr>
          <w:lang w:val="en-US" w:eastAsia="fr-FR"/>
        </w:rPr>
        <w:t xml:space="preserve">required to report </w:t>
      </w:r>
      <w:r>
        <w:rPr>
          <w:lang w:val="en-US" w:eastAsia="fr-FR"/>
        </w:rPr>
        <w:t>the production, import and export of controlled substances for feedstock uses</w:t>
      </w:r>
      <w:r w:rsidRPr="004013F9">
        <w:rPr>
          <w:lang w:val="en-US" w:eastAsia="fr-FR"/>
        </w:rPr>
        <w:t xml:space="preserve"> annually.</w:t>
      </w:r>
      <w:r>
        <w:rPr>
          <w:lang w:val="en-US" w:eastAsia="fr-FR"/>
        </w:rPr>
        <w:t xml:space="preserve"> Reported feedstock is a valuable data set that can be correlated with related emissions of controlled substances, either from their production, use or with the expected impact of emission abatement measures. Two recent examples are (i) the trend in </w:t>
      </w:r>
      <w:r w:rsidRPr="000E10EE">
        <w:t xml:space="preserve">HFC-23 by-product </w:t>
      </w:r>
      <w:r>
        <w:t>emissions</w:t>
      </w:r>
      <w:r>
        <w:rPr>
          <w:rStyle w:val="FootnoteReference"/>
        </w:rPr>
        <w:footnoteReference w:id="22"/>
      </w:r>
      <w:r>
        <w:t xml:space="preserve"> </w:t>
      </w:r>
      <w:r w:rsidRPr="000E10EE">
        <w:t xml:space="preserve">from the </w:t>
      </w:r>
      <w:r>
        <w:t xml:space="preserve">feedstock and non-feedstock </w:t>
      </w:r>
      <w:r w:rsidRPr="000E10EE">
        <w:t>production of HCFC-22</w:t>
      </w:r>
      <w:r>
        <w:rPr>
          <w:rStyle w:val="FootnoteReference"/>
        </w:rPr>
        <w:footnoteReference w:id="23"/>
      </w:r>
      <w:r>
        <w:t xml:space="preserve">, and (ii) the correlation </w:t>
      </w:r>
      <w:r>
        <w:rPr>
          <w:rStyle w:val="FootnoteReference"/>
        </w:rPr>
        <w:footnoteReference w:id="24"/>
      </w:r>
      <w:r>
        <w:t xml:space="preserve">of emissions of octafluorocyclobutane </w:t>
      </w:r>
      <w:r>
        <w:rPr>
          <w:rFonts w:hint="eastAsia"/>
        </w:rPr>
        <w:t>(</w:t>
      </w:r>
      <w:r>
        <w:t xml:space="preserve">PFC-318), a by-product from tetrafluoroethylene (TFE) and </w:t>
      </w:r>
      <w:proofErr w:type="spellStart"/>
      <w:r>
        <w:lastRenderedPageBreak/>
        <w:t>hexafluoropropene</w:t>
      </w:r>
      <w:proofErr w:type="spellEnd"/>
      <w:r>
        <w:t xml:space="preserve"> (HFP) production, </w:t>
      </w:r>
      <w:r w:rsidRPr="00F824BE">
        <w:t xml:space="preserve">with the production </w:t>
      </w:r>
      <w:r>
        <w:t xml:space="preserve">and use </w:t>
      </w:r>
      <w:r w:rsidRPr="00F824BE">
        <w:t xml:space="preserve">of </w:t>
      </w:r>
      <w:r>
        <w:t>HCFC-22 as feedstock in TFE and HFP production</w:t>
      </w:r>
      <w:r w:rsidRPr="000E10EE">
        <w:t>.</w:t>
      </w:r>
      <w:r>
        <w:rPr>
          <w:rStyle w:val="FootnoteReference"/>
        </w:rPr>
        <w:footnoteReference w:id="25"/>
      </w:r>
      <w:r w:rsidRPr="007607DB">
        <w:rPr>
          <w:vertAlign w:val="superscript"/>
        </w:rPr>
        <w:t>,</w:t>
      </w:r>
      <w:r>
        <w:rPr>
          <w:rStyle w:val="FootnoteReference"/>
        </w:rPr>
        <w:footnoteReference w:id="26"/>
      </w:r>
      <w:r w:rsidRPr="000E10EE">
        <w:t xml:space="preserve"> </w:t>
      </w:r>
      <w:r>
        <w:rPr>
          <w:rFonts w:eastAsiaTheme="minorEastAsia"/>
          <w:lang w:val="en-US" w:eastAsia="fr-FR"/>
        </w:rPr>
        <w:t>Production for non-feedstock uses also results in emissions from use and from banks for a wide range of applications. Expected emissions can be calculated based on reported production data and can be compared to atmospheric burden and emission trends of controlled substances. A recent important example is the unexpected CFC-11 emissions.</w:t>
      </w:r>
      <w:r>
        <w:rPr>
          <w:rStyle w:val="FootnoteReference"/>
          <w:rFonts w:eastAsiaTheme="minorEastAsia" w:cstheme="majorBidi"/>
          <w:lang w:val="en-US" w:eastAsia="fr-FR"/>
        </w:rPr>
        <w:footnoteReference w:id="27"/>
      </w:r>
      <w:r w:rsidRPr="00A70022">
        <w:t xml:space="preserve"> </w:t>
      </w:r>
      <w:r>
        <w:t>However, there are some products that are not reported because they are intermediates not isolated in a chemical manufacturing process.</w:t>
      </w:r>
      <w:r>
        <w:rPr>
          <w:rStyle w:val="FootnoteReference"/>
        </w:rPr>
        <w:footnoteReference w:id="28"/>
      </w:r>
      <w:r>
        <w:t xml:space="preserve"> These intermediates may also be emitted in low quantities and detected by atmospheric monitoring.</w:t>
      </w:r>
      <w:r>
        <w:rPr>
          <w:rStyle w:val="FootnoteReference"/>
        </w:rPr>
        <w:footnoteReference w:id="29"/>
      </w:r>
    </w:p>
    <w:p w14:paraId="07E96618" w14:textId="7D0F8336" w:rsidR="0046583A" w:rsidRPr="00C7675C" w:rsidRDefault="005C29DA" w:rsidP="003E4636">
      <w:pPr>
        <w:pStyle w:val="Heading2"/>
        <w:rPr>
          <w:rStyle w:val="Heading311ptBoldChar"/>
          <w:rFonts w:cs="Times New Roman"/>
          <w:b/>
          <w:snapToGrid/>
          <w:color w:val="000000"/>
          <w:szCs w:val="20"/>
          <w:lang w:val="en-GB" w:eastAsia="zh-CN"/>
        </w:rPr>
      </w:pPr>
      <w:bookmarkStart w:id="486" w:name="_Toc102135749"/>
      <w:bookmarkStart w:id="487" w:name="_Toc104396710"/>
      <w:r w:rsidRPr="00C7675C">
        <w:rPr>
          <w:rStyle w:val="Heading311ptBoldChar"/>
          <w:b/>
        </w:rPr>
        <w:t>6</w:t>
      </w:r>
      <w:r w:rsidR="0046583A" w:rsidRPr="00C7675C">
        <w:rPr>
          <w:rStyle w:val="Heading311ptBoldChar"/>
          <w:b/>
        </w:rPr>
        <w:t>.1.4</w:t>
      </w:r>
      <w:r w:rsidR="0046583A" w:rsidRPr="00C7675C">
        <w:rPr>
          <w:rStyle w:val="Heading311ptBoldChar"/>
          <w:b/>
        </w:rPr>
        <w:tab/>
        <w:t>Reporting of controlled substances for feedstock uses</w:t>
      </w:r>
      <w:bookmarkEnd w:id="486"/>
      <w:bookmarkEnd w:id="487"/>
    </w:p>
    <w:p w14:paraId="1FFE6416" w14:textId="77777777" w:rsidR="0046583A" w:rsidRDefault="0046583A" w:rsidP="0046583A">
      <w:r>
        <w:t>As revised in decision XXX/10 and Annex III to MOP-30, Article 7 d</w:t>
      </w:r>
      <w:r w:rsidRPr="00D143BA">
        <w:t>ata reporting instructions and guidelines</w:t>
      </w:r>
      <w:r>
        <w:t xml:space="preserve"> require the reporting of feedstock uses for all controlled substances and, w</w:t>
      </w:r>
      <w:r w:rsidRPr="0054749C">
        <w:t>hen calculating production, the Montreal Protocol allows countries to deduct amounts of controlled substances used for feedstock and amounts destroyed</w:t>
      </w:r>
      <w:r>
        <w:t>. W</w:t>
      </w:r>
      <w:r w:rsidRPr="0054749C">
        <w:t xml:space="preserve">hen reporting production data, parties </w:t>
      </w:r>
      <w:r>
        <w:t>are not expected to</w:t>
      </w:r>
      <w:r w:rsidRPr="0054749C">
        <w:t xml:space="preserve"> deduct these figures from their data</w:t>
      </w:r>
      <w:r>
        <w:t>. T</w:t>
      </w:r>
      <w:r w:rsidRPr="0054749C">
        <w:t>he Secretariat make</w:t>
      </w:r>
      <w:r>
        <w:t>s</w:t>
      </w:r>
      <w:r w:rsidRPr="0054749C">
        <w:t xml:space="preserve"> the necessary deductions.</w:t>
      </w:r>
      <w:r>
        <w:t xml:space="preserve"> All feedstock produced during a calendar year is reportable for that year, even if it has not been used. </w:t>
      </w:r>
    </w:p>
    <w:p w14:paraId="7D5270C3" w14:textId="77777777" w:rsidR="0046583A" w:rsidRDefault="0046583A" w:rsidP="0046583A">
      <w:r>
        <w:t xml:space="preserve">The 1999 Handbook on </w:t>
      </w:r>
      <w:r w:rsidRPr="007F1C33">
        <w:t>Data Reporting</w:t>
      </w:r>
      <w:r>
        <w:t xml:space="preserve"> </w:t>
      </w:r>
      <w:r w:rsidRPr="007F1C33">
        <w:t>under the Montreal Protocol</w:t>
      </w:r>
      <w:r>
        <w:t xml:space="preserve"> provides guidance on data collection for production for use as feedstock. </w:t>
      </w:r>
    </w:p>
    <w:p w14:paraId="5EBCE1B3" w14:textId="77777777" w:rsidR="0046583A" w:rsidRDefault="0046583A" w:rsidP="0046583A">
      <w:r>
        <w:t>“</w:t>
      </w:r>
      <w:r w:rsidRPr="00556202">
        <w:rPr>
          <w:i/>
          <w:iCs/>
        </w:rPr>
        <w:t>For collecting data on production (including data on production for use as feedstock and process agents, for essential uses, QPS and increased production), you can rely on the sources mentioned in Section 2.4.</w:t>
      </w:r>
    </w:p>
    <w:p w14:paraId="0F2B696C" w14:textId="77777777" w:rsidR="0046583A" w:rsidRPr="003B0045" w:rsidRDefault="0046583A" w:rsidP="0046583A">
      <w:r w:rsidRPr="00556202">
        <w:rPr>
          <w:i/>
          <w:iCs/>
        </w:rPr>
        <w:t>Section 2.4 extract: The relevant data on all categories of production are to be provided by the manufacturers based on voluntary or mandatory reporting. The manufacturers of ODS are usually large chemical companies and are, therefore, in most cases identified relatively easily. Note, however, that halons and carbon tetrachloride may also be manufactured on a smaller scale. For these, you might need to spend some effort to identify relevant companies. To ensure high data quality, the information provided by industry can be audited by an independent consultant and verified with the help of on-site inspections and inspection of the company’s documentation.</w:t>
      </w:r>
      <w:r w:rsidRPr="003B0045">
        <w:t xml:space="preserve">” </w:t>
      </w:r>
    </w:p>
    <w:p w14:paraId="0F77FC19" w14:textId="77777777" w:rsidR="0046583A" w:rsidRDefault="0046583A" w:rsidP="0046583A">
      <w:r w:rsidRPr="00B153E5">
        <w:t xml:space="preserve">The Montreal Protocol </w:t>
      </w:r>
      <w:r>
        <w:t>includes the term</w:t>
      </w:r>
      <w:r w:rsidRPr="00B153E5">
        <w:t xml:space="preserve"> </w:t>
      </w:r>
      <w:r>
        <w:t>“</w:t>
      </w:r>
      <w:r w:rsidRPr="00B153E5">
        <w:t>use</w:t>
      </w:r>
      <w:r>
        <w:t>d</w:t>
      </w:r>
      <w:r w:rsidRPr="00B153E5">
        <w:t xml:space="preserve"> as feedstock</w:t>
      </w:r>
      <w:r>
        <w:t>”, e.g., Article 1, paragraph 5,</w:t>
      </w:r>
      <w:r w:rsidRPr="00B153E5">
        <w:t xml:space="preserve"> </w:t>
      </w:r>
      <w:r>
        <w:t>“</w:t>
      </w:r>
      <w:r>
        <w:rPr>
          <w:i/>
          <w:iCs/>
        </w:rPr>
        <w:t>“</w:t>
      </w:r>
      <w:r w:rsidRPr="00556202">
        <w:rPr>
          <w:i/>
          <w:iCs/>
        </w:rPr>
        <w:t xml:space="preserve">Production” means the amount of controlled substances produced, minus the amount destroyed by </w:t>
      </w:r>
      <w:r w:rsidRPr="00556202">
        <w:rPr>
          <w:i/>
          <w:iCs/>
        </w:rPr>
        <w:lastRenderedPageBreak/>
        <w:t>technologies to be approved by the Parties and minus the amount entirely used as feedstock in the manufacture of other chemicals.</w:t>
      </w:r>
      <w:r w:rsidRPr="000C2A28">
        <w:t>”</w:t>
      </w:r>
      <w:r w:rsidRPr="00B153E5">
        <w:t xml:space="preserve"> </w:t>
      </w:r>
    </w:p>
    <w:p w14:paraId="090F16D7" w14:textId="75F48EFB" w:rsidR="0046583A" w:rsidRDefault="0046583A" w:rsidP="0046583A">
      <w:r w:rsidRPr="00B153E5">
        <w:t xml:space="preserve">There is no definition for production for </w:t>
      </w:r>
      <w:r>
        <w:t xml:space="preserve">use as </w:t>
      </w:r>
      <w:r w:rsidRPr="00B153E5">
        <w:t xml:space="preserve">feedstock or </w:t>
      </w:r>
      <w:r>
        <w:t xml:space="preserve">associated </w:t>
      </w:r>
      <w:r w:rsidRPr="00B153E5">
        <w:t>guidance</w:t>
      </w:r>
      <w:r>
        <w:t>.</w:t>
      </w:r>
      <w:r w:rsidRPr="00B153E5">
        <w:t xml:space="preserve"> </w:t>
      </w:r>
      <w:r>
        <w:t>However,</w:t>
      </w:r>
      <w:r w:rsidRPr="00B153E5">
        <w:t xml:space="preserve"> there</w:t>
      </w:r>
      <w:r>
        <w:rPr>
          <w:rStyle w:val="apple-converted-space"/>
        </w:rPr>
        <w:t xml:space="preserve"> </w:t>
      </w:r>
      <w:r w:rsidRPr="00B153E5">
        <w:t>is</w:t>
      </w:r>
      <w:r>
        <w:rPr>
          <w:rStyle w:val="apple-converted-space"/>
        </w:rPr>
        <w:t xml:space="preserve"> </w:t>
      </w:r>
      <w:r>
        <w:t>the</w:t>
      </w:r>
      <w:r w:rsidRPr="00B153E5">
        <w:t xml:space="preserve"> </w:t>
      </w:r>
      <w:r>
        <w:t>definition of “controlled substances produced” in Article 1, paragraph 5</w:t>
      </w:r>
      <w:r w:rsidRPr="00B153E5">
        <w:t xml:space="preserve">, </w:t>
      </w:r>
      <w:r w:rsidRPr="000C2A28">
        <w:rPr>
          <w:i/>
        </w:rPr>
        <w:t xml:space="preserve">“Controlled substances produced” </w:t>
      </w:r>
      <w:r>
        <w:rPr>
          <w:i/>
        </w:rPr>
        <w:t xml:space="preserve">as used in </w:t>
      </w:r>
      <w:r w:rsidRPr="000C2A28">
        <w:rPr>
          <w:i/>
        </w:rPr>
        <w:t>Article 1, paragraph 5 is the calculated level of controlled substances</w:t>
      </w:r>
      <w:r>
        <w:rPr>
          <w:rStyle w:val="apple-converted-space"/>
          <w:i/>
        </w:rPr>
        <w:t xml:space="preserve"> </w:t>
      </w:r>
      <w:r w:rsidRPr="00B0509A">
        <w:rPr>
          <w:i/>
        </w:rPr>
        <w:t>manufactured</w:t>
      </w:r>
      <w:r>
        <w:rPr>
          <w:rStyle w:val="apple-converted-space"/>
          <w:i/>
        </w:rPr>
        <w:t xml:space="preserve"> </w:t>
      </w:r>
      <w:r w:rsidRPr="000C2A28">
        <w:rPr>
          <w:i/>
        </w:rPr>
        <w:t>by a party. This excludes the calculated level of controlled substances entirely used as a feedstock in the manufacture of other chemicals</w:t>
      </w:r>
      <w:r>
        <w:rPr>
          <w:i/>
        </w:rPr>
        <w:t>…</w:t>
      </w:r>
      <w:r w:rsidRPr="000C2A28">
        <w:rPr>
          <w:i/>
        </w:rPr>
        <w:t>”</w:t>
      </w:r>
      <w:r>
        <w:t xml:space="preserve"> The term “m</w:t>
      </w:r>
      <w:r w:rsidRPr="00B153E5">
        <w:t>anufactured</w:t>
      </w:r>
      <w:r>
        <w:t>”</w:t>
      </w:r>
      <w:r w:rsidRPr="00B153E5">
        <w:t xml:space="preserve"> is not defined</w:t>
      </w:r>
      <w:r>
        <w:t>;</w:t>
      </w:r>
      <w:r w:rsidRPr="00B153E5">
        <w:t xml:space="preserve"> </w:t>
      </w:r>
      <w:r>
        <w:t>although a</w:t>
      </w:r>
      <w:r w:rsidRPr="00B153E5">
        <w:t xml:space="preserve"> </w:t>
      </w:r>
      <w:r>
        <w:t xml:space="preserve">common-sense </w:t>
      </w:r>
      <w:r w:rsidRPr="00B153E5">
        <w:t xml:space="preserve">definition is </w:t>
      </w:r>
      <w:r>
        <w:t>“t</w:t>
      </w:r>
      <w:r w:rsidRPr="00B153E5">
        <w:t>o make or process (a raw material) into a finished product</w:t>
      </w:r>
      <w:r>
        <w:t xml:space="preserve">”. </w:t>
      </w:r>
    </w:p>
    <w:p w14:paraId="22EBDBB9" w14:textId="77777777" w:rsidR="0046583A" w:rsidRDefault="0046583A" w:rsidP="0046583A">
      <w:r>
        <w:t>In chemical production, a non-isolated intermediate in a chemical process is not considered as a finished product while it remains within the chemical process. As such, a non-isolated intermediate is not commonly reported. For example, the formation of the intermediate HCFC-21 is not commonly reported as a feedstock in the process of manufacturing HCFC-22. However, a substance that is isolated, most likely purified to a specification, and then used in a distinct, separate process, would be considered as a finished product and subject to reporting as production for feedstock use. For example, when HCFC-21 is isolated and then used in the production of HCFC-225, its production is reported as feedstock.</w:t>
      </w:r>
    </w:p>
    <w:p w14:paraId="4D5902BA" w14:textId="77777777" w:rsidR="0046583A" w:rsidRDefault="0046583A" w:rsidP="0046583A">
      <w:r>
        <w:t xml:space="preserve">Examples of the use of controlled substances as intermediates and feedstocks and associated reporting, based on the available reported data: </w:t>
      </w:r>
    </w:p>
    <w:p w14:paraId="6ACA6E16" w14:textId="77777777" w:rsidR="0046583A" w:rsidRPr="003307F8" w:rsidRDefault="0046583A" w:rsidP="00107383">
      <w:pPr>
        <w:pStyle w:val="ListParagraph"/>
        <w:widowControl/>
        <w:numPr>
          <w:ilvl w:val="0"/>
          <w:numId w:val="66"/>
        </w:numPr>
        <w:spacing w:after="160" w:line="259" w:lineRule="auto"/>
        <w:ind w:firstLineChars="0"/>
        <w:contextualSpacing/>
        <w:jc w:val="left"/>
        <w:rPr>
          <w:rFonts w:ascii="Times New Roman" w:eastAsia="Times New Roman" w:hAnsi="Times New Roman"/>
          <w:sz w:val="22"/>
        </w:rPr>
      </w:pPr>
      <w:r w:rsidRPr="003307F8">
        <w:rPr>
          <w:rFonts w:ascii="Times New Roman" w:eastAsia="Times New Roman" w:hAnsi="Times New Roman"/>
          <w:sz w:val="22"/>
        </w:rPr>
        <w:t xml:space="preserve">A controlled substance that is generated and used on the same integrated chemical plant complex, as part of a multistep process, is not a finished product and has </w:t>
      </w:r>
      <w:r w:rsidRPr="003B0E74">
        <w:rPr>
          <w:rFonts w:ascii="Times New Roman" w:eastAsia="Times New Roman" w:hAnsi="Times New Roman"/>
          <w:sz w:val="22"/>
        </w:rPr>
        <w:t>not been reported as feedstock production</w:t>
      </w:r>
      <w:r w:rsidRPr="003307F8">
        <w:rPr>
          <w:rFonts w:ascii="Times New Roman" w:eastAsia="Times New Roman" w:hAnsi="Times New Roman"/>
          <w:sz w:val="22"/>
        </w:rPr>
        <w:t>.</w:t>
      </w:r>
    </w:p>
    <w:p w14:paraId="72EE3DFF" w14:textId="77777777" w:rsidR="0046583A" w:rsidRPr="003307F8" w:rsidRDefault="0046583A" w:rsidP="00107383">
      <w:pPr>
        <w:pStyle w:val="ListParagraph"/>
        <w:widowControl/>
        <w:numPr>
          <w:ilvl w:val="1"/>
          <w:numId w:val="66"/>
        </w:numPr>
        <w:spacing w:after="160" w:line="259" w:lineRule="auto"/>
        <w:ind w:firstLineChars="0"/>
        <w:contextualSpacing/>
        <w:jc w:val="left"/>
        <w:rPr>
          <w:rFonts w:ascii="Times New Roman" w:eastAsia="Times New Roman" w:hAnsi="Times New Roman"/>
          <w:sz w:val="22"/>
        </w:rPr>
      </w:pPr>
      <w:r w:rsidRPr="003307F8">
        <w:rPr>
          <w:rFonts w:ascii="Times New Roman" w:eastAsia="Times New Roman" w:hAnsi="Times New Roman"/>
          <w:sz w:val="22"/>
        </w:rPr>
        <w:t xml:space="preserve">E.g., HCFC-132b and HCFC-133a as </w:t>
      </w:r>
      <w:r w:rsidRPr="003B0E74">
        <w:rPr>
          <w:rFonts w:ascii="Times New Roman" w:eastAsia="Times New Roman" w:hAnsi="Times New Roman"/>
          <w:sz w:val="22"/>
        </w:rPr>
        <w:t>non-isolated intermediates</w:t>
      </w:r>
      <w:r w:rsidRPr="003307F8">
        <w:rPr>
          <w:rFonts w:ascii="Times New Roman" w:eastAsia="Times New Roman" w:hAnsi="Times New Roman"/>
          <w:sz w:val="22"/>
        </w:rPr>
        <w:t xml:space="preserve"> for HFC-134a production. </w:t>
      </w:r>
    </w:p>
    <w:p w14:paraId="38CD5127" w14:textId="56CEB2FC" w:rsidR="0046583A" w:rsidRPr="003307F8" w:rsidRDefault="0046583A" w:rsidP="00107383">
      <w:pPr>
        <w:pStyle w:val="ListParagraph"/>
        <w:widowControl/>
        <w:numPr>
          <w:ilvl w:val="0"/>
          <w:numId w:val="66"/>
        </w:numPr>
        <w:spacing w:after="160" w:line="259" w:lineRule="auto"/>
        <w:ind w:firstLineChars="0"/>
        <w:contextualSpacing/>
        <w:jc w:val="left"/>
        <w:rPr>
          <w:rFonts w:ascii="Times New Roman" w:eastAsia="Times New Roman" w:hAnsi="Times New Roman"/>
          <w:sz w:val="22"/>
        </w:rPr>
      </w:pPr>
      <w:r w:rsidRPr="003307F8">
        <w:rPr>
          <w:rFonts w:ascii="Times New Roman" w:eastAsia="Times New Roman" w:hAnsi="Times New Roman"/>
          <w:sz w:val="22"/>
        </w:rPr>
        <w:t>A controlled substance that is used by the same or a different company on the same or nearby chemical site in a distinct separate chemical process, which may transport the substance by pipeline, rail</w:t>
      </w:r>
      <w:r w:rsidR="002C0D7B" w:rsidRPr="002C0D7B">
        <w:rPr>
          <w:rFonts w:ascii="Times New Roman" w:eastAsia="Times New Roman" w:hAnsi="Times New Roman"/>
          <w:sz w:val="22"/>
        </w:rPr>
        <w:t>,</w:t>
      </w:r>
      <w:r w:rsidRPr="003307F8">
        <w:rPr>
          <w:rFonts w:ascii="Times New Roman" w:eastAsia="Times New Roman" w:hAnsi="Times New Roman"/>
          <w:sz w:val="22"/>
        </w:rPr>
        <w:t xml:space="preserve"> or road transfer. The substance is a finished product and has been </w:t>
      </w:r>
      <w:r w:rsidRPr="003B0E74">
        <w:rPr>
          <w:rFonts w:ascii="Times New Roman" w:eastAsia="Times New Roman" w:hAnsi="Times New Roman"/>
          <w:sz w:val="22"/>
        </w:rPr>
        <w:t>reported as feedstock production</w:t>
      </w:r>
      <w:r w:rsidRPr="003307F8">
        <w:rPr>
          <w:rFonts w:ascii="Times New Roman" w:eastAsia="Times New Roman" w:hAnsi="Times New Roman"/>
          <w:sz w:val="22"/>
        </w:rPr>
        <w:t xml:space="preserve">. </w:t>
      </w:r>
    </w:p>
    <w:p w14:paraId="37AF2633" w14:textId="77777777" w:rsidR="0046583A" w:rsidRPr="003307F8" w:rsidRDefault="0046583A" w:rsidP="00107383">
      <w:pPr>
        <w:pStyle w:val="ListParagraph"/>
        <w:widowControl/>
        <w:numPr>
          <w:ilvl w:val="1"/>
          <w:numId w:val="66"/>
        </w:numPr>
        <w:spacing w:after="160" w:line="259" w:lineRule="auto"/>
        <w:ind w:firstLineChars="0"/>
        <w:contextualSpacing/>
        <w:jc w:val="left"/>
        <w:rPr>
          <w:rFonts w:ascii="Times New Roman" w:eastAsia="Times New Roman" w:hAnsi="Times New Roman"/>
          <w:sz w:val="22"/>
        </w:rPr>
      </w:pPr>
      <w:r w:rsidRPr="003307F8">
        <w:rPr>
          <w:rFonts w:ascii="Times New Roman" w:eastAsia="Times New Roman" w:hAnsi="Times New Roman"/>
          <w:sz w:val="22"/>
        </w:rPr>
        <w:t xml:space="preserve">HCFC-22 used to produce </w:t>
      </w:r>
      <w:r>
        <w:rPr>
          <w:rFonts w:ascii="Times New Roman" w:eastAsia="Times New Roman" w:hAnsi="Times New Roman"/>
          <w:sz w:val="22"/>
        </w:rPr>
        <w:t>TFE/HFP</w:t>
      </w:r>
    </w:p>
    <w:p w14:paraId="555954FB" w14:textId="77777777" w:rsidR="0046583A" w:rsidRPr="003307F8" w:rsidRDefault="0046583A" w:rsidP="00107383">
      <w:pPr>
        <w:pStyle w:val="ListParagraph"/>
        <w:widowControl/>
        <w:numPr>
          <w:ilvl w:val="1"/>
          <w:numId w:val="66"/>
        </w:numPr>
        <w:spacing w:after="160" w:line="259" w:lineRule="auto"/>
        <w:ind w:firstLineChars="0"/>
        <w:contextualSpacing/>
        <w:jc w:val="left"/>
        <w:rPr>
          <w:rFonts w:ascii="Times New Roman" w:eastAsia="Times New Roman" w:hAnsi="Times New Roman"/>
          <w:sz w:val="22"/>
        </w:rPr>
      </w:pPr>
      <w:r w:rsidRPr="003307F8">
        <w:rPr>
          <w:rFonts w:ascii="Times New Roman" w:eastAsia="Times New Roman" w:hAnsi="Times New Roman"/>
          <w:sz w:val="22"/>
        </w:rPr>
        <w:t xml:space="preserve">Quantities of HCFC-133a that are </w:t>
      </w:r>
      <w:r w:rsidRPr="003B0E74">
        <w:rPr>
          <w:rFonts w:ascii="Times New Roman" w:eastAsia="Times New Roman" w:hAnsi="Times New Roman"/>
          <w:sz w:val="22"/>
        </w:rPr>
        <w:t>isolated</w:t>
      </w:r>
      <w:r w:rsidRPr="003307F8">
        <w:rPr>
          <w:rFonts w:ascii="Times New Roman" w:eastAsia="Times New Roman" w:hAnsi="Times New Roman"/>
          <w:sz w:val="22"/>
        </w:rPr>
        <w:t xml:space="preserve"> and then used in a separate process </w:t>
      </w:r>
      <w:r w:rsidRPr="003B0E74">
        <w:rPr>
          <w:rFonts w:ascii="Times New Roman" w:eastAsia="Times New Roman" w:hAnsi="Times New Roman"/>
          <w:sz w:val="22"/>
        </w:rPr>
        <w:t>have been reported as feedstock</w:t>
      </w:r>
      <w:r w:rsidRPr="003307F8">
        <w:rPr>
          <w:rFonts w:ascii="Times New Roman" w:eastAsia="Times New Roman" w:hAnsi="Times New Roman"/>
          <w:sz w:val="22"/>
        </w:rPr>
        <w:t xml:space="preserve">. </w:t>
      </w:r>
    </w:p>
    <w:p w14:paraId="5F1E14F2" w14:textId="77777777" w:rsidR="0046583A" w:rsidRDefault="0046583A" w:rsidP="0046583A">
      <w:r>
        <w:t>Further examples of high-volume chemical products that may be produced via non-isolated intermediates that are controlled substances are presented in Table 5.1.</w:t>
      </w:r>
    </w:p>
    <w:p w14:paraId="20167A1B" w14:textId="77777777" w:rsidR="0046583A" w:rsidRDefault="0046583A" w:rsidP="0046583A">
      <w:pPr>
        <w:spacing w:after="160" w:line="259" w:lineRule="auto"/>
        <w:rPr>
          <w:b/>
          <w:bCs/>
        </w:rPr>
      </w:pPr>
      <w:r>
        <w:rPr>
          <w:b/>
          <w:bCs/>
        </w:rPr>
        <w:br w:type="page"/>
      </w:r>
    </w:p>
    <w:p w14:paraId="195730C2" w14:textId="7F383F94" w:rsidR="0046583A" w:rsidRPr="00E23D86" w:rsidRDefault="0046583A" w:rsidP="0046583A">
      <w:pPr>
        <w:keepNext/>
        <w:tabs>
          <w:tab w:val="left" w:pos="1134"/>
        </w:tabs>
        <w:ind w:left="1134" w:hanging="1134"/>
        <w:rPr>
          <w:b/>
          <w:bCs/>
        </w:rPr>
      </w:pPr>
      <w:r w:rsidRPr="00E23D86">
        <w:rPr>
          <w:b/>
          <w:bCs/>
        </w:rPr>
        <w:lastRenderedPageBreak/>
        <w:t xml:space="preserve">Table </w:t>
      </w:r>
      <w:r w:rsidR="005C29DA">
        <w:rPr>
          <w:b/>
          <w:bCs/>
        </w:rPr>
        <w:t>6</w:t>
      </w:r>
      <w:r w:rsidRPr="00E23D86">
        <w:rPr>
          <w:b/>
          <w:bCs/>
        </w:rPr>
        <w:t>.1</w:t>
      </w:r>
      <w:r w:rsidRPr="00E23D86">
        <w:rPr>
          <w:b/>
          <w:bCs/>
        </w:rPr>
        <w:tab/>
        <w:t>High</w:t>
      </w:r>
      <w:r>
        <w:rPr>
          <w:b/>
          <w:bCs/>
        </w:rPr>
        <w:t>-</w:t>
      </w:r>
      <w:r w:rsidRPr="00E23D86">
        <w:rPr>
          <w:b/>
          <w:bCs/>
        </w:rPr>
        <w:t xml:space="preserve">volume </w:t>
      </w:r>
      <w:r>
        <w:rPr>
          <w:b/>
          <w:bCs/>
        </w:rPr>
        <w:t xml:space="preserve">chemical </w:t>
      </w:r>
      <w:r w:rsidRPr="00E23D86">
        <w:rPr>
          <w:b/>
          <w:bCs/>
        </w:rPr>
        <w:t>products that may be produced by non-isolated controlled substance intermediates (non-exhaustive</w:t>
      </w:r>
      <w:r>
        <w:rPr>
          <w:b/>
          <w:bCs/>
        </w:rPr>
        <w:t xml:space="preserve"> list</w:t>
      </w:r>
      <w:r w:rsidRPr="00E23D86">
        <w:rPr>
          <w:b/>
          <w:bCs/>
        </w:rPr>
        <w:t>)</w:t>
      </w:r>
    </w:p>
    <w:tbl>
      <w:tblPr>
        <w:tblStyle w:val="TableGrid"/>
        <w:tblW w:w="9209" w:type="dxa"/>
        <w:tblLook w:val="04A0" w:firstRow="1" w:lastRow="0" w:firstColumn="1" w:lastColumn="0" w:noHBand="0" w:noVBand="1"/>
      </w:tblPr>
      <w:tblGrid>
        <w:gridCol w:w="2254"/>
        <w:gridCol w:w="2254"/>
        <w:gridCol w:w="4701"/>
      </w:tblGrid>
      <w:tr w:rsidR="0046583A" w:rsidRPr="00C84F99" w14:paraId="5DDF2146" w14:textId="77777777" w:rsidTr="0046583A">
        <w:tc>
          <w:tcPr>
            <w:tcW w:w="2254" w:type="dxa"/>
            <w:vAlign w:val="center"/>
          </w:tcPr>
          <w:p w14:paraId="40F638E0" w14:textId="77777777" w:rsidR="0046583A" w:rsidRPr="00E23D86" w:rsidRDefault="0046583A" w:rsidP="0046583A">
            <w:pPr>
              <w:jc w:val="center"/>
              <w:rPr>
                <w:b/>
                <w:bCs/>
              </w:rPr>
            </w:pPr>
            <w:r w:rsidRPr="00E23D86">
              <w:rPr>
                <w:b/>
                <w:bCs/>
              </w:rPr>
              <w:t>Product</w:t>
            </w:r>
          </w:p>
        </w:tc>
        <w:tc>
          <w:tcPr>
            <w:tcW w:w="2254" w:type="dxa"/>
            <w:vAlign w:val="center"/>
          </w:tcPr>
          <w:p w14:paraId="40F0BE45" w14:textId="77777777" w:rsidR="0046583A" w:rsidRPr="00E23D86" w:rsidRDefault="0046583A" w:rsidP="0046583A">
            <w:pPr>
              <w:jc w:val="center"/>
              <w:rPr>
                <w:b/>
                <w:bCs/>
              </w:rPr>
            </w:pPr>
            <w:r w:rsidRPr="00E23D86">
              <w:rPr>
                <w:b/>
                <w:bCs/>
              </w:rPr>
              <w:t>Feedstock</w:t>
            </w:r>
          </w:p>
        </w:tc>
        <w:tc>
          <w:tcPr>
            <w:tcW w:w="4701" w:type="dxa"/>
            <w:vAlign w:val="center"/>
          </w:tcPr>
          <w:p w14:paraId="6EC02F2F" w14:textId="77777777" w:rsidR="0046583A" w:rsidRPr="00E23D86" w:rsidRDefault="0046583A" w:rsidP="0046583A">
            <w:pPr>
              <w:jc w:val="center"/>
              <w:rPr>
                <w:b/>
                <w:bCs/>
              </w:rPr>
            </w:pPr>
            <w:r w:rsidRPr="00E23D86">
              <w:rPr>
                <w:b/>
                <w:bCs/>
              </w:rPr>
              <w:t>Non-isolated controlled substance intermediates</w:t>
            </w:r>
          </w:p>
        </w:tc>
      </w:tr>
      <w:tr w:rsidR="0046583A" w14:paraId="29788EB4" w14:textId="77777777" w:rsidTr="0048245A">
        <w:tc>
          <w:tcPr>
            <w:tcW w:w="2254" w:type="dxa"/>
            <w:vAlign w:val="center"/>
          </w:tcPr>
          <w:p w14:paraId="540C565E" w14:textId="77777777" w:rsidR="0046583A" w:rsidRDefault="0046583A" w:rsidP="0048245A">
            <w:r>
              <w:t>CFC-11</w:t>
            </w:r>
          </w:p>
        </w:tc>
        <w:tc>
          <w:tcPr>
            <w:tcW w:w="2254" w:type="dxa"/>
            <w:vAlign w:val="center"/>
          </w:tcPr>
          <w:p w14:paraId="785A291D" w14:textId="77777777" w:rsidR="0046583A" w:rsidRDefault="0046583A" w:rsidP="0048245A">
            <w:r>
              <w:t>CTC</w:t>
            </w:r>
          </w:p>
        </w:tc>
        <w:tc>
          <w:tcPr>
            <w:tcW w:w="4701" w:type="dxa"/>
            <w:vAlign w:val="center"/>
          </w:tcPr>
          <w:p w14:paraId="35E83CFD" w14:textId="77777777" w:rsidR="0046583A" w:rsidRDefault="0046583A" w:rsidP="0048245A"/>
        </w:tc>
      </w:tr>
      <w:tr w:rsidR="0046583A" w14:paraId="78CC2347" w14:textId="77777777" w:rsidTr="0048245A">
        <w:tc>
          <w:tcPr>
            <w:tcW w:w="2254" w:type="dxa"/>
            <w:vAlign w:val="center"/>
          </w:tcPr>
          <w:p w14:paraId="11074C3C" w14:textId="77777777" w:rsidR="0046583A" w:rsidRDefault="0046583A" w:rsidP="0048245A">
            <w:r>
              <w:t>CFC-12</w:t>
            </w:r>
          </w:p>
        </w:tc>
        <w:tc>
          <w:tcPr>
            <w:tcW w:w="2254" w:type="dxa"/>
            <w:vAlign w:val="center"/>
          </w:tcPr>
          <w:p w14:paraId="60046027" w14:textId="77777777" w:rsidR="0046583A" w:rsidRDefault="0046583A" w:rsidP="0048245A">
            <w:r>
              <w:t>CTC</w:t>
            </w:r>
          </w:p>
        </w:tc>
        <w:tc>
          <w:tcPr>
            <w:tcW w:w="4701" w:type="dxa"/>
            <w:vAlign w:val="center"/>
          </w:tcPr>
          <w:p w14:paraId="22E9A783" w14:textId="77777777" w:rsidR="0046583A" w:rsidRDefault="0046583A" w:rsidP="0048245A">
            <w:r>
              <w:t>CFC-11</w:t>
            </w:r>
          </w:p>
        </w:tc>
      </w:tr>
      <w:tr w:rsidR="0046583A" w14:paraId="20D29B02" w14:textId="77777777" w:rsidTr="0048245A">
        <w:tc>
          <w:tcPr>
            <w:tcW w:w="2254" w:type="dxa"/>
            <w:vAlign w:val="center"/>
          </w:tcPr>
          <w:p w14:paraId="4A726110" w14:textId="77777777" w:rsidR="0046583A" w:rsidRDefault="0046583A" w:rsidP="0048245A">
            <w:r>
              <w:t>CFC-113</w:t>
            </w:r>
          </w:p>
        </w:tc>
        <w:tc>
          <w:tcPr>
            <w:tcW w:w="2254" w:type="dxa"/>
            <w:vAlign w:val="center"/>
          </w:tcPr>
          <w:p w14:paraId="21028FD6" w14:textId="77777777" w:rsidR="0046583A" w:rsidRDefault="0046583A" w:rsidP="0048245A">
            <w:r>
              <w:t>Perchloroethylene</w:t>
            </w:r>
          </w:p>
        </w:tc>
        <w:tc>
          <w:tcPr>
            <w:tcW w:w="4701" w:type="dxa"/>
            <w:vAlign w:val="center"/>
          </w:tcPr>
          <w:p w14:paraId="7A54C33B" w14:textId="77777777" w:rsidR="0046583A" w:rsidRDefault="0046583A" w:rsidP="0048245A">
            <w:r>
              <w:t>CFC-112</w:t>
            </w:r>
          </w:p>
        </w:tc>
      </w:tr>
      <w:tr w:rsidR="0046583A" w14:paraId="59285C4C" w14:textId="77777777" w:rsidTr="0048245A">
        <w:tc>
          <w:tcPr>
            <w:tcW w:w="2254" w:type="dxa"/>
            <w:vAlign w:val="center"/>
          </w:tcPr>
          <w:p w14:paraId="4A9156D8" w14:textId="77777777" w:rsidR="0046583A" w:rsidRDefault="0046583A" w:rsidP="0048245A">
            <w:r>
              <w:t>CFC-114</w:t>
            </w:r>
          </w:p>
        </w:tc>
        <w:tc>
          <w:tcPr>
            <w:tcW w:w="2254" w:type="dxa"/>
            <w:vAlign w:val="center"/>
          </w:tcPr>
          <w:p w14:paraId="44BD825F" w14:textId="77777777" w:rsidR="0046583A" w:rsidRDefault="0046583A" w:rsidP="0048245A">
            <w:r>
              <w:t>Perchloroethylene</w:t>
            </w:r>
          </w:p>
        </w:tc>
        <w:tc>
          <w:tcPr>
            <w:tcW w:w="4701" w:type="dxa"/>
            <w:vAlign w:val="center"/>
          </w:tcPr>
          <w:p w14:paraId="353F518D" w14:textId="77777777" w:rsidR="0046583A" w:rsidRDefault="0046583A" w:rsidP="0048245A">
            <w:r>
              <w:t>CFC-112, CFC-113</w:t>
            </w:r>
          </w:p>
        </w:tc>
      </w:tr>
      <w:tr w:rsidR="0046583A" w14:paraId="258B9EE8" w14:textId="77777777" w:rsidTr="0048245A">
        <w:tc>
          <w:tcPr>
            <w:tcW w:w="2254" w:type="dxa"/>
            <w:vAlign w:val="center"/>
          </w:tcPr>
          <w:p w14:paraId="7C69B3C9" w14:textId="77777777" w:rsidR="0046583A" w:rsidRDefault="0046583A" w:rsidP="0048245A">
            <w:r>
              <w:t>CFC-115</w:t>
            </w:r>
          </w:p>
        </w:tc>
        <w:tc>
          <w:tcPr>
            <w:tcW w:w="2254" w:type="dxa"/>
            <w:vAlign w:val="center"/>
          </w:tcPr>
          <w:p w14:paraId="7E232099" w14:textId="77777777" w:rsidR="0046583A" w:rsidRDefault="0046583A" w:rsidP="0048245A">
            <w:r>
              <w:t>Perchloroethylene</w:t>
            </w:r>
          </w:p>
        </w:tc>
        <w:tc>
          <w:tcPr>
            <w:tcW w:w="4701" w:type="dxa"/>
            <w:vAlign w:val="center"/>
          </w:tcPr>
          <w:p w14:paraId="24A69415" w14:textId="77777777" w:rsidR="0046583A" w:rsidRDefault="0046583A" w:rsidP="0048245A">
            <w:r>
              <w:t>CFC-112, CFC-113, CFC-114</w:t>
            </w:r>
          </w:p>
        </w:tc>
      </w:tr>
      <w:tr w:rsidR="0046583A" w14:paraId="4B7C7F8B" w14:textId="77777777" w:rsidTr="0048245A">
        <w:tc>
          <w:tcPr>
            <w:tcW w:w="2254" w:type="dxa"/>
            <w:vAlign w:val="center"/>
          </w:tcPr>
          <w:p w14:paraId="785BE360" w14:textId="77777777" w:rsidR="0046583A" w:rsidRDefault="0046583A" w:rsidP="0048245A">
            <w:r>
              <w:t>HCFC-22</w:t>
            </w:r>
          </w:p>
        </w:tc>
        <w:tc>
          <w:tcPr>
            <w:tcW w:w="2254" w:type="dxa"/>
            <w:vAlign w:val="center"/>
          </w:tcPr>
          <w:p w14:paraId="782EC372" w14:textId="77777777" w:rsidR="0046583A" w:rsidRDefault="0046583A" w:rsidP="0048245A">
            <w:r>
              <w:t>Chloroform</w:t>
            </w:r>
          </w:p>
        </w:tc>
        <w:tc>
          <w:tcPr>
            <w:tcW w:w="4701" w:type="dxa"/>
            <w:vAlign w:val="center"/>
          </w:tcPr>
          <w:p w14:paraId="350CEA12" w14:textId="77777777" w:rsidR="0046583A" w:rsidRDefault="0046583A" w:rsidP="0048245A">
            <w:r>
              <w:t>HCFC-21</w:t>
            </w:r>
          </w:p>
        </w:tc>
      </w:tr>
      <w:tr w:rsidR="0046583A" w14:paraId="528716D5" w14:textId="77777777" w:rsidTr="0048245A">
        <w:tc>
          <w:tcPr>
            <w:tcW w:w="2254" w:type="dxa"/>
            <w:vAlign w:val="center"/>
          </w:tcPr>
          <w:p w14:paraId="0235CA85" w14:textId="77777777" w:rsidR="0046583A" w:rsidRDefault="0046583A" w:rsidP="0048245A">
            <w:r>
              <w:t>HFC-32</w:t>
            </w:r>
          </w:p>
        </w:tc>
        <w:tc>
          <w:tcPr>
            <w:tcW w:w="2254" w:type="dxa"/>
            <w:vAlign w:val="center"/>
          </w:tcPr>
          <w:p w14:paraId="64A70DAE" w14:textId="77777777" w:rsidR="0046583A" w:rsidRDefault="0046583A" w:rsidP="0048245A">
            <w:r>
              <w:t>Methylene chloride (CH</w:t>
            </w:r>
            <w:r w:rsidRPr="00DE51AC">
              <w:rPr>
                <w:vertAlign w:val="subscript"/>
              </w:rPr>
              <w:t>2</w:t>
            </w:r>
            <w:r>
              <w:t>Cl</w:t>
            </w:r>
            <w:r w:rsidRPr="00DE51AC">
              <w:rPr>
                <w:vertAlign w:val="subscript"/>
              </w:rPr>
              <w:t>2</w:t>
            </w:r>
            <w:r>
              <w:t>)</w:t>
            </w:r>
          </w:p>
        </w:tc>
        <w:tc>
          <w:tcPr>
            <w:tcW w:w="4701" w:type="dxa"/>
            <w:vAlign w:val="center"/>
          </w:tcPr>
          <w:p w14:paraId="77C4C359" w14:textId="77777777" w:rsidR="0046583A" w:rsidRDefault="0046583A" w:rsidP="0048245A">
            <w:r>
              <w:t>HCFC-31</w:t>
            </w:r>
          </w:p>
        </w:tc>
      </w:tr>
      <w:tr w:rsidR="0046583A" w14:paraId="5943B1BD" w14:textId="77777777" w:rsidTr="0048245A">
        <w:tc>
          <w:tcPr>
            <w:tcW w:w="2254" w:type="dxa"/>
            <w:vAlign w:val="center"/>
          </w:tcPr>
          <w:p w14:paraId="2383B9A1" w14:textId="77777777" w:rsidR="0046583A" w:rsidRDefault="0046583A" w:rsidP="0048245A">
            <w:r>
              <w:t>HFC-125</w:t>
            </w:r>
          </w:p>
        </w:tc>
        <w:tc>
          <w:tcPr>
            <w:tcW w:w="2254" w:type="dxa"/>
            <w:vAlign w:val="center"/>
          </w:tcPr>
          <w:p w14:paraId="0F751D93" w14:textId="77777777" w:rsidR="0046583A" w:rsidRDefault="0046583A" w:rsidP="0048245A">
            <w:r>
              <w:t>Perchloroethylene</w:t>
            </w:r>
          </w:p>
        </w:tc>
        <w:tc>
          <w:tcPr>
            <w:tcW w:w="4701" w:type="dxa"/>
            <w:vAlign w:val="center"/>
          </w:tcPr>
          <w:p w14:paraId="1AFC39D7" w14:textId="77777777" w:rsidR="0046583A" w:rsidRDefault="0046583A" w:rsidP="0048245A">
            <w:r>
              <w:t>HCFC-121, HCFC-122, HCFC-123, HCFC-124</w:t>
            </w:r>
          </w:p>
        </w:tc>
      </w:tr>
      <w:tr w:rsidR="0046583A" w14:paraId="18DFAA3F" w14:textId="77777777" w:rsidTr="0048245A">
        <w:tc>
          <w:tcPr>
            <w:tcW w:w="2254" w:type="dxa"/>
            <w:vAlign w:val="center"/>
          </w:tcPr>
          <w:p w14:paraId="15068830" w14:textId="77777777" w:rsidR="0046583A" w:rsidRDefault="0046583A" w:rsidP="0048245A">
            <w:r>
              <w:t>HFC-134a</w:t>
            </w:r>
          </w:p>
        </w:tc>
        <w:tc>
          <w:tcPr>
            <w:tcW w:w="2254" w:type="dxa"/>
            <w:vAlign w:val="center"/>
          </w:tcPr>
          <w:p w14:paraId="36A35BD3" w14:textId="77777777" w:rsidR="0046583A" w:rsidRDefault="0046583A" w:rsidP="0048245A">
            <w:r>
              <w:t xml:space="preserve">Trichloroethylene; or </w:t>
            </w:r>
          </w:p>
          <w:p w14:paraId="340684F2" w14:textId="77777777" w:rsidR="0046583A" w:rsidRDefault="0046583A" w:rsidP="0048245A">
            <w:r>
              <w:t>CFC-113</w:t>
            </w:r>
          </w:p>
        </w:tc>
        <w:tc>
          <w:tcPr>
            <w:tcW w:w="4701" w:type="dxa"/>
            <w:vAlign w:val="center"/>
          </w:tcPr>
          <w:p w14:paraId="792702D7" w14:textId="77777777" w:rsidR="0046583A" w:rsidRDefault="0046583A" w:rsidP="0048245A">
            <w:r>
              <w:t xml:space="preserve">HCFC-132b, HCFC-133a, HCFC-131a; or </w:t>
            </w:r>
          </w:p>
          <w:p w14:paraId="68A4E485" w14:textId="77777777" w:rsidR="0046583A" w:rsidRDefault="0046583A" w:rsidP="0048245A">
            <w:r>
              <w:t>CFC-113a, CFC-114a, HCFC-124a</w:t>
            </w:r>
          </w:p>
        </w:tc>
      </w:tr>
      <w:tr w:rsidR="0046583A" w14:paraId="1DD50CBA" w14:textId="77777777" w:rsidTr="0048245A">
        <w:tc>
          <w:tcPr>
            <w:tcW w:w="2254" w:type="dxa"/>
            <w:vAlign w:val="center"/>
          </w:tcPr>
          <w:p w14:paraId="5792E3E4" w14:textId="77777777" w:rsidR="0046583A" w:rsidRDefault="0046583A" w:rsidP="0048245A">
            <w:r>
              <w:t>HFC 143a</w:t>
            </w:r>
          </w:p>
        </w:tc>
        <w:tc>
          <w:tcPr>
            <w:tcW w:w="2254" w:type="dxa"/>
            <w:vAlign w:val="center"/>
          </w:tcPr>
          <w:p w14:paraId="393D73BA" w14:textId="77777777" w:rsidR="0046583A" w:rsidRDefault="0046583A" w:rsidP="0048245A">
            <w:r>
              <w:t>1,1-dichloroetheylene or 1,1,1-trichloroethane</w:t>
            </w:r>
          </w:p>
        </w:tc>
        <w:tc>
          <w:tcPr>
            <w:tcW w:w="4701" w:type="dxa"/>
            <w:vAlign w:val="center"/>
          </w:tcPr>
          <w:p w14:paraId="058D6E81" w14:textId="77777777" w:rsidR="0046583A" w:rsidRDefault="0046583A" w:rsidP="0048245A">
            <w:r>
              <w:t>HCFC-141b, HCFC-142b</w:t>
            </w:r>
          </w:p>
        </w:tc>
      </w:tr>
      <w:tr w:rsidR="0046583A" w14:paraId="448E7B93" w14:textId="77777777" w:rsidTr="0048245A">
        <w:tc>
          <w:tcPr>
            <w:tcW w:w="2254" w:type="dxa"/>
            <w:vAlign w:val="center"/>
          </w:tcPr>
          <w:p w14:paraId="11560873" w14:textId="77777777" w:rsidR="0046583A" w:rsidRDefault="0046583A" w:rsidP="0048245A">
            <w:r>
              <w:t>HFC-152a</w:t>
            </w:r>
          </w:p>
        </w:tc>
        <w:tc>
          <w:tcPr>
            <w:tcW w:w="2254" w:type="dxa"/>
            <w:vAlign w:val="center"/>
          </w:tcPr>
          <w:p w14:paraId="2C8EE531" w14:textId="77777777" w:rsidR="0046583A" w:rsidRDefault="0046583A" w:rsidP="0048245A">
            <w:r>
              <w:t>Vinyl Chloride</w:t>
            </w:r>
          </w:p>
        </w:tc>
        <w:tc>
          <w:tcPr>
            <w:tcW w:w="4701" w:type="dxa"/>
            <w:vAlign w:val="center"/>
          </w:tcPr>
          <w:p w14:paraId="00FB523C" w14:textId="77777777" w:rsidR="0046583A" w:rsidRDefault="0046583A" w:rsidP="0048245A">
            <w:r>
              <w:t>HCFC-151a</w:t>
            </w:r>
          </w:p>
        </w:tc>
      </w:tr>
      <w:tr w:rsidR="0046583A" w14:paraId="0A98C3AC" w14:textId="77777777" w:rsidTr="0048245A">
        <w:tc>
          <w:tcPr>
            <w:tcW w:w="2254" w:type="dxa"/>
            <w:vAlign w:val="center"/>
          </w:tcPr>
          <w:p w14:paraId="29277D96" w14:textId="77777777" w:rsidR="0046583A" w:rsidRDefault="0046583A" w:rsidP="0048245A">
            <w:r>
              <w:rPr>
                <w:rFonts w:hint="eastAsia"/>
              </w:rPr>
              <w:t>HFC-245fa</w:t>
            </w:r>
          </w:p>
        </w:tc>
        <w:tc>
          <w:tcPr>
            <w:tcW w:w="2254" w:type="dxa"/>
            <w:vAlign w:val="center"/>
          </w:tcPr>
          <w:p w14:paraId="6B09B7DC" w14:textId="77777777" w:rsidR="0046583A" w:rsidRDefault="0046583A" w:rsidP="0048245A">
            <w:r>
              <w:rPr>
                <w:rFonts w:hint="eastAsia"/>
              </w:rPr>
              <w:t>HCC-240fa</w:t>
            </w:r>
          </w:p>
        </w:tc>
        <w:tc>
          <w:tcPr>
            <w:tcW w:w="4701" w:type="dxa"/>
            <w:vAlign w:val="center"/>
          </w:tcPr>
          <w:p w14:paraId="6EDF60FD" w14:textId="77777777" w:rsidR="0046583A" w:rsidRDefault="0046583A" w:rsidP="0048245A">
            <w:r>
              <w:rPr>
                <w:rFonts w:hint="eastAsia"/>
              </w:rPr>
              <w:t>H</w:t>
            </w:r>
            <w:r>
              <w:t>C</w:t>
            </w:r>
            <w:r>
              <w:rPr>
                <w:rFonts w:hint="eastAsia"/>
              </w:rPr>
              <w:t>FC-243fa,</w:t>
            </w:r>
            <w:r>
              <w:t xml:space="preserve"> </w:t>
            </w:r>
            <w:r>
              <w:rPr>
                <w:rFonts w:hint="eastAsia"/>
              </w:rPr>
              <w:t>H</w:t>
            </w:r>
            <w:r>
              <w:t>C</w:t>
            </w:r>
            <w:r>
              <w:rPr>
                <w:rFonts w:hint="eastAsia"/>
              </w:rPr>
              <w:t>FC-244fa</w:t>
            </w:r>
          </w:p>
        </w:tc>
      </w:tr>
      <w:tr w:rsidR="0046583A" w14:paraId="13C6F1D9" w14:textId="77777777" w:rsidTr="0048245A">
        <w:tc>
          <w:tcPr>
            <w:tcW w:w="2254" w:type="dxa"/>
            <w:vAlign w:val="center"/>
          </w:tcPr>
          <w:p w14:paraId="21975768" w14:textId="77777777" w:rsidR="0046583A" w:rsidRDefault="0046583A" w:rsidP="0048245A">
            <w:r>
              <w:rPr>
                <w:rFonts w:hint="eastAsia"/>
              </w:rPr>
              <w:t>HFO-1234yf</w:t>
            </w:r>
          </w:p>
        </w:tc>
        <w:tc>
          <w:tcPr>
            <w:tcW w:w="2254" w:type="dxa"/>
            <w:vAlign w:val="center"/>
          </w:tcPr>
          <w:p w14:paraId="4600F3EB" w14:textId="77777777" w:rsidR="0046583A" w:rsidRDefault="0046583A" w:rsidP="0048245A">
            <w:proofErr w:type="spellStart"/>
            <w:r>
              <w:t>H</w:t>
            </w:r>
            <w:r>
              <w:rPr>
                <w:rFonts w:hint="eastAsia"/>
              </w:rPr>
              <w:t>exafluoropropene</w:t>
            </w:r>
            <w:proofErr w:type="spellEnd"/>
          </w:p>
        </w:tc>
        <w:tc>
          <w:tcPr>
            <w:tcW w:w="4701" w:type="dxa"/>
            <w:vAlign w:val="center"/>
          </w:tcPr>
          <w:p w14:paraId="2D9A4E9F" w14:textId="77777777" w:rsidR="0046583A" w:rsidRDefault="0046583A" w:rsidP="0048245A">
            <w:r>
              <w:rPr>
                <w:rFonts w:hint="eastAsia"/>
              </w:rPr>
              <w:t>HFC-236ea,</w:t>
            </w:r>
            <w:r>
              <w:t xml:space="preserve"> </w:t>
            </w:r>
            <w:r>
              <w:rPr>
                <w:rFonts w:hint="eastAsia"/>
              </w:rPr>
              <w:t>HFC-245eb</w:t>
            </w:r>
          </w:p>
        </w:tc>
      </w:tr>
      <w:tr w:rsidR="0046583A" w14:paraId="593F71BF" w14:textId="77777777" w:rsidTr="0048245A">
        <w:tc>
          <w:tcPr>
            <w:tcW w:w="2254" w:type="dxa"/>
            <w:vAlign w:val="center"/>
          </w:tcPr>
          <w:p w14:paraId="5238BB44" w14:textId="77777777" w:rsidR="0046583A" w:rsidRDefault="0046583A" w:rsidP="0048245A">
            <w:r>
              <w:rPr>
                <w:rFonts w:hint="eastAsia"/>
              </w:rPr>
              <w:t>HFO-1234yf</w:t>
            </w:r>
          </w:p>
        </w:tc>
        <w:tc>
          <w:tcPr>
            <w:tcW w:w="2254" w:type="dxa"/>
            <w:vAlign w:val="center"/>
          </w:tcPr>
          <w:p w14:paraId="65750AB3" w14:textId="77777777" w:rsidR="0046583A" w:rsidRPr="00E4392A" w:rsidRDefault="0046583A" w:rsidP="0048245A">
            <w:pPr>
              <w:rPr>
                <w:lang w:val="en-US"/>
              </w:rPr>
            </w:pPr>
            <w:r w:rsidRPr="00E4392A">
              <w:rPr>
                <w:rFonts w:hint="eastAsia"/>
                <w:lang w:val="en-US"/>
              </w:rPr>
              <w:t>HCC-1230xa</w:t>
            </w:r>
            <w:r>
              <w:rPr>
                <w:lang w:val="en-US"/>
              </w:rPr>
              <w:t xml:space="preserve"> </w:t>
            </w:r>
            <w:r>
              <w:rPr>
                <w:rFonts w:hint="eastAsia"/>
                <w:lang w:val="en-US"/>
              </w:rPr>
              <w:t>or</w:t>
            </w:r>
          </w:p>
          <w:p w14:paraId="56285D8D" w14:textId="77777777" w:rsidR="0046583A" w:rsidRPr="00E4392A" w:rsidRDefault="0046583A" w:rsidP="0048245A">
            <w:pPr>
              <w:rPr>
                <w:lang w:val="en-US"/>
              </w:rPr>
            </w:pPr>
            <w:r w:rsidRPr="00E4392A">
              <w:rPr>
                <w:rFonts w:hint="eastAsia"/>
                <w:lang w:val="en-US"/>
              </w:rPr>
              <w:t>HCC-240db</w:t>
            </w:r>
          </w:p>
        </w:tc>
        <w:tc>
          <w:tcPr>
            <w:tcW w:w="4701" w:type="dxa"/>
            <w:vAlign w:val="center"/>
          </w:tcPr>
          <w:p w14:paraId="6599D2F8" w14:textId="77777777" w:rsidR="0046583A" w:rsidRDefault="0046583A" w:rsidP="0048245A">
            <w:r>
              <w:rPr>
                <w:rFonts w:hint="eastAsia"/>
              </w:rPr>
              <w:t>HCFC-244bb</w:t>
            </w:r>
          </w:p>
        </w:tc>
      </w:tr>
      <w:tr w:rsidR="0046583A" w14:paraId="73131A11" w14:textId="77777777" w:rsidTr="0048245A">
        <w:tc>
          <w:tcPr>
            <w:tcW w:w="2254" w:type="dxa"/>
            <w:vAlign w:val="center"/>
          </w:tcPr>
          <w:p w14:paraId="71FB9DAD" w14:textId="77777777" w:rsidR="0046583A" w:rsidRDefault="0046583A" w:rsidP="0048245A">
            <w:proofErr w:type="spellStart"/>
            <w:r>
              <w:t>T</w:t>
            </w:r>
            <w:r>
              <w:rPr>
                <w:rFonts w:hint="eastAsia"/>
              </w:rPr>
              <w:t>rifluoropropylene</w:t>
            </w:r>
            <w:proofErr w:type="spellEnd"/>
          </w:p>
        </w:tc>
        <w:tc>
          <w:tcPr>
            <w:tcW w:w="2254" w:type="dxa"/>
            <w:vAlign w:val="center"/>
          </w:tcPr>
          <w:p w14:paraId="5CDCE843" w14:textId="77777777" w:rsidR="0046583A" w:rsidRDefault="0046583A" w:rsidP="0048245A">
            <w:proofErr w:type="spellStart"/>
            <w:r>
              <w:t>T</w:t>
            </w:r>
            <w:r>
              <w:rPr>
                <w:rFonts w:hint="eastAsia"/>
              </w:rPr>
              <w:t>etrachloropropane</w:t>
            </w:r>
            <w:proofErr w:type="spellEnd"/>
          </w:p>
        </w:tc>
        <w:tc>
          <w:tcPr>
            <w:tcW w:w="4701" w:type="dxa"/>
            <w:vAlign w:val="center"/>
          </w:tcPr>
          <w:p w14:paraId="21C73A44" w14:textId="77777777" w:rsidR="0046583A" w:rsidRDefault="0046583A" w:rsidP="0048245A">
            <w:r>
              <w:rPr>
                <w:rFonts w:hint="eastAsia"/>
              </w:rPr>
              <w:t>HCFC-2</w:t>
            </w:r>
            <w:r>
              <w:t>5</w:t>
            </w:r>
            <w:r>
              <w:rPr>
                <w:rFonts w:hint="eastAsia"/>
              </w:rPr>
              <w:t>3ea</w:t>
            </w:r>
          </w:p>
        </w:tc>
      </w:tr>
    </w:tbl>
    <w:p w14:paraId="3EDBF670" w14:textId="421E3556" w:rsidR="0046583A" w:rsidRPr="00AE297B" w:rsidRDefault="0046583A" w:rsidP="0046583A">
      <w:pPr>
        <w:rPr>
          <w:sz w:val="20"/>
        </w:rPr>
      </w:pPr>
      <w:r w:rsidRPr="00AE297B">
        <w:rPr>
          <w:i/>
          <w:iCs/>
          <w:sz w:val="20"/>
        </w:rPr>
        <w:t>Explanatory note: CFC-11, CFC-12 and CFC-115 are not, or not typically, used as feedstock. Small quantities of CFC-12 may be reported in some years. Previously they were high volume chemicals.</w:t>
      </w:r>
      <w:r>
        <w:rPr>
          <w:i/>
          <w:iCs/>
          <w:sz w:val="20"/>
        </w:rPr>
        <w:t xml:space="preserve"> </w:t>
      </w:r>
      <w:r w:rsidRPr="00394D5B">
        <w:rPr>
          <w:i/>
          <w:iCs/>
          <w:sz w:val="20"/>
        </w:rPr>
        <w:t>As the production of CFC-113 for emissive use</w:t>
      </w:r>
      <w:r>
        <w:rPr>
          <w:i/>
          <w:iCs/>
          <w:sz w:val="20"/>
        </w:rPr>
        <w:t>s</w:t>
      </w:r>
      <w:r w:rsidRPr="00394D5B">
        <w:rPr>
          <w:i/>
          <w:iCs/>
          <w:sz w:val="20"/>
        </w:rPr>
        <w:t xml:space="preserve"> in no longer permitted, the conversion</w:t>
      </w:r>
      <w:r>
        <w:rPr>
          <w:i/>
          <w:iCs/>
          <w:sz w:val="20"/>
        </w:rPr>
        <w:t xml:space="preserve"> of CFC-113</w:t>
      </w:r>
      <w:r w:rsidRPr="00394D5B">
        <w:rPr>
          <w:i/>
          <w:iCs/>
          <w:sz w:val="20"/>
        </w:rPr>
        <w:t xml:space="preserve"> to CFC-113a is assumed to be </w:t>
      </w:r>
      <w:r>
        <w:rPr>
          <w:i/>
          <w:iCs/>
          <w:sz w:val="20"/>
        </w:rPr>
        <w:t>a</w:t>
      </w:r>
      <w:r w:rsidRPr="00394D5B">
        <w:rPr>
          <w:i/>
          <w:iCs/>
          <w:sz w:val="20"/>
        </w:rPr>
        <w:t xml:space="preserve"> feedstock use </w:t>
      </w:r>
      <w:r>
        <w:rPr>
          <w:i/>
          <w:iCs/>
          <w:sz w:val="20"/>
        </w:rPr>
        <w:t>(</w:t>
      </w:r>
      <w:r w:rsidRPr="00394D5B">
        <w:rPr>
          <w:i/>
          <w:iCs/>
          <w:sz w:val="20"/>
        </w:rPr>
        <w:t xml:space="preserve">as noted </w:t>
      </w:r>
      <w:r>
        <w:rPr>
          <w:i/>
          <w:iCs/>
          <w:sz w:val="20"/>
        </w:rPr>
        <w:t xml:space="preserve">in </w:t>
      </w:r>
      <w:r w:rsidRPr="0033721D">
        <w:rPr>
          <w:i/>
          <w:iCs/>
          <w:sz w:val="20"/>
        </w:rPr>
        <w:t>UNEP/</w:t>
      </w:r>
      <w:proofErr w:type="spellStart"/>
      <w:r w:rsidRPr="0033721D">
        <w:rPr>
          <w:i/>
          <w:iCs/>
          <w:sz w:val="20"/>
        </w:rPr>
        <w:t>OzL.Pro</w:t>
      </w:r>
      <w:proofErr w:type="spellEnd"/>
      <w:r w:rsidRPr="0033721D">
        <w:rPr>
          <w:i/>
          <w:iCs/>
          <w:sz w:val="20"/>
        </w:rPr>
        <w:t>/ExCom</w:t>
      </w:r>
      <w:r>
        <w:rPr>
          <w:i/>
          <w:iCs/>
          <w:sz w:val="20"/>
        </w:rPr>
        <w:t xml:space="preserve">, </w:t>
      </w:r>
      <w:r w:rsidRPr="00394D5B">
        <w:rPr>
          <w:i/>
          <w:iCs/>
          <w:sz w:val="20"/>
        </w:rPr>
        <w:t xml:space="preserve">88/78 </w:t>
      </w:r>
      <w:r>
        <w:rPr>
          <w:i/>
          <w:iCs/>
          <w:sz w:val="20"/>
        </w:rPr>
        <w:t>A</w:t>
      </w:r>
      <w:r w:rsidRPr="00394D5B">
        <w:rPr>
          <w:i/>
          <w:iCs/>
          <w:sz w:val="20"/>
        </w:rPr>
        <w:t xml:space="preserve">nnex) and </w:t>
      </w:r>
      <w:r>
        <w:rPr>
          <w:i/>
          <w:iCs/>
          <w:sz w:val="20"/>
        </w:rPr>
        <w:t>in</w:t>
      </w:r>
      <w:r w:rsidRPr="00394D5B">
        <w:rPr>
          <w:i/>
          <w:iCs/>
          <w:sz w:val="20"/>
        </w:rPr>
        <w:t xml:space="preserve"> the 2021 </w:t>
      </w:r>
      <w:r>
        <w:rPr>
          <w:i/>
          <w:iCs/>
          <w:sz w:val="20"/>
        </w:rPr>
        <w:t xml:space="preserve">TEAP </w:t>
      </w:r>
      <w:r w:rsidRPr="00394D5B">
        <w:rPr>
          <w:i/>
          <w:iCs/>
          <w:sz w:val="20"/>
        </w:rPr>
        <w:t>Progress Report</w:t>
      </w:r>
      <w:r>
        <w:rPr>
          <w:i/>
          <w:iCs/>
          <w:sz w:val="20"/>
        </w:rPr>
        <w:t>)</w:t>
      </w:r>
      <w:r w:rsidRPr="00394D5B">
        <w:rPr>
          <w:i/>
          <w:iCs/>
          <w:sz w:val="20"/>
        </w:rPr>
        <w:t>.</w:t>
      </w:r>
    </w:p>
    <w:p w14:paraId="1789EEB2" w14:textId="77777777" w:rsidR="0046583A" w:rsidRDefault="0046583A" w:rsidP="0046583A">
      <w:r>
        <w:t>The reporting of production for feedstock use has</w:t>
      </w:r>
      <w:r w:rsidRPr="00600627" w:rsidDel="002C5A01">
        <w:t xml:space="preserve"> </w:t>
      </w:r>
      <w:r>
        <w:t xml:space="preserve">recently </w:t>
      </w:r>
      <w:r w:rsidRPr="00600627">
        <w:t xml:space="preserve">been discussed at </w:t>
      </w:r>
      <w:r>
        <w:t>the Multilateral Fund Executive Committee (</w:t>
      </w:r>
      <w:r w:rsidRPr="00600627">
        <w:t>ExCom</w:t>
      </w:r>
      <w:r>
        <w:t>)</w:t>
      </w:r>
      <w:r w:rsidRPr="00600627">
        <w:t xml:space="preserve"> meetings </w:t>
      </w:r>
      <w:r>
        <w:t xml:space="preserve">and </w:t>
      </w:r>
      <w:r w:rsidRPr="00600627">
        <w:t xml:space="preserve">by the </w:t>
      </w:r>
      <w:r>
        <w:t>P</w:t>
      </w:r>
      <w:r w:rsidRPr="00600627">
        <w:t xml:space="preserve">roduction </w:t>
      </w:r>
      <w:r>
        <w:t>Sector S</w:t>
      </w:r>
      <w:r w:rsidRPr="00600627">
        <w:t>ub</w:t>
      </w:r>
      <w:r>
        <w:t>-</w:t>
      </w:r>
      <w:r w:rsidRPr="00600627">
        <w:t>group.</w:t>
      </w:r>
      <w:r>
        <w:rPr>
          <w:rStyle w:val="FootnoteReference"/>
        </w:rPr>
        <w:footnoteReference w:id="30"/>
      </w:r>
      <w:r w:rsidRPr="00600627">
        <w:t xml:space="preserve"> </w:t>
      </w:r>
    </w:p>
    <w:p w14:paraId="2196EB7F" w14:textId="5729A022" w:rsidR="0046583A" w:rsidRPr="00C7675C" w:rsidRDefault="005C29DA" w:rsidP="003E4636">
      <w:pPr>
        <w:pStyle w:val="Heading2"/>
        <w:rPr>
          <w:rStyle w:val="Heading311ptBoldChar"/>
          <w:rFonts w:cs="Times New Roman"/>
          <w:b/>
          <w:snapToGrid/>
          <w:color w:val="000000"/>
          <w:szCs w:val="20"/>
          <w:lang w:val="en-GB" w:eastAsia="zh-CN"/>
        </w:rPr>
      </w:pPr>
      <w:bookmarkStart w:id="488" w:name="_Toc40190279"/>
      <w:bookmarkStart w:id="489" w:name="_Toc40696079"/>
      <w:bookmarkStart w:id="490" w:name="_Toc77770768"/>
      <w:bookmarkStart w:id="491" w:name="_Toc77868912"/>
      <w:bookmarkStart w:id="492" w:name="_Toc78040745"/>
      <w:bookmarkStart w:id="493" w:name="_Toc79066550"/>
      <w:bookmarkStart w:id="494" w:name="_Toc80642590"/>
      <w:bookmarkStart w:id="495" w:name="_Toc102135750"/>
      <w:bookmarkStart w:id="496" w:name="_Toc104396711"/>
      <w:r w:rsidRPr="00C7675C">
        <w:rPr>
          <w:rStyle w:val="Heading311ptBoldChar"/>
          <w:b/>
        </w:rPr>
        <w:lastRenderedPageBreak/>
        <w:t>6</w:t>
      </w:r>
      <w:r w:rsidR="0046583A" w:rsidRPr="00C7675C">
        <w:rPr>
          <w:rStyle w:val="Heading311ptBoldChar"/>
          <w:b/>
        </w:rPr>
        <w:t>.1.5</w:t>
      </w:r>
      <w:r w:rsidR="0046583A" w:rsidRPr="00C7675C">
        <w:rPr>
          <w:rStyle w:val="Heading311ptBoldChar"/>
          <w:b/>
        </w:rPr>
        <w:tab/>
        <w:t xml:space="preserve">Common feedstock applications of </w:t>
      </w:r>
      <w:bookmarkEnd w:id="488"/>
      <w:bookmarkEnd w:id="489"/>
      <w:bookmarkEnd w:id="490"/>
      <w:bookmarkEnd w:id="491"/>
      <w:bookmarkEnd w:id="492"/>
      <w:bookmarkEnd w:id="493"/>
      <w:bookmarkEnd w:id="494"/>
      <w:r w:rsidR="0046583A" w:rsidRPr="00C7675C">
        <w:rPr>
          <w:rStyle w:val="Heading311ptBoldChar"/>
          <w:b/>
        </w:rPr>
        <w:t>controlled substances</w:t>
      </w:r>
      <w:bookmarkEnd w:id="495"/>
      <w:bookmarkEnd w:id="496"/>
    </w:p>
    <w:p w14:paraId="35D52FE5" w14:textId="6FF52C44" w:rsidR="0046583A" w:rsidRDefault="0046583A" w:rsidP="0046583A">
      <w:r>
        <w:t xml:space="preserve">Table </w:t>
      </w:r>
      <w:r w:rsidR="00C7675C">
        <w:t>6</w:t>
      </w:r>
      <w:r>
        <w:t>.2 shows common feedstock applications for controlled substances, although the list is not exhaustive. Parties report amounts of controlled substances used as feedstock to the Ozone Secretariat, but they do not report how they are used. Processes are proprietary and there is no official source to define the manufacturing routes followed and their efficacy. The table provides some examples and is the product of the collective experience and knowledge of MCTOC members. Products included are both intermediates as well as final products, including fluoropolymers.</w:t>
      </w:r>
    </w:p>
    <w:p w14:paraId="4E9B25FA" w14:textId="77777777" w:rsidR="0046583A" w:rsidRDefault="0046583A" w:rsidP="0046583A">
      <w:pPr>
        <w:spacing w:after="0"/>
        <w:sectPr w:rsidR="0046583A" w:rsidSect="00944FC9">
          <w:type w:val="oddPage"/>
          <w:pgSz w:w="11906" w:h="16838"/>
          <w:pgMar w:top="1440" w:right="1440" w:bottom="1440" w:left="1440" w:header="708" w:footer="708" w:gutter="0"/>
          <w:cols w:space="720"/>
        </w:sectPr>
      </w:pPr>
    </w:p>
    <w:p w14:paraId="310CD418" w14:textId="3081FE20" w:rsidR="0046583A" w:rsidRDefault="0046583A" w:rsidP="0046583A">
      <w:pPr>
        <w:tabs>
          <w:tab w:val="left" w:pos="1080"/>
        </w:tabs>
        <w:rPr>
          <w:b/>
          <w:bCs/>
        </w:rPr>
      </w:pPr>
      <w:r w:rsidRPr="007D20F0">
        <w:rPr>
          <w:b/>
          <w:bCs/>
        </w:rPr>
        <w:lastRenderedPageBreak/>
        <w:t xml:space="preserve">Table </w:t>
      </w:r>
      <w:r w:rsidR="005C29DA">
        <w:rPr>
          <w:b/>
          <w:bCs/>
        </w:rPr>
        <w:t>6</w:t>
      </w:r>
      <w:r w:rsidRPr="007D20F0">
        <w:rPr>
          <w:b/>
          <w:bCs/>
        </w:rPr>
        <w:t>.</w:t>
      </w:r>
      <w:r>
        <w:rPr>
          <w:b/>
          <w:bCs/>
        </w:rPr>
        <w:t>2</w:t>
      </w:r>
      <w:r w:rsidRPr="007D20F0">
        <w:rPr>
          <w:b/>
          <w:bCs/>
        </w:rPr>
        <w:t>:</w:t>
      </w:r>
      <w:r w:rsidRPr="007D20F0">
        <w:rPr>
          <w:b/>
          <w:bCs/>
        </w:rPr>
        <w:tab/>
        <w:t>Common feedstock applications of controlled substances (this list is not exhaustive)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7"/>
        <w:gridCol w:w="3007"/>
        <w:gridCol w:w="3020"/>
        <w:gridCol w:w="5604"/>
      </w:tblGrid>
      <w:tr w:rsidR="0046583A" w14:paraId="4085A585" w14:textId="77777777" w:rsidTr="00821BBC">
        <w:trPr>
          <w:trHeight w:val="344"/>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4316240" w14:textId="77777777" w:rsidR="0046583A" w:rsidRDefault="0046583A" w:rsidP="00CC4168">
            <w:pPr>
              <w:spacing w:after="0"/>
              <w:rPr>
                <w:b/>
                <w:bCs/>
                <w:sz w:val="20"/>
                <w:lang w:val="en-US"/>
              </w:rPr>
            </w:pPr>
            <w:r>
              <w:rPr>
                <w:b/>
                <w:bCs/>
                <w:sz w:val="20"/>
                <w:lang w:val="en-US"/>
              </w:rPr>
              <w:t xml:space="preserve">Feedstock </w:t>
            </w:r>
          </w:p>
        </w:tc>
        <w:tc>
          <w:tcPr>
            <w:tcW w:w="0" w:type="auto"/>
            <w:tcBorders>
              <w:top w:val="single" w:sz="4" w:space="0" w:color="auto"/>
              <w:left w:val="single" w:sz="4" w:space="0" w:color="auto"/>
              <w:bottom w:val="single" w:sz="4" w:space="0" w:color="auto"/>
              <w:right w:val="single" w:sz="4" w:space="0" w:color="auto"/>
            </w:tcBorders>
            <w:vAlign w:val="center"/>
            <w:hideMark/>
          </w:tcPr>
          <w:p w14:paraId="059320AC" w14:textId="77777777" w:rsidR="0046583A" w:rsidRDefault="0046583A" w:rsidP="00CC4168">
            <w:pPr>
              <w:spacing w:after="0"/>
              <w:rPr>
                <w:b/>
                <w:bCs/>
                <w:sz w:val="20"/>
                <w:lang w:val="en-US"/>
              </w:rPr>
            </w:pPr>
            <w:r>
              <w:rPr>
                <w:b/>
                <w:bCs/>
                <w:sz w:val="20"/>
                <w:lang w:val="en-US"/>
              </w:rPr>
              <w:t>Products</w:t>
            </w:r>
          </w:p>
        </w:tc>
        <w:tc>
          <w:tcPr>
            <w:tcW w:w="0" w:type="auto"/>
            <w:tcBorders>
              <w:top w:val="single" w:sz="4" w:space="0" w:color="auto"/>
              <w:left w:val="single" w:sz="4" w:space="0" w:color="auto"/>
              <w:bottom w:val="single" w:sz="4" w:space="0" w:color="auto"/>
              <w:right w:val="single" w:sz="4" w:space="0" w:color="auto"/>
            </w:tcBorders>
            <w:vAlign w:val="center"/>
            <w:hideMark/>
          </w:tcPr>
          <w:p w14:paraId="78591DC7" w14:textId="77777777" w:rsidR="0046583A" w:rsidRDefault="0046583A" w:rsidP="00CC4168">
            <w:pPr>
              <w:spacing w:after="0"/>
              <w:rPr>
                <w:b/>
                <w:bCs/>
                <w:sz w:val="20"/>
                <w:lang w:val="en-US"/>
              </w:rPr>
            </w:pPr>
            <w:r>
              <w:rPr>
                <w:b/>
                <w:bCs/>
                <w:sz w:val="20"/>
                <w:lang w:val="en-US"/>
              </w:rPr>
              <w:t>Further conversion products</w:t>
            </w:r>
          </w:p>
        </w:tc>
        <w:tc>
          <w:tcPr>
            <w:tcW w:w="0" w:type="auto"/>
            <w:tcBorders>
              <w:top w:val="single" w:sz="4" w:space="0" w:color="auto"/>
              <w:left w:val="single" w:sz="4" w:space="0" w:color="auto"/>
              <w:bottom w:val="single" w:sz="4" w:space="0" w:color="auto"/>
              <w:right w:val="single" w:sz="4" w:space="0" w:color="auto"/>
            </w:tcBorders>
            <w:vAlign w:val="center"/>
            <w:hideMark/>
          </w:tcPr>
          <w:p w14:paraId="0DD85D72" w14:textId="77777777" w:rsidR="0046583A" w:rsidRDefault="0046583A" w:rsidP="00CC4168">
            <w:pPr>
              <w:spacing w:after="0"/>
              <w:rPr>
                <w:b/>
                <w:bCs/>
                <w:sz w:val="20"/>
                <w:lang w:val="en-US"/>
              </w:rPr>
            </w:pPr>
            <w:r>
              <w:rPr>
                <w:b/>
                <w:bCs/>
                <w:sz w:val="20"/>
                <w:lang w:val="en-US"/>
              </w:rPr>
              <w:t>Comments</w:t>
            </w:r>
          </w:p>
        </w:tc>
      </w:tr>
      <w:tr w:rsidR="0046583A" w14:paraId="55C7EE92" w14:textId="77777777" w:rsidTr="00CC4168">
        <w:trPr>
          <w:trHeight w:val="450"/>
        </w:trPr>
        <w:tc>
          <w:tcPr>
            <w:tcW w:w="0" w:type="auto"/>
            <w:tcBorders>
              <w:top w:val="single" w:sz="4" w:space="0" w:color="auto"/>
              <w:left w:val="single" w:sz="4" w:space="0" w:color="auto"/>
              <w:bottom w:val="single" w:sz="4" w:space="0" w:color="auto"/>
              <w:right w:val="single" w:sz="4" w:space="0" w:color="auto"/>
            </w:tcBorders>
            <w:vAlign w:val="center"/>
            <w:hideMark/>
          </w:tcPr>
          <w:p w14:paraId="622BC79D" w14:textId="77777777" w:rsidR="0046583A" w:rsidRDefault="0046583A" w:rsidP="00CC4168">
            <w:pPr>
              <w:spacing w:after="0"/>
              <w:rPr>
                <w:sz w:val="20"/>
                <w:lang w:val="en-US"/>
              </w:rPr>
            </w:pPr>
            <w:r>
              <w:rPr>
                <w:sz w:val="20"/>
                <w:lang w:val="en-US"/>
              </w:rPr>
              <w:t>CFC-113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4495CC3E" w14:textId="77777777" w:rsidR="0046583A" w:rsidRDefault="0046583A" w:rsidP="00CC4168">
            <w:pPr>
              <w:spacing w:after="0"/>
              <w:rPr>
                <w:sz w:val="20"/>
                <w:lang w:val="en-US"/>
              </w:rPr>
            </w:pPr>
            <w:r>
              <w:rPr>
                <w:sz w:val="20"/>
                <w:lang w:val="en-US"/>
              </w:rPr>
              <w:t>Chlorotrifluoroethylene</w:t>
            </w:r>
          </w:p>
        </w:tc>
        <w:tc>
          <w:tcPr>
            <w:tcW w:w="0" w:type="auto"/>
            <w:tcBorders>
              <w:top w:val="single" w:sz="4" w:space="0" w:color="auto"/>
              <w:left w:val="single" w:sz="4" w:space="0" w:color="auto"/>
              <w:bottom w:val="single" w:sz="4" w:space="0" w:color="auto"/>
              <w:right w:val="single" w:sz="4" w:space="0" w:color="auto"/>
            </w:tcBorders>
            <w:vAlign w:val="center"/>
            <w:hideMark/>
          </w:tcPr>
          <w:p w14:paraId="41C94A2E" w14:textId="77777777" w:rsidR="0046583A" w:rsidRDefault="0046583A" w:rsidP="00CC4168">
            <w:pPr>
              <w:spacing w:after="0"/>
              <w:rPr>
                <w:sz w:val="20"/>
                <w:lang w:val="en-US"/>
              </w:rPr>
            </w:pPr>
            <w:r>
              <w:rPr>
                <w:sz w:val="20"/>
                <w:lang w:val="en-US"/>
              </w:rPr>
              <w:t>Chlorotrifluoroethylene based polymers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622F9083" w14:textId="77777777" w:rsidR="0046583A" w:rsidRDefault="0046583A" w:rsidP="00CC4168">
            <w:pPr>
              <w:spacing w:after="0"/>
              <w:rPr>
                <w:sz w:val="20"/>
                <w:lang w:val="en-US"/>
              </w:rPr>
            </w:pPr>
            <w:r>
              <w:rPr>
                <w:sz w:val="20"/>
                <w:lang w:val="en-US"/>
              </w:rPr>
              <w:t>Polymers include poly-chlorotrifluoroethylene (PCTFE), and poly-</w:t>
            </w:r>
            <w:proofErr w:type="spellStart"/>
            <w:r>
              <w:rPr>
                <w:sz w:val="20"/>
                <w:lang w:val="en-US"/>
              </w:rPr>
              <w:t>fluoroethylenevinyl</w:t>
            </w:r>
            <w:proofErr w:type="spellEnd"/>
            <w:r>
              <w:rPr>
                <w:sz w:val="20"/>
                <w:lang w:val="en-US"/>
              </w:rPr>
              <w:t xml:space="preserve"> ether (PFEVE).</w:t>
            </w:r>
          </w:p>
        </w:tc>
      </w:tr>
      <w:tr w:rsidR="0046583A" w14:paraId="336178E5" w14:textId="77777777" w:rsidTr="00CC4168">
        <w:trPr>
          <w:trHeight w:val="286"/>
        </w:trPr>
        <w:tc>
          <w:tcPr>
            <w:tcW w:w="0" w:type="auto"/>
            <w:tcBorders>
              <w:top w:val="single" w:sz="4" w:space="0" w:color="auto"/>
              <w:left w:val="single" w:sz="4" w:space="0" w:color="auto"/>
              <w:bottom w:val="single" w:sz="4" w:space="0" w:color="auto"/>
              <w:right w:val="single" w:sz="4" w:space="0" w:color="auto"/>
            </w:tcBorders>
            <w:vAlign w:val="center"/>
            <w:hideMark/>
          </w:tcPr>
          <w:p w14:paraId="72182FFA" w14:textId="77777777" w:rsidR="0046583A" w:rsidRDefault="0046583A" w:rsidP="00CC4168">
            <w:pPr>
              <w:spacing w:after="0"/>
              <w:rPr>
                <w:sz w:val="20"/>
                <w:lang w:val="en-US"/>
              </w:rPr>
            </w:pPr>
            <w:r>
              <w:rPr>
                <w:sz w:val="20"/>
                <w:lang w:val="en-US"/>
              </w:rPr>
              <w:t>CFC-113</w:t>
            </w:r>
          </w:p>
        </w:tc>
        <w:tc>
          <w:tcPr>
            <w:tcW w:w="0" w:type="auto"/>
            <w:tcBorders>
              <w:top w:val="single" w:sz="4" w:space="0" w:color="auto"/>
              <w:left w:val="single" w:sz="4" w:space="0" w:color="auto"/>
              <w:bottom w:val="single" w:sz="4" w:space="0" w:color="auto"/>
              <w:right w:val="single" w:sz="4" w:space="0" w:color="auto"/>
            </w:tcBorders>
            <w:vAlign w:val="center"/>
            <w:hideMark/>
          </w:tcPr>
          <w:p w14:paraId="24F57AF7" w14:textId="77777777" w:rsidR="0046583A" w:rsidRDefault="0046583A" w:rsidP="00CC4168">
            <w:pPr>
              <w:spacing w:after="0"/>
              <w:rPr>
                <w:sz w:val="20"/>
                <w:lang w:val="en-US"/>
              </w:rPr>
            </w:pPr>
            <w:r>
              <w:rPr>
                <w:sz w:val="20"/>
                <w:lang w:val="en-US"/>
              </w:rPr>
              <w:t>CFC-113a</w:t>
            </w:r>
          </w:p>
        </w:tc>
        <w:tc>
          <w:tcPr>
            <w:tcW w:w="0" w:type="auto"/>
            <w:tcBorders>
              <w:top w:val="single" w:sz="4" w:space="0" w:color="auto"/>
              <w:left w:val="single" w:sz="4" w:space="0" w:color="auto"/>
              <w:bottom w:val="single" w:sz="4" w:space="0" w:color="auto"/>
              <w:right w:val="single" w:sz="4" w:space="0" w:color="auto"/>
            </w:tcBorders>
            <w:vAlign w:val="center"/>
          </w:tcPr>
          <w:p w14:paraId="787B13FE" w14:textId="77777777" w:rsidR="0046583A" w:rsidRDefault="0046583A" w:rsidP="00CC4168">
            <w:pPr>
              <w:spacing w:after="0"/>
              <w:rPr>
                <w:sz w:val="20"/>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BAF54E" w14:textId="77777777" w:rsidR="0046583A" w:rsidRDefault="0046583A" w:rsidP="00CC4168">
            <w:pPr>
              <w:spacing w:after="0"/>
              <w:rPr>
                <w:sz w:val="20"/>
                <w:lang w:val="en-US"/>
              </w:rPr>
            </w:pPr>
            <w:r>
              <w:rPr>
                <w:sz w:val="20"/>
                <w:lang w:val="en-US"/>
              </w:rPr>
              <w:t>CFC-113a may be an intermediate and may be transported off-site for use as a feedstock.</w:t>
            </w:r>
          </w:p>
        </w:tc>
      </w:tr>
      <w:tr w:rsidR="0046583A" w14:paraId="14FD147F" w14:textId="77777777" w:rsidTr="00CC4168">
        <w:trPr>
          <w:trHeight w:val="286"/>
        </w:trPr>
        <w:tc>
          <w:tcPr>
            <w:tcW w:w="0" w:type="auto"/>
            <w:tcBorders>
              <w:top w:val="single" w:sz="4" w:space="0" w:color="auto"/>
              <w:left w:val="single" w:sz="4" w:space="0" w:color="auto"/>
              <w:bottom w:val="single" w:sz="4" w:space="0" w:color="auto"/>
              <w:right w:val="single" w:sz="4" w:space="0" w:color="auto"/>
            </w:tcBorders>
            <w:vAlign w:val="center"/>
            <w:hideMark/>
          </w:tcPr>
          <w:p w14:paraId="3D67AE93" w14:textId="77777777" w:rsidR="0046583A" w:rsidRDefault="0046583A" w:rsidP="00CC4168">
            <w:pPr>
              <w:spacing w:after="0"/>
              <w:rPr>
                <w:sz w:val="20"/>
                <w:lang w:val="en-US"/>
              </w:rPr>
            </w:pPr>
            <w:r>
              <w:rPr>
                <w:sz w:val="20"/>
                <w:lang w:val="en-US"/>
              </w:rPr>
              <w:t>CFC-113a</w:t>
            </w:r>
          </w:p>
        </w:tc>
        <w:tc>
          <w:tcPr>
            <w:tcW w:w="0" w:type="auto"/>
            <w:tcBorders>
              <w:top w:val="single" w:sz="4" w:space="0" w:color="auto"/>
              <w:left w:val="single" w:sz="4" w:space="0" w:color="auto"/>
              <w:bottom w:val="single" w:sz="4" w:space="0" w:color="auto"/>
              <w:right w:val="single" w:sz="4" w:space="0" w:color="auto"/>
            </w:tcBorders>
            <w:vAlign w:val="center"/>
            <w:hideMark/>
          </w:tcPr>
          <w:p w14:paraId="4DA11EE2" w14:textId="77777777" w:rsidR="0046583A" w:rsidRDefault="0046583A" w:rsidP="00CC4168">
            <w:pPr>
              <w:spacing w:after="0"/>
              <w:rPr>
                <w:sz w:val="20"/>
                <w:highlight w:val="yellow"/>
                <w:lang w:val="en-US"/>
              </w:rPr>
            </w:pPr>
            <w:r>
              <w:rPr>
                <w:sz w:val="20"/>
                <w:lang w:val="en-US"/>
              </w:rPr>
              <w:t>Trifluoroacetic acid (TFA) and pesticides (including cyhalothrin)</w:t>
            </w:r>
          </w:p>
        </w:tc>
        <w:tc>
          <w:tcPr>
            <w:tcW w:w="0" w:type="auto"/>
            <w:tcBorders>
              <w:top w:val="single" w:sz="4" w:space="0" w:color="auto"/>
              <w:left w:val="single" w:sz="4" w:space="0" w:color="auto"/>
              <w:bottom w:val="single" w:sz="4" w:space="0" w:color="auto"/>
              <w:right w:val="single" w:sz="4" w:space="0" w:color="auto"/>
            </w:tcBorders>
            <w:vAlign w:val="center"/>
          </w:tcPr>
          <w:p w14:paraId="392AAA01" w14:textId="77777777" w:rsidR="0046583A" w:rsidRDefault="0046583A" w:rsidP="00CC4168">
            <w:pPr>
              <w:spacing w:after="0"/>
              <w:rPr>
                <w:sz w:val="20"/>
                <w:highlight w:val="yellow"/>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C8C367" w14:textId="77777777" w:rsidR="0046583A" w:rsidRDefault="0046583A" w:rsidP="00CC4168">
            <w:pPr>
              <w:spacing w:after="0"/>
              <w:rPr>
                <w:sz w:val="20"/>
                <w:lang w:val="en-US"/>
              </w:rPr>
            </w:pPr>
            <w:r>
              <w:rPr>
                <w:sz w:val="20"/>
                <w:lang w:val="en-US"/>
              </w:rPr>
              <w:t xml:space="preserve">Starting with CFC-113, CFC-113a is as an intermediate for TFA. Alternatively, CFC-113a may be directly produced as the starting feedstock. TFA is a pesticide and medical intermediate. </w:t>
            </w:r>
          </w:p>
        </w:tc>
      </w:tr>
      <w:tr w:rsidR="0046583A" w14:paraId="778B21AA" w14:textId="77777777" w:rsidTr="00CC4168">
        <w:trPr>
          <w:trHeight w:val="286"/>
        </w:trPr>
        <w:tc>
          <w:tcPr>
            <w:tcW w:w="0" w:type="auto"/>
            <w:tcBorders>
              <w:top w:val="single" w:sz="4" w:space="0" w:color="auto"/>
              <w:left w:val="single" w:sz="4" w:space="0" w:color="auto"/>
              <w:bottom w:val="single" w:sz="4" w:space="0" w:color="auto"/>
              <w:right w:val="single" w:sz="4" w:space="0" w:color="auto"/>
            </w:tcBorders>
            <w:vAlign w:val="center"/>
            <w:hideMark/>
          </w:tcPr>
          <w:p w14:paraId="4C0809F4" w14:textId="77777777" w:rsidR="0046583A" w:rsidRDefault="0046583A" w:rsidP="00CC4168">
            <w:pPr>
              <w:spacing w:after="0"/>
              <w:rPr>
                <w:sz w:val="20"/>
                <w:lang w:val="en-US"/>
              </w:rPr>
            </w:pPr>
            <w:r>
              <w:rPr>
                <w:sz w:val="20"/>
                <w:lang w:val="en-US"/>
              </w:rPr>
              <w:t>CFC-113, CFC-113a, CFC-114a, HCFC-124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B72A9DC" w14:textId="77777777" w:rsidR="0046583A" w:rsidRDefault="0046583A" w:rsidP="00CC4168">
            <w:pPr>
              <w:spacing w:after="0"/>
              <w:rPr>
                <w:sz w:val="20"/>
                <w:lang w:val="en-US"/>
              </w:rPr>
            </w:pPr>
            <w:r>
              <w:rPr>
                <w:sz w:val="20"/>
                <w:lang w:val="en-US"/>
              </w:rPr>
              <w:t xml:space="preserve">HFC-134a </w:t>
            </w:r>
          </w:p>
        </w:tc>
        <w:tc>
          <w:tcPr>
            <w:tcW w:w="0" w:type="auto"/>
            <w:tcBorders>
              <w:top w:val="single" w:sz="4" w:space="0" w:color="auto"/>
              <w:left w:val="single" w:sz="4" w:space="0" w:color="auto"/>
              <w:bottom w:val="single" w:sz="4" w:space="0" w:color="auto"/>
              <w:right w:val="single" w:sz="4" w:space="0" w:color="auto"/>
            </w:tcBorders>
            <w:vAlign w:val="center"/>
          </w:tcPr>
          <w:p w14:paraId="28EB3D0E"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3921DB9" w14:textId="77777777" w:rsidR="0046583A" w:rsidRDefault="0046583A" w:rsidP="00CC4168">
            <w:pPr>
              <w:spacing w:after="0"/>
              <w:rPr>
                <w:sz w:val="20"/>
                <w:lang w:val="en-US"/>
              </w:rPr>
            </w:pPr>
            <w:r>
              <w:rPr>
                <w:sz w:val="20"/>
                <w:lang w:val="en-US"/>
              </w:rPr>
              <w:t>One sequence for production of HFC-134a begins with CFC-113, which is converted to CFC-113a, then to CFC-114a and HCFC-124 as intermediates.</w:t>
            </w:r>
          </w:p>
        </w:tc>
      </w:tr>
      <w:tr w:rsidR="0046583A" w14:paraId="0727A661" w14:textId="77777777" w:rsidTr="00CC4168">
        <w:trPr>
          <w:trHeight w:val="286"/>
        </w:trPr>
        <w:tc>
          <w:tcPr>
            <w:tcW w:w="0" w:type="auto"/>
            <w:tcBorders>
              <w:top w:val="single" w:sz="4" w:space="0" w:color="auto"/>
              <w:left w:val="single" w:sz="4" w:space="0" w:color="auto"/>
              <w:bottom w:val="single" w:sz="4" w:space="0" w:color="auto"/>
              <w:right w:val="single" w:sz="4" w:space="0" w:color="auto"/>
            </w:tcBorders>
            <w:vAlign w:val="center"/>
            <w:hideMark/>
          </w:tcPr>
          <w:p w14:paraId="2F976055" w14:textId="77777777" w:rsidR="0046583A" w:rsidRDefault="0046583A" w:rsidP="00CC4168">
            <w:pPr>
              <w:spacing w:after="0"/>
              <w:rPr>
                <w:sz w:val="20"/>
                <w:lang w:val="en-US"/>
              </w:rPr>
            </w:pPr>
            <w:r>
              <w:rPr>
                <w:sz w:val="20"/>
                <w:lang w:val="en-US"/>
              </w:rPr>
              <w:t>CFC-113a</w:t>
            </w:r>
          </w:p>
        </w:tc>
        <w:tc>
          <w:tcPr>
            <w:tcW w:w="0" w:type="auto"/>
            <w:tcBorders>
              <w:top w:val="single" w:sz="4" w:space="0" w:color="auto"/>
              <w:left w:val="single" w:sz="4" w:space="0" w:color="auto"/>
              <w:bottom w:val="single" w:sz="4" w:space="0" w:color="auto"/>
              <w:right w:val="single" w:sz="4" w:space="0" w:color="auto"/>
            </w:tcBorders>
            <w:vAlign w:val="center"/>
            <w:hideMark/>
          </w:tcPr>
          <w:p w14:paraId="5D57742B" w14:textId="77777777" w:rsidR="0046583A" w:rsidRDefault="0046583A" w:rsidP="00CC4168">
            <w:pPr>
              <w:spacing w:after="0"/>
              <w:rPr>
                <w:sz w:val="20"/>
                <w:lang w:val="en-US"/>
              </w:rPr>
            </w:pPr>
            <w:r>
              <w:rPr>
                <w:sz w:val="20"/>
                <w:lang w:val="en-US"/>
              </w:rPr>
              <w:t>HFO-1336mzz isomers</w:t>
            </w:r>
          </w:p>
        </w:tc>
        <w:tc>
          <w:tcPr>
            <w:tcW w:w="0" w:type="auto"/>
            <w:tcBorders>
              <w:top w:val="single" w:sz="4" w:space="0" w:color="auto"/>
              <w:left w:val="single" w:sz="4" w:space="0" w:color="auto"/>
              <w:bottom w:val="single" w:sz="4" w:space="0" w:color="auto"/>
              <w:right w:val="single" w:sz="4" w:space="0" w:color="auto"/>
            </w:tcBorders>
            <w:vAlign w:val="center"/>
          </w:tcPr>
          <w:p w14:paraId="7F1086E9"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8148B10" w14:textId="77777777" w:rsidR="0046583A" w:rsidRDefault="0046583A" w:rsidP="00CC4168">
            <w:pPr>
              <w:spacing w:after="0"/>
              <w:rPr>
                <w:sz w:val="20"/>
                <w:lang w:val="en-US"/>
              </w:rPr>
            </w:pPr>
            <w:r>
              <w:rPr>
                <w:rFonts w:eastAsia="Calibri"/>
                <w:sz w:val="20"/>
                <w:szCs w:val="22"/>
                <w:lang w:val="en-US" w:eastAsia="en-US"/>
              </w:rPr>
              <w:t>Low GWP alternatives for HFC-245fa and HCFC-123.</w:t>
            </w:r>
          </w:p>
        </w:tc>
      </w:tr>
      <w:tr w:rsidR="0046583A" w14:paraId="083F6BED" w14:textId="77777777" w:rsidTr="00CC4168">
        <w:trPr>
          <w:trHeight w:val="423"/>
        </w:trPr>
        <w:tc>
          <w:tcPr>
            <w:tcW w:w="0" w:type="auto"/>
            <w:tcBorders>
              <w:top w:val="single" w:sz="4" w:space="0" w:color="auto"/>
              <w:left w:val="single" w:sz="4" w:space="0" w:color="auto"/>
              <w:bottom w:val="single" w:sz="4" w:space="0" w:color="auto"/>
              <w:right w:val="single" w:sz="4" w:space="0" w:color="auto"/>
            </w:tcBorders>
            <w:vAlign w:val="center"/>
            <w:hideMark/>
          </w:tcPr>
          <w:p w14:paraId="1726883F" w14:textId="77777777" w:rsidR="0046583A" w:rsidRDefault="0046583A" w:rsidP="00CC4168">
            <w:pPr>
              <w:spacing w:after="0"/>
              <w:rPr>
                <w:sz w:val="20"/>
                <w:lang w:val="en-US"/>
              </w:rPr>
            </w:pPr>
            <w:r>
              <w:rPr>
                <w:sz w:val="20"/>
                <w:lang w:val="en-US"/>
              </w:rPr>
              <w:t>CTC</w:t>
            </w:r>
          </w:p>
        </w:tc>
        <w:tc>
          <w:tcPr>
            <w:tcW w:w="0" w:type="auto"/>
            <w:tcBorders>
              <w:top w:val="single" w:sz="4" w:space="0" w:color="auto"/>
              <w:left w:val="single" w:sz="4" w:space="0" w:color="auto"/>
              <w:bottom w:val="single" w:sz="4" w:space="0" w:color="auto"/>
              <w:right w:val="single" w:sz="4" w:space="0" w:color="auto"/>
            </w:tcBorders>
            <w:vAlign w:val="center"/>
            <w:hideMark/>
          </w:tcPr>
          <w:p w14:paraId="3C45846C" w14:textId="77777777" w:rsidR="0046583A" w:rsidRDefault="0046583A" w:rsidP="00CC4168">
            <w:pPr>
              <w:spacing w:after="0"/>
              <w:rPr>
                <w:sz w:val="20"/>
                <w:lang w:val="en-US"/>
              </w:rPr>
            </w:pPr>
            <w:r>
              <w:rPr>
                <w:sz w:val="20"/>
                <w:lang w:val="en-US"/>
              </w:rPr>
              <w:t>CFC-11 and CFC-12</w:t>
            </w:r>
          </w:p>
        </w:tc>
        <w:tc>
          <w:tcPr>
            <w:tcW w:w="0" w:type="auto"/>
            <w:tcBorders>
              <w:top w:val="single" w:sz="4" w:space="0" w:color="auto"/>
              <w:left w:val="single" w:sz="4" w:space="0" w:color="auto"/>
              <w:bottom w:val="single" w:sz="4" w:space="0" w:color="auto"/>
              <w:right w:val="single" w:sz="4" w:space="0" w:color="auto"/>
            </w:tcBorders>
            <w:vAlign w:val="center"/>
          </w:tcPr>
          <w:p w14:paraId="51F5EB2A"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24B927B" w14:textId="77777777" w:rsidR="0046583A" w:rsidRDefault="0046583A" w:rsidP="00CC4168">
            <w:pPr>
              <w:spacing w:after="0"/>
              <w:rPr>
                <w:sz w:val="20"/>
                <w:lang w:val="en-US"/>
              </w:rPr>
            </w:pPr>
            <w:r>
              <w:rPr>
                <w:rFonts w:eastAsia="Calibri"/>
                <w:sz w:val="20"/>
                <w:szCs w:val="22"/>
                <w:lang w:val="en-US" w:eastAsia="en-US"/>
              </w:rPr>
              <w:t xml:space="preserve">Production and consumption of these CFCs has fallen to zero based on reported data. However, a small quantity of CFC-12 (&lt;100 </w:t>
            </w:r>
            <w:proofErr w:type="spellStart"/>
            <w:r>
              <w:rPr>
                <w:rFonts w:eastAsia="Calibri"/>
                <w:sz w:val="20"/>
                <w:szCs w:val="22"/>
                <w:lang w:val="en-US" w:eastAsia="en-US"/>
              </w:rPr>
              <w:t>tonnes</w:t>
            </w:r>
            <w:proofErr w:type="spellEnd"/>
            <w:r>
              <w:rPr>
                <w:rFonts w:eastAsia="Calibri"/>
                <w:sz w:val="20"/>
                <w:szCs w:val="22"/>
                <w:lang w:val="en-US" w:eastAsia="en-US"/>
              </w:rPr>
              <w:t>) is intermittently reported for feedstock use. It is not known for what the CFC-12 was used.</w:t>
            </w:r>
          </w:p>
        </w:tc>
      </w:tr>
      <w:tr w:rsidR="0046583A" w14:paraId="7D145C57" w14:textId="77777777" w:rsidTr="00CC4168">
        <w:trPr>
          <w:trHeight w:val="305"/>
        </w:trPr>
        <w:tc>
          <w:tcPr>
            <w:tcW w:w="0" w:type="auto"/>
            <w:tcBorders>
              <w:top w:val="single" w:sz="4" w:space="0" w:color="auto"/>
              <w:left w:val="single" w:sz="4" w:space="0" w:color="auto"/>
              <w:bottom w:val="single" w:sz="4" w:space="0" w:color="auto"/>
              <w:right w:val="single" w:sz="4" w:space="0" w:color="auto"/>
            </w:tcBorders>
            <w:vAlign w:val="center"/>
            <w:hideMark/>
          </w:tcPr>
          <w:p w14:paraId="041C2484" w14:textId="77777777" w:rsidR="0046583A" w:rsidRDefault="0046583A" w:rsidP="00CC4168">
            <w:pPr>
              <w:spacing w:after="0"/>
              <w:rPr>
                <w:sz w:val="20"/>
                <w:lang w:val="en-US"/>
              </w:rPr>
            </w:pPr>
            <w:r>
              <w:rPr>
                <w:sz w:val="20"/>
                <w:lang w:val="en-US"/>
              </w:rPr>
              <w:t>CTC</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17F05" w14:textId="77777777" w:rsidR="0046583A" w:rsidRDefault="0046583A" w:rsidP="00CC4168">
            <w:pPr>
              <w:spacing w:after="0"/>
              <w:rPr>
                <w:sz w:val="20"/>
                <w:lang w:val="en-US"/>
              </w:rPr>
            </w:pPr>
            <w:r>
              <w:rPr>
                <w:sz w:val="20"/>
                <w:lang w:val="en-US"/>
              </w:rPr>
              <w:t>With water to make CO</w:t>
            </w:r>
            <w:r>
              <w:rPr>
                <w:sz w:val="20"/>
                <w:vertAlign w:val="subscript"/>
                <w:lang w:val="en-US"/>
              </w:rPr>
              <w:t>2</w:t>
            </w:r>
            <w:r>
              <w:rPr>
                <w:sz w:val="20"/>
                <w:lang w:val="en-US"/>
              </w:rPr>
              <w:t xml:space="preserve"> and HCl: the HCl is subsequently reacted with methanol to make methyl chloride and water</w:t>
            </w:r>
          </w:p>
        </w:tc>
        <w:tc>
          <w:tcPr>
            <w:tcW w:w="0" w:type="auto"/>
            <w:tcBorders>
              <w:top w:val="single" w:sz="4" w:space="0" w:color="auto"/>
              <w:left w:val="single" w:sz="4" w:space="0" w:color="auto"/>
              <w:bottom w:val="single" w:sz="4" w:space="0" w:color="auto"/>
              <w:right w:val="single" w:sz="4" w:space="0" w:color="auto"/>
            </w:tcBorders>
            <w:vAlign w:val="center"/>
            <w:hideMark/>
          </w:tcPr>
          <w:p w14:paraId="2262BCF5" w14:textId="77777777" w:rsidR="0046583A" w:rsidRDefault="0046583A" w:rsidP="00CC4168">
            <w:pPr>
              <w:spacing w:after="0"/>
              <w:rPr>
                <w:sz w:val="20"/>
                <w:lang w:val="en-US"/>
              </w:rPr>
            </w:pPr>
            <w:r>
              <w:rPr>
                <w:sz w:val="20"/>
                <w:lang w:val="en-US"/>
              </w:rPr>
              <w:t>Methyl chloride in chloromethanes (CMs) plant converted to dichloromethane (DCM) and chloroform (CFM)</w:t>
            </w:r>
          </w:p>
        </w:tc>
        <w:tc>
          <w:tcPr>
            <w:tcW w:w="0" w:type="auto"/>
            <w:tcBorders>
              <w:top w:val="single" w:sz="4" w:space="0" w:color="auto"/>
              <w:left w:val="single" w:sz="4" w:space="0" w:color="auto"/>
              <w:bottom w:val="single" w:sz="4" w:space="0" w:color="auto"/>
              <w:right w:val="single" w:sz="4" w:space="0" w:color="auto"/>
            </w:tcBorders>
            <w:vAlign w:val="center"/>
            <w:hideMark/>
          </w:tcPr>
          <w:p w14:paraId="40F7CA30" w14:textId="77777777" w:rsidR="0046583A" w:rsidRDefault="0046583A" w:rsidP="00CC4168">
            <w:pPr>
              <w:spacing w:after="0"/>
              <w:rPr>
                <w:sz w:val="20"/>
                <w:lang w:val="en-US"/>
              </w:rPr>
            </w:pPr>
            <w:r>
              <w:rPr>
                <w:sz w:val="20"/>
                <w:lang w:val="en-US"/>
              </w:rPr>
              <w:t>A method of recycling CTC into useful products rather than destruction operated in CMs plant complex.</w:t>
            </w:r>
          </w:p>
        </w:tc>
      </w:tr>
      <w:tr w:rsidR="0046583A" w14:paraId="0C8032E2" w14:textId="77777777" w:rsidTr="00CC4168">
        <w:trPr>
          <w:trHeight w:val="305"/>
        </w:trPr>
        <w:tc>
          <w:tcPr>
            <w:tcW w:w="0" w:type="auto"/>
            <w:tcBorders>
              <w:top w:val="single" w:sz="4" w:space="0" w:color="auto"/>
              <w:left w:val="single" w:sz="4" w:space="0" w:color="auto"/>
              <w:bottom w:val="single" w:sz="4" w:space="0" w:color="auto"/>
              <w:right w:val="single" w:sz="4" w:space="0" w:color="auto"/>
            </w:tcBorders>
            <w:vAlign w:val="center"/>
            <w:hideMark/>
          </w:tcPr>
          <w:p w14:paraId="11276BB2" w14:textId="77777777" w:rsidR="0046583A" w:rsidRDefault="0046583A" w:rsidP="00CC4168">
            <w:pPr>
              <w:spacing w:after="0"/>
              <w:rPr>
                <w:sz w:val="20"/>
                <w:lang w:val="en-US"/>
              </w:rPr>
            </w:pPr>
            <w:r>
              <w:rPr>
                <w:sz w:val="20"/>
                <w:lang w:val="en-US"/>
              </w:rPr>
              <w:t>CTC</w:t>
            </w:r>
          </w:p>
        </w:tc>
        <w:tc>
          <w:tcPr>
            <w:tcW w:w="0" w:type="auto"/>
            <w:tcBorders>
              <w:top w:val="single" w:sz="4" w:space="0" w:color="auto"/>
              <w:left w:val="single" w:sz="4" w:space="0" w:color="auto"/>
              <w:bottom w:val="single" w:sz="4" w:space="0" w:color="auto"/>
              <w:right w:val="single" w:sz="4" w:space="0" w:color="auto"/>
            </w:tcBorders>
            <w:vAlign w:val="center"/>
            <w:hideMark/>
          </w:tcPr>
          <w:p w14:paraId="305B4955" w14:textId="77777777" w:rsidR="0046583A" w:rsidRDefault="0046583A" w:rsidP="00CC4168">
            <w:pPr>
              <w:spacing w:after="0"/>
              <w:rPr>
                <w:sz w:val="20"/>
                <w:lang w:val="en-US"/>
              </w:rPr>
            </w:pPr>
            <w:r>
              <w:rPr>
                <w:sz w:val="20"/>
                <w:lang w:val="en-US"/>
              </w:rPr>
              <w:t>Perchloroethylene</w:t>
            </w:r>
          </w:p>
        </w:tc>
        <w:tc>
          <w:tcPr>
            <w:tcW w:w="0" w:type="auto"/>
            <w:tcBorders>
              <w:top w:val="single" w:sz="4" w:space="0" w:color="auto"/>
              <w:left w:val="single" w:sz="4" w:space="0" w:color="auto"/>
              <w:bottom w:val="single" w:sz="4" w:space="0" w:color="auto"/>
              <w:right w:val="single" w:sz="4" w:space="0" w:color="auto"/>
            </w:tcBorders>
            <w:vAlign w:val="center"/>
          </w:tcPr>
          <w:p w14:paraId="3919082A"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05AF546" w14:textId="77777777" w:rsidR="0046583A" w:rsidRDefault="0046583A" w:rsidP="00CC4168">
            <w:pPr>
              <w:spacing w:after="0"/>
              <w:rPr>
                <w:sz w:val="20"/>
                <w:lang w:val="en-US"/>
              </w:rPr>
            </w:pPr>
            <w:r>
              <w:rPr>
                <w:sz w:val="20"/>
                <w:lang w:val="en-US"/>
              </w:rPr>
              <w:t>High volume use.</w:t>
            </w:r>
          </w:p>
        </w:tc>
      </w:tr>
      <w:tr w:rsidR="0046583A" w14:paraId="1591EE93" w14:textId="77777777" w:rsidTr="00CC4168">
        <w:trPr>
          <w:trHeight w:val="401"/>
        </w:trPr>
        <w:tc>
          <w:tcPr>
            <w:tcW w:w="0" w:type="auto"/>
            <w:tcBorders>
              <w:top w:val="single" w:sz="4" w:space="0" w:color="auto"/>
              <w:left w:val="single" w:sz="4" w:space="0" w:color="auto"/>
              <w:bottom w:val="single" w:sz="4" w:space="0" w:color="auto"/>
              <w:right w:val="single" w:sz="4" w:space="0" w:color="auto"/>
            </w:tcBorders>
            <w:vAlign w:val="center"/>
            <w:hideMark/>
          </w:tcPr>
          <w:p w14:paraId="2D2CC146" w14:textId="77777777" w:rsidR="0046583A" w:rsidRDefault="0046583A" w:rsidP="00CC4168">
            <w:pPr>
              <w:spacing w:after="0"/>
              <w:rPr>
                <w:sz w:val="20"/>
                <w:lang w:val="en-US"/>
              </w:rPr>
            </w:pPr>
            <w:r>
              <w:rPr>
                <w:sz w:val="20"/>
                <w:lang w:val="en-US"/>
              </w:rPr>
              <w:t>CTC</w:t>
            </w:r>
          </w:p>
        </w:tc>
        <w:tc>
          <w:tcPr>
            <w:tcW w:w="0" w:type="auto"/>
            <w:tcBorders>
              <w:top w:val="single" w:sz="4" w:space="0" w:color="auto"/>
              <w:left w:val="single" w:sz="4" w:space="0" w:color="auto"/>
              <w:bottom w:val="single" w:sz="4" w:space="0" w:color="auto"/>
              <w:right w:val="single" w:sz="4" w:space="0" w:color="auto"/>
            </w:tcBorders>
            <w:vAlign w:val="center"/>
            <w:hideMark/>
          </w:tcPr>
          <w:p w14:paraId="28FF649C" w14:textId="77777777" w:rsidR="0046583A" w:rsidRDefault="0046583A" w:rsidP="00CC4168">
            <w:pPr>
              <w:spacing w:after="0"/>
              <w:rPr>
                <w:sz w:val="20"/>
                <w:lang w:val="en-US"/>
              </w:rPr>
            </w:pPr>
            <w:bookmarkStart w:id="497" w:name="_Hlk38467728"/>
            <w:r>
              <w:rPr>
                <w:sz w:val="20"/>
                <w:lang w:val="en-US"/>
              </w:rPr>
              <w:t>With hydrogen to make chloroform with methane and HCl as by-products</w:t>
            </w:r>
            <w:bookmarkEnd w:id="497"/>
          </w:p>
        </w:tc>
        <w:tc>
          <w:tcPr>
            <w:tcW w:w="0" w:type="auto"/>
            <w:tcBorders>
              <w:top w:val="single" w:sz="4" w:space="0" w:color="auto"/>
              <w:left w:val="single" w:sz="4" w:space="0" w:color="auto"/>
              <w:bottom w:val="single" w:sz="4" w:space="0" w:color="auto"/>
              <w:right w:val="single" w:sz="4" w:space="0" w:color="auto"/>
            </w:tcBorders>
            <w:vAlign w:val="center"/>
            <w:hideMark/>
          </w:tcPr>
          <w:p w14:paraId="68C387C4" w14:textId="77777777" w:rsidR="0046583A" w:rsidRDefault="0046583A" w:rsidP="00CC4168">
            <w:pPr>
              <w:spacing w:after="0"/>
              <w:rPr>
                <w:sz w:val="20"/>
                <w:lang w:val="en-US"/>
              </w:rPr>
            </w:pPr>
            <w:r>
              <w:rPr>
                <w:sz w:val="20"/>
                <w:lang w:val="en-US"/>
              </w:rPr>
              <w:t>Chloroform is used to make HCFC-22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03C54E7" w14:textId="77777777" w:rsidR="0046583A" w:rsidRDefault="0046583A" w:rsidP="00CC4168">
            <w:pPr>
              <w:spacing w:after="0"/>
              <w:rPr>
                <w:sz w:val="20"/>
                <w:lang w:val="en-US"/>
              </w:rPr>
            </w:pPr>
            <w:r>
              <w:rPr>
                <w:sz w:val="20"/>
                <w:lang w:val="en-US"/>
              </w:rPr>
              <w:t>A method of recycling CTC into useful products rather than destruction operated in CMs plant complex</w:t>
            </w:r>
          </w:p>
        </w:tc>
      </w:tr>
      <w:tr w:rsidR="0046583A" w14:paraId="23F28013" w14:textId="77777777" w:rsidTr="00CC4168">
        <w:trPr>
          <w:trHeight w:val="401"/>
        </w:trPr>
        <w:tc>
          <w:tcPr>
            <w:tcW w:w="0" w:type="auto"/>
            <w:tcBorders>
              <w:top w:val="single" w:sz="4" w:space="0" w:color="auto"/>
              <w:left w:val="single" w:sz="4" w:space="0" w:color="auto"/>
              <w:bottom w:val="single" w:sz="4" w:space="0" w:color="auto"/>
              <w:right w:val="single" w:sz="4" w:space="0" w:color="auto"/>
            </w:tcBorders>
            <w:vAlign w:val="center"/>
            <w:hideMark/>
          </w:tcPr>
          <w:p w14:paraId="1A7A29EA" w14:textId="77777777" w:rsidR="0046583A" w:rsidRDefault="0046583A" w:rsidP="00CC4168">
            <w:pPr>
              <w:spacing w:after="0"/>
              <w:rPr>
                <w:sz w:val="20"/>
                <w:lang w:val="en-US"/>
              </w:rPr>
            </w:pPr>
            <w:r>
              <w:rPr>
                <w:sz w:val="20"/>
                <w:lang w:val="en-US"/>
              </w:rPr>
              <w:t>CTC</w:t>
            </w:r>
          </w:p>
        </w:tc>
        <w:tc>
          <w:tcPr>
            <w:tcW w:w="0" w:type="auto"/>
            <w:tcBorders>
              <w:top w:val="single" w:sz="4" w:space="0" w:color="auto"/>
              <w:left w:val="single" w:sz="4" w:space="0" w:color="auto"/>
              <w:bottom w:val="single" w:sz="4" w:space="0" w:color="auto"/>
              <w:right w:val="single" w:sz="4" w:space="0" w:color="auto"/>
            </w:tcBorders>
            <w:vAlign w:val="center"/>
            <w:hideMark/>
          </w:tcPr>
          <w:p w14:paraId="5BA6A570" w14:textId="77777777" w:rsidR="0046583A" w:rsidRDefault="0046583A" w:rsidP="00CC4168">
            <w:pPr>
              <w:spacing w:after="0"/>
              <w:rPr>
                <w:sz w:val="20"/>
                <w:lang w:val="en-US"/>
              </w:rPr>
            </w:pPr>
            <w:r>
              <w:rPr>
                <w:sz w:val="20"/>
                <w:lang w:val="en-US"/>
              </w:rPr>
              <w:t xml:space="preserve">Chlorocarbons including vinyl chloride, chloropropanes and </w:t>
            </w:r>
            <w:proofErr w:type="spellStart"/>
            <w:r>
              <w:rPr>
                <w:sz w:val="20"/>
                <w:lang w:val="en-US"/>
              </w:rPr>
              <w:t>chloropropenes</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232592B4" w14:textId="77777777" w:rsidR="0046583A" w:rsidRDefault="0046583A" w:rsidP="00CC4168">
            <w:pPr>
              <w:spacing w:after="0"/>
              <w:rPr>
                <w:sz w:val="20"/>
                <w:lang w:val="en-US"/>
              </w:rPr>
            </w:pPr>
            <w:r>
              <w:rPr>
                <w:sz w:val="20"/>
                <w:lang w:val="en-US"/>
              </w:rPr>
              <w:t>Feedstocks for production of HFC-245fa and some HFOs and HCFOs: HFO-1234yf, HCFO-1233zd, and HFO-1234ze.</w:t>
            </w:r>
          </w:p>
        </w:tc>
        <w:tc>
          <w:tcPr>
            <w:tcW w:w="0" w:type="auto"/>
            <w:tcBorders>
              <w:top w:val="single" w:sz="4" w:space="0" w:color="auto"/>
              <w:left w:val="single" w:sz="4" w:space="0" w:color="auto"/>
              <w:bottom w:val="single" w:sz="4" w:space="0" w:color="auto"/>
              <w:right w:val="single" w:sz="4" w:space="0" w:color="auto"/>
            </w:tcBorders>
            <w:vAlign w:val="center"/>
            <w:hideMark/>
          </w:tcPr>
          <w:p w14:paraId="7379D522" w14:textId="77777777" w:rsidR="0046583A" w:rsidRDefault="0046583A" w:rsidP="00CC4168">
            <w:pPr>
              <w:spacing w:after="0"/>
              <w:rPr>
                <w:sz w:val="20"/>
                <w:lang w:val="en-US"/>
              </w:rPr>
            </w:pPr>
            <w:r>
              <w:rPr>
                <w:sz w:val="20"/>
                <w:lang w:val="en-US"/>
              </w:rPr>
              <w:t xml:space="preserve">HFOs and HCFOs are ultra-low GWP fluorocarbons used in refrigeration, air conditioning and insulation and production is increasing. </w:t>
            </w:r>
          </w:p>
        </w:tc>
      </w:tr>
      <w:tr w:rsidR="0046583A" w14:paraId="0AA13111" w14:textId="77777777" w:rsidTr="00CC4168">
        <w:trPr>
          <w:trHeight w:val="411"/>
        </w:trPr>
        <w:tc>
          <w:tcPr>
            <w:tcW w:w="0" w:type="auto"/>
            <w:tcBorders>
              <w:top w:val="single" w:sz="4" w:space="0" w:color="auto"/>
              <w:left w:val="single" w:sz="4" w:space="0" w:color="auto"/>
              <w:bottom w:val="single" w:sz="4" w:space="0" w:color="auto"/>
              <w:right w:val="single" w:sz="4" w:space="0" w:color="auto"/>
            </w:tcBorders>
            <w:vAlign w:val="center"/>
            <w:hideMark/>
          </w:tcPr>
          <w:p w14:paraId="29282328" w14:textId="77777777" w:rsidR="0046583A" w:rsidRDefault="0046583A" w:rsidP="00CC4168">
            <w:pPr>
              <w:spacing w:after="0"/>
              <w:rPr>
                <w:sz w:val="20"/>
                <w:lang w:val="en-US"/>
              </w:rPr>
            </w:pPr>
            <w:r>
              <w:rPr>
                <w:sz w:val="20"/>
                <w:lang w:val="en-US"/>
              </w:rPr>
              <w:t>CTC</w:t>
            </w:r>
          </w:p>
        </w:tc>
        <w:tc>
          <w:tcPr>
            <w:tcW w:w="0" w:type="auto"/>
            <w:tcBorders>
              <w:top w:val="single" w:sz="4" w:space="0" w:color="auto"/>
              <w:left w:val="single" w:sz="4" w:space="0" w:color="auto"/>
              <w:bottom w:val="single" w:sz="4" w:space="0" w:color="auto"/>
              <w:right w:val="single" w:sz="4" w:space="0" w:color="auto"/>
            </w:tcBorders>
            <w:vAlign w:val="center"/>
            <w:hideMark/>
          </w:tcPr>
          <w:p w14:paraId="03D98F99" w14:textId="77777777" w:rsidR="0046583A" w:rsidRDefault="0046583A" w:rsidP="00CC4168">
            <w:pPr>
              <w:spacing w:after="0"/>
              <w:rPr>
                <w:sz w:val="20"/>
                <w:lang w:val="en-US"/>
              </w:rPr>
            </w:pPr>
            <w:r>
              <w:rPr>
                <w:sz w:val="20"/>
                <w:lang w:val="en-US"/>
              </w:rPr>
              <w:t>With acrylonitrile, intermediates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4C66A0CC" w14:textId="77777777" w:rsidR="0046583A" w:rsidRDefault="0046583A" w:rsidP="00CC4168">
            <w:pPr>
              <w:spacing w:after="0"/>
              <w:rPr>
                <w:sz w:val="20"/>
                <w:lang w:val="en-US"/>
              </w:rPr>
            </w:pPr>
            <w:r>
              <w:rPr>
                <w:sz w:val="20"/>
                <w:lang w:val="en-US"/>
              </w:rPr>
              <w:t>Pyrethroid pesticides.</w:t>
            </w:r>
          </w:p>
        </w:tc>
        <w:tc>
          <w:tcPr>
            <w:tcW w:w="0" w:type="auto"/>
            <w:tcBorders>
              <w:top w:val="single" w:sz="4" w:space="0" w:color="auto"/>
              <w:left w:val="single" w:sz="4" w:space="0" w:color="auto"/>
              <w:bottom w:val="single" w:sz="4" w:space="0" w:color="auto"/>
              <w:right w:val="single" w:sz="4" w:space="0" w:color="auto"/>
            </w:tcBorders>
            <w:vAlign w:val="center"/>
            <w:hideMark/>
          </w:tcPr>
          <w:p w14:paraId="18337F23" w14:textId="77777777" w:rsidR="0046583A" w:rsidRDefault="0046583A" w:rsidP="00CC4168">
            <w:pPr>
              <w:spacing w:after="0"/>
              <w:rPr>
                <w:sz w:val="20"/>
                <w:lang w:val="en-US"/>
              </w:rPr>
            </w:pPr>
            <w:r>
              <w:rPr>
                <w:sz w:val="20"/>
                <w:lang w:val="en-US"/>
              </w:rPr>
              <w:t>CCl</w:t>
            </w:r>
            <w:r>
              <w:rPr>
                <w:sz w:val="20"/>
                <w:vertAlign w:val="subscript"/>
                <w:lang w:val="en-US"/>
              </w:rPr>
              <w:t>3</w:t>
            </w:r>
            <w:r>
              <w:rPr>
                <w:sz w:val="20"/>
                <w:lang w:val="en-US"/>
              </w:rPr>
              <w:t xml:space="preserve"> groups in molecules of intermediates become =CCl</w:t>
            </w:r>
            <w:r>
              <w:rPr>
                <w:sz w:val="20"/>
                <w:vertAlign w:val="subscript"/>
                <w:lang w:val="en-US"/>
              </w:rPr>
              <w:t>2</w:t>
            </w:r>
            <w:r>
              <w:rPr>
                <w:sz w:val="20"/>
                <w:lang w:val="en-US"/>
              </w:rPr>
              <w:t xml:space="preserve"> groups in pyrethroids.</w:t>
            </w:r>
          </w:p>
        </w:tc>
      </w:tr>
      <w:tr w:rsidR="0046583A" w14:paraId="0CF3C8A4" w14:textId="77777777" w:rsidTr="00CC4168">
        <w:trPr>
          <w:trHeight w:val="219"/>
        </w:trPr>
        <w:tc>
          <w:tcPr>
            <w:tcW w:w="0" w:type="auto"/>
            <w:tcBorders>
              <w:top w:val="single" w:sz="4" w:space="0" w:color="auto"/>
              <w:left w:val="single" w:sz="4" w:space="0" w:color="auto"/>
              <w:bottom w:val="single" w:sz="4" w:space="0" w:color="auto"/>
              <w:right w:val="single" w:sz="4" w:space="0" w:color="auto"/>
            </w:tcBorders>
            <w:vAlign w:val="center"/>
            <w:hideMark/>
          </w:tcPr>
          <w:p w14:paraId="64E41A5D" w14:textId="77777777" w:rsidR="0046583A" w:rsidRDefault="0046583A" w:rsidP="00CC4168">
            <w:pPr>
              <w:spacing w:after="0"/>
              <w:rPr>
                <w:sz w:val="20"/>
                <w:lang w:val="en-US"/>
              </w:rPr>
            </w:pPr>
            <w:r>
              <w:rPr>
                <w:sz w:val="20"/>
                <w:lang w:val="en-US"/>
              </w:rPr>
              <w:t xml:space="preserve">CTC </w:t>
            </w:r>
          </w:p>
        </w:tc>
        <w:tc>
          <w:tcPr>
            <w:tcW w:w="0" w:type="auto"/>
            <w:tcBorders>
              <w:top w:val="single" w:sz="4" w:space="0" w:color="auto"/>
              <w:left w:val="single" w:sz="4" w:space="0" w:color="auto"/>
              <w:bottom w:val="single" w:sz="4" w:space="0" w:color="auto"/>
              <w:right w:val="single" w:sz="4" w:space="0" w:color="auto"/>
            </w:tcBorders>
            <w:vAlign w:val="center"/>
            <w:hideMark/>
          </w:tcPr>
          <w:p w14:paraId="1DD43CAD" w14:textId="77777777" w:rsidR="0046583A" w:rsidRDefault="0046583A" w:rsidP="00CC4168">
            <w:pPr>
              <w:spacing w:after="0"/>
              <w:rPr>
                <w:sz w:val="20"/>
                <w:lang w:val="en-US"/>
              </w:rPr>
            </w:pPr>
            <w:r>
              <w:rPr>
                <w:sz w:val="20"/>
                <w:lang w:val="en-US"/>
              </w:rPr>
              <w:t>With 2-chloropropene - Intermediates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722878FC" w14:textId="77777777" w:rsidR="0046583A" w:rsidRDefault="0046583A" w:rsidP="00CC4168">
            <w:pPr>
              <w:spacing w:after="0"/>
              <w:rPr>
                <w:sz w:val="20"/>
                <w:lang w:val="en-US"/>
              </w:rPr>
            </w:pPr>
            <w:r>
              <w:rPr>
                <w:sz w:val="20"/>
                <w:lang w:val="en-US"/>
              </w:rPr>
              <w:t>Production of HFC-365mfc</w:t>
            </w:r>
          </w:p>
        </w:tc>
        <w:tc>
          <w:tcPr>
            <w:tcW w:w="0" w:type="auto"/>
            <w:tcBorders>
              <w:top w:val="single" w:sz="4" w:space="0" w:color="auto"/>
              <w:left w:val="single" w:sz="4" w:space="0" w:color="auto"/>
              <w:bottom w:val="single" w:sz="4" w:space="0" w:color="auto"/>
              <w:right w:val="single" w:sz="4" w:space="0" w:color="auto"/>
            </w:tcBorders>
            <w:vAlign w:val="center"/>
          </w:tcPr>
          <w:p w14:paraId="15B647F9" w14:textId="77777777" w:rsidR="0046583A" w:rsidRDefault="0046583A" w:rsidP="00CC4168">
            <w:pPr>
              <w:spacing w:after="0"/>
              <w:rPr>
                <w:sz w:val="20"/>
                <w:lang w:val="en-US"/>
              </w:rPr>
            </w:pPr>
          </w:p>
        </w:tc>
      </w:tr>
      <w:tr w:rsidR="0046583A" w14:paraId="69348204" w14:textId="77777777" w:rsidTr="00CC4168">
        <w:trPr>
          <w:trHeight w:val="279"/>
        </w:trPr>
        <w:tc>
          <w:tcPr>
            <w:tcW w:w="0" w:type="auto"/>
            <w:tcBorders>
              <w:top w:val="single" w:sz="4" w:space="0" w:color="auto"/>
              <w:left w:val="single" w:sz="4" w:space="0" w:color="auto"/>
              <w:bottom w:val="single" w:sz="4" w:space="0" w:color="auto"/>
              <w:right w:val="single" w:sz="4" w:space="0" w:color="auto"/>
            </w:tcBorders>
            <w:vAlign w:val="center"/>
            <w:hideMark/>
          </w:tcPr>
          <w:p w14:paraId="7F65035B" w14:textId="77777777" w:rsidR="0046583A" w:rsidRDefault="0046583A" w:rsidP="00CC4168">
            <w:pPr>
              <w:spacing w:after="0"/>
              <w:rPr>
                <w:sz w:val="20"/>
                <w:lang w:val="en-US"/>
              </w:rPr>
            </w:pPr>
            <w:r>
              <w:rPr>
                <w:sz w:val="20"/>
                <w:lang w:val="en-US"/>
              </w:rPr>
              <w:t xml:space="preserve">CTC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3EBAB5" w14:textId="77777777" w:rsidR="0046583A" w:rsidRDefault="0046583A" w:rsidP="00CC4168">
            <w:pPr>
              <w:spacing w:after="0"/>
              <w:rPr>
                <w:sz w:val="20"/>
                <w:lang w:val="en-US"/>
              </w:rPr>
            </w:pPr>
            <w:r>
              <w:rPr>
                <w:sz w:val="20"/>
                <w:lang w:val="en-US"/>
              </w:rPr>
              <w:t>With vinylidene chloride - Intermediates</w:t>
            </w:r>
          </w:p>
        </w:tc>
        <w:tc>
          <w:tcPr>
            <w:tcW w:w="0" w:type="auto"/>
            <w:tcBorders>
              <w:top w:val="single" w:sz="4" w:space="0" w:color="auto"/>
              <w:left w:val="single" w:sz="4" w:space="0" w:color="auto"/>
              <w:bottom w:val="single" w:sz="4" w:space="0" w:color="auto"/>
              <w:right w:val="single" w:sz="4" w:space="0" w:color="auto"/>
            </w:tcBorders>
            <w:vAlign w:val="center"/>
            <w:hideMark/>
          </w:tcPr>
          <w:p w14:paraId="3E8DAD50" w14:textId="77777777" w:rsidR="0046583A" w:rsidRDefault="0046583A" w:rsidP="00CC4168">
            <w:pPr>
              <w:spacing w:after="0"/>
              <w:rPr>
                <w:sz w:val="20"/>
                <w:lang w:val="en-US"/>
              </w:rPr>
            </w:pPr>
            <w:r>
              <w:rPr>
                <w:sz w:val="20"/>
                <w:lang w:val="en-US"/>
              </w:rPr>
              <w:t>Production of HFC-236fa</w:t>
            </w:r>
          </w:p>
        </w:tc>
        <w:tc>
          <w:tcPr>
            <w:tcW w:w="0" w:type="auto"/>
            <w:tcBorders>
              <w:top w:val="single" w:sz="4" w:space="0" w:color="auto"/>
              <w:left w:val="single" w:sz="4" w:space="0" w:color="auto"/>
              <w:bottom w:val="single" w:sz="4" w:space="0" w:color="auto"/>
              <w:right w:val="single" w:sz="4" w:space="0" w:color="auto"/>
            </w:tcBorders>
            <w:vAlign w:val="center"/>
          </w:tcPr>
          <w:p w14:paraId="5C3E9DB1" w14:textId="77777777" w:rsidR="0046583A" w:rsidRDefault="0046583A" w:rsidP="00CC4168">
            <w:pPr>
              <w:spacing w:after="0"/>
              <w:rPr>
                <w:sz w:val="20"/>
                <w:lang w:val="en-US"/>
              </w:rPr>
            </w:pPr>
          </w:p>
        </w:tc>
      </w:tr>
      <w:tr w:rsidR="0046583A" w14:paraId="3F2E8059" w14:textId="77777777" w:rsidTr="00CC4168">
        <w:trPr>
          <w:trHeight w:val="459"/>
        </w:trPr>
        <w:tc>
          <w:tcPr>
            <w:tcW w:w="0" w:type="auto"/>
            <w:tcBorders>
              <w:top w:val="single" w:sz="4" w:space="0" w:color="auto"/>
              <w:left w:val="single" w:sz="4" w:space="0" w:color="auto"/>
              <w:bottom w:val="single" w:sz="4" w:space="0" w:color="auto"/>
              <w:right w:val="single" w:sz="4" w:space="0" w:color="auto"/>
            </w:tcBorders>
            <w:vAlign w:val="center"/>
            <w:hideMark/>
          </w:tcPr>
          <w:p w14:paraId="1E6CB0D1" w14:textId="77777777" w:rsidR="0046583A" w:rsidRDefault="0046583A" w:rsidP="00CC4168">
            <w:pPr>
              <w:spacing w:after="0"/>
              <w:rPr>
                <w:sz w:val="20"/>
                <w:lang w:val="en-US"/>
              </w:rPr>
            </w:pPr>
            <w:r>
              <w:rPr>
                <w:sz w:val="20"/>
                <w:lang w:val="en-US"/>
              </w:rPr>
              <w:lastRenderedPageBreak/>
              <w:t>CTC</w:t>
            </w:r>
          </w:p>
        </w:tc>
        <w:tc>
          <w:tcPr>
            <w:tcW w:w="0" w:type="auto"/>
            <w:tcBorders>
              <w:top w:val="single" w:sz="4" w:space="0" w:color="auto"/>
              <w:left w:val="single" w:sz="4" w:space="0" w:color="auto"/>
              <w:bottom w:val="single" w:sz="4" w:space="0" w:color="auto"/>
              <w:right w:val="single" w:sz="4" w:space="0" w:color="auto"/>
            </w:tcBorders>
            <w:vAlign w:val="center"/>
            <w:hideMark/>
          </w:tcPr>
          <w:p w14:paraId="4AC801D7" w14:textId="77777777" w:rsidR="0046583A" w:rsidRDefault="0046583A" w:rsidP="00CC4168">
            <w:pPr>
              <w:spacing w:after="0"/>
              <w:rPr>
                <w:sz w:val="20"/>
                <w:lang w:val="en-US"/>
              </w:rPr>
            </w:pPr>
            <w:r>
              <w:rPr>
                <w:sz w:val="20"/>
                <w:lang w:val="en-US"/>
              </w:rPr>
              <w:t xml:space="preserve">With benzene to make </w:t>
            </w:r>
            <w:proofErr w:type="spellStart"/>
            <w:r>
              <w:rPr>
                <w:sz w:val="20"/>
                <w:lang w:val="en-US"/>
              </w:rPr>
              <w:t>triphenylchloromethane</w:t>
            </w:r>
            <w:proofErr w:type="spellEnd"/>
            <w:r>
              <w:rPr>
                <w:sz w:val="20"/>
                <w:lang w:val="en-US"/>
              </w:rPr>
              <w:t xml:space="preserve"> (trityl chloride)</w:t>
            </w:r>
          </w:p>
        </w:tc>
        <w:tc>
          <w:tcPr>
            <w:tcW w:w="0" w:type="auto"/>
            <w:tcBorders>
              <w:top w:val="single" w:sz="4" w:space="0" w:color="auto"/>
              <w:left w:val="single" w:sz="4" w:space="0" w:color="auto"/>
              <w:bottom w:val="single" w:sz="4" w:space="0" w:color="auto"/>
              <w:right w:val="single" w:sz="4" w:space="0" w:color="auto"/>
            </w:tcBorders>
            <w:vAlign w:val="center"/>
            <w:hideMark/>
          </w:tcPr>
          <w:p w14:paraId="75FB6C9E" w14:textId="77777777" w:rsidR="0046583A" w:rsidRDefault="0046583A" w:rsidP="00CC4168">
            <w:pPr>
              <w:spacing w:after="0"/>
              <w:rPr>
                <w:sz w:val="20"/>
                <w:lang w:val="en-US"/>
              </w:rPr>
            </w:pPr>
            <w:r>
              <w:rPr>
                <w:sz w:val="20"/>
                <w:lang w:val="en-US"/>
              </w:rPr>
              <w:t>Intermediate for dyes and pharmaceuticals such as antiviral drugs</w:t>
            </w:r>
          </w:p>
        </w:tc>
        <w:tc>
          <w:tcPr>
            <w:tcW w:w="0" w:type="auto"/>
            <w:tcBorders>
              <w:top w:val="single" w:sz="4" w:space="0" w:color="auto"/>
              <w:left w:val="single" w:sz="4" w:space="0" w:color="auto"/>
              <w:bottom w:val="single" w:sz="4" w:space="0" w:color="auto"/>
              <w:right w:val="single" w:sz="4" w:space="0" w:color="auto"/>
            </w:tcBorders>
            <w:vAlign w:val="center"/>
            <w:hideMark/>
          </w:tcPr>
          <w:p w14:paraId="4982EF98" w14:textId="77777777" w:rsidR="0046583A" w:rsidRDefault="0046583A" w:rsidP="00CC4168">
            <w:pPr>
              <w:spacing w:after="0"/>
              <w:rPr>
                <w:sz w:val="20"/>
                <w:lang w:val="en-US"/>
              </w:rPr>
            </w:pPr>
            <w:r>
              <w:rPr>
                <w:sz w:val="20"/>
                <w:lang w:val="en-US"/>
              </w:rPr>
              <w:t xml:space="preserve">Trityl chloride is an efficient tritylation agent. </w:t>
            </w:r>
          </w:p>
        </w:tc>
      </w:tr>
      <w:tr w:rsidR="0046583A" w14:paraId="7993B16F" w14:textId="77777777" w:rsidTr="00CC4168">
        <w:trPr>
          <w:trHeight w:val="459"/>
        </w:trPr>
        <w:tc>
          <w:tcPr>
            <w:tcW w:w="0" w:type="auto"/>
            <w:tcBorders>
              <w:top w:val="single" w:sz="4" w:space="0" w:color="auto"/>
              <w:left w:val="single" w:sz="4" w:space="0" w:color="auto"/>
              <w:bottom w:val="single" w:sz="4" w:space="0" w:color="auto"/>
              <w:right w:val="single" w:sz="4" w:space="0" w:color="auto"/>
            </w:tcBorders>
            <w:vAlign w:val="center"/>
            <w:hideMark/>
          </w:tcPr>
          <w:p w14:paraId="75FE9FE9" w14:textId="77777777" w:rsidR="0046583A" w:rsidRDefault="0046583A" w:rsidP="00CC4168">
            <w:pPr>
              <w:spacing w:after="0"/>
              <w:rPr>
                <w:sz w:val="20"/>
                <w:lang w:val="en-US"/>
              </w:rPr>
            </w:pPr>
            <w:r>
              <w:rPr>
                <w:sz w:val="20"/>
                <w:lang w:val="en-US"/>
              </w:rPr>
              <w:t>CTC</w:t>
            </w:r>
          </w:p>
        </w:tc>
        <w:tc>
          <w:tcPr>
            <w:tcW w:w="0" w:type="auto"/>
            <w:tcBorders>
              <w:top w:val="single" w:sz="4" w:space="0" w:color="auto"/>
              <w:left w:val="single" w:sz="4" w:space="0" w:color="auto"/>
              <w:bottom w:val="single" w:sz="4" w:space="0" w:color="auto"/>
              <w:right w:val="single" w:sz="4" w:space="0" w:color="auto"/>
            </w:tcBorders>
            <w:vAlign w:val="center"/>
            <w:hideMark/>
          </w:tcPr>
          <w:p w14:paraId="444995B8" w14:textId="77777777" w:rsidR="0046583A" w:rsidRDefault="0046583A" w:rsidP="00CC4168">
            <w:pPr>
              <w:spacing w:after="0"/>
              <w:rPr>
                <w:sz w:val="20"/>
                <w:lang w:val="en-US"/>
              </w:rPr>
            </w:pPr>
            <w:r>
              <w:rPr>
                <w:sz w:val="20"/>
                <w:lang w:val="en-US"/>
              </w:rPr>
              <w:t>With 1,3-dichloro-4-fluorobenzene to make 2,4-dichloro-5-fluorobenzoyl chloride (DCFBC)</w:t>
            </w:r>
          </w:p>
        </w:tc>
        <w:tc>
          <w:tcPr>
            <w:tcW w:w="0" w:type="auto"/>
            <w:tcBorders>
              <w:top w:val="single" w:sz="4" w:space="0" w:color="auto"/>
              <w:left w:val="single" w:sz="4" w:space="0" w:color="auto"/>
              <w:bottom w:val="single" w:sz="4" w:space="0" w:color="auto"/>
              <w:right w:val="single" w:sz="4" w:space="0" w:color="auto"/>
            </w:tcBorders>
            <w:vAlign w:val="center"/>
            <w:hideMark/>
          </w:tcPr>
          <w:p w14:paraId="56019939" w14:textId="77777777" w:rsidR="0046583A" w:rsidRDefault="0046583A" w:rsidP="00CC4168">
            <w:pPr>
              <w:spacing w:after="0"/>
              <w:rPr>
                <w:sz w:val="20"/>
                <w:lang w:val="en-US"/>
              </w:rPr>
            </w:pPr>
            <w:r>
              <w:rPr>
                <w:sz w:val="20"/>
                <w:lang w:val="en-US"/>
              </w:rPr>
              <w:t>Intermediate for example in the synthesis of highly active antibacterial agent ciprofloxacin</w:t>
            </w:r>
          </w:p>
        </w:tc>
        <w:tc>
          <w:tcPr>
            <w:tcW w:w="0" w:type="auto"/>
            <w:tcBorders>
              <w:top w:val="single" w:sz="4" w:space="0" w:color="auto"/>
              <w:left w:val="single" w:sz="4" w:space="0" w:color="auto"/>
              <w:bottom w:val="single" w:sz="4" w:space="0" w:color="auto"/>
              <w:right w:val="single" w:sz="4" w:space="0" w:color="auto"/>
            </w:tcBorders>
            <w:vAlign w:val="center"/>
          </w:tcPr>
          <w:p w14:paraId="165FF055" w14:textId="77777777" w:rsidR="0046583A" w:rsidRDefault="0046583A" w:rsidP="00CC4168">
            <w:pPr>
              <w:spacing w:after="0"/>
              <w:rPr>
                <w:sz w:val="20"/>
                <w:lang w:val="en-US"/>
              </w:rPr>
            </w:pPr>
          </w:p>
        </w:tc>
      </w:tr>
      <w:tr w:rsidR="0046583A" w14:paraId="6F507452" w14:textId="77777777" w:rsidTr="00CC4168">
        <w:trPr>
          <w:trHeight w:val="459"/>
        </w:trPr>
        <w:tc>
          <w:tcPr>
            <w:tcW w:w="0" w:type="auto"/>
            <w:tcBorders>
              <w:top w:val="single" w:sz="4" w:space="0" w:color="auto"/>
              <w:left w:val="single" w:sz="4" w:space="0" w:color="auto"/>
              <w:bottom w:val="single" w:sz="4" w:space="0" w:color="auto"/>
              <w:right w:val="single" w:sz="4" w:space="0" w:color="auto"/>
            </w:tcBorders>
            <w:vAlign w:val="center"/>
            <w:hideMark/>
          </w:tcPr>
          <w:p w14:paraId="320AF73F" w14:textId="77777777" w:rsidR="0046583A" w:rsidRDefault="0046583A" w:rsidP="00CC4168">
            <w:pPr>
              <w:spacing w:after="0"/>
              <w:rPr>
                <w:sz w:val="20"/>
                <w:lang w:val="en-US"/>
              </w:rPr>
            </w:pPr>
            <w:r>
              <w:rPr>
                <w:sz w:val="20"/>
                <w:lang w:val="en-US"/>
              </w:rPr>
              <w:t>CTC</w:t>
            </w:r>
          </w:p>
        </w:tc>
        <w:tc>
          <w:tcPr>
            <w:tcW w:w="0" w:type="auto"/>
            <w:tcBorders>
              <w:top w:val="single" w:sz="4" w:space="0" w:color="auto"/>
              <w:left w:val="single" w:sz="4" w:space="0" w:color="auto"/>
              <w:bottom w:val="single" w:sz="4" w:space="0" w:color="auto"/>
              <w:right w:val="single" w:sz="4" w:space="0" w:color="auto"/>
            </w:tcBorders>
            <w:vAlign w:val="center"/>
            <w:hideMark/>
          </w:tcPr>
          <w:p w14:paraId="69BBF28B" w14:textId="77777777" w:rsidR="0046583A" w:rsidRDefault="0046583A" w:rsidP="00CC4168">
            <w:pPr>
              <w:spacing w:after="0"/>
              <w:rPr>
                <w:sz w:val="20"/>
                <w:lang w:val="en-US"/>
              </w:rPr>
            </w:pPr>
            <w:r>
              <w:rPr>
                <w:sz w:val="20"/>
                <w:lang w:val="en-US"/>
              </w:rPr>
              <w:t>With methyl 3,3-dimethyl-4-pentenoate to produce methyl 4,6,6,6-tetrachloro-3,3-dimethylhexanoate</w:t>
            </w:r>
          </w:p>
        </w:tc>
        <w:tc>
          <w:tcPr>
            <w:tcW w:w="0" w:type="auto"/>
            <w:tcBorders>
              <w:top w:val="single" w:sz="4" w:space="0" w:color="auto"/>
              <w:left w:val="single" w:sz="4" w:space="0" w:color="auto"/>
              <w:bottom w:val="single" w:sz="4" w:space="0" w:color="auto"/>
              <w:right w:val="single" w:sz="4" w:space="0" w:color="auto"/>
            </w:tcBorders>
            <w:vAlign w:val="center"/>
          </w:tcPr>
          <w:p w14:paraId="6A54A359"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4C0B79E7" w14:textId="77777777" w:rsidR="0046583A" w:rsidRDefault="0046583A" w:rsidP="00CC4168">
            <w:pPr>
              <w:spacing w:after="0"/>
              <w:rPr>
                <w:sz w:val="20"/>
                <w:lang w:val="en-US"/>
              </w:rPr>
            </w:pPr>
          </w:p>
        </w:tc>
      </w:tr>
      <w:tr w:rsidR="0046583A" w14:paraId="2A763C40" w14:textId="77777777" w:rsidTr="00CC4168">
        <w:trPr>
          <w:trHeight w:val="459"/>
        </w:trPr>
        <w:tc>
          <w:tcPr>
            <w:tcW w:w="0" w:type="auto"/>
            <w:tcBorders>
              <w:top w:val="single" w:sz="4" w:space="0" w:color="auto"/>
              <w:left w:val="single" w:sz="4" w:space="0" w:color="auto"/>
              <w:bottom w:val="single" w:sz="4" w:space="0" w:color="auto"/>
              <w:right w:val="single" w:sz="4" w:space="0" w:color="auto"/>
            </w:tcBorders>
            <w:vAlign w:val="center"/>
            <w:hideMark/>
          </w:tcPr>
          <w:p w14:paraId="7C8B7315" w14:textId="77777777" w:rsidR="0046583A" w:rsidRDefault="0046583A" w:rsidP="00CC4168">
            <w:pPr>
              <w:spacing w:after="0"/>
              <w:rPr>
                <w:sz w:val="20"/>
                <w:lang w:val="en-US"/>
              </w:rPr>
            </w:pPr>
            <w:r>
              <w:rPr>
                <w:sz w:val="20"/>
                <w:lang w:val="en-US"/>
              </w:rPr>
              <w:t>1,1,1-trichloroethane</w:t>
            </w:r>
          </w:p>
        </w:tc>
        <w:tc>
          <w:tcPr>
            <w:tcW w:w="0" w:type="auto"/>
            <w:tcBorders>
              <w:top w:val="single" w:sz="4" w:space="0" w:color="auto"/>
              <w:left w:val="single" w:sz="4" w:space="0" w:color="auto"/>
              <w:bottom w:val="single" w:sz="4" w:space="0" w:color="auto"/>
              <w:right w:val="single" w:sz="4" w:space="0" w:color="auto"/>
            </w:tcBorders>
            <w:vAlign w:val="center"/>
            <w:hideMark/>
          </w:tcPr>
          <w:p w14:paraId="0CCAF23B" w14:textId="77777777" w:rsidR="0046583A" w:rsidRDefault="0046583A" w:rsidP="00CC4168">
            <w:pPr>
              <w:spacing w:after="0"/>
              <w:rPr>
                <w:sz w:val="20"/>
                <w:lang w:val="en-US"/>
              </w:rPr>
            </w:pPr>
            <w:r>
              <w:rPr>
                <w:sz w:val="20"/>
                <w:lang w:val="en-US"/>
              </w:rPr>
              <w:t>HCFC-141b, -142b, and HFC-143a</w:t>
            </w:r>
          </w:p>
        </w:tc>
        <w:tc>
          <w:tcPr>
            <w:tcW w:w="0" w:type="auto"/>
            <w:tcBorders>
              <w:top w:val="single" w:sz="4" w:space="0" w:color="auto"/>
              <w:left w:val="single" w:sz="4" w:space="0" w:color="auto"/>
              <w:bottom w:val="single" w:sz="4" w:space="0" w:color="auto"/>
              <w:right w:val="single" w:sz="4" w:space="0" w:color="auto"/>
            </w:tcBorders>
            <w:vAlign w:val="center"/>
          </w:tcPr>
          <w:p w14:paraId="60BB6FD0"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1BD691D" w14:textId="77777777" w:rsidR="0046583A" w:rsidRDefault="0046583A" w:rsidP="00CC4168">
            <w:pPr>
              <w:spacing w:after="0"/>
              <w:rPr>
                <w:sz w:val="20"/>
                <w:lang w:val="en-US"/>
              </w:rPr>
            </w:pPr>
            <w:r>
              <w:rPr>
                <w:sz w:val="20"/>
                <w:lang w:val="en-US"/>
              </w:rPr>
              <w:t>Note that an alternative process uses 1,1-dichloroethylene (vinylidene chloride, VDC) as feedstock; VDC is not an ODS.</w:t>
            </w:r>
          </w:p>
        </w:tc>
      </w:tr>
      <w:tr w:rsidR="0046583A" w14:paraId="77BABCD2" w14:textId="77777777" w:rsidTr="00CC4168">
        <w:trPr>
          <w:trHeight w:val="207"/>
        </w:trPr>
        <w:tc>
          <w:tcPr>
            <w:tcW w:w="0" w:type="auto"/>
            <w:tcBorders>
              <w:top w:val="single" w:sz="4" w:space="0" w:color="auto"/>
              <w:left w:val="single" w:sz="4" w:space="0" w:color="auto"/>
              <w:bottom w:val="single" w:sz="4" w:space="0" w:color="auto"/>
              <w:right w:val="single" w:sz="4" w:space="0" w:color="auto"/>
            </w:tcBorders>
            <w:vAlign w:val="center"/>
            <w:hideMark/>
          </w:tcPr>
          <w:p w14:paraId="14F23E5E" w14:textId="77777777" w:rsidR="0046583A" w:rsidRDefault="0046583A" w:rsidP="00CC4168">
            <w:pPr>
              <w:spacing w:after="0"/>
              <w:rPr>
                <w:sz w:val="20"/>
                <w:lang w:val="en-US"/>
              </w:rPr>
            </w:pPr>
            <w:r>
              <w:rPr>
                <w:sz w:val="20"/>
                <w:lang w:val="en-US"/>
              </w:rPr>
              <w:t>HCFC-21</w:t>
            </w:r>
          </w:p>
        </w:tc>
        <w:tc>
          <w:tcPr>
            <w:tcW w:w="0" w:type="auto"/>
            <w:tcBorders>
              <w:top w:val="single" w:sz="4" w:space="0" w:color="auto"/>
              <w:left w:val="single" w:sz="4" w:space="0" w:color="auto"/>
              <w:bottom w:val="single" w:sz="4" w:space="0" w:color="auto"/>
              <w:right w:val="single" w:sz="4" w:space="0" w:color="auto"/>
            </w:tcBorders>
            <w:vAlign w:val="center"/>
            <w:hideMark/>
          </w:tcPr>
          <w:p w14:paraId="2C4F4AD5" w14:textId="77777777" w:rsidR="0046583A" w:rsidRDefault="0046583A" w:rsidP="00CC4168">
            <w:pPr>
              <w:spacing w:after="0"/>
              <w:rPr>
                <w:sz w:val="20"/>
                <w:lang w:val="en-US"/>
              </w:rPr>
            </w:pPr>
            <w:r>
              <w:rPr>
                <w:sz w:val="20"/>
                <w:lang w:val="en-US"/>
              </w:rPr>
              <w:t>HCFC-225 isomers</w:t>
            </w:r>
          </w:p>
        </w:tc>
        <w:tc>
          <w:tcPr>
            <w:tcW w:w="0" w:type="auto"/>
            <w:tcBorders>
              <w:top w:val="single" w:sz="4" w:space="0" w:color="auto"/>
              <w:left w:val="single" w:sz="4" w:space="0" w:color="auto"/>
              <w:bottom w:val="single" w:sz="4" w:space="0" w:color="auto"/>
              <w:right w:val="single" w:sz="4" w:space="0" w:color="auto"/>
            </w:tcBorders>
            <w:vAlign w:val="center"/>
          </w:tcPr>
          <w:p w14:paraId="78F68712"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4A8B880" w14:textId="77777777" w:rsidR="0046583A" w:rsidRDefault="0046583A" w:rsidP="00CC4168">
            <w:pPr>
              <w:spacing w:after="0"/>
              <w:rPr>
                <w:sz w:val="20"/>
                <w:lang w:val="en-US"/>
              </w:rPr>
            </w:pPr>
            <w:r>
              <w:rPr>
                <w:sz w:val="20"/>
                <w:lang w:val="en-US"/>
              </w:rPr>
              <w:t>Reaction of TFE with HCFC-21 to give HCFC-225 isomers. Product used as a solvent or intermediate</w:t>
            </w:r>
          </w:p>
        </w:tc>
      </w:tr>
      <w:tr w:rsidR="0046583A" w14:paraId="76E7A7E4" w14:textId="77777777" w:rsidTr="00CC4168">
        <w:trPr>
          <w:trHeight w:val="207"/>
        </w:trPr>
        <w:tc>
          <w:tcPr>
            <w:tcW w:w="0" w:type="auto"/>
            <w:tcBorders>
              <w:top w:val="single" w:sz="4" w:space="0" w:color="auto"/>
              <w:left w:val="single" w:sz="4" w:space="0" w:color="auto"/>
              <w:bottom w:val="single" w:sz="4" w:space="0" w:color="auto"/>
              <w:right w:val="single" w:sz="4" w:space="0" w:color="auto"/>
            </w:tcBorders>
            <w:vAlign w:val="center"/>
            <w:hideMark/>
          </w:tcPr>
          <w:p w14:paraId="51EAB894" w14:textId="77777777" w:rsidR="0046583A" w:rsidRDefault="0046583A" w:rsidP="00CC4168">
            <w:pPr>
              <w:spacing w:after="0"/>
              <w:rPr>
                <w:sz w:val="20"/>
                <w:lang w:val="en-US"/>
              </w:rPr>
            </w:pPr>
            <w:r>
              <w:rPr>
                <w:sz w:val="20"/>
                <w:lang w:val="en-US"/>
              </w:rPr>
              <w:t>HCFC-225ca</w:t>
            </w:r>
          </w:p>
        </w:tc>
        <w:tc>
          <w:tcPr>
            <w:tcW w:w="0" w:type="auto"/>
            <w:tcBorders>
              <w:top w:val="single" w:sz="4" w:space="0" w:color="auto"/>
              <w:left w:val="single" w:sz="4" w:space="0" w:color="auto"/>
              <w:bottom w:val="single" w:sz="4" w:space="0" w:color="auto"/>
              <w:right w:val="single" w:sz="4" w:space="0" w:color="auto"/>
            </w:tcBorders>
            <w:vAlign w:val="center"/>
            <w:hideMark/>
          </w:tcPr>
          <w:p w14:paraId="34B7DC02" w14:textId="77777777" w:rsidR="0046583A" w:rsidRDefault="0046583A" w:rsidP="00CC4168">
            <w:pPr>
              <w:spacing w:after="0"/>
              <w:rPr>
                <w:sz w:val="20"/>
                <w:lang w:val="en-US"/>
              </w:rPr>
            </w:pPr>
            <w:r>
              <w:rPr>
                <w:sz w:val="20"/>
                <w:lang w:val="en-US"/>
              </w:rPr>
              <w:t>HFO-1234yf and HCFO-1224yd</w:t>
            </w:r>
          </w:p>
        </w:tc>
        <w:tc>
          <w:tcPr>
            <w:tcW w:w="0" w:type="auto"/>
            <w:tcBorders>
              <w:top w:val="single" w:sz="4" w:space="0" w:color="auto"/>
              <w:left w:val="single" w:sz="4" w:space="0" w:color="auto"/>
              <w:bottom w:val="single" w:sz="4" w:space="0" w:color="auto"/>
              <w:right w:val="single" w:sz="4" w:space="0" w:color="auto"/>
            </w:tcBorders>
            <w:vAlign w:val="center"/>
          </w:tcPr>
          <w:p w14:paraId="0C801531"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8B9B1D3" w14:textId="77777777" w:rsidR="0046583A" w:rsidRDefault="0046583A" w:rsidP="00CC4168">
            <w:pPr>
              <w:spacing w:after="0"/>
              <w:rPr>
                <w:sz w:val="20"/>
                <w:lang w:val="en-US"/>
              </w:rPr>
            </w:pPr>
            <w:r>
              <w:rPr>
                <w:sz w:val="20"/>
                <w:lang w:val="en-US"/>
              </w:rPr>
              <w:t>HCFC-225 (produced from TFE and HCFC-21) can be further reacted to produce HFO-1234yf and HCFO-1224yd</w:t>
            </w:r>
          </w:p>
        </w:tc>
      </w:tr>
      <w:tr w:rsidR="0046583A" w14:paraId="158ADFB1" w14:textId="77777777" w:rsidTr="00CC4168">
        <w:trPr>
          <w:trHeight w:val="267"/>
        </w:trPr>
        <w:tc>
          <w:tcPr>
            <w:tcW w:w="0" w:type="auto"/>
            <w:tcBorders>
              <w:top w:val="single" w:sz="4" w:space="0" w:color="auto"/>
              <w:left w:val="single" w:sz="4" w:space="0" w:color="auto"/>
              <w:bottom w:val="single" w:sz="4" w:space="0" w:color="auto"/>
              <w:right w:val="single" w:sz="4" w:space="0" w:color="auto"/>
            </w:tcBorders>
            <w:vAlign w:val="center"/>
            <w:hideMark/>
          </w:tcPr>
          <w:p w14:paraId="3020D788" w14:textId="77777777" w:rsidR="0046583A" w:rsidRDefault="0046583A" w:rsidP="00CC4168">
            <w:pPr>
              <w:spacing w:after="0"/>
              <w:rPr>
                <w:sz w:val="20"/>
                <w:lang w:val="en-US"/>
              </w:rPr>
            </w:pPr>
            <w:r>
              <w:rPr>
                <w:sz w:val="20"/>
                <w:lang w:val="en-US"/>
              </w:rPr>
              <w:t>HCFC-22</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94010" w14:textId="77777777" w:rsidR="0046583A" w:rsidRDefault="0046583A" w:rsidP="00CC4168">
            <w:pPr>
              <w:spacing w:after="0"/>
              <w:rPr>
                <w:sz w:val="20"/>
                <w:lang w:val="en-US"/>
              </w:rPr>
            </w:pPr>
            <w:r>
              <w:rPr>
                <w:sz w:val="20"/>
                <w:lang w:val="en-US"/>
              </w:rPr>
              <w:t>Tetrafluoroethylene (TFE, HFO-1114)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31BA6D7" w14:textId="77777777" w:rsidR="0046583A" w:rsidRDefault="0046583A" w:rsidP="00CC4168">
            <w:pPr>
              <w:spacing w:after="0"/>
              <w:rPr>
                <w:sz w:val="20"/>
                <w:lang w:val="en-US"/>
              </w:rPr>
            </w:pPr>
            <w:r>
              <w:rPr>
                <w:sz w:val="20"/>
                <w:lang w:val="en-US"/>
              </w:rPr>
              <w:t>Polymerized to homopolymer (PTFE) and also co-polymers.</w:t>
            </w:r>
          </w:p>
          <w:p w14:paraId="66DC57DA" w14:textId="77777777" w:rsidR="0046583A" w:rsidRDefault="0046583A" w:rsidP="00CC4168">
            <w:pPr>
              <w:spacing w:after="0"/>
              <w:rPr>
                <w:sz w:val="20"/>
                <w:lang w:val="en-US"/>
              </w:rPr>
            </w:pPr>
            <w:r>
              <w:rPr>
                <w:sz w:val="20"/>
                <w:lang w:val="en-US"/>
              </w:rPr>
              <w:t>Route to HFC-125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3268E" w14:textId="77777777" w:rsidR="0046583A" w:rsidRDefault="0046583A" w:rsidP="00CC4168">
            <w:pPr>
              <w:spacing w:after="0"/>
              <w:rPr>
                <w:sz w:val="20"/>
                <w:lang w:val="en-US"/>
              </w:rPr>
            </w:pPr>
            <w:r>
              <w:rPr>
                <w:sz w:val="20"/>
                <w:lang w:val="en-US"/>
              </w:rPr>
              <w:t>Very high-volume use. Work has been done for decades to find an alternative commercial route to TFE, without success.</w:t>
            </w:r>
          </w:p>
        </w:tc>
      </w:tr>
      <w:tr w:rsidR="0046583A" w14:paraId="5C02C690" w14:textId="77777777" w:rsidTr="00CC4168">
        <w:trPr>
          <w:trHeight w:val="267"/>
        </w:trPr>
        <w:tc>
          <w:tcPr>
            <w:tcW w:w="0" w:type="auto"/>
            <w:tcBorders>
              <w:top w:val="single" w:sz="4" w:space="0" w:color="auto"/>
              <w:left w:val="single" w:sz="4" w:space="0" w:color="auto"/>
              <w:bottom w:val="single" w:sz="4" w:space="0" w:color="auto"/>
              <w:right w:val="single" w:sz="4" w:space="0" w:color="auto"/>
            </w:tcBorders>
            <w:vAlign w:val="center"/>
            <w:hideMark/>
          </w:tcPr>
          <w:p w14:paraId="0BB4556E" w14:textId="77777777" w:rsidR="0046583A" w:rsidRDefault="0046583A" w:rsidP="00CC4168">
            <w:pPr>
              <w:spacing w:after="0"/>
              <w:rPr>
                <w:sz w:val="20"/>
                <w:lang w:val="en-US"/>
              </w:rPr>
            </w:pPr>
            <w:r>
              <w:rPr>
                <w:sz w:val="20"/>
                <w:lang w:val="en-US"/>
              </w:rPr>
              <w:t>HCFC-22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03E256B" w14:textId="77777777" w:rsidR="0046583A" w:rsidRDefault="0046583A" w:rsidP="00CC4168">
            <w:pPr>
              <w:spacing w:after="0"/>
              <w:rPr>
                <w:sz w:val="20"/>
                <w:lang w:val="en-US"/>
              </w:rPr>
            </w:pPr>
            <w:r>
              <w:rPr>
                <w:sz w:val="20"/>
                <w:lang w:val="en-US"/>
              </w:rPr>
              <w:t>Hexafluoropropylene (HFP, HFO-1216)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B2E4627" w14:textId="77777777" w:rsidR="0046583A" w:rsidRDefault="0046583A" w:rsidP="00CC4168">
            <w:pPr>
              <w:spacing w:after="0"/>
              <w:rPr>
                <w:sz w:val="20"/>
                <w:lang w:val="en-US"/>
              </w:rPr>
            </w:pPr>
            <w:r>
              <w:rPr>
                <w:sz w:val="20"/>
                <w:lang w:val="en-US"/>
              </w:rPr>
              <w:t>Co-produced with TFE and used as monomer or copolymer, e.g., FEP. Route to HFO-1234yf. Route to HFC-227ea.</w:t>
            </w:r>
          </w:p>
        </w:tc>
        <w:tc>
          <w:tcPr>
            <w:tcW w:w="0" w:type="auto"/>
            <w:tcBorders>
              <w:top w:val="single" w:sz="4" w:space="0" w:color="auto"/>
              <w:left w:val="single" w:sz="4" w:space="0" w:color="auto"/>
              <w:bottom w:val="single" w:sz="4" w:space="0" w:color="auto"/>
              <w:right w:val="single" w:sz="4" w:space="0" w:color="auto"/>
            </w:tcBorders>
            <w:vAlign w:val="center"/>
            <w:hideMark/>
          </w:tcPr>
          <w:p w14:paraId="0945F633" w14:textId="77777777" w:rsidR="0046583A" w:rsidRDefault="0046583A" w:rsidP="00CC4168">
            <w:pPr>
              <w:spacing w:after="0"/>
              <w:rPr>
                <w:sz w:val="20"/>
                <w:lang w:val="en-US"/>
              </w:rPr>
            </w:pPr>
            <w:r>
              <w:rPr>
                <w:sz w:val="20"/>
                <w:lang w:val="en-US"/>
              </w:rPr>
              <w:t>Fluorinated ethylene-propylene polymers (FEP)</w:t>
            </w:r>
          </w:p>
        </w:tc>
      </w:tr>
      <w:tr w:rsidR="0046583A" w14:paraId="5C09C609" w14:textId="77777777" w:rsidTr="00CC4168">
        <w:trPr>
          <w:trHeight w:val="273"/>
        </w:trPr>
        <w:tc>
          <w:tcPr>
            <w:tcW w:w="0" w:type="auto"/>
            <w:tcBorders>
              <w:top w:val="single" w:sz="4" w:space="0" w:color="auto"/>
              <w:left w:val="single" w:sz="4" w:space="0" w:color="auto"/>
              <w:bottom w:val="single" w:sz="4" w:space="0" w:color="auto"/>
              <w:right w:val="single" w:sz="4" w:space="0" w:color="auto"/>
            </w:tcBorders>
            <w:vAlign w:val="center"/>
            <w:hideMark/>
          </w:tcPr>
          <w:p w14:paraId="71885974" w14:textId="77777777" w:rsidR="0046583A" w:rsidRDefault="0046583A" w:rsidP="00CC4168">
            <w:pPr>
              <w:spacing w:after="0"/>
              <w:rPr>
                <w:sz w:val="20"/>
                <w:lang w:val="en-US"/>
              </w:rPr>
            </w:pPr>
            <w:r>
              <w:rPr>
                <w:sz w:val="20"/>
                <w:lang w:val="en-US"/>
              </w:rPr>
              <w:t>HCFC-22</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C9A80" w14:textId="77777777" w:rsidR="0046583A" w:rsidRDefault="0046583A" w:rsidP="00CC4168">
            <w:pPr>
              <w:spacing w:after="0"/>
              <w:rPr>
                <w:sz w:val="20"/>
                <w:lang w:val="en-US"/>
              </w:rPr>
            </w:pPr>
            <w:r>
              <w:rPr>
                <w:sz w:val="20"/>
                <w:lang w:val="en-US"/>
              </w:rPr>
              <w:t xml:space="preserve">With 2,2,2-trifluoroethanol, then chlorination to </w:t>
            </w:r>
            <w:proofErr w:type="spellStart"/>
            <w:r>
              <w:rPr>
                <w:sz w:val="20"/>
                <w:lang w:val="en-US"/>
              </w:rPr>
              <w:t>anaesthetic</w:t>
            </w:r>
            <w:proofErr w:type="spellEnd"/>
            <w:r>
              <w:rPr>
                <w:sz w:val="20"/>
                <w:lang w:val="en-US"/>
              </w:rPr>
              <w:t xml:space="preserve"> isoflurane CF</w:t>
            </w:r>
            <w:r>
              <w:rPr>
                <w:sz w:val="20"/>
                <w:vertAlign w:val="subscript"/>
                <w:lang w:val="en-US"/>
              </w:rPr>
              <w:t>3</w:t>
            </w:r>
            <w:r>
              <w:rPr>
                <w:sz w:val="20"/>
                <w:lang w:val="en-US"/>
              </w:rPr>
              <w:t>CHClOCHF</w:t>
            </w:r>
            <w:r>
              <w:rPr>
                <w:sz w:val="20"/>
                <w:vertAlign w:val="subscript"/>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81FCE95" w14:textId="77777777" w:rsidR="0046583A" w:rsidRDefault="0046583A" w:rsidP="00CC4168">
            <w:pPr>
              <w:spacing w:after="0"/>
              <w:rPr>
                <w:sz w:val="20"/>
                <w:lang w:val="en-US"/>
              </w:rPr>
            </w:pPr>
            <w:r>
              <w:rPr>
                <w:sz w:val="20"/>
                <w:lang w:val="en-US"/>
              </w:rPr>
              <w:t xml:space="preserve">Isoflurane by reaction with HF is converted to </w:t>
            </w:r>
            <w:proofErr w:type="spellStart"/>
            <w:r>
              <w:rPr>
                <w:sz w:val="20"/>
                <w:lang w:val="en-US"/>
              </w:rPr>
              <w:t>anaesthetic</w:t>
            </w:r>
            <w:proofErr w:type="spellEnd"/>
            <w:r>
              <w:rPr>
                <w:sz w:val="20"/>
                <w:lang w:val="en-US"/>
              </w:rPr>
              <w:t xml:space="preserve"> desflurane CF</w:t>
            </w:r>
            <w:r>
              <w:rPr>
                <w:sz w:val="20"/>
                <w:vertAlign w:val="subscript"/>
                <w:lang w:val="en-US"/>
              </w:rPr>
              <w:t>3</w:t>
            </w:r>
            <w:r>
              <w:rPr>
                <w:sz w:val="20"/>
                <w:lang w:val="en-US"/>
              </w:rPr>
              <w:t>CHFOCHF</w:t>
            </w:r>
            <w:r>
              <w:rPr>
                <w:sz w:val="20"/>
                <w:vertAlign w:val="subscript"/>
                <w:lang w:val="en-US"/>
              </w:rPr>
              <w:t>2</w:t>
            </w:r>
            <w:r>
              <w:rPr>
                <w:sz w:val="20"/>
                <w:lang w:val="en-US"/>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6744F8CD" w14:textId="77777777" w:rsidR="0046583A" w:rsidRDefault="0046583A" w:rsidP="00CC4168">
            <w:pPr>
              <w:spacing w:after="0"/>
              <w:rPr>
                <w:sz w:val="20"/>
                <w:lang w:val="en-US"/>
              </w:rPr>
            </w:pPr>
          </w:p>
        </w:tc>
      </w:tr>
      <w:tr w:rsidR="0046583A" w14:paraId="4FD47E57" w14:textId="77777777" w:rsidTr="00CC4168">
        <w:trPr>
          <w:trHeight w:val="273"/>
        </w:trPr>
        <w:tc>
          <w:tcPr>
            <w:tcW w:w="0" w:type="auto"/>
            <w:tcBorders>
              <w:top w:val="single" w:sz="4" w:space="0" w:color="auto"/>
              <w:left w:val="single" w:sz="4" w:space="0" w:color="auto"/>
              <w:bottom w:val="single" w:sz="4" w:space="0" w:color="auto"/>
              <w:right w:val="single" w:sz="4" w:space="0" w:color="auto"/>
            </w:tcBorders>
            <w:vAlign w:val="center"/>
            <w:hideMark/>
          </w:tcPr>
          <w:p w14:paraId="7DFF20E1" w14:textId="77777777" w:rsidR="0046583A" w:rsidRDefault="0046583A" w:rsidP="00CC4168">
            <w:pPr>
              <w:spacing w:after="0"/>
              <w:rPr>
                <w:sz w:val="20"/>
                <w:lang w:val="en-US"/>
              </w:rPr>
            </w:pPr>
            <w:r>
              <w:rPr>
                <w:sz w:val="20"/>
                <w:lang w:val="en-US"/>
              </w:rPr>
              <w:t>HCFC-22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F9D613B" w14:textId="77777777" w:rsidR="0046583A" w:rsidRDefault="0046583A" w:rsidP="00CC4168">
            <w:pPr>
              <w:spacing w:after="0"/>
              <w:rPr>
                <w:sz w:val="20"/>
                <w:lang w:val="en-US"/>
              </w:rPr>
            </w:pPr>
            <w:proofErr w:type="spellStart"/>
            <w:r>
              <w:rPr>
                <w:sz w:val="20"/>
                <w:lang w:val="en-US"/>
              </w:rPr>
              <w:t>Sulfentrazone</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3A7FA44"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38B069" w14:textId="77777777" w:rsidR="0046583A" w:rsidRDefault="0046583A" w:rsidP="00CC4168">
            <w:pPr>
              <w:spacing w:after="0"/>
              <w:rPr>
                <w:sz w:val="20"/>
                <w:lang w:val="en-US"/>
              </w:rPr>
            </w:pPr>
            <w:proofErr w:type="spellStart"/>
            <w:r>
              <w:rPr>
                <w:sz w:val="20"/>
                <w:lang w:val="en-US"/>
              </w:rPr>
              <w:t>Sulfentrazone</w:t>
            </w:r>
            <w:proofErr w:type="spellEnd"/>
            <w:r>
              <w:rPr>
                <w:sz w:val="20"/>
                <w:lang w:val="en-US"/>
              </w:rPr>
              <w:t xml:space="preserve"> (</w:t>
            </w:r>
            <w:r>
              <w:rPr>
                <w:i/>
                <w:iCs/>
                <w:sz w:val="20"/>
                <w:lang w:val="en-US"/>
              </w:rPr>
              <w:t>N</w:t>
            </w:r>
            <w:r>
              <w:rPr>
                <w:sz w:val="20"/>
                <w:lang w:val="en-US"/>
              </w:rPr>
              <w:t>-{2,4-Dichloro-5-[4-(difluoromethyl)-3-methyl-5-oxo-4,5-dihydro-1</w:t>
            </w:r>
            <w:r>
              <w:rPr>
                <w:i/>
                <w:iCs/>
                <w:sz w:val="20"/>
                <w:lang w:val="en-US"/>
              </w:rPr>
              <w:t>H</w:t>
            </w:r>
            <w:r>
              <w:rPr>
                <w:sz w:val="20"/>
                <w:lang w:val="en-US"/>
              </w:rPr>
              <w:t xml:space="preserve">-1,2,4-triazol-1-yl] phenyl} </w:t>
            </w:r>
            <w:proofErr w:type="spellStart"/>
            <w:r>
              <w:rPr>
                <w:sz w:val="20"/>
                <w:lang w:val="en-US"/>
              </w:rPr>
              <w:t>methanesulfonamide</w:t>
            </w:r>
            <w:proofErr w:type="spellEnd"/>
            <w:r>
              <w:rPr>
                <w:sz w:val="20"/>
                <w:lang w:val="en-US"/>
              </w:rPr>
              <w:t>) is a broad-spectrum herbicide.</w:t>
            </w:r>
          </w:p>
        </w:tc>
      </w:tr>
      <w:tr w:rsidR="0046583A" w14:paraId="0C0A66D9" w14:textId="77777777" w:rsidTr="00CC4168">
        <w:trPr>
          <w:trHeight w:val="273"/>
        </w:trPr>
        <w:tc>
          <w:tcPr>
            <w:tcW w:w="0" w:type="auto"/>
            <w:tcBorders>
              <w:top w:val="single" w:sz="4" w:space="0" w:color="auto"/>
              <w:left w:val="single" w:sz="4" w:space="0" w:color="auto"/>
              <w:bottom w:val="single" w:sz="4" w:space="0" w:color="auto"/>
              <w:right w:val="single" w:sz="4" w:space="0" w:color="auto"/>
            </w:tcBorders>
            <w:vAlign w:val="center"/>
            <w:hideMark/>
          </w:tcPr>
          <w:p w14:paraId="25FFB369" w14:textId="77777777" w:rsidR="0046583A" w:rsidRDefault="0046583A" w:rsidP="00CC4168">
            <w:pPr>
              <w:spacing w:after="0"/>
              <w:rPr>
                <w:sz w:val="20"/>
                <w:lang w:val="en-US"/>
              </w:rPr>
            </w:pPr>
            <w:r>
              <w:rPr>
                <w:sz w:val="20"/>
                <w:lang w:val="en-US"/>
              </w:rPr>
              <w:t>HCFC-123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D929AE2" w14:textId="77777777" w:rsidR="0046583A" w:rsidRDefault="0046583A" w:rsidP="00CC4168">
            <w:pPr>
              <w:spacing w:after="0"/>
              <w:rPr>
                <w:sz w:val="20"/>
                <w:lang w:val="en-US"/>
              </w:rPr>
            </w:pPr>
            <w:r>
              <w:rPr>
                <w:sz w:val="20"/>
                <w:lang w:val="en-US"/>
              </w:rPr>
              <w:t>HCFC-124, HFC-125</w:t>
            </w:r>
          </w:p>
        </w:tc>
        <w:tc>
          <w:tcPr>
            <w:tcW w:w="0" w:type="auto"/>
            <w:tcBorders>
              <w:top w:val="single" w:sz="4" w:space="0" w:color="auto"/>
              <w:left w:val="single" w:sz="4" w:space="0" w:color="auto"/>
              <w:bottom w:val="single" w:sz="4" w:space="0" w:color="auto"/>
              <w:right w:val="single" w:sz="4" w:space="0" w:color="auto"/>
            </w:tcBorders>
            <w:vAlign w:val="center"/>
          </w:tcPr>
          <w:p w14:paraId="5C4CC4D7"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082845CC" w14:textId="77777777" w:rsidR="0046583A" w:rsidRDefault="0046583A" w:rsidP="00CC4168">
            <w:pPr>
              <w:spacing w:after="0"/>
              <w:rPr>
                <w:sz w:val="20"/>
                <w:lang w:val="en-US"/>
              </w:rPr>
            </w:pPr>
          </w:p>
        </w:tc>
      </w:tr>
      <w:tr w:rsidR="0046583A" w14:paraId="6929DC70" w14:textId="77777777" w:rsidTr="00CC4168">
        <w:trPr>
          <w:trHeight w:val="272"/>
        </w:trPr>
        <w:tc>
          <w:tcPr>
            <w:tcW w:w="0" w:type="auto"/>
            <w:tcBorders>
              <w:top w:val="single" w:sz="4" w:space="0" w:color="auto"/>
              <w:left w:val="single" w:sz="4" w:space="0" w:color="auto"/>
              <w:bottom w:val="single" w:sz="4" w:space="0" w:color="auto"/>
              <w:right w:val="single" w:sz="4" w:space="0" w:color="auto"/>
            </w:tcBorders>
            <w:vAlign w:val="center"/>
            <w:hideMark/>
          </w:tcPr>
          <w:p w14:paraId="06184E1B" w14:textId="77777777" w:rsidR="0046583A" w:rsidRDefault="0046583A" w:rsidP="00CC4168">
            <w:pPr>
              <w:spacing w:after="0"/>
              <w:rPr>
                <w:sz w:val="20"/>
                <w:lang w:val="en-US"/>
              </w:rPr>
            </w:pPr>
            <w:r>
              <w:rPr>
                <w:sz w:val="20"/>
                <w:lang w:val="en-US"/>
              </w:rPr>
              <w:t>HCFC-124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6D7908EB" w14:textId="77777777" w:rsidR="0046583A" w:rsidRDefault="0046583A" w:rsidP="00CC4168">
            <w:pPr>
              <w:spacing w:after="0"/>
              <w:rPr>
                <w:sz w:val="20"/>
                <w:lang w:val="en-US"/>
              </w:rPr>
            </w:pPr>
            <w:r>
              <w:rPr>
                <w:sz w:val="20"/>
                <w:lang w:val="en-US"/>
              </w:rPr>
              <w:t>HFC-125</w:t>
            </w:r>
          </w:p>
        </w:tc>
        <w:tc>
          <w:tcPr>
            <w:tcW w:w="0" w:type="auto"/>
            <w:tcBorders>
              <w:top w:val="single" w:sz="4" w:space="0" w:color="auto"/>
              <w:left w:val="single" w:sz="4" w:space="0" w:color="auto"/>
              <w:bottom w:val="single" w:sz="4" w:space="0" w:color="auto"/>
              <w:right w:val="single" w:sz="4" w:space="0" w:color="auto"/>
            </w:tcBorders>
            <w:vAlign w:val="center"/>
          </w:tcPr>
          <w:p w14:paraId="57581887"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69B1E84E" w14:textId="77777777" w:rsidR="0046583A" w:rsidRDefault="0046583A" w:rsidP="00CC4168">
            <w:pPr>
              <w:spacing w:after="0"/>
              <w:rPr>
                <w:sz w:val="20"/>
                <w:lang w:val="en-US"/>
              </w:rPr>
            </w:pPr>
          </w:p>
        </w:tc>
      </w:tr>
      <w:tr w:rsidR="0046583A" w14:paraId="75BF42B7" w14:textId="77777777" w:rsidTr="00CC4168">
        <w:trPr>
          <w:trHeight w:val="405"/>
        </w:trPr>
        <w:tc>
          <w:tcPr>
            <w:tcW w:w="0" w:type="auto"/>
            <w:tcBorders>
              <w:top w:val="single" w:sz="4" w:space="0" w:color="auto"/>
              <w:left w:val="single" w:sz="4" w:space="0" w:color="auto"/>
              <w:bottom w:val="single" w:sz="4" w:space="0" w:color="auto"/>
              <w:right w:val="single" w:sz="4" w:space="0" w:color="auto"/>
            </w:tcBorders>
            <w:vAlign w:val="center"/>
            <w:hideMark/>
          </w:tcPr>
          <w:p w14:paraId="05FAA84E" w14:textId="77777777" w:rsidR="0046583A" w:rsidRDefault="0046583A" w:rsidP="00CC4168">
            <w:pPr>
              <w:spacing w:after="0"/>
              <w:rPr>
                <w:sz w:val="20"/>
                <w:lang w:val="en-US"/>
              </w:rPr>
            </w:pPr>
            <w:r>
              <w:rPr>
                <w:sz w:val="20"/>
                <w:lang w:val="en-US"/>
              </w:rPr>
              <w:t>HCFC-123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C177639" w14:textId="77777777" w:rsidR="0046583A" w:rsidRDefault="0046583A" w:rsidP="00CC4168">
            <w:pPr>
              <w:spacing w:after="0"/>
              <w:rPr>
                <w:sz w:val="20"/>
                <w:lang w:val="en-US"/>
              </w:rPr>
            </w:pPr>
            <w:r>
              <w:rPr>
                <w:sz w:val="20"/>
                <w:lang w:val="en-US"/>
              </w:rPr>
              <w:t xml:space="preserve">Production of TFA </w:t>
            </w:r>
          </w:p>
        </w:tc>
        <w:tc>
          <w:tcPr>
            <w:tcW w:w="0" w:type="auto"/>
            <w:tcBorders>
              <w:top w:val="single" w:sz="4" w:space="0" w:color="auto"/>
              <w:left w:val="single" w:sz="4" w:space="0" w:color="auto"/>
              <w:bottom w:val="single" w:sz="4" w:space="0" w:color="auto"/>
              <w:right w:val="single" w:sz="4" w:space="0" w:color="auto"/>
            </w:tcBorders>
            <w:vAlign w:val="center"/>
          </w:tcPr>
          <w:p w14:paraId="2B1F6A42"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6F3C4210" w14:textId="77777777" w:rsidR="0046583A" w:rsidRDefault="0046583A" w:rsidP="00CC4168">
            <w:pPr>
              <w:spacing w:after="0"/>
              <w:rPr>
                <w:sz w:val="20"/>
                <w:lang w:val="en-US"/>
              </w:rPr>
            </w:pPr>
          </w:p>
        </w:tc>
      </w:tr>
      <w:tr w:rsidR="0046583A" w14:paraId="1FDEE892" w14:textId="77777777" w:rsidTr="00CC4168">
        <w:trPr>
          <w:trHeight w:val="405"/>
        </w:trPr>
        <w:tc>
          <w:tcPr>
            <w:tcW w:w="0" w:type="auto"/>
            <w:tcBorders>
              <w:top w:val="single" w:sz="4" w:space="0" w:color="auto"/>
              <w:left w:val="single" w:sz="4" w:space="0" w:color="auto"/>
              <w:bottom w:val="single" w:sz="4" w:space="0" w:color="auto"/>
              <w:right w:val="single" w:sz="4" w:space="0" w:color="auto"/>
            </w:tcBorders>
            <w:vAlign w:val="center"/>
            <w:hideMark/>
          </w:tcPr>
          <w:p w14:paraId="456F5DB1" w14:textId="77777777" w:rsidR="0046583A" w:rsidRDefault="0046583A" w:rsidP="00CC4168">
            <w:pPr>
              <w:spacing w:after="0"/>
              <w:rPr>
                <w:sz w:val="20"/>
                <w:lang w:val="en-US"/>
              </w:rPr>
            </w:pPr>
            <w:r>
              <w:rPr>
                <w:sz w:val="20"/>
                <w:lang w:val="en-US"/>
              </w:rPr>
              <w:t>HCFC-133a</w:t>
            </w:r>
          </w:p>
        </w:tc>
        <w:tc>
          <w:tcPr>
            <w:tcW w:w="0" w:type="auto"/>
            <w:tcBorders>
              <w:top w:val="single" w:sz="4" w:space="0" w:color="auto"/>
              <w:left w:val="single" w:sz="4" w:space="0" w:color="auto"/>
              <w:bottom w:val="single" w:sz="4" w:space="0" w:color="auto"/>
              <w:right w:val="single" w:sz="4" w:space="0" w:color="auto"/>
            </w:tcBorders>
            <w:vAlign w:val="center"/>
            <w:hideMark/>
          </w:tcPr>
          <w:p w14:paraId="5C6A28D7" w14:textId="77777777" w:rsidR="0046583A" w:rsidRDefault="0046583A" w:rsidP="00CC4168">
            <w:pPr>
              <w:spacing w:after="0"/>
              <w:rPr>
                <w:sz w:val="20"/>
                <w:lang w:val="en-US"/>
              </w:rPr>
            </w:pPr>
            <w:r>
              <w:rPr>
                <w:sz w:val="20"/>
                <w:lang w:val="en-US"/>
              </w:rPr>
              <w:t>HCFC-123, CFC-113a</w:t>
            </w:r>
          </w:p>
        </w:tc>
        <w:tc>
          <w:tcPr>
            <w:tcW w:w="0" w:type="auto"/>
            <w:tcBorders>
              <w:top w:val="single" w:sz="4" w:space="0" w:color="auto"/>
              <w:left w:val="single" w:sz="4" w:space="0" w:color="auto"/>
              <w:bottom w:val="single" w:sz="4" w:space="0" w:color="auto"/>
              <w:right w:val="single" w:sz="4" w:space="0" w:color="auto"/>
            </w:tcBorders>
            <w:vAlign w:val="center"/>
          </w:tcPr>
          <w:p w14:paraId="6FAD9C44"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50C693" w14:textId="77777777" w:rsidR="0046583A" w:rsidRDefault="0046583A" w:rsidP="00CC4168">
            <w:pPr>
              <w:spacing w:after="0"/>
              <w:rPr>
                <w:sz w:val="20"/>
                <w:lang w:val="en-US"/>
              </w:rPr>
            </w:pPr>
            <w:r>
              <w:rPr>
                <w:sz w:val="20"/>
                <w:lang w:val="en-US"/>
              </w:rPr>
              <w:t>HCFC-133a can be transformed to HCFC-123 by chlorination and further to CFC-113a</w:t>
            </w:r>
          </w:p>
        </w:tc>
      </w:tr>
      <w:tr w:rsidR="0046583A" w14:paraId="369C8726" w14:textId="77777777" w:rsidTr="00CC4168">
        <w:trPr>
          <w:trHeight w:val="272"/>
        </w:trPr>
        <w:tc>
          <w:tcPr>
            <w:tcW w:w="0" w:type="auto"/>
            <w:tcBorders>
              <w:top w:val="single" w:sz="4" w:space="0" w:color="auto"/>
              <w:left w:val="single" w:sz="4" w:space="0" w:color="auto"/>
              <w:bottom w:val="single" w:sz="4" w:space="0" w:color="auto"/>
              <w:right w:val="single" w:sz="4" w:space="0" w:color="auto"/>
            </w:tcBorders>
            <w:vAlign w:val="center"/>
            <w:hideMark/>
          </w:tcPr>
          <w:p w14:paraId="458CE38F" w14:textId="77777777" w:rsidR="0046583A" w:rsidRDefault="0046583A" w:rsidP="00CC4168">
            <w:pPr>
              <w:spacing w:after="0"/>
              <w:rPr>
                <w:sz w:val="20"/>
                <w:lang w:val="en-US"/>
              </w:rPr>
            </w:pPr>
            <w:r>
              <w:rPr>
                <w:sz w:val="20"/>
                <w:lang w:val="en-US"/>
              </w:rPr>
              <w:lastRenderedPageBreak/>
              <w:t xml:space="preserve">HCFC-133a </w:t>
            </w:r>
          </w:p>
        </w:tc>
        <w:tc>
          <w:tcPr>
            <w:tcW w:w="0" w:type="auto"/>
            <w:tcBorders>
              <w:top w:val="single" w:sz="4" w:space="0" w:color="auto"/>
              <w:left w:val="single" w:sz="4" w:space="0" w:color="auto"/>
              <w:bottom w:val="single" w:sz="4" w:space="0" w:color="auto"/>
              <w:right w:val="single" w:sz="4" w:space="0" w:color="auto"/>
            </w:tcBorders>
            <w:vAlign w:val="center"/>
            <w:hideMark/>
          </w:tcPr>
          <w:p w14:paraId="4902B978" w14:textId="77777777" w:rsidR="0046583A" w:rsidRDefault="0046583A" w:rsidP="00CC4168">
            <w:pPr>
              <w:spacing w:after="0"/>
              <w:rPr>
                <w:sz w:val="20"/>
                <w:lang w:val="en-US"/>
              </w:rPr>
            </w:pPr>
            <w:r>
              <w:rPr>
                <w:sz w:val="20"/>
                <w:lang w:val="en-US"/>
              </w:rPr>
              <w:t>Production of trifluoroethanol</w:t>
            </w:r>
          </w:p>
        </w:tc>
        <w:tc>
          <w:tcPr>
            <w:tcW w:w="0" w:type="auto"/>
            <w:tcBorders>
              <w:top w:val="single" w:sz="4" w:space="0" w:color="auto"/>
              <w:left w:val="single" w:sz="4" w:space="0" w:color="auto"/>
              <w:bottom w:val="single" w:sz="4" w:space="0" w:color="auto"/>
              <w:right w:val="single" w:sz="4" w:space="0" w:color="auto"/>
            </w:tcBorders>
            <w:vAlign w:val="center"/>
          </w:tcPr>
          <w:p w14:paraId="0892063E"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65061D3D" w14:textId="77777777" w:rsidR="0046583A" w:rsidRDefault="0046583A" w:rsidP="00CC4168">
            <w:pPr>
              <w:spacing w:after="0"/>
              <w:rPr>
                <w:sz w:val="20"/>
                <w:lang w:val="en-US"/>
              </w:rPr>
            </w:pPr>
          </w:p>
        </w:tc>
      </w:tr>
      <w:tr w:rsidR="0046583A" w14:paraId="323575E5" w14:textId="77777777" w:rsidTr="00CC4168">
        <w:trPr>
          <w:trHeight w:val="272"/>
        </w:trPr>
        <w:tc>
          <w:tcPr>
            <w:tcW w:w="0" w:type="auto"/>
            <w:tcBorders>
              <w:top w:val="single" w:sz="4" w:space="0" w:color="auto"/>
              <w:left w:val="single" w:sz="4" w:space="0" w:color="auto"/>
              <w:bottom w:val="single" w:sz="4" w:space="0" w:color="auto"/>
              <w:right w:val="single" w:sz="4" w:space="0" w:color="auto"/>
            </w:tcBorders>
            <w:vAlign w:val="center"/>
            <w:hideMark/>
          </w:tcPr>
          <w:p w14:paraId="2DF99C6A" w14:textId="77777777" w:rsidR="0046583A" w:rsidRDefault="0046583A" w:rsidP="00CC4168">
            <w:pPr>
              <w:keepNext/>
              <w:spacing w:after="0"/>
              <w:rPr>
                <w:sz w:val="20"/>
                <w:lang w:val="en-US"/>
              </w:rPr>
            </w:pPr>
            <w:proofErr w:type="spellStart"/>
            <w:r>
              <w:rPr>
                <w:sz w:val="20"/>
                <w:lang w:val="en-US"/>
              </w:rPr>
              <w:t>Bromotrifluoromethane</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5BF25FA7" w14:textId="77777777" w:rsidR="0046583A" w:rsidRDefault="0046583A" w:rsidP="00CC4168">
            <w:pPr>
              <w:keepNext/>
              <w:spacing w:after="0"/>
              <w:rPr>
                <w:sz w:val="20"/>
                <w:lang w:val="en-US"/>
              </w:rPr>
            </w:pPr>
            <w:r>
              <w:rPr>
                <w:sz w:val="20"/>
                <w:lang w:val="en-US"/>
              </w:rPr>
              <w:t>Production of the pesticide fipronil and other chemicals</w:t>
            </w:r>
          </w:p>
        </w:tc>
        <w:tc>
          <w:tcPr>
            <w:tcW w:w="0" w:type="auto"/>
            <w:tcBorders>
              <w:top w:val="single" w:sz="4" w:space="0" w:color="auto"/>
              <w:left w:val="single" w:sz="4" w:space="0" w:color="auto"/>
              <w:bottom w:val="single" w:sz="4" w:space="0" w:color="auto"/>
              <w:right w:val="single" w:sz="4" w:space="0" w:color="auto"/>
            </w:tcBorders>
            <w:vAlign w:val="center"/>
          </w:tcPr>
          <w:p w14:paraId="7C4C7F01" w14:textId="77777777" w:rsidR="0046583A" w:rsidRDefault="0046583A" w:rsidP="00CC4168">
            <w:pPr>
              <w:keepNext/>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B13470" w14:textId="77777777" w:rsidR="0046583A" w:rsidRDefault="0046583A" w:rsidP="00CC4168">
            <w:pPr>
              <w:keepNext/>
              <w:spacing w:after="0"/>
              <w:rPr>
                <w:sz w:val="20"/>
                <w:lang w:val="en-US"/>
              </w:rPr>
            </w:pPr>
            <w:proofErr w:type="spellStart"/>
            <w:r>
              <w:rPr>
                <w:sz w:val="20"/>
                <w:lang w:val="en-US"/>
              </w:rPr>
              <w:t>Bromotrifluoromethane</w:t>
            </w:r>
            <w:proofErr w:type="spellEnd"/>
            <w:r>
              <w:rPr>
                <w:sz w:val="20"/>
                <w:lang w:val="en-US"/>
              </w:rPr>
              <w:t xml:space="preserve"> may also be an intermediate when HFC-23 is used as a starting material in the production of fipronil and other chemicals. </w:t>
            </w:r>
            <w:proofErr w:type="spellStart"/>
            <w:r>
              <w:rPr>
                <w:sz w:val="20"/>
                <w:lang w:val="en-US"/>
              </w:rPr>
              <w:t>Bromotrifluoromethane</w:t>
            </w:r>
            <w:proofErr w:type="spellEnd"/>
            <w:r>
              <w:rPr>
                <w:sz w:val="20"/>
                <w:lang w:val="en-US"/>
              </w:rPr>
              <w:t xml:space="preserve"> is used as feedstock in the preparation of chemicals including fipronil (insecticide), mefloquine (antimalarial), and DPP-IV inhibitor (antidiabetic). CF</w:t>
            </w:r>
            <w:r>
              <w:rPr>
                <w:sz w:val="20"/>
                <w:vertAlign w:val="subscript"/>
                <w:lang w:val="en-US"/>
              </w:rPr>
              <w:t>3</w:t>
            </w:r>
            <w:r>
              <w:rPr>
                <w:sz w:val="20"/>
                <w:lang w:val="en-US"/>
              </w:rPr>
              <w:t xml:space="preserve"> generated from </w:t>
            </w:r>
            <w:proofErr w:type="spellStart"/>
            <w:r>
              <w:rPr>
                <w:sz w:val="20"/>
                <w:lang w:val="en-US"/>
              </w:rPr>
              <w:t>bromotrifluoromethane</w:t>
            </w:r>
            <w:proofErr w:type="spellEnd"/>
            <w:r>
              <w:rPr>
                <w:sz w:val="20"/>
                <w:lang w:val="en-US"/>
              </w:rPr>
              <w:t xml:space="preserve"> can be introduced into a wide range of organic molecules by nucleophilic substitution.</w:t>
            </w:r>
          </w:p>
        </w:tc>
      </w:tr>
      <w:tr w:rsidR="0046583A" w14:paraId="15C89ED5" w14:textId="77777777" w:rsidTr="00CC4168">
        <w:trPr>
          <w:trHeight w:val="401"/>
        </w:trPr>
        <w:tc>
          <w:tcPr>
            <w:tcW w:w="0" w:type="auto"/>
            <w:tcBorders>
              <w:top w:val="single" w:sz="4" w:space="0" w:color="auto"/>
              <w:left w:val="single" w:sz="4" w:space="0" w:color="auto"/>
              <w:bottom w:val="single" w:sz="4" w:space="0" w:color="auto"/>
              <w:right w:val="single" w:sz="4" w:space="0" w:color="auto"/>
            </w:tcBorders>
            <w:vAlign w:val="center"/>
            <w:hideMark/>
          </w:tcPr>
          <w:p w14:paraId="47F8976D" w14:textId="77777777" w:rsidR="0046583A" w:rsidRDefault="0046583A" w:rsidP="00CC4168">
            <w:pPr>
              <w:spacing w:after="0"/>
              <w:rPr>
                <w:sz w:val="20"/>
                <w:lang w:val="en-US"/>
              </w:rPr>
            </w:pPr>
            <w:r>
              <w:rPr>
                <w:sz w:val="20"/>
                <w:lang w:val="en-US"/>
              </w:rPr>
              <w:t>HCFC-141b</w:t>
            </w:r>
          </w:p>
        </w:tc>
        <w:tc>
          <w:tcPr>
            <w:tcW w:w="0" w:type="auto"/>
            <w:tcBorders>
              <w:top w:val="single" w:sz="4" w:space="0" w:color="auto"/>
              <w:left w:val="single" w:sz="4" w:space="0" w:color="auto"/>
              <w:bottom w:val="single" w:sz="4" w:space="0" w:color="auto"/>
              <w:right w:val="single" w:sz="4" w:space="0" w:color="auto"/>
            </w:tcBorders>
            <w:vAlign w:val="center"/>
            <w:hideMark/>
          </w:tcPr>
          <w:p w14:paraId="26D60425" w14:textId="77777777" w:rsidR="0046583A" w:rsidRDefault="0046583A" w:rsidP="00CC4168">
            <w:pPr>
              <w:spacing w:after="0"/>
              <w:rPr>
                <w:sz w:val="20"/>
                <w:lang w:val="en-US"/>
              </w:rPr>
            </w:pPr>
            <w:r>
              <w:rPr>
                <w:sz w:val="20"/>
                <w:lang w:val="en-US"/>
              </w:rPr>
              <w:t>HCFC-142b, HFC-143a</w:t>
            </w:r>
          </w:p>
        </w:tc>
        <w:tc>
          <w:tcPr>
            <w:tcW w:w="0" w:type="auto"/>
            <w:tcBorders>
              <w:top w:val="single" w:sz="4" w:space="0" w:color="auto"/>
              <w:left w:val="single" w:sz="4" w:space="0" w:color="auto"/>
              <w:bottom w:val="single" w:sz="4" w:space="0" w:color="auto"/>
              <w:right w:val="single" w:sz="4" w:space="0" w:color="auto"/>
            </w:tcBorders>
            <w:vAlign w:val="center"/>
          </w:tcPr>
          <w:p w14:paraId="7B69C738"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tcPr>
          <w:p w14:paraId="240CAFFF" w14:textId="77777777" w:rsidR="0046583A" w:rsidRDefault="0046583A" w:rsidP="00CC4168">
            <w:pPr>
              <w:spacing w:after="0"/>
              <w:rPr>
                <w:sz w:val="20"/>
                <w:lang w:val="en-US"/>
              </w:rPr>
            </w:pPr>
          </w:p>
        </w:tc>
      </w:tr>
      <w:tr w:rsidR="0046583A" w14:paraId="28999596" w14:textId="77777777" w:rsidTr="00CC4168">
        <w:trPr>
          <w:trHeight w:val="401"/>
        </w:trPr>
        <w:tc>
          <w:tcPr>
            <w:tcW w:w="0" w:type="auto"/>
            <w:tcBorders>
              <w:top w:val="single" w:sz="4" w:space="0" w:color="auto"/>
              <w:left w:val="single" w:sz="4" w:space="0" w:color="auto"/>
              <w:bottom w:val="single" w:sz="4" w:space="0" w:color="auto"/>
              <w:right w:val="single" w:sz="4" w:space="0" w:color="auto"/>
            </w:tcBorders>
            <w:vAlign w:val="center"/>
            <w:hideMark/>
          </w:tcPr>
          <w:p w14:paraId="4C821903" w14:textId="77777777" w:rsidR="0046583A" w:rsidRDefault="0046583A" w:rsidP="00CC4168">
            <w:pPr>
              <w:spacing w:after="0"/>
              <w:rPr>
                <w:sz w:val="20"/>
                <w:lang w:val="en-US"/>
              </w:rPr>
            </w:pPr>
            <w:r>
              <w:rPr>
                <w:sz w:val="20"/>
                <w:lang w:val="en-US"/>
              </w:rPr>
              <w:t>HCFC-142b</w:t>
            </w:r>
          </w:p>
        </w:tc>
        <w:tc>
          <w:tcPr>
            <w:tcW w:w="0" w:type="auto"/>
            <w:tcBorders>
              <w:top w:val="single" w:sz="4" w:space="0" w:color="auto"/>
              <w:left w:val="single" w:sz="4" w:space="0" w:color="auto"/>
              <w:bottom w:val="single" w:sz="4" w:space="0" w:color="auto"/>
              <w:right w:val="single" w:sz="4" w:space="0" w:color="auto"/>
            </w:tcBorders>
            <w:vAlign w:val="center"/>
            <w:hideMark/>
          </w:tcPr>
          <w:p w14:paraId="36065471" w14:textId="77777777" w:rsidR="0046583A" w:rsidRDefault="0046583A" w:rsidP="00CC4168">
            <w:pPr>
              <w:spacing w:after="0"/>
              <w:rPr>
                <w:sz w:val="20"/>
                <w:lang w:val="en-US"/>
              </w:rPr>
            </w:pPr>
            <w:r>
              <w:rPr>
                <w:sz w:val="20"/>
                <w:lang w:val="en-US"/>
              </w:rPr>
              <w:t>Vinylidene fluoride (HFO-1132a)</w:t>
            </w:r>
          </w:p>
        </w:tc>
        <w:tc>
          <w:tcPr>
            <w:tcW w:w="0" w:type="auto"/>
            <w:tcBorders>
              <w:top w:val="single" w:sz="4" w:space="0" w:color="auto"/>
              <w:left w:val="single" w:sz="4" w:space="0" w:color="auto"/>
              <w:bottom w:val="single" w:sz="4" w:space="0" w:color="auto"/>
              <w:right w:val="single" w:sz="4" w:space="0" w:color="auto"/>
            </w:tcBorders>
            <w:vAlign w:val="center"/>
            <w:hideMark/>
          </w:tcPr>
          <w:p w14:paraId="2BE2506A" w14:textId="77777777" w:rsidR="0046583A" w:rsidRDefault="0046583A" w:rsidP="00CC4168">
            <w:pPr>
              <w:spacing w:after="0"/>
              <w:rPr>
                <w:sz w:val="20"/>
                <w:lang w:val="en-US"/>
              </w:rPr>
            </w:pPr>
            <w:proofErr w:type="spellStart"/>
            <w:r>
              <w:rPr>
                <w:sz w:val="20"/>
                <w:lang w:val="en-US"/>
              </w:rPr>
              <w:t>Polymerised</w:t>
            </w:r>
            <w:proofErr w:type="spellEnd"/>
            <w:r>
              <w:rPr>
                <w:sz w:val="20"/>
                <w:lang w:val="en-US"/>
              </w:rPr>
              <w:t xml:space="preserve"> to poly-vinylidene fluoride or co-polymers.</w:t>
            </w:r>
          </w:p>
        </w:tc>
        <w:tc>
          <w:tcPr>
            <w:tcW w:w="0" w:type="auto"/>
            <w:tcBorders>
              <w:top w:val="single" w:sz="4" w:space="0" w:color="auto"/>
              <w:left w:val="single" w:sz="4" w:space="0" w:color="auto"/>
              <w:bottom w:val="single" w:sz="4" w:space="0" w:color="auto"/>
              <w:right w:val="single" w:sz="4" w:space="0" w:color="auto"/>
            </w:tcBorders>
            <w:vAlign w:val="center"/>
            <w:hideMark/>
          </w:tcPr>
          <w:p w14:paraId="2433B26C" w14:textId="77777777" w:rsidR="0046583A" w:rsidRDefault="0046583A" w:rsidP="00CC4168">
            <w:pPr>
              <w:spacing w:after="0"/>
              <w:rPr>
                <w:sz w:val="20"/>
                <w:lang w:val="en-US"/>
              </w:rPr>
            </w:pPr>
            <w:r>
              <w:rPr>
                <w:sz w:val="20"/>
                <w:lang w:val="en-US"/>
              </w:rPr>
              <w:t xml:space="preserve">Products are fluorinated elastomers and a </w:t>
            </w:r>
            <w:proofErr w:type="spellStart"/>
            <w:r>
              <w:rPr>
                <w:sz w:val="20"/>
                <w:lang w:val="en-US"/>
              </w:rPr>
              <w:t>fluororesin</w:t>
            </w:r>
            <w:proofErr w:type="spellEnd"/>
            <w:r>
              <w:rPr>
                <w:sz w:val="20"/>
                <w:lang w:val="en-US"/>
              </w:rPr>
              <w:t>.</w:t>
            </w:r>
          </w:p>
          <w:p w14:paraId="6E50B0C0" w14:textId="77777777" w:rsidR="0046583A" w:rsidRDefault="0046583A" w:rsidP="00CC4168">
            <w:pPr>
              <w:spacing w:after="0"/>
              <w:rPr>
                <w:sz w:val="20"/>
                <w:lang w:val="en-US"/>
              </w:rPr>
            </w:pPr>
            <w:r>
              <w:rPr>
                <w:sz w:val="20"/>
                <w:lang w:val="en-US"/>
              </w:rPr>
              <w:t xml:space="preserve">Vinylidene fluoride is a very low temperature refrigerant </w:t>
            </w:r>
          </w:p>
        </w:tc>
      </w:tr>
      <w:tr w:rsidR="0046583A" w14:paraId="4F3087AE" w14:textId="77777777" w:rsidTr="00CC4168">
        <w:trPr>
          <w:trHeight w:val="401"/>
        </w:trPr>
        <w:tc>
          <w:tcPr>
            <w:tcW w:w="0" w:type="auto"/>
            <w:tcBorders>
              <w:top w:val="single" w:sz="4" w:space="0" w:color="auto"/>
              <w:left w:val="single" w:sz="4" w:space="0" w:color="auto"/>
              <w:bottom w:val="single" w:sz="4" w:space="0" w:color="auto"/>
              <w:right w:val="single" w:sz="4" w:space="0" w:color="auto"/>
            </w:tcBorders>
            <w:vAlign w:val="center"/>
            <w:hideMark/>
          </w:tcPr>
          <w:p w14:paraId="270C5B42" w14:textId="77777777" w:rsidR="0046583A" w:rsidRDefault="0046583A" w:rsidP="00CC4168">
            <w:pPr>
              <w:spacing w:after="0"/>
              <w:rPr>
                <w:sz w:val="20"/>
                <w:lang w:val="en-US"/>
              </w:rPr>
            </w:pPr>
            <w:r>
              <w:rPr>
                <w:sz w:val="20"/>
                <w:lang w:val="en-US"/>
              </w:rPr>
              <w:t>Bromochloromethane</w:t>
            </w:r>
          </w:p>
        </w:tc>
        <w:tc>
          <w:tcPr>
            <w:tcW w:w="0" w:type="auto"/>
            <w:tcBorders>
              <w:top w:val="single" w:sz="4" w:space="0" w:color="auto"/>
              <w:left w:val="single" w:sz="4" w:space="0" w:color="auto"/>
              <w:bottom w:val="single" w:sz="4" w:space="0" w:color="auto"/>
              <w:right w:val="single" w:sz="4" w:space="0" w:color="auto"/>
            </w:tcBorders>
            <w:vAlign w:val="center"/>
            <w:hideMark/>
          </w:tcPr>
          <w:p w14:paraId="2015BC8F" w14:textId="77777777" w:rsidR="0046583A" w:rsidRDefault="0046583A" w:rsidP="00CC4168">
            <w:pPr>
              <w:spacing w:after="0"/>
              <w:rPr>
                <w:sz w:val="20"/>
                <w:lang w:val="en-US"/>
              </w:rPr>
            </w:pPr>
            <w:r>
              <w:rPr>
                <w:sz w:val="20"/>
                <w:lang w:val="en-US"/>
              </w:rPr>
              <w:t>2-(</w:t>
            </w:r>
            <w:proofErr w:type="spellStart"/>
            <w:r>
              <w:rPr>
                <w:sz w:val="20"/>
                <w:lang w:val="en-US"/>
              </w:rPr>
              <w:t>Thiocyanomethyl</w:t>
            </w:r>
            <w:proofErr w:type="spellEnd"/>
            <w:r>
              <w:rPr>
                <w:sz w:val="20"/>
                <w:lang w:val="en-US"/>
              </w:rPr>
              <w:t>)-</w:t>
            </w:r>
            <w:proofErr w:type="spellStart"/>
            <w:r>
              <w:rPr>
                <w:sz w:val="20"/>
                <w:lang w:val="en-US"/>
              </w:rPr>
              <w:t>thiobenzothiazole</w:t>
            </w:r>
            <w:proofErr w:type="spellEnd"/>
            <w:r>
              <w:rPr>
                <w:sz w:val="20"/>
                <w:lang w:val="en-US"/>
              </w:rPr>
              <w:t xml:space="preserve"> (TCMTB)</w:t>
            </w:r>
          </w:p>
        </w:tc>
        <w:tc>
          <w:tcPr>
            <w:tcW w:w="0" w:type="auto"/>
            <w:tcBorders>
              <w:top w:val="single" w:sz="4" w:space="0" w:color="auto"/>
              <w:left w:val="single" w:sz="4" w:space="0" w:color="auto"/>
              <w:bottom w:val="single" w:sz="4" w:space="0" w:color="auto"/>
              <w:right w:val="single" w:sz="4" w:space="0" w:color="auto"/>
            </w:tcBorders>
            <w:vAlign w:val="center"/>
          </w:tcPr>
          <w:p w14:paraId="7CEF7BA8"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67E7B4" w14:textId="77777777" w:rsidR="0046583A" w:rsidRDefault="0046583A" w:rsidP="00CC4168">
            <w:pPr>
              <w:spacing w:after="0"/>
              <w:rPr>
                <w:sz w:val="20"/>
                <w:lang w:val="en-US"/>
              </w:rPr>
            </w:pPr>
            <w:r>
              <w:rPr>
                <w:sz w:val="20"/>
                <w:lang w:val="en-US"/>
              </w:rPr>
              <w:t>TCMTB is a biocide used in the leather industry</w:t>
            </w:r>
          </w:p>
        </w:tc>
      </w:tr>
      <w:tr w:rsidR="0046583A" w14:paraId="5D7B21BC" w14:textId="77777777" w:rsidTr="00CC4168">
        <w:trPr>
          <w:trHeight w:val="401"/>
        </w:trPr>
        <w:tc>
          <w:tcPr>
            <w:tcW w:w="0" w:type="auto"/>
            <w:tcBorders>
              <w:top w:val="single" w:sz="4" w:space="0" w:color="auto"/>
              <w:left w:val="single" w:sz="4" w:space="0" w:color="auto"/>
              <w:bottom w:val="single" w:sz="4" w:space="0" w:color="auto"/>
              <w:right w:val="single" w:sz="4" w:space="0" w:color="auto"/>
            </w:tcBorders>
            <w:vAlign w:val="center"/>
            <w:hideMark/>
          </w:tcPr>
          <w:p w14:paraId="13D20D42" w14:textId="77777777" w:rsidR="0046583A" w:rsidRDefault="0046583A" w:rsidP="00CC4168">
            <w:pPr>
              <w:spacing w:after="0"/>
              <w:rPr>
                <w:sz w:val="20"/>
                <w:lang w:val="en-US"/>
              </w:rPr>
            </w:pPr>
            <w:r>
              <w:rPr>
                <w:sz w:val="20"/>
                <w:lang w:val="en-US"/>
              </w:rPr>
              <w:t>HFC-152a*</w:t>
            </w:r>
          </w:p>
        </w:tc>
        <w:tc>
          <w:tcPr>
            <w:tcW w:w="0" w:type="auto"/>
            <w:tcBorders>
              <w:top w:val="single" w:sz="4" w:space="0" w:color="auto"/>
              <w:left w:val="single" w:sz="4" w:space="0" w:color="auto"/>
              <w:bottom w:val="single" w:sz="4" w:space="0" w:color="auto"/>
              <w:right w:val="single" w:sz="4" w:space="0" w:color="auto"/>
            </w:tcBorders>
            <w:vAlign w:val="center"/>
            <w:hideMark/>
          </w:tcPr>
          <w:p w14:paraId="7C5357CB" w14:textId="77777777" w:rsidR="0046583A" w:rsidRDefault="0046583A" w:rsidP="00CC4168">
            <w:pPr>
              <w:spacing w:after="0"/>
              <w:rPr>
                <w:sz w:val="20"/>
                <w:lang w:val="en-US"/>
              </w:rPr>
            </w:pPr>
            <w:r>
              <w:rPr>
                <w:sz w:val="20"/>
                <w:lang w:val="en-US"/>
              </w:rPr>
              <w:t>HCFC-142b</w:t>
            </w:r>
          </w:p>
        </w:tc>
        <w:tc>
          <w:tcPr>
            <w:tcW w:w="0" w:type="auto"/>
            <w:tcBorders>
              <w:top w:val="single" w:sz="4" w:space="0" w:color="auto"/>
              <w:left w:val="single" w:sz="4" w:space="0" w:color="auto"/>
              <w:bottom w:val="single" w:sz="4" w:space="0" w:color="auto"/>
              <w:right w:val="single" w:sz="4" w:space="0" w:color="auto"/>
            </w:tcBorders>
            <w:vAlign w:val="center"/>
            <w:hideMark/>
          </w:tcPr>
          <w:p w14:paraId="245BF724" w14:textId="77777777" w:rsidR="0046583A" w:rsidRDefault="0046583A" w:rsidP="00CC4168">
            <w:pPr>
              <w:spacing w:after="0"/>
              <w:rPr>
                <w:sz w:val="20"/>
                <w:lang w:val="en-US"/>
              </w:rPr>
            </w:pPr>
            <w:r>
              <w:rPr>
                <w:sz w:val="20"/>
                <w:lang w:val="en-US"/>
              </w:rPr>
              <w:t xml:space="preserve">Vinylidene fluoride, and subsequent </w:t>
            </w:r>
            <w:proofErr w:type="spellStart"/>
            <w:r>
              <w:rPr>
                <w:sz w:val="20"/>
                <w:lang w:val="en-US"/>
              </w:rPr>
              <w:t>polymerisation</w:t>
            </w:r>
            <w:proofErr w:type="spellEnd"/>
            <w:r>
              <w:rPr>
                <w:sz w:val="20"/>
                <w:lang w:val="en-US"/>
              </w:rPr>
              <w:t xml:space="preserve"> products (as above for HCFC-142b).</w:t>
            </w:r>
          </w:p>
        </w:tc>
        <w:tc>
          <w:tcPr>
            <w:tcW w:w="0" w:type="auto"/>
            <w:tcBorders>
              <w:top w:val="single" w:sz="4" w:space="0" w:color="auto"/>
              <w:left w:val="single" w:sz="4" w:space="0" w:color="auto"/>
              <w:bottom w:val="single" w:sz="4" w:space="0" w:color="auto"/>
              <w:right w:val="single" w:sz="4" w:space="0" w:color="auto"/>
            </w:tcBorders>
            <w:vAlign w:val="center"/>
            <w:hideMark/>
          </w:tcPr>
          <w:p w14:paraId="7724E53C" w14:textId="77777777" w:rsidR="0046583A" w:rsidRDefault="0046583A" w:rsidP="00CC4168">
            <w:pPr>
              <w:spacing w:after="0"/>
              <w:rPr>
                <w:sz w:val="20"/>
                <w:lang w:val="en-US"/>
              </w:rPr>
            </w:pPr>
            <w:r>
              <w:rPr>
                <w:sz w:val="20"/>
                <w:lang w:val="en-US"/>
              </w:rPr>
              <w:t>Photochlorination to obtain HCFC-142b, followed by dehydrochlorination to obtain vinylidene fluoride.</w:t>
            </w:r>
          </w:p>
        </w:tc>
      </w:tr>
      <w:tr w:rsidR="0046583A" w14:paraId="4F7AC42C" w14:textId="77777777" w:rsidTr="00CC4168">
        <w:trPr>
          <w:trHeight w:val="401"/>
        </w:trPr>
        <w:tc>
          <w:tcPr>
            <w:tcW w:w="0" w:type="auto"/>
            <w:tcBorders>
              <w:top w:val="single" w:sz="4" w:space="0" w:color="auto"/>
              <w:left w:val="single" w:sz="4" w:space="0" w:color="auto"/>
              <w:bottom w:val="single" w:sz="4" w:space="0" w:color="auto"/>
              <w:right w:val="single" w:sz="4" w:space="0" w:color="auto"/>
            </w:tcBorders>
            <w:vAlign w:val="center"/>
            <w:hideMark/>
          </w:tcPr>
          <w:p w14:paraId="57CA1BB6" w14:textId="77777777" w:rsidR="0046583A" w:rsidRDefault="0046583A" w:rsidP="00CC4168">
            <w:pPr>
              <w:spacing w:after="0"/>
              <w:rPr>
                <w:sz w:val="20"/>
                <w:lang w:val="en-US"/>
              </w:rPr>
            </w:pPr>
            <w:r>
              <w:rPr>
                <w:sz w:val="20"/>
                <w:lang w:val="en-US"/>
              </w:rPr>
              <w:t>HFC-23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F95FCF7" w14:textId="77777777" w:rsidR="0046583A" w:rsidRDefault="0046583A" w:rsidP="00CC4168">
            <w:pPr>
              <w:spacing w:after="0"/>
              <w:rPr>
                <w:sz w:val="20"/>
                <w:lang w:val="en-US"/>
              </w:rPr>
            </w:pPr>
            <w:r>
              <w:rPr>
                <w:sz w:val="20"/>
                <w:lang w:val="en-US"/>
              </w:rPr>
              <w:t>Production of Halon 1301 by bromination for use as a feedstock</w:t>
            </w:r>
          </w:p>
        </w:tc>
        <w:tc>
          <w:tcPr>
            <w:tcW w:w="0" w:type="auto"/>
            <w:tcBorders>
              <w:top w:val="single" w:sz="4" w:space="0" w:color="auto"/>
              <w:left w:val="single" w:sz="4" w:space="0" w:color="auto"/>
              <w:bottom w:val="single" w:sz="4" w:space="0" w:color="auto"/>
              <w:right w:val="single" w:sz="4" w:space="0" w:color="auto"/>
            </w:tcBorders>
            <w:vAlign w:val="center"/>
          </w:tcPr>
          <w:p w14:paraId="3816867E" w14:textId="77777777" w:rsidR="0046583A" w:rsidRDefault="0046583A" w:rsidP="00CC4168">
            <w:pPr>
              <w:spacing w:after="0"/>
              <w:rPr>
                <w:sz w:val="20"/>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3265DD" w14:textId="77777777" w:rsidR="0046583A" w:rsidRDefault="0046583A" w:rsidP="00CC4168">
            <w:pPr>
              <w:spacing w:after="0"/>
              <w:rPr>
                <w:sz w:val="20"/>
                <w:lang w:val="en-US"/>
              </w:rPr>
            </w:pPr>
            <w:r>
              <w:rPr>
                <w:sz w:val="20"/>
                <w:lang w:val="en-US"/>
              </w:rPr>
              <w:t xml:space="preserve">HFC-23 is converted to </w:t>
            </w:r>
            <w:proofErr w:type="spellStart"/>
            <w:r>
              <w:rPr>
                <w:sz w:val="20"/>
                <w:lang w:val="en-US"/>
              </w:rPr>
              <w:t>bromotrifluoromethane</w:t>
            </w:r>
            <w:proofErr w:type="spellEnd"/>
            <w:r>
              <w:rPr>
                <w:sz w:val="20"/>
                <w:lang w:val="en-US"/>
              </w:rPr>
              <w:t xml:space="preserve"> by </w:t>
            </w:r>
            <w:proofErr w:type="spellStart"/>
            <w:r>
              <w:rPr>
                <w:sz w:val="20"/>
                <w:lang w:val="en-US"/>
              </w:rPr>
              <w:t>bromination</w:t>
            </w:r>
            <w:proofErr w:type="spellEnd"/>
            <w:r>
              <w:rPr>
                <w:sz w:val="20"/>
                <w:lang w:val="en-US"/>
              </w:rPr>
              <w:t xml:space="preserve">. </w:t>
            </w:r>
            <w:proofErr w:type="spellStart"/>
            <w:r>
              <w:rPr>
                <w:sz w:val="20"/>
                <w:lang w:val="en-US"/>
              </w:rPr>
              <w:t>Bromotrifluoromethane</w:t>
            </w:r>
            <w:proofErr w:type="spellEnd"/>
            <w:r>
              <w:rPr>
                <w:sz w:val="20"/>
                <w:lang w:val="en-US"/>
              </w:rPr>
              <w:t xml:space="preserve"> is then used as feedstock in the preparation of chemicals including fipronil (insecticide), mefloquine (antimalarial), and DPP-IV inhibitor (antidiabetic). CF</w:t>
            </w:r>
            <w:r>
              <w:rPr>
                <w:sz w:val="20"/>
                <w:vertAlign w:val="subscript"/>
                <w:lang w:val="en-US"/>
              </w:rPr>
              <w:t>3</w:t>
            </w:r>
            <w:r>
              <w:rPr>
                <w:sz w:val="20"/>
                <w:lang w:val="en-US"/>
              </w:rPr>
              <w:t xml:space="preserve"> generated from </w:t>
            </w:r>
            <w:proofErr w:type="spellStart"/>
            <w:r>
              <w:rPr>
                <w:sz w:val="20"/>
                <w:lang w:val="en-US"/>
              </w:rPr>
              <w:t>bromotrifluoromethane</w:t>
            </w:r>
            <w:proofErr w:type="spellEnd"/>
            <w:r>
              <w:rPr>
                <w:sz w:val="20"/>
                <w:lang w:val="en-US"/>
              </w:rPr>
              <w:t xml:space="preserve"> can be introduced into a wide range of organic molecules by nucleophilic substitution.</w:t>
            </w:r>
          </w:p>
        </w:tc>
      </w:tr>
    </w:tbl>
    <w:p w14:paraId="33C4B39C" w14:textId="77777777" w:rsidR="0046583A" w:rsidRDefault="0046583A" w:rsidP="0046583A">
      <w:pPr>
        <w:spacing w:before="120"/>
        <w:rPr>
          <w:i/>
          <w:iCs/>
          <w:sz w:val="20"/>
        </w:rPr>
      </w:pPr>
      <w:r>
        <w:rPr>
          <w:i/>
          <w:iCs/>
          <w:sz w:val="20"/>
        </w:rPr>
        <w:t>* A more comprehensive list of HFC feedstock uses will be provided in the MCTOC 2022 Assessment Report.</w:t>
      </w:r>
    </w:p>
    <w:p w14:paraId="1C2B4988" w14:textId="77777777" w:rsidR="0046583A" w:rsidRDefault="0046583A" w:rsidP="0046583A"/>
    <w:p w14:paraId="43B0A26D" w14:textId="77777777" w:rsidR="0046583A" w:rsidRDefault="0046583A" w:rsidP="0046583A">
      <w:pPr>
        <w:spacing w:after="0"/>
        <w:sectPr w:rsidR="0046583A">
          <w:pgSz w:w="16838" w:h="11906" w:orient="landscape"/>
          <w:pgMar w:top="1440" w:right="1440" w:bottom="1440" w:left="1440" w:header="708" w:footer="708" w:gutter="0"/>
          <w:cols w:space="720"/>
        </w:sectPr>
      </w:pPr>
    </w:p>
    <w:p w14:paraId="6A53F607" w14:textId="72F11962" w:rsidR="0046583A" w:rsidRPr="00C7675C" w:rsidRDefault="005C29DA" w:rsidP="005C5E68">
      <w:pPr>
        <w:pStyle w:val="Heading2"/>
        <w:rPr>
          <w:rStyle w:val="Heading311ptBoldChar"/>
          <w:b/>
        </w:rPr>
      </w:pPr>
      <w:bookmarkStart w:id="498" w:name="_Toc102135751"/>
      <w:bookmarkStart w:id="499" w:name="_Toc104396712"/>
      <w:bookmarkStart w:id="500" w:name="_Toc6417337"/>
      <w:bookmarkStart w:id="501" w:name="_Toc9109586"/>
      <w:bookmarkStart w:id="502" w:name="_Toc40190280"/>
      <w:bookmarkStart w:id="503" w:name="_Toc40696080"/>
      <w:bookmarkStart w:id="504" w:name="_Toc77770769"/>
      <w:bookmarkStart w:id="505" w:name="_Toc77868913"/>
      <w:bookmarkStart w:id="506" w:name="_Toc78040746"/>
      <w:bookmarkStart w:id="507" w:name="_Toc79066551"/>
      <w:bookmarkStart w:id="508" w:name="_Toc80642591"/>
      <w:r w:rsidRPr="00C7675C">
        <w:rPr>
          <w:rStyle w:val="Heading311ptBoldChar"/>
          <w:b/>
        </w:rPr>
        <w:lastRenderedPageBreak/>
        <w:t>6</w:t>
      </w:r>
      <w:r w:rsidR="0046583A" w:rsidRPr="00C7675C">
        <w:rPr>
          <w:rStyle w:val="Heading311ptBoldChar"/>
          <w:b/>
        </w:rPr>
        <w:t>.1.6</w:t>
      </w:r>
      <w:r w:rsidR="0046583A" w:rsidRPr="00C7675C">
        <w:rPr>
          <w:rStyle w:val="Heading311ptBoldChar"/>
          <w:b/>
        </w:rPr>
        <w:tab/>
        <w:t>Recent and historical trends in the production and use of</w:t>
      </w:r>
      <w:r w:rsidR="0070013C" w:rsidRPr="00C7675C">
        <w:rPr>
          <w:rStyle w:val="Heading311ptBoldChar"/>
          <w:b/>
        </w:rPr>
        <w:t xml:space="preserve"> co</w:t>
      </w:r>
      <w:r w:rsidR="00BA65B9" w:rsidRPr="00C7675C">
        <w:rPr>
          <w:rStyle w:val="Heading311ptBoldChar"/>
          <w:b/>
        </w:rPr>
        <w:t>ntrolled</w:t>
      </w:r>
      <w:r w:rsidR="0046583A" w:rsidRPr="00C7675C">
        <w:rPr>
          <w:rStyle w:val="Heading311ptBoldChar"/>
          <w:b/>
        </w:rPr>
        <w:t xml:space="preserve"> ODS as feedstock</w:t>
      </w:r>
      <w:bookmarkEnd w:id="498"/>
      <w:bookmarkEnd w:id="499"/>
      <w:r w:rsidR="0046583A" w:rsidRPr="00C7675C">
        <w:rPr>
          <w:rStyle w:val="Heading311ptBoldChar"/>
          <w:b/>
        </w:rPr>
        <w:t xml:space="preserve"> </w:t>
      </w:r>
      <w:bookmarkEnd w:id="500"/>
      <w:bookmarkEnd w:id="501"/>
      <w:bookmarkEnd w:id="502"/>
      <w:bookmarkEnd w:id="503"/>
      <w:bookmarkEnd w:id="504"/>
      <w:bookmarkEnd w:id="505"/>
      <w:bookmarkEnd w:id="506"/>
      <w:bookmarkEnd w:id="507"/>
      <w:bookmarkEnd w:id="508"/>
    </w:p>
    <w:p w14:paraId="321260DB" w14:textId="177A89B7" w:rsidR="0046583A" w:rsidRDefault="0046583A" w:rsidP="0046583A">
      <w:r>
        <w:t>Data reported by parties to the Ozone Secretariat on production and import of</w:t>
      </w:r>
      <w:r w:rsidR="00BA65B9">
        <w:t xml:space="preserve"> controlled</w:t>
      </w:r>
      <w:r>
        <w:t xml:space="preserve"> ODS used as feedstock for the year 2020 was provided to the MCTOC. These also include quantities used as process agents because parties are required to report such consumption in a manner consistent to that for feedstock. In 2020, a total of </w:t>
      </w:r>
      <w:r w:rsidRPr="0048203C">
        <w:t>1</w:t>
      </w:r>
      <w:r>
        <w:t>5 parties</w:t>
      </w:r>
      <w:r>
        <w:rPr>
          <w:rFonts w:ascii="ZWAdobeF" w:hAnsi="ZWAdobeF" w:cs="ZWAdobeF"/>
          <w:color w:val="auto"/>
          <w:sz w:val="2"/>
          <w:szCs w:val="2"/>
        </w:rPr>
        <w:t>31F</w:t>
      </w:r>
      <w:r>
        <w:rPr>
          <w:vertAlign w:val="superscript"/>
        </w:rPr>
        <w:footnoteReference w:id="31"/>
      </w:r>
      <w:r>
        <w:t xml:space="preserve"> reported feedstock use of ODS, while 12 of these parties also produced ODS for feedstock uses. </w:t>
      </w:r>
      <w:r w:rsidRPr="00C72523">
        <w:t>In 2019, a total of 16 parties had reported use of ODS as feedstock. Two of these parties had reported imports of less than 0.1 metric tonne.</w:t>
      </w:r>
    </w:p>
    <w:p w14:paraId="061A8422" w14:textId="7E07631E" w:rsidR="0046583A" w:rsidRDefault="0046583A" w:rsidP="0046583A">
      <w:r>
        <w:t>In 2020, total ODS production and import for feedstock uses was 1,475,007 tonnes, a small decrease compared to 2019 (2019</w:t>
      </w:r>
      <w:r w:rsidRPr="00BF664B">
        <w:t xml:space="preserve">: </w:t>
      </w:r>
      <w:r>
        <w:t>1,486,288 tonnes</w:t>
      </w:r>
      <w:r>
        <w:rPr>
          <w:rFonts w:ascii="ZWAdobeF" w:hAnsi="ZWAdobeF" w:cs="ZWAdobeF"/>
          <w:color w:val="auto"/>
          <w:sz w:val="2"/>
          <w:szCs w:val="2"/>
        </w:rPr>
        <w:t>32F</w:t>
      </w:r>
      <w:r>
        <w:rPr>
          <w:vertAlign w:val="superscript"/>
        </w:rPr>
        <w:footnoteReference w:id="32"/>
      </w:r>
      <w:r>
        <w:t xml:space="preserve">). Figure </w:t>
      </w:r>
      <w:r w:rsidR="00C7675C">
        <w:t>6</w:t>
      </w:r>
      <w:r>
        <w:t xml:space="preserve">.1 shows that, comparing 2020 with 2019, only small changes have occurred for individual substances resulting in an overall small decrease. </w:t>
      </w:r>
      <w:r w:rsidRPr="00BB5281">
        <w:t>The 20</w:t>
      </w:r>
      <w:r>
        <w:t>20</w:t>
      </w:r>
      <w:r w:rsidRPr="00BB5281">
        <w:t xml:space="preserve"> reported total production and import of ODS for feedstock use in metric tonnes represents 55</w:t>
      </w:r>
      <w:r>
        <w:t xml:space="preserve">4,116 </w:t>
      </w:r>
      <w:r w:rsidRPr="00BB5281">
        <w:t>ODP tonnes.</w:t>
      </w:r>
      <w:r w:rsidRPr="00BB5281">
        <w:rPr>
          <w:rFonts w:ascii="ZWAdobeF" w:hAnsi="ZWAdobeF" w:cs="ZWAdobeF"/>
          <w:color w:val="auto"/>
          <w:sz w:val="2"/>
          <w:szCs w:val="2"/>
        </w:rPr>
        <w:t>33F</w:t>
      </w:r>
      <w:r w:rsidRPr="00BB5281">
        <w:rPr>
          <w:vertAlign w:val="superscript"/>
        </w:rPr>
        <w:footnoteReference w:id="33"/>
      </w:r>
      <w:r>
        <w:t xml:space="preserve"> The overall increase in ODS feedstock uses through the last decade has been mostly due to the increase in feedstock uses of Annex C1 HCFCs, particularly HCFC-22, while uptake of HFOs is driving a more recent increase in CTC feedstock use. It is highly likely that the COVID pandemic had an impact on feedstock production and consumption in 2020.</w:t>
      </w:r>
    </w:p>
    <w:p w14:paraId="424BC645" w14:textId="4C048DD1" w:rsidR="0046583A" w:rsidRDefault="0046583A" w:rsidP="0046583A">
      <w:pPr>
        <w:keepNext/>
        <w:tabs>
          <w:tab w:val="left" w:pos="1134"/>
        </w:tabs>
        <w:ind w:left="1134" w:hanging="1134"/>
        <w:rPr>
          <w:b/>
          <w:iCs/>
        </w:rPr>
      </w:pPr>
      <w:r>
        <w:rPr>
          <w:b/>
          <w:iCs/>
        </w:rPr>
        <w:t>Fig</w:t>
      </w:r>
      <w:r w:rsidR="00C7675C">
        <w:rPr>
          <w:b/>
          <w:iCs/>
        </w:rPr>
        <w:t>.</w:t>
      </w:r>
      <w:r>
        <w:rPr>
          <w:b/>
          <w:iCs/>
        </w:rPr>
        <w:t xml:space="preserve"> </w:t>
      </w:r>
      <w:r w:rsidR="00BA65B9">
        <w:rPr>
          <w:b/>
          <w:iCs/>
        </w:rPr>
        <w:t>6</w:t>
      </w:r>
      <w:r>
        <w:rPr>
          <w:b/>
          <w:iCs/>
        </w:rPr>
        <w:t>.1.</w:t>
      </w:r>
      <w:r>
        <w:rPr>
          <w:b/>
          <w:iCs/>
        </w:rPr>
        <w:tab/>
        <w:t>Annual reported production of ODS for feedstock and process agent uses, categorised by Montreal Protocol Group, for the years 2002-2020 (metric tonnes)</w:t>
      </w:r>
      <w:r>
        <w:rPr>
          <w:rFonts w:ascii="ZWAdobeF" w:hAnsi="ZWAdobeF" w:cs="ZWAdobeF"/>
          <w:iCs/>
          <w:color w:val="auto"/>
          <w:sz w:val="2"/>
          <w:szCs w:val="2"/>
        </w:rPr>
        <w:t>34F</w:t>
      </w:r>
      <w:r>
        <w:rPr>
          <w:iCs/>
          <w:vertAlign w:val="superscript"/>
        </w:rPr>
        <w:footnoteReference w:id="34"/>
      </w:r>
    </w:p>
    <w:p w14:paraId="70022E90" w14:textId="77777777" w:rsidR="0046583A" w:rsidRDefault="0046583A" w:rsidP="0046583A">
      <w:pPr>
        <w:spacing w:after="0"/>
        <w:rPr>
          <w:b/>
          <w:iCs/>
        </w:rPr>
      </w:pPr>
      <w:r>
        <w:rPr>
          <w:b/>
          <w:iCs/>
          <w:noProof/>
        </w:rPr>
        <w:drawing>
          <wp:inline distT="0" distB="0" distL="0" distR="0" wp14:anchorId="0EA384EC" wp14:editId="322F1ADE">
            <wp:extent cx="4596765" cy="2767965"/>
            <wp:effectExtent l="0" t="0" r="0" b="0"/>
            <wp:docPr id="13" name="Picture 13"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waterfall chart&#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96765" cy="2767965"/>
                    </a:xfrm>
                    <a:prstGeom prst="rect">
                      <a:avLst/>
                    </a:prstGeom>
                    <a:noFill/>
                  </pic:spPr>
                </pic:pic>
              </a:graphicData>
            </a:graphic>
          </wp:inline>
        </w:drawing>
      </w:r>
      <w:r>
        <w:rPr>
          <w:b/>
          <w:iCs/>
        </w:rPr>
        <w:br w:type="page"/>
      </w:r>
    </w:p>
    <w:p w14:paraId="1EC140ED" w14:textId="0206F972" w:rsidR="0046583A" w:rsidRDefault="0046583A" w:rsidP="0046583A">
      <w:pPr>
        <w:keepNext/>
        <w:tabs>
          <w:tab w:val="left" w:pos="990"/>
        </w:tabs>
        <w:ind w:left="992" w:hanging="992"/>
        <w:rPr>
          <w:b/>
          <w:bCs/>
          <w:iCs/>
          <w:sz w:val="20"/>
        </w:rPr>
      </w:pPr>
      <w:r>
        <w:rPr>
          <w:b/>
          <w:iCs/>
        </w:rPr>
        <w:lastRenderedPageBreak/>
        <w:t xml:space="preserve">Table </w:t>
      </w:r>
      <w:r w:rsidR="005C29DA">
        <w:rPr>
          <w:b/>
          <w:iCs/>
        </w:rPr>
        <w:t>6</w:t>
      </w:r>
      <w:r>
        <w:rPr>
          <w:b/>
          <w:iCs/>
        </w:rPr>
        <w:t>.3.</w:t>
      </w:r>
      <w:r>
        <w:rPr>
          <w:b/>
          <w:iCs/>
        </w:rPr>
        <w:tab/>
        <w:t>Amount of ODS used as feedstock in 2020</w:t>
      </w:r>
    </w:p>
    <w:tbl>
      <w:tblPr>
        <w:tblW w:w="6220" w:type="dxa"/>
        <w:tblLook w:val="04A0" w:firstRow="1" w:lastRow="0" w:firstColumn="1" w:lastColumn="0" w:noHBand="0" w:noVBand="1"/>
      </w:tblPr>
      <w:tblGrid>
        <w:gridCol w:w="3440"/>
        <w:gridCol w:w="960"/>
        <w:gridCol w:w="1820"/>
      </w:tblGrid>
      <w:tr w:rsidR="0046583A" w:rsidRPr="00D94CD4" w14:paraId="2683A12E" w14:textId="77777777" w:rsidTr="0046583A">
        <w:trPr>
          <w:trHeight w:val="300"/>
        </w:trPr>
        <w:tc>
          <w:tcPr>
            <w:tcW w:w="3440"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76E48C40" w14:textId="77777777" w:rsidR="0046583A" w:rsidRPr="00D94CD4" w:rsidRDefault="0046583A" w:rsidP="0046583A">
            <w:pPr>
              <w:spacing w:after="0"/>
              <w:rPr>
                <w:b/>
                <w:bCs/>
                <w:sz w:val="20"/>
                <w:lang w:eastAsia="en-GB"/>
              </w:rPr>
            </w:pPr>
            <w:r w:rsidRPr="00D94CD4">
              <w:rPr>
                <w:b/>
                <w:bCs/>
                <w:sz w:val="20"/>
                <w:lang w:eastAsia="en-GB"/>
              </w:rPr>
              <w:t>Substance</w:t>
            </w:r>
          </w:p>
        </w:tc>
        <w:tc>
          <w:tcPr>
            <w:tcW w:w="960" w:type="dxa"/>
            <w:tcBorders>
              <w:top w:val="single" w:sz="12" w:space="0" w:color="auto"/>
              <w:left w:val="nil"/>
              <w:bottom w:val="single" w:sz="4" w:space="0" w:color="auto"/>
              <w:right w:val="single" w:sz="4" w:space="0" w:color="auto"/>
            </w:tcBorders>
            <w:shd w:val="clear" w:color="auto" w:fill="auto"/>
            <w:noWrap/>
            <w:vAlign w:val="bottom"/>
            <w:hideMark/>
          </w:tcPr>
          <w:p w14:paraId="38E57062" w14:textId="77777777" w:rsidR="0046583A" w:rsidRPr="00D94CD4" w:rsidRDefault="0046583A" w:rsidP="0046583A">
            <w:pPr>
              <w:spacing w:after="0"/>
              <w:jc w:val="center"/>
              <w:rPr>
                <w:b/>
                <w:bCs/>
                <w:sz w:val="20"/>
                <w:lang w:eastAsia="en-GB"/>
              </w:rPr>
            </w:pPr>
            <w:r w:rsidRPr="00D94CD4">
              <w:rPr>
                <w:b/>
                <w:bCs/>
                <w:sz w:val="20"/>
                <w:lang w:eastAsia="en-GB"/>
              </w:rPr>
              <w:t>ODP</w:t>
            </w:r>
          </w:p>
        </w:tc>
        <w:tc>
          <w:tcPr>
            <w:tcW w:w="1820" w:type="dxa"/>
            <w:tcBorders>
              <w:top w:val="single" w:sz="12" w:space="0" w:color="auto"/>
              <w:left w:val="nil"/>
              <w:bottom w:val="single" w:sz="4" w:space="0" w:color="auto"/>
              <w:right w:val="single" w:sz="12" w:space="0" w:color="auto"/>
            </w:tcBorders>
            <w:shd w:val="clear" w:color="auto" w:fill="auto"/>
            <w:noWrap/>
            <w:vAlign w:val="bottom"/>
            <w:hideMark/>
          </w:tcPr>
          <w:p w14:paraId="55152044" w14:textId="77777777" w:rsidR="0046583A" w:rsidRPr="00D94CD4" w:rsidRDefault="0046583A" w:rsidP="0046583A">
            <w:pPr>
              <w:spacing w:after="0"/>
              <w:jc w:val="center"/>
              <w:rPr>
                <w:b/>
                <w:bCs/>
                <w:sz w:val="20"/>
                <w:lang w:eastAsia="en-GB"/>
              </w:rPr>
            </w:pPr>
            <w:r w:rsidRPr="00D94CD4">
              <w:rPr>
                <w:b/>
                <w:bCs/>
                <w:sz w:val="20"/>
                <w:lang w:eastAsia="en-GB"/>
              </w:rPr>
              <w:t>Metric Tonnes</w:t>
            </w:r>
          </w:p>
        </w:tc>
      </w:tr>
      <w:tr w:rsidR="0046583A" w:rsidRPr="00D94CD4" w14:paraId="6DC74E0D"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22CB1856" w14:textId="77777777" w:rsidR="0046583A" w:rsidRPr="00D94CD4" w:rsidRDefault="0046583A" w:rsidP="0046583A">
            <w:pPr>
              <w:spacing w:after="0"/>
              <w:rPr>
                <w:sz w:val="20"/>
                <w:lang w:eastAsia="en-GB"/>
              </w:rPr>
            </w:pPr>
            <w:r w:rsidRPr="00D94CD4">
              <w:rPr>
                <w:sz w:val="20"/>
                <w:lang w:eastAsia="en-GB"/>
              </w:rPr>
              <w:t>HCFC-22</w:t>
            </w:r>
          </w:p>
        </w:tc>
        <w:tc>
          <w:tcPr>
            <w:tcW w:w="960" w:type="dxa"/>
            <w:tcBorders>
              <w:top w:val="nil"/>
              <w:left w:val="nil"/>
              <w:bottom w:val="single" w:sz="4" w:space="0" w:color="auto"/>
              <w:right w:val="single" w:sz="4" w:space="0" w:color="auto"/>
            </w:tcBorders>
            <w:shd w:val="clear" w:color="auto" w:fill="auto"/>
            <w:noWrap/>
            <w:vAlign w:val="bottom"/>
            <w:hideMark/>
          </w:tcPr>
          <w:p w14:paraId="64715EAD" w14:textId="77777777" w:rsidR="0046583A" w:rsidRPr="00D94CD4" w:rsidRDefault="0046583A" w:rsidP="0046583A">
            <w:pPr>
              <w:spacing w:after="0"/>
              <w:jc w:val="center"/>
              <w:rPr>
                <w:sz w:val="20"/>
                <w:lang w:eastAsia="en-GB"/>
              </w:rPr>
            </w:pPr>
            <w:r w:rsidRPr="00D94CD4">
              <w:rPr>
                <w:sz w:val="20"/>
                <w:lang w:eastAsia="en-GB"/>
              </w:rPr>
              <w:t>0.055</w:t>
            </w:r>
          </w:p>
        </w:tc>
        <w:tc>
          <w:tcPr>
            <w:tcW w:w="1820" w:type="dxa"/>
            <w:tcBorders>
              <w:top w:val="nil"/>
              <w:left w:val="nil"/>
              <w:bottom w:val="single" w:sz="4" w:space="0" w:color="auto"/>
              <w:right w:val="single" w:sz="12" w:space="0" w:color="auto"/>
            </w:tcBorders>
            <w:shd w:val="clear" w:color="auto" w:fill="auto"/>
            <w:noWrap/>
            <w:vAlign w:val="bottom"/>
            <w:hideMark/>
          </w:tcPr>
          <w:p w14:paraId="6C49FEF8" w14:textId="77777777" w:rsidR="0046583A" w:rsidRPr="00D94CD4" w:rsidRDefault="0046583A" w:rsidP="0046583A">
            <w:pPr>
              <w:spacing w:after="0"/>
              <w:jc w:val="center"/>
              <w:rPr>
                <w:sz w:val="20"/>
                <w:lang w:eastAsia="en-GB"/>
              </w:rPr>
            </w:pPr>
            <w:r w:rsidRPr="00D94CD4">
              <w:rPr>
                <w:sz w:val="20"/>
                <w:lang w:eastAsia="en-GB"/>
              </w:rPr>
              <w:t>713,536</w:t>
            </w:r>
          </w:p>
        </w:tc>
      </w:tr>
      <w:tr w:rsidR="0046583A" w:rsidRPr="00D94CD4" w14:paraId="6D942368"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120A4089" w14:textId="77777777" w:rsidR="0046583A" w:rsidRPr="00D94CD4" w:rsidRDefault="0046583A" w:rsidP="0046583A">
            <w:pPr>
              <w:spacing w:after="0"/>
              <w:rPr>
                <w:sz w:val="20"/>
                <w:lang w:eastAsia="en-GB"/>
              </w:rPr>
            </w:pPr>
            <w:r w:rsidRPr="00D94CD4">
              <w:rPr>
                <w:sz w:val="20"/>
                <w:lang w:eastAsia="en-GB"/>
              </w:rPr>
              <w:t>Carbon Tetrachloride</w:t>
            </w:r>
          </w:p>
        </w:tc>
        <w:tc>
          <w:tcPr>
            <w:tcW w:w="960" w:type="dxa"/>
            <w:tcBorders>
              <w:top w:val="nil"/>
              <w:left w:val="nil"/>
              <w:bottom w:val="single" w:sz="4" w:space="0" w:color="auto"/>
              <w:right w:val="single" w:sz="4" w:space="0" w:color="auto"/>
            </w:tcBorders>
            <w:shd w:val="clear" w:color="auto" w:fill="auto"/>
            <w:noWrap/>
            <w:vAlign w:val="bottom"/>
            <w:hideMark/>
          </w:tcPr>
          <w:p w14:paraId="2E5A8C55" w14:textId="77777777" w:rsidR="0046583A" w:rsidRPr="00D94CD4" w:rsidRDefault="0046583A" w:rsidP="0046583A">
            <w:pPr>
              <w:spacing w:after="0"/>
              <w:jc w:val="center"/>
              <w:rPr>
                <w:sz w:val="20"/>
                <w:lang w:eastAsia="en-GB"/>
              </w:rPr>
            </w:pPr>
            <w:r w:rsidRPr="00D94CD4">
              <w:rPr>
                <w:sz w:val="20"/>
                <w:lang w:eastAsia="en-GB"/>
              </w:rPr>
              <w:t>1.1</w:t>
            </w:r>
          </w:p>
        </w:tc>
        <w:tc>
          <w:tcPr>
            <w:tcW w:w="1820" w:type="dxa"/>
            <w:tcBorders>
              <w:top w:val="nil"/>
              <w:left w:val="nil"/>
              <w:bottom w:val="single" w:sz="4" w:space="0" w:color="auto"/>
              <w:right w:val="single" w:sz="12" w:space="0" w:color="auto"/>
            </w:tcBorders>
            <w:shd w:val="clear" w:color="auto" w:fill="auto"/>
            <w:noWrap/>
            <w:vAlign w:val="bottom"/>
            <w:hideMark/>
          </w:tcPr>
          <w:p w14:paraId="62C65412" w14:textId="77777777" w:rsidR="0046583A" w:rsidRPr="00D94CD4" w:rsidRDefault="0046583A" w:rsidP="0046583A">
            <w:pPr>
              <w:spacing w:after="0"/>
              <w:jc w:val="center"/>
              <w:rPr>
                <w:sz w:val="20"/>
                <w:lang w:eastAsia="en-GB"/>
              </w:rPr>
            </w:pPr>
            <w:r w:rsidRPr="00D94CD4">
              <w:rPr>
                <w:sz w:val="20"/>
                <w:lang w:eastAsia="en-GB"/>
              </w:rPr>
              <w:t>288,935</w:t>
            </w:r>
          </w:p>
        </w:tc>
      </w:tr>
      <w:tr w:rsidR="0046583A" w:rsidRPr="00D94CD4" w14:paraId="1102649E"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671F4A0F" w14:textId="77777777" w:rsidR="0046583A" w:rsidRPr="00D94CD4" w:rsidRDefault="0046583A" w:rsidP="0046583A">
            <w:pPr>
              <w:spacing w:after="0"/>
              <w:rPr>
                <w:sz w:val="20"/>
                <w:lang w:eastAsia="en-GB"/>
              </w:rPr>
            </w:pPr>
            <w:r w:rsidRPr="00D94CD4">
              <w:rPr>
                <w:sz w:val="20"/>
                <w:lang w:eastAsia="en-GB"/>
              </w:rPr>
              <w:t>HCFC-142b</w:t>
            </w:r>
            <w:r>
              <w:rPr>
                <w:sz w:val="20"/>
                <w:lang w:eastAsia="en-GB"/>
              </w:rPr>
              <w:t xml:space="preserve"> (reported as HCFC-142 and HCFC-142b)</w:t>
            </w:r>
          </w:p>
        </w:tc>
        <w:tc>
          <w:tcPr>
            <w:tcW w:w="960" w:type="dxa"/>
            <w:tcBorders>
              <w:top w:val="nil"/>
              <w:left w:val="nil"/>
              <w:bottom w:val="single" w:sz="4" w:space="0" w:color="auto"/>
              <w:right w:val="single" w:sz="4" w:space="0" w:color="auto"/>
            </w:tcBorders>
            <w:shd w:val="clear" w:color="auto" w:fill="auto"/>
            <w:noWrap/>
            <w:vAlign w:val="bottom"/>
            <w:hideMark/>
          </w:tcPr>
          <w:p w14:paraId="36691643" w14:textId="77777777" w:rsidR="0046583A" w:rsidRPr="00D94CD4" w:rsidRDefault="0046583A" w:rsidP="0046583A">
            <w:pPr>
              <w:spacing w:after="0"/>
              <w:jc w:val="center"/>
              <w:rPr>
                <w:sz w:val="20"/>
                <w:lang w:eastAsia="en-GB"/>
              </w:rPr>
            </w:pPr>
            <w:r w:rsidRPr="00D94CD4">
              <w:rPr>
                <w:sz w:val="20"/>
                <w:lang w:eastAsia="en-GB"/>
              </w:rPr>
              <w:t>0.065</w:t>
            </w:r>
          </w:p>
        </w:tc>
        <w:tc>
          <w:tcPr>
            <w:tcW w:w="1820" w:type="dxa"/>
            <w:tcBorders>
              <w:top w:val="nil"/>
              <w:left w:val="nil"/>
              <w:bottom w:val="single" w:sz="4" w:space="0" w:color="auto"/>
              <w:right w:val="single" w:sz="12" w:space="0" w:color="auto"/>
            </w:tcBorders>
            <w:shd w:val="clear" w:color="auto" w:fill="auto"/>
            <w:noWrap/>
            <w:vAlign w:val="bottom"/>
            <w:hideMark/>
          </w:tcPr>
          <w:p w14:paraId="7887E8FF" w14:textId="77777777" w:rsidR="0046583A" w:rsidRPr="00D94CD4" w:rsidRDefault="0046583A" w:rsidP="0046583A">
            <w:pPr>
              <w:spacing w:after="0"/>
              <w:jc w:val="center"/>
              <w:rPr>
                <w:sz w:val="20"/>
                <w:lang w:eastAsia="en-GB"/>
              </w:rPr>
            </w:pPr>
            <w:r w:rsidRPr="00D94CD4">
              <w:rPr>
                <w:sz w:val="20"/>
                <w:lang w:eastAsia="en-GB"/>
              </w:rPr>
              <w:t>166,966</w:t>
            </w:r>
          </w:p>
        </w:tc>
      </w:tr>
      <w:tr w:rsidR="0046583A" w:rsidRPr="00D94CD4" w14:paraId="662C3A47"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23DABD1E" w14:textId="77777777" w:rsidR="0046583A" w:rsidRPr="00D94CD4" w:rsidRDefault="0046583A" w:rsidP="0046583A">
            <w:pPr>
              <w:spacing w:after="0"/>
              <w:rPr>
                <w:sz w:val="20"/>
                <w:lang w:eastAsia="en-GB"/>
              </w:rPr>
            </w:pPr>
            <w:r w:rsidRPr="00D94CD4">
              <w:rPr>
                <w:sz w:val="20"/>
                <w:lang w:eastAsia="en-GB"/>
              </w:rPr>
              <w:t>CFC-113 and CFC-113a</w:t>
            </w:r>
          </w:p>
        </w:tc>
        <w:tc>
          <w:tcPr>
            <w:tcW w:w="960" w:type="dxa"/>
            <w:tcBorders>
              <w:top w:val="nil"/>
              <w:left w:val="nil"/>
              <w:bottom w:val="single" w:sz="4" w:space="0" w:color="auto"/>
              <w:right w:val="single" w:sz="4" w:space="0" w:color="auto"/>
            </w:tcBorders>
            <w:shd w:val="clear" w:color="auto" w:fill="auto"/>
            <w:noWrap/>
            <w:vAlign w:val="bottom"/>
            <w:hideMark/>
          </w:tcPr>
          <w:p w14:paraId="1995F8D3" w14:textId="77777777" w:rsidR="0046583A" w:rsidRPr="00D94CD4" w:rsidRDefault="0046583A" w:rsidP="0046583A">
            <w:pPr>
              <w:spacing w:after="0"/>
              <w:jc w:val="center"/>
              <w:rPr>
                <w:sz w:val="20"/>
                <w:lang w:eastAsia="en-GB"/>
              </w:rPr>
            </w:pPr>
            <w:r w:rsidRPr="00D94CD4">
              <w:rPr>
                <w:sz w:val="20"/>
                <w:lang w:eastAsia="en-GB"/>
              </w:rPr>
              <w:t>0.8</w:t>
            </w:r>
          </w:p>
        </w:tc>
        <w:tc>
          <w:tcPr>
            <w:tcW w:w="1820" w:type="dxa"/>
            <w:tcBorders>
              <w:top w:val="nil"/>
              <w:left w:val="nil"/>
              <w:bottom w:val="single" w:sz="4" w:space="0" w:color="auto"/>
              <w:right w:val="single" w:sz="12" w:space="0" w:color="auto"/>
            </w:tcBorders>
            <w:shd w:val="clear" w:color="auto" w:fill="auto"/>
            <w:noWrap/>
            <w:vAlign w:val="bottom"/>
            <w:hideMark/>
          </w:tcPr>
          <w:p w14:paraId="297770B9" w14:textId="77777777" w:rsidR="0046583A" w:rsidRPr="00D94CD4" w:rsidRDefault="0046583A" w:rsidP="0046583A">
            <w:pPr>
              <w:spacing w:after="0"/>
              <w:jc w:val="center"/>
              <w:rPr>
                <w:sz w:val="20"/>
                <w:lang w:eastAsia="en-GB"/>
              </w:rPr>
            </w:pPr>
            <w:r w:rsidRPr="00D94CD4">
              <w:rPr>
                <w:sz w:val="20"/>
                <w:lang w:eastAsia="en-GB"/>
              </w:rPr>
              <w:t>138,443</w:t>
            </w:r>
          </w:p>
        </w:tc>
      </w:tr>
      <w:tr w:rsidR="0046583A" w:rsidRPr="00D94CD4" w14:paraId="596E7152"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49C4A429" w14:textId="77777777" w:rsidR="0046583A" w:rsidRPr="00D94CD4" w:rsidRDefault="0046583A" w:rsidP="0046583A">
            <w:pPr>
              <w:spacing w:after="0"/>
              <w:rPr>
                <w:sz w:val="20"/>
                <w:lang w:eastAsia="en-GB"/>
              </w:rPr>
            </w:pPr>
            <w:r w:rsidRPr="00D94CD4">
              <w:rPr>
                <w:sz w:val="20"/>
                <w:lang w:eastAsia="en-GB"/>
              </w:rPr>
              <w:t>1,1,1-trichloroethane (methyl chloroform)</w:t>
            </w:r>
          </w:p>
        </w:tc>
        <w:tc>
          <w:tcPr>
            <w:tcW w:w="960" w:type="dxa"/>
            <w:tcBorders>
              <w:top w:val="nil"/>
              <w:left w:val="nil"/>
              <w:bottom w:val="single" w:sz="4" w:space="0" w:color="auto"/>
              <w:right w:val="single" w:sz="4" w:space="0" w:color="auto"/>
            </w:tcBorders>
            <w:shd w:val="clear" w:color="auto" w:fill="auto"/>
            <w:noWrap/>
            <w:vAlign w:val="bottom"/>
            <w:hideMark/>
          </w:tcPr>
          <w:p w14:paraId="17DAA817" w14:textId="77777777" w:rsidR="0046583A" w:rsidRPr="00D94CD4" w:rsidRDefault="0046583A" w:rsidP="0046583A">
            <w:pPr>
              <w:spacing w:after="0"/>
              <w:jc w:val="center"/>
              <w:rPr>
                <w:sz w:val="20"/>
                <w:lang w:eastAsia="en-GB"/>
              </w:rPr>
            </w:pPr>
            <w:r w:rsidRPr="00D94CD4">
              <w:rPr>
                <w:sz w:val="20"/>
                <w:lang w:eastAsia="en-GB"/>
              </w:rPr>
              <w:t>0.1</w:t>
            </w:r>
          </w:p>
        </w:tc>
        <w:tc>
          <w:tcPr>
            <w:tcW w:w="1820" w:type="dxa"/>
            <w:tcBorders>
              <w:top w:val="nil"/>
              <w:left w:val="nil"/>
              <w:bottom w:val="single" w:sz="4" w:space="0" w:color="auto"/>
              <w:right w:val="single" w:sz="12" w:space="0" w:color="auto"/>
            </w:tcBorders>
            <w:shd w:val="clear" w:color="auto" w:fill="auto"/>
            <w:noWrap/>
            <w:vAlign w:val="bottom"/>
            <w:hideMark/>
          </w:tcPr>
          <w:p w14:paraId="3A6F431D" w14:textId="77777777" w:rsidR="0046583A" w:rsidRPr="00D94CD4" w:rsidRDefault="0046583A" w:rsidP="0046583A">
            <w:pPr>
              <w:spacing w:after="0"/>
              <w:jc w:val="center"/>
              <w:rPr>
                <w:sz w:val="20"/>
                <w:lang w:eastAsia="en-GB"/>
              </w:rPr>
            </w:pPr>
            <w:r w:rsidRPr="00D94CD4">
              <w:rPr>
                <w:sz w:val="20"/>
                <w:lang w:eastAsia="en-GB"/>
              </w:rPr>
              <w:t>&gt;50,000</w:t>
            </w:r>
          </w:p>
        </w:tc>
      </w:tr>
      <w:tr w:rsidR="0046583A" w:rsidRPr="00D94CD4" w14:paraId="292A08A0"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7CFE430F" w14:textId="77777777" w:rsidR="0046583A" w:rsidRPr="00D94CD4" w:rsidRDefault="0046583A" w:rsidP="0046583A">
            <w:pPr>
              <w:spacing w:after="0"/>
              <w:rPr>
                <w:sz w:val="20"/>
                <w:lang w:eastAsia="en-GB"/>
              </w:rPr>
            </w:pPr>
            <w:r w:rsidRPr="00D94CD4">
              <w:rPr>
                <w:sz w:val="20"/>
                <w:lang w:eastAsia="en-GB"/>
              </w:rPr>
              <w:t>CFC-114</w:t>
            </w:r>
          </w:p>
        </w:tc>
        <w:tc>
          <w:tcPr>
            <w:tcW w:w="960" w:type="dxa"/>
            <w:tcBorders>
              <w:top w:val="nil"/>
              <w:left w:val="nil"/>
              <w:bottom w:val="single" w:sz="4" w:space="0" w:color="auto"/>
              <w:right w:val="single" w:sz="4" w:space="0" w:color="auto"/>
            </w:tcBorders>
            <w:shd w:val="clear" w:color="auto" w:fill="auto"/>
            <w:noWrap/>
            <w:vAlign w:val="bottom"/>
            <w:hideMark/>
          </w:tcPr>
          <w:p w14:paraId="415F8259" w14:textId="77777777" w:rsidR="0046583A" w:rsidRPr="00D94CD4" w:rsidRDefault="0046583A" w:rsidP="0046583A">
            <w:pPr>
              <w:spacing w:after="0"/>
              <w:jc w:val="center"/>
              <w:rPr>
                <w:sz w:val="20"/>
                <w:lang w:eastAsia="en-GB"/>
              </w:rPr>
            </w:pPr>
            <w:r w:rsidRPr="00D94CD4">
              <w:rPr>
                <w:sz w:val="20"/>
                <w:lang w:eastAsia="en-GB"/>
              </w:rPr>
              <w:t>1</w:t>
            </w:r>
          </w:p>
        </w:tc>
        <w:tc>
          <w:tcPr>
            <w:tcW w:w="1820" w:type="dxa"/>
            <w:tcBorders>
              <w:top w:val="nil"/>
              <w:left w:val="nil"/>
              <w:bottom w:val="single" w:sz="4" w:space="0" w:color="auto"/>
              <w:right w:val="single" w:sz="12" w:space="0" w:color="auto"/>
            </w:tcBorders>
            <w:shd w:val="clear" w:color="auto" w:fill="auto"/>
            <w:noWrap/>
            <w:vAlign w:val="bottom"/>
            <w:hideMark/>
          </w:tcPr>
          <w:p w14:paraId="08185964" w14:textId="77777777" w:rsidR="0046583A" w:rsidRPr="00D94CD4" w:rsidRDefault="0046583A" w:rsidP="0046583A">
            <w:pPr>
              <w:spacing w:after="0"/>
              <w:jc w:val="center"/>
              <w:rPr>
                <w:sz w:val="20"/>
                <w:lang w:eastAsia="en-GB"/>
              </w:rPr>
            </w:pPr>
            <w:r w:rsidRPr="00D94CD4">
              <w:rPr>
                <w:sz w:val="20"/>
                <w:lang w:eastAsia="en-GB"/>
              </w:rPr>
              <w:t>&gt;20,000</w:t>
            </w:r>
          </w:p>
        </w:tc>
      </w:tr>
      <w:tr w:rsidR="0046583A" w:rsidRPr="00D94CD4" w14:paraId="465C04B2"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4C99BDE9" w14:textId="77777777" w:rsidR="0046583A" w:rsidRPr="00D94CD4" w:rsidRDefault="0046583A" w:rsidP="0046583A">
            <w:pPr>
              <w:spacing w:after="0"/>
              <w:rPr>
                <w:sz w:val="20"/>
                <w:lang w:eastAsia="en-GB"/>
              </w:rPr>
            </w:pPr>
            <w:r w:rsidRPr="00D94CD4">
              <w:rPr>
                <w:sz w:val="20"/>
                <w:lang w:eastAsia="en-GB"/>
              </w:rPr>
              <w:t>HCFC-124</w:t>
            </w:r>
          </w:p>
        </w:tc>
        <w:tc>
          <w:tcPr>
            <w:tcW w:w="960" w:type="dxa"/>
            <w:tcBorders>
              <w:top w:val="nil"/>
              <w:left w:val="nil"/>
              <w:bottom w:val="single" w:sz="4" w:space="0" w:color="auto"/>
              <w:right w:val="single" w:sz="4" w:space="0" w:color="auto"/>
            </w:tcBorders>
            <w:shd w:val="clear" w:color="auto" w:fill="auto"/>
            <w:noWrap/>
            <w:vAlign w:val="bottom"/>
            <w:hideMark/>
          </w:tcPr>
          <w:p w14:paraId="4117810A" w14:textId="77777777" w:rsidR="0046583A" w:rsidRPr="00D94CD4" w:rsidRDefault="0046583A" w:rsidP="0046583A">
            <w:pPr>
              <w:spacing w:after="0"/>
              <w:jc w:val="center"/>
              <w:rPr>
                <w:sz w:val="20"/>
                <w:lang w:eastAsia="en-GB"/>
              </w:rPr>
            </w:pPr>
            <w:r w:rsidRPr="00D94CD4">
              <w:rPr>
                <w:sz w:val="20"/>
                <w:lang w:eastAsia="en-GB"/>
              </w:rPr>
              <w:t>0.022</w:t>
            </w:r>
          </w:p>
        </w:tc>
        <w:tc>
          <w:tcPr>
            <w:tcW w:w="1820" w:type="dxa"/>
            <w:tcBorders>
              <w:top w:val="nil"/>
              <w:left w:val="nil"/>
              <w:bottom w:val="single" w:sz="4" w:space="0" w:color="auto"/>
              <w:right w:val="single" w:sz="12" w:space="0" w:color="auto"/>
            </w:tcBorders>
            <w:shd w:val="clear" w:color="auto" w:fill="auto"/>
            <w:noWrap/>
            <w:vAlign w:val="bottom"/>
            <w:hideMark/>
          </w:tcPr>
          <w:p w14:paraId="3DBE3DF7" w14:textId="77777777" w:rsidR="0046583A" w:rsidRPr="00D94CD4" w:rsidRDefault="0046583A" w:rsidP="0046583A">
            <w:pPr>
              <w:spacing w:after="0"/>
              <w:jc w:val="center"/>
              <w:rPr>
                <w:sz w:val="20"/>
                <w:lang w:eastAsia="en-GB"/>
              </w:rPr>
            </w:pPr>
            <w:r w:rsidRPr="00D94CD4">
              <w:rPr>
                <w:sz w:val="20"/>
                <w:lang w:eastAsia="en-GB"/>
              </w:rPr>
              <w:t>&gt;20,000</w:t>
            </w:r>
          </w:p>
        </w:tc>
      </w:tr>
      <w:tr w:rsidR="0046583A" w:rsidRPr="00D94CD4" w14:paraId="3DA561AB"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532D03F1" w14:textId="77777777" w:rsidR="0046583A" w:rsidRPr="00D94CD4" w:rsidRDefault="0046583A" w:rsidP="0046583A">
            <w:pPr>
              <w:spacing w:after="0"/>
              <w:rPr>
                <w:sz w:val="20"/>
                <w:lang w:eastAsia="en-GB"/>
              </w:rPr>
            </w:pPr>
            <w:r w:rsidRPr="00D94CD4">
              <w:rPr>
                <w:sz w:val="20"/>
                <w:lang w:eastAsia="en-GB"/>
              </w:rPr>
              <w:t>HCFC-141b</w:t>
            </w:r>
          </w:p>
        </w:tc>
        <w:tc>
          <w:tcPr>
            <w:tcW w:w="960" w:type="dxa"/>
            <w:tcBorders>
              <w:top w:val="nil"/>
              <w:left w:val="nil"/>
              <w:bottom w:val="single" w:sz="4" w:space="0" w:color="auto"/>
              <w:right w:val="single" w:sz="4" w:space="0" w:color="auto"/>
            </w:tcBorders>
            <w:shd w:val="clear" w:color="auto" w:fill="auto"/>
            <w:noWrap/>
            <w:vAlign w:val="bottom"/>
            <w:hideMark/>
          </w:tcPr>
          <w:p w14:paraId="00FD283F" w14:textId="77777777" w:rsidR="0046583A" w:rsidRPr="00D94CD4" w:rsidRDefault="0046583A" w:rsidP="0046583A">
            <w:pPr>
              <w:spacing w:after="0"/>
              <w:jc w:val="center"/>
              <w:rPr>
                <w:sz w:val="20"/>
                <w:lang w:eastAsia="en-GB"/>
              </w:rPr>
            </w:pPr>
            <w:r w:rsidRPr="00D94CD4">
              <w:rPr>
                <w:sz w:val="20"/>
                <w:lang w:eastAsia="en-GB"/>
              </w:rPr>
              <w:t>0.11</w:t>
            </w:r>
          </w:p>
        </w:tc>
        <w:tc>
          <w:tcPr>
            <w:tcW w:w="1820" w:type="dxa"/>
            <w:tcBorders>
              <w:top w:val="nil"/>
              <w:left w:val="nil"/>
              <w:bottom w:val="single" w:sz="4" w:space="0" w:color="auto"/>
              <w:right w:val="single" w:sz="12" w:space="0" w:color="auto"/>
            </w:tcBorders>
            <w:shd w:val="clear" w:color="auto" w:fill="auto"/>
            <w:noWrap/>
            <w:vAlign w:val="bottom"/>
            <w:hideMark/>
          </w:tcPr>
          <w:p w14:paraId="0AFD9763" w14:textId="77777777" w:rsidR="0046583A" w:rsidRPr="00D94CD4" w:rsidRDefault="0046583A" w:rsidP="0046583A">
            <w:pPr>
              <w:spacing w:after="0"/>
              <w:jc w:val="center"/>
              <w:rPr>
                <w:sz w:val="20"/>
                <w:lang w:eastAsia="en-GB"/>
              </w:rPr>
            </w:pPr>
            <w:r w:rsidRPr="00D94CD4">
              <w:rPr>
                <w:sz w:val="20"/>
                <w:lang w:eastAsia="en-GB"/>
              </w:rPr>
              <w:t>&gt;10,000</w:t>
            </w:r>
          </w:p>
        </w:tc>
      </w:tr>
      <w:tr w:rsidR="0046583A" w:rsidRPr="00D94CD4" w14:paraId="5A8AF15E" w14:textId="77777777" w:rsidTr="0046583A">
        <w:trPr>
          <w:trHeight w:val="780"/>
        </w:trPr>
        <w:tc>
          <w:tcPr>
            <w:tcW w:w="3440" w:type="dxa"/>
            <w:tcBorders>
              <w:top w:val="nil"/>
              <w:left w:val="single" w:sz="12" w:space="0" w:color="auto"/>
              <w:bottom w:val="single" w:sz="4" w:space="0" w:color="auto"/>
              <w:right w:val="single" w:sz="4" w:space="0" w:color="auto"/>
            </w:tcBorders>
            <w:shd w:val="clear" w:color="auto" w:fill="auto"/>
            <w:hideMark/>
          </w:tcPr>
          <w:p w14:paraId="0CA0C503" w14:textId="77777777" w:rsidR="0046583A" w:rsidRPr="00D94CD4" w:rsidRDefault="0046583A" w:rsidP="0046583A">
            <w:pPr>
              <w:spacing w:after="0"/>
              <w:rPr>
                <w:sz w:val="20"/>
                <w:lang w:eastAsia="en-GB"/>
              </w:rPr>
            </w:pPr>
            <w:r w:rsidRPr="00D94CD4">
              <w:rPr>
                <w:sz w:val="20"/>
                <w:lang w:eastAsia="en-GB"/>
              </w:rPr>
              <w:t>H</w:t>
            </w:r>
            <w:r>
              <w:rPr>
                <w:sz w:val="20"/>
                <w:lang w:eastAsia="en-GB"/>
              </w:rPr>
              <w:t xml:space="preserve">alon </w:t>
            </w:r>
            <w:r w:rsidRPr="00D94CD4">
              <w:rPr>
                <w:sz w:val="20"/>
                <w:lang w:eastAsia="en-GB"/>
              </w:rPr>
              <w:t>1301 (</w:t>
            </w:r>
            <w:proofErr w:type="spellStart"/>
            <w:r w:rsidRPr="00D94CD4">
              <w:rPr>
                <w:sz w:val="20"/>
                <w:lang w:eastAsia="en-GB"/>
              </w:rPr>
              <w:t>bromotrifluoromethane</w:t>
            </w:r>
            <w:proofErr w:type="spellEnd"/>
            <w:r w:rsidRPr="00D94CD4">
              <w:rPr>
                <w:sz w:val="20"/>
                <w:lang w:eastAsia="en-GB"/>
              </w:rPr>
              <w:t>)</w:t>
            </w:r>
            <w:r>
              <w:rPr>
                <w:sz w:val="20"/>
                <w:lang w:eastAsia="en-GB"/>
              </w:rPr>
              <w:t xml:space="preserve">, </w:t>
            </w:r>
            <w:r w:rsidRPr="00D94CD4">
              <w:rPr>
                <w:sz w:val="20"/>
                <w:lang w:eastAsia="en-GB"/>
              </w:rPr>
              <w:t>Bromochloromethane, HCFC-123, Methyl Bromide</w:t>
            </w:r>
          </w:p>
        </w:tc>
        <w:tc>
          <w:tcPr>
            <w:tcW w:w="960" w:type="dxa"/>
            <w:tcBorders>
              <w:top w:val="nil"/>
              <w:left w:val="nil"/>
              <w:bottom w:val="single" w:sz="4" w:space="0" w:color="auto"/>
              <w:right w:val="single" w:sz="4" w:space="0" w:color="auto"/>
            </w:tcBorders>
            <w:shd w:val="clear" w:color="auto" w:fill="auto"/>
            <w:noWrap/>
            <w:vAlign w:val="bottom"/>
            <w:hideMark/>
          </w:tcPr>
          <w:p w14:paraId="0EB2C4D5" w14:textId="77777777" w:rsidR="0046583A" w:rsidRPr="00D94CD4" w:rsidRDefault="0046583A" w:rsidP="0046583A">
            <w:pPr>
              <w:spacing w:after="0"/>
              <w:rPr>
                <w:sz w:val="20"/>
                <w:lang w:eastAsia="en-GB"/>
              </w:rPr>
            </w:pPr>
            <w:r w:rsidRPr="00D94CD4">
              <w:rPr>
                <w:sz w:val="20"/>
                <w:lang w:eastAsia="en-GB"/>
              </w:rPr>
              <w:t> </w:t>
            </w:r>
          </w:p>
        </w:tc>
        <w:tc>
          <w:tcPr>
            <w:tcW w:w="1820" w:type="dxa"/>
            <w:tcBorders>
              <w:top w:val="nil"/>
              <w:left w:val="nil"/>
              <w:bottom w:val="single" w:sz="4" w:space="0" w:color="auto"/>
              <w:right w:val="single" w:sz="12" w:space="0" w:color="auto"/>
            </w:tcBorders>
            <w:shd w:val="clear" w:color="auto" w:fill="auto"/>
            <w:noWrap/>
            <w:vAlign w:val="bottom"/>
            <w:hideMark/>
          </w:tcPr>
          <w:p w14:paraId="7B35D074" w14:textId="77777777" w:rsidR="0046583A" w:rsidRPr="00D94CD4" w:rsidRDefault="0046583A" w:rsidP="0046583A">
            <w:pPr>
              <w:spacing w:after="0"/>
              <w:jc w:val="center"/>
              <w:rPr>
                <w:sz w:val="20"/>
                <w:lang w:eastAsia="en-GB"/>
              </w:rPr>
            </w:pPr>
            <w:r w:rsidRPr="00D94CD4">
              <w:rPr>
                <w:sz w:val="20"/>
                <w:lang w:eastAsia="en-GB"/>
              </w:rPr>
              <w:t>1,000 to 5,000</w:t>
            </w:r>
          </w:p>
        </w:tc>
      </w:tr>
      <w:tr w:rsidR="0046583A" w:rsidRPr="00D94CD4" w14:paraId="5AB34139"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1F5A8D79" w14:textId="77777777" w:rsidR="0046583A" w:rsidRPr="00D94CD4" w:rsidRDefault="0046583A" w:rsidP="0046583A">
            <w:pPr>
              <w:spacing w:after="0"/>
              <w:rPr>
                <w:sz w:val="20"/>
                <w:lang w:eastAsia="en-GB"/>
              </w:rPr>
            </w:pPr>
            <w:r w:rsidRPr="00D94CD4">
              <w:rPr>
                <w:sz w:val="20"/>
                <w:lang w:eastAsia="en-GB"/>
              </w:rPr>
              <w:t>HCFC-133</w:t>
            </w:r>
          </w:p>
        </w:tc>
        <w:tc>
          <w:tcPr>
            <w:tcW w:w="960" w:type="dxa"/>
            <w:tcBorders>
              <w:top w:val="nil"/>
              <w:left w:val="nil"/>
              <w:bottom w:val="single" w:sz="4" w:space="0" w:color="auto"/>
              <w:right w:val="single" w:sz="4" w:space="0" w:color="auto"/>
            </w:tcBorders>
            <w:shd w:val="clear" w:color="auto" w:fill="auto"/>
            <w:noWrap/>
            <w:vAlign w:val="bottom"/>
            <w:hideMark/>
          </w:tcPr>
          <w:p w14:paraId="6FF22B21" w14:textId="77777777" w:rsidR="0046583A" w:rsidRPr="00D94CD4" w:rsidRDefault="0046583A" w:rsidP="0046583A">
            <w:pPr>
              <w:spacing w:after="0"/>
              <w:rPr>
                <w:sz w:val="20"/>
                <w:lang w:eastAsia="en-GB"/>
              </w:rPr>
            </w:pPr>
            <w:r w:rsidRPr="00D94CD4">
              <w:rPr>
                <w:sz w:val="20"/>
                <w:lang w:eastAsia="en-GB"/>
              </w:rPr>
              <w:t> </w:t>
            </w:r>
          </w:p>
        </w:tc>
        <w:tc>
          <w:tcPr>
            <w:tcW w:w="1820" w:type="dxa"/>
            <w:tcBorders>
              <w:top w:val="nil"/>
              <w:left w:val="nil"/>
              <w:bottom w:val="single" w:sz="4" w:space="0" w:color="auto"/>
              <w:right w:val="single" w:sz="12" w:space="0" w:color="auto"/>
            </w:tcBorders>
            <w:shd w:val="clear" w:color="auto" w:fill="auto"/>
            <w:noWrap/>
            <w:vAlign w:val="bottom"/>
            <w:hideMark/>
          </w:tcPr>
          <w:p w14:paraId="386D7877" w14:textId="77777777" w:rsidR="0046583A" w:rsidRPr="00D94CD4" w:rsidRDefault="0046583A" w:rsidP="0046583A">
            <w:pPr>
              <w:spacing w:after="0"/>
              <w:jc w:val="center"/>
              <w:rPr>
                <w:sz w:val="20"/>
                <w:lang w:eastAsia="en-GB"/>
              </w:rPr>
            </w:pPr>
            <w:r w:rsidRPr="00D94CD4">
              <w:rPr>
                <w:sz w:val="20"/>
                <w:lang w:eastAsia="en-GB"/>
              </w:rPr>
              <w:t>10 to 1,000</w:t>
            </w:r>
          </w:p>
        </w:tc>
      </w:tr>
      <w:tr w:rsidR="0046583A" w:rsidRPr="00D94CD4" w14:paraId="6487F39C"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29DA194D" w14:textId="77777777" w:rsidR="0046583A" w:rsidRPr="00D94CD4" w:rsidRDefault="0046583A" w:rsidP="0046583A">
            <w:pPr>
              <w:spacing w:after="0"/>
              <w:rPr>
                <w:sz w:val="20"/>
                <w:lang w:eastAsia="en-GB"/>
              </w:rPr>
            </w:pPr>
            <w:r w:rsidRPr="00D94CD4">
              <w:rPr>
                <w:sz w:val="20"/>
                <w:lang w:eastAsia="en-GB"/>
              </w:rPr>
              <w:t>Other substances</w:t>
            </w:r>
          </w:p>
        </w:tc>
        <w:tc>
          <w:tcPr>
            <w:tcW w:w="960" w:type="dxa"/>
            <w:tcBorders>
              <w:top w:val="nil"/>
              <w:left w:val="nil"/>
              <w:bottom w:val="single" w:sz="4" w:space="0" w:color="auto"/>
              <w:right w:val="single" w:sz="4" w:space="0" w:color="auto"/>
            </w:tcBorders>
            <w:shd w:val="clear" w:color="auto" w:fill="auto"/>
            <w:noWrap/>
            <w:vAlign w:val="bottom"/>
            <w:hideMark/>
          </w:tcPr>
          <w:p w14:paraId="2F096089" w14:textId="77777777" w:rsidR="0046583A" w:rsidRPr="00D94CD4" w:rsidRDefault="0046583A" w:rsidP="0046583A">
            <w:pPr>
              <w:spacing w:after="0"/>
              <w:rPr>
                <w:sz w:val="20"/>
                <w:lang w:eastAsia="en-GB"/>
              </w:rPr>
            </w:pPr>
            <w:r w:rsidRPr="00D94CD4">
              <w:rPr>
                <w:sz w:val="20"/>
                <w:lang w:eastAsia="en-GB"/>
              </w:rPr>
              <w:t> </w:t>
            </w:r>
          </w:p>
        </w:tc>
        <w:tc>
          <w:tcPr>
            <w:tcW w:w="1820" w:type="dxa"/>
            <w:tcBorders>
              <w:top w:val="nil"/>
              <w:left w:val="nil"/>
              <w:bottom w:val="single" w:sz="4" w:space="0" w:color="auto"/>
              <w:right w:val="single" w:sz="12" w:space="0" w:color="auto"/>
            </w:tcBorders>
            <w:shd w:val="clear" w:color="auto" w:fill="auto"/>
            <w:noWrap/>
            <w:vAlign w:val="bottom"/>
            <w:hideMark/>
          </w:tcPr>
          <w:p w14:paraId="15C93F24" w14:textId="77777777" w:rsidR="0046583A" w:rsidRPr="00D94CD4" w:rsidRDefault="0046583A" w:rsidP="0046583A">
            <w:pPr>
              <w:spacing w:after="0"/>
              <w:jc w:val="center"/>
              <w:rPr>
                <w:sz w:val="20"/>
                <w:lang w:eastAsia="en-GB"/>
              </w:rPr>
            </w:pPr>
            <w:r w:rsidRPr="00D94CD4">
              <w:rPr>
                <w:sz w:val="20"/>
                <w:lang w:eastAsia="en-GB"/>
              </w:rPr>
              <w:t>&lt;10</w:t>
            </w:r>
          </w:p>
        </w:tc>
      </w:tr>
      <w:tr w:rsidR="0046583A" w:rsidRPr="00D94CD4" w14:paraId="33B5A2AA" w14:textId="77777777" w:rsidTr="0046583A">
        <w:trPr>
          <w:trHeight w:val="290"/>
        </w:trPr>
        <w:tc>
          <w:tcPr>
            <w:tcW w:w="3440" w:type="dxa"/>
            <w:tcBorders>
              <w:top w:val="nil"/>
              <w:left w:val="single" w:sz="12" w:space="0" w:color="auto"/>
              <w:bottom w:val="single" w:sz="4" w:space="0" w:color="auto"/>
              <w:right w:val="single" w:sz="4" w:space="0" w:color="auto"/>
            </w:tcBorders>
            <w:shd w:val="clear" w:color="auto" w:fill="auto"/>
            <w:noWrap/>
            <w:vAlign w:val="bottom"/>
            <w:hideMark/>
          </w:tcPr>
          <w:p w14:paraId="4E9995F7" w14:textId="77777777" w:rsidR="0046583A" w:rsidRPr="00D94CD4" w:rsidRDefault="0046583A" w:rsidP="0046583A">
            <w:pPr>
              <w:spacing w:after="0"/>
              <w:rPr>
                <w:b/>
                <w:bCs/>
                <w:sz w:val="20"/>
                <w:lang w:eastAsia="en-GB"/>
              </w:rPr>
            </w:pPr>
            <w:r w:rsidRPr="00D94CD4">
              <w:rPr>
                <w:b/>
                <w:bCs/>
                <w:sz w:val="20"/>
                <w:lang w:eastAsia="en-GB"/>
              </w:rPr>
              <w:t>Total Metric Tonnes</w:t>
            </w:r>
          </w:p>
        </w:tc>
        <w:tc>
          <w:tcPr>
            <w:tcW w:w="960" w:type="dxa"/>
            <w:tcBorders>
              <w:top w:val="nil"/>
              <w:left w:val="nil"/>
              <w:bottom w:val="single" w:sz="4" w:space="0" w:color="auto"/>
              <w:right w:val="single" w:sz="4" w:space="0" w:color="auto"/>
            </w:tcBorders>
            <w:shd w:val="clear" w:color="auto" w:fill="auto"/>
            <w:noWrap/>
            <w:vAlign w:val="bottom"/>
            <w:hideMark/>
          </w:tcPr>
          <w:p w14:paraId="751B0CF4" w14:textId="77777777" w:rsidR="0046583A" w:rsidRPr="00D94CD4" w:rsidRDefault="0046583A" w:rsidP="0046583A">
            <w:pPr>
              <w:spacing w:after="0"/>
              <w:rPr>
                <w:sz w:val="20"/>
                <w:lang w:eastAsia="en-GB"/>
              </w:rPr>
            </w:pPr>
            <w:r w:rsidRPr="00D94CD4">
              <w:rPr>
                <w:sz w:val="20"/>
                <w:lang w:eastAsia="en-GB"/>
              </w:rPr>
              <w:t> </w:t>
            </w:r>
          </w:p>
        </w:tc>
        <w:tc>
          <w:tcPr>
            <w:tcW w:w="1820" w:type="dxa"/>
            <w:tcBorders>
              <w:top w:val="nil"/>
              <w:left w:val="nil"/>
              <w:bottom w:val="single" w:sz="4" w:space="0" w:color="auto"/>
              <w:right w:val="single" w:sz="12" w:space="0" w:color="auto"/>
            </w:tcBorders>
            <w:shd w:val="clear" w:color="auto" w:fill="auto"/>
            <w:noWrap/>
            <w:vAlign w:val="bottom"/>
            <w:hideMark/>
          </w:tcPr>
          <w:p w14:paraId="29CCDFE2" w14:textId="77777777" w:rsidR="0046583A" w:rsidRPr="00D94CD4" w:rsidRDefault="0046583A" w:rsidP="0046583A">
            <w:pPr>
              <w:spacing w:after="0"/>
              <w:jc w:val="center"/>
              <w:rPr>
                <w:sz w:val="20"/>
                <w:lang w:eastAsia="en-GB"/>
              </w:rPr>
            </w:pPr>
            <w:r w:rsidRPr="00D94CD4">
              <w:rPr>
                <w:sz w:val="20"/>
                <w:lang w:eastAsia="en-GB"/>
              </w:rPr>
              <w:t>1,475,007</w:t>
            </w:r>
          </w:p>
        </w:tc>
      </w:tr>
      <w:tr w:rsidR="0046583A" w:rsidRPr="00D94CD4" w14:paraId="00F850E7" w14:textId="77777777" w:rsidTr="0046583A">
        <w:trPr>
          <w:trHeight w:val="300"/>
        </w:trPr>
        <w:tc>
          <w:tcPr>
            <w:tcW w:w="3440" w:type="dxa"/>
            <w:tcBorders>
              <w:top w:val="nil"/>
              <w:left w:val="single" w:sz="12" w:space="0" w:color="auto"/>
              <w:bottom w:val="single" w:sz="12" w:space="0" w:color="auto"/>
              <w:right w:val="single" w:sz="4" w:space="0" w:color="auto"/>
            </w:tcBorders>
            <w:shd w:val="clear" w:color="auto" w:fill="auto"/>
            <w:noWrap/>
            <w:vAlign w:val="bottom"/>
            <w:hideMark/>
          </w:tcPr>
          <w:p w14:paraId="5A2E2B1F" w14:textId="77777777" w:rsidR="0046583A" w:rsidRPr="00D94CD4" w:rsidRDefault="0046583A" w:rsidP="0046583A">
            <w:pPr>
              <w:spacing w:after="0"/>
              <w:rPr>
                <w:i/>
                <w:iCs/>
                <w:sz w:val="20"/>
                <w:lang w:eastAsia="en-GB"/>
              </w:rPr>
            </w:pPr>
            <w:r w:rsidRPr="00D94CD4">
              <w:rPr>
                <w:i/>
                <w:iCs/>
                <w:sz w:val="20"/>
                <w:lang w:eastAsia="en-GB"/>
              </w:rPr>
              <w:t>(Total ODP tonnes*)</w:t>
            </w:r>
          </w:p>
        </w:tc>
        <w:tc>
          <w:tcPr>
            <w:tcW w:w="960" w:type="dxa"/>
            <w:tcBorders>
              <w:top w:val="nil"/>
              <w:left w:val="nil"/>
              <w:bottom w:val="single" w:sz="12" w:space="0" w:color="auto"/>
              <w:right w:val="single" w:sz="4" w:space="0" w:color="auto"/>
            </w:tcBorders>
            <w:shd w:val="clear" w:color="auto" w:fill="auto"/>
            <w:noWrap/>
            <w:vAlign w:val="bottom"/>
            <w:hideMark/>
          </w:tcPr>
          <w:p w14:paraId="38393C86" w14:textId="77777777" w:rsidR="0046583A" w:rsidRPr="00D94CD4" w:rsidRDefault="0046583A" w:rsidP="0046583A">
            <w:pPr>
              <w:spacing w:after="0"/>
              <w:rPr>
                <w:sz w:val="20"/>
                <w:lang w:eastAsia="en-GB"/>
              </w:rPr>
            </w:pPr>
            <w:r w:rsidRPr="00D94CD4">
              <w:rPr>
                <w:sz w:val="20"/>
                <w:lang w:eastAsia="en-GB"/>
              </w:rPr>
              <w:t> </w:t>
            </w:r>
          </w:p>
        </w:tc>
        <w:tc>
          <w:tcPr>
            <w:tcW w:w="1820" w:type="dxa"/>
            <w:tcBorders>
              <w:top w:val="nil"/>
              <w:left w:val="nil"/>
              <w:bottom w:val="single" w:sz="12" w:space="0" w:color="auto"/>
              <w:right w:val="single" w:sz="12" w:space="0" w:color="auto"/>
            </w:tcBorders>
            <w:shd w:val="clear" w:color="auto" w:fill="auto"/>
            <w:noWrap/>
            <w:vAlign w:val="bottom"/>
            <w:hideMark/>
          </w:tcPr>
          <w:p w14:paraId="06D3A89D" w14:textId="77777777" w:rsidR="0046583A" w:rsidRPr="00D94CD4" w:rsidRDefault="0046583A" w:rsidP="0046583A">
            <w:pPr>
              <w:spacing w:after="0"/>
              <w:jc w:val="center"/>
              <w:rPr>
                <w:i/>
                <w:iCs/>
                <w:sz w:val="20"/>
                <w:lang w:eastAsia="en-GB"/>
              </w:rPr>
            </w:pPr>
            <w:r w:rsidRPr="00D94CD4">
              <w:rPr>
                <w:i/>
                <w:iCs/>
                <w:sz w:val="20"/>
                <w:lang w:eastAsia="en-GB"/>
              </w:rPr>
              <w:t>554,116</w:t>
            </w:r>
          </w:p>
        </w:tc>
      </w:tr>
    </w:tbl>
    <w:p w14:paraId="4567E7BD" w14:textId="27985E75" w:rsidR="0046583A" w:rsidRPr="00BA65B9" w:rsidRDefault="0046583A" w:rsidP="00BA65B9">
      <w:pPr>
        <w:spacing w:before="120"/>
        <w:rPr>
          <w:sz w:val="20"/>
        </w:rPr>
      </w:pPr>
      <w:r>
        <w:rPr>
          <w:b/>
          <w:bCs/>
          <w:i/>
          <w:iCs/>
          <w:sz w:val="20"/>
        </w:rPr>
        <w:t>Explanatory notes:</w:t>
      </w:r>
      <w:r>
        <w:rPr>
          <w:sz w:val="20"/>
        </w:rPr>
        <w:t xml:space="preserve"> For some substances, due to the limited number of parties reporting production for feedstock use or imports for feedstock use, quantities have been approximated. For those substances used in relatively small quantities, a quantity range is indicated. *While the corresponding ODP tonnes are shown, it should be noted that this does not equate to emissions. From the total amount of ODS used as feedstock, a relatively minor to insignificant quantity will be emitted depending on the abatement technologies and containment measures utilised. The ODP tonnes is calculated from the reported data but for some reports it is not certain that the correct isomer is identified. </w:t>
      </w:r>
    </w:p>
    <w:p w14:paraId="3E32128E" w14:textId="2091CD49" w:rsidR="0046583A" w:rsidRDefault="0046583A" w:rsidP="0046583A">
      <w:r>
        <w:t>The proportions of the largest ODS feedstocks in 2020 are very similar to 2019 HCFC-22 (48% of the total mass quantity), CTC (20%), and HCFC-142b (11%). HCFC-22 is mainly used to produce tetrafluoroethylene (TFE), which can be both homo- and co-polymerized to make stable, chemically resistant fluoropolymers with many applications</w:t>
      </w:r>
      <w:r w:rsidR="00BA65B9">
        <w:t xml:space="preserve">, such as </w:t>
      </w:r>
      <w:proofErr w:type="spellStart"/>
      <w:r w:rsidR="00BA65B9">
        <w:t>polytetrafluorotheylene</w:t>
      </w:r>
      <w:proofErr w:type="spellEnd"/>
      <w:r>
        <w:t>. TFE may also be used to produce HFC-125, although alternative processes may be lower cost. Polyvinylidene fluoride is made from HCFC-142b. The feedstock use of CTC</w:t>
      </w:r>
      <w:r>
        <w:rPr>
          <w:vertAlign w:val="superscript"/>
        </w:rPr>
        <w:footnoteReference w:id="35"/>
      </w:r>
      <w:r>
        <w:t xml:space="preserve"> has increased in recent years, due to growing demand for lower GWP </w:t>
      </w:r>
      <w:r w:rsidR="002549D2">
        <w:t>HCFO/</w:t>
      </w:r>
      <w:r>
        <w:t xml:space="preserve">HFOs and perchloroethylene (PCE). </w:t>
      </w:r>
    </w:p>
    <w:p w14:paraId="21FEA3B6" w14:textId="4A2EE340" w:rsidR="0046583A" w:rsidRDefault="0046583A" w:rsidP="0046583A">
      <w:pPr>
        <w:keepNext/>
        <w:tabs>
          <w:tab w:val="left" w:pos="1134"/>
        </w:tabs>
        <w:ind w:left="1134" w:right="85" w:hanging="1134"/>
      </w:pPr>
      <w:r>
        <w:rPr>
          <w:b/>
          <w:iCs/>
        </w:rPr>
        <w:lastRenderedPageBreak/>
        <w:t>Fig</w:t>
      </w:r>
      <w:r w:rsidR="00C7675C">
        <w:rPr>
          <w:b/>
          <w:iCs/>
        </w:rPr>
        <w:t>.</w:t>
      </w:r>
      <w:r>
        <w:rPr>
          <w:b/>
          <w:iCs/>
        </w:rPr>
        <w:t xml:space="preserve"> </w:t>
      </w:r>
      <w:r w:rsidR="005C29DA">
        <w:rPr>
          <w:b/>
          <w:iCs/>
        </w:rPr>
        <w:t>6</w:t>
      </w:r>
      <w:r>
        <w:rPr>
          <w:b/>
          <w:iCs/>
        </w:rPr>
        <w:t>.2.</w:t>
      </w:r>
      <w:r>
        <w:rPr>
          <w:b/>
          <w:iCs/>
        </w:rPr>
        <w:tab/>
        <w:t>Trends in annual production of the current main ODS feedstocks for the years 2002-2020 (metric tonnes)</w:t>
      </w:r>
    </w:p>
    <w:p w14:paraId="40DB3397" w14:textId="77777777" w:rsidR="0046583A" w:rsidRDefault="0046583A" w:rsidP="00CC4168">
      <w:r>
        <w:rPr>
          <w:noProof/>
        </w:rPr>
        <w:drawing>
          <wp:inline distT="0" distB="0" distL="0" distR="0" wp14:anchorId="542674EA" wp14:editId="62600CAC">
            <wp:extent cx="4596765" cy="2767965"/>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96765" cy="2767965"/>
                    </a:xfrm>
                    <a:prstGeom prst="rect">
                      <a:avLst/>
                    </a:prstGeom>
                    <a:noFill/>
                  </pic:spPr>
                </pic:pic>
              </a:graphicData>
            </a:graphic>
          </wp:inline>
        </w:drawing>
      </w:r>
    </w:p>
    <w:p w14:paraId="093677D9" w14:textId="42CACE8E" w:rsidR="0046583A" w:rsidRPr="00C7675C" w:rsidRDefault="000C2EA5" w:rsidP="005C5E68">
      <w:pPr>
        <w:pStyle w:val="Heading2"/>
        <w:rPr>
          <w:rStyle w:val="Heading311ptBoldChar"/>
          <w:b/>
        </w:rPr>
      </w:pPr>
      <w:bookmarkStart w:id="509" w:name="_Toc40190282"/>
      <w:bookmarkStart w:id="510" w:name="_Toc40696082"/>
      <w:bookmarkStart w:id="511" w:name="_Toc77770772"/>
      <w:bookmarkStart w:id="512" w:name="_Toc77868916"/>
      <w:bookmarkStart w:id="513" w:name="_Toc78040749"/>
      <w:bookmarkStart w:id="514" w:name="_Toc79066554"/>
      <w:bookmarkStart w:id="515" w:name="_Toc80642594"/>
      <w:bookmarkStart w:id="516" w:name="_Toc102135752"/>
      <w:bookmarkStart w:id="517" w:name="_Toc104396713"/>
      <w:r w:rsidRPr="00C7675C">
        <w:rPr>
          <w:rStyle w:val="Heading311ptBoldChar"/>
          <w:b/>
        </w:rPr>
        <w:t>6</w:t>
      </w:r>
      <w:r w:rsidR="0046583A" w:rsidRPr="00C7675C">
        <w:rPr>
          <w:rStyle w:val="Heading311ptBoldChar"/>
          <w:b/>
        </w:rPr>
        <w:t>.1.7</w:t>
      </w:r>
      <w:r w:rsidR="0046583A" w:rsidRPr="00C7675C">
        <w:rPr>
          <w:rStyle w:val="Heading311ptBoldChar"/>
          <w:b/>
        </w:rPr>
        <w:tab/>
        <w:t>Production of HFCs used as feedstock</w:t>
      </w:r>
      <w:bookmarkEnd w:id="509"/>
      <w:bookmarkEnd w:id="510"/>
      <w:bookmarkEnd w:id="511"/>
      <w:bookmarkEnd w:id="512"/>
      <w:bookmarkEnd w:id="513"/>
      <w:bookmarkEnd w:id="514"/>
      <w:bookmarkEnd w:id="515"/>
      <w:bookmarkEnd w:id="516"/>
      <w:bookmarkEnd w:id="517"/>
    </w:p>
    <w:p w14:paraId="09A076AF" w14:textId="5274210E" w:rsidR="0046583A" w:rsidRDefault="0046583A" w:rsidP="0046583A">
      <w:r>
        <w:t xml:space="preserve">Following the entry into force of the Kigali Amendment, reporting of HFCs, including production and import for feedstock uses, is required for all parties that have ratified the amendment. In addition to feedstock data reported as part of HFC baseline submissions, obligatory annual HFC data reporting starts with data for 2019 for countries that became party to the Kigali </w:t>
      </w:r>
      <w:r w:rsidR="002549D2">
        <w:t>A</w:t>
      </w:r>
      <w:r>
        <w:t xml:space="preserve">mendment before the end of 2019, and that 2019 Article 7 data was reported during 2020. Data submissions for 2020 for countries that became parties in 2020 are required before the end of 2021. </w:t>
      </w:r>
      <w:r w:rsidR="00D678DF">
        <w:t>The feedstock data reported for 2020 is incomplete due to the timing of reporting obligations, for example, depending on when some parties ratified. The available HFC feedstock data for 2021 is about 5000 tonnes.</w:t>
      </w:r>
      <w:r w:rsidR="00D678DF" w:rsidRPr="00080567">
        <w:rPr>
          <w:vertAlign w:val="superscript"/>
        </w:rPr>
        <w:t xml:space="preserve"> </w:t>
      </w:r>
      <w:r w:rsidR="00D678DF">
        <w:rPr>
          <w:vertAlign w:val="superscript"/>
        </w:rPr>
        <w:footnoteReference w:id="36"/>
      </w:r>
      <w:r w:rsidR="00D678DF">
        <w:t xml:space="preserve"> The two largest feedstocks are HFC-23 and HFC-152a, with five other HFC feedstocks also reported.</w:t>
      </w:r>
      <w:r w:rsidR="005617DE">
        <w:t xml:space="preserve"> </w:t>
      </w:r>
    </w:p>
    <w:p w14:paraId="6BF5C98D" w14:textId="77777777" w:rsidR="0046583A" w:rsidRDefault="0046583A" w:rsidP="0046583A">
      <w:r>
        <w:t>Historically, some of the HFC-23 generated as a by-product during the manufacture of HCFC-22 was recovered and used as a feedstock to produce halon 1301 (</w:t>
      </w:r>
      <w:proofErr w:type="spellStart"/>
      <w:r>
        <w:t>bromotrifluoromethane</w:t>
      </w:r>
      <w:proofErr w:type="spellEnd"/>
      <w:r>
        <w:t>). When production of halon 1301 ceased in non-Article 5 parties in 1994, in accordance with the Montreal Protocol, this demand for HFC-23 also largely ceased. However, HFC-23 is still used as a feedstock to produce halon 1301, which is still used as a feedstock for the manufacture of the pesticide fipronil and other chemicals.</w:t>
      </w:r>
      <w:r>
        <w:rPr>
          <w:rFonts w:ascii="ZWAdobeF" w:hAnsi="ZWAdobeF" w:cs="ZWAdobeF"/>
          <w:color w:val="auto"/>
          <w:sz w:val="2"/>
          <w:szCs w:val="2"/>
        </w:rPr>
        <w:t>47F</w:t>
      </w:r>
      <w:r>
        <w:rPr>
          <w:vertAlign w:val="superscript"/>
        </w:rPr>
        <w:footnoteReference w:id="37"/>
      </w:r>
      <w:r>
        <w:rPr>
          <w:vertAlign w:val="superscript"/>
        </w:rPr>
        <w:t>,</w:t>
      </w:r>
      <w:r>
        <w:rPr>
          <w:rFonts w:ascii="ZWAdobeF" w:hAnsi="ZWAdobeF" w:cs="ZWAdobeF"/>
          <w:color w:val="auto"/>
          <w:sz w:val="2"/>
          <w:szCs w:val="2"/>
        </w:rPr>
        <w:t>48F</w:t>
      </w:r>
      <w:r>
        <w:rPr>
          <w:rStyle w:val="FootnoteReference"/>
        </w:rPr>
        <w:footnoteReference w:id="38"/>
      </w:r>
      <w:r>
        <w:t xml:space="preserve"> </w:t>
      </w:r>
    </w:p>
    <w:p w14:paraId="4F4205FB" w14:textId="77777777" w:rsidR="0046583A" w:rsidRDefault="0046583A" w:rsidP="0046583A">
      <w:r>
        <w:t>According to a recent paper</w:t>
      </w:r>
      <w:r>
        <w:rPr>
          <w:rFonts w:ascii="ZWAdobeF" w:hAnsi="ZWAdobeF" w:cs="ZWAdobeF"/>
          <w:color w:val="auto"/>
          <w:sz w:val="2"/>
          <w:szCs w:val="2"/>
        </w:rPr>
        <w:t>49F</w:t>
      </w:r>
      <w:r>
        <w:rPr>
          <w:vertAlign w:val="superscript"/>
        </w:rPr>
        <w:footnoteReference w:id="39"/>
      </w:r>
      <w:r>
        <w:t xml:space="preserve">, the </w:t>
      </w:r>
      <w:proofErr w:type="spellStart"/>
      <w:r>
        <w:t>dehydrofluorination</w:t>
      </w:r>
      <w:proofErr w:type="spellEnd"/>
      <w:r>
        <w:t xml:space="preserve"> of 1,1-difluoroethane (HFC-152a) is the most broadly used chemical process for the production of vinyl fluoride (used to produce </w:t>
      </w:r>
      <w:proofErr w:type="spellStart"/>
      <w:r>
        <w:t>polyvinylfluoride</w:t>
      </w:r>
      <w:proofErr w:type="spellEnd"/>
      <w:r>
        <w:t xml:space="preserve">, </w:t>
      </w:r>
      <w:r>
        <w:lastRenderedPageBreak/>
        <w:t>a polymer used mainly in low flammability coatings). HFC-152a can also be used as a feedstock to produce vinylidene fluoride (CH</w:t>
      </w:r>
      <w:r>
        <w:rPr>
          <w:vertAlign w:val="subscript"/>
        </w:rPr>
        <w:t>2</w:t>
      </w:r>
      <w:r>
        <w:t>CF</w:t>
      </w:r>
      <w:r>
        <w:rPr>
          <w:vertAlign w:val="subscript"/>
        </w:rPr>
        <w:t>2</w:t>
      </w:r>
      <w:r>
        <w:t xml:space="preserve">), via photo-chlorination to obtain HCFC-142b followed by dehydrochlorination. </w:t>
      </w:r>
    </w:p>
    <w:p w14:paraId="32EC4D6B" w14:textId="7180B7FF" w:rsidR="0046583A" w:rsidRPr="00366E0D" w:rsidRDefault="000C2EA5" w:rsidP="00821BBC">
      <w:pPr>
        <w:pStyle w:val="Heading2"/>
        <w:rPr>
          <w:rStyle w:val="Heading311ptBoldChar"/>
        </w:rPr>
      </w:pPr>
      <w:bookmarkStart w:id="518" w:name="_Toc40190284"/>
      <w:bookmarkStart w:id="519" w:name="_Toc40696084"/>
      <w:bookmarkStart w:id="520" w:name="_Toc77770773"/>
      <w:bookmarkStart w:id="521" w:name="_Toc77868917"/>
      <w:bookmarkStart w:id="522" w:name="_Toc78040750"/>
      <w:bookmarkStart w:id="523" w:name="_Toc80642595"/>
      <w:bookmarkStart w:id="524" w:name="_Toc102135753"/>
      <w:bookmarkStart w:id="525" w:name="_Toc104396714"/>
      <w:r w:rsidRPr="00366E0D">
        <w:rPr>
          <w:rStyle w:val="Heading311ptBoldChar"/>
          <w:b/>
        </w:rPr>
        <w:t>6</w:t>
      </w:r>
      <w:r w:rsidR="0046583A" w:rsidRPr="00366E0D">
        <w:rPr>
          <w:rStyle w:val="Heading311ptBoldChar"/>
          <w:b/>
        </w:rPr>
        <w:t>.1.8</w:t>
      </w:r>
      <w:r w:rsidR="0046583A" w:rsidRPr="00366E0D">
        <w:rPr>
          <w:rStyle w:val="Heading311ptBoldChar"/>
          <w:b/>
        </w:rPr>
        <w:tab/>
        <w:t>HFC-23 by-production and emissions</w:t>
      </w:r>
      <w:bookmarkEnd w:id="518"/>
      <w:bookmarkEnd w:id="519"/>
      <w:bookmarkEnd w:id="520"/>
      <w:bookmarkEnd w:id="521"/>
      <w:bookmarkEnd w:id="522"/>
      <w:bookmarkEnd w:id="523"/>
      <w:bookmarkEnd w:id="524"/>
      <w:bookmarkEnd w:id="525"/>
      <w:r w:rsidR="0046583A" w:rsidRPr="00366E0D">
        <w:rPr>
          <w:rStyle w:val="Heading311ptBoldChar"/>
          <w:b/>
        </w:rPr>
        <w:t xml:space="preserve"> </w:t>
      </w:r>
    </w:p>
    <w:p w14:paraId="2E62D68B" w14:textId="77777777" w:rsidR="0046583A" w:rsidRDefault="0046583A" w:rsidP="0046583A">
      <w:r w:rsidRPr="007B235E">
        <w:t>HFC-23 is a by-product from the production of HCFC-22. Destruction technologies for HFC-23 have been evaluated by TEAP</w:t>
      </w:r>
      <w:r>
        <w:rPr>
          <w:rFonts w:ascii="ZWAdobeF" w:hAnsi="ZWAdobeF" w:cs="ZWAdobeF"/>
          <w:color w:val="auto"/>
          <w:sz w:val="2"/>
          <w:szCs w:val="2"/>
        </w:rPr>
        <w:t>51F</w:t>
      </w:r>
      <w:r w:rsidRPr="007B235E">
        <w:rPr>
          <w:vertAlign w:val="superscript"/>
        </w:rPr>
        <w:footnoteReference w:id="40"/>
      </w:r>
      <w:r w:rsidRPr="007B235E">
        <w:t xml:space="preserve"> and approved by parties under decision XXX/6, and the ExCom have published several reports</w:t>
      </w:r>
      <w:r>
        <w:rPr>
          <w:rFonts w:ascii="ZWAdobeF" w:hAnsi="ZWAdobeF" w:cs="ZWAdobeF"/>
          <w:color w:val="auto"/>
          <w:sz w:val="2"/>
          <w:szCs w:val="2"/>
        </w:rPr>
        <w:t>52F</w:t>
      </w:r>
      <w:r w:rsidRPr="007B235E">
        <w:rPr>
          <w:vertAlign w:val="superscript"/>
        </w:rPr>
        <w:footnoteReference w:id="41"/>
      </w:r>
      <w:r w:rsidRPr="007B235E">
        <w:t xml:space="preserve"> on aspects of HFC-23 by-product control technologies. According to a recent paper</w:t>
      </w:r>
      <w:r>
        <w:rPr>
          <w:rFonts w:ascii="ZWAdobeF" w:hAnsi="ZWAdobeF" w:cs="ZWAdobeF"/>
          <w:color w:val="auto"/>
          <w:sz w:val="2"/>
          <w:szCs w:val="2"/>
        </w:rPr>
        <w:t>53F</w:t>
      </w:r>
      <w:r w:rsidRPr="007B235E">
        <w:rPr>
          <w:vertAlign w:val="superscript"/>
        </w:rPr>
        <w:footnoteReference w:id="42"/>
      </w:r>
      <w:r w:rsidRPr="007B235E">
        <w:t xml:space="preserve">, global HFC-23 emissions derived from atmospheric measurements were historically at their highest level in 2018, in contrast to expected emissions of HFC-23 by-product, primarily from reported HCFC-22 production, that were much lower. The paper concludes that the discrepancy between expected </w:t>
      </w:r>
      <w:r>
        <w:t xml:space="preserve">emissions </w:t>
      </w:r>
      <w:r w:rsidRPr="007B235E">
        <w:t xml:space="preserve">and observation-inferred emissions makes it possible that planned reductions in HFC-23 emissions may not have been fully realised or there may be substantial unreported production of HCFC-22, both or either of which would result in unaccounted for HFC-23 by-product emissions. </w:t>
      </w:r>
    </w:p>
    <w:p w14:paraId="20CD4FB7" w14:textId="77777777" w:rsidR="0046583A" w:rsidRPr="007E70EE" w:rsidRDefault="0046583A" w:rsidP="0046583A">
      <w:pPr>
        <w:rPr>
          <w:rFonts w:eastAsia="Calibri"/>
          <w:lang w:eastAsia="en-US"/>
        </w:rPr>
      </w:pPr>
      <w:r>
        <w:rPr>
          <w:rFonts w:eastAsia="Calibri"/>
          <w:lang w:eastAsia="en-US"/>
        </w:rPr>
        <w:t>MCTOC reported further on potential sources of HFC-23 in the 2021 TEAP Progress Report and will report further in MCTOC’s 2022 Assessment Report.</w:t>
      </w:r>
    </w:p>
    <w:p w14:paraId="7F77E250" w14:textId="721FB1C3" w:rsidR="0046583A" w:rsidRPr="000C2EA5" w:rsidRDefault="000C2EA5" w:rsidP="005C5E68">
      <w:pPr>
        <w:pStyle w:val="Heading2"/>
        <w:rPr>
          <w:rStyle w:val="Heading2Char"/>
          <w:b/>
        </w:rPr>
      </w:pPr>
      <w:bookmarkStart w:id="526" w:name="_Toc40190285"/>
      <w:bookmarkStart w:id="527" w:name="_Toc40696085"/>
      <w:bookmarkStart w:id="528" w:name="_Toc77770774"/>
      <w:bookmarkStart w:id="529" w:name="_Toc77868918"/>
      <w:bookmarkStart w:id="530" w:name="_Toc78040751"/>
      <w:bookmarkStart w:id="531" w:name="_Toc79066555"/>
      <w:bookmarkStart w:id="532" w:name="_Toc102135754"/>
      <w:bookmarkStart w:id="533" w:name="_Toc104396715"/>
      <w:bookmarkStart w:id="534" w:name="_Toc40190290"/>
      <w:bookmarkStart w:id="535" w:name="_Toc40696090"/>
      <w:bookmarkStart w:id="536" w:name="_Toc356240462"/>
      <w:bookmarkStart w:id="537" w:name="_Toc484164361"/>
      <w:r w:rsidRPr="000C2EA5">
        <w:rPr>
          <w:rStyle w:val="Heading2Char"/>
          <w:b/>
        </w:rPr>
        <w:t>6</w:t>
      </w:r>
      <w:r w:rsidR="0046583A" w:rsidRPr="000C2EA5">
        <w:rPr>
          <w:rStyle w:val="Heading2Char"/>
          <w:b/>
        </w:rPr>
        <w:t>.2</w:t>
      </w:r>
      <w:r w:rsidR="0046583A" w:rsidRPr="000C2EA5">
        <w:rPr>
          <w:rStyle w:val="Heading2Char"/>
          <w:b/>
        </w:rPr>
        <w:tab/>
        <w:t>Destruction technologies</w:t>
      </w:r>
      <w:bookmarkEnd w:id="526"/>
      <w:bookmarkEnd w:id="527"/>
      <w:bookmarkEnd w:id="528"/>
      <w:bookmarkEnd w:id="529"/>
      <w:bookmarkEnd w:id="530"/>
      <w:bookmarkEnd w:id="531"/>
      <w:bookmarkEnd w:id="532"/>
      <w:bookmarkEnd w:id="533"/>
    </w:p>
    <w:p w14:paraId="3532182A" w14:textId="77777777" w:rsidR="0046583A" w:rsidRDefault="0046583A" w:rsidP="0046583A">
      <w:pPr>
        <w:keepNext/>
        <w:keepLines/>
      </w:pPr>
      <w:r>
        <w:t>Decision XXX/6 on destruction technologies for controlled substances requests TEAP to assess destruction technologies listed (in annex II to the report of the Thirtieth Meeting of the Parties) as not approved or not determined, as well as any other technologies, and to report to the Open-ended Working Group prior to the Thirty-Third Meeting of the Parties. Decision XXX/15 paragraph 5 further requests TEAP, following submission of its response to Decision XXX/6, to provide a review of destruction technologies if new compelling information becomes available.</w:t>
      </w:r>
    </w:p>
    <w:p w14:paraId="5DD5DBE6" w14:textId="77777777" w:rsidR="0046583A" w:rsidRDefault="0046583A" w:rsidP="0046583A">
      <w:r>
        <w:t xml:space="preserve">In consultation with the Ozone Secretariat, TEAP and its MCTOC reported in the 2021 TEAP Progress Report that an assessment in response to decision XXX/6 will be included in MCTOC’s 2022 Assessment Report based on available information. </w:t>
      </w:r>
    </w:p>
    <w:p w14:paraId="7061DBD2" w14:textId="77777777" w:rsidR="0046583A" w:rsidRDefault="0046583A" w:rsidP="0046583A">
      <w:r>
        <w:t>MCTOC outlined preparations for its assessment of destruction technologies under this decision in the 2020 and 2021 TEAP Progress Reports, including suggested guidance on the type of relevant information needed for assessment. The 2020 and 2021 TEAP Progress Reports invited parties to submit this type of information in response to decision XXX/6 paragraph 3. Information from parties was requested to be submitted no later than January 2022 to allow time for assessment. No information has been submitted by parties. The opportunity has now passed for MCTOC to assess any emerging new data in time for its 2022 Assessment Report, based on its report drafting schedule.</w:t>
      </w:r>
    </w:p>
    <w:p w14:paraId="753AFC40" w14:textId="5534103F" w:rsidR="0046583A" w:rsidRDefault="0046583A" w:rsidP="0046583A">
      <w:r>
        <w:t xml:space="preserve">MCTOC is not currently aware of new information, such as test data, relating to already approved destruction technologies (Table </w:t>
      </w:r>
      <w:r w:rsidRPr="00A6306F">
        <w:t>5.4</w:t>
      </w:r>
      <w:r>
        <w:t xml:space="preserve">, based on Annex II, MOP-30 list of technologies subject to review that are either not approved, not determined), or new technologies that would allow an assessment. </w:t>
      </w:r>
      <w:r>
        <w:lastRenderedPageBreak/>
        <w:t>MCTOC notes that several mainstream destruction technologies continue to lack specific data on demonstration of DRE for Annex F HFCs. MCTOC is aware of some developments in the scale and application of existing approved destruction technologies and emerging interest in chemical conversion that are noteworthy to report in the 2022 Assessment Report in response to this decision</w:t>
      </w:r>
      <w:r w:rsidR="004C7B1C">
        <w:t>,</w:t>
      </w:r>
      <w:r>
        <w:t xml:space="preserve"> </w:t>
      </w:r>
      <w:r w:rsidR="004C7B1C">
        <w:t>f</w:t>
      </w:r>
      <w:r>
        <w:t>or example,</w:t>
      </w:r>
      <w:r w:rsidR="004C7B1C">
        <w:t xml:space="preserve"> </w:t>
      </w:r>
      <w:r>
        <w:t>portable nitrogen plasma arc.</w:t>
      </w:r>
    </w:p>
    <w:p w14:paraId="72EC11EB" w14:textId="77777777" w:rsidR="0046583A" w:rsidRDefault="0046583A" w:rsidP="0046583A">
      <w:r>
        <w:t>MCTOC is taking this opportunity to outline again its approach to the assessment of destruction technologies (presented in 2021, updated from 2020) and to provide suggested guidance for parties on the type of relevant information they are invited to submit in future for TEAP assessment. In future, parties may wish to consider providing any new information for TEAP assessment of destruction technologies in January of the same year in which its assessment would be reported</w:t>
      </w:r>
      <w:r w:rsidRPr="001D6B29">
        <w:t xml:space="preserve"> </w:t>
      </w:r>
      <w:r>
        <w:t>either as part of the annual TEAP Progress Report or the quadrennial Assessment Report.</w:t>
      </w:r>
    </w:p>
    <w:p w14:paraId="65784926" w14:textId="77777777" w:rsidR="0046583A" w:rsidRDefault="0046583A" w:rsidP="0046583A">
      <w:r>
        <w:t>MCTOC will report further on destruction technologies and end-of-life management of controlled substances in its 2022 Assessment Report.</w:t>
      </w:r>
    </w:p>
    <w:p w14:paraId="529B1C7B" w14:textId="77777777" w:rsidR="0046583A" w:rsidRPr="00F513AC" w:rsidRDefault="0046583A" w:rsidP="0046583A">
      <w:pPr>
        <w:sectPr w:rsidR="0046583A" w:rsidRPr="00F513AC">
          <w:headerReference w:type="even" r:id="rId77"/>
          <w:headerReference w:type="default" r:id="rId78"/>
          <w:headerReference w:type="first" r:id="rId79"/>
          <w:pgSz w:w="11906" w:h="16838"/>
          <w:pgMar w:top="1440" w:right="1440" w:bottom="1440" w:left="1440" w:header="708" w:footer="708" w:gutter="0"/>
          <w:cols w:space="708"/>
          <w:docGrid w:linePitch="360"/>
        </w:sectPr>
      </w:pPr>
      <w:bookmarkStart w:id="538" w:name="_Toc40190286"/>
      <w:bookmarkStart w:id="539" w:name="_Toc40696086"/>
    </w:p>
    <w:p w14:paraId="23A0872F" w14:textId="6424698D" w:rsidR="0046583A" w:rsidRPr="00F513AC" w:rsidRDefault="0046583A" w:rsidP="0046583A">
      <w:pPr>
        <w:tabs>
          <w:tab w:val="left" w:pos="1134"/>
        </w:tabs>
        <w:rPr>
          <w:rStyle w:val="Heading3Char"/>
          <w:b/>
          <w:bCs/>
        </w:rPr>
      </w:pPr>
      <w:r w:rsidRPr="00F513AC">
        <w:rPr>
          <w:rStyle w:val="Heading3Char"/>
          <w:b/>
          <w:bCs/>
        </w:rPr>
        <w:lastRenderedPageBreak/>
        <w:t xml:space="preserve">Table </w:t>
      </w:r>
      <w:r w:rsidR="000C2EA5">
        <w:rPr>
          <w:rStyle w:val="Heading3Char"/>
          <w:b/>
          <w:bCs/>
        </w:rPr>
        <w:t>6</w:t>
      </w:r>
      <w:r w:rsidRPr="00A6306F">
        <w:rPr>
          <w:rStyle w:val="Heading3Char"/>
          <w:b/>
          <w:bCs/>
        </w:rPr>
        <w:t>.4</w:t>
      </w:r>
      <w:r w:rsidRPr="00F513AC">
        <w:rPr>
          <w:rStyle w:val="Heading3Char"/>
          <w:b/>
          <w:bCs/>
        </w:rPr>
        <w:t>.</w:t>
      </w:r>
      <w:r w:rsidRPr="00F513AC">
        <w:rPr>
          <w:rStyle w:val="Heading3Char"/>
          <w:b/>
          <w:bCs/>
        </w:rPr>
        <w:tab/>
      </w:r>
      <w:r w:rsidRPr="00F513AC">
        <w:rPr>
          <w:b/>
          <w:bCs/>
        </w:rPr>
        <w:t>Based on Annex II, MOP-30 list of technologies subject to this review that are either not approved</w:t>
      </w:r>
      <w:r>
        <w:rPr>
          <w:b/>
          <w:bCs/>
        </w:rPr>
        <w:t xml:space="preserve"> or </w:t>
      </w:r>
      <w:r w:rsidRPr="00F513AC">
        <w:rPr>
          <w:b/>
          <w:bCs/>
        </w:rPr>
        <w:t>not determined</w:t>
      </w:r>
      <w:r>
        <w:rPr>
          <w:b/>
          <w:bCs/>
        </w:rPr>
        <w:t>*</w:t>
      </w:r>
    </w:p>
    <w:tbl>
      <w:tblPr>
        <w:tblW w:w="14341" w:type="dxa"/>
        <w:tblInd w:w="108" w:type="dxa"/>
        <w:tblBorders>
          <w:left w:val="nil"/>
          <w:right w:val="nil"/>
        </w:tblBorders>
        <w:tblLayout w:type="fixed"/>
        <w:tblLook w:val="0000" w:firstRow="0" w:lastRow="0" w:firstColumn="0" w:lastColumn="0" w:noHBand="0" w:noVBand="0"/>
      </w:tblPr>
      <w:tblGrid>
        <w:gridCol w:w="1725"/>
        <w:gridCol w:w="1134"/>
        <w:gridCol w:w="1134"/>
        <w:gridCol w:w="1134"/>
        <w:gridCol w:w="1276"/>
        <w:gridCol w:w="1276"/>
        <w:gridCol w:w="1134"/>
        <w:gridCol w:w="1134"/>
        <w:gridCol w:w="1134"/>
        <w:gridCol w:w="1134"/>
        <w:gridCol w:w="1063"/>
        <w:gridCol w:w="1063"/>
      </w:tblGrid>
      <w:tr w:rsidR="0046583A" w:rsidRPr="00AF34FB" w14:paraId="6B0434B4" w14:textId="77777777" w:rsidTr="00821BBC">
        <w:trPr>
          <w:tblHeader/>
        </w:trPr>
        <w:tc>
          <w:tcPr>
            <w:tcW w:w="1725" w:type="dxa"/>
            <w:vMerge w:val="restart"/>
            <w:tcBorders>
              <w:top w:val="single" w:sz="8" w:space="0" w:color="000000"/>
              <w:left w:val="single" w:sz="8" w:space="0" w:color="000000"/>
              <w:right w:val="single" w:sz="8" w:space="0" w:color="000000"/>
            </w:tcBorders>
            <w:vAlign w:val="center"/>
          </w:tcPr>
          <w:p w14:paraId="606ECA26" w14:textId="77777777" w:rsidR="0046583A" w:rsidRPr="00AF34FB" w:rsidRDefault="0046583A" w:rsidP="0046583A">
            <w:pPr>
              <w:rPr>
                <w:b/>
                <w:sz w:val="18"/>
                <w:szCs w:val="18"/>
                <w:lang w:eastAsia="en-US"/>
              </w:rPr>
            </w:pPr>
            <w:r w:rsidRPr="00AF34FB">
              <w:rPr>
                <w:b/>
                <w:sz w:val="18"/>
                <w:szCs w:val="18"/>
                <w:lang w:eastAsia="en-US"/>
              </w:rPr>
              <w:t>Technology</w:t>
            </w:r>
          </w:p>
        </w:tc>
        <w:tc>
          <w:tcPr>
            <w:tcW w:w="12616" w:type="dxa"/>
            <w:gridSpan w:val="11"/>
            <w:tcBorders>
              <w:top w:val="single" w:sz="8" w:space="0" w:color="000000"/>
              <w:bottom w:val="single" w:sz="8" w:space="0" w:color="000000"/>
              <w:right w:val="single" w:sz="8" w:space="0" w:color="000000"/>
            </w:tcBorders>
          </w:tcPr>
          <w:p w14:paraId="154DF6DD" w14:textId="77777777" w:rsidR="0046583A" w:rsidRPr="00AF34FB" w:rsidRDefault="0046583A" w:rsidP="0046583A">
            <w:pPr>
              <w:spacing w:after="0"/>
              <w:jc w:val="center"/>
              <w:rPr>
                <w:b/>
                <w:sz w:val="18"/>
                <w:szCs w:val="18"/>
                <w:lang w:eastAsia="en-US"/>
              </w:rPr>
            </w:pPr>
            <w:r w:rsidRPr="00AF34FB">
              <w:rPr>
                <w:b/>
                <w:sz w:val="18"/>
                <w:szCs w:val="18"/>
                <w:lang w:eastAsia="en-US"/>
              </w:rPr>
              <w:t>Applicability</w:t>
            </w:r>
          </w:p>
        </w:tc>
      </w:tr>
      <w:tr w:rsidR="0046583A" w:rsidRPr="00AF34FB" w14:paraId="054E4841" w14:textId="77777777" w:rsidTr="00821BBC">
        <w:trPr>
          <w:tblHeader/>
        </w:trPr>
        <w:tc>
          <w:tcPr>
            <w:tcW w:w="1725" w:type="dxa"/>
            <w:vMerge/>
            <w:tcBorders>
              <w:left w:val="single" w:sz="8" w:space="0" w:color="000000"/>
              <w:right w:val="single" w:sz="8" w:space="0" w:color="000000"/>
            </w:tcBorders>
            <w:vAlign w:val="center"/>
          </w:tcPr>
          <w:p w14:paraId="1B66D4FB" w14:textId="77777777" w:rsidR="0046583A" w:rsidRPr="00AF34FB" w:rsidRDefault="0046583A" w:rsidP="0046583A">
            <w:pPr>
              <w:rPr>
                <w:b/>
                <w:sz w:val="18"/>
                <w:szCs w:val="18"/>
                <w:lang w:eastAsia="en-US"/>
              </w:rPr>
            </w:pPr>
          </w:p>
        </w:tc>
        <w:tc>
          <w:tcPr>
            <w:tcW w:w="10490" w:type="dxa"/>
            <w:gridSpan w:val="9"/>
            <w:tcBorders>
              <w:top w:val="single" w:sz="8" w:space="0" w:color="000000"/>
              <w:bottom w:val="single" w:sz="8" w:space="0" w:color="000000"/>
              <w:right w:val="single" w:sz="8" w:space="0" w:color="000000"/>
            </w:tcBorders>
            <w:vAlign w:val="center"/>
          </w:tcPr>
          <w:p w14:paraId="530550C3" w14:textId="77777777" w:rsidR="0046583A" w:rsidRPr="00AF34FB" w:rsidRDefault="0046583A" w:rsidP="0046583A">
            <w:pPr>
              <w:spacing w:after="0"/>
              <w:jc w:val="center"/>
              <w:rPr>
                <w:b/>
                <w:sz w:val="18"/>
                <w:szCs w:val="18"/>
                <w:lang w:eastAsia="en-US"/>
              </w:rPr>
            </w:pPr>
            <w:r w:rsidRPr="00AF34FB">
              <w:rPr>
                <w:b/>
                <w:sz w:val="18"/>
                <w:szCs w:val="18"/>
                <w:lang w:eastAsia="en-US"/>
              </w:rPr>
              <w:t>Concentrated Sources</w:t>
            </w:r>
          </w:p>
        </w:tc>
        <w:tc>
          <w:tcPr>
            <w:tcW w:w="2126" w:type="dxa"/>
            <w:gridSpan w:val="2"/>
            <w:tcBorders>
              <w:top w:val="single" w:sz="8" w:space="0" w:color="000000"/>
              <w:left w:val="single" w:sz="8" w:space="0" w:color="000000"/>
              <w:bottom w:val="single" w:sz="8" w:space="0" w:color="000000"/>
              <w:right w:val="single" w:sz="8" w:space="0" w:color="000000"/>
            </w:tcBorders>
          </w:tcPr>
          <w:p w14:paraId="0DF82FCB" w14:textId="77777777" w:rsidR="0046583A" w:rsidRPr="00AF34FB" w:rsidRDefault="0046583A" w:rsidP="0046583A">
            <w:pPr>
              <w:spacing w:after="0"/>
              <w:jc w:val="center"/>
              <w:rPr>
                <w:b/>
                <w:sz w:val="18"/>
                <w:szCs w:val="18"/>
                <w:lang w:eastAsia="en-US"/>
              </w:rPr>
            </w:pPr>
            <w:r w:rsidRPr="00AF34FB">
              <w:rPr>
                <w:b/>
                <w:sz w:val="18"/>
                <w:szCs w:val="18"/>
                <w:lang w:eastAsia="en-US"/>
              </w:rPr>
              <w:t>Dilute Sources</w:t>
            </w:r>
          </w:p>
        </w:tc>
      </w:tr>
      <w:tr w:rsidR="0046583A" w:rsidRPr="00AF34FB" w14:paraId="64D455DA" w14:textId="77777777" w:rsidTr="00821BBC">
        <w:trPr>
          <w:tblHeader/>
        </w:trPr>
        <w:tc>
          <w:tcPr>
            <w:tcW w:w="1725" w:type="dxa"/>
            <w:vMerge/>
            <w:tcBorders>
              <w:left w:val="single" w:sz="8" w:space="0" w:color="000000"/>
              <w:right w:val="single" w:sz="8" w:space="0" w:color="000000"/>
            </w:tcBorders>
            <w:vAlign w:val="center"/>
          </w:tcPr>
          <w:p w14:paraId="2736A05C" w14:textId="77777777" w:rsidR="0046583A" w:rsidRPr="00AF34FB" w:rsidRDefault="0046583A" w:rsidP="0046583A">
            <w:pPr>
              <w:rPr>
                <w:b/>
                <w:sz w:val="18"/>
                <w:szCs w:val="18"/>
                <w:lang w:eastAsia="en-US"/>
              </w:rPr>
            </w:pPr>
          </w:p>
        </w:tc>
        <w:tc>
          <w:tcPr>
            <w:tcW w:w="2268" w:type="dxa"/>
            <w:gridSpan w:val="2"/>
            <w:tcBorders>
              <w:top w:val="single" w:sz="8" w:space="0" w:color="000000"/>
              <w:bottom w:val="single" w:sz="8" w:space="0" w:color="000000"/>
              <w:right w:val="single" w:sz="8" w:space="0" w:color="000000"/>
            </w:tcBorders>
            <w:vAlign w:val="center"/>
          </w:tcPr>
          <w:p w14:paraId="75B2AC7B" w14:textId="77777777" w:rsidR="0046583A" w:rsidRPr="00AF34FB" w:rsidRDefault="0046583A" w:rsidP="0046583A">
            <w:pPr>
              <w:spacing w:after="0"/>
              <w:jc w:val="center"/>
              <w:rPr>
                <w:b/>
                <w:sz w:val="18"/>
                <w:szCs w:val="18"/>
                <w:lang w:eastAsia="en-US"/>
              </w:rPr>
            </w:pPr>
            <w:r w:rsidRPr="00AF34FB">
              <w:rPr>
                <w:b/>
                <w:sz w:val="18"/>
                <w:szCs w:val="18"/>
                <w:lang w:eastAsia="en-US"/>
              </w:rPr>
              <w:t>Annex A</w:t>
            </w:r>
          </w:p>
        </w:tc>
        <w:tc>
          <w:tcPr>
            <w:tcW w:w="3686" w:type="dxa"/>
            <w:gridSpan w:val="3"/>
            <w:tcBorders>
              <w:top w:val="single" w:sz="8" w:space="0" w:color="000000"/>
              <w:bottom w:val="single" w:sz="8" w:space="0" w:color="000000"/>
              <w:right w:val="single" w:sz="8" w:space="0" w:color="000000"/>
            </w:tcBorders>
            <w:vAlign w:val="center"/>
          </w:tcPr>
          <w:p w14:paraId="628FDA53" w14:textId="77777777" w:rsidR="0046583A" w:rsidRPr="00AF34FB" w:rsidRDefault="0046583A" w:rsidP="0046583A">
            <w:pPr>
              <w:spacing w:after="0"/>
              <w:jc w:val="center"/>
              <w:rPr>
                <w:b/>
                <w:sz w:val="18"/>
                <w:szCs w:val="18"/>
                <w:lang w:eastAsia="en-US"/>
              </w:rPr>
            </w:pPr>
            <w:r w:rsidRPr="00AF34FB">
              <w:rPr>
                <w:b/>
                <w:sz w:val="18"/>
                <w:szCs w:val="18"/>
                <w:lang w:eastAsia="en-US"/>
              </w:rPr>
              <w:t>Annex B</w:t>
            </w:r>
          </w:p>
        </w:tc>
        <w:tc>
          <w:tcPr>
            <w:tcW w:w="1134" w:type="dxa"/>
            <w:tcBorders>
              <w:bottom w:val="single" w:sz="8" w:space="0" w:color="000000"/>
              <w:right w:val="single" w:sz="8" w:space="0" w:color="000000"/>
            </w:tcBorders>
            <w:vAlign w:val="center"/>
          </w:tcPr>
          <w:p w14:paraId="43B794DE" w14:textId="77777777" w:rsidR="0046583A" w:rsidRPr="00AF34FB" w:rsidRDefault="0046583A" w:rsidP="0046583A">
            <w:pPr>
              <w:spacing w:after="0"/>
              <w:jc w:val="center"/>
              <w:rPr>
                <w:b/>
                <w:sz w:val="18"/>
                <w:szCs w:val="18"/>
                <w:lang w:eastAsia="en-US"/>
              </w:rPr>
            </w:pPr>
            <w:r w:rsidRPr="00AF34FB">
              <w:rPr>
                <w:b/>
                <w:sz w:val="18"/>
                <w:szCs w:val="18"/>
                <w:lang w:eastAsia="en-US"/>
              </w:rPr>
              <w:t>Annex C</w:t>
            </w:r>
          </w:p>
        </w:tc>
        <w:tc>
          <w:tcPr>
            <w:tcW w:w="1134" w:type="dxa"/>
            <w:tcBorders>
              <w:bottom w:val="single" w:sz="8" w:space="0" w:color="000000"/>
              <w:right w:val="single" w:sz="8" w:space="0" w:color="000000"/>
            </w:tcBorders>
            <w:vAlign w:val="center"/>
          </w:tcPr>
          <w:p w14:paraId="74D6E602" w14:textId="77777777" w:rsidR="0046583A" w:rsidRPr="00AF34FB" w:rsidRDefault="0046583A" w:rsidP="0046583A">
            <w:pPr>
              <w:spacing w:after="0"/>
              <w:jc w:val="center"/>
              <w:rPr>
                <w:b/>
                <w:sz w:val="18"/>
                <w:szCs w:val="18"/>
                <w:lang w:eastAsia="en-US"/>
              </w:rPr>
            </w:pPr>
            <w:r w:rsidRPr="00AF34FB">
              <w:rPr>
                <w:b/>
                <w:sz w:val="18"/>
                <w:szCs w:val="18"/>
                <w:lang w:eastAsia="en-US"/>
              </w:rPr>
              <w:t>Annex E</w:t>
            </w:r>
          </w:p>
        </w:tc>
        <w:tc>
          <w:tcPr>
            <w:tcW w:w="2268" w:type="dxa"/>
            <w:gridSpan w:val="2"/>
            <w:tcBorders>
              <w:top w:val="single" w:sz="8" w:space="0" w:color="000000"/>
              <w:bottom w:val="single" w:sz="8" w:space="0" w:color="000000"/>
              <w:right w:val="single" w:sz="8" w:space="0" w:color="000000"/>
            </w:tcBorders>
          </w:tcPr>
          <w:p w14:paraId="7342C100" w14:textId="77777777" w:rsidR="0046583A" w:rsidRPr="00AF34FB" w:rsidRDefault="0046583A" w:rsidP="0046583A">
            <w:pPr>
              <w:spacing w:after="0"/>
              <w:jc w:val="center"/>
              <w:rPr>
                <w:b/>
                <w:sz w:val="18"/>
                <w:szCs w:val="18"/>
                <w:lang w:eastAsia="en-US"/>
              </w:rPr>
            </w:pPr>
            <w:r w:rsidRPr="00AF34FB">
              <w:rPr>
                <w:b/>
                <w:sz w:val="18"/>
                <w:szCs w:val="18"/>
                <w:lang w:eastAsia="en-US"/>
              </w:rPr>
              <w:t>Annex F</w:t>
            </w:r>
          </w:p>
        </w:tc>
        <w:tc>
          <w:tcPr>
            <w:tcW w:w="1063" w:type="dxa"/>
            <w:tcBorders>
              <w:top w:val="single" w:sz="8" w:space="0" w:color="000000"/>
              <w:left w:val="single" w:sz="8" w:space="0" w:color="000000"/>
              <w:bottom w:val="single" w:sz="8" w:space="0" w:color="000000"/>
              <w:right w:val="single" w:sz="8" w:space="0" w:color="000000"/>
            </w:tcBorders>
          </w:tcPr>
          <w:p w14:paraId="62F31AF4" w14:textId="77777777" w:rsidR="0046583A" w:rsidRPr="00AF34FB" w:rsidRDefault="0046583A" w:rsidP="0046583A">
            <w:pPr>
              <w:spacing w:after="0"/>
              <w:jc w:val="center"/>
              <w:rPr>
                <w:b/>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tcPr>
          <w:p w14:paraId="235DE985" w14:textId="77777777" w:rsidR="0046583A" w:rsidRPr="00AF34FB" w:rsidRDefault="0046583A" w:rsidP="0046583A">
            <w:pPr>
              <w:spacing w:after="0"/>
              <w:jc w:val="center"/>
              <w:rPr>
                <w:b/>
                <w:sz w:val="18"/>
                <w:szCs w:val="18"/>
                <w:lang w:eastAsia="en-US"/>
              </w:rPr>
            </w:pPr>
            <w:r w:rsidRPr="00AF34FB">
              <w:rPr>
                <w:b/>
                <w:sz w:val="18"/>
                <w:szCs w:val="18"/>
                <w:lang w:eastAsia="en-US"/>
              </w:rPr>
              <w:t>Annex F</w:t>
            </w:r>
          </w:p>
        </w:tc>
      </w:tr>
      <w:tr w:rsidR="0046583A" w:rsidRPr="00AF34FB" w14:paraId="31FF4C49" w14:textId="77777777" w:rsidTr="00821BBC">
        <w:trPr>
          <w:tblHeader/>
        </w:trPr>
        <w:tc>
          <w:tcPr>
            <w:tcW w:w="1725" w:type="dxa"/>
            <w:vMerge/>
            <w:tcBorders>
              <w:left w:val="single" w:sz="8" w:space="0" w:color="000000"/>
              <w:right w:val="single" w:sz="8" w:space="0" w:color="000000"/>
            </w:tcBorders>
            <w:vAlign w:val="center"/>
          </w:tcPr>
          <w:p w14:paraId="40EE716C" w14:textId="77777777" w:rsidR="0046583A" w:rsidRPr="00AF34FB" w:rsidRDefault="0046583A" w:rsidP="0046583A">
            <w:pPr>
              <w:rPr>
                <w:b/>
                <w:sz w:val="18"/>
                <w:szCs w:val="18"/>
                <w:lang w:eastAsia="en-US"/>
              </w:rPr>
            </w:pPr>
          </w:p>
        </w:tc>
        <w:tc>
          <w:tcPr>
            <w:tcW w:w="1134" w:type="dxa"/>
            <w:tcBorders>
              <w:bottom w:val="single" w:sz="8" w:space="0" w:color="000000"/>
              <w:right w:val="single" w:sz="8" w:space="0" w:color="000000"/>
            </w:tcBorders>
            <w:vAlign w:val="center"/>
          </w:tcPr>
          <w:p w14:paraId="16822549" w14:textId="77777777" w:rsidR="0046583A" w:rsidRPr="00AF34FB" w:rsidRDefault="0046583A" w:rsidP="0046583A">
            <w:pPr>
              <w:spacing w:after="0"/>
              <w:jc w:val="center"/>
              <w:rPr>
                <w:b/>
                <w:sz w:val="18"/>
                <w:szCs w:val="18"/>
                <w:lang w:eastAsia="en-US"/>
              </w:rPr>
            </w:pPr>
            <w:r w:rsidRPr="00AF34FB">
              <w:rPr>
                <w:b/>
                <w:sz w:val="18"/>
                <w:szCs w:val="18"/>
                <w:lang w:eastAsia="en-US"/>
              </w:rPr>
              <w:t>Group 1</w:t>
            </w:r>
          </w:p>
        </w:tc>
        <w:tc>
          <w:tcPr>
            <w:tcW w:w="1134" w:type="dxa"/>
            <w:tcBorders>
              <w:bottom w:val="single" w:sz="8" w:space="0" w:color="000000"/>
              <w:right w:val="single" w:sz="8" w:space="0" w:color="000000"/>
            </w:tcBorders>
            <w:vAlign w:val="center"/>
          </w:tcPr>
          <w:p w14:paraId="19DD2E53" w14:textId="77777777" w:rsidR="0046583A" w:rsidRPr="00AF34FB" w:rsidRDefault="0046583A" w:rsidP="0046583A">
            <w:pPr>
              <w:spacing w:after="0"/>
              <w:jc w:val="center"/>
              <w:rPr>
                <w:b/>
                <w:sz w:val="18"/>
                <w:szCs w:val="18"/>
                <w:lang w:eastAsia="en-US"/>
              </w:rPr>
            </w:pPr>
            <w:r w:rsidRPr="00AF34FB">
              <w:rPr>
                <w:b/>
                <w:sz w:val="18"/>
                <w:szCs w:val="18"/>
                <w:lang w:eastAsia="en-US"/>
              </w:rPr>
              <w:t>Group 2</w:t>
            </w:r>
          </w:p>
        </w:tc>
        <w:tc>
          <w:tcPr>
            <w:tcW w:w="1134" w:type="dxa"/>
            <w:tcBorders>
              <w:bottom w:val="single" w:sz="8" w:space="0" w:color="000000"/>
              <w:right w:val="single" w:sz="8" w:space="0" w:color="000000"/>
            </w:tcBorders>
            <w:vAlign w:val="center"/>
          </w:tcPr>
          <w:p w14:paraId="5546E098" w14:textId="77777777" w:rsidR="0046583A" w:rsidRPr="00AF34FB" w:rsidRDefault="0046583A" w:rsidP="0046583A">
            <w:pPr>
              <w:spacing w:after="0"/>
              <w:jc w:val="center"/>
              <w:rPr>
                <w:b/>
                <w:sz w:val="18"/>
                <w:szCs w:val="18"/>
                <w:lang w:eastAsia="en-US"/>
              </w:rPr>
            </w:pPr>
            <w:r w:rsidRPr="00AF34FB">
              <w:rPr>
                <w:b/>
                <w:sz w:val="18"/>
                <w:szCs w:val="18"/>
                <w:lang w:eastAsia="en-US"/>
              </w:rPr>
              <w:t>Group 1</w:t>
            </w:r>
          </w:p>
        </w:tc>
        <w:tc>
          <w:tcPr>
            <w:tcW w:w="1276" w:type="dxa"/>
            <w:tcBorders>
              <w:bottom w:val="single" w:sz="8" w:space="0" w:color="000000"/>
              <w:right w:val="single" w:sz="8" w:space="0" w:color="000000"/>
            </w:tcBorders>
            <w:vAlign w:val="center"/>
          </w:tcPr>
          <w:p w14:paraId="1B231B23" w14:textId="77777777" w:rsidR="0046583A" w:rsidRPr="00AF34FB" w:rsidRDefault="0046583A" w:rsidP="0046583A">
            <w:pPr>
              <w:spacing w:after="0"/>
              <w:jc w:val="center"/>
              <w:rPr>
                <w:b/>
                <w:sz w:val="18"/>
                <w:szCs w:val="18"/>
                <w:lang w:eastAsia="en-US"/>
              </w:rPr>
            </w:pPr>
            <w:r w:rsidRPr="00AF34FB">
              <w:rPr>
                <w:b/>
                <w:sz w:val="18"/>
                <w:szCs w:val="18"/>
                <w:lang w:eastAsia="en-US"/>
              </w:rPr>
              <w:t>Group 2</w:t>
            </w:r>
          </w:p>
        </w:tc>
        <w:tc>
          <w:tcPr>
            <w:tcW w:w="1276" w:type="dxa"/>
            <w:tcBorders>
              <w:bottom w:val="single" w:sz="8" w:space="0" w:color="000000"/>
              <w:right w:val="single" w:sz="8" w:space="0" w:color="000000"/>
            </w:tcBorders>
            <w:vAlign w:val="center"/>
          </w:tcPr>
          <w:p w14:paraId="2CD4C11E" w14:textId="77777777" w:rsidR="0046583A" w:rsidRPr="00AF34FB" w:rsidRDefault="0046583A" w:rsidP="0046583A">
            <w:pPr>
              <w:spacing w:after="0"/>
              <w:jc w:val="center"/>
              <w:rPr>
                <w:b/>
                <w:sz w:val="18"/>
                <w:szCs w:val="18"/>
                <w:lang w:eastAsia="en-US"/>
              </w:rPr>
            </w:pPr>
            <w:r w:rsidRPr="00AF34FB">
              <w:rPr>
                <w:b/>
                <w:sz w:val="18"/>
                <w:szCs w:val="18"/>
                <w:lang w:eastAsia="en-US"/>
              </w:rPr>
              <w:t>Group 3</w:t>
            </w:r>
          </w:p>
        </w:tc>
        <w:tc>
          <w:tcPr>
            <w:tcW w:w="1134" w:type="dxa"/>
            <w:tcBorders>
              <w:bottom w:val="single" w:sz="8" w:space="0" w:color="000000"/>
              <w:right w:val="single" w:sz="8" w:space="0" w:color="000000"/>
            </w:tcBorders>
            <w:vAlign w:val="center"/>
          </w:tcPr>
          <w:p w14:paraId="79016699" w14:textId="77777777" w:rsidR="0046583A" w:rsidRPr="00AF34FB" w:rsidRDefault="0046583A" w:rsidP="0046583A">
            <w:pPr>
              <w:spacing w:after="0"/>
              <w:jc w:val="center"/>
              <w:rPr>
                <w:b/>
                <w:sz w:val="18"/>
                <w:szCs w:val="18"/>
                <w:lang w:eastAsia="en-US"/>
              </w:rPr>
            </w:pPr>
            <w:r w:rsidRPr="00AF34FB">
              <w:rPr>
                <w:b/>
                <w:sz w:val="18"/>
                <w:szCs w:val="18"/>
                <w:lang w:eastAsia="en-US"/>
              </w:rPr>
              <w:t>Group 1</w:t>
            </w:r>
          </w:p>
        </w:tc>
        <w:tc>
          <w:tcPr>
            <w:tcW w:w="1134" w:type="dxa"/>
            <w:tcBorders>
              <w:bottom w:val="single" w:sz="8" w:space="0" w:color="000000"/>
              <w:right w:val="single" w:sz="8" w:space="0" w:color="000000"/>
            </w:tcBorders>
            <w:vAlign w:val="center"/>
          </w:tcPr>
          <w:p w14:paraId="45C9FF75" w14:textId="77777777" w:rsidR="0046583A" w:rsidRPr="00AF34FB" w:rsidRDefault="0046583A" w:rsidP="0046583A">
            <w:pPr>
              <w:spacing w:after="0"/>
              <w:jc w:val="center"/>
              <w:rPr>
                <w:b/>
                <w:sz w:val="18"/>
                <w:szCs w:val="18"/>
                <w:lang w:eastAsia="en-US"/>
              </w:rPr>
            </w:pPr>
            <w:r w:rsidRPr="00AF34FB">
              <w:rPr>
                <w:b/>
                <w:sz w:val="18"/>
                <w:szCs w:val="18"/>
                <w:lang w:eastAsia="en-US"/>
              </w:rPr>
              <w:t>Group 1</w:t>
            </w:r>
          </w:p>
        </w:tc>
        <w:tc>
          <w:tcPr>
            <w:tcW w:w="1134" w:type="dxa"/>
            <w:tcBorders>
              <w:top w:val="single" w:sz="8" w:space="0" w:color="000000"/>
              <w:bottom w:val="single" w:sz="8" w:space="0" w:color="000000"/>
              <w:right w:val="single" w:sz="8" w:space="0" w:color="000000"/>
            </w:tcBorders>
            <w:vAlign w:val="center"/>
          </w:tcPr>
          <w:p w14:paraId="7159F95A" w14:textId="77777777" w:rsidR="0046583A" w:rsidRPr="00AF34FB" w:rsidRDefault="0046583A" w:rsidP="0046583A">
            <w:pPr>
              <w:spacing w:after="0"/>
              <w:jc w:val="center"/>
              <w:rPr>
                <w:b/>
                <w:sz w:val="18"/>
                <w:szCs w:val="18"/>
                <w:lang w:eastAsia="en-US"/>
              </w:rPr>
            </w:pPr>
            <w:r w:rsidRPr="00AF34FB">
              <w:rPr>
                <w:b/>
                <w:sz w:val="18"/>
                <w:szCs w:val="18"/>
                <w:lang w:eastAsia="en-US"/>
              </w:rPr>
              <w:t>Group 1</w:t>
            </w:r>
          </w:p>
        </w:tc>
        <w:tc>
          <w:tcPr>
            <w:tcW w:w="1134" w:type="dxa"/>
            <w:tcBorders>
              <w:top w:val="single" w:sz="8" w:space="0" w:color="000000"/>
              <w:left w:val="single" w:sz="8" w:space="0" w:color="000000"/>
              <w:bottom w:val="single" w:sz="8" w:space="0" w:color="000000"/>
              <w:right w:val="single" w:sz="8" w:space="0" w:color="000000"/>
            </w:tcBorders>
            <w:vAlign w:val="center"/>
          </w:tcPr>
          <w:p w14:paraId="23BFE756" w14:textId="77777777" w:rsidR="0046583A" w:rsidRPr="00AF34FB" w:rsidRDefault="0046583A" w:rsidP="0046583A">
            <w:pPr>
              <w:spacing w:after="0"/>
              <w:jc w:val="center"/>
              <w:rPr>
                <w:b/>
                <w:sz w:val="18"/>
                <w:szCs w:val="18"/>
                <w:lang w:eastAsia="en-US"/>
              </w:rPr>
            </w:pPr>
            <w:r w:rsidRPr="00AF34FB">
              <w:rPr>
                <w:b/>
                <w:sz w:val="18"/>
                <w:szCs w:val="18"/>
                <w:lang w:eastAsia="en-US"/>
              </w:rPr>
              <w:t>Group 2</w:t>
            </w:r>
          </w:p>
        </w:tc>
        <w:tc>
          <w:tcPr>
            <w:tcW w:w="1063" w:type="dxa"/>
            <w:tcBorders>
              <w:top w:val="single" w:sz="8" w:space="0" w:color="000000"/>
              <w:left w:val="single" w:sz="8" w:space="0" w:color="000000"/>
              <w:bottom w:val="single" w:sz="8" w:space="0" w:color="000000"/>
              <w:right w:val="single" w:sz="8" w:space="0" w:color="000000"/>
            </w:tcBorders>
            <w:vAlign w:val="center"/>
          </w:tcPr>
          <w:p w14:paraId="141A889D" w14:textId="77777777" w:rsidR="0046583A" w:rsidRPr="00AF34FB" w:rsidRDefault="0046583A" w:rsidP="0046583A">
            <w:pPr>
              <w:spacing w:after="0"/>
              <w:jc w:val="center"/>
              <w:rPr>
                <w:b/>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vAlign w:val="center"/>
          </w:tcPr>
          <w:p w14:paraId="58F7B59E" w14:textId="77777777" w:rsidR="0046583A" w:rsidRPr="00AF34FB" w:rsidRDefault="0046583A" w:rsidP="0046583A">
            <w:pPr>
              <w:spacing w:after="0"/>
              <w:jc w:val="center"/>
              <w:rPr>
                <w:b/>
                <w:sz w:val="18"/>
                <w:szCs w:val="18"/>
                <w:lang w:eastAsia="en-US"/>
              </w:rPr>
            </w:pPr>
            <w:r w:rsidRPr="00AF34FB">
              <w:rPr>
                <w:b/>
                <w:sz w:val="18"/>
                <w:szCs w:val="18"/>
                <w:lang w:eastAsia="en-US"/>
              </w:rPr>
              <w:t>Group 1</w:t>
            </w:r>
          </w:p>
        </w:tc>
      </w:tr>
      <w:tr w:rsidR="0046583A" w:rsidRPr="00AF34FB" w14:paraId="61FD496E" w14:textId="77777777" w:rsidTr="00821BBC">
        <w:trPr>
          <w:tblHeader/>
        </w:trPr>
        <w:tc>
          <w:tcPr>
            <w:tcW w:w="1725" w:type="dxa"/>
            <w:vMerge/>
            <w:tcBorders>
              <w:left w:val="single" w:sz="8" w:space="0" w:color="000000"/>
              <w:bottom w:val="single" w:sz="8" w:space="0" w:color="000000"/>
              <w:right w:val="single" w:sz="8" w:space="0" w:color="000000"/>
            </w:tcBorders>
            <w:vAlign w:val="center"/>
          </w:tcPr>
          <w:p w14:paraId="2A1E56DA" w14:textId="77777777" w:rsidR="0046583A" w:rsidRPr="00AF34FB" w:rsidRDefault="0046583A" w:rsidP="0046583A">
            <w:pPr>
              <w:rPr>
                <w:b/>
                <w:sz w:val="18"/>
                <w:szCs w:val="18"/>
                <w:lang w:eastAsia="en-US"/>
              </w:rPr>
            </w:pPr>
          </w:p>
        </w:tc>
        <w:tc>
          <w:tcPr>
            <w:tcW w:w="1134" w:type="dxa"/>
            <w:tcBorders>
              <w:bottom w:val="single" w:sz="8" w:space="0" w:color="000000"/>
              <w:right w:val="single" w:sz="8" w:space="0" w:color="000000"/>
            </w:tcBorders>
            <w:vAlign w:val="center"/>
          </w:tcPr>
          <w:p w14:paraId="68F6A3DD" w14:textId="77777777" w:rsidR="0046583A" w:rsidRPr="00AF34FB" w:rsidRDefault="0046583A" w:rsidP="0046583A">
            <w:pPr>
              <w:spacing w:after="0"/>
              <w:jc w:val="center"/>
              <w:rPr>
                <w:b/>
                <w:sz w:val="18"/>
                <w:szCs w:val="18"/>
                <w:lang w:eastAsia="en-US"/>
              </w:rPr>
            </w:pPr>
            <w:r w:rsidRPr="00AF34FB">
              <w:rPr>
                <w:b/>
                <w:sz w:val="18"/>
                <w:szCs w:val="18"/>
                <w:lang w:eastAsia="en-US"/>
              </w:rPr>
              <w:t>Primary CFCs</w:t>
            </w:r>
          </w:p>
        </w:tc>
        <w:tc>
          <w:tcPr>
            <w:tcW w:w="1134" w:type="dxa"/>
            <w:tcBorders>
              <w:bottom w:val="single" w:sz="8" w:space="0" w:color="000000"/>
              <w:right w:val="single" w:sz="8" w:space="0" w:color="000000"/>
            </w:tcBorders>
            <w:vAlign w:val="center"/>
          </w:tcPr>
          <w:p w14:paraId="58F937BD" w14:textId="77777777" w:rsidR="0046583A" w:rsidRPr="00AF34FB" w:rsidRDefault="0046583A" w:rsidP="0046583A">
            <w:pPr>
              <w:spacing w:after="0"/>
              <w:jc w:val="center"/>
              <w:rPr>
                <w:b/>
                <w:sz w:val="18"/>
                <w:szCs w:val="18"/>
                <w:lang w:eastAsia="en-US"/>
              </w:rPr>
            </w:pPr>
            <w:r w:rsidRPr="00AF34FB">
              <w:rPr>
                <w:b/>
                <w:sz w:val="18"/>
                <w:szCs w:val="18"/>
                <w:lang w:eastAsia="en-US"/>
              </w:rPr>
              <w:t>Halons</w:t>
            </w:r>
          </w:p>
        </w:tc>
        <w:tc>
          <w:tcPr>
            <w:tcW w:w="1134" w:type="dxa"/>
            <w:tcBorders>
              <w:bottom w:val="single" w:sz="8" w:space="0" w:color="000000"/>
              <w:right w:val="single" w:sz="8" w:space="0" w:color="000000"/>
            </w:tcBorders>
            <w:vAlign w:val="center"/>
          </w:tcPr>
          <w:p w14:paraId="6BDC416C" w14:textId="77777777" w:rsidR="0046583A" w:rsidRPr="00AF34FB" w:rsidRDefault="0046583A" w:rsidP="0046583A">
            <w:pPr>
              <w:spacing w:after="0"/>
              <w:jc w:val="center"/>
              <w:rPr>
                <w:b/>
                <w:sz w:val="18"/>
                <w:szCs w:val="18"/>
                <w:lang w:eastAsia="en-US"/>
              </w:rPr>
            </w:pPr>
            <w:r w:rsidRPr="00AF34FB">
              <w:rPr>
                <w:b/>
                <w:sz w:val="18"/>
                <w:szCs w:val="18"/>
                <w:lang w:eastAsia="en-US"/>
              </w:rPr>
              <w:t>Other CFCs</w:t>
            </w:r>
          </w:p>
        </w:tc>
        <w:tc>
          <w:tcPr>
            <w:tcW w:w="1276" w:type="dxa"/>
            <w:tcBorders>
              <w:bottom w:val="single" w:sz="8" w:space="0" w:color="000000"/>
              <w:right w:val="single" w:sz="8" w:space="0" w:color="000000"/>
            </w:tcBorders>
            <w:vAlign w:val="center"/>
          </w:tcPr>
          <w:p w14:paraId="7BC6BE6C" w14:textId="77777777" w:rsidR="0046583A" w:rsidRPr="00AF34FB" w:rsidRDefault="0046583A" w:rsidP="0046583A">
            <w:pPr>
              <w:spacing w:after="0"/>
              <w:jc w:val="center"/>
              <w:rPr>
                <w:b/>
                <w:sz w:val="18"/>
                <w:szCs w:val="18"/>
                <w:lang w:eastAsia="en-US"/>
              </w:rPr>
            </w:pPr>
            <w:r w:rsidRPr="00AF34FB">
              <w:rPr>
                <w:b/>
                <w:sz w:val="18"/>
                <w:szCs w:val="18"/>
                <w:lang w:eastAsia="en-US"/>
              </w:rPr>
              <w:t>Carbon Tetrachloride</w:t>
            </w:r>
          </w:p>
        </w:tc>
        <w:tc>
          <w:tcPr>
            <w:tcW w:w="1276" w:type="dxa"/>
            <w:tcBorders>
              <w:bottom w:val="single" w:sz="8" w:space="0" w:color="000000"/>
              <w:right w:val="single" w:sz="8" w:space="0" w:color="000000"/>
            </w:tcBorders>
            <w:vAlign w:val="center"/>
          </w:tcPr>
          <w:p w14:paraId="12842E8C" w14:textId="77777777" w:rsidR="0046583A" w:rsidRPr="00AF34FB" w:rsidRDefault="0046583A" w:rsidP="0046583A">
            <w:pPr>
              <w:spacing w:after="0"/>
              <w:jc w:val="center"/>
              <w:rPr>
                <w:b/>
                <w:sz w:val="18"/>
                <w:szCs w:val="18"/>
                <w:lang w:eastAsia="en-US"/>
              </w:rPr>
            </w:pPr>
            <w:r w:rsidRPr="00AF34FB">
              <w:rPr>
                <w:b/>
                <w:sz w:val="18"/>
                <w:szCs w:val="18"/>
                <w:lang w:eastAsia="en-US"/>
              </w:rPr>
              <w:t>Methyl Chloroform</w:t>
            </w:r>
          </w:p>
        </w:tc>
        <w:tc>
          <w:tcPr>
            <w:tcW w:w="1134" w:type="dxa"/>
            <w:tcBorders>
              <w:bottom w:val="single" w:sz="8" w:space="0" w:color="000000"/>
              <w:right w:val="single" w:sz="8" w:space="0" w:color="000000"/>
            </w:tcBorders>
            <w:vAlign w:val="center"/>
          </w:tcPr>
          <w:p w14:paraId="73FA6754" w14:textId="77777777" w:rsidR="0046583A" w:rsidRPr="00AF34FB" w:rsidRDefault="0046583A" w:rsidP="0046583A">
            <w:pPr>
              <w:spacing w:after="0"/>
              <w:jc w:val="center"/>
              <w:rPr>
                <w:b/>
                <w:sz w:val="18"/>
                <w:szCs w:val="18"/>
                <w:lang w:eastAsia="en-US"/>
              </w:rPr>
            </w:pPr>
            <w:r w:rsidRPr="00AF34FB">
              <w:rPr>
                <w:b/>
                <w:sz w:val="18"/>
                <w:szCs w:val="18"/>
                <w:lang w:eastAsia="en-US"/>
              </w:rPr>
              <w:t>HCFCs</w:t>
            </w:r>
          </w:p>
        </w:tc>
        <w:tc>
          <w:tcPr>
            <w:tcW w:w="1134" w:type="dxa"/>
            <w:tcBorders>
              <w:bottom w:val="single" w:sz="8" w:space="0" w:color="000000"/>
              <w:right w:val="single" w:sz="8" w:space="0" w:color="000000"/>
            </w:tcBorders>
            <w:vAlign w:val="center"/>
          </w:tcPr>
          <w:p w14:paraId="685B03BD" w14:textId="77777777" w:rsidR="0046583A" w:rsidRPr="00AF34FB" w:rsidRDefault="0046583A" w:rsidP="0046583A">
            <w:pPr>
              <w:spacing w:after="0"/>
              <w:jc w:val="center"/>
              <w:rPr>
                <w:b/>
                <w:sz w:val="18"/>
                <w:szCs w:val="18"/>
                <w:lang w:eastAsia="en-US"/>
              </w:rPr>
            </w:pPr>
            <w:r w:rsidRPr="00AF34FB">
              <w:rPr>
                <w:b/>
                <w:sz w:val="18"/>
                <w:szCs w:val="18"/>
                <w:lang w:eastAsia="en-US"/>
              </w:rPr>
              <w:t>Methyl Bromide</w:t>
            </w:r>
          </w:p>
        </w:tc>
        <w:tc>
          <w:tcPr>
            <w:tcW w:w="1134" w:type="dxa"/>
            <w:tcBorders>
              <w:top w:val="single" w:sz="8" w:space="0" w:color="000000"/>
              <w:bottom w:val="single" w:sz="8" w:space="0" w:color="000000"/>
              <w:right w:val="single" w:sz="8" w:space="0" w:color="000000"/>
            </w:tcBorders>
            <w:vAlign w:val="center"/>
          </w:tcPr>
          <w:p w14:paraId="06AB5E2D" w14:textId="77777777" w:rsidR="0046583A" w:rsidRPr="00AF34FB" w:rsidRDefault="0046583A" w:rsidP="0046583A">
            <w:pPr>
              <w:spacing w:after="0"/>
              <w:jc w:val="center"/>
              <w:rPr>
                <w:b/>
                <w:sz w:val="18"/>
                <w:szCs w:val="18"/>
                <w:lang w:eastAsia="en-US"/>
              </w:rPr>
            </w:pPr>
            <w:r w:rsidRPr="00AF34FB">
              <w:rPr>
                <w:b/>
                <w:sz w:val="18"/>
                <w:szCs w:val="18"/>
                <w:lang w:eastAsia="en-US"/>
              </w:rPr>
              <w:t>HFCs</w:t>
            </w:r>
          </w:p>
        </w:tc>
        <w:tc>
          <w:tcPr>
            <w:tcW w:w="1134" w:type="dxa"/>
            <w:tcBorders>
              <w:top w:val="single" w:sz="8" w:space="0" w:color="000000"/>
              <w:left w:val="single" w:sz="8" w:space="0" w:color="000000"/>
              <w:bottom w:val="single" w:sz="8" w:space="0" w:color="000000"/>
              <w:right w:val="single" w:sz="8" w:space="0" w:color="000000"/>
            </w:tcBorders>
            <w:vAlign w:val="center"/>
          </w:tcPr>
          <w:p w14:paraId="7748A921" w14:textId="77777777" w:rsidR="0046583A" w:rsidRPr="00AF34FB" w:rsidRDefault="0046583A" w:rsidP="0046583A">
            <w:pPr>
              <w:spacing w:after="0"/>
              <w:jc w:val="center"/>
              <w:rPr>
                <w:b/>
                <w:sz w:val="18"/>
                <w:szCs w:val="18"/>
                <w:lang w:eastAsia="en-US"/>
              </w:rPr>
            </w:pPr>
            <w:r w:rsidRPr="00AF34FB">
              <w:rPr>
                <w:b/>
                <w:sz w:val="18"/>
                <w:szCs w:val="18"/>
                <w:lang w:eastAsia="en-US"/>
              </w:rPr>
              <w:t>HFC-23</w:t>
            </w:r>
          </w:p>
        </w:tc>
        <w:tc>
          <w:tcPr>
            <w:tcW w:w="1063" w:type="dxa"/>
            <w:tcBorders>
              <w:top w:val="single" w:sz="8" w:space="0" w:color="000000"/>
              <w:left w:val="single" w:sz="8" w:space="0" w:color="000000"/>
              <w:bottom w:val="single" w:sz="8" w:space="0" w:color="000000"/>
              <w:right w:val="single" w:sz="8" w:space="0" w:color="000000"/>
            </w:tcBorders>
            <w:vAlign w:val="center"/>
          </w:tcPr>
          <w:p w14:paraId="398D4D73" w14:textId="77777777" w:rsidR="0046583A" w:rsidRPr="00AF34FB" w:rsidRDefault="0046583A" w:rsidP="0046583A">
            <w:pPr>
              <w:spacing w:after="0"/>
              <w:jc w:val="center"/>
              <w:rPr>
                <w:b/>
                <w:sz w:val="18"/>
                <w:szCs w:val="18"/>
                <w:lang w:eastAsia="en-US"/>
              </w:rPr>
            </w:pPr>
            <w:r w:rsidRPr="00AF34FB">
              <w:rPr>
                <w:b/>
                <w:sz w:val="18"/>
                <w:szCs w:val="18"/>
                <w:lang w:eastAsia="en-US"/>
              </w:rPr>
              <w:t>ODS</w:t>
            </w:r>
          </w:p>
        </w:tc>
        <w:tc>
          <w:tcPr>
            <w:tcW w:w="1063" w:type="dxa"/>
            <w:tcBorders>
              <w:top w:val="single" w:sz="8" w:space="0" w:color="000000"/>
              <w:left w:val="single" w:sz="8" w:space="0" w:color="000000"/>
              <w:bottom w:val="single" w:sz="8" w:space="0" w:color="000000"/>
              <w:right w:val="single" w:sz="8" w:space="0" w:color="000000"/>
            </w:tcBorders>
            <w:vAlign w:val="center"/>
          </w:tcPr>
          <w:p w14:paraId="7CE1155B" w14:textId="77777777" w:rsidR="0046583A" w:rsidRPr="00AF34FB" w:rsidRDefault="0046583A" w:rsidP="0046583A">
            <w:pPr>
              <w:spacing w:after="0"/>
              <w:jc w:val="center"/>
              <w:rPr>
                <w:b/>
                <w:sz w:val="18"/>
                <w:szCs w:val="18"/>
                <w:lang w:eastAsia="en-US"/>
              </w:rPr>
            </w:pPr>
            <w:r w:rsidRPr="00AF34FB">
              <w:rPr>
                <w:b/>
                <w:sz w:val="18"/>
                <w:szCs w:val="18"/>
                <w:lang w:eastAsia="en-US"/>
              </w:rPr>
              <w:t>HFCs</w:t>
            </w:r>
          </w:p>
        </w:tc>
      </w:tr>
      <w:tr w:rsidR="0046583A" w:rsidRPr="00AF34FB" w14:paraId="240495E9" w14:textId="77777777" w:rsidTr="0046583A">
        <w:tc>
          <w:tcPr>
            <w:tcW w:w="1725" w:type="dxa"/>
            <w:tcBorders>
              <w:left w:val="single" w:sz="8" w:space="0" w:color="000000"/>
              <w:bottom w:val="single" w:sz="8" w:space="0" w:color="000000"/>
              <w:right w:val="single" w:sz="8" w:space="0" w:color="000000"/>
            </w:tcBorders>
            <w:vAlign w:val="center"/>
          </w:tcPr>
          <w:p w14:paraId="4CF6E716" w14:textId="77777777" w:rsidR="0046583A" w:rsidRPr="00AF34FB" w:rsidRDefault="0046583A" w:rsidP="0046583A">
            <w:pPr>
              <w:spacing w:after="0"/>
              <w:rPr>
                <w:b/>
                <w:sz w:val="18"/>
                <w:szCs w:val="18"/>
                <w:lang w:eastAsia="en-US"/>
              </w:rPr>
            </w:pPr>
            <w:r w:rsidRPr="00AF34FB">
              <w:rPr>
                <w:b/>
                <w:sz w:val="18"/>
                <w:szCs w:val="18"/>
                <w:lang w:eastAsia="en-US"/>
              </w:rPr>
              <w:t>DRE</w:t>
            </w:r>
          </w:p>
        </w:tc>
        <w:tc>
          <w:tcPr>
            <w:tcW w:w="1134" w:type="dxa"/>
            <w:tcBorders>
              <w:bottom w:val="single" w:sz="8" w:space="0" w:color="000000"/>
              <w:right w:val="single" w:sz="8" w:space="0" w:color="000000"/>
            </w:tcBorders>
            <w:vAlign w:val="center"/>
          </w:tcPr>
          <w:p w14:paraId="370C26F0" w14:textId="77777777" w:rsidR="0046583A" w:rsidRPr="00AF34FB" w:rsidRDefault="0046583A" w:rsidP="0046583A">
            <w:pPr>
              <w:spacing w:after="0"/>
              <w:jc w:val="center"/>
              <w:rPr>
                <w:sz w:val="18"/>
                <w:szCs w:val="18"/>
                <w:lang w:eastAsia="en-US"/>
              </w:rPr>
            </w:pPr>
            <w:r w:rsidRPr="00AF34FB">
              <w:rPr>
                <w:sz w:val="18"/>
                <w:szCs w:val="18"/>
                <w:lang w:eastAsia="en-US"/>
              </w:rPr>
              <w:t>99.99%</w:t>
            </w:r>
          </w:p>
        </w:tc>
        <w:tc>
          <w:tcPr>
            <w:tcW w:w="1134" w:type="dxa"/>
            <w:tcBorders>
              <w:bottom w:val="single" w:sz="8" w:space="0" w:color="000000"/>
              <w:right w:val="single" w:sz="8" w:space="0" w:color="000000"/>
            </w:tcBorders>
            <w:vAlign w:val="center"/>
          </w:tcPr>
          <w:p w14:paraId="683E86E6" w14:textId="77777777" w:rsidR="0046583A" w:rsidRPr="00AF34FB" w:rsidRDefault="0046583A" w:rsidP="0046583A">
            <w:pPr>
              <w:spacing w:after="0"/>
              <w:jc w:val="center"/>
              <w:rPr>
                <w:sz w:val="18"/>
                <w:szCs w:val="18"/>
                <w:lang w:eastAsia="en-US"/>
              </w:rPr>
            </w:pPr>
            <w:r w:rsidRPr="00AF34FB">
              <w:rPr>
                <w:sz w:val="18"/>
                <w:szCs w:val="18"/>
                <w:lang w:eastAsia="en-US"/>
              </w:rPr>
              <w:t>99.99%</w:t>
            </w:r>
          </w:p>
        </w:tc>
        <w:tc>
          <w:tcPr>
            <w:tcW w:w="1134" w:type="dxa"/>
            <w:tcBorders>
              <w:bottom w:val="single" w:sz="8" w:space="0" w:color="000000"/>
              <w:right w:val="single" w:sz="8" w:space="0" w:color="000000"/>
            </w:tcBorders>
            <w:vAlign w:val="center"/>
          </w:tcPr>
          <w:p w14:paraId="41CA0ADC" w14:textId="77777777" w:rsidR="0046583A" w:rsidRPr="00AF34FB" w:rsidRDefault="0046583A" w:rsidP="0046583A">
            <w:pPr>
              <w:spacing w:after="0"/>
              <w:jc w:val="center"/>
              <w:rPr>
                <w:sz w:val="18"/>
                <w:szCs w:val="18"/>
                <w:lang w:eastAsia="en-US"/>
              </w:rPr>
            </w:pPr>
            <w:r w:rsidRPr="00AF34FB">
              <w:rPr>
                <w:sz w:val="18"/>
                <w:szCs w:val="18"/>
                <w:lang w:eastAsia="en-US"/>
              </w:rPr>
              <w:t>99.99%</w:t>
            </w:r>
          </w:p>
        </w:tc>
        <w:tc>
          <w:tcPr>
            <w:tcW w:w="1276" w:type="dxa"/>
            <w:tcBorders>
              <w:bottom w:val="single" w:sz="8" w:space="0" w:color="000000"/>
              <w:right w:val="single" w:sz="8" w:space="0" w:color="000000"/>
            </w:tcBorders>
            <w:vAlign w:val="center"/>
          </w:tcPr>
          <w:p w14:paraId="7F0F6393" w14:textId="77777777" w:rsidR="0046583A" w:rsidRPr="00AF34FB" w:rsidRDefault="0046583A" w:rsidP="0046583A">
            <w:pPr>
              <w:spacing w:after="0"/>
              <w:jc w:val="center"/>
              <w:rPr>
                <w:sz w:val="18"/>
                <w:szCs w:val="18"/>
                <w:lang w:eastAsia="en-US"/>
              </w:rPr>
            </w:pPr>
            <w:r w:rsidRPr="00AF34FB">
              <w:rPr>
                <w:sz w:val="18"/>
                <w:szCs w:val="18"/>
                <w:lang w:eastAsia="en-US"/>
              </w:rPr>
              <w:t>99.99%</w:t>
            </w:r>
          </w:p>
        </w:tc>
        <w:tc>
          <w:tcPr>
            <w:tcW w:w="1276" w:type="dxa"/>
            <w:tcBorders>
              <w:bottom w:val="single" w:sz="8" w:space="0" w:color="000000"/>
              <w:right w:val="single" w:sz="8" w:space="0" w:color="000000"/>
            </w:tcBorders>
            <w:vAlign w:val="center"/>
          </w:tcPr>
          <w:p w14:paraId="0C6BED73" w14:textId="77777777" w:rsidR="0046583A" w:rsidRPr="00AF34FB" w:rsidRDefault="0046583A" w:rsidP="0046583A">
            <w:pPr>
              <w:spacing w:after="0"/>
              <w:jc w:val="center"/>
              <w:rPr>
                <w:sz w:val="18"/>
                <w:szCs w:val="18"/>
                <w:lang w:eastAsia="en-US"/>
              </w:rPr>
            </w:pPr>
            <w:r w:rsidRPr="00AF34FB">
              <w:rPr>
                <w:sz w:val="18"/>
                <w:szCs w:val="18"/>
                <w:lang w:eastAsia="en-US"/>
              </w:rPr>
              <w:t>99.99%</w:t>
            </w:r>
          </w:p>
        </w:tc>
        <w:tc>
          <w:tcPr>
            <w:tcW w:w="1134" w:type="dxa"/>
            <w:tcBorders>
              <w:bottom w:val="single" w:sz="8" w:space="0" w:color="000000"/>
              <w:right w:val="single" w:sz="8" w:space="0" w:color="000000"/>
            </w:tcBorders>
            <w:vAlign w:val="center"/>
          </w:tcPr>
          <w:p w14:paraId="23810FBF" w14:textId="77777777" w:rsidR="0046583A" w:rsidRPr="00AF34FB" w:rsidRDefault="0046583A" w:rsidP="0046583A">
            <w:pPr>
              <w:spacing w:after="0"/>
              <w:jc w:val="center"/>
              <w:rPr>
                <w:sz w:val="18"/>
                <w:szCs w:val="18"/>
                <w:lang w:eastAsia="en-US"/>
              </w:rPr>
            </w:pPr>
            <w:r w:rsidRPr="00AF34FB">
              <w:rPr>
                <w:sz w:val="18"/>
                <w:szCs w:val="18"/>
                <w:lang w:eastAsia="en-US"/>
              </w:rPr>
              <w:t>99.99%</w:t>
            </w:r>
          </w:p>
        </w:tc>
        <w:tc>
          <w:tcPr>
            <w:tcW w:w="1134" w:type="dxa"/>
            <w:tcBorders>
              <w:bottom w:val="single" w:sz="8" w:space="0" w:color="000000"/>
              <w:right w:val="single" w:sz="8" w:space="0" w:color="000000"/>
            </w:tcBorders>
            <w:vAlign w:val="center"/>
          </w:tcPr>
          <w:p w14:paraId="2945EA5B" w14:textId="77777777" w:rsidR="0046583A" w:rsidRPr="00AF34FB" w:rsidRDefault="0046583A" w:rsidP="0046583A">
            <w:pPr>
              <w:spacing w:after="0"/>
              <w:jc w:val="center"/>
              <w:rPr>
                <w:sz w:val="18"/>
                <w:szCs w:val="18"/>
                <w:lang w:eastAsia="en-US"/>
              </w:rPr>
            </w:pPr>
            <w:r w:rsidRPr="00AF34FB">
              <w:rPr>
                <w:sz w:val="18"/>
                <w:szCs w:val="18"/>
                <w:lang w:eastAsia="en-US"/>
              </w:rPr>
              <w:t>99.99%</w:t>
            </w:r>
          </w:p>
        </w:tc>
        <w:tc>
          <w:tcPr>
            <w:tcW w:w="1134" w:type="dxa"/>
            <w:tcBorders>
              <w:top w:val="single" w:sz="8" w:space="0" w:color="000000"/>
              <w:bottom w:val="single" w:sz="8" w:space="0" w:color="000000"/>
              <w:right w:val="single" w:sz="8" w:space="0" w:color="000000"/>
            </w:tcBorders>
            <w:vAlign w:val="center"/>
          </w:tcPr>
          <w:p w14:paraId="7A3C61F9" w14:textId="77777777" w:rsidR="0046583A" w:rsidRPr="00AF34FB" w:rsidRDefault="0046583A" w:rsidP="0046583A">
            <w:pPr>
              <w:spacing w:after="0"/>
              <w:jc w:val="center"/>
              <w:rPr>
                <w:sz w:val="18"/>
                <w:szCs w:val="18"/>
                <w:lang w:eastAsia="en-US"/>
              </w:rPr>
            </w:pPr>
            <w:r w:rsidRPr="00AF34FB">
              <w:rPr>
                <w:sz w:val="18"/>
                <w:szCs w:val="18"/>
                <w:lang w:eastAsia="en-US"/>
              </w:rPr>
              <w:t>99.99%</w:t>
            </w:r>
          </w:p>
        </w:tc>
        <w:tc>
          <w:tcPr>
            <w:tcW w:w="1134" w:type="dxa"/>
            <w:tcBorders>
              <w:top w:val="single" w:sz="8" w:space="0" w:color="000000"/>
              <w:left w:val="single" w:sz="8" w:space="0" w:color="000000"/>
              <w:bottom w:val="single" w:sz="8" w:space="0" w:color="000000"/>
              <w:right w:val="single" w:sz="8" w:space="0" w:color="000000"/>
            </w:tcBorders>
            <w:vAlign w:val="center"/>
          </w:tcPr>
          <w:p w14:paraId="79878125" w14:textId="77777777" w:rsidR="0046583A" w:rsidRPr="00AF34FB" w:rsidRDefault="0046583A" w:rsidP="0046583A">
            <w:pPr>
              <w:spacing w:after="0"/>
              <w:jc w:val="center"/>
              <w:rPr>
                <w:sz w:val="18"/>
                <w:szCs w:val="18"/>
                <w:lang w:eastAsia="en-US"/>
              </w:rPr>
            </w:pPr>
            <w:r w:rsidRPr="00AF34FB">
              <w:rPr>
                <w:sz w:val="18"/>
                <w:szCs w:val="18"/>
                <w:lang w:eastAsia="en-US"/>
              </w:rPr>
              <w:t>99.99%</w:t>
            </w:r>
          </w:p>
        </w:tc>
        <w:tc>
          <w:tcPr>
            <w:tcW w:w="1063" w:type="dxa"/>
            <w:tcBorders>
              <w:top w:val="single" w:sz="8" w:space="0" w:color="000000"/>
              <w:left w:val="single" w:sz="8" w:space="0" w:color="000000"/>
              <w:bottom w:val="single" w:sz="8" w:space="0" w:color="000000"/>
              <w:right w:val="single" w:sz="8" w:space="0" w:color="000000"/>
            </w:tcBorders>
            <w:vAlign w:val="center"/>
          </w:tcPr>
          <w:p w14:paraId="5E7253AA" w14:textId="77777777" w:rsidR="0046583A" w:rsidRPr="00AF34FB" w:rsidRDefault="0046583A" w:rsidP="0046583A">
            <w:pPr>
              <w:spacing w:after="0"/>
              <w:jc w:val="center"/>
              <w:rPr>
                <w:sz w:val="18"/>
                <w:szCs w:val="18"/>
                <w:lang w:eastAsia="en-US"/>
              </w:rPr>
            </w:pPr>
            <w:r w:rsidRPr="00AF34FB">
              <w:rPr>
                <w:sz w:val="18"/>
                <w:szCs w:val="18"/>
                <w:lang w:eastAsia="en-US"/>
              </w:rPr>
              <w:t>95%</w:t>
            </w:r>
          </w:p>
        </w:tc>
        <w:tc>
          <w:tcPr>
            <w:tcW w:w="1063" w:type="dxa"/>
            <w:tcBorders>
              <w:top w:val="single" w:sz="8" w:space="0" w:color="000000"/>
              <w:left w:val="single" w:sz="8" w:space="0" w:color="000000"/>
              <w:bottom w:val="single" w:sz="8" w:space="0" w:color="000000"/>
              <w:right w:val="single" w:sz="8" w:space="0" w:color="000000"/>
            </w:tcBorders>
            <w:vAlign w:val="center"/>
          </w:tcPr>
          <w:p w14:paraId="630077E6" w14:textId="77777777" w:rsidR="0046583A" w:rsidRPr="00AF34FB" w:rsidRDefault="0046583A" w:rsidP="0046583A">
            <w:pPr>
              <w:spacing w:after="0"/>
              <w:jc w:val="center"/>
              <w:rPr>
                <w:sz w:val="18"/>
                <w:szCs w:val="18"/>
                <w:lang w:eastAsia="en-US"/>
              </w:rPr>
            </w:pPr>
            <w:r w:rsidRPr="00AF34FB">
              <w:rPr>
                <w:sz w:val="18"/>
                <w:szCs w:val="18"/>
                <w:lang w:eastAsia="en-US"/>
              </w:rPr>
              <w:t>95%</w:t>
            </w:r>
          </w:p>
        </w:tc>
      </w:tr>
      <w:tr w:rsidR="0046583A" w:rsidRPr="00AF34FB" w14:paraId="3A95E664" w14:textId="77777777" w:rsidTr="0046583A">
        <w:tc>
          <w:tcPr>
            <w:tcW w:w="1725" w:type="dxa"/>
            <w:tcBorders>
              <w:left w:val="single" w:sz="8" w:space="0" w:color="000000"/>
              <w:bottom w:val="single" w:sz="8" w:space="0" w:color="000000"/>
              <w:right w:val="single" w:sz="8" w:space="0" w:color="000000"/>
            </w:tcBorders>
            <w:vAlign w:val="center"/>
          </w:tcPr>
          <w:p w14:paraId="5EF7DFF0" w14:textId="77777777" w:rsidR="0046583A" w:rsidRPr="00AF34FB" w:rsidRDefault="0046583A" w:rsidP="0046583A">
            <w:pPr>
              <w:spacing w:after="0"/>
              <w:rPr>
                <w:b/>
                <w:bCs/>
                <w:sz w:val="18"/>
                <w:szCs w:val="18"/>
                <w:lang w:eastAsia="en-US"/>
              </w:rPr>
            </w:pPr>
            <w:r w:rsidRPr="00AF34FB">
              <w:rPr>
                <w:b/>
                <w:bCs/>
                <w:sz w:val="18"/>
                <w:szCs w:val="18"/>
                <w:lang w:eastAsia="en-US"/>
              </w:rPr>
              <w:t>Cement Kilns</w:t>
            </w:r>
          </w:p>
        </w:tc>
        <w:tc>
          <w:tcPr>
            <w:tcW w:w="1134" w:type="dxa"/>
            <w:tcBorders>
              <w:bottom w:val="single" w:sz="8" w:space="0" w:color="000000"/>
              <w:right w:val="single" w:sz="8" w:space="0" w:color="000000"/>
            </w:tcBorders>
            <w:vAlign w:val="center"/>
          </w:tcPr>
          <w:p w14:paraId="6656E14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2E0DAB53"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Approved</w:t>
            </w:r>
          </w:p>
        </w:tc>
        <w:tc>
          <w:tcPr>
            <w:tcW w:w="1134" w:type="dxa"/>
            <w:tcBorders>
              <w:bottom w:val="single" w:sz="8" w:space="0" w:color="000000"/>
              <w:right w:val="single" w:sz="8" w:space="0" w:color="000000"/>
            </w:tcBorders>
            <w:vAlign w:val="center"/>
          </w:tcPr>
          <w:p w14:paraId="5D72680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090D4BA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5E1B21B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51E9A5E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0B8F4846"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12D44A5F"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tcPr>
          <w:p w14:paraId="7535E70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FED643E"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12B70DF" w14:textId="77777777" w:rsidR="0046583A" w:rsidRPr="00AF34FB" w:rsidRDefault="0046583A" w:rsidP="0046583A">
            <w:pPr>
              <w:spacing w:after="0"/>
              <w:jc w:val="center"/>
              <w:rPr>
                <w:color w:val="000000" w:themeColor="text1"/>
                <w:sz w:val="18"/>
                <w:szCs w:val="18"/>
                <w:lang w:eastAsia="en-US"/>
              </w:rPr>
            </w:pPr>
          </w:p>
        </w:tc>
      </w:tr>
      <w:tr w:rsidR="0046583A" w:rsidRPr="00AF34FB" w14:paraId="6FCC30B9" w14:textId="77777777" w:rsidTr="0046583A">
        <w:tc>
          <w:tcPr>
            <w:tcW w:w="1725" w:type="dxa"/>
            <w:tcBorders>
              <w:left w:val="single" w:sz="8" w:space="0" w:color="000000"/>
              <w:bottom w:val="single" w:sz="8" w:space="0" w:color="000000"/>
              <w:right w:val="single" w:sz="8" w:space="0" w:color="000000"/>
            </w:tcBorders>
            <w:vAlign w:val="center"/>
          </w:tcPr>
          <w:p w14:paraId="23B459D4" w14:textId="77777777" w:rsidR="0046583A" w:rsidRPr="00AF34FB" w:rsidRDefault="0046583A" w:rsidP="0046583A">
            <w:pPr>
              <w:spacing w:after="0"/>
              <w:rPr>
                <w:b/>
                <w:bCs/>
                <w:sz w:val="18"/>
                <w:szCs w:val="18"/>
                <w:lang w:eastAsia="en-US"/>
              </w:rPr>
            </w:pPr>
            <w:r w:rsidRPr="00AF34FB">
              <w:rPr>
                <w:b/>
                <w:bCs/>
                <w:sz w:val="18"/>
                <w:szCs w:val="18"/>
                <w:lang w:eastAsia="en-US"/>
              </w:rPr>
              <w:t>Gaseous/Fume Oxidation</w:t>
            </w:r>
          </w:p>
        </w:tc>
        <w:tc>
          <w:tcPr>
            <w:tcW w:w="1134" w:type="dxa"/>
            <w:tcBorders>
              <w:bottom w:val="single" w:sz="8" w:space="0" w:color="000000"/>
              <w:right w:val="single" w:sz="8" w:space="0" w:color="000000"/>
            </w:tcBorders>
            <w:vAlign w:val="center"/>
          </w:tcPr>
          <w:p w14:paraId="58E6E92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2D8ADCB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bottom w:val="single" w:sz="8" w:space="0" w:color="000000"/>
              <w:right w:val="single" w:sz="8" w:space="0" w:color="000000"/>
            </w:tcBorders>
            <w:vAlign w:val="center"/>
          </w:tcPr>
          <w:p w14:paraId="43428C7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6B1349E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5E0633B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2EFB2B22"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74B2728B"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7CE12B5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5498C23"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921692"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C78C28B" w14:textId="77777777" w:rsidR="0046583A" w:rsidRPr="00AF34FB" w:rsidRDefault="0046583A" w:rsidP="0046583A">
            <w:pPr>
              <w:spacing w:after="0"/>
              <w:jc w:val="center"/>
              <w:rPr>
                <w:color w:val="000000" w:themeColor="text1"/>
                <w:sz w:val="18"/>
                <w:szCs w:val="18"/>
                <w:lang w:eastAsia="en-US"/>
              </w:rPr>
            </w:pPr>
          </w:p>
        </w:tc>
      </w:tr>
      <w:tr w:rsidR="0046583A" w:rsidRPr="00AF34FB" w14:paraId="4B6CDC36" w14:textId="77777777" w:rsidTr="0046583A">
        <w:tc>
          <w:tcPr>
            <w:tcW w:w="1725" w:type="dxa"/>
            <w:tcBorders>
              <w:left w:val="single" w:sz="8" w:space="0" w:color="000000"/>
              <w:bottom w:val="single" w:sz="8" w:space="0" w:color="000000"/>
              <w:right w:val="single" w:sz="8" w:space="0" w:color="000000"/>
            </w:tcBorders>
            <w:vAlign w:val="center"/>
          </w:tcPr>
          <w:p w14:paraId="07762E82" w14:textId="77777777" w:rsidR="0046583A" w:rsidRPr="00AF34FB" w:rsidRDefault="0046583A" w:rsidP="0046583A">
            <w:pPr>
              <w:spacing w:after="0"/>
              <w:rPr>
                <w:b/>
                <w:bCs/>
                <w:sz w:val="18"/>
                <w:szCs w:val="18"/>
                <w:lang w:eastAsia="en-US"/>
              </w:rPr>
            </w:pPr>
            <w:r w:rsidRPr="00AF34FB">
              <w:rPr>
                <w:b/>
                <w:bCs/>
                <w:sz w:val="18"/>
                <w:szCs w:val="18"/>
                <w:lang w:eastAsia="en-US"/>
              </w:rPr>
              <w:t>Liquid Injection Incineration</w:t>
            </w:r>
          </w:p>
        </w:tc>
        <w:tc>
          <w:tcPr>
            <w:tcW w:w="1134" w:type="dxa"/>
            <w:tcBorders>
              <w:bottom w:val="single" w:sz="8" w:space="0" w:color="000000"/>
              <w:right w:val="single" w:sz="8" w:space="0" w:color="000000"/>
            </w:tcBorders>
            <w:vAlign w:val="center"/>
          </w:tcPr>
          <w:p w14:paraId="5BE2EA1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2B3B95C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27ECCA5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421AE1B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1C52043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1178B0E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5E27A8F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32891EA3"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1691B12"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84062CC"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91AFD1B" w14:textId="77777777" w:rsidR="0046583A" w:rsidRPr="00AF34FB" w:rsidRDefault="0046583A" w:rsidP="0046583A">
            <w:pPr>
              <w:spacing w:after="0"/>
              <w:jc w:val="center"/>
              <w:rPr>
                <w:color w:val="000000" w:themeColor="text1"/>
                <w:sz w:val="18"/>
                <w:szCs w:val="18"/>
                <w:lang w:eastAsia="en-US"/>
              </w:rPr>
            </w:pPr>
          </w:p>
        </w:tc>
      </w:tr>
      <w:tr w:rsidR="0046583A" w:rsidRPr="00AF34FB" w14:paraId="423D05F2" w14:textId="77777777" w:rsidTr="0046583A">
        <w:tc>
          <w:tcPr>
            <w:tcW w:w="1725" w:type="dxa"/>
            <w:tcBorders>
              <w:left w:val="single" w:sz="8" w:space="0" w:color="000000"/>
              <w:bottom w:val="single" w:sz="8" w:space="0" w:color="000000"/>
              <w:right w:val="single" w:sz="8" w:space="0" w:color="000000"/>
            </w:tcBorders>
            <w:vAlign w:val="center"/>
          </w:tcPr>
          <w:p w14:paraId="2A48D092" w14:textId="77777777" w:rsidR="0046583A" w:rsidRPr="00AF34FB" w:rsidRDefault="0046583A" w:rsidP="0046583A">
            <w:pPr>
              <w:spacing w:after="0"/>
              <w:rPr>
                <w:b/>
                <w:bCs/>
                <w:sz w:val="18"/>
                <w:szCs w:val="18"/>
                <w:lang w:eastAsia="en-US"/>
              </w:rPr>
            </w:pPr>
            <w:r w:rsidRPr="00AF34FB">
              <w:rPr>
                <w:b/>
                <w:bCs/>
                <w:sz w:val="18"/>
                <w:szCs w:val="18"/>
                <w:lang w:eastAsia="en-US"/>
              </w:rPr>
              <w:t>Municipal Solid Waste Incineration</w:t>
            </w:r>
          </w:p>
        </w:tc>
        <w:tc>
          <w:tcPr>
            <w:tcW w:w="1134" w:type="dxa"/>
            <w:tcBorders>
              <w:bottom w:val="single" w:sz="8" w:space="0" w:color="000000"/>
              <w:right w:val="single" w:sz="8" w:space="0" w:color="000000"/>
            </w:tcBorders>
            <w:vAlign w:val="center"/>
          </w:tcPr>
          <w:p w14:paraId="4676396B" w14:textId="77777777" w:rsidR="0046583A" w:rsidRPr="00AF34FB" w:rsidRDefault="0046583A" w:rsidP="0046583A">
            <w:pPr>
              <w:spacing w:after="0"/>
              <w:jc w:val="center"/>
              <w:rPr>
                <w:color w:val="000000" w:themeColor="text1"/>
                <w:sz w:val="18"/>
                <w:szCs w:val="18"/>
                <w:lang w:eastAsia="en-US"/>
              </w:rPr>
            </w:pPr>
          </w:p>
        </w:tc>
        <w:tc>
          <w:tcPr>
            <w:tcW w:w="1134" w:type="dxa"/>
            <w:tcBorders>
              <w:bottom w:val="single" w:sz="8" w:space="0" w:color="000000"/>
              <w:right w:val="single" w:sz="8" w:space="0" w:color="000000"/>
            </w:tcBorders>
            <w:vAlign w:val="center"/>
          </w:tcPr>
          <w:p w14:paraId="4085A98B" w14:textId="77777777" w:rsidR="0046583A" w:rsidRPr="00AF34FB" w:rsidRDefault="0046583A" w:rsidP="0046583A">
            <w:pPr>
              <w:spacing w:after="0"/>
              <w:jc w:val="center"/>
              <w:rPr>
                <w:color w:val="000000" w:themeColor="text1"/>
                <w:sz w:val="18"/>
                <w:szCs w:val="18"/>
                <w:lang w:eastAsia="en-US"/>
              </w:rPr>
            </w:pPr>
          </w:p>
        </w:tc>
        <w:tc>
          <w:tcPr>
            <w:tcW w:w="1134" w:type="dxa"/>
            <w:tcBorders>
              <w:bottom w:val="single" w:sz="8" w:space="0" w:color="000000"/>
              <w:right w:val="single" w:sz="8" w:space="0" w:color="000000"/>
            </w:tcBorders>
            <w:vAlign w:val="center"/>
          </w:tcPr>
          <w:p w14:paraId="62C61402" w14:textId="77777777" w:rsidR="0046583A" w:rsidRPr="00AF34FB" w:rsidRDefault="0046583A" w:rsidP="0046583A">
            <w:pPr>
              <w:spacing w:after="0"/>
              <w:jc w:val="center"/>
              <w:rPr>
                <w:color w:val="000000" w:themeColor="text1"/>
                <w:sz w:val="18"/>
                <w:szCs w:val="18"/>
                <w:lang w:eastAsia="en-US"/>
              </w:rPr>
            </w:pPr>
          </w:p>
        </w:tc>
        <w:tc>
          <w:tcPr>
            <w:tcW w:w="1276" w:type="dxa"/>
            <w:tcBorders>
              <w:bottom w:val="single" w:sz="8" w:space="0" w:color="000000"/>
              <w:right w:val="single" w:sz="8" w:space="0" w:color="000000"/>
            </w:tcBorders>
            <w:vAlign w:val="center"/>
          </w:tcPr>
          <w:p w14:paraId="63FA7AC0" w14:textId="77777777" w:rsidR="0046583A" w:rsidRPr="00AF34FB" w:rsidRDefault="0046583A" w:rsidP="0046583A">
            <w:pPr>
              <w:spacing w:after="0"/>
              <w:jc w:val="center"/>
              <w:rPr>
                <w:color w:val="000000" w:themeColor="text1"/>
                <w:sz w:val="18"/>
                <w:szCs w:val="18"/>
                <w:lang w:eastAsia="en-US"/>
              </w:rPr>
            </w:pPr>
          </w:p>
        </w:tc>
        <w:tc>
          <w:tcPr>
            <w:tcW w:w="1276" w:type="dxa"/>
            <w:tcBorders>
              <w:bottom w:val="single" w:sz="8" w:space="0" w:color="000000"/>
              <w:right w:val="single" w:sz="8" w:space="0" w:color="000000"/>
            </w:tcBorders>
            <w:vAlign w:val="center"/>
          </w:tcPr>
          <w:p w14:paraId="1B43F26A" w14:textId="77777777" w:rsidR="0046583A" w:rsidRPr="00AF34FB" w:rsidRDefault="0046583A" w:rsidP="0046583A">
            <w:pPr>
              <w:spacing w:after="0"/>
              <w:jc w:val="center"/>
              <w:rPr>
                <w:color w:val="000000" w:themeColor="text1"/>
                <w:sz w:val="18"/>
                <w:szCs w:val="18"/>
                <w:lang w:eastAsia="en-US"/>
              </w:rPr>
            </w:pPr>
          </w:p>
        </w:tc>
        <w:tc>
          <w:tcPr>
            <w:tcW w:w="1134" w:type="dxa"/>
            <w:tcBorders>
              <w:bottom w:val="single" w:sz="8" w:space="0" w:color="000000"/>
              <w:right w:val="single" w:sz="8" w:space="0" w:color="000000"/>
            </w:tcBorders>
            <w:vAlign w:val="center"/>
          </w:tcPr>
          <w:p w14:paraId="18B79E1C" w14:textId="77777777" w:rsidR="0046583A" w:rsidRPr="00AF34FB" w:rsidRDefault="0046583A" w:rsidP="0046583A">
            <w:pPr>
              <w:spacing w:after="0"/>
              <w:jc w:val="center"/>
              <w:rPr>
                <w:color w:val="000000" w:themeColor="text1"/>
                <w:sz w:val="18"/>
                <w:szCs w:val="18"/>
                <w:lang w:eastAsia="en-US"/>
              </w:rPr>
            </w:pPr>
          </w:p>
        </w:tc>
        <w:tc>
          <w:tcPr>
            <w:tcW w:w="1134" w:type="dxa"/>
            <w:tcBorders>
              <w:bottom w:val="single" w:sz="8" w:space="0" w:color="000000"/>
              <w:right w:val="single" w:sz="8" w:space="0" w:color="000000"/>
            </w:tcBorders>
            <w:vAlign w:val="center"/>
          </w:tcPr>
          <w:p w14:paraId="5739443B" w14:textId="77777777" w:rsidR="0046583A" w:rsidRPr="00AF34FB" w:rsidRDefault="0046583A" w:rsidP="0046583A">
            <w:pPr>
              <w:spacing w:after="0"/>
              <w:jc w:val="center"/>
              <w:rPr>
                <w:color w:val="000000" w:themeColor="text1"/>
                <w:sz w:val="18"/>
                <w:szCs w:val="18"/>
                <w:lang w:eastAsia="en-US"/>
              </w:rPr>
            </w:pPr>
          </w:p>
        </w:tc>
        <w:tc>
          <w:tcPr>
            <w:tcW w:w="1134" w:type="dxa"/>
            <w:tcBorders>
              <w:top w:val="single" w:sz="8" w:space="0" w:color="000000"/>
              <w:bottom w:val="single" w:sz="8" w:space="0" w:color="000000"/>
              <w:right w:val="single" w:sz="8" w:space="0" w:color="000000"/>
            </w:tcBorders>
            <w:shd w:val="clear" w:color="auto" w:fill="auto"/>
            <w:vAlign w:val="center"/>
          </w:tcPr>
          <w:p w14:paraId="4AFB5DC8" w14:textId="77777777" w:rsidR="0046583A" w:rsidRPr="00AF34FB" w:rsidRDefault="0046583A" w:rsidP="0046583A">
            <w:pPr>
              <w:spacing w:after="0"/>
              <w:jc w:val="center"/>
              <w:rPr>
                <w:color w:val="000000" w:themeColor="text1"/>
                <w:sz w:val="18"/>
                <w:szCs w:val="18"/>
                <w:lang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498D09"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8B461C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1791B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r>
      <w:tr w:rsidR="0046583A" w:rsidRPr="00AF34FB" w14:paraId="4B5EE1FA" w14:textId="77777777" w:rsidTr="0046583A">
        <w:trPr>
          <w:trHeight w:val="656"/>
        </w:trPr>
        <w:tc>
          <w:tcPr>
            <w:tcW w:w="1725" w:type="dxa"/>
            <w:tcBorders>
              <w:left w:val="single" w:sz="8" w:space="0" w:color="000000"/>
              <w:bottom w:val="single" w:sz="8" w:space="0" w:color="000000"/>
              <w:right w:val="single" w:sz="8" w:space="0" w:color="000000"/>
            </w:tcBorders>
            <w:vAlign w:val="center"/>
          </w:tcPr>
          <w:p w14:paraId="3A19FC2A" w14:textId="77777777" w:rsidR="0046583A" w:rsidRPr="00AF34FB" w:rsidRDefault="0046583A" w:rsidP="0046583A">
            <w:pPr>
              <w:spacing w:after="0"/>
              <w:rPr>
                <w:b/>
                <w:bCs/>
                <w:sz w:val="18"/>
                <w:szCs w:val="18"/>
                <w:lang w:eastAsia="en-US"/>
              </w:rPr>
            </w:pPr>
            <w:r w:rsidRPr="00AF34FB">
              <w:rPr>
                <w:b/>
                <w:bCs/>
                <w:sz w:val="18"/>
                <w:szCs w:val="18"/>
                <w:lang w:eastAsia="en-US"/>
              </w:rPr>
              <w:t>Porous Thermal Reactor</w:t>
            </w:r>
          </w:p>
        </w:tc>
        <w:tc>
          <w:tcPr>
            <w:tcW w:w="1134" w:type="dxa"/>
            <w:tcBorders>
              <w:bottom w:val="single" w:sz="8" w:space="0" w:color="000000"/>
              <w:right w:val="single" w:sz="8" w:space="0" w:color="000000"/>
            </w:tcBorders>
            <w:vAlign w:val="center"/>
          </w:tcPr>
          <w:p w14:paraId="11EBBCA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1BB089D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bottom w:val="single" w:sz="8" w:space="0" w:color="000000"/>
              <w:right w:val="single" w:sz="8" w:space="0" w:color="000000"/>
            </w:tcBorders>
            <w:vAlign w:val="center"/>
          </w:tcPr>
          <w:p w14:paraId="5EA4C1A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71A67850"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1A6281F0"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501F84D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64371B58"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3120DB82"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tcPr>
          <w:p w14:paraId="5491CA3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8077E76"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8B76F1" w14:textId="77777777" w:rsidR="0046583A" w:rsidRPr="00AF34FB" w:rsidRDefault="0046583A" w:rsidP="0046583A">
            <w:pPr>
              <w:spacing w:after="0"/>
              <w:jc w:val="center"/>
              <w:rPr>
                <w:color w:val="000000" w:themeColor="text1"/>
                <w:sz w:val="18"/>
                <w:szCs w:val="18"/>
                <w:lang w:eastAsia="en-US"/>
              </w:rPr>
            </w:pPr>
          </w:p>
        </w:tc>
      </w:tr>
      <w:tr w:rsidR="0046583A" w:rsidRPr="00AF34FB" w14:paraId="74D040CD" w14:textId="77777777" w:rsidTr="0046583A">
        <w:tc>
          <w:tcPr>
            <w:tcW w:w="1725" w:type="dxa"/>
            <w:tcBorders>
              <w:left w:val="single" w:sz="8" w:space="0" w:color="000000"/>
              <w:bottom w:val="single" w:sz="8" w:space="0" w:color="000000"/>
              <w:right w:val="single" w:sz="8" w:space="0" w:color="000000"/>
            </w:tcBorders>
            <w:vAlign w:val="center"/>
          </w:tcPr>
          <w:p w14:paraId="12101947" w14:textId="77777777" w:rsidR="0046583A" w:rsidRPr="00AF34FB" w:rsidRDefault="0046583A" w:rsidP="0046583A">
            <w:pPr>
              <w:spacing w:after="0"/>
              <w:rPr>
                <w:b/>
                <w:bCs/>
                <w:sz w:val="18"/>
                <w:szCs w:val="18"/>
                <w:lang w:eastAsia="en-US"/>
              </w:rPr>
            </w:pPr>
            <w:r w:rsidRPr="00AF34FB">
              <w:rPr>
                <w:b/>
                <w:bCs/>
                <w:sz w:val="18"/>
                <w:szCs w:val="18"/>
                <w:lang w:eastAsia="en-US"/>
              </w:rPr>
              <w:t>Reactor Cracking</w:t>
            </w:r>
          </w:p>
        </w:tc>
        <w:tc>
          <w:tcPr>
            <w:tcW w:w="1134" w:type="dxa"/>
            <w:tcBorders>
              <w:bottom w:val="single" w:sz="8" w:space="0" w:color="000000"/>
              <w:right w:val="single" w:sz="8" w:space="0" w:color="000000"/>
            </w:tcBorders>
            <w:vAlign w:val="center"/>
          </w:tcPr>
          <w:p w14:paraId="0EA66A06"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213E289F"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Approved</w:t>
            </w:r>
          </w:p>
        </w:tc>
        <w:tc>
          <w:tcPr>
            <w:tcW w:w="1134" w:type="dxa"/>
            <w:tcBorders>
              <w:bottom w:val="single" w:sz="8" w:space="0" w:color="000000"/>
              <w:right w:val="single" w:sz="8" w:space="0" w:color="000000"/>
            </w:tcBorders>
            <w:vAlign w:val="center"/>
          </w:tcPr>
          <w:p w14:paraId="68A9175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39F0DADE"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680938F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44DB05B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2176265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4CAA165F"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42925E3"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99F341B"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9EC3F4" w14:textId="77777777" w:rsidR="0046583A" w:rsidRPr="00AF34FB" w:rsidRDefault="0046583A" w:rsidP="0046583A">
            <w:pPr>
              <w:spacing w:after="0"/>
              <w:jc w:val="center"/>
              <w:rPr>
                <w:color w:val="000000" w:themeColor="text1"/>
                <w:sz w:val="18"/>
                <w:szCs w:val="18"/>
                <w:lang w:eastAsia="en-US"/>
              </w:rPr>
            </w:pPr>
          </w:p>
        </w:tc>
      </w:tr>
      <w:tr w:rsidR="0046583A" w:rsidRPr="00AF34FB" w14:paraId="79F6E014" w14:textId="77777777" w:rsidTr="0046583A">
        <w:tc>
          <w:tcPr>
            <w:tcW w:w="1725" w:type="dxa"/>
            <w:tcBorders>
              <w:left w:val="single" w:sz="8" w:space="0" w:color="000000"/>
              <w:bottom w:val="single" w:sz="8" w:space="0" w:color="000000"/>
              <w:right w:val="single" w:sz="8" w:space="0" w:color="000000"/>
            </w:tcBorders>
            <w:vAlign w:val="center"/>
          </w:tcPr>
          <w:p w14:paraId="7452FE84" w14:textId="77777777" w:rsidR="0046583A" w:rsidRPr="00AF34FB" w:rsidRDefault="0046583A" w:rsidP="0046583A">
            <w:pPr>
              <w:spacing w:after="0"/>
              <w:rPr>
                <w:b/>
                <w:bCs/>
                <w:sz w:val="18"/>
                <w:szCs w:val="18"/>
                <w:lang w:eastAsia="en-US"/>
              </w:rPr>
            </w:pPr>
            <w:r w:rsidRPr="00AF34FB">
              <w:rPr>
                <w:b/>
                <w:bCs/>
                <w:sz w:val="18"/>
                <w:szCs w:val="18"/>
                <w:lang w:eastAsia="en-US"/>
              </w:rPr>
              <w:t>Rotary Kiln Incineration</w:t>
            </w:r>
          </w:p>
        </w:tc>
        <w:tc>
          <w:tcPr>
            <w:tcW w:w="1134" w:type="dxa"/>
            <w:tcBorders>
              <w:bottom w:val="single" w:sz="8" w:space="0" w:color="000000"/>
              <w:right w:val="single" w:sz="8" w:space="0" w:color="000000"/>
            </w:tcBorders>
            <w:vAlign w:val="center"/>
          </w:tcPr>
          <w:p w14:paraId="2EFB0C82"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701BA91F"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7033F88E"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14D347D0"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0876C38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4F37675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1B84138E"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34EEE2B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7D3052"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CB3947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052F7B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r>
      <w:tr w:rsidR="0046583A" w:rsidRPr="00AF34FB" w14:paraId="4E9739F7" w14:textId="77777777" w:rsidTr="0046583A">
        <w:tblPrEx>
          <w:tblBorders>
            <w:top w:val="nil"/>
          </w:tblBorders>
        </w:tblPrEx>
        <w:tc>
          <w:tcPr>
            <w:tcW w:w="1725" w:type="dxa"/>
            <w:tcBorders>
              <w:top w:val="single" w:sz="8" w:space="0" w:color="000000"/>
              <w:left w:val="single" w:sz="8" w:space="0" w:color="000000"/>
              <w:bottom w:val="single" w:sz="6" w:space="0" w:color="000000"/>
              <w:right w:val="single" w:sz="6" w:space="0" w:color="000000"/>
            </w:tcBorders>
            <w:vAlign w:val="center"/>
          </w:tcPr>
          <w:p w14:paraId="0EFF57FA" w14:textId="77777777" w:rsidR="0046583A" w:rsidRPr="00AF34FB" w:rsidRDefault="0046583A" w:rsidP="0046583A">
            <w:pPr>
              <w:spacing w:after="0"/>
              <w:rPr>
                <w:b/>
                <w:bCs/>
                <w:sz w:val="18"/>
                <w:szCs w:val="18"/>
                <w:lang w:eastAsia="en-US"/>
              </w:rPr>
            </w:pPr>
            <w:r w:rsidRPr="00AF34FB">
              <w:rPr>
                <w:b/>
                <w:bCs/>
                <w:sz w:val="18"/>
                <w:szCs w:val="18"/>
                <w:lang w:eastAsia="en-US"/>
              </w:rPr>
              <w:t>Thermal Decay of Methyl Bromide</w:t>
            </w:r>
          </w:p>
        </w:tc>
        <w:tc>
          <w:tcPr>
            <w:tcW w:w="1134" w:type="dxa"/>
            <w:tcBorders>
              <w:top w:val="single" w:sz="8" w:space="0" w:color="000000"/>
              <w:left w:val="single" w:sz="6" w:space="0" w:color="000000"/>
              <w:bottom w:val="single" w:sz="6" w:space="0" w:color="000000"/>
              <w:right w:val="single" w:sz="6" w:space="0" w:color="000000"/>
            </w:tcBorders>
            <w:shd w:val="clear" w:color="auto" w:fill="FBE4D5" w:themeFill="accent2" w:themeFillTint="33"/>
            <w:vAlign w:val="center"/>
          </w:tcPr>
          <w:p w14:paraId="74DEDD4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left w:val="single" w:sz="6" w:space="0" w:color="000000"/>
              <w:bottom w:val="single" w:sz="6" w:space="0" w:color="000000"/>
              <w:right w:val="single" w:sz="6" w:space="0" w:color="000000"/>
            </w:tcBorders>
            <w:shd w:val="clear" w:color="auto" w:fill="FBE4D5" w:themeFill="accent2" w:themeFillTint="33"/>
            <w:vAlign w:val="center"/>
          </w:tcPr>
          <w:p w14:paraId="24DB9CE6"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left w:val="single" w:sz="6" w:space="0" w:color="000000"/>
              <w:bottom w:val="single" w:sz="6" w:space="0" w:color="000000"/>
              <w:right w:val="single" w:sz="6" w:space="0" w:color="000000"/>
            </w:tcBorders>
            <w:shd w:val="clear" w:color="auto" w:fill="FBE4D5" w:themeFill="accent2" w:themeFillTint="33"/>
            <w:vAlign w:val="center"/>
          </w:tcPr>
          <w:p w14:paraId="181EEEB6"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276" w:type="dxa"/>
            <w:tcBorders>
              <w:top w:val="single" w:sz="8" w:space="0" w:color="000000"/>
              <w:left w:val="single" w:sz="6" w:space="0" w:color="000000"/>
              <w:bottom w:val="single" w:sz="6" w:space="0" w:color="000000"/>
              <w:right w:val="single" w:sz="6" w:space="0" w:color="000000"/>
            </w:tcBorders>
            <w:shd w:val="clear" w:color="auto" w:fill="FBE4D5" w:themeFill="accent2" w:themeFillTint="33"/>
            <w:vAlign w:val="center"/>
          </w:tcPr>
          <w:p w14:paraId="75B876B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276" w:type="dxa"/>
            <w:tcBorders>
              <w:top w:val="single" w:sz="8" w:space="0" w:color="000000"/>
              <w:left w:val="single" w:sz="6" w:space="0" w:color="000000"/>
              <w:bottom w:val="single" w:sz="6" w:space="0" w:color="000000"/>
              <w:right w:val="single" w:sz="6" w:space="0" w:color="000000"/>
            </w:tcBorders>
            <w:shd w:val="clear" w:color="auto" w:fill="FBE4D5" w:themeFill="accent2" w:themeFillTint="33"/>
            <w:vAlign w:val="center"/>
          </w:tcPr>
          <w:p w14:paraId="40AEFF9B"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left w:val="single" w:sz="6" w:space="0" w:color="000000"/>
              <w:bottom w:val="single" w:sz="6" w:space="0" w:color="000000"/>
              <w:right w:val="single" w:sz="6" w:space="0" w:color="000000"/>
            </w:tcBorders>
            <w:shd w:val="clear" w:color="auto" w:fill="FBE4D5" w:themeFill="accent2" w:themeFillTint="33"/>
            <w:vAlign w:val="center"/>
          </w:tcPr>
          <w:p w14:paraId="1490AEE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left w:val="single" w:sz="6" w:space="0" w:color="000000"/>
              <w:bottom w:val="single" w:sz="6" w:space="0" w:color="000000"/>
              <w:right w:val="single" w:sz="6" w:space="0" w:color="000000"/>
            </w:tcBorders>
            <w:shd w:val="clear" w:color="auto" w:fill="auto"/>
            <w:vAlign w:val="center"/>
          </w:tcPr>
          <w:p w14:paraId="0D92CCB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6" w:space="0" w:color="000000"/>
              <w:bottom w:val="single" w:sz="6" w:space="0" w:color="000000"/>
              <w:right w:val="single" w:sz="6" w:space="0" w:color="000000"/>
            </w:tcBorders>
            <w:shd w:val="clear" w:color="auto" w:fill="FBE4D5" w:themeFill="accent2" w:themeFillTint="33"/>
            <w:vAlign w:val="center"/>
          </w:tcPr>
          <w:p w14:paraId="53C3E7BC"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left w:val="single" w:sz="6" w:space="0" w:color="000000"/>
              <w:bottom w:val="single" w:sz="6" w:space="0" w:color="000000"/>
              <w:right w:val="single" w:sz="6" w:space="0" w:color="000000"/>
            </w:tcBorders>
            <w:shd w:val="clear" w:color="auto" w:fill="FBE4D5" w:themeFill="accent2" w:themeFillTint="33"/>
            <w:vAlign w:val="center"/>
          </w:tcPr>
          <w:p w14:paraId="1D9E090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063" w:type="dxa"/>
            <w:tcBorders>
              <w:top w:val="single" w:sz="8" w:space="0" w:color="000000"/>
              <w:left w:val="single" w:sz="6" w:space="0" w:color="000000"/>
              <w:bottom w:val="single" w:sz="6" w:space="0" w:color="000000"/>
              <w:right w:val="single" w:sz="6" w:space="0" w:color="000000"/>
            </w:tcBorders>
            <w:shd w:val="clear" w:color="auto" w:fill="auto"/>
            <w:vAlign w:val="center"/>
          </w:tcPr>
          <w:p w14:paraId="52CD9422" w14:textId="77777777" w:rsidR="0046583A" w:rsidRPr="00AF34FB" w:rsidRDefault="0046583A" w:rsidP="0046583A">
            <w:pPr>
              <w:spacing w:after="0"/>
              <w:jc w:val="center"/>
              <w:rPr>
                <w:color w:val="FF0000"/>
                <w:sz w:val="18"/>
                <w:szCs w:val="18"/>
                <w:lang w:eastAsia="en-US"/>
              </w:rPr>
            </w:pPr>
          </w:p>
        </w:tc>
        <w:tc>
          <w:tcPr>
            <w:tcW w:w="1063" w:type="dxa"/>
            <w:tcBorders>
              <w:top w:val="single" w:sz="8" w:space="0" w:color="000000"/>
              <w:left w:val="single" w:sz="6" w:space="0" w:color="000000"/>
              <w:bottom w:val="single" w:sz="6" w:space="0" w:color="000000"/>
              <w:right w:val="single" w:sz="6" w:space="0" w:color="000000"/>
            </w:tcBorders>
            <w:shd w:val="clear" w:color="auto" w:fill="auto"/>
            <w:vAlign w:val="center"/>
          </w:tcPr>
          <w:p w14:paraId="33B8AB7A" w14:textId="77777777" w:rsidR="0046583A" w:rsidRPr="00AF34FB" w:rsidRDefault="0046583A" w:rsidP="0046583A">
            <w:pPr>
              <w:spacing w:after="0"/>
              <w:jc w:val="center"/>
              <w:rPr>
                <w:color w:val="FF0000"/>
                <w:sz w:val="18"/>
                <w:szCs w:val="18"/>
                <w:lang w:eastAsia="en-US"/>
              </w:rPr>
            </w:pPr>
          </w:p>
        </w:tc>
      </w:tr>
      <w:tr w:rsidR="0046583A" w:rsidRPr="00AF34FB" w14:paraId="71D4E926" w14:textId="77777777" w:rsidTr="0046583A">
        <w:tc>
          <w:tcPr>
            <w:tcW w:w="1725" w:type="dxa"/>
            <w:tcBorders>
              <w:left w:val="single" w:sz="8" w:space="0" w:color="000000"/>
              <w:bottom w:val="single" w:sz="8" w:space="0" w:color="000000"/>
              <w:right w:val="single" w:sz="8" w:space="0" w:color="000000"/>
            </w:tcBorders>
            <w:vAlign w:val="center"/>
          </w:tcPr>
          <w:p w14:paraId="1A979FFC" w14:textId="77777777" w:rsidR="0046583A" w:rsidRPr="00AF34FB" w:rsidRDefault="0046583A" w:rsidP="0046583A">
            <w:pPr>
              <w:spacing w:after="0"/>
              <w:rPr>
                <w:b/>
                <w:bCs/>
                <w:sz w:val="18"/>
                <w:szCs w:val="18"/>
                <w:lang w:eastAsia="en-US"/>
              </w:rPr>
            </w:pPr>
            <w:r w:rsidRPr="00AF34FB">
              <w:rPr>
                <w:b/>
                <w:bCs/>
                <w:sz w:val="18"/>
                <w:szCs w:val="18"/>
                <w:lang w:eastAsia="en-US"/>
              </w:rPr>
              <w:t>Argon Plasma Arc</w:t>
            </w:r>
          </w:p>
        </w:tc>
        <w:tc>
          <w:tcPr>
            <w:tcW w:w="1134" w:type="dxa"/>
            <w:tcBorders>
              <w:bottom w:val="single" w:sz="8" w:space="0" w:color="000000"/>
              <w:right w:val="single" w:sz="8" w:space="0" w:color="000000"/>
            </w:tcBorders>
            <w:vAlign w:val="center"/>
          </w:tcPr>
          <w:p w14:paraId="45E14590"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6E3675EF"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3A573CBF"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3FC24D0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1C11864B"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6759BE0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78DC7AD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3D60A76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003D20C"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D9DDAD7"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BE16B0E" w14:textId="77777777" w:rsidR="0046583A" w:rsidRPr="00AF34FB" w:rsidRDefault="0046583A" w:rsidP="0046583A">
            <w:pPr>
              <w:spacing w:after="0"/>
              <w:jc w:val="center"/>
              <w:rPr>
                <w:color w:val="000000" w:themeColor="text1"/>
                <w:sz w:val="18"/>
                <w:szCs w:val="18"/>
                <w:lang w:eastAsia="en-US"/>
              </w:rPr>
            </w:pPr>
          </w:p>
        </w:tc>
      </w:tr>
      <w:tr w:rsidR="0046583A" w:rsidRPr="00AF34FB" w14:paraId="4F5B0A44" w14:textId="77777777" w:rsidTr="0046583A">
        <w:tc>
          <w:tcPr>
            <w:tcW w:w="1725" w:type="dxa"/>
            <w:tcBorders>
              <w:left w:val="single" w:sz="8" w:space="0" w:color="000000"/>
              <w:bottom w:val="single" w:sz="4" w:space="0" w:color="auto"/>
              <w:right w:val="single" w:sz="8" w:space="0" w:color="000000"/>
            </w:tcBorders>
            <w:vAlign w:val="center"/>
          </w:tcPr>
          <w:p w14:paraId="10015AAF" w14:textId="77777777" w:rsidR="0046583A" w:rsidRPr="00AF34FB" w:rsidRDefault="0046583A" w:rsidP="0046583A">
            <w:pPr>
              <w:spacing w:after="0"/>
              <w:rPr>
                <w:b/>
                <w:bCs/>
                <w:sz w:val="18"/>
                <w:szCs w:val="18"/>
                <w:lang w:eastAsia="en-US"/>
              </w:rPr>
            </w:pPr>
            <w:r w:rsidRPr="00AF34FB">
              <w:rPr>
                <w:b/>
                <w:bCs/>
                <w:sz w:val="18"/>
                <w:szCs w:val="18"/>
                <w:lang w:eastAsia="en-US"/>
              </w:rPr>
              <w:t>Inductively coupled radio frequency plasma</w:t>
            </w:r>
          </w:p>
        </w:tc>
        <w:tc>
          <w:tcPr>
            <w:tcW w:w="1134" w:type="dxa"/>
            <w:tcBorders>
              <w:bottom w:val="single" w:sz="4" w:space="0" w:color="auto"/>
              <w:right w:val="single" w:sz="8" w:space="0" w:color="000000"/>
            </w:tcBorders>
            <w:vAlign w:val="center"/>
          </w:tcPr>
          <w:p w14:paraId="1F009310"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4" w:space="0" w:color="auto"/>
              <w:right w:val="single" w:sz="8" w:space="0" w:color="000000"/>
            </w:tcBorders>
            <w:vAlign w:val="center"/>
          </w:tcPr>
          <w:p w14:paraId="74169C1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4" w:space="0" w:color="auto"/>
              <w:right w:val="single" w:sz="8" w:space="0" w:color="000000"/>
            </w:tcBorders>
            <w:vAlign w:val="center"/>
          </w:tcPr>
          <w:p w14:paraId="226ED89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4" w:space="0" w:color="auto"/>
              <w:right w:val="single" w:sz="8" w:space="0" w:color="000000"/>
            </w:tcBorders>
            <w:vAlign w:val="center"/>
          </w:tcPr>
          <w:p w14:paraId="11775E7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4" w:space="0" w:color="auto"/>
              <w:right w:val="single" w:sz="8" w:space="0" w:color="000000"/>
            </w:tcBorders>
            <w:vAlign w:val="center"/>
          </w:tcPr>
          <w:p w14:paraId="2B70A82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4" w:space="0" w:color="auto"/>
              <w:right w:val="single" w:sz="8" w:space="0" w:color="000000"/>
            </w:tcBorders>
            <w:vAlign w:val="center"/>
          </w:tcPr>
          <w:p w14:paraId="1BEF58E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4" w:space="0" w:color="auto"/>
              <w:right w:val="single" w:sz="8" w:space="0" w:color="000000"/>
            </w:tcBorders>
            <w:shd w:val="clear" w:color="auto" w:fill="FBE4D5" w:themeFill="accent2" w:themeFillTint="33"/>
            <w:vAlign w:val="center"/>
          </w:tcPr>
          <w:p w14:paraId="4832580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4" w:space="0" w:color="auto"/>
              <w:right w:val="single" w:sz="8" w:space="0" w:color="000000"/>
            </w:tcBorders>
            <w:shd w:val="clear" w:color="auto" w:fill="FBE4D5" w:themeFill="accent2" w:themeFillTint="33"/>
            <w:vAlign w:val="center"/>
          </w:tcPr>
          <w:p w14:paraId="4E67002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left w:val="single" w:sz="8" w:space="0" w:color="000000"/>
              <w:bottom w:val="single" w:sz="4" w:space="0" w:color="auto"/>
              <w:right w:val="single" w:sz="8" w:space="0" w:color="000000"/>
            </w:tcBorders>
            <w:shd w:val="clear" w:color="auto" w:fill="FBE4D5" w:themeFill="accent2" w:themeFillTint="33"/>
            <w:vAlign w:val="center"/>
          </w:tcPr>
          <w:p w14:paraId="607D66D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063" w:type="dxa"/>
            <w:tcBorders>
              <w:top w:val="single" w:sz="8" w:space="0" w:color="000000"/>
              <w:left w:val="single" w:sz="8" w:space="0" w:color="000000"/>
              <w:bottom w:val="single" w:sz="4" w:space="0" w:color="auto"/>
              <w:right w:val="single" w:sz="8" w:space="0" w:color="000000"/>
            </w:tcBorders>
            <w:shd w:val="clear" w:color="auto" w:fill="auto"/>
            <w:vAlign w:val="center"/>
          </w:tcPr>
          <w:p w14:paraId="45DFAA1D"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4" w:space="0" w:color="auto"/>
              <w:right w:val="single" w:sz="8" w:space="0" w:color="000000"/>
            </w:tcBorders>
            <w:shd w:val="clear" w:color="auto" w:fill="auto"/>
            <w:vAlign w:val="center"/>
          </w:tcPr>
          <w:p w14:paraId="308DEA1C" w14:textId="77777777" w:rsidR="0046583A" w:rsidRPr="00AF34FB" w:rsidRDefault="0046583A" w:rsidP="0046583A">
            <w:pPr>
              <w:spacing w:after="0"/>
              <w:jc w:val="center"/>
              <w:rPr>
                <w:color w:val="000000" w:themeColor="text1"/>
                <w:sz w:val="18"/>
                <w:szCs w:val="18"/>
                <w:lang w:eastAsia="en-US"/>
              </w:rPr>
            </w:pPr>
          </w:p>
        </w:tc>
      </w:tr>
      <w:tr w:rsidR="0046583A" w:rsidRPr="00AF34FB" w14:paraId="4CF8CEB0" w14:textId="77777777" w:rsidTr="0046583A">
        <w:tc>
          <w:tcPr>
            <w:tcW w:w="1725" w:type="dxa"/>
            <w:tcBorders>
              <w:top w:val="single" w:sz="4" w:space="0" w:color="auto"/>
              <w:left w:val="single" w:sz="4" w:space="0" w:color="auto"/>
              <w:bottom w:val="single" w:sz="4" w:space="0" w:color="auto"/>
              <w:right w:val="single" w:sz="4" w:space="0" w:color="auto"/>
            </w:tcBorders>
            <w:vAlign w:val="center"/>
          </w:tcPr>
          <w:p w14:paraId="72A5A13A" w14:textId="77777777" w:rsidR="0046583A" w:rsidRPr="00AF34FB" w:rsidRDefault="0046583A" w:rsidP="0046583A">
            <w:pPr>
              <w:spacing w:after="0"/>
              <w:rPr>
                <w:b/>
                <w:bCs/>
                <w:sz w:val="18"/>
                <w:szCs w:val="18"/>
                <w:lang w:eastAsia="en-US"/>
              </w:rPr>
            </w:pPr>
            <w:r w:rsidRPr="00AF34FB">
              <w:rPr>
                <w:b/>
                <w:bCs/>
                <w:sz w:val="18"/>
                <w:szCs w:val="18"/>
                <w:lang w:eastAsia="en-US"/>
              </w:rPr>
              <w:t>Microwave Plasma</w:t>
            </w:r>
          </w:p>
        </w:tc>
        <w:tc>
          <w:tcPr>
            <w:tcW w:w="1134" w:type="dxa"/>
            <w:tcBorders>
              <w:top w:val="single" w:sz="4" w:space="0" w:color="auto"/>
              <w:left w:val="single" w:sz="4" w:space="0" w:color="auto"/>
              <w:bottom w:val="single" w:sz="4" w:space="0" w:color="auto"/>
              <w:right w:val="single" w:sz="4" w:space="0" w:color="auto"/>
            </w:tcBorders>
            <w:vAlign w:val="center"/>
          </w:tcPr>
          <w:p w14:paraId="572715B2"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1782F9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4" w:space="0" w:color="auto"/>
              <w:left w:val="single" w:sz="4" w:space="0" w:color="auto"/>
              <w:bottom w:val="single" w:sz="4" w:space="0" w:color="auto"/>
              <w:right w:val="single" w:sz="4" w:space="0" w:color="auto"/>
            </w:tcBorders>
            <w:vAlign w:val="center"/>
          </w:tcPr>
          <w:p w14:paraId="4AC6C39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top w:val="single" w:sz="4" w:space="0" w:color="auto"/>
              <w:left w:val="single" w:sz="4" w:space="0" w:color="auto"/>
              <w:bottom w:val="single" w:sz="4" w:space="0" w:color="auto"/>
              <w:right w:val="single" w:sz="4" w:space="0" w:color="auto"/>
            </w:tcBorders>
            <w:vAlign w:val="center"/>
          </w:tcPr>
          <w:p w14:paraId="46497A5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top w:val="single" w:sz="4" w:space="0" w:color="auto"/>
              <w:left w:val="single" w:sz="4" w:space="0" w:color="auto"/>
              <w:bottom w:val="single" w:sz="4" w:space="0" w:color="auto"/>
              <w:right w:val="single" w:sz="4" w:space="0" w:color="auto"/>
            </w:tcBorders>
            <w:vAlign w:val="center"/>
          </w:tcPr>
          <w:p w14:paraId="0BE79F06"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4" w:space="0" w:color="auto"/>
              <w:left w:val="single" w:sz="4" w:space="0" w:color="auto"/>
              <w:bottom w:val="single" w:sz="4" w:space="0" w:color="auto"/>
              <w:right w:val="single" w:sz="4" w:space="0" w:color="auto"/>
            </w:tcBorders>
            <w:vAlign w:val="center"/>
          </w:tcPr>
          <w:p w14:paraId="4FCC51D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6D7D53"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F6DC486"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192DC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6DFD4696"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2889E3E7" w14:textId="77777777" w:rsidR="0046583A" w:rsidRPr="00AF34FB" w:rsidRDefault="0046583A" w:rsidP="0046583A">
            <w:pPr>
              <w:spacing w:after="0"/>
              <w:jc w:val="center"/>
              <w:rPr>
                <w:color w:val="000000" w:themeColor="text1"/>
                <w:sz w:val="18"/>
                <w:szCs w:val="18"/>
                <w:lang w:eastAsia="en-US"/>
              </w:rPr>
            </w:pPr>
          </w:p>
        </w:tc>
      </w:tr>
      <w:tr w:rsidR="0046583A" w:rsidRPr="00AF34FB" w14:paraId="791611C6" w14:textId="77777777" w:rsidTr="0046583A">
        <w:tc>
          <w:tcPr>
            <w:tcW w:w="1725" w:type="dxa"/>
            <w:tcBorders>
              <w:top w:val="single" w:sz="4" w:space="0" w:color="auto"/>
              <w:left w:val="single" w:sz="8" w:space="0" w:color="000000"/>
              <w:bottom w:val="single" w:sz="8" w:space="0" w:color="000000"/>
              <w:right w:val="single" w:sz="8" w:space="0" w:color="000000"/>
            </w:tcBorders>
            <w:vAlign w:val="center"/>
          </w:tcPr>
          <w:p w14:paraId="001E1181" w14:textId="77777777" w:rsidR="0046583A" w:rsidRPr="00AF34FB" w:rsidRDefault="0046583A" w:rsidP="0046583A">
            <w:pPr>
              <w:spacing w:after="0"/>
              <w:rPr>
                <w:b/>
                <w:bCs/>
                <w:sz w:val="18"/>
                <w:szCs w:val="18"/>
                <w:lang w:eastAsia="en-US"/>
              </w:rPr>
            </w:pPr>
            <w:r w:rsidRPr="00AF34FB">
              <w:rPr>
                <w:b/>
                <w:bCs/>
                <w:sz w:val="18"/>
                <w:szCs w:val="18"/>
                <w:lang w:eastAsia="en-US"/>
              </w:rPr>
              <w:t>Nitrogen Plasma Arc</w:t>
            </w:r>
          </w:p>
        </w:tc>
        <w:tc>
          <w:tcPr>
            <w:tcW w:w="1134" w:type="dxa"/>
            <w:tcBorders>
              <w:top w:val="single" w:sz="4" w:space="0" w:color="auto"/>
              <w:bottom w:val="single" w:sz="8" w:space="0" w:color="000000"/>
              <w:right w:val="single" w:sz="8" w:space="0" w:color="000000"/>
            </w:tcBorders>
            <w:vAlign w:val="center"/>
          </w:tcPr>
          <w:p w14:paraId="1C9233FE"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4" w:space="0" w:color="auto"/>
              <w:bottom w:val="single" w:sz="8" w:space="0" w:color="000000"/>
              <w:right w:val="single" w:sz="8" w:space="0" w:color="000000"/>
            </w:tcBorders>
            <w:shd w:val="clear" w:color="auto" w:fill="FBE4D5" w:themeFill="accent2" w:themeFillTint="33"/>
            <w:vAlign w:val="center"/>
          </w:tcPr>
          <w:p w14:paraId="2FE15E9C"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4" w:space="0" w:color="auto"/>
              <w:bottom w:val="single" w:sz="8" w:space="0" w:color="000000"/>
              <w:right w:val="single" w:sz="8" w:space="0" w:color="000000"/>
            </w:tcBorders>
            <w:vAlign w:val="center"/>
          </w:tcPr>
          <w:p w14:paraId="73F7458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top w:val="single" w:sz="4" w:space="0" w:color="auto"/>
              <w:bottom w:val="single" w:sz="8" w:space="0" w:color="000000"/>
              <w:right w:val="single" w:sz="8" w:space="0" w:color="000000"/>
            </w:tcBorders>
            <w:vAlign w:val="center"/>
          </w:tcPr>
          <w:p w14:paraId="703381D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top w:val="single" w:sz="4" w:space="0" w:color="auto"/>
              <w:bottom w:val="single" w:sz="8" w:space="0" w:color="000000"/>
              <w:right w:val="single" w:sz="8" w:space="0" w:color="000000"/>
            </w:tcBorders>
            <w:vAlign w:val="center"/>
          </w:tcPr>
          <w:p w14:paraId="0308223F"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4" w:space="0" w:color="auto"/>
              <w:bottom w:val="single" w:sz="8" w:space="0" w:color="000000"/>
              <w:right w:val="single" w:sz="8" w:space="0" w:color="000000"/>
            </w:tcBorders>
            <w:vAlign w:val="center"/>
          </w:tcPr>
          <w:p w14:paraId="6A166CF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4" w:space="0" w:color="auto"/>
              <w:bottom w:val="single" w:sz="8" w:space="0" w:color="000000"/>
              <w:right w:val="single" w:sz="8" w:space="0" w:color="000000"/>
            </w:tcBorders>
            <w:shd w:val="clear" w:color="auto" w:fill="FBE4D5" w:themeFill="accent2" w:themeFillTint="33"/>
            <w:vAlign w:val="center"/>
          </w:tcPr>
          <w:p w14:paraId="795FA576"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4" w:space="0" w:color="auto"/>
              <w:bottom w:val="single" w:sz="8" w:space="0" w:color="000000"/>
              <w:right w:val="single" w:sz="8" w:space="0" w:color="000000"/>
            </w:tcBorders>
            <w:shd w:val="clear" w:color="auto" w:fill="auto"/>
            <w:vAlign w:val="center"/>
          </w:tcPr>
          <w:p w14:paraId="655B8D43"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4" w:space="0" w:color="auto"/>
              <w:left w:val="single" w:sz="8" w:space="0" w:color="000000"/>
              <w:bottom w:val="single" w:sz="8" w:space="0" w:color="000000"/>
              <w:right w:val="single" w:sz="8" w:space="0" w:color="000000"/>
            </w:tcBorders>
            <w:shd w:val="clear" w:color="auto" w:fill="auto"/>
            <w:vAlign w:val="center"/>
          </w:tcPr>
          <w:p w14:paraId="044724A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4" w:space="0" w:color="auto"/>
              <w:left w:val="single" w:sz="8" w:space="0" w:color="000000"/>
              <w:bottom w:val="single" w:sz="8" w:space="0" w:color="000000"/>
              <w:right w:val="single" w:sz="8" w:space="0" w:color="000000"/>
            </w:tcBorders>
            <w:shd w:val="clear" w:color="auto" w:fill="auto"/>
            <w:vAlign w:val="center"/>
          </w:tcPr>
          <w:p w14:paraId="3856B273"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4" w:space="0" w:color="auto"/>
              <w:left w:val="single" w:sz="8" w:space="0" w:color="000000"/>
              <w:bottom w:val="single" w:sz="8" w:space="0" w:color="000000"/>
              <w:right w:val="single" w:sz="8" w:space="0" w:color="000000"/>
            </w:tcBorders>
            <w:shd w:val="clear" w:color="auto" w:fill="auto"/>
            <w:vAlign w:val="center"/>
          </w:tcPr>
          <w:p w14:paraId="7108C90E" w14:textId="77777777" w:rsidR="0046583A" w:rsidRPr="00AF34FB" w:rsidRDefault="0046583A" w:rsidP="0046583A">
            <w:pPr>
              <w:spacing w:after="0"/>
              <w:jc w:val="center"/>
              <w:rPr>
                <w:color w:val="000000" w:themeColor="text1"/>
                <w:sz w:val="18"/>
                <w:szCs w:val="18"/>
                <w:lang w:eastAsia="en-US"/>
              </w:rPr>
            </w:pPr>
          </w:p>
        </w:tc>
      </w:tr>
      <w:tr w:rsidR="0046583A" w:rsidRPr="00AF34FB" w14:paraId="63F65F75" w14:textId="77777777" w:rsidTr="0046583A">
        <w:tc>
          <w:tcPr>
            <w:tcW w:w="1725" w:type="dxa"/>
            <w:tcBorders>
              <w:left w:val="single" w:sz="8" w:space="0" w:color="000000"/>
              <w:bottom w:val="single" w:sz="8" w:space="0" w:color="000000"/>
              <w:right w:val="single" w:sz="8" w:space="0" w:color="000000"/>
            </w:tcBorders>
            <w:vAlign w:val="center"/>
          </w:tcPr>
          <w:p w14:paraId="5EB4C427" w14:textId="77777777" w:rsidR="0046583A" w:rsidRPr="00AF34FB" w:rsidRDefault="0046583A" w:rsidP="0046583A">
            <w:pPr>
              <w:spacing w:after="0"/>
              <w:rPr>
                <w:b/>
                <w:bCs/>
                <w:sz w:val="18"/>
                <w:szCs w:val="18"/>
                <w:lang w:eastAsia="en-US"/>
              </w:rPr>
            </w:pPr>
            <w:r w:rsidRPr="00AF34FB">
              <w:rPr>
                <w:b/>
                <w:bCs/>
                <w:sz w:val="18"/>
                <w:szCs w:val="18"/>
                <w:lang w:eastAsia="en-US"/>
              </w:rPr>
              <w:t>Portable Plasma Arc</w:t>
            </w:r>
          </w:p>
        </w:tc>
        <w:tc>
          <w:tcPr>
            <w:tcW w:w="1134" w:type="dxa"/>
            <w:tcBorders>
              <w:bottom w:val="single" w:sz="8" w:space="0" w:color="000000"/>
              <w:right w:val="single" w:sz="8" w:space="0" w:color="000000"/>
            </w:tcBorders>
            <w:vAlign w:val="center"/>
          </w:tcPr>
          <w:p w14:paraId="57D5E34F"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437E310E"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bottom w:val="single" w:sz="8" w:space="0" w:color="000000"/>
              <w:right w:val="single" w:sz="8" w:space="0" w:color="000000"/>
            </w:tcBorders>
            <w:vAlign w:val="center"/>
          </w:tcPr>
          <w:p w14:paraId="5B2CBA6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5DF7025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68219B0B"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6C45F43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52B718E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5542586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tcPr>
          <w:p w14:paraId="6D46AAD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147C6E"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F653B6" w14:textId="77777777" w:rsidR="0046583A" w:rsidRPr="00AF34FB" w:rsidRDefault="0046583A" w:rsidP="0046583A">
            <w:pPr>
              <w:spacing w:after="0"/>
              <w:jc w:val="center"/>
              <w:rPr>
                <w:color w:val="000000" w:themeColor="text1"/>
                <w:sz w:val="18"/>
                <w:szCs w:val="18"/>
                <w:lang w:eastAsia="en-US"/>
              </w:rPr>
            </w:pPr>
          </w:p>
        </w:tc>
      </w:tr>
      <w:tr w:rsidR="0046583A" w:rsidRPr="00AF34FB" w14:paraId="6E7E9531" w14:textId="77777777" w:rsidTr="0046583A">
        <w:tc>
          <w:tcPr>
            <w:tcW w:w="1725" w:type="dxa"/>
            <w:tcBorders>
              <w:left w:val="single" w:sz="8" w:space="0" w:color="000000"/>
              <w:bottom w:val="single" w:sz="8" w:space="0" w:color="000000"/>
              <w:right w:val="single" w:sz="8" w:space="0" w:color="000000"/>
            </w:tcBorders>
            <w:vAlign w:val="center"/>
          </w:tcPr>
          <w:p w14:paraId="7DB8EC88" w14:textId="77777777" w:rsidR="0046583A" w:rsidRPr="00AF34FB" w:rsidRDefault="0046583A" w:rsidP="0046583A">
            <w:pPr>
              <w:spacing w:after="0"/>
              <w:rPr>
                <w:b/>
                <w:bCs/>
                <w:sz w:val="18"/>
                <w:szCs w:val="18"/>
                <w:lang w:eastAsia="en-US"/>
              </w:rPr>
            </w:pPr>
            <w:r w:rsidRPr="00AF34FB">
              <w:rPr>
                <w:b/>
                <w:bCs/>
                <w:sz w:val="18"/>
                <w:szCs w:val="18"/>
                <w:lang w:eastAsia="en-US"/>
              </w:rPr>
              <w:t>Chemical Reaction with H</w:t>
            </w:r>
            <w:r w:rsidRPr="00AF34FB">
              <w:rPr>
                <w:b/>
                <w:bCs/>
                <w:sz w:val="18"/>
                <w:szCs w:val="18"/>
                <w:vertAlign w:val="subscript"/>
                <w:lang w:eastAsia="en-US"/>
              </w:rPr>
              <w:t>2</w:t>
            </w:r>
            <w:r w:rsidRPr="00AF34FB">
              <w:rPr>
                <w:b/>
                <w:bCs/>
                <w:sz w:val="18"/>
                <w:szCs w:val="18"/>
                <w:lang w:eastAsia="en-US"/>
              </w:rPr>
              <w:t xml:space="preserve"> and CO</w:t>
            </w:r>
            <w:r w:rsidRPr="00AF34FB">
              <w:rPr>
                <w:b/>
                <w:bCs/>
                <w:sz w:val="18"/>
                <w:szCs w:val="18"/>
                <w:vertAlign w:val="subscript"/>
                <w:lang w:eastAsia="en-US"/>
              </w:rPr>
              <w:t>2</w:t>
            </w:r>
          </w:p>
        </w:tc>
        <w:tc>
          <w:tcPr>
            <w:tcW w:w="1134" w:type="dxa"/>
            <w:tcBorders>
              <w:bottom w:val="single" w:sz="8" w:space="0" w:color="000000"/>
              <w:right w:val="single" w:sz="8" w:space="0" w:color="000000"/>
            </w:tcBorders>
            <w:vAlign w:val="center"/>
          </w:tcPr>
          <w:p w14:paraId="3A57263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3C624C9F"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2222498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186B8AC0"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70B69EE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28FAAB68"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338E8422"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7D6FCD8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52D020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AB36064"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E85CFB7" w14:textId="77777777" w:rsidR="0046583A" w:rsidRPr="00AF34FB" w:rsidRDefault="0046583A" w:rsidP="0046583A">
            <w:pPr>
              <w:spacing w:after="0"/>
              <w:jc w:val="center"/>
              <w:rPr>
                <w:color w:val="000000" w:themeColor="text1"/>
                <w:sz w:val="18"/>
                <w:szCs w:val="18"/>
                <w:lang w:eastAsia="en-US"/>
              </w:rPr>
            </w:pPr>
          </w:p>
        </w:tc>
      </w:tr>
      <w:tr w:rsidR="0046583A" w:rsidRPr="00AF34FB" w14:paraId="31D2ACCE" w14:textId="77777777" w:rsidTr="0046583A">
        <w:tc>
          <w:tcPr>
            <w:tcW w:w="1725" w:type="dxa"/>
            <w:tcBorders>
              <w:top w:val="single" w:sz="8" w:space="0" w:color="000000"/>
              <w:left w:val="single" w:sz="8" w:space="0" w:color="000000"/>
              <w:bottom w:val="single" w:sz="8" w:space="0" w:color="000000"/>
              <w:right w:val="single" w:sz="8" w:space="0" w:color="000000"/>
            </w:tcBorders>
            <w:vAlign w:val="center"/>
          </w:tcPr>
          <w:p w14:paraId="092E606E" w14:textId="77777777" w:rsidR="0046583A" w:rsidRPr="00621D7D" w:rsidRDefault="0046583A" w:rsidP="0046583A">
            <w:pPr>
              <w:spacing w:after="0"/>
              <w:rPr>
                <w:b/>
                <w:bCs/>
                <w:sz w:val="18"/>
                <w:szCs w:val="18"/>
                <w:lang w:val="fr-FR" w:eastAsia="en-US"/>
              </w:rPr>
            </w:pPr>
            <w:proofErr w:type="spellStart"/>
            <w:r w:rsidRPr="00621D7D">
              <w:rPr>
                <w:b/>
                <w:bCs/>
                <w:sz w:val="18"/>
                <w:szCs w:val="18"/>
                <w:lang w:val="fr-FR" w:eastAsia="en-US"/>
              </w:rPr>
              <w:lastRenderedPageBreak/>
              <w:t>Gas</w:t>
            </w:r>
            <w:proofErr w:type="spellEnd"/>
            <w:r w:rsidRPr="00621D7D">
              <w:rPr>
                <w:b/>
                <w:bCs/>
                <w:sz w:val="18"/>
                <w:szCs w:val="18"/>
                <w:lang w:val="fr-FR" w:eastAsia="en-US"/>
              </w:rPr>
              <w:t xml:space="preserve"> Phase </w:t>
            </w:r>
            <w:proofErr w:type="spellStart"/>
            <w:r w:rsidRPr="00621D7D">
              <w:rPr>
                <w:b/>
                <w:bCs/>
                <w:sz w:val="18"/>
                <w:szCs w:val="18"/>
                <w:lang w:val="fr-FR" w:eastAsia="en-US"/>
              </w:rPr>
              <w:t>Catalytic</w:t>
            </w:r>
            <w:proofErr w:type="spellEnd"/>
            <w:r w:rsidRPr="00621D7D">
              <w:rPr>
                <w:b/>
                <w:bCs/>
                <w:sz w:val="18"/>
                <w:szCs w:val="18"/>
                <w:lang w:val="fr-FR" w:eastAsia="en-US"/>
              </w:rPr>
              <w:t xml:space="preserve"> De-</w:t>
            </w:r>
            <w:proofErr w:type="spellStart"/>
            <w:r w:rsidRPr="00621D7D">
              <w:rPr>
                <w:b/>
                <w:bCs/>
                <w:sz w:val="18"/>
                <w:szCs w:val="18"/>
                <w:lang w:val="fr-FR" w:eastAsia="en-US"/>
              </w:rPr>
              <w:t>halogenation</w:t>
            </w:r>
            <w:proofErr w:type="spellEnd"/>
          </w:p>
        </w:tc>
        <w:tc>
          <w:tcPr>
            <w:tcW w:w="1134" w:type="dxa"/>
            <w:tcBorders>
              <w:top w:val="single" w:sz="8" w:space="0" w:color="000000"/>
              <w:bottom w:val="single" w:sz="8" w:space="0" w:color="000000"/>
              <w:right w:val="single" w:sz="8" w:space="0" w:color="000000"/>
            </w:tcBorders>
            <w:vAlign w:val="center"/>
          </w:tcPr>
          <w:p w14:paraId="5336178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bottom w:val="single" w:sz="8" w:space="0" w:color="000000"/>
              <w:right w:val="single" w:sz="8" w:space="0" w:color="000000"/>
            </w:tcBorders>
            <w:shd w:val="clear" w:color="auto" w:fill="FBE4D5" w:themeFill="accent2" w:themeFillTint="33"/>
            <w:vAlign w:val="center"/>
          </w:tcPr>
          <w:p w14:paraId="5D317F6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w:t>
            </w:r>
            <w:r w:rsidRPr="00AF34FB">
              <w:rPr>
                <w:color w:val="000000" w:themeColor="text1"/>
                <w:sz w:val="18"/>
                <w:szCs w:val="18"/>
                <w:shd w:val="clear" w:color="auto" w:fill="FBE4D5" w:themeFill="accent2" w:themeFillTint="33"/>
                <w:lang w:eastAsia="en-US"/>
              </w:rPr>
              <w:t>rmined</w:t>
            </w:r>
          </w:p>
        </w:tc>
        <w:tc>
          <w:tcPr>
            <w:tcW w:w="1134" w:type="dxa"/>
            <w:tcBorders>
              <w:top w:val="single" w:sz="8" w:space="0" w:color="000000"/>
              <w:bottom w:val="single" w:sz="8" w:space="0" w:color="000000"/>
              <w:right w:val="single" w:sz="8" w:space="0" w:color="000000"/>
            </w:tcBorders>
            <w:vAlign w:val="center"/>
          </w:tcPr>
          <w:p w14:paraId="4EF1080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top w:val="single" w:sz="8" w:space="0" w:color="000000"/>
              <w:bottom w:val="single" w:sz="8" w:space="0" w:color="000000"/>
              <w:right w:val="single" w:sz="8" w:space="0" w:color="000000"/>
            </w:tcBorders>
            <w:vAlign w:val="center"/>
          </w:tcPr>
          <w:p w14:paraId="0FCCDEB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top w:val="single" w:sz="8" w:space="0" w:color="000000"/>
              <w:bottom w:val="single" w:sz="8" w:space="0" w:color="000000"/>
              <w:right w:val="single" w:sz="8" w:space="0" w:color="000000"/>
            </w:tcBorders>
            <w:vAlign w:val="center"/>
          </w:tcPr>
          <w:p w14:paraId="4187D4F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bottom w:val="single" w:sz="8" w:space="0" w:color="000000"/>
              <w:right w:val="single" w:sz="8" w:space="0" w:color="000000"/>
            </w:tcBorders>
            <w:vAlign w:val="center"/>
          </w:tcPr>
          <w:p w14:paraId="1302B99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bottom w:val="single" w:sz="8" w:space="0" w:color="000000"/>
              <w:right w:val="single" w:sz="8" w:space="0" w:color="000000"/>
            </w:tcBorders>
            <w:shd w:val="clear" w:color="auto" w:fill="FBE4D5" w:themeFill="accent2" w:themeFillTint="33"/>
            <w:vAlign w:val="center"/>
          </w:tcPr>
          <w:p w14:paraId="6A969AD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2EBFF54A"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tcPr>
          <w:p w14:paraId="1531EC08"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738A1B5"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A07C71" w14:textId="77777777" w:rsidR="0046583A" w:rsidRPr="00AF34FB" w:rsidRDefault="0046583A" w:rsidP="0046583A">
            <w:pPr>
              <w:spacing w:after="0"/>
              <w:jc w:val="center"/>
              <w:rPr>
                <w:color w:val="000000" w:themeColor="text1"/>
                <w:sz w:val="18"/>
                <w:szCs w:val="18"/>
                <w:lang w:eastAsia="en-US"/>
              </w:rPr>
            </w:pPr>
          </w:p>
        </w:tc>
      </w:tr>
      <w:tr w:rsidR="0046583A" w:rsidRPr="00AF34FB" w14:paraId="79A523C1" w14:textId="77777777" w:rsidTr="0046583A">
        <w:tc>
          <w:tcPr>
            <w:tcW w:w="1725" w:type="dxa"/>
            <w:tcBorders>
              <w:left w:val="single" w:sz="8" w:space="0" w:color="000000"/>
              <w:bottom w:val="single" w:sz="8" w:space="0" w:color="000000"/>
              <w:right w:val="single" w:sz="8" w:space="0" w:color="000000"/>
            </w:tcBorders>
            <w:vAlign w:val="center"/>
          </w:tcPr>
          <w:p w14:paraId="7A3C25B0" w14:textId="77777777" w:rsidR="0046583A" w:rsidRPr="00AF34FB" w:rsidRDefault="0046583A" w:rsidP="0046583A">
            <w:pPr>
              <w:spacing w:after="0"/>
              <w:rPr>
                <w:b/>
                <w:bCs/>
                <w:sz w:val="18"/>
                <w:szCs w:val="18"/>
                <w:lang w:eastAsia="en-US"/>
              </w:rPr>
            </w:pPr>
            <w:r w:rsidRPr="00AF34FB">
              <w:rPr>
                <w:b/>
                <w:bCs/>
                <w:sz w:val="18"/>
                <w:szCs w:val="18"/>
                <w:lang w:eastAsia="en-US"/>
              </w:rPr>
              <w:t>Superheated steam reactor</w:t>
            </w:r>
          </w:p>
        </w:tc>
        <w:tc>
          <w:tcPr>
            <w:tcW w:w="1134" w:type="dxa"/>
            <w:tcBorders>
              <w:bottom w:val="single" w:sz="8" w:space="0" w:color="000000"/>
              <w:right w:val="single" w:sz="8" w:space="0" w:color="000000"/>
            </w:tcBorders>
            <w:vAlign w:val="center"/>
          </w:tcPr>
          <w:p w14:paraId="707EBC62"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490DE7B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bottom w:val="single" w:sz="8" w:space="0" w:color="000000"/>
              <w:right w:val="single" w:sz="8" w:space="0" w:color="000000"/>
            </w:tcBorders>
            <w:vAlign w:val="center"/>
          </w:tcPr>
          <w:p w14:paraId="357F823E"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77B45CC9"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5D588A2C"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28B99D4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73D3070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auto"/>
            <w:vAlign w:val="center"/>
          </w:tcPr>
          <w:p w14:paraId="01C182C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C27057"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5CC353"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BE3286" w14:textId="77777777" w:rsidR="0046583A" w:rsidRPr="00AF34FB" w:rsidRDefault="0046583A" w:rsidP="0046583A">
            <w:pPr>
              <w:spacing w:after="0"/>
              <w:jc w:val="center"/>
              <w:rPr>
                <w:color w:val="000000" w:themeColor="text1"/>
                <w:sz w:val="18"/>
                <w:szCs w:val="18"/>
                <w:lang w:eastAsia="en-US"/>
              </w:rPr>
            </w:pPr>
          </w:p>
        </w:tc>
      </w:tr>
      <w:tr w:rsidR="0046583A" w:rsidRPr="00AF34FB" w14:paraId="2B73D038" w14:textId="77777777" w:rsidTr="0046583A">
        <w:tblPrEx>
          <w:tblBorders>
            <w:top w:val="nil"/>
          </w:tblBorders>
        </w:tblPrEx>
        <w:tc>
          <w:tcPr>
            <w:tcW w:w="1725" w:type="dxa"/>
            <w:tcBorders>
              <w:left w:val="single" w:sz="8" w:space="0" w:color="000000"/>
              <w:bottom w:val="single" w:sz="8" w:space="0" w:color="000000"/>
              <w:right w:val="single" w:sz="8" w:space="0" w:color="000000"/>
            </w:tcBorders>
            <w:vAlign w:val="center"/>
          </w:tcPr>
          <w:p w14:paraId="4F59A4AA" w14:textId="77777777" w:rsidR="0046583A" w:rsidRPr="00AF34FB" w:rsidRDefault="0046583A" w:rsidP="0046583A">
            <w:pPr>
              <w:spacing w:after="0"/>
              <w:rPr>
                <w:b/>
                <w:bCs/>
                <w:sz w:val="18"/>
                <w:szCs w:val="18"/>
                <w:lang w:eastAsia="en-US"/>
              </w:rPr>
            </w:pPr>
            <w:r w:rsidRPr="00AF34FB">
              <w:rPr>
                <w:b/>
                <w:bCs/>
                <w:sz w:val="18"/>
                <w:szCs w:val="18"/>
                <w:lang w:eastAsia="en-US"/>
              </w:rPr>
              <w:t>Thermal Reaction with Methane</w:t>
            </w:r>
          </w:p>
        </w:tc>
        <w:tc>
          <w:tcPr>
            <w:tcW w:w="1134" w:type="dxa"/>
            <w:tcBorders>
              <w:bottom w:val="single" w:sz="8" w:space="0" w:color="000000"/>
              <w:right w:val="single" w:sz="8" w:space="0" w:color="000000"/>
            </w:tcBorders>
            <w:vAlign w:val="center"/>
          </w:tcPr>
          <w:p w14:paraId="3D0EE9D8"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002DE661"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7BEBC1B8"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1E73AFAD"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276" w:type="dxa"/>
            <w:tcBorders>
              <w:bottom w:val="single" w:sz="8" w:space="0" w:color="000000"/>
              <w:right w:val="single" w:sz="8" w:space="0" w:color="000000"/>
            </w:tcBorders>
            <w:vAlign w:val="center"/>
          </w:tcPr>
          <w:p w14:paraId="57273D10"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vAlign w:val="center"/>
          </w:tcPr>
          <w:p w14:paraId="175E7804"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Approved</w:t>
            </w:r>
          </w:p>
        </w:tc>
        <w:tc>
          <w:tcPr>
            <w:tcW w:w="1134" w:type="dxa"/>
            <w:tcBorders>
              <w:bottom w:val="single" w:sz="8" w:space="0" w:color="000000"/>
              <w:right w:val="single" w:sz="8" w:space="0" w:color="000000"/>
            </w:tcBorders>
            <w:shd w:val="clear" w:color="auto" w:fill="FBE4D5" w:themeFill="accent2" w:themeFillTint="33"/>
            <w:vAlign w:val="center"/>
          </w:tcPr>
          <w:p w14:paraId="1E2EE5D5"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bottom w:val="single" w:sz="8" w:space="0" w:color="000000"/>
              <w:right w:val="single" w:sz="8" w:space="0" w:color="000000"/>
            </w:tcBorders>
            <w:shd w:val="clear" w:color="auto" w:fill="FBE4D5" w:themeFill="accent2" w:themeFillTint="33"/>
            <w:vAlign w:val="center"/>
          </w:tcPr>
          <w:p w14:paraId="0833CE96"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134"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tcPr>
          <w:p w14:paraId="4688F86E" w14:textId="77777777" w:rsidR="0046583A" w:rsidRPr="00AF34FB" w:rsidRDefault="0046583A" w:rsidP="0046583A">
            <w:pPr>
              <w:spacing w:after="0"/>
              <w:jc w:val="center"/>
              <w:rPr>
                <w:color w:val="000000" w:themeColor="text1"/>
                <w:sz w:val="18"/>
                <w:szCs w:val="18"/>
                <w:lang w:eastAsia="en-US"/>
              </w:rPr>
            </w:pPr>
            <w:r w:rsidRPr="00AF34FB">
              <w:rPr>
                <w:color w:val="000000" w:themeColor="text1"/>
                <w:sz w:val="18"/>
                <w:szCs w:val="18"/>
                <w:lang w:eastAsia="en-US"/>
              </w:rPr>
              <w:t>Not Determined</w:t>
            </w: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AF66AF" w14:textId="77777777" w:rsidR="0046583A" w:rsidRPr="00AF34FB" w:rsidRDefault="0046583A" w:rsidP="0046583A">
            <w:pPr>
              <w:spacing w:after="0"/>
              <w:jc w:val="center"/>
              <w:rPr>
                <w:color w:val="000000" w:themeColor="text1"/>
                <w:sz w:val="18"/>
                <w:szCs w:val="18"/>
                <w:lang w:eastAsia="en-US"/>
              </w:rPr>
            </w:pPr>
          </w:p>
        </w:tc>
        <w:tc>
          <w:tcPr>
            <w:tcW w:w="106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7030F6E" w14:textId="77777777" w:rsidR="0046583A" w:rsidRPr="00AF34FB" w:rsidRDefault="0046583A" w:rsidP="0046583A">
            <w:pPr>
              <w:spacing w:after="0"/>
              <w:jc w:val="center"/>
              <w:rPr>
                <w:color w:val="000000" w:themeColor="text1"/>
                <w:sz w:val="18"/>
                <w:szCs w:val="18"/>
                <w:lang w:eastAsia="en-US"/>
              </w:rPr>
            </w:pPr>
          </w:p>
        </w:tc>
      </w:tr>
    </w:tbl>
    <w:p w14:paraId="1507C558" w14:textId="77777777" w:rsidR="0046583A" w:rsidRPr="002C6895" w:rsidRDefault="0046583A" w:rsidP="0046583A">
      <w:pPr>
        <w:spacing w:before="120"/>
        <w:rPr>
          <w:rStyle w:val="Heading3Char"/>
          <w:sz w:val="18"/>
          <w:szCs w:val="18"/>
        </w:rPr>
      </w:pPr>
      <w:r w:rsidRPr="002C6895">
        <w:rPr>
          <w:rStyle w:val="Heading3Char"/>
          <w:sz w:val="18"/>
          <w:szCs w:val="18"/>
        </w:rPr>
        <w:t xml:space="preserve">*Orange shaded </w:t>
      </w:r>
      <w:r>
        <w:rPr>
          <w:rStyle w:val="Heading3Char"/>
          <w:sz w:val="18"/>
          <w:szCs w:val="18"/>
        </w:rPr>
        <w:t>cells indicated those destruction technologies subject to review under decision XXX/6, excluding any new technology for which information might become available.</w:t>
      </w:r>
    </w:p>
    <w:p w14:paraId="662A8201" w14:textId="77777777" w:rsidR="0046583A" w:rsidRDefault="0046583A" w:rsidP="0046583A"/>
    <w:p w14:paraId="07CA53AF" w14:textId="77777777" w:rsidR="0046583A" w:rsidRPr="002B49BE" w:rsidRDefault="0046583A" w:rsidP="0046583A">
      <w:pPr>
        <w:sectPr w:rsidR="0046583A" w:rsidRPr="002B49BE" w:rsidSect="002309E5">
          <w:pgSz w:w="16838" w:h="11906" w:orient="landscape"/>
          <w:pgMar w:top="1440" w:right="1440" w:bottom="1440" w:left="1440" w:header="708" w:footer="708" w:gutter="0"/>
          <w:cols w:space="708"/>
          <w:docGrid w:linePitch="360"/>
        </w:sectPr>
      </w:pPr>
    </w:p>
    <w:p w14:paraId="77F90297" w14:textId="49603327" w:rsidR="0046583A" w:rsidRPr="00C7675C" w:rsidRDefault="000C2EA5" w:rsidP="005C5E68">
      <w:pPr>
        <w:pStyle w:val="Heading2"/>
        <w:rPr>
          <w:rStyle w:val="Heading311ptBoldChar"/>
          <w:b/>
        </w:rPr>
      </w:pPr>
      <w:bookmarkStart w:id="540" w:name="_Toc77770775"/>
      <w:bookmarkStart w:id="541" w:name="_Toc77868919"/>
      <w:bookmarkStart w:id="542" w:name="_Toc78040752"/>
      <w:bookmarkStart w:id="543" w:name="_Toc79066556"/>
      <w:bookmarkStart w:id="544" w:name="_Toc102135755"/>
      <w:bookmarkStart w:id="545" w:name="_Toc104396716"/>
      <w:r w:rsidRPr="00C7675C">
        <w:rPr>
          <w:rStyle w:val="Heading311ptBoldChar"/>
          <w:b/>
        </w:rPr>
        <w:lastRenderedPageBreak/>
        <w:t>6</w:t>
      </w:r>
      <w:r w:rsidR="0046583A" w:rsidRPr="00C7675C">
        <w:rPr>
          <w:rStyle w:val="Heading311ptBoldChar"/>
          <w:b/>
        </w:rPr>
        <w:t>.2.1</w:t>
      </w:r>
      <w:r w:rsidR="0046583A" w:rsidRPr="00C7675C">
        <w:rPr>
          <w:rStyle w:val="Heading311ptBoldChar"/>
          <w:b/>
        </w:rPr>
        <w:tab/>
        <w:t>Definitions and categories of destruction technologies</w:t>
      </w:r>
      <w:bookmarkEnd w:id="540"/>
      <w:bookmarkEnd w:id="541"/>
      <w:bookmarkEnd w:id="542"/>
      <w:bookmarkEnd w:id="543"/>
      <w:bookmarkEnd w:id="544"/>
      <w:bookmarkEnd w:id="545"/>
    </w:p>
    <w:p w14:paraId="26E54687" w14:textId="77777777" w:rsidR="0046583A" w:rsidRDefault="0046583A" w:rsidP="0046583A">
      <w:pPr>
        <w:rPr>
          <w:szCs w:val="22"/>
        </w:rPr>
      </w:pPr>
      <w:r>
        <w:rPr>
          <w:szCs w:val="22"/>
        </w:rPr>
        <w:t xml:space="preserve">The Montreal Protocol’s Article 1, paragraph 5, and subsequent clarifying decisions of parties, have defined a destruction process as, </w:t>
      </w:r>
      <w:r w:rsidRPr="006B0872">
        <w:rPr>
          <w:i/>
          <w:iCs/>
          <w:szCs w:val="22"/>
        </w:rPr>
        <w:t>“</w:t>
      </w:r>
      <w:r>
        <w:rPr>
          <w:i/>
          <w:iCs/>
          <w:szCs w:val="22"/>
        </w:rPr>
        <w:t>...</w:t>
      </w:r>
      <w:r w:rsidRPr="006B0872">
        <w:rPr>
          <w:i/>
          <w:iCs/>
          <w:szCs w:val="22"/>
        </w:rPr>
        <w:t>one which, when applied to controlled substances, results in the permanent transformation, or decomposition of all or a significant portion of such substances</w:t>
      </w:r>
      <w:r>
        <w:rPr>
          <w:szCs w:val="22"/>
        </w:rPr>
        <w:t>”, and “</w:t>
      </w:r>
      <w:r w:rsidRPr="006B0872">
        <w:rPr>
          <w:i/>
          <w:iCs/>
          <w:szCs w:val="22"/>
        </w:rPr>
        <w:t>relates to the input and output of the destruction process itself, not to the destruction facility as a whole.</w:t>
      </w:r>
      <w:r>
        <w:rPr>
          <w:szCs w:val="22"/>
        </w:rPr>
        <w:t>”</w:t>
      </w:r>
    </w:p>
    <w:p w14:paraId="44CF83A2" w14:textId="77777777" w:rsidR="0046583A" w:rsidRDefault="0046583A" w:rsidP="0046583A">
      <w:r>
        <w:t>Destruction technologies can be grouped into three general categories: thermal oxidation, plasma technologies, and conversion (or non-incineration) technologies. Approved destruction technologies are those that are proven to result in the permanent transformation or decomposition of all or a significant portion of the substance being destroyed.</w:t>
      </w:r>
    </w:p>
    <w:p w14:paraId="67F9A87A" w14:textId="77777777" w:rsidR="0046583A" w:rsidRPr="00BF4451" w:rsidRDefault="0046583A" w:rsidP="0046583A">
      <w:r w:rsidRPr="003235EE">
        <w:t xml:space="preserve">As a general category, conversion (or non-incineration) technologies are those that primarily rely on chemical transformation </w:t>
      </w:r>
      <w:r>
        <w:t xml:space="preserve">to </w:t>
      </w:r>
      <w:r w:rsidRPr="003235EE">
        <w:t>convert halocarbons</w:t>
      </w:r>
      <w:r>
        <w:t>, sometimes</w:t>
      </w:r>
      <w:r w:rsidRPr="003235EE">
        <w:t xml:space="preserve"> to </w:t>
      </w:r>
      <w:r>
        <w:t>potentially useful</w:t>
      </w:r>
      <w:r w:rsidRPr="003235EE">
        <w:t xml:space="preserve"> </w:t>
      </w:r>
      <w:r>
        <w:t>chemicals</w:t>
      </w:r>
      <w:r w:rsidRPr="003235EE">
        <w:t xml:space="preserve"> (e.g</w:t>
      </w:r>
      <w:r>
        <w:t>.,</w:t>
      </w:r>
      <w:r w:rsidRPr="003235EE">
        <w:t xml:space="preserve"> acids, vinyl monomers etc.)</w:t>
      </w:r>
      <w:r>
        <w:t xml:space="preserve">. </w:t>
      </w:r>
      <w:r>
        <w:rPr>
          <w:szCs w:val="22"/>
        </w:rPr>
        <w:t xml:space="preserve">Conversion (transformation) as a destruction process differs from the conversion processes involving feedstock uses because, </w:t>
      </w:r>
      <w:r w:rsidRPr="00056FDE">
        <w:rPr>
          <w:szCs w:val="22"/>
        </w:rPr>
        <w:t>generally</w:t>
      </w:r>
      <w:r>
        <w:rPr>
          <w:szCs w:val="22"/>
        </w:rPr>
        <w:t>,</w:t>
      </w:r>
      <w:r w:rsidRPr="00056FDE">
        <w:rPr>
          <w:szCs w:val="22"/>
        </w:rPr>
        <w:t xml:space="preserve"> </w:t>
      </w:r>
      <w:r>
        <w:rPr>
          <w:szCs w:val="22"/>
        </w:rPr>
        <w:t>a</w:t>
      </w:r>
      <w:r w:rsidRPr="00C562C1">
        <w:rPr>
          <w:szCs w:val="22"/>
        </w:rPr>
        <w:t xml:space="preserve"> feedstock</w:t>
      </w:r>
      <w:r w:rsidRPr="00056FDE">
        <w:rPr>
          <w:szCs w:val="22"/>
        </w:rPr>
        <w:t xml:space="preserve"> is specifically produced to manufacture a desired </w:t>
      </w:r>
      <w:r>
        <w:rPr>
          <w:szCs w:val="22"/>
        </w:rPr>
        <w:t>chemical and is not considered a waste</w:t>
      </w:r>
      <w:r w:rsidRPr="00056FDE">
        <w:rPr>
          <w:szCs w:val="22"/>
        </w:rPr>
        <w:t>. A waste by-product o</w:t>
      </w:r>
      <w:r w:rsidRPr="00FD645E">
        <w:rPr>
          <w:szCs w:val="22"/>
        </w:rPr>
        <w:t xml:space="preserve">r </w:t>
      </w:r>
      <w:r w:rsidRPr="003C7662">
        <w:rPr>
          <w:szCs w:val="22"/>
        </w:rPr>
        <w:t>substance at end-of</w:t>
      </w:r>
      <w:r w:rsidRPr="006649C9">
        <w:rPr>
          <w:szCs w:val="22"/>
        </w:rPr>
        <w:t>-life</w:t>
      </w:r>
      <w:r w:rsidRPr="0084398B">
        <w:rPr>
          <w:szCs w:val="22"/>
        </w:rPr>
        <w:t xml:space="preserve"> may be destroyed</w:t>
      </w:r>
      <w:r>
        <w:rPr>
          <w:szCs w:val="22"/>
        </w:rPr>
        <w:t xml:space="preserve"> by thermal oxidation or plasma technologies,</w:t>
      </w:r>
      <w:r w:rsidRPr="0084398B">
        <w:rPr>
          <w:szCs w:val="22"/>
        </w:rPr>
        <w:t xml:space="preserve"> without producing useful </w:t>
      </w:r>
      <w:r>
        <w:rPr>
          <w:szCs w:val="22"/>
        </w:rPr>
        <w:t>chemicals</w:t>
      </w:r>
      <w:r w:rsidRPr="009F6D52">
        <w:rPr>
          <w:szCs w:val="22"/>
        </w:rPr>
        <w:t>.</w:t>
      </w:r>
      <w:r>
        <w:rPr>
          <w:rFonts w:ascii="ZWAdobeF" w:hAnsi="ZWAdobeF" w:cs="ZWAdobeF"/>
          <w:color w:val="auto"/>
          <w:sz w:val="2"/>
          <w:szCs w:val="2"/>
        </w:rPr>
        <w:t>57F</w:t>
      </w:r>
      <w:r>
        <w:rPr>
          <w:rStyle w:val="FootnoteReference"/>
        </w:rPr>
        <w:footnoteReference w:id="43"/>
      </w:r>
      <w:r w:rsidRPr="009F6D52">
        <w:rPr>
          <w:szCs w:val="22"/>
        </w:rPr>
        <w:t xml:space="preserve"> </w:t>
      </w:r>
    </w:p>
    <w:p w14:paraId="6FC14D39" w14:textId="0A973916" w:rsidR="0046583A" w:rsidRPr="000C2EA5" w:rsidRDefault="000C2EA5" w:rsidP="005C5E68">
      <w:pPr>
        <w:pStyle w:val="Heading2"/>
        <w:rPr>
          <w:rStyle w:val="Heading311ptBoldChar"/>
          <w:b/>
        </w:rPr>
      </w:pPr>
      <w:bookmarkStart w:id="546" w:name="_Toc77770776"/>
      <w:bookmarkStart w:id="547" w:name="_Toc77868920"/>
      <w:bookmarkStart w:id="548" w:name="_Toc78040753"/>
      <w:bookmarkStart w:id="549" w:name="_Toc79066557"/>
      <w:bookmarkStart w:id="550" w:name="_Toc102135756"/>
      <w:bookmarkStart w:id="551" w:name="_Toc104396717"/>
      <w:r w:rsidRPr="000C2EA5">
        <w:rPr>
          <w:rStyle w:val="Heading311ptBoldChar"/>
          <w:b/>
        </w:rPr>
        <w:t>6</w:t>
      </w:r>
      <w:r w:rsidR="0046583A" w:rsidRPr="000C2EA5">
        <w:rPr>
          <w:rStyle w:val="Heading311ptBoldChar"/>
          <w:b/>
        </w:rPr>
        <w:t>.2.2</w:t>
      </w:r>
      <w:r w:rsidR="0046583A" w:rsidRPr="000C2EA5">
        <w:rPr>
          <w:rStyle w:val="Heading311ptBoldChar"/>
          <w:b/>
        </w:rPr>
        <w:tab/>
        <w:t xml:space="preserve">Destruction technologies approved by </w:t>
      </w:r>
      <w:bookmarkEnd w:id="538"/>
      <w:r w:rsidR="0046583A" w:rsidRPr="000C2EA5">
        <w:rPr>
          <w:rStyle w:val="Heading311ptBoldChar"/>
          <w:b/>
        </w:rPr>
        <w:t>parties</w:t>
      </w:r>
      <w:bookmarkEnd w:id="539"/>
      <w:bookmarkEnd w:id="546"/>
      <w:bookmarkEnd w:id="547"/>
      <w:bookmarkEnd w:id="548"/>
      <w:bookmarkEnd w:id="549"/>
      <w:bookmarkEnd w:id="550"/>
      <w:bookmarkEnd w:id="551"/>
    </w:p>
    <w:p w14:paraId="65BC7C0A" w14:textId="77777777" w:rsidR="0046583A" w:rsidRDefault="0046583A" w:rsidP="0046583A">
      <w:r>
        <w:t xml:space="preserve">Environmentally sound destruction of surplus or contaminated ODS and HFCs at end-of-life is encouraged by the Montreal Protocol because it avoids unnecessary emissions and helps protect the stratospheric ozone layer and/or the climate. </w:t>
      </w:r>
    </w:p>
    <w:p w14:paraId="0AEF810D" w14:textId="3EF2D5D5" w:rsidR="0046583A" w:rsidRDefault="0046583A" w:rsidP="0046583A">
      <w:r>
        <w:t>The Montreal Protocol does not mandate the destruction of ODS or Annex F Group I HFCs. The exception is HFC-23 (Annex F, Group II) generated in manufacturing facilities, from which emissions must be destroyed to the extent practicable using technologies approved by parties.</w:t>
      </w:r>
      <w:r w:rsidR="005617DE">
        <w:t xml:space="preserve"> </w:t>
      </w:r>
    </w:p>
    <w:p w14:paraId="2136750A" w14:textId="77777777" w:rsidR="0046583A" w:rsidRDefault="0046583A" w:rsidP="0046583A">
      <w:r>
        <w:t xml:space="preserve">The Protocol’s definition of ‘production’ of controlled substances subtracts the amounts destroyed from the amounts produced. The use of destruction technologies approved by parties applies to the amounts of controlled substances destroyed and accounted for within the Protocol’s definition of ‘production’. Article 7 data reporting requires production data to be reported by parties, including the amounts of controlled substances destroyed by technologies approved by parties. The Protocol also allows Parties to manufacture an amount of controlled substance almost equivalent to the quantity destroyed with technology listed as approved, within the same year as destruction, and within the same group of substances. </w:t>
      </w:r>
    </w:p>
    <w:p w14:paraId="4134C5A4" w14:textId="77777777" w:rsidR="0046583A" w:rsidRDefault="0046583A" w:rsidP="0046583A">
      <w:bookmarkStart w:id="552" w:name="_Hlk72071104"/>
      <w:r>
        <w:t xml:space="preserve">Parties have taken several decisions to approve destruction technologies for the purposes of Montreal Protocol production data reporting requirements. </w:t>
      </w:r>
      <w:bookmarkEnd w:id="552"/>
      <w:r>
        <w:t xml:space="preserve">Over time, the list of destruction technologies approved by parties has been updated, with the most recent list of approved destruction processes contained in Annex II to the 30th MOP under decision XXX/6, reproduced in </w:t>
      </w:r>
      <w:r w:rsidRPr="00A6306F">
        <w:t>Table 5.4</w:t>
      </w:r>
      <w:r>
        <w:t xml:space="preserve"> above. </w:t>
      </w:r>
    </w:p>
    <w:p w14:paraId="208F0995" w14:textId="6675B344" w:rsidR="0046583A" w:rsidRPr="000C2EA5" w:rsidRDefault="000C2EA5" w:rsidP="005C5E68">
      <w:pPr>
        <w:pStyle w:val="Heading2"/>
        <w:rPr>
          <w:rStyle w:val="Heading311ptBoldChar"/>
          <w:b/>
        </w:rPr>
      </w:pPr>
      <w:bookmarkStart w:id="553" w:name="_Toc40190287"/>
      <w:bookmarkStart w:id="554" w:name="_Toc40696087"/>
      <w:bookmarkStart w:id="555" w:name="_Toc77770777"/>
      <w:bookmarkStart w:id="556" w:name="_Toc77868921"/>
      <w:bookmarkStart w:id="557" w:name="_Toc78040754"/>
      <w:bookmarkStart w:id="558" w:name="_Toc79066558"/>
      <w:bookmarkStart w:id="559" w:name="_Toc102135757"/>
      <w:bookmarkStart w:id="560" w:name="_Toc104396718"/>
      <w:r w:rsidRPr="000C2EA5">
        <w:rPr>
          <w:rStyle w:val="Heading311ptBoldChar"/>
          <w:b/>
        </w:rPr>
        <w:lastRenderedPageBreak/>
        <w:t>6</w:t>
      </w:r>
      <w:r w:rsidR="0046583A" w:rsidRPr="000C2EA5">
        <w:rPr>
          <w:rStyle w:val="Heading311ptBoldChar"/>
          <w:b/>
        </w:rPr>
        <w:t>.2.3</w:t>
      </w:r>
      <w:r w:rsidR="0046583A" w:rsidRPr="000C2EA5">
        <w:rPr>
          <w:rStyle w:val="Heading311ptBoldChar"/>
          <w:b/>
        </w:rPr>
        <w:tab/>
        <w:t xml:space="preserve">Background to TEAP assessment of destruction </w:t>
      </w:r>
      <w:bookmarkEnd w:id="553"/>
      <w:r w:rsidR="0046583A" w:rsidRPr="000C2EA5">
        <w:rPr>
          <w:rStyle w:val="Heading311ptBoldChar"/>
          <w:b/>
        </w:rPr>
        <w:t>technologies</w:t>
      </w:r>
      <w:bookmarkEnd w:id="554"/>
      <w:bookmarkEnd w:id="555"/>
      <w:bookmarkEnd w:id="556"/>
      <w:bookmarkEnd w:id="557"/>
      <w:bookmarkEnd w:id="558"/>
      <w:bookmarkEnd w:id="559"/>
      <w:bookmarkEnd w:id="560"/>
    </w:p>
    <w:p w14:paraId="2A6F6D46" w14:textId="77777777" w:rsidR="0046583A" w:rsidRDefault="0046583A" w:rsidP="0046583A">
      <w:r>
        <w:t>In the preamble to decision XXX/6, parties:</w:t>
      </w:r>
    </w:p>
    <w:p w14:paraId="0FBFEF99" w14:textId="77777777" w:rsidR="0046583A" w:rsidRPr="001863FE" w:rsidRDefault="0046583A" w:rsidP="00107383">
      <w:pPr>
        <w:pStyle w:val="ListParagraph"/>
        <w:numPr>
          <w:ilvl w:val="0"/>
          <w:numId w:val="65"/>
        </w:numPr>
        <w:spacing w:after="120"/>
        <w:ind w:left="714" w:firstLineChars="0" w:hanging="357"/>
        <w:rPr>
          <w:rFonts w:ascii="Times New Roman" w:hAnsi="Times New Roman"/>
          <w:sz w:val="22"/>
        </w:rPr>
      </w:pPr>
      <w:r w:rsidRPr="001863FE">
        <w:rPr>
          <w:rFonts w:ascii="Times New Roman" w:hAnsi="Times New Roman"/>
          <w:sz w:val="22"/>
        </w:rPr>
        <w:t xml:space="preserve">Noted that </w:t>
      </w:r>
      <w:r>
        <w:rPr>
          <w:rFonts w:ascii="Times New Roman" w:hAnsi="Times New Roman"/>
          <w:sz w:val="22"/>
        </w:rPr>
        <w:t>D</w:t>
      </w:r>
      <w:r w:rsidRPr="00A847E4">
        <w:rPr>
          <w:rFonts w:ascii="Times New Roman" w:hAnsi="Times New Roman"/>
          <w:sz w:val="22"/>
        </w:rPr>
        <w:t xml:space="preserve">estruction and </w:t>
      </w:r>
      <w:r>
        <w:rPr>
          <w:rFonts w:ascii="Times New Roman" w:hAnsi="Times New Roman"/>
          <w:sz w:val="22"/>
        </w:rPr>
        <w:t>R</w:t>
      </w:r>
      <w:r w:rsidRPr="00A847E4">
        <w:rPr>
          <w:rFonts w:ascii="Times New Roman" w:hAnsi="Times New Roman"/>
          <w:sz w:val="22"/>
        </w:rPr>
        <w:t xml:space="preserve">emoval </w:t>
      </w:r>
      <w:r>
        <w:rPr>
          <w:rFonts w:ascii="Times New Roman" w:hAnsi="Times New Roman"/>
          <w:sz w:val="22"/>
        </w:rPr>
        <w:t>E</w:t>
      </w:r>
      <w:r w:rsidRPr="00A847E4">
        <w:rPr>
          <w:rFonts w:ascii="Times New Roman" w:hAnsi="Times New Roman"/>
          <w:sz w:val="22"/>
        </w:rPr>
        <w:t xml:space="preserve">fficiency </w:t>
      </w:r>
      <w:r>
        <w:rPr>
          <w:rFonts w:ascii="Times New Roman" w:hAnsi="Times New Roman"/>
          <w:sz w:val="22"/>
        </w:rPr>
        <w:t xml:space="preserve">(DRE) </w:t>
      </w:r>
      <w:r w:rsidRPr="001863FE">
        <w:rPr>
          <w:rFonts w:ascii="Times New Roman" w:hAnsi="Times New Roman"/>
          <w:sz w:val="22"/>
        </w:rPr>
        <w:t xml:space="preserve">is the criterion considered in their approval of destruction technologies, and </w:t>
      </w:r>
    </w:p>
    <w:p w14:paraId="515779E7" w14:textId="77777777" w:rsidR="0046583A" w:rsidRPr="001863FE" w:rsidRDefault="0046583A" w:rsidP="00107383">
      <w:pPr>
        <w:pStyle w:val="ListParagraph"/>
        <w:numPr>
          <w:ilvl w:val="0"/>
          <w:numId w:val="65"/>
        </w:numPr>
        <w:spacing w:after="120"/>
        <w:ind w:left="714" w:firstLineChars="0" w:hanging="357"/>
        <w:rPr>
          <w:rFonts w:ascii="Times New Roman" w:hAnsi="Times New Roman"/>
          <w:sz w:val="22"/>
        </w:rPr>
      </w:pPr>
      <w:r w:rsidRPr="001863FE">
        <w:rPr>
          <w:rFonts w:ascii="Times New Roman" w:hAnsi="Times New Roman"/>
          <w:sz w:val="22"/>
        </w:rPr>
        <w:t xml:space="preserve">Suggested that parties also consider TEAP’s other technical advice on emissions of substances other than controlled substances in the development and implementation of their domestic regulations. </w:t>
      </w:r>
    </w:p>
    <w:p w14:paraId="23EC6B09" w14:textId="77777777" w:rsidR="0046583A" w:rsidRDefault="0046583A" w:rsidP="0046583A">
      <w:pPr>
        <w:rPr>
          <w:lang w:val="en-US"/>
        </w:rPr>
      </w:pPr>
      <w:r>
        <w:rPr>
          <w:lang w:val="en-US"/>
        </w:rPr>
        <w:t xml:space="preserve">For its assessment under decision XXX/6 or future assessments, TEAP will assess destruction technologies for their destruction and removal efficiency and make recommendations to parties for potential approval for inclusion on the list of approved technologies. </w:t>
      </w:r>
    </w:p>
    <w:p w14:paraId="3FD30320" w14:textId="77777777" w:rsidR="0046583A" w:rsidRDefault="0046583A" w:rsidP="0046583A">
      <w:pPr>
        <w:rPr>
          <w:lang w:val="en-US"/>
        </w:rPr>
      </w:pPr>
      <w:r>
        <w:rPr>
          <w:lang w:val="en-US"/>
        </w:rPr>
        <w:t xml:space="preserve">TEAP will also provide technical advice about emissions of other pollutants and the technical capability of destruction technologies as part of its assessment. In addition to providing parties with technical guidance, this will also ensure internal consistency with previous assessments. </w:t>
      </w:r>
    </w:p>
    <w:p w14:paraId="1D2BA7B6" w14:textId="77777777" w:rsidR="0046583A" w:rsidRDefault="0046583A" w:rsidP="0046583A">
      <w:pPr>
        <w:rPr>
          <w:lang w:val="en-US"/>
        </w:rPr>
      </w:pPr>
      <w:r>
        <w:rPr>
          <w:lang w:val="en-US"/>
        </w:rPr>
        <w:t xml:space="preserve">The TEAP assessment will consider the following parameters: </w:t>
      </w:r>
    </w:p>
    <w:p w14:paraId="2ECDB6BA" w14:textId="77777777" w:rsidR="0046583A" w:rsidRDefault="0046583A" w:rsidP="00107383">
      <w:pPr>
        <w:pStyle w:val="ListParagraph"/>
        <w:widowControl/>
        <w:numPr>
          <w:ilvl w:val="0"/>
          <w:numId w:val="63"/>
        </w:numPr>
        <w:spacing w:after="120"/>
        <w:ind w:firstLineChars="0"/>
        <w:jc w:val="left"/>
        <w:rPr>
          <w:rFonts w:ascii="Times New Roman" w:hAnsi="Times New Roman"/>
          <w:sz w:val="22"/>
          <w:lang w:val="en-US"/>
        </w:rPr>
      </w:pPr>
      <w:r>
        <w:rPr>
          <w:rFonts w:ascii="Times New Roman" w:hAnsi="Times New Roman"/>
          <w:sz w:val="22"/>
          <w:lang w:val="en-US"/>
        </w:rPr>
        <w:t>Destruction and Removal Efficiency (DRE)</w:t>
      </w:r>
      <w:r>
        <w:rPr>
          <w:rFonts w:ascii="ZWAdobeF" w:hAnsi="ZWAdobeF" w:cs="ZWAdobeF"/>
          <w:sz w:val="2"/>
          <w:szCs w:val="2"/>
          <w:lang w:val="en-US"/>
        </w:rPr>
        <w:t>58F</w:t>
      </w:r>
      <w:r>
        <w:rPr>
          <w:rFonts w:ascii="Times New Roman" w:hAnsi="Times New Roman"/>
          <w:sz w:val="22"/>
          <w:vertAlign w:val="superscript"/>
          <w:lang w:val="en-US"/>
        </w:rPr>
        <w:footnoteReference w:id="44"/>
      </w:r>
      <w:r>
        <w:rPr>
          <w:rFonts w:ascii="Times New Roman" w:hAnsi="Times New Roman"/>
          <w:sz w:val="22"/>
          <w:lang w:val="en-US"/>
        </w:rPr>
        <w:t xml:space="preserve">, </w:t>
      </w:r>
      <w:r>
        <w:rPr>
          <w:rFonts w:ascii="Times New Roman" w:hAnsi="Times New Roman"/>
          <w:sz w:val="22"/>
        </w:rPr>
        <w:t xml:space="preserve">which is a minimum of 99.99% for concentrated sources and 95% for dilute sources (e.g., foams) </w:t>
      </w:r>
    </w:p>
    <w:p w14:paraId="24E7CD99" w14:textId="77777777" w:rsidR="0046583A" w:rsidRDefault="0046583A" w:rsidP="00107383">
      <w:pPr>
        <w:pStyle w:val="ListParagraph"/>
        <w:widowControl/>
        <w:numPr>
          <w:ilvl w:val="0"/>
          <w:numId w:val="63"/>
        </w:numPr>
        <w:spacing w:after="120"/>
        <w:ind w:firstLineChars="0"/>
        <w:jc w:val="left"/>
        <w:rPr>
          <w:rFonts w:ascii="Times New Roman" w:hAnsi="Times New Roman"/>
          <w:sz w:val="22"/>
          <w:lang w:val="en-US"/>
        </w:rPr>
      </w:pPr>
      <w:r>
        <w:rPr>
          <w:rFonts w:ascii="Times New Roman" w:hAnsi="Times New Roman"/>
          <w:sz w:val="22"/>
          <w:lang w:val="en-US"/>
        </w:rPr>
        <w:t>Emissions of halogenated dioxins and furans</w:t>
      </w:r>
      <w:r>
        <w:rPr>
          <w:rFonts w:ascii="ZWAdobeF" w:hAnsi="ZWAdobeF" w:cs="ZWAdobeF"/>
          <w:sz w:val="2"/>
          <w:szCs w:val="2"/>
          <w:lang w:val="en-US"/>
        </w:rPr>
        <w:t>59F</w:t>
      </w:r>
      <w:r>
        <w:rPr>
          <w:rFonts w:ascii="Times New Roman" w:hAnsi="Times New Roman"/>
          <w:sz w:val="22"/>
          <w:vertAlign w:val="superscript"/>
          <w:lang w:val="en-US"/>
        </w:rPr>
        <w:footnoteReference w:id="45"/>
      </w:r>
      <w:r>
        <w:rPr>
          <w:rFonts w:ascii="Times New Roman" w:hAnsi="Times New Roman"/>
          <w:sz w:val="22"/>
          <w:lang w:val="en-US"/>
        </w:rPr>
        <w:t xml:space="preserve"> </w:t>
      </w:r>
      <w:r>
        <w:rPr>
          <w:rFonts w:ascii="MS Mincho" w:eastAsia="MS Mincho" w:hAnsi="MS Mincho" w:cs="MS Mincho" w:hint="eastAsia"/>
          <w:sz w:val="22"/>
          <w:lang w:val="en-US"/>
        </w:rPr>
        <w:t> </w:t>
      </w:r>
    </w:p>
    <w:p w14:paraId="6BC719C1" w14:textId="77777777" w:rsidR="0046583A" w:rsidRDefault="0046583A" w:rsidP="00107383">
      <w:pPr>
        <w:pStyle w:val="ListParagraph"/>
        <w:widowControl/>
        <w:numPr>
          <w:ilvl w:val="0"/>
          <w:numId w:val="63"/>
        </w:numPr>
        <w:spacing w:after="120"/>
        <w:ind w:firstLineChars="0"/>
        <w:jc w:val="left"/>
        <w:rPr>
          <w:rFonts w:ascii="Times New Roman" w:hAnsi="Times New Roman"/>
          <w:sz w:val="22"/>
          <w:lang w:val="en-US"/>
        </w:rPr>
      </w:pPr>
      <w:r>
        <w:rPr>
          <w:rFonts w:ascii="Times New Roman" w:hAnsi="Times New Roman"/>
          <w:sz w:val="22"/>
          <w:lang w:val="en-US"/>
        </w:rPr>
        <w:t xml:space="preserve">Emissions of other pollutants: acid gases </w:t>
      </w:r>
      <w:r>
        <w:rPr>
          <w:rFonts w:ascii="Times New Roman" w:hAnsi="Times New Roman"/>
          <w:sz w:val="22"/>
        </w:rPr>
        <w:t>(HCl, HF, HBr/Br</w:t>
      </w:r>
      <w:r>
        <w:rPr>
          <w:rFonts w:ascii="Times New Roman" w:hAnsi="Times New Roman"/>
          <w:sz w:val="22"/>
          <w:vertAlign w:val="subscript"/>
        </w:rPr>
        <w:t>2</w:t>
      </w:r>
      <w:r>
        <w:rPr>
          <w:rFonts w:ascii="Times New Roman" w:hAnsi="Times New Roman"/>
          <w:sz w:val="22"/>
        </w:rPr>
        <w:t>)</w:t>
      </w:r>
      <w:r>
        <w:rPr>
          <w:rFonts w:ascii="Times New Roman" w:hAnsi="Times New Roman"/>
          <w:sz w:val="22"/>
          <w:lang w:val="en-US"/>
        </w:rPr>
        <w:t>, particulate matter (total suspended particles, TSP), and carbon monoxide (CO)</w:t>
      </w:r>
    </w:p>
    <w:p w14:paraId="503403A3" w14:textId="77777777" w:rsidR="0046583A" w:rsidRDefault="0046583A" w:rsidP="00107383">
      <w:pPr>
        <w:pStyle w:val="ListParagraph"/>
        <w:widowControl/>
        <w:numPr>
          <w:ilvl w:val="0"/>
          <w:numId w:val="63"/>
        </w:numPr>
        <w:spacing w:after="240"/>
        <w:ind w:firstLineChars="0"/>
        <w:jc w:val="left"/>
        <w:rPr>
          <w:rFonts w:ascii="Times New Roman" w:hAnsi="Times New Roman"/>
          <w:sz w:val="22"/>
          <w:lang w:val="en-US"/>
        </w:rPr>
      </w:pPr>
      <w:r>
        <w:rPr>
          <w:rFonts w:ascii="Times New Roman" w:hAnsi="Times New Roman"/>
          <w:sz w:val="22"/>
          <w:lang w:val="en-US"/>
        </w:rPr>
        <w:t>Technical capability, where the technology has demonstrated destruction on at least a pilot scale or demonstration scale, and for</w:t>
      </w:r>
      <w:r>
        <w:rPr>
          <w:rFonts w:ascii="Times New Roman" w:hAnsi="Times New Roman"/>
          <w:sz w:val="22"/>
        </w:rPr>
        <w:t xml:space="preserve"> which the processing capacity is no less than 1.0 kg/hr of the substance to be destroyed, whether ODS or a suitable surrogate.</w:t>
      </w:r>
    </w:p>
    <w:p w14:paraId="767C6E3C" w14:textId="77777777" w:rsidR="0046583A" w:rsidRDefault="0046583A" w:rsidP="0046583A">
      <w:r>
        <w:t>The DRE is a measure of the efficiency of destruction and</w:t>
      </w:r>
      <w:r w:rsidRPr="0058435A">
        <w:t xml:space="preserve"> </w:t>
      </w:r>
      <w:r>
        <w:t>is the basis of TEAP’s recommendations to parties. The 99.99% DRE minimum for concentrated sources of controlled substances is considered protective for minimising ozone depletion and climate impact. In the case of controlled substances contained in products such as closed cell foams and considered dilute sources, a DRE of 95% minimum is adopted for assessment purposes.</w:t>
      </w:r>
    </w:p>
    <w:p w14:paraId="1E9DF4D3" w14:textId="77777777" w:rsidR="0046583A" w:rsidRDefault="0046583A" w:rsidP="0046583A">
      <w:r>
        <w:t xml:space="preserve">The technical performance advisory criteria for other pollutant emissions are measures of potential impacts of the technology on human health and the environment. The destruction technologies will be assessed against advisory criteria, which are consistent with previous assessments, and technical advice provided in relation to destruction technologies recommended on the basis of DRE. </w:t>
      </w:r>
    </w:p>
    <w:p w14:paraId="2CC61467" w14:textId="77777777" w:rsidR="0046583A" w:rsidRDefault="0046583A" w:rsidP="0046583A">
      <w:r>
        <w:lastRenderedPageBreak/>
        <w:t xml:space="preserve">The technical capability advisory criterion considers the extent to which the technology has been demonstrated to destroy ODS/HFCs (or a comparable recalcitrant halogenated organic substance such as polychlorinated biphenyl (PCB)) effectively and is technically capable of commercial-scale destruction. </w:t>
      </w:r>
    </w:p>
    <w:p w14:paraId="46096D6A" w14:textId="77777777" w:rsidR="0046583A" w:rsidRDefault="0046583A" w:rsidP="0046583A">
      <w:r>
        <w:t xml:space="preserve">To undertake its assessment and provide its technical advice, and in order to provide advice that the technology has the </w:t>
      </w:r>
      <w:r>
        <w:rPr>
          <w:i/>
          <w:iCs/>
        </w:rPr>
        <w:t>minimum</w:t>
      </w:r>
      <w:r>
        <w:t xml:space="preserve"> level of technical capability to destroy ODS/HFCs efficiently and safely, TEAP will seek information for all of these parameters. </w:t>
      </w:r>
    </w:p>
    <w:p w14:paraId="72B7459C" w14:textId="77777777" w:rsidR="0046583A" w:rsidRDefault="0046583A" w:rsidP="0046583A">
      <w:r>
        <w:t xml:space="preserve">The following technical performance assessment and advisory criteria will be used for TEAP assessments of destruction technologies. These represent a minimum DRE for destroying ODS/HFCs and maximum advisory levels of emissions of pollutants to the atmosphere that would be considered as an acceptable </w:t>
      </w:r>
      <w:r>
        <w:rPr>
          <w:i/>
          <w:iCs/>
        </w:rPr>
        <w:t>minimum</w:t>
      </w:r>
      <w:r>
        <w:t xml:space="preserve"> level of technical capability.</w:t>
      </w:r>
    </w:p>
    <w:p w14:paraId="7BF66429" w14:textId="2BD50BEB" w:rsidR="0046583A" w:rsidRPr="00C32160" w:rsidRDefault="0046583A" w:rsidP="0046583A">
      <w:pPr>
        <w:tabs>
          <w:tab w:val="left" w:pos="1080"/>
        </w:tabs>
        <w:rPr>
          <w:b/>
          <w:bCs/>
          <w:iCs/>
          <w:lang w:val="en-US"/>
        </w:rPr>
      </w:pPr>
      <w:r w:rsidRPr="00A6306F">
        <w:rPr>
          <w:b/>
          <w:bCs/>
          <w:iCs/>
          <w:lang w:val="en-US"/>
        </w:rPr>
        <w:t xml:space="preserve">Table </w:t>
      </w:r>
      <w:r w:rsidR="000C2EA5">
        <w:rPr>
          <w:b/>
          <w:bCs/>
          <w:iCs/>
          <w:lang w:val="en-US"/>
        </w:rPr>
        <w:t>6</w:t>
      </w:r>
      <w:r w:rsidRPr="00A6306F">
        <w:rPr>
          <w:b/>
          <w:bCs/>
          <w:iCs/>
          <w:lang w:val="en-US"/>
        </w:rPr>
        <w:t>.5</w:t>
      </w:r>
      <w:r w:rsidRPr="00C32160">
        <w:rPr>
          <w:b/>
          <w:bCs/>
          <w:iCs/>
          <w:lang w:val="en-US"/>
        </w:rPr>
        <w:t>:</w:t>
      </w:r>
      <w:r w:rsidRPr="00C32160">
        <w:rPr>
          <w:b/>
          <w:bCs/>
          <w:iCs/>
          <w:lang w:val="en-US"/>
        </w:rPr>
        <w:tab/>
        <w:t>Technical Performance Assessment and Advisory Criteria</w:t>
      </w:r>
    </w:p>
    <w:tbl>
      <w:tblPr>
        <w:tblW w:w="4948" w:type="pct"/>
        <w:tblLook w:val="04A0" w:firstRow="1" w:lastRow="0" w:firstColumn="1" w:lastColumn="0" w:noHBand="0" w:noVBand="1"/>
      </w:tblPr>
      <w:tblGrid>
        <w:gridCol w:w="2254"/>
        <w:gridCol w:w="2341"/>
        <w:gridCol w:w="1803"/>
        <w:gridCol w:w="1803"/>
      </w:tblGrid>
      <w:tr w:rsidR="0046583A" w14:paraId="24965DB5" w14:textId="77777777" w:rsidTr="0046583A">
        <w:trPr>
          <w:trHeight w:val="340"/>
        </w:trPr>
        <w:tc>
          <w:tcPr>
            <w:tcW w:w="1374" w:type="pct"/>
            <w:tcBorders>
              <w:top w:val="single" w:sz="12" w:space="0" w:color="auto"/>
              <w:left w:val="single" w:sz="12" w:space="0" w:color="auto"/>
              <w:bottom w:val="single" w:sz="12" w:space="0" w:color="auto"/>
              <w:right w:val="single" w:sz="12" w:space="0" w:color="auto"/>
            </w:tcBorders>
            <w:vAlign w:val="center"/>
            <w:hideMark/>
          </w:tcPr>
          <w:p w14:paraId="366D67B7" w14:textId="77777777" w:rsidR="0046583A" w:rsidRDefault="0046583A" w:rsidP="0046583A">
            <w:pPr>
              <w:spacing w:after="0"/>
              <w:rPr>
                <w:b/>
                <w:bCs/>
                <w:lang w:val="en-US"/>
              </w:rPr>
            </w:pPr>
            <w:r>
              <w:rPr>
                <w:b/>
                <w:bCs/>
                <w:lang w:val="en-US"/>
              </w:rPr>
              <w:t>Performance Qualification</w:t>
            </w:r>
          </w:p>
        </w:tc>
        <w:tc>
          <w:tcPr>
            <w:tcW w:w="1427" w:type="pct"/>
            <w:tcBorders>
              <w:top w:val="single" w:sz="12" w:space="0" w:color="auto"/>
              <w:left w:val="single" w:sz="12" w:space="0" w:color="auto"/>
              <w:bottom w:val="single" w:sz="12" w:space="0" w:color="auto"/>
              <w:right w:val="single" w:sz="12" w:space="0" w:color="auto"/>
            </w:tcBorders>
            <w:vAlign w:val="center"/>
            <w:hideMark/>
          </w:tcPr>
          <w:p w14:paraId="1E30A3D6" w14:textId="77777777" w:rsidR="0046583A" w:rsidRDefault="0046583A" w:rsidP="0046583A">
            <w:pPr>
              <w:spacing w:after="0"/>
              <w:jc w:val="center"/>
              <w:rPr>
                <w:b/>
                <w:bCs/>
                <w:lang w:val="en-US"/>
              </w:rPr>
            </w:pPr>
            <w:r>
              <w:rPr>
                <w:b/>
                <w:bCs/>
                <w:lang w:val="en-US"/>
              </w:rPr>
              <w:t>Units</w:t>
            </w:r>
          </w:p>
        </w:tc>
        <w:tc>
          <w:tcPr>
            <w:tcW w:w="1099" w:type="pct"/>
            <w:tcBorders>
              <w:top w:val="single" w:sz="12" w:space="0" w:color="auto"/>
              <w:left w:val="single" w:sz="12" w:space="0" w:color="auto"/>
              <w:bottom w:val="single" w:sz="12" w:space="0" w:color="auto"/>
              <w:right w:val="single" w:sz="4" w:space="0" w:color="auto"/>
            </w:tcBorders>
            <w:vAlign w:val="center"/>
            <w:hideMark/>
          </w:tcPr>
          <w:p w14:paraId="4B09FFBD" w14:textId="77777777" w:rsidR="0046583A" w:rsidRDefault="0046583A" w:rsidP="0046583A">
            <w:pPr>
              <w:spacing w:after="0"/>
              <w:jc w:val="center"/>
              <w:rPr>
                <w:b/>
                <w:bCs/>
                <w:lang w:val="en-US"/>
              </w:rPr>
            </w:pPr>
            <w:r>
              <w:rPr>
                <w:b/>
                <w:bCs/>
                <w:lang w:val="en-US"/>
              </w:rPr>
              <w:t>Concentrated Sources</w:t>
            </w:r>
          </w:p>
        </w:tc>
        <w:tc>
          <w:tcPr>
            <w:tcW w:w="1099" w:type="pct"/>
            <w:tcBorders>
              <w:top w:val="single" w:sz="12" w:space="0" w:color="auto"/>
              <w:left w:val="single" w:sz="12" w:space="0" w:color="auto"/>
              <w:bottom w:val="single" w:sz="12" w:space="0" w:color="auto"/>
              <w:right w:val="single" w:sz="4" w:space="0" w:color="auto"/>
            </w:tcBorders>
            <w:vAlign w:val="center"/>
            <w:hideMark/>
          </w:tcPr>
          <w:p w14:paraId="59A4DBF0" w14:textId="77777777" w:rsidR="0046583A" w:rsidRDefault="0046583A" w:rsidP="0046583A">
            <w:pPr>
              <w:spacing w:after="0"/>
              <w:jc w:val="center"/>
              <w:rPr>
                <w:b/>
                <w:bCs/>
                <w:lang w:val="en-US"/>
              </w:rPr>
            </w:pPr>
            <w:r>
              <w:rPr>
                <w:b/>
                <w:bCs/>
                <w:lang w:val="en-US"/>
              </w:rPr>
              <w:t>Diluted Sources (e.g., foams)</w:t>
            </w:r>
          </w:p>
        </w:tc>
      </w:tr>
      <w:tr w:rsidR="0046583A" w14:paraId="7277FC63" w14:textId="77777777" w:rsidTr="0046583A">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3795A23A" w14:textId="77777777" w:rsidR="0046583A" w:rsidRDefault="0046583A" w:rsidP="0046583A">
            <w:pPr>
              <w:spacing w:after="0"/>
              <w:rPr>
                <w:lang w:val="en-US"/>
              </w:rPr>
            </w:pPr>
            <w:r>
              <w:rPr>
                <w:lang w:val="en-US"/>
              </w:rPr>
              <w:t>DRE</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027D4AC3" w14:textId="77777777" w:rsidR="0046583A" w:rsidRDefault="0046583A" w:rsidP="0046583A">
            <w:pPr>
              <w:spacing w:after="0"/>
              <w:ind w:right="534"/>
              <w:jc w:val="right"/>
              <w:rPr>
                <w:lang w:val="en-US"/>
              </w:rPr>
            </w:pPr>
            <w:r>
              <w:rPr>
                <w:lang w:val="en-US"/>
              </w:rPr>
              <w:t>%</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1BA9DD74" w14:textId="77777777" w:rsidR="0046583A" w:rsidRDefault="0046583A" w:rsidP="0046583A">
            <w:pPr>
              <w:spacing w:after="0"/>
              <w:ind w:right="555"/>
              <w:jc w:val="right"/>
              <w:rPr>
                <w:lang w:val="en-US"/>
              </w:rPr>
            </w:pPr>
            <w:r>
              <w:rPr>
                <w:lang w:val="en-US"/>
              </w:rPr>
              <w:t>99.99</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5EA170F9" w14:textId="77777777" w:rsidR="0046583A" w:rsidRDefault="0046583A" w:rsidP="0046583A">
            <w:pPr>
              <w:spacing w:after="0"/>
              <w:ind w:right="561"/>
              <w:jc w:val="right"/>
              <w:rPr>
                <w:lang w:val="en-US"/>
              </w:rPr>
            </w:pPr>
            <w:r>
              <w:rPr>
                <w:lang w:val="en-US"/>
              </w:rPr>
              <w:t>95</w:t>
            </w:r>
          </w:p>
        </w:tc>
      </w:tr>
      <w:tr w:rsidR="0046583A" w14:paraId="397DA331" w14:textId="77777777" w:rsidTr="0046583A">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001A4C71" w14:textId="77777777" w:rsidR="0046583A" w:rsidRDefault="0046583A" w:rsidP="0046583A">
            <w:pPr>
              <w:spacing w:after="0"/>
              <w:rPr>
                <w:lang w:val="en-US"/>
              </w:rPr>
            </w:pPr>
            <w:r>
              <w:rPr>
                <w:lang w:val="en-US"/>
              </w:rPr>
              <w:t>Dioxins/furans</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0BF342E0" w14:textId="77777777" w:rsidR="0046583A" w:rsidRDefault="0046583A" w:rsidP="0046583A">
            <w:pPr>
              <w:spacing w:after="0"/>
              <w:ind w:right="534"/>
              <w:jc w:val="right"/>
              <w:rPr>
                <w:lang w:val="en-US"/>
              </w:rPr>
            </w:pPr>
            <w:r>
              <w:rPr>
                <w:lang w:val="en-US"/>
              </w:rPr>
              <w:t>ng-ITEQ/Nm</w:t>
            </w:r>
            <w:r>
              <w:rPr>
                <w:vertAlign w:val="superscript"/>
                <w:lang w:val="en-US"/>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0E594B38" w14:textId="77777777" w:rsidR="0046583A" w:rsidRDefault="0046583A" w:rsidP="0046583A">
            <w:pPr>
              <w:spacing w:after="0"/>
              <w:ind w:right="555"/>
              <w:jc w:val="right"/>
              <w:rPr>
                <w:lang w:val="en-US"/>
              </w:rPr>
            </w:pPr>
            <w:r>
              <w:rPr>
                <w:lang w:val="en-US"/>
              </w:rPr>
              <w:t>0.2</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12A75BE9" w14:textId="77777777" w:rsidR="0046583A" w:rsidRDefault="0046583A" w:rsidP="0046583A">
            <w:pPr>
              <w:spacing w:after="0"/>
              <w:ind w:right="561"/>
              <w:jc w:val="right"/>
              <w:rPr>
                <w:lang w:val="en-US"/>
              </w:rPr>
            </w:pPr>
            <w:r>
              <w:rPr>
                <w:lang w:val="en-US"/>
              </w:rPr>
              <w:t>0.5</w:t>
            </w:r>
          </w:p>
        </w:tc>
      </w:tr>
      <w:tr w:rsidR="0046583A" w14:paraId="3159155F" w14:textId="77777777" w:rsidTr="0046583A">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23EA7112" w14:textId="77777777" w:rsidR="0046583A" w:rsidRDefault="0046583A" w:rsidP="0046583A">
            <w:pPr>
              <w:spacing w:after="0"/>
              <w:rPr>
                <w:lang w:val="en-US"/>
              </w:rPr>
            </w:pPr>
            <w:r>
              <w:rPr>
                <w:lang w:val="en-US"/>
              </w:rPr>
              <w:t>HCl/Cl</w:t>
            </w:r>
            <w:r>
              <w:rPr>
                <w:vertAlign w:val="subscript"/>
                <w:lang w:val="en-US"/>
              </w:rPr>
              <w:t>2</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74008EA9" w14:textId="77777777" w:rsidR="0046583A" w:rsidRDefault="0046583A" w:rsidP="0046583A">
            <w:pPr>
              <w:spacing w:after="0"/>
              <w:ind w:right="534"/>
              <w:jc w:val="right"/>
              <w:rPr>
                <w:lang w:val="en-US"/>
              </w:rPr>
            </w:pPr>
            <w:r>
              <w:rPr>
                <w:lang w:val="en-US"/>
              </w:rPr>
              <w:t>mg/Nm</w:t>
            </w:r>
            <w:r>
              <w:rPr>
                <w:vertAlign w:val="superscript"/>
                <w:lang w:val="en-US"/>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546DE267" w14:textId="77777777" w:rsidR="0046583A" w:rsidRDefault="0046583A" w:rsidP="0046583A">
            <w:pPr>
              <w:spacing w:after="0"/>
              <w:ind w:right="555"/>
              <w:jc w:val="right"/>
              <w:rPr>
                <w:lang w:val="en-US"/>
              </w:rPr>
            </w:pPr>
            <w:r>
              <w:rPr>
                <w:lang w:val="en-US"/>
              </w:rPr>
              <w:t>100</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169370BF" w14:textId="77777777" w:rsidR="0046583A" w:rsidRDefault="0046583A" w:rsidP="0046583A">
            <w:pPr>
              <w:spacing w:after="0"/>
              <w:ind w:right="561"/>
              <w:jc w:val="right"/>
              <w:rPr>
                <w:lang w:val="en-US"/>
              </w:rPr>
            </w:pPr>
            <w:r>
              <w:rPr>
                <w:lang w:val="en-US"/>
              </w:rPr>
              <w:t>100</w:t>
            </w:r>
          </w:p>
        </w:tc>
      </w:tr>
      <w:tr w:rsidR="0046583A" w14:paraId="54BE757E" w14:textId="77777777" w:rsidTr="0046583A">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4195AA04" w14:textId="77777777" w:rsidR="0046583A" w:rsidRDefault="0046583A" w:rsidP="0046583A">
            <w:pPr>
              <w:spacing w:after="0"/>
              <w:rPr>
                <w:lang w:val="en-US"/>
              </w:rPr>
            </w:pPr>
            <w:r>
              <w:rPr>
                <w:lang w:val="en-US"/>
              </w:rPr>
              <w:t>HF</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25A82064" w14:textId="77777777" w:rsidR="0046583A" w:rsidRDefault="0046583A" w:rsidP="0046583A">
            <w:pPr>
              <w:spacing w:after="0"/>
              <w:ind w:right="534"/>
              <w:jc w:val="right"/>
              <w:rPr>
                <w:lang w:val="en-US"/>
              </w:rPr>
            </w:pPr>
            <w:r>
              <w:rPr>
                <w:lang w:val="en-US"/>
              </w:rPr>
              <w:t>mg/Nm</w:t>
            </w:r>
            <w:r>
              <w:rPr>
                <w:vertAlign w:val="superscript"/>
                <w:lang w:val="en-US"/>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3DEF5400" w14:textId="77777777" w:rsidR="0046583A" w:rsidRDefault="0046583A" w:rsidP="0046583A">
            <w:pPr>
              <w:spacing w:after="0"/>
              <w:ind w:right="555"/>
              <w:jc w:val="right"/>
              <w:rPr>
                <w:lang w:val="en-US"/>
              </w:rPr>
            </w:pPr>
            <w:r>
              <w:rPr>
                <w:lang w:val="en-US"/>
              </w:rPr>
              <w:t>5</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21765C45" w14:textId="77777777" w:rsidR="0046583A" w:rsidRDefault="0046583A" w:rsidP="0046583A">
            <w:pPr>
              <w:spacing w:after="0"/>
              <w:ind w:right="561"/>
              <w:jc w:val="right"/>
              <w:rPr>
                <w:lang w:val="en-US"/>
              </w:rPr>
            </w:pPr>
            <w:r>
              <w:rPr>
                <w:lang w:val="en-US"/>
              </w:rPr>
              <w:t>5</w:t>
            </w:r>
          </w:p>
        </w:tc>
      </w:tr>
      <w:tr w:rsidR="0046583A" w14:paraId="18A01F00" w14:textId="77777777" w:rsidTr="0046583A">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29AE45FB" w14:textId="77777777" w:rsidR="0046583A" w:rsidRDefault="0046583A" w:rsidP="0046583A">
            <w:pPr>
              <w:spacing w:after="0"/>
              <w:rPr>
                <w:lang w:val="en-US"/>
              </w:rPr>
            </w:pPr>
            <w:r>
              <w:rPr>
                <w:lang w:val="en-US"/>
              </w:rPr>
              <w:t>HBr/Br</w:t>
            </w:r>
            <w:r>
              <w:rPr>
                <w:vertAlign w:val="subscript"/>
                <w:lang w:val="en-US"/>
              </w:rPr>
              <w:t>2</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1DBF748B" w14:textId="77777777" w:rsidR="0046583A" w:rsidRDefault="0046583A" w:rsidP="0046583A">
            <w:pPr>
              <w:spacing w:after="0"/>
              <w:ind w:right="534"/>
              <w:jc w:val="right"/>
              <w:rPr>
                <w:lang w:val="en-US"/>
              </w:rPr>
            </w:pPr>
            <w:r>
              <w:rPr>
                <w:lang w:val="en-US"/>
              </w:rPr>
              <w:t>mg/Nm</w:t>
            </w:r>
            <w:r>
              <w:rPr>
                <w:vertAlign w:val="superscript"/>
                <w:lang w:val="en-US"/>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54E6C17A" w14:textId="77777777" w:rsidR="0046583A" w:rsidRDefault="0046583A" w:rsidP="0046583A">
            <w:pPr>
              <w:spacing w:after="0"/>
              <w:ind w:right="555"/>
              <w:jc w:val="right"/>
              <w:rPr>
                <w:lang w:val="en-US"/>
              </w:rPr>
            </w:pPr>
            <w:r>
              <w:rPr>
                <w:lang w:val="en-US"/>
              </w:rPr>
              <w:t>5</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33993C03" w14:textId="77777777" w:rsidR="0046583A" w:rsidRDefault="0046583A" w:rsidP="0046583A">
            <w:pPr>
              <w:spacing w:after="0"/>
              <w:ind w:right="561"/>
              <w:jc w:val="right"/>
              <w:rPr>
                <w:lang w:val="en-US"/>
              </w:rPr>
            </w:pPr>
            <w:r>
              <w:rPr>
                <w:lang w:val="en-US"/>
              </w:rPr>
              <w:t>5</w:t>
            </w:r>
          </w:p>
        </w:tc>
      </w:tr>
      <w:tr w:rsidR="0046583A" w14:paraId="040113C5" w14:textId="77777777" w:rsidTr="0046583A">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51D209A8" w14:textId="77777777" w:rsidR="0046583A" w:rsidRDefault="0046583A" w:rsidP="0046583A">
            <w:pPr>
              <w:spacing w:after="0"/>
              <w:rPr>
                <w:lang w:val="en-US"/>
              </w:rPr>
            </w:pPr>
            <w:r>
              <w:rPr>
                <w:lang w:val="en-US"/>
              </w:rPr>
              <w:t>Particulates (TSP)</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01C956E4" w14:textId="77777777" w:rsidR="0046583A" w:rsidRDefault="0046583A" w:rsidP="0046583A">
            <w:pPr>
              <w:spacing w:after="0"/>
              <w:ind w:right="534"/>
              <w:jc w:val="right"/>
              <w:rPr>
                <w:lang w:val="en-US"/>
              </w:rPr>
            </w:pPr>
            <w:r>
              <w:rPr>
                <w:lang w:val="en-US"/>
              </w:rPr>
              <w:t>mg/Nm</w:t>
            </w:r>
            <w:r>
              <w:rPr>
                <w:vertAlign w:val="superscript"/>
                <w:lang w:val="en-US"/>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241708AD" w14:textId="77777777" w:rsidR="0046583A" w:rsidRDefault="0046583A" w:rsidP="0046583A">
            <w:pPr>
              <w:spacing w:after="0"/>
              <w:ind w:right="555"/>
              <w:jc w:val="right"/>
              <w:rPr>
                <w:lang w:val="en-US"/>
              </w:rPr>
            </w:pPr>
            <w:r>
              <w:rPr>
                <w:lang w:val="en-US"/>
              </w:rPr>
              <w:t>50</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22B48FE5" w14:textId="77777777" w:rsidR="0046583A" w:rsidRDefault="0046583A" w:rsidP="0046583A">
            <w:pPr>
              <w:spacing w:after="0"/>
              <w:ind w:right="561"/>
              <w:jc w:val="right"/>
              <w:rPr>
                <w:lang w:val="en-US"/>
              </w:rPr>
            </w:pPr>
            <w:r>
              <w:rPr>
                <w:lang w:val="en-US"/>
              </w:rPr>
              <w:t>50</w:t>
            </w:r>
          </w:p>
        </w:tc>
      </w:tr>
      <w:tr w:rsidR="0046583A" w14:paraId="1728D43B" w14:textId="77777777" w:rsidTr="0046583A">
        <w:trPr>
          <w:trHeight w:val="170"/>
        </w:trPr>
        <w:tc>
          <w:tcPr>
            <w:tcW w:w="1374" w:type="pct"/>
            <w:tcBorders>
              <w:top w:val="single" w:sz="12" w:space="0" w:color="auto"/>
              <w:left w:val="single" w:sz="12" w:space="0" w:color="auto"/>
              <w:bottom w:val="single" w:sz="12" w:space="0" w:color="auto"/>
              <w:right w:val="single" w:sz="12" w:space="0" w:color="auto"/>
            </w:tcBorders>
            <w:vAlign w:val="bottom"/>
            <w:hideMark/>
          </w:tcPr>
          <w:p w14:paraId="38601C4C" w14:textId="77777777" w:rsidR="0046583A" w:rsidRDefault="0046583A" w:rsidP="0046583A">
            <w:pPr>
              <w:spacing w:after="0"/>
              <w:rPr>
                <w:lang w:val="en-US"/>
              </w:rPr>
            </w:pPr>
            <w:r>
              <w:rPr>
                <w:lang w:val="en-US"/>
              </w:rPr>
              <w:t>CO</w:t>
            </w:r>
          </w:p>
        </w:tc>
        <w:tc>
          <w:tcPr>
            <w:tcW w:w="1427" w:type="pct"/>
            <w:tcBorders>
              <w:top w:val="single" w:sz="12" w:space="0" w:color="auto"/>
              <w:left w:val="single" w:sz="12" w:space="0" w:color="auto"/>
              <w:bottom w:val="single" w:sz="12" w:space="0" w:color="auto"/>
              <w:right w:val="single" w:sz="12" w:space="0" w:color="auto"/>
            </w:tcBorders>
            <w:vAlign w:val="bottom"/>
            <w:hideMark/>
          </w:tcPr>
          <w:p w14:paraId="5A2A5E22" w14:textId="77777777" w:rsidR="0046583A" w:rsidRDefault="0046583A" w:rsidP="0046583A">
            <w:pPr>
              <w:spacing w:after="0"/>
              <w:ind w:right="534"/>
              <w:jc w:val="right"/>
              <w:rPr>
                <w:lang w:val="en-US"/>
              </w:rPr>
            </w:pPr>
            <w:r>
              <w:rPr>
                <w:lang w:val="en-US"/>
              </w:rPr>
              <w:t>mg/Nm</w:t>
            </w:r>
            <w:r>
              <w:rPr>
                <w:vertAlign w:val="superscript"/>
                <w:lang w:val="en-US"/>
              </w:rPr>
              <w:t>3</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266A25FB" w14:textId="77777777" w:rsidR="0046583A" w:rsidRDefault="0046583A" w:rsidP="0046583A">
            <w:pPr>
              <w:spacing w:after="0"/>
              <w:ind w:right="555"/>
              <w:jc w:val="right"/>
              <w:rPr>
                <w:lang w:val="en-US"/>
              </w:rPr>
            </w:pPr>
            <w:r>
              <w:rPr>
                <w:lang w:val="en-US"/>
              </w:rPr>
              <w:t>100</w:t>
            </w:r>
          </w:p>
        </w:tc>
        <w:tc>
          <w:tcPr>
            <w:tcW w:w="1099" w:type="pct"/>
            <w:tcBorders>
              <w:top w:val="single" w:sz="12" w:space="0" w:color="auto"/>
              <w:left w:val="single" w:sz="12" w:space="0" w:color="auto"/>
              <w:bottom w:val="single" w:sz="12" w:space="0" w:color="auto"/>
              <w:right w:val="single" w:sz="4" w:space="0" w:color="auto"/>
            </w:tcBorders>
            <w:vAlign w:val="bottom"/>
            <w:hideMark/>
          </w:tcPr>
          <w:p w14:paraId="513FC9AD" w14:textId="77777777" w:rsidR="0046583A" w:rsidRDefault="0046583A" w:rsidP="0046583A">
            <w:pPr>
              <w:spacing w:after="0"/>
              <w:ind w:right="561"/>
              <w:jc w:val="right"/>
              <w:rPr>
                <w:lang w:val="en-US"/>
              </w:rPr>
            </w:pPr>
            <w:r>
              <w:rPr>
                <w:lang w:val="en-US"/>
              </w:rPr>
              <w:t>100</w:t>
            </w:r>
          </w:p>
        </w:tc>
      </w:tr>
    </w:tbl>
    <w:p w14:paraId="1462A1DF" w14:textId="77777777" w:rsidR="0046583A" w:rsidRDefault="0046583A" w:rsidP="0046583A">
      <w:pPr>
        <w:spacing w:after="0"/>
        <w:rPr>
          <w:sz w:val="18"/>
          <w:szCs w:val="18"/>
          <w:lang w:val="en-US"/>
        </w:rPr>
      </w:pPr>
      <w:r>
        <w:rPr>
          <w:sz w:val="18"/>
          <w:szCs w:val="18"/>
          <w:lang w:val="en-US"/>
        </w:rPr>
        <w:t>Notes to the table:</w:t>
      </w:r>
    </w:p>
    <w:p w14:paraId="26E89199" w14:textId="77777777" w:rsidR="0046583A" w:rsidRPr="00F3523F" w:rsidRDefault="0046583A" w:rsidP="0046583A">
      <w:pPr>
        <w:spacing w:after="0"/>
        <w:rPr>
          <w:rFonts w:ascii="MS Mincho" w:eastAsia="MS Mincho" w:hAnsi="MS Mincho" w:cs="MS Mincho"/>
          <w:sz w:val="18"/>
          <w:szCs w:val="18"/>
          <w:lang w:val="en-US"/>
        </w:rPr>
      </w:pPr>
      <w:r>
        <w:rPr>
          <w:sz w:val="18"/>
          <w:szCs w:val="18"/>
          <w:lang w:val="en-US"/>
        </w:rPr>
        <w:t xml:space="preserve">All concentrations of pollutants in stack gases </w:t>
      </w:r>
      <w:r w:rsidRPr="0043671E">
        <w:rPr>
          <w:sz w:val="18"/>
          <w:szCs w:val="18"/>
          <w:lang w:val="en-US"/>
        </w:rPr>
        <w:t>and stack gas flow</w:t>
      </w:r>
      <w:r>
        <w:rPr>
          <w:sz w:val="18"/>
          <w:szCs w:val="18"/>
          <w:lang w:val="en-US"/>
        </w:rPr>
        <w:t xml:space="preserve"> rates are expressed on the basis of dry gas at normal conditions of 0</w:t>
      </w:r>
      <w:r>
        <w:rPr>
          <w:sz w:val="18"/>
          <w:szCs w:val="18"/>
          <w:vertAlign w:val="superscript"/>
          <w:lang w:val="en-US"/>
        </w:rPr>
        <w:t>o</w:t>
      </w:r>
      <w:r>
        <w:rPr>
          <w:sz w:val="18"/>
          <w:szCs w:val="18"/>
          <w:lang w:val="en-US"/>
        </w:rPr>
        <w:t>C and 101.3 kPa, and with the stack gas corrected to 11% O</w:t>
      </w:r>
      <w:r>
        <w:rPr>
          <w:sz w:val="18"/>
          <w:szCs w:val="18"/>
          <w:vertAlign w:val="subscript"/>
          <w:lang w:val="en-US"/>
        </w:rPr>
        <w:t xml:space="preserve">2 </w:t>
      </w:r>
      <w:r>
        <w:rPr>
          <w:sz w:val="18"/>
          <w:szCs w:val="18"/>
          <w:lang w:val="en-US"/>
        </w:rPr>
        <w:t xml:space="preserve">(as referred to by normal cubic </w:t>
      </w:r>
      <w:proofErr w:type="spellStart"/>
      <w:r>
        <w:rPr>
          <w:sz w:val="18"/>
          <w:szCs w:val="18"/>
          <w:lang w:val="en-US"/>
        </w:rPr>
        <w:t>metre</w:t>
      </w:r>
      <w:proofErr w:type="spellEnd"/>
      <w:r>
        <w:rPr>
          <w:sz w:val="18"/>
          <w:szCs w:val="18"/>
          <w:lang w:val="en-US"/>
        </w:rPr>
        <w:t>, Nm</w:t>
      </w:r>
      <w:r>
        <w:rPr>
          <w:sz w:val="18"/>
          <w:szCs w:val="18"/>
          <w:vertAlign w:val="superscript"/>
          <w:lang w:val="en-US"/>
        </w:rPr>
        <w:t>3</w:t>
      </w:r>
      <w:r>
        <w:rPr>
          <w:sz w:val="18"/>
          <w:szCs w:val="18"/>
          <w:lang w:val="en-US"/>
        </w:rPr>
        <w:t>).</w:t>
      </w:r>
      <w:r>
        <w:rPr>
          <w:rFonts w:ascii="MS Mincho" w:eastAsia="MS Mincho" w:hAnsi="MS Mincho" w:cs="MS Mincho" w:hint="eastAsia"/>
          <w:sz w:val="18"/>
          <w:szCs w:val="18"/>
          <w:lang w:val="en-US"/>
        </w:rPr>
        <w:t> </w:t>
      </w:r>
      <w:r>
        <w:rPr>
          <w:rFonts w:eastAsia="MS Mincho"/>
          <w:sz w:val="18"/>
          <w:szCs w:val="18"/>
          <w:lang w:val="en-US"/>
        </w:rPr>
        <w:t>NB. Different stack gas conditions may apply in different countries for different technologies.</w:t>
      </w:r>
    </w:p>
    <w:p w14:paraId="43266D27" w14:textId="77777777" w:rsidR="0046583A" w:rsidRDefault="0046583A" w:rsidP="0046583A">
      <w:pPr>
        <w:spacing w:after="0"/>
        <w:rPr>
          <w:sz w:val="18"/>
          <w:szCs w:val="18"/>
          <w:lang w:val="en-US"/>
        </w:rPr>
      </w:pPr>
      <w:r>
        <w:rPr>
          <w:sz w:val="18"/>
          <w:szCs w:val="18"/>
          <w:lang w:val="en-US"/>
        </w:rPr>
        <w:t>ITEQ: International Toxic Equivalents</w:t>
      </w:r>
      <w:r>
        <w:rPr>
          <w:rFonts w:ascii="ZWAdobeF" w:hAnsi="ZWAdobeF" w:cs="ZWAdobeF"/>
          <w:color w:val="auto"/>
          <w:sz w:val="2"/>
          <w:szCs w:val="2"/>
          <w:lang w:val="en-US"/>
        </w:rPr>
        <w:t>60F</w:t>
      </w:r>
      <w:r>
        <w:rPr>
          <w:sz w:val="18"/>
          <w:szCs w:val="18"/>
          <w:vertAlign w:val="superscript"/>
          <w:lang w:val="en-US"/>
        </w:rPr>
        <w:footnoteReference w:id="46"/>
      </w:r>
      <w:r>
        <w:rPr>
          <w:sz w:val="18"/>
          <w:szCs w:val="18"/>
        </w:rPr>
        <w:t xml:space="preserve">. </w:t>
      </w:r>
    </w:p>
    <w:p w14:paraId="34365174" w14:textId="77777777" w:rsidR="0046583A" w:rsidRDefault="0046583A" w:rsidP="0046583A">
      <w:pPr>
        <w:spacing w:after="0"/>
        <w:rPr>
          <w:sz w:val="18"/>
          <w:szCs w:val="18"/>
          <w:lang w:val="en-US"/>
        </w:rPr>
      </w:pPr>
      <w:r>
        <w:rPr>
          <w:sz w:val="18"/>
          <w:szCs w:val="18"/>
          <w:lang w:val="en-US"/>
        </w:rPr>
        <w:t>Acid gases will be assessed based on the specific halogen species present in the waste stream.</w:t>
      </w:r>
    </w:p>
    <w:p w14:paraId="22DF9247" w14:textId="77777777" w:rsidR="0046583A" w:rsidRDefault="0046583A" w:rsidP="0046583A">
      <w:pPr>
        <w:spacing w:after="0"/>
        <w:rPr>
          <w:sz w:val="18"/>
          <w:szCs w:val="18"/>
          <w:lang w:val="en-US"/>
        </w:rPr>
      </w:pPr>
      <w:r>
        <w:rPr>
          <w:sz w:val="18"/>
          <w:szCs w:val="18"/>
          <w:lang w:val="en-US"/>
        </w:rPr>
        <w:t>TSP – total suspended particles</w:t>
      </w:r>
      <w:r>
        <w:rPr>
          <w:rFonts w:ascii="MS Mincho" w:eastAsia="MS Mincho" w:hAnsi="MS Mincho" w:cs="MS Mincho" w:hint="eastAsia"/>
          <w:sz w:val="18"/>
          <w:szCs w:val="18"/>
          <w:lang w:val="en-US"/>
        </w:rPr>
        <w:t> </w:t>
      </w:r>
    </w:p>
    <w:p w14:paraId="4C1F3414" w14:textId="4036F80D" w:rsidR="0046583A" w:rsidRDefault="0055779F" w:rsidP="0046583A">
      <w:r>
        <w:rPr>
          <w:lang w:val="en-US"/>
        </w:rPr>
        <w:br/>
      </w:r>
      <w:r w:rsidR="0046583A">
        <w:t>The technical performance assessment (DRE) and advisory criteria (for pollutants other than controlled substances) serve as a benchmark used by TEAP for comparison purposes. They do not constitute standards, nor do they necessarily meet internationally accepted emissions guidance for pollutants, such as those adopted by the Basel Convention.</w:t>
      </w:r>
      <w:r w:rsidR="0046583A">
        <w:rPr>
          <w:rFonts w:ascii="ZWAdobeF" w:hAnsi="ZWAdobeF" w:cs="ZWAdobeF"/>
          <w:color w:val="auto"/>
          <w:sz w:val="2"/>
          <w:szCs w:val="2"/>
        </w:rPr>
        <w:t>61F</w:t>
      </w:r>
      <w:r w:rsidR="0046583A">
        <w:rPr>
          <w:vertAlign w:val="superscript"/>
        </w:rPr>
        <w:footnoteReference w:id="47"/>
      </w:r>
      <w:r w:rsidR="0046583A">
        <w:t xml:space="preserve"> They were developed only for the purposes of the Montreal Protocol for screening and recommending generic technologies that might be considered technically capable of meeting basic acceptable limits of pollutant emissions. </w:t>
      </w:r>
    </w:p>
    <w:p w14:paraId="641DB336" w14:textId="77777777" w:rsidR="0046583A" w:rsidRDefault="0046583A" w:rsidP="0046583A">
      <w:pPr>
        <w:rPr>
          <w:lang w:val="en-US"/>
        </w:rPr>
      </w:pPr>
      <w:r>
        <w:t xml:space="preserve">Operators of destruction technologies are required to meet local DRE requirements and pollutant emissions controls. In addition, the performance of technologies are plant and operation specific. Emissions management is a matter for operators and government agencies </w:t>
      </w:r>
      <w:r>
        <w:lastRenderedPageBreak/>
        <w:t xml:space="preserve">within national regulatory frameworks. A recommendation by TEAP or an approval by parties of a destruction technology under the Montreal Protocol does not guarantee that local emissions requirements can or will be met on a specific facility employing an approved technology. There may be other concerns or emissions of interest to governments at their national or local levels. </w:t>
      </w:r>
    </w:p>
    <w:p w14:paraId="6271178D" w14:textId="77777777" w:rsidR="0046583A" w:rsidRDefault="0046583A" w:rsidP="0046583A">
      <w:pPr>
        <w:rPr>
          <w:lang w:val="en-US"/>
        </w:rPr>
      </w:pPr>
      <w:r>
        <w:rPr>
          <w:lang w:val="en-US"/>
        </w:rPr>
        <w:t>Waste ODS/HFCs may be classified as hazardous wastes, with additional requirements imposed through relevant legislation, nationally, or regionally (European Union). Waste ODS/HFCs may also be subject to international reference guidance (such as adopted by the Basel Convention) in terms of emissions performance, including more comprehensive measures of destruction efficiency, other potential emissions, and sources of emissions and monitoring.</w:t>
      </w:r>
    </w:p>
    <w:p w14:paraId="27A15C82" w14:textId="4C6B3356" w:rsidR="0046583A" w:rsidRPr="000C2EA5" w:rsidRDefault="000C2EA5" w:rsidP="005C5E68">
      <w:pPr>
        <w:pStyle w:val="Heading2"/>
        <w:rPr>
          <w:rStyle w:val="Heading311ptBoldChar"/>
          <w:b/>
        </w:rPr>
      </w:pPr>
      <w:bookmarkStart w:id="561" w:name="_Toc40190288"/>
      <w:bookmarkStart w:id="562" w:name="_Toc40696088"/>
      <w:bookmarkStart w:id="563" w:name="_Toc77770778"/>
      <w:bookmarkStart w:id="564" w:name="_Toc77868922"/>
      <w:bookmarkStart w:id="565" w:name="_Toc78040755"/>
      <w:bookmarkStart w:id="566" w:name="_Toc79066559"/>
      <w:bookmarkStart w:id="567" w:name="_Toc102135758"/>
      <w:bookmarkStart w:id="568" w:name="_Toc104396719"/>
      <w:r w:rsidRPr="000C2EA5">
        <w:rPr>
          <w:rStyle w:val="Heading311ptBoldChar"/>
          <w:b/>
        </w:rPr>
        <w:t>6</w:t>
      </w:r>
      <w:r w:rsidR="0046583A" w:rsidRPr="000C2EA5">
        <w:rPr>
          <w:rStyle w:val="Heading311ptBoldChar"/>
          <w:b/>
        </w:rPr>
        <w:t>.2.4</w:t>
      </w:r>
      <w:r w:rsidR="0046583A" w:rsidRPr="000C2EA5">
        <w:rPr>
          <w:rStyle w:val="Heading311ptBoldChar"/>
          <w:b/>
        </w:rPr>
        <w:tab/>
        <w:t>Suggested information requirements for TEAP assessment</w:t>
      </w:r>
      <w:bookmarkEnd w:id="561"/>
      <w:bookmarkEnd w:id="562"/>
      <w:bookmarkEnd w:id="563"/>
      <w:bookmarkEnd w:id="564"/>
      <w:bookmarkEnd w:id="565"/>
      <w:bookmarkEnd w:id="566"/>
      <w:bookmarkEnd w:id="567"/>
      <w:bookmarkEnd w:id="568"/>
    </w:p>
    <w:p w14:paraId="7466AA5C" w14:textId="77777777" w:rsidR="0046583A" w:rsidRPr="00B53C44" w:rsidRDefault="0046583A" w:rsidP="0046583A">
      <w:pPr>
        <w:rPr>
          <w:lang w:val="en-US" w:eastAsia="fr-FR"/>
        </w:rPr>
      </w:pPr>
      <w:r>
        <w:t xml:space="preserve">Below is a suggested list of information requirements for TEAP assessment of destruction technologies. </w:t>
      </w:r>
      <w:r w:rsidRPr="00687718">
        <w:t xml:space="preserve">In future, parties may wish to consider providing any new information as outlined below for TEAP assessment of destruction technologies in January of the same year in which its assessment would be reported either as part of the annual TEAP Progress Report or </w:t>
      </w:r>
      <w:r>
        <w:t>the quadrennial</w:t>
      </w:r>
      <w:r w:rsidRPr="00687718">
        <w:t xml:space="preserve"> Assessment Report.</w:t>
      </w:r>
    </w:p>
    <w:p w14:paraId="21A28209" w14:textId="77777777" w:rsidR="0046583A" w:rsidRDefault="0046583A" w:rsidP="00107383">
      <w:pPr>
        <w:pStyle w:val="ListParagraph"/>
        <w:widowControl/>
        <w:numPr>
          <w:ilvl w:val="0"/>
          <w:numId w:val="64"/>
        </w:numPr>
        <w:spacing w:after="120"/>
        <w:ind w:firstLineChars="0"/>
        <w:jc w:val="left"/>
        <w:rPr>
          <w:rFonts w:ascii="Times New Roman" w:hAnsi="Times New Roman"/>
          <w:sz w:val="22"/>
        </w:rPr>
      </w:pPr>
      <w:r>
        <w:rPr>
          <w:rFonts w:ascii="Times New Roman" w:hAnsi="Times New Roman"/>
          <w:sz w:val="22"/>
        </w:rPr>
        <w:t>Please provide a description of the process, including whether the destruction technology would be considered thermal oxidation, plasma arc, or chemical conversion</w:t>
      </w:r>
      <w:r>
        <w:rPr>
          <w:rFonts w:ascii="ZWAdobeF" w:hAnsi="ZWAdobeF" w:cs="ZWAdobeF"/>
          <w:sz w:val="2"/>
          <w:szCs w:val="2"/>
        </w:rPr>
        <w:t>62F</w:t>
      </w:r>
      <w:r>
        <w:rPr>
          <w:rFonts w:ascii="Times New Roman" w:hAnsi="Times New Roman"/>
          <w:sz w:val="22"/>
          <w:vertAlign w:val="superscript"/>
        </w:rPr>
        <w:footnoteReference w:id="48"/>
      </w:r>
      <w:r>
        <w:rPr>
          <w:rFonts w:ascii="Times New Roman" w:hAnsi="Times New Roman"/>
          <w:sz w:val="22"/>
        </w:rPr>
        <w:t xml:space="preserve"> technology, and associated scrubbing systems. Please include a schematic of the process, with information on the analysis points.</w:t>
      </w:r>
    </w:p>
    <w:p w14:paraId="72635B6C" w14:textId="77777777" w:rsidR="0046583A" w:rsidRDefault="0046583A" w:rsidP="00107383">
      <w:pPr>
        <w:pStyle w:val="ListParagraph"/>
        <w:widowControl/>
        <w:numPr>
          <w:ilvl w:val="0"/>
          <w:numId w:val="64"/>
        </w:numPr>
        <w:spacing w:after="120"/>
        <w:ind w:firstLineChars="0"/>
        <w:jc w:val="left"/>
        <w:rPr>
          <w:rFonts w:ascii="Times New Roman" w:hAnsi="Times New Roman"/>
          <w:sz w:val="22"/>
        </w:rPr>
      </w:pPr>
      <w:r>
        <w:rPr>
          <w:rFonts w:ascii="Times New Roman" w:hAnsi="Times New Roman"/>
          <w:sz w:val="22"/>
        </w:rPr>
        <w:t>At the current stage of development, would you describe the technology as being a demonstration system with all of the characteristics of a commercial system, or a commercially ready system? Note that a demonstration system should achieve &gt;1kg/hour throughput to qualify for assessment.</w:t>
      </w:r>
      <w:r>
        <w:rPr>
          <w:rFonts w:ascii="ZWAdobeF" w:hAnsi="ZWAdobeF" w:cs="ZWAdobeF"/>
          <w:sz w:val="2"/>
          <w:szCs w:val="2"/>
        </w:rPr>
        <w:t>63F</w:t>
      </w:r>
      <w:r>
        <w:rPr>
          <w:rFonts w:ascii="Times New Roman" w:hAnsi="Times New Roman"/>
          <w:sz w:val="22"/>
          <w:vertAlign w:val="superscript"/>
        </w:rPr>
        <w:footnoteReference w:id="49"/>
      </w:r>
    </w:p>
    <w:p w14:paraId="68B73B5D" w14:textId="77777777" w:rsidR="0046583A" w:rsidRDefault="0046583A" w:rsidP="00107383">
      <w:pPr>
        <w:pStyle w:val="ListParagraph"/>
        <w:widowControl/>
        <w:numPr>
          <w:ilvl w:val="0"/>
          <w:numId w:val="64"/>
        </w:numPr>
        <w:spacing w:after="120"/>
        <w:ind w:firstLineChars="0"/>
        <w:jc w:val="left"/>
        <w:rPr>
          <w:rFonts w:ascii="Times New Roman" w:hAnsi="Times New Roman"/>
          <w:sz w:val="22"/>
        </w:rPr>
      </w:pPr>
      <w:r>
        <w:rPr>
          <w:rFonts w:ascii="Times New Roman" w:hAnsi="Times New Roman"/>
          <w:sz w:val="22"/>
        </w:rPr>
        <w:t xml:space="preserve">Which ODS or HFC (CFC, CTC, halon, HCFC, methyl bromide, HFC, and specify Annex and Group relevant to controlled substance) wastes are being destroyed by the technology? Does destruction include mixed waste streams and, if so, is the DRE measured for individual substances or mixtures (either is acceptable)? </w:t>
      </w:r>
    </w:p>
    <w:p w14:paraId="586D45CF" w14:textId="77777777" w:rsidR="0046583A" w:rsidRDefault="0046583A" w:rsidP="00107383">
      <w:pPr>
        <w:pStyle w:val="ListParagraph"/>
        <w:widowControl/>
        <w:numPr>
          <w:ilvl w:val="0"/>
          <w:numId w:val="64"/>
        </w:numPr>
        <w:spacing w:after="120"/>
        <w:ind w:firstLineChars="0"/>
        <w:jc w:val="left"/>
        <w:rPr>
          <w:rFonts w:ascii="Times New Roman" w:hAnsi="Times New Roman"/>
          <w:sz w:val="22"/>
        </w:rPr>
      </w:pPr>
      <w:r>
        <w:rPr>
          <w:rFonts w:ascii="Times New Roman" w:hAnsi="Times New Roman"/>
          <w:sz w:val="22"/>
        </w:rPr>
        <w:t>What other non-ODS or non-HFC waste streams have been destroyed using the technology? If these are a comparable recalcitrant halogenated organic substance such as polychlorinated biphenyl (PCB), what is the DRE for these waste streams?</w:t>
      </w:r>
    </w:p>
    <w:p w14:paraId="731C0D08" w14:textId="77777777" w:rsidR="0046583A" w:rsidRDefault="0046583A" w:rsidP="00107383">
      <w:pPr>
        <w:pStyle w:val="ListParagraph"/>
        <w:widowControl/>
        <w:numPr>
          <w:ilvl w:val="0"/>
          <w:numId w:val="64"/>
        </w:numPr>
        <w:spacing w:after="120"/>
        <w:ind w:firstLineChars="0"/>
        <w:jc w:val="left"/>
        <w:rPr>
          <w:rFonts w:ascii="Times New Roman" w:hAnsi="Times New Roman"/>
          <w:sz w:val="22"/>
        </w:rPr>
      </w:pPr>
      <w:r>
        <w:rPr>
          <w:rFonts w:ascii="Times New Roman" w:hAnsi="Times New Roman"/>
          <w:sz w:val="22"/>
        </w:rPr>
        <w:t>For the destruction technology, provide the operating conditions and associated results of analyses of pollutant emissions in the table below, specifying to which controlled substance the data is relevant. Unless advised otherwise, data may be published in a TEAP report; please let us know if this is acceptable or not.</w:t>
      </w:r>
    </w:p>
    <w:p w14:paraId="162CEF42" w14:textId="39F28E4C" w:rsidR="0046583A" w:rsidRPr="005C227B" w:rsidRDefault="0046583A" w:rsidP="0046583A">
      <w:pPr>
        <w:keepNext/>
        <w:tabs>
          <w:tab w:val="left" w:pos="1134"/>
        </w:tabs>
        <w:ind w:left="1134" w:hanging="1134"/>
        <w:rPr>
          <w:b/>
          <w:bCs/>
        </w:rPr>
      </w:pPr>
      <w:r w:rsidRPr="005C227B">
        <w:rPr>
          <w:b/>
          <w:bCs/>
        </w:rPr>
        <w:lastRenderedPageBreak/>
        <w:t xml:space="preserve">Table </w:t>
      </w:r>
      <w:r w:rsidR="000C2EA5">
        <w:rPr>
          <w:b/>
          <w:bCs/>
        </w:rPr>
        <w:t>6</w:t>
      </w:r>
      <w:r w:rsidRPr="005C227B">
        <w:rPr>
          <w:b/>
          <w:bCs/>
        </w:rPr>
        <w:t>.</w:t>
      </w:r>
      <w:r>
        <w:rPr>
          <w:b/>
          <w:bCs/>
        </w:rPr>
        <w:t>6</w:t>
      </w:r>
      <w:r w:rsidRPr="005C227B">
        <w:rPr>
          <w:b/>
          <w:bCs/>
        </w:rPr>
        <w:t>:</w:t>
      </w:r>
      <w:r w:rsidRPr="005C227B">
        <w:rPr>
          <w:b/>
          <w:bCs/>
        </w:rPr>
        <w:tab/>
        <w:t>Results of analyses of emissions</w:t>
      </w:r>
      <w:r w:rsidRPr="00D7680A">
        <w:rPr>
          <w:b/>
          <w:bCs/>
        </w:rPr>
        <w:t xml:space="preserve"> and associated </w:t>
      </w:r>
      <w:r>
        <w:rPr>
          <w:b/>
          <w:bCs/>
        </w:rPr>
        <w:t>o</w:t>
      </w:r>
      <w:r w:rsidRPr="005C227B">
        <w:rPr>
          <w:b/>
          <w:bCs/>
        </w:rPr>
        <w:t xml:space="preserve">perating conditions </w:t>
      </w:r>
      <w:r>
        <w:rPr>
          <w:b/>
          <w:bCs/>
        </w:rPr>
        <w:t>for each</w:t>
      </w:r>
      <w:r w:rsidRPr="005C227B">
        <w:rPr>
          <w:b/>
          <w:bCs/>
        </w:rPr>
        <w:t xml:space="preserve"> controlled substance</w:t>
      </w:r>
      <w:r>
        <w:rPr>
          <w:b/>
          <w:bCs/>
        </w:rPr>
        <w:t xml:space="preserve"> destroyed</w:t>
      </w:r>
    </w:p>
    <w:tbl>
      <w:tblPr>
        <w:tblStyle w:val="TableGrid"/>
        <w:tblW w:w="0" w:type="auto"/>
        <w:tblLook w:val="04A0" w:firstRow="1" w:lastRow="0" w:firstColumn="1" w:lastColumn="0" w:noHBand="0" w:noVBand="1"/>
      </w:tblPr>
      <w:tblGrid>
        <w:gridCol w:w="2066"/>
        <w:gridCol w:w="812"/>
        <w:gridCol w:w="1131"/>
        <w:gridCol w:w="1655"/>
        <w:gridCol w:w="1525"/>
        <w:gridCol w:w="1108"/>
      </w:tblGrid>
      <w:tr w:rsidR="0046583A" w:rsidRPr="001A3992" w14:paraId="192FFB43" w14:textId="77777777" w:rsidTr="00821BBC">
        <w:tc>
          <w:tcPr>
            <w:tcW w:w="4012" w:type="dxa"/>
            <w:gridSpan w:val="3"/>
            <w:tcBorders>
              <w:top w:val="single" w:sz="4" w:space="0" w:color="auto"/>
              <w:left w:val="single" w:sz="4" w:space="0" w:color="auto"/>
              <w:bottom w:val="single" w:sz="4" w:space="0" w:color="auto"/>
              <w:right w:val="single" w:sz="4" w:space="0" w:color="auto"/>
            </w:tcBorders>
            <w:vAlign w:val="center"/>
            <w:hideMark/>
          </w:tcPr>
          <w:p w14:paraId="54E37A7C" w14:textId="77777777" w:rsidR="0046583A" w:rsidRPr="001A3992" w:rsidRDefault="0046583A" w:rsidP="00CC4168">
            <w:pPr>
              <w:keepNext/>
              <w:keepLines/>
              <w:spacing w:after="0"/>
              <w:jc w:val="center"/>
              <w:rPr>
                <w:b/>
                <w:bCs/>
                <w:sz w:val="20"/>
              </w:rPr>
            </w:pPr>
            <w:r w:rsidRPr="001A3992">
              <w:rPr>
                <w:b/>
                <w:bCs/>
                <w:sz w:val="20"/>
              </w:rPr>
              <w:t>Operating Conditions</w:t>
            </w:r>
          </w:p>
          <w:p w14:paraId="35DEDA23" w14:textId="77777777" w:rsidR="0046583A" w:rsidRPr="001A3992" w:rsidRDefault="0046583A" w:rsidP="00CC4168">
            <w:pPr>
              <w:keepNext/>
              <w:keepLines/>
              <w:spacing w:after="0"/>
              <w:jc w:val="center"/>
              <w:rPr>
                <w:b/>
                <w:bCs/>
                <w:sz w:val="20"/>
              </w:rPr>
            </w:pPr>
            <w:r w:rsidRPr="001A3992">
              <w:rPr>
                <w:b/>
                <w:bCs/>
                <w:sz w:val="20"/>
              </w:rPr>
              <w:t>and Destruction Efficiency</w:t>
            </w:r>
          </w:p>
        </w:tc>
        <w:tc>
          <w:tcPr>
            <w:tcW w:w="4291" w:type="dxa"/>
            <w:gridSpan w:val="3"/>
            <w:tcBorders>
              <w:top w:val="single" w:sz="4" w:space="0" w:color="auto"/>
              <w:left w:val="single" w:sz="4" w:space="0" w:color="auto"/>
              <w:bottom w:val="single" w:sz="4" w:space="0" w:color="auto"/>
              <w:right w:val="single" w:sz="4" w:space="0" w:color="auto"/>
            </w:tcBorders>
            <w:vAlign w:val="center"/>
            <w:hideMark/>
          </w:tcPr>
          <w:p w14:paraId="41634A8E" w14:textId="77777777" w:rsidR="0046583A" w:rsidRPr="001A3992" w:rsidRDefault="0046583A" w:rsidP="00CC4168">
            <w:pPr>
              <w:keepNext/>
              <w:keepLines/>
              <w:spacing w:after="0"/>
              <w:jc w:val="center"/>
              <w:rPr>
                <w:b/>
                <w:bCs/>
                <w:sz w:val="20"/>
              </w:rPr>
            </w:pPr>
            <w:r w:rsidRPr="001A3992">
              <w:rPr>
                <w:b/>
                <w:bCs/>
                <w:sz w:val="20"/>
              </w:rPr>
              <w:t>Atmospheric Emissions</w:t>
            </w:r>
          </w:p>
        </w:tc>
      </w:tr>
      <w:tr w:rsidR="0046583A" w:rsidRPr="001A3992" w14:paraId="71C277BA" w14:textId="77777777" w:rsidTr="0046583A">
        <w:tc>
          <w:tcPr>
            <w:tcW w:w="2067" w:type="dxa"/>
            <w:tcBorders>
              <w:top w:val="single" w:sz="4" w:space="0" w:color="auto"/>
              <w:left w:val="single" w:sz="4" w:space="0" w:color="auto"/>
              <w:bottom w:val="single" w:sz="4" w:space="0" w:color="auto"/>
              <w:right w:val="single" w:sz="4" w:space="0" w:color="auto"/>
            </w:tcBorders>
            <w:vAlign w:val="center"/>
            <w:hideMark/>
          </w:tcPr>
          <w:p w14:paraId="60C6EC5D" w14:textId="77777777" w:rsidR="0046583A" w:rsidRPr="001A3992" w:rsidRDefault="0046583A" w:rsidP="0046583A">
            <w:pPr>
              <w:keepNext/>
              <w:keepLines/>
              <w:spacing w:after="0"/>
              <w:rPr>
                <w:sz w:val="20"/>
              </w:rPr>
            </w:pPr>
            <w:r w:rsidRPr="001A3992">
              <w:rPr>
                <w:sz w:val="20"/>
              </w:rPr>
              <w:t>ODS/HFC Feed Rate</w:t>
            </w:r>
            <w:r w:rsidRPr="001A3992">
              <w:rPr>
                <w:rFonts w:ascii="ZWAdobeF" w:hAnsi="ZWAdobeF" w:cs="ZWAdobeF"/>
                <w:color w:val="auto"/>
                <w:sz w:val="2"/>
                <w:szCs w:val="2"/>
              </w:rPr>
              <w:t>64F</w:t>
            </w:r>
            <w:r w:rsidRPr="001A3992">
              <w:rPr>
                <w:sz w:val="20"/>
                <w:vertAlign w:val="superscript"/>
              </w:rPr>
              <w:footnoteReference w:id="50"/>
            </w:r>
          </w:p>
        </w:tc>
        <w:tc>
          <w:tcPr>
            <w:tcW w:w="812" w:type="dxa"/>
            <w:tcBorders>
              <w:top w:val="single" w:sz="4" w:space="0" w:color="auto"/>
              <w:left w:val="single" w:sz="4" w:space="0" w:color="auto"/>
              <w:bottom w:val="single" w:sz="4" w:space="0" w:color="auto"/>
              <w:right w:val="single" w:sz="4" w:space="0" w:color="auto"/>
            </w:tcBorders>
            <w:vAlign w:val="center"/>
            <w:hideMark/>
          </w:tcPr>
          <w:p w14:paraId="4A66A060" w14:textId="77777777" w:rsidR="0046583A" w:rsidRPr="001A3992" w:rsidRDefault="0046583A" w:rsidP="0046583A">
            <w:pPr>
              <w:keepNext/>
              <w:keepLines/>
              <w:spacing w:after="0"/>
              <w:rPr>
                <w:sz w:val="20"/>
              </w:rPr>
            </w:pPr>
            <w:r w:rsidRPr="001A3992">
              <w:rPr>
                <w:sz w:val="20"/>
              </w:rPr>
              <w:t>kg/hr</w:t>
            </w:r>
          </w:p>
        </w:tc>
        <w:tc>
          <w:tcPr>
            <w:tcW w:w="1133" w:type="dxa"/>
            <w:tcBorders>
              <w:top w:val="single" w:sz="4" w:space="0" w:color="auto"/>
              <w:left w:val="single" w:sz="4" w:space="0" w:color="auto"/>
              <w:bottom w:val="single" w:sz="4" w:space="0" w:color="auto"/>
              <w:right w:val="single" w:sz="4" w:space="0" w:color="auto"/>
            </w:tcBorders>
            <w:vAlign w:val="center"/>
          </w:tcPr>
          <w:p w14:paraId="5E234EA0" w14:textId="77777777" w:rsidR="0046583A" w:rsidRPr="001A3992" w:rsidRDefault="0046583A" w:rsidP="0046583A">
            <w:pPr>
              <w:keepNext/>
              <w:keepLines/>
              <w:spacing w:after="0"/>
              <w:rPr>
                <w:sz w:val="20"/>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0B8C4278" w14:textId="77777777" w:rsidR="0046583A" w:rsidRPr="001A3992" w:rsidRDefault="0046583A" w:rsidP="0046583A">
            <w:pPr>
              <w:keepNext/>
              <w:keepLines/>
              <w:spacing w:after="0"/>
              <w:rPr>
                <w:sz w:val="20"/>
              </w:rPr>
            </w:pPr>
            <w:r w:rsidRPr="001A3992">
              <w:rPr>
                <w:sz w:val="20"/>
              </w:rPr>
              <w:t>Dioxins/Furans</w:t>
            </w:r>
            <w:r w:rsidRPr="001A3992">
              <w:rPr>
                <w:rFonts w:ascii="ZWAdobeF" w:hAnsi="ZWAdobeF" w:cs="ZWAdobeF"/>
                <w:color w:val="auto"/>
                <w:sz w:val="2"/>
                <w:szCs w:val="2"/>
              </w:rPr>
              <w:t>65F</w:t>
            </w:r>
            <w:r w:rsidRPr="001A3992">
              <w:rPr>
                <w:sz w:val="20"/>
                <w:vertAlign w:val="superscript"/>
              </w:rPr>
              <w:footnoteReference w:id="51"/>
            </w:r>
          </w:p>
        </w:tc>
        <w:tc>
          <w:tcPr>
            <w:tcW w:w="1526" w:type="dxa"/>
            <w:tcBorders>
              <w:top w:val="single" w:sz="4" w:space="0" w:color="auto"/>
              <w:left w:val="single" w:sz="4" w:space="0" w:color="auto"/>
              <w:bottom w:val="single" w:sz="4" w:space="0" w:color="auto"/>
              <w:right w:val="single" w:sz="4" w:space="0" w:color="auto"/>
            </w:tcBorders>
            <w:vAlign w:val="center"/>
            <w:hideMark/>
          </w:tcPr>
          <w:p w14:paraId="1EDEB01D" w14:textId="77777777" w:rsidR="0046583A" w:rsidRPr="001A3992" w:rsidRDefault="0046583A" w:rsidP="0046583A">
            <w:pPr>
              <w:keepNext/>
              <w:keepLines/>
              <w:spacing w:after="0"/>
              <w:rPr>
                <w:sz w:val="20"/>
              </w:rPr>
            </w:pPr>
            <w:r w:rsidRPr="001A3992">
              <w:rPr>
                <w:sz w:val="20"/>
              </w:rPr>
              <w:t>ng ITEQ/Nm</w:t>
            </w:r>
            <w:r w:rsidRPr="001A3992">
              <w:rPr>
                <w:sz w:val="20"/>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tcPr>
          <w:p w14:paraId="60171D0D" w14:textId="77777777" w:rsidR="0046583A" w:rsidRPr="001A3992" w:rsidRDefault="0046583A" w:rsidP="0046583A">
            <w:pPr>
              <w:keepNext/>
              <w:keepLines/>
              <w:spacing w:after="0"/>
              <w:rPr>
                <w:sz w:val="20"/>
              </w:rPr>
            </w:pPr>
          </w:p>
        </w:tc>
      </w:tr>
      <w:tr w:rsidR="0046583A" w:rsidRPr="001A3992" w14:paraId="44012CF7" w14:textId="77777777" w:rsidTr="0046583A">
        <w:tc>
          <w:tcPr>
            <w:tcW w:w="2067" w:type="dxa"/>
            <w:tcBorders>
              <w:top w:val="single" w:sz="4" w:space="0" w:color="auto"/>
              <w:left w:val="single" w:sz="4" w:space="0" w:color="auto"/>
              <w:bottom w:val="single" w:sz="4" w:space="0" w:color="auto"/>
              <w:right w:val="single" w:sz="4" w:space="0" w:color="auto"/>
            </w:tcBorders>
            <w:vAlign w:val="center"/>
            <w:hideMark/>
          </w:tcPr>
          <w:p w14:paraId="4C780C03" w14:textId="77777777" w:rsidR="0046583A" w:rsidRPr="001A3992" w:rsidRDefault="0046583A" w:rsidP="0046583A">
            <w:pPr>
              <w:keepNext/>
              <w:keepLines/>
              <w:spacing w:after="0"/>
              <w:rPr>
                <w:sz w:val="20"/>
              </w:rPr>
            </w:pPr>
            <w:r w:rsidRPr="001A3992">
              <w:rPr>
                <w:sz w:val="20"/>
              </w:rPr>
              <w:t>Temperature</w:t>
            </w:r>
            <w:r w:rsidRPr="001A3992">
              <w:rPr>
                <w:rStyle w:val="FootnoteReference"/>
                <w:sz w:val="20"/>
              </w:rPr>
              <w:footnoteReference w:id="52"/>
            </w:r>
          </w:p>
        </w:tc>
        <w:tc>
          <w:tcPr>
            <w:tcW w:w="812" w:type="dxa"/>
            <w:tcBorders>
              <w:top w:val="single" w:sz="4" w:space="0" w:color="auto"/>
              <w:left w:val="single" w:sz="4" w:space="0" w:color="auto"/>
              <w:bottom w:val="single" w:sz="4" w:space="0" w:color="auto"/>
              <w:right w:val="single" w:sz="4" w:space="0" w:color="auto"/>
            </w:tcBorders>
            <w:vAlign w:val="center"/>
            <w:hideMark/>
          </w:tcPr>
          <w:p w14:paraId="3471A93B" w14:textId="77777777" w:rsidR="0046583A" w:rsidRPr="001A3992" w:rsidRDefault="0046583A" w:rsidP="0046583A">
            <w:pPr>
              <w:keepNext/>
              <w:keepLines/>
              <w:spacing w:after="0"/>
              <w:rPr>
                <w:sz w:val="20"/>
              </w:rPr>
            </w:pPr>
            <w:r w:rsidRPr="001A3992">
              <w:rPr>
                <w:sz w:val="20"/>
              </w:rPr>
              <w:t>C</w:t>
            </w:r>
          </w:p>
        </w:tc>
        <w:tc>
          <w:tcPr>
            <w:tcW w:w="1133" w:type="dxa"/>
            <w:tcBorders>
              <w:top w:val="single" w:sz="4" w:space="0" w:color="auto"/>
              <w:left w:val="single" w:sz="4" w:space="0" w:color="auto"/>
              <w:bottom w:val="single" w:sz="4" w:space="0" w:color="auto"/>
              <w:right w:val="single" w:sz="4" w:space="0" w:color="auto"/>
            </w:tcBorders>
            <w:vAlign w:val="center"/>
          </w:tcPr>
          <w:p w14:paraId="0776039F" w14:textId="77777777" w:rsidR="0046583A" w:rsidRPr="001A3992" w:rsidRDefault="0046583A" w:rsidP="0046583A">
            <w:pPr>
              <w:keepNext/>
              <w:keepLines/>
              <w:spacing w:after="0"/>
              <w:rPr>
                <w:sz w:val="20"/>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55758D4D" w14:textId="77777777" w:rsidR="0046583A" w:rsidRPr="001A3992" w:rsidRDefault="0046583A" w:rsidP="0046583A">
            <w:pPr>
              <w:keepNext/>
              <w:keepLines/>
              <w:spacing w:after="0"/>
              <w:rPr>
                <w:sz w:val="20"/>
              </w:rPr>
            </w:pPr>
            <w:r w:rsidRPr="001A3992">
              <w:rPr>
                <w:sz w:val="20"/>
              </w:rPr>
              <w:t>HCl/Cl</w:t>
            </w:r>
            <w:r w:rsidRPr="001A3992">
              <w:rPr>
                <w:sz w:val="20"/>
                <w:vertAlign w:val="subscript"/>
              </w:rPr>
              <w:t>2</w:t>
            </w:r>
            <w:r w:rsidRPr="001A3992">
              <w:rPr>
                <w:rFonts w:ascii="ZWAdobeF" w:hAnsi="ZWAdobeF" w:cs="ZWAdobeF"/>
                <w:color w:val="auto"/>
                <w:sz w:val="2"/>
                <w:szCs w:val="2"/>
              </w:rPr>
              <w:t>66F</w:t>
            </w:r>
            <w:r w:rsidRPr="001A3992">
              <w:rPr>
                <w:rStyle w:val="FootnoteReference"/>
                <w:sz w:val="20"/>
              </w:rPr>
              <w:footnoteReference w:id="53"/>
            </w:r>
          </w:p>
        </w:tc>
        <w:tc>
          <w:tcPr>
            <w:tcW w:w="1526" w:type="dxa"/>
            <w:tcBorders>
              <w:top w:val="single" w:sz="4" w:space="0" w:color="auto"/>
              <w:left w:val="single" w:sz="4" w:space="0" w:color="auto"/>
              <w:bottom w:val="single" w:sz="4" w:space="0" w:color="auto"/>
              <w:right w:val="single" w:sz="4" w:space="0" w:color="auto"/>
            </w:tcBorders>
            <w:vAlign w:val="center"/>
            <w:hideMark/>
          </w:tcPr>
          <w:p w14:paraId="19BAB910" w14:textId="77777777" w:rsidR="0046583A" w:rsidRPr="001A3992" w:rsidRDefault="0046583A" w:rsidP="0046583A">
            <w:pPr>
              <w:keepNext/>
              <w:keepLines/>
              <w:spacing w:after="0"/>
              <w:rPr>
                <w:sz w:val="20"/>
              </w:rPr>
            </w:pPr>
            <w:r w:rsidRPr="001A3992">
              <w:rPr>
                <w:sz w:val="20"/>
              </w:rPr>
              <w:t>mg/Nm</w:t>
            </w:r>
            <w:r w:rsidRPr="001A3992">
              <w:rPr>
                <w:sz w:val="20"/>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tcPr>
          <w:p w14:paraId="2B5A587B" w14:textId="77777777" w:rsidR="0046583A" w:rsidRPr="001A3992" w:rsidRDefault="0046583A" w:rsidP="0046583A">
            <w:pPr>
              <w:keepNext/>
              <w:keepLines/>
              <w:spacing w:after="0"/>
              <w:rPr>
                <w:sz w:val="20"/>
              </w:rPr>
            </w:pPr>
          </w:p>
        </w:tc>
      </w:tr>
      <w:tr w:rsidR="0046583A" w:rsidRPr="001A3992" w14:paraId="0644D5AD" w14:textId="77777777" w:rsidTr="0046583A">
        <w:tc>
          <w:tcPr>
            <w:tcW w:w="2067" w:type="dxa"/>
            <w:tcBorders>
              <w:top w:val="single" w:sz="4" w:space="0" w:color="auto"/>
              <w:left w:val="single" w:sz="4" w:space="0" w:color="auto"/>
              <w:bottom w:val="single" w:sz="4" w:space="0" w:color="auto"/>
              <w:right w:val="single" w:sz="4" w:space="0" w:color="auto"/>
            </w:tcBorders>
            <w:vAlign w:val="center"/>
            <w:hideMark/>
          </w:tcPr>
          <w:p w14:paraId="7C26E81A" w14:textId="77777777" w:rsidR="0046583A" w:rsidRPr="001A3992" w:rsidRDefault="0046583A" w:rsidP="0046583A">
            <w:pPr>
              <w:keepNext/>
              <w:keepLines/>
              <w:spacing w:after="0"/>
              <w:rPr>
                <w:sz w:val="20"/>
              </w:rPr>
            </w:pPr>
            <w:r w:rsidRPr="001A3992">
              <w:rPr>
                <w:sz w:val="20"/>
              </w:rPr>
              <w:t>Residence Time</w:t>
            </w:r>
            <w:r w:rsidRPr="001A3992">
              <w:rPr>
                <w:rStyle w:val="FootnoteReference"/>
                <w:sz w:val="20"/>
              </w:rPr>
              <w:footnoteReference w:id="54"/>
            </w:r>
          </w:p>
        </w:tc>
        <w:tc>
          <w:tcPr>
            <w:tcW w:w="812" w:type="dxa"/>
            <w:tcBorders>
              <w:top w:val="single" w:sz="4" w:space="0" w:color="auto"/>
              <w:left w:val="single" w:sz="4" w:space="0" w:color="auto"/>
              <w:bottom w:val="single" w:sz="4" w:space="0" w:color="auto"/>
              <w:right w:val="single" w:sz="4" w:space="0" w:color="auto"/>
            </w:tcBorders>
            <w:vAlign w:val="center"/>
            <w:hideMark/>
          </w:tcPr>
          <w:p w14:paraId="7BA32E9E" w14:textId="77777777" w:rsidR="0046583A" w:rsidRPr="001A3992" w:rsidRDefault="0046583A" w:rsidP="0046583A">
            <w:pPr>
              <w:keepNext/>
              <w:keepLines/>
              <w:spacing w:after="0"/>
              <w:rPr>
                <w:sz w:val="20"/>
              </w:rPr>
            </w:pPr>
            <w:r w:rsidRPr="001A3992">
              <w:rPr>
                <w:sz w:val="20"/>
              </w:rPr>
              <w:t>Sec.</w:t>
            </w:r>
          </w:p>
        </w:tc>
        <w:tc>
          <w:tcPr>
            <w:tcW w:w="1133" w:type="dxa"/>
            <w:tcBorders>
              <w:top w:val="single" w:sz="4" w:space="0" w:color="auto"/>
              <w:left w:val="single" w:sz="4" w:space="0" w:color="auto"/>
              <w:bottom w:val="single" w:sz="4" w:space="0" w:color="auto"/>
              <w:right w:val="single" w:sz="4" w:space="0" w:color="auto"/>
            </w:tcBorders>
            <w:vAlign w:val="center"/>
          </w:tcPr>
          <w:p w14:paraId="3E40694C" w14:textId="77777777" w:rsidR="0046583A" w:rsidRPr="001A3992" w:rsidRDefault="0046583A" w:rsidP="0046583A">
            <w:pPr>
              <w:keepNext/>
              <w:keepLines/>
              <w:spacing w:after="0"/>
              <w:rPr>
                <w:sz w:val="20"/>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481452DD" w14:textId="77777777" w:rsidR="0046583A" w:rsidRPr="001A3992" w:rsidRDefault="0046583A" w:rsidP="0046583A">
            <w:pPr>
              <w:keepNext/>
              <w:keepLines/>
              <w:spacing w:after="0"/>
              <w:rPr>
                <w:sz w:val="20"/>
              </w:rPr>
            </w:pPr>
            <w:r w:rsidRPr="001A3992">
              <w:rPr>
                <w:sz w:val="20"/>
              </w:rPr>
              <w:t>HF</w:t>
            </w:r>
            <w:r w:rsidRPr="001A3992">
              <w:rPr>
                <w:rStyle w:val="FootnoteReference"/>
                <w:sz w:val="20"/>
              </w:rPr>
              <w:footnoteReference w:id="55"/>
            </w:r>
          </w:p>
        </w:tc>
        <w:tc>
          <w:tcPr>
            <w:tcW w:w="1526" w:type="dxa"/>
            <w:tcBorders>
              <w:top w:val="single" w:sz="4" w:space="0" w:color="auto"/>
              <w:left w:val="single" w:sz="4" w:space="0" w:color="auto"/>
              <w:bottom w:val="single" w:sz="4" w:space="0" w:color="auto"/>
              <w:right w:val="single" w:sz="4" w:space="0" w:color="auto"/>
            </w:tcBorders>
            <w:vAlign w:val="center"/>
            <w:hideMark/>
          </w:tcPr>
          <w:p w14:paraId="4EBBC259" w14:textId="77777777" w:rsidR="0046583A" w:rsidRPr="001A3992" w:rsidRDefault="0046583A" w:rsidP="0046583A">
            <w:pPr>
              <w:keepNext/>
              <w:keepLines/>
              <w:spacing w:after="0"/>
              <w:rPr>
                <w:sz w:val="20"/>
              </w:rPr>
            </w:pPr>
            <w:r w:rsidRPr="001A3992">
              <w:rPr>
                <w:sz w:val="20"/>
              </w:rPr>
              <w:t>mg/Nm</w:t>
            </w:r>
            <w:r w:rsidRPr="001A3992">
              <w:rPr>
                <w:sz w:val="20"/>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tcPr>
          <w:p w14:paraId="141BB6E9" w14:textId="77777777" w:rsidR="0046583A" w:rsidRPr="001A3992" w:rsidRDefault="0046583A" w:rsidP="0046583A">
            <w:pPr>
              <w:keepNext/>
              <w:keepLines/>
              <w:spacing w:after="0"/>
              <w:rPr>
                <w:sz w:val="20"/>
              </w:rPr>
            </w:pPr>
          </w:p>
        </w:tc>
      </w:tr>
      <w:tr w:rsidR="0046583A" w:rsidRPr="001A3992" w14:paraId="160283BB" w14:textId="77777777" w:rsidTr="0046583A">
        <w:tc>
          <w:tcPr>
            <w:tcW w:w="2067" w:type="dxa"/>
            <w:tcBorders>
              <w:top w:val="single" w:sz="4" w:space="0" w:color="auto"/>
              <w:left w:val="single" w:sz="4" w:space="0" w:color="auto"/>
              <w:bottom w:val="single" w:sz="4" w:space="0" w:color="auto"/>
              <w:right w:val="single" w:sz="4" w:space="0" w:color="auto"/>
            </w:tcBorders>
            <w:vAlign w:val="center"/>
            <w:hideMark/>
          </w:tcPr>
          <w:p w14:paraId="19C5F6D6" w14:textId="77777777" w:rsidR="0046583A" w:rsidRPr="001A3992" w:rsidRDefault="0046583A" w:rsidP="0046583A">
            <w:pPr>
              <w:keepNext/>
              <w:keepLines/>
              <w:spacing w:after="0"/>
              <w:rPr>
                <w:sz w:val="20"/>
              </w:rPr>
            </w:pPr>
            <w:r w:rsidRPr="001A3992">
              <w:rPr>
                <w:sz w:val="20"/>
              </w:rPr>
              <w:t>DRE</w:t>
            </w:r>
            <w:r w:rsidRPr="001A3992">
              <w:rPr>
                <w:rFonts w:ascii="ZWAdobeF" w:hAnsi="ZWAdobeF" w:cs="ZWAdobeF"/>
                <w:color w:val="auto"/>
                <w:sz w:val="2"/>
                <w:szCs w:val="2"/>
              </w:rPr>
              <w:t>67F</w:t>
            </w:r>
            <w:r w:rsidRPr="001A3992">
              <w:rPr>
                <w:sz w:val="20"/>
                <w:vertAlign w:val="superscript"/>
              </w:rPr>
              <w:footnoteReference w:id="56"/>
            </w:r>
          </w:p>
        </w:tc>
        <w:tc>
          <w:tcPr>
            <w:tcW w:w="812" w:type="dxa"/>
            <w:tcBorders>
              <w:top w:val="single" w:sz="4" w:space="0" w:color="auto"/>
              <w:left w:val="single" w:sz="4" w:space="0" w:color="auto"/>
              <w:bottom w:val="single" w:sz="4" w:space="0" w:color="auto"/>
              <w:right w:val="single" w:sz="4" w:space="0" w:color="auto"/>
            </w:tcBorders>
            <w:vAlign w:val="center"/>
            <w:hideMark/>
          </w:tcPr>
          <w:p w14:paraId="5A9B30EE" w14:textId="77777777" w:rsidR="0046583A" w:rsidRPr="001A3992" w:rsidRDefault="0046583A" w:rsidP="0046583A">
            <w:pPr>
              <w:keepNext/>
              <w:keepLines/>
              <w:spacing w:after="0"/>
              <w:rPr>
                <w:sz w:val="20"/>
              </w:rPr>
            </w:pPr>
            <w:r w:rsidRPr="001A3992">
              <w:rPr>
                <w:sz w:val="20"/>
              </w:rPr>
              <w:t>%</w:t>
            </w:r>
          </w:p>
        </w:tc>
        <w:tc>
          <w:tcPr>
            <w:tcW w:w="1133" w:type="dxa"/>
            <w:tcBorders>
              <w:top w:val="single" w:sz="4" w:space="0" w:color="auto"/>
              <w:left w:val="single" w:sz="4" w:space="0" w:color="auto"/>
              <w:bottom w:val="single" w:sz="4" w:space="0" w:color="auto"/>
              <w:right w:val="single" w:sz="4" w:space="0" w:color="auto"/>
            </w:tcBorders>
            <w:vAlign w:val="center"/>
          </w:tcPr>
          <w:p w14:paraId="0EB0F55A" w14:textId="77777777" w:rsidR="0046583A" w:rsidRPr="001A3992" w:rsidRDefault="0046583A" w:rsidP="0046583A">
            <w:pPr>
              <w:keepNext/>
              <w:keepLines/>
              <w:spacing w:after="0"/>
              <w:rPr>
                <w:sz w:val="20"/>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35C13DD6" w14:textId="77777777" w:rsidR="0046583A" w:rsidRPr="001A3992" w:rsidRDefault="0046583A" w:rsidP="0046583A">
            <w:pPr>
              <w:keepNext/>
              <w:keepLines/>
              <w:spacing w:after="0"/>
              <w:rPr>
                <w:sz w:val="20"/>
              </w:rPr>
            </w:pPr>
            <w:r w:rsidRPr="001A3992">
              <w:rPr>
                <w:sz w:val="20"/>
              </w:rPr>
              <w:t>HBr</w:t>
            </w:r>
            <w:r w:rsidRPr="001A3992">
              <w:rPr>
                <w:rStyle w:val="FootnoteReference"/>
                <w:sz w:val="20"/>
              </w:rPr>
              <w:footnoteReference w:id="57"/>
            </w:r>
          </w:p>
        </w:tc>
        <w:tc>
          <w:tcPr>
            <w:tcW w:w="1526" w:type="dxa"/>
            <w:tcBorders>
              <w:top w:val="single" w:sz="4" w:space="0" w:color="auto"/>
              <w:left w:val="single" w:sz="4" w:space="0" w:color="auto"/>
              <w:bottom w:val="single" w:sz="4" w:space="0" w:color="auto"/>
              <w:right w:val="single" w:sz="4" w:space="0" w:color="auto"/>
            </w:tcBorders>
            <w:vAlign w:val="center"/>
            <w:hideMark/>
          </w:tcPr>
          <w:p w14:paraId="516E00CD" w14:textId="77777777" w:rsidR="0046583A" w:rsidRPr="001A3992" w:rsidRDefault="0046583A" w:rsidP="0046583A">
            <w:pPr>
              <w:keepNext/>
              <w:keepLines/>
              <w:spacing w:after="0"/>
              <w:rPr>
                <w:sz w:val="20"/>
              </w:rPr>
            </w:pPr>
            <w:r w:rsidRPr="001A3992">
              <w:rPr>
                <w:sz w:val="20"/>
              </w:rPr>
              <w:t>mg/Nm</w:t>
            </w:r>
            <w:r w:rsidRPr="001A3992">
              <w:rPr>
                <w:sz w:val="20"/>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tcPr>
          <w:p w14:paraId="04218BF2" w14:textId="77777777" w:rsidR="0046583A" w:rsidRPr="001A3992" w:rsidRDefault="0046583A" w:rsidP="0046583A">
            <w:pPr>
              <w:keepNext/>
              <w:keepLines/>
              <w:spacing w:after="0"/>
              <w:rPr>
                <w:sz w:val="20"/>
              </w:rPr>
            </w:pPr>
          </w:p>
        </w:tc>
      </w:tr>
      <w:tr w:rsidR="0046583A" w:rsidRPr="001A3992" w14:paraId="5833D34A" w14:textId="77777777" w:rsidTr="0046583A">
        <w:tc>
          <w:tcPr>
            <w:tcW w:w="2067" w:type="dxa"/>
            <w:tcBorders>
              <w:top w:val="single" w:sz="4" w:space="0" w:color="auto"/>
              <w:left w:val="single" w:sz="4" w:space="0" w:color="auto"/>
              <w:bottom w:val="single" w:sz="4" w:space="0" w:color="auto"/>
              <w:right w:val="single" w:sz="4" w:space="0" w:color="auto"/>
            </w:tcBorders>
            <w:vAlign w:val="center"/>
          </w:tcPr>
          <w:p w14:paraId="798454FA" w14:textId="77777777" w:rsidR="0046583A" w:rsidRPr="001A3992" w:rsidRDefault="0046583A" w:rsidP="0046583A">
            <w:pPr>
              <w:keepNext/>
              <w:keepLines/>
              <w:spacing w:after="0"/>
              <w:rPr>
                <w:sz w:val="20"/>
              </w:rPr>
            </w:pPr>
            <w:r w:rsidRPr="001A3992">
              <w:rPr>
                <w:sz w:val="20"/>
              </w:rPr>
              <w:t>Oxygen Content in Exhaust Gas</w:t>
            </w:r>
          </w:p>
        </w:tc>
        <w:tc>
          <w:tcPr>
            <w:tcW w:w="812" w:type="dxa"/>
            <w:tcBorders>
              <w:top w:val="single" w:sz="4" w:space="0" w:color="auto"/>
              <w:left w:val="single" w:sz="4" w:space="0" w:color="auto"/>
              <w:bottom w:val="single" w:sz="4" w:space="0" w:color="auto"/>
              <w:right w:val="single" w:sz="4" w:space="0" w:color="auto"/>
            </w:tcBorders>
            <w:vAlign w:val="center"/>
          </w:tcPr>
          <w:p w14:paraId="64BCF5ED" w14:textId="77777777" w:rsidR="0046583A" w:rsidRPr="001A3992" w:rsidRDefault="0046583A" w:rsidP="0046583A">
            <w:pPr>
              <w:keepNext/>
              <w:keepLines/>
              <w:spacing w:after="0"/>
              <w:rPr>
                <w:sz w:val="20"/>
              </w:rPr>
            </w:pPr>
            <w:r w:rsidRPr="001A3992">
              <w:rPr>
                <w:sz w:val="20"/>
              </w:rPr>
              <w:t>%</w:t>
            </w:r>
          </w:p>
        </w:tc>
        <w:tc>
          <w:tcPr>
            <w:tcW w:w="1133" w:type="dxa"/>
            <w:tcBorders>
              <w:top w:val="single" w:sz="4" w:space="0" w:color="auto"/>
              <w:left w:val="single" w:sz="4" w:space="0" w:color="auto"/>
              <w:bottom w:val="single" w:sz="4" w:space="0" w:color="auto"/>
              <w:right w:val="single" w:sz="4" w:space="0" w:color="auto"/>
            </w:tcBorders>
            <w:vAlign w:val="center"/>
          </w:tcPr>
          <w:p w14:paraId="40336FB9" w14:textId="77777777" w:rsidR="0046583A" w:rsidRPr="001A3992" w:rsidRDefault="0046583A" w:rsidP="0046583A">
            <w:pPr>
              <w:keepNext/>
              <w:keepLines/>
              <w:spacing w:after="0"/>
              <w:rPr>
                <w:sz w:val="20"/>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1051D1E5" w14:textId="77777777" w:rsidR="0046583A" w:rsidRPr="001A3992" w:rsidRDefault="0046583A" w:rsidP="0046583A">
            <w:pPr>
              <w:keepNext/>
              <w:keepLines/>
              <w:spacing w:after="0"/>
              <w:rPr>
                <w:sz w:val="20"/>
              </w:rPr>
            </w:pPr>
            <w:r w:rsidRPr="001A3992">
              <w:rPr>
                <w:sz w:val="20"/>
              </w:rPr>
              <w:t>Particulates</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DEDEED2" w14:textId="77777777" w:rsidR="0046583A" w:rsidRPr="001A3992" w:rsidRDefault="0046583A" w:rsidP="0046583A">
            <w:pPr>
              <w:keepNext/>
              <w:keepLines/>
              <w:spacing w:after="0"/>
              <w:rPr>
                <w:sz w:val="20"/>
              </w:rPr>
            </w:pPr>
            <w:r w:rsidRPr="001A3992">
              <w:rPr>
                <w:sz w:val="20"/>
              </w:rPr>
              <w:t>mg/Nm</w:t>
            </w:r>
            <w:r w:rsidRPr="001A3992">
              <w:rPr>
                <w:sz w:val="20"/>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tcPr>
          <w:p w14:paraId="1BEFC3B6" w14:textId="77777777" w:rsidR="0046583A" w:rsidRPr="001A3992" w:rsidRDefault="0046583A" w:rsidP="0046583A">
            <w:pPr>
              <w:keepNext/>
              <w:keepLines/>
              <w:spacing w:after="0"/>
              <w:rPr>
                <w:sz w:val="20"/>
              </w:rPr>
            </w:pPr>
          </w:p>
        </w:tc>
      </w:tr>
      <w:tr w:rsidR="0046583A" w:rsidRPr="001A3992" w14:paraId="45C3831B" w14:textId="77777777" w:rsidTr="0046583A">
        <w:tc>
          <w:tcPr>
            <w:tcW w:w="2067" w:type="dxa"/>
            <w:tcBorders>
              <w:top w:val="single" w:sz="4" w:space="0" w:color="auto"/>
              <w:left w:val="single" w:sz="4" w:space="0" w:color="auto"/>
              <w:bottom w:val="single" w:sz="4" w:space="0" w:color="auto"/>
              <w:right w:val="single" w:sz="4" w:space="0" w:color="auto"/>
            </w:tcBorders>
            <w:vAlign w:val="center"/>
          </w:tcPr>
          <w:p w14:paraId="573DA43C" w14:textId="77777777" w:rsidR="0046583A" w:rsidRPr="001A3992" w:rsidRDefault="0046583A" w:rsidP="0046583A">
            <w:pPr>
              <w:keepNext/>
              <w:keepLines/>
              <w:spacing w:after="0"/>
              <w:rPr>
                <w:sz w:val="20"/>
              </w:rPr>
            </w:pPr>
          </w:p>
        </w:tc>
        <w:tc>
          <w:tcPr>
            <w:tcW w:w="812" w:type="dxa"/>
            <w:tcBorders>
              <w:top w:val="single" w:sz="4" w:space="0" w:color="auto"/>
              <w:left w:val="single" w:sz="4" w:space="0" w:color="auto"/>
              <w:bottom w:val="single" w:sz="4" w:space="0" w:color="auto"/>
              <w:right w:val="single" w:sz="4" w:space="0" w:color="auto"/>
            </w:tcBorders>
            <w:vAlign w:val="center"/>
          </w:tcPr>
          <w:p w14:paraId="72D27047" w14:textId="77777777" w:rsidR="0046583A" w:rsidRPr="001A3992" w:rsidRDefault="0046583A" w:rsidP="0046583A">
            <w:pPr>
              <w:keepNext/>
              <w:keepLines/>
              <w:spacing w:after="0"/>
              <w:rPr>
                <w:sz w:val="20"/>
              </w:rPr>
            </w:pPr>
          </w:p>
        </w:tc>
        <w:tc>
          <w:tcPr>
            <w:tcW w:w="1133" w:type="dxa"/>
            <w:tcBorders>
              <w:top w:val="single" w:sz="4" w:space="0" w:color="auto"/>
              <w:left w:val="single" w:sz="4" w:space="0" w:color="auto"/>
              <w:bottom w:val="single" w:sz="4" w:space="0" w:color="auto"/>
              <w:right w:val="single" w:sz="4" w:space="0" w:color="auto"/>
            </w:tcBorders>
            <w:vAlign w:val="center"/>
          </w:tcPr>
          <w:p w14:paraId="0E2A55DF" w14:textId="77777777" w:rsidR="0046583A" w:rsidRPr="001A3992" w:rsidRDefault="0046583A" w:rsidP="0046583A">
            <w:pPr>
              <w:keepNext/>
              <w:keepLines/>
              <w:spacing w:after="0"/>
              <w:rPr>
                <w:sz w:val="20"/>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092D0C14" w14:textId="77777777" w:rsidR="0046583A" w:rsidRPr="001A3992" w:rsidRDefault="0046583A" w:rsidP="0046583A">
            <w:pPr>
              <w:keepNext/>
              <w:keepLines/>
              <w:spacing w:after="0"/>
              <w:rPr>
                <w:sz w:val="20"/>
              </w:rPr>
            </w:pPr>
            <w:r w:rsidRPr="001A3992">
              <w:rPr>
                <w:sz w:val="20"/>
              </w:rPr>
              <w:t>CO</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0351A5C" w14:textId="77777777" w:rsidR="0046583A" w:rsidRPr="001A3992" w:rsidRDefault="0046583A" w:rsidP="0046583A">
            <w:pPr>
              <w:keepNext/>
              <w:keepLines/>
              <w:spacing w:after="0"/>
              <w:rPr>
                <w:sz w:val="20"/>
              </w:rPr>
            </w:pPr>
            <w:r w:rsidRPr="001A3992">
              <w:rPr>
                <w:sz w:val="20"/>
              </w:rPr>
              <w:t>mg/Nm</w:t>
            </w:r>
            <w:r w:rsidRPr="001A3992">
              <w:rPr>
                <w:sz w:val="20"/>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tcPr>
          <w:p w14:paraId="3040ECA7" w14:textId="77777777" w:rsidR="0046583A" w:rsidRPr="001A3992" w:rsidRDefault="0046583A" w:rsidP="0046583A">
            <w:pPr>
              <w:keepNext/>
              <w:keepLines/>
              <w:spacing w:after="0"/>
              <w:rPr>
                <w:sz w:val="20"/>
              </w:rPr>
            </w:pPr>
          </w:p>
        </w:tc>
      </w:tr>
      <w:tr w:rsidR="0046583A" w14:paraId="2AC7EAF5" w14:textId="77777777" w:rsidTr="0046583A">
        <w:tc>
          <w:tcPr>
            <w:tcW w:w="2067" w:type="dxa"/>
            <w:tcBorders>
              <w:top w:val="single" w:sz="4" w:space="0" w:color="auto"/>
              <w:left w:val="single" w:sz="4" w:space="0" w:color="auto"/>
              <w:bottom w:val="single" w:sz="4" w:space="0" w:color="auto"/>
              <w:right w:val="single" w:sz="4" w:space="0" w:color="auto"/>
            </w:tcBorders>
            <w:vAlign w:val="center"/>
          </w:tcPr>
          <w:p w14:paraId="788984BD" w14:textId="77777777" w:rsidR="0046583A" w:rsidRPr="001A3992" w:rsidRDefault="0046583A" w:rsidP="0046583A">
            <w:pPr>
              <w:keepNext/>
              <w:keepLines/>
              <w:spacing w:after="0"/>
              <w:rPr>
                <w:sz w:val="20"/>
              </w:rPr>
            </w:pPr>
          </w:p>
        </w:tc>
        <w:tc>
          <w:tcPr>
            <w:tcW w:w="812" w:type="dxa"/>
            <w:tcBorders>
              <w:top w:val="single" w:sz="4" w:space="0" w:color="auto"/>
              <w:left w:val="single" w:sz="4" w:space="0" w:color="auto"/>
              <w:bottom w:val="single" w:sz="4" w:space="0" w:color="auto"/>
              <w:right w:val="single" w:sz="4" w:space="0" w:color="auto"/>
            </w:tcBorders>
            <w:vAlign w:val="center"/>
          </w:tcPr>
          <w:p w14:paraId="4EB63002" w14:textId="77777777" w:rsidR="0046583A" w:rsidRPr="001A3992" w:rsidRDefault="0046583A" w:rsidP="0046583A">
            <w:pPr>
              <w:keepNext/>
              <w:keepLines/>
              <w:spacing w:after="0"/>
              <w:rPr>
                <w:sz w:val="20"/>
              </w:rPr>
            </w:pPr>
          </w:p>
        </w:tc>
        <w:tc>
          <w:tcPr>
            <w:tcW w:w="1133" w:type="dxa"/>
            <w:tcBorders>
              <w:top w:val="single" w:sz="4" w:space="0" w:color="auto"/>
              <w:left w:val="single" w:sz="4" w:space="0" w:color="auto"/>
              <w:bottom w:val="single" w:sz="4" w:space="0" w:color="auto"/>
              <w:right w:val="single" w:sz="4" w:space="0" w:color="auto"/>
            </w:tcBorders>
            <w:vAlign w:val="center"/>
          </w:tcPr>
          <w:p w14:paraId="3E5CA58D" w14:textId="77777777" w:rsidR="0046583A" w:rsidRPr="001A3992" w:rsidRDefault="0046583A" w:rsidP="0046583A">
            <w:pPr>
              <w:keepNext/>
              <w:keepLines/>
              <w:spacing w:after="0"/>
              <w:rPr>
                <w:sz w:val="20"/>
              </w:rPr>
            </w:pPr>
          </w:p>
        </w:tc>
        <w:tc>
          <w:tcPr>
            <w:tcW w:w="1655" w:type="dxa"/>
            <w:tcBorders>
              <w:top w:val="single" w:sz="4" w:space="0" w:color="auto"/>
              <w:left w:val="single" w:sz="4" w:space="0" w:color="auto"/>
              <w:bottom w:val="single" w:sz="4" w:space="0" w:color="auto"/>
              <w:right w:val="single" w:sz="4" w:space="0" w:color="auto"/>
            </w:tcBorders>
            <w:vAlign w:val="center"/>
            <w:hideMark/>
          </w:tcPr>
          <w:p w14:paraId="0347F07D" w14:textId="77777777" w:rsidR="0046583A" w:rsidRPr="001A3992" w:rsidRDefault="0046583A" w:rsidP="0046583A">
            <w:pPr>
              <w:keepNext/>
              <w:keepLines/>
              <w:spacing w:after="0"/>
              <w:rPr>
                <w:sz w:val="20"/>
              </w:rPr>
            </w:pPr>
            <w:r w:rsidRPr="001A3992">
              <w:rPr>
                <w:sz w:val="20"/>
              </w:rPr>
              <w:t>Stack gas flow rate</w:t>
            </w:r>
            <w:r w:rsidRPr="001A3992">
              <w:rPr>
                <w:rFonts w:ascii="ZWAdobeF" w:hAnsi="ZWAdobeF" w:cs="ZWAdobeF"/>
                <w:color w:val="auto"/>
                <w:sz w:val="2"/>
                <w:szCs w:val="2"/>
              </w:rPr>
              <w:t>68F</w:t>
            </w:r>
            <w:r w:rsidRPr="001A3992">
              <w:rPr>
                <w:rStyle w:val="FootnoteReference"/>
                <w:sz w:val="20"/>
              </w:rPr>
              <w:footnoteReference w:id="58"/>
            </w:r>
          </w:p>
        </w:tc>
        <w:tc>
          <w:tcPr>
            <w:tcW w:w="1526" w:type="dxa"/>
            <w:tcBorders>
              <w:top w:val="single" w:sz="4" w:space="0" w:color="auto"/>
              <w:left w:val="single" w:sz="4" w:space="0" w:color="auto"/>
              <w:bottom w:val="single" w:sz="4" w:space="0" w:color="auto"/>
              <w:right w:val="single" w:sz="4" w:space="0" w:color="auto"/>
            </w:tcBorders>
            <w:vAlign w:val="center"/>
            <w:hideMark/>
          </w:tcPr>
          <w:p w14:paraId="79E18BDA" w14:textId="77777777" w:rsidR="0046583A" w:rsidRDefault="0046583A" w:rsidP="0046583A">
            <w:pPr>
              <w:keepNext/>
              <w:keepLines/>
              <w:spacing w:after="0"/>
              <w:rPr>
                <w:sz w:val="20"/>
              </w:rPr>
            </w:pPr>
            <w:r w:rsidRPr="001A3992">
              <w:rPr>
                <w:sz w:val="20"/>
              </w:rPr>
              <w:t>Nm</w:t>
            </w:r>
            <w:r w:rsidRPr="001A3992">
              <w:rPr>
                <w:sz w:val="20"/>
                <w:vertAlign w:val="superscript"/>
              </w:rPr>
              <w:t>3</w:t>
            </w:r>
          </w:p>
        </w:tc>
        <w:tc>
          <w:tcPr>
            <w:tcW w:w="1110" w:type="dxa"/>
            <w:tcBorders>
              <w:top w:val="single" w:sz="4" w:space="0" w:color="auto"/>
              <w:left w:val="single" w:sz="4" w:space="0" w:color="auto"/>
              <w:bottom w:val="single" w:sz="4" w:space="0" w:color="auto"/>
              <w:right w:val="single" w:sz="4" w:space="0" w:color="auto"/>
            </w:tcBorders>
            <w:vAlign w:val="center"/>
          </w:tcPr>
          <w:p w14:paraId="5CBF1CFD" w14:textId="77777777" w:rsidR="0046583A" w:rsidRDefault="0046583A" w:rsidP="0046583A">
            <w:pPr>
              <w:keepNext/>
              <w:keepLines/>
              <w:spacing w:after="0"/>
              <w:rPr>
                <w:sz w:val="20"/>
              </w:rPr>
            </w:pPr>
          </w:p>
        </w:tc>
      </w:tr>
    </w:tbl>
    <w:p w14:paraId="528D72B3" w14:textId="77777777" w:rsidR="0046583A" w:rsidRDefault="0046583A" w:rsidP="0046583A"/>
    <w:p w14:paraId="177611A0" w14:textId="77777777" w:rsidR="0046583A" w:rsidRDefault="0046583A" w:rsidP="00107383">
      <w:pPr>
        <w:pStyle w:val="ListParagraph"/>
        <w:widowControl/>
        <w:numPr>
          <w:ilvl w:val="0"/>
          <w:numId w:val="64"/>
        </w:numPr>
        <w:spacing w:after="120"/>
        <w:ind w:firstLineChars="0"/>
        <w:jc w:val="left"/>
        <w:rPr>
          <w:rFonts w:ascii="Times New Roman" w:hAnsi="Times New Roman"/>
          <w:sz w:val="22"/>
        </w:rPr>
      </w:pPr>
      <w:r>
        <w:rPr>
          <w:rFonts w:ascii="Times New Roman" w:hAnsi="Times New Roman"/>
          <w:sz w:val="22"/>
        </w:rPr>
        <w:t>Describe how the DRE has been measured and calculated.</w:t>
      </w:r>
    </w:p>
    <w:p w14:paraId="278EDD60" w14:textId="77777777" w:rsidR="0046583A" w:rsidRDefault="0046583A" w:rsidP="00107383">
      <w:pPr>
        <w:pStyle w:val="ListParagraph"/>
        <w:widowControl/>
        <w:numPr>
          <w:ilvl w:val="0"/>
          <w:numId w:val="64"/>
        </w:numPr>
        <w:spacing w:after="120"/>
        <w:ind w:firstLineChars="0"/>
        <w:jc w:val="left"/>
        <w:rPr>
          <w:rFonts w:ascii="Times New Roman" w:hAnsi="Times New Roman"/>
          <w:sz w:val="22"/>
        </w:rPr>
      </w:pPr>
      <w:r w:rsidRPr="00BC0CF7">
        <w:rPr>
          <w:rFonts w:ascii="Times New Roman" w:hAnsi="Times New Roman"/>
          <w:sz w:val="22"/>
        </w:rPr>
        <w:t xml:space="preserve">For </w:t>
      </w:r>
      <w:r>
        <w:rPr>
          <w:rFonts w:ascii="Times New Roman" w:hAnsi="Times New Roman"/>
          <w:sz w:val="22"/>
        </w:rPr>
        <w:t xml:space="preserve">a </w:t>
      </w:r>
      <w:r w:rsidRPr="00BC0CF7">
        <w:rPr>
          <w:rFonts w:ascii="Times New Roman" w:hAnsi="Times New Roman"/>
          <w:sz w:val="22"/>
        </w:rPr>
        <w:t>high temperature destruction technolog</w:t>
      </w:r>
      <w:r>
        <w:rPr>
          <w:rFonts w:ascii="Times New Roman" w:hAnsi="Times New Roman"/>
          <w:sz w:val="22"/>
        </w:rPr>
        <w:t>y</w:t>
      </w:r>
      <w:r w:rsidRPr="00BC0CF7">
        <w:rPr>
          <w:rFonts w:ascii="Times New Roman" w:hAnsi="Times New Roman"/>
          <w:sz w:val="22"/>
        </w:rPr>
        <w:t>, provide details of the quench conditions and flue gas treatment facilities as these are important in controlling dioxin/furan formation and emissions.</w:t>
      </w:r>
    </w:p>
    <w:p w14:paraId="2ECF72D5" w14:textId="77777777" w:rsidR="0046583A" w:rsidRDefault="0046583A" w:rsidP="00107383">
      <w:pPr>
        <w:pStyle w:val="ListParagraph"/>
        <w:widowControl/>
        <w:numPr>
          <w:ilvl w:val="0"/>
          <w:numId w:val="64"/>
        </w:numPr>
        <w:spacing w:after="120"/>
        <w:ind w:firstLineChars="0"/>
        <w:jc w:val="left"/>
        <w:rPr>
          <w:rFonts w:ascii="Times New Roman" w:hAnsi="Times New Roman"/>
          <w:sz w:val="22"/>
        </w:rPr>
      </w:pPr>
      <w:r>
        <w:rPr>
          <w:rFonts w:ascii="Times New Roman" w:hAnsi="Times New Roman"/>
          <w:sz w:val="22"/>
        </w:rPr>
        <w:t>For a conversion technology, provide a mass balance</w:t>
      </w:r>
      <w:r>
        <w:rPr>
          <w:rFonts w:ascii="ZWAdobeF" w:hAnsi="ZWAdobeF" w:cs="ZWAdobeF"/>
          <w:sz w:val="2"/>
          <w:szCs w:val="2"/>
        </w:rPr>
        <w:t>69F</w:t>
      </w:r>
      <w:r>
        <w:rPr>
          <w:rFonts w:ascii="Times New Roman" w:hAnsi="Times New Roman"/>
          <w:sz w:val="22"/>
          <w:vertAlign w:val="superscript"/>
        </w:rPr>
        <w:footnoteReference w:id="59"/>
      </w:r>
      <w:r>
        <w:rPr>
          <w:rFonts w:ascii="Times New Roman" w:hAnsi="Times New Roman"/>
          <w:sz w:val="22"/>
        </w:rPr>
        <w:t xml:space="preserve">, also called a material balance, of the process. </w:t>
      </w:r>
    </w:p>
    <w:p w14:paraId="67752FBE" w14:textId="2818EC0B" w:rsidR="0046583A" w:rsidRDefault="0046583A" w:rsidP="00107383">
      <w:pPr>
        <w:pStyle w:val="ListParagraph"/>
        <w:widowControl/>
        <w:numPr>
          <w:ilvl w:val="0"/>
          <w:numId w:val="64"/>
        </w:numPr>
        <w:spacing w:after="120"/>
        <w:ind w:firstLineChars="0"/>
        <w:jc w:val="left"/>
        <w:rPr>
          <w:rFonts w:ascii="Times New Roman" w:hAnsi="Times New Roman"/>
          <w:sz w:val="22"/>
        </w:rPr>
      </w:pPr>
      <w:r>
        <w:rPr>
          <w:rFonts w:ascii="Times New Roman" w:hAnsi="Times New Roman"/>
          <w:sz w:val="22"/>
        </w:rPr>
        <w:lastRenderedPageBreak/>
        <w:t>Describe what methods have been used for sampling and analysis, including details on the number/sampling rate of analyses carried out</w:t>
      </w:r>
      <w:r w:rsidR="00B031F1">
        <w:rPr>
          <w:rFonts w:ascii="Times New Roman" w:hAnsi="Times New Roman"/>
          <w:sz w:val="22"/>
        </w:rPr>
        <w:t xml:space="preserve"> </w:t>
      </w:r>
      <w:r>
        <w:rPr>
          <w:rFonts w:ascii="Times New Roman" w:hAnsi="Times New Roman"/>
          <w:sz w:val="22"/>
        </w:rPr>
        <w:t>and whether this is automated, and limits of detection.</w:t>
      </w:r>
      <w:r w:rsidR="005617DE">
        <w:rPr>
          <w:rFonts w:ascii="Times New Roman" w:hAnsi="Times New Roman"/>
          <w:sz w:val="22"/>
        </w:rPr>
        <w:t xml:space="preserve"> </w:t>
      </w:r>
    </w:p>
    <w:p w14:paraId="15B5681D" w14:textId="77777777" w:rsidR="0046583A" w:rsidRDefault="0046583A" w:rsidP="00107383">
      <w:pPr>
        <w:pStyle w:val="ListParagraph"/>
        <w:widowControl/>
        <w:numPr>
          <w:ilvl w:val="0"/>
          <w:numId w:val="64"/>
        </w:numPr>
        <w:spacing w:after="120"/>
        <w:ind w:firstLineChars="0"/>
        <w:jc w:val="left"/>
        <w:rPr>
          <w:rFonts w:ascii="Times New Roman" w:hAnsi="Times New Roman"/>
          <w:sz w:val="22"/>
        </w:rPr>
      </w:pPr>
      <w:r>
        <w:rPr>
          <w:rFonts w:ascii="Times New Roman" w:hAnsi="Times New Roman"/>
          <w:sz w:val="22"/>
        </w:rPr>
        <w:t>Describe any procedures during start up or shut down to avoid emissions of the controlled substances.</w:t>
      </w:r>
    </w:p>
    <w:p w14:paraId="6B67DD13" w14:textId="77777777" w:rsidR="0046583A" w:rsidRDefault="0046583A" w:rsidP="00107383">
      <w:pPr>
        <w:pStyle w:val="ListParagraph"/>
        <w:widowControl/>
        <w:numPr>
          <w:ilvl w:val="0"/>
          <w:numId w:val="64"/>
        </w:numPr>
        <w:spacing w:after="240"/>
        <w:ind w:left="357" w:firstLineChars="0" w:hanging="357"/>
        <w:jc w:val="left"/>
        <w:rPr>
          <w:rFonts w:ascii="Times New Roman" w:hAnsi="Times New Roman"/>
          <w:sz w:val="22"/>
        </w:rPr>
      </w:pPr>
      <w:r>
        <w:rPr>
          <w:rFonts w:ascii="Times New Roman" w:hAnsi="Times New Roman"/>
          <w:sz w:val="22"/>
        </w:rPr>
        <w:t>Provide information about other environmental pollutant emissions of concern resulting from the process (e.g., fluorocarbons with high GWP, such as CF</w:t>
      </w:r>
      <w:r>
        <w:rPr>
          <w:rFonts w:ascii="Times New Roman" w:hAnsi="Times New Roman"/>
          <w:sz w:val="22"/>
          <w:vertAlign w:val="subscript"/>
        </w:rPr>
        <w:t>4</w:t>
      </w:r>
      <w:r>
        <w:rPr>
          <w:rFonts w:ascii="Times New Roman" w:hAnsi="Times New Roman"/>
          <w:sz w:val="22"/>
        </w:rPr>
        <w:t xml:space="preserve">, corrosive salts in effluent, Persistent Organic Pollutants controlled under Annex C (Unintentional Production) of the Stockholm Convention, etc.) and measures in place to control those pollutant emissions. </w:t>
      </w:r>
    </w:p>
    <w:p w14:paraId="0A99191E" w14:textId="479D38D8" w:rsidR="0046583A" w:rsidRPr="000C2EA5" w:rsidRDefault="000C2EA5" w:rsidP="005C5E68">
      <w:pPr>
        <w:pStyle w:val="Heading2"/>
        <w:rPr>
          <w:rStyle w:val="Heading2Char"/>
          <w:b/>
        </w:rPr>
      </w:pPr>
      <w:bookmarkStart w:id="569" w:name="_Toc77770783"/>
      <w:bookmarkStart w:id="570" w:name="_Toc77868927"/>
      <w:bookmarkStart w:id="571" w:name="_Toc78040760"/>
      <w:bookmarkStart w:id="572" w:name="_Toc79066564"/>
      <w:bookmarkStart w:id="573" w:name="_Toc102135759"/>
      <w:bookmarkStart w:id="574" w:name="_Toc104396720"/>
      <w:r w:rsidRPr="000C2EA5">
        <w:rPr>
          <w:rStyle w:val="Heading2Char"/>
          <w:b/>
        </w:rPr>
        <w:t>6</w:t>
      </w:r>
      <w:r w:rsidR="0046583A" w:rsidRPr="000C2EA5">
        <w:rPr>
          <w:rStyle w:val="Heading2Char"/>
          <w:b/>
        </w:rPr>
        <w:t>.3</w:t>
      </w:r>
      <w:r w:rsidR="0046583A" w:rsidRPr="000C2EA5">
        <w:rPr>
          <w:rStyle w:val="Heading2Char"/>
          <w:b/>
        </w:rPr>
        <w:tab/>
        <w:t>Process agents</w:t>
      </w:r>
      <w:bookmarkEnd w:id="534"/>
      <w:bookmarkEnd w:id="535"/>
      <w:bookmarkEnd w:id="569"/>
      <w:bookmarkEnd w:id="570"/>
      <w:bookmarkEnd w:id="571"/>
      <w:bookmarkEnd w:id="572"/>
      <w:bookmarkEnd w:id="573"/>
      <w:bookmarkEnd w:id="574"/>
    </w:p>
    <w:p w14:paraId="2E654713" w14:textId="77777777" w:rsidR="0046583A" w:rsidRDefault="0046583A" w:rsidP="0046583A">
      <w:r>
        <w:t>MCTOC has reviewed the information reported to the Ozone Secretariat under decisions X/14(4) and XXI/3(1) by China, EU, Israel, and the USA. Considering decision XXXI/6(3), MCTOC has not identified compelling new information to report to parties in this progress report. MCTOC will report further on process agents in its 2022 Assessment Report.</w:t>
      </w:r>
    </w:p>
    <w:p w14:paraId="7E648010" w14:textId="759A7EB2" w:rsidR="0046583A" w:rsidRPr="000C2EA5" w:rsidRDefault="000C2EA5" w:rsidP="005C5E68">
      <w:pPr>
        <w:pStyle w:val="Heading2"/>
        <w:rPr>
          <w:rStyle w:val="Heading2Char"/>
          <w:b/>
        </w:rPr>
      </w:pPr>
      <w:bookmarkStart w:id="575" w:name="_Toc40190291"/>
      <w:bookmarkStart w:id="576" w:name="_Toc40696091"/>
      <w:bookmarkStart w:id="577" w:name="_Toc77770784"/>
      <w:bookmarkStart w:id="578" w:name="_Toc77868928"/>
      <w:bookmarkStart w:id="579" w:name="_Toc78040761"/>
      <w:bookmarkStart w:id="580" w:name="_Toc79066565"/>
      <w:bookmarkStart w:id="581" w:name="_Toc102135760"/>
      <w:bookmarkStart w:id="582" w:name="_Toc104396721"/>
      <w:r w:rsidRPr="000C2EA5">
        <w:rPr>
          <w:rStyle w:val="Heading2Char"/>
          <w:b/>
        </w:rPr>
        <w:t>6</w:t>
      </w:r>
      <w:r w:rsidR="0046583A" w:rsidRPr="000C2EA5">
        <w:rPr>
          <w:rStyle w:val="Heading2Char"/>
          <w:b/>
        </w:rPr>
        <w:t>.4</w:t>
      </w:r>
      <w:r w:rsidR="0046583A" w:rsidRPr="000C2EA5">
        <w:rPr>
          <w:rStyle w:val="Heading2Char"/>
          <w:b/>
        </w:rPr>
        <w:tab/>
        <w:t>Laboratory and analytical uses</w:t>
      </w:r>
      <w:bookmarkEnd w:id="575"/>
      <w:bookmarkEnd w:id="576"/>
      <w:bookmarkEnd w:id="577"/>
      <w:bookmarkEnd w:id="578"/>
      <w:bookmarkEnd w:id="579"/>
      <w:bookmarkEnd w:id="580"/>
      <w:bookmarkEnd w:id="581"/>
      <w:bookmarkEnd w:id="582"/>
    </w:p>
    <w:p w14:paraId="7091CFAF" w14:textId="77777777" w:rsidR="0046583A" w:rsidRDefault="0046583A" w:rsidP="0046583A">
      <w:r>
        <w:t>MCTOC has reviewed the information reported to the Ozone Secretariat on production and import of controlled substances used for laboratory and analytical uses. Considering decision XXXI/5(7), MCTOC has not identified compelling new information to report to parties in this progress report.</w:t>
      </w:r>
      <w:bookmarkEnd w:id="536"/>
      <w:bookmarkEnd w:id="537"/>
      <w:r>
        <w:t xml:space="preserve"> MCTOC will report further on laboratory and analytical uses in its 2022 Assessment Report.</w:t>
      </w:r>
    </w:p>
    <w:p w14:paraId="24D95FBE" w14:textId="499EF2FE" w:rsidR="0046583A" w:rsidRPr="000C2EA5" w:rsidRDefault="000C2EA5" w:rsidP="005C5E68">
      <w:pPr>
        <w:pStyle w:val="Heading2"/>
        <w:rPr>
          <w:rStyle w:val="Heading2Char"/>
          <w:b/>
        </w:rPr>
      </w:pPr>
      <w:bookmarkStart w:id="583" w:name="_Toc77770785"/>
      <w:bookmarkStart w:id="584" w:name="_Toc77868929"/>
      <w:bookmarkStart w:id="585" w:name="_Toc78040762"/>
      <w:bookmarkStart w:id="586" w:name="_Toc79066566"/>
      <w:bookmarkStart w:id="587" w:name="_Toc102135761"/>
      <w:bookmarkStart w:id="588" w:name="_Toc104396722"/>
      <w:r w:rsidRPr="000C2EA5">
        <w:rPr>
          <w:rStyle w:val="Heading2Char"/>
          <w:b/>
        </w:rPr>
        <w:t>6</w:t>
      </w:r>
      <w:r w:rsidR="0046583A" w:rsidRPr="000C2EA5">
        <w:rPr>
          <w:rStyle w:val="Heading2Char"/>
          <w:b/>
        </w:rPr>
        <w:t>.5</w:t>
      </w:r>
      <w:r w:rsidR="0046583A" w:rsidRPr="000C2EA5">
        <w:rPr>
          <w:rStyle w:val="Heading2Char"/>
          <w:b/>
        </w:rPr>
        <w:tab/>
      </w:r>
      <w:r w:rsidR="0046583A" w:rsidRPr="000C2EA5">
        <w:rPr>
          <w:rStyle w:val="Heading2Char"/>
          <w:b/>
          <w:i/>
          <w:iCs/>
        </w:rPr>
        <w:t>n</w:t>
      </w:r>
      <w:r w:rsidR="0046583A" w:rsidRPr="000C2EA5">
        <w:rPr>
          <w:rStyle w:val="Heading2Char"/>
          <w:b/>
        </w:rPr>
        <w:t>-Propyl bromide</w:t>
      </w:r>
      <w:bookmarkEnd w:id="583"/>
      <w:bookmarkEnd w:id="584"/>
      <w:bookmarkEnd w:id="585"/>
      <w:bookmarkEnd w:id="586"/>
      <w:bookmarkEnd w:id="587"/>
      <w:bookmarkEnd w:id="588"/>
    </w:p>
    <w:p w14:paraId="423AB68B" w14:textId="77777777" w:rsidR="0046583A" w:rsidRDefault="0046583A" w:rsidP="0046583A">
      <w:r>
        <w:t xml:space="preserve">MCTOC has considered available information on </w:t>
      </w:r>
      <w:r w:rsidRPr="0077681A">
        <w:rPr>
          <w:i/>
          <w:iCs/>
        </w:rPr>
        <w:t>n</w:t>
      </w:r>
      <w:r>
        <w:t xml:space="preserve">-propyl bromide. Considering decision XXX/15 (6), MCTOC has not identified compelling new information to report to parties in this progress report. MCTOC will report further on </w:t>
      </w:r>
      <w:r w:rsidRPr="0077681A">
        <w:rPr>
          <w:i/>
          <w:iCs/>
        </w:rPr>
        <w:t>n</w:t>
      </w:r>
      <w:r>
        <w:t>-propyl bromide in its 2022 Assessment Report.</w:t>
      </w:r>
    </w:p>
    <w:p w14:paraId="6179C703" w14:textId="42FB76C3" w:rsidR="0046583A" w:rsidRPr="000C2EA5" w:rsidRDefault="000C2EA5" w:rsidP="005C5E68">
      <w:pPr>
        <w:pStyle w:val="Heading2"/>
        <w:rPr>
          <w:rStyle w:val="Heading2Char"/>
          <w:b/>
        </w:rPr>
      </w:pPr>
      <w:bookmarkStart w:id="589" w:name="_Toc40190276"/>
      <w:bookmarkStart w:id="590" w:name="_Toc40696076"/>
      <w:bookmarkStart w:id="591" w:name="_Toc77770765"/>
      <w:bookmarkStart w:id="592" w:name="_Toc77868909"/>
      <w:bookmarkStart w:id="593" w:name="_Toc78040742"/>
      <w:bookmarkStart w:id="594" w:name="_Toc79066548"/>
      <w:bookmarkStart w:id="595" w:name="_Toc102135762"/>
      <w:bookmarkStart w:id="596" w:name="_Toc104396723"/>
      <w:bookmarkStart w:id="597" w:name="_Toc356240457"/>
      <w:bookmarkStart w:id="598" w:name="_Toc484164356"/>
      <w:r w:rsidRPr="000C2EA5">
        <w:rPr>
          <w:rStyle w:val="Heading2Char"/>
          <w:b/>
        </w:rPr>
        <w:t>6</w:t>
      </w:r>
      <w:r w:rsidR="0046583A" w:rsidRPr="000C2EA5">
        <w:rPr>
          <w:rStyle w:val="Heading2Char"/>
          <w:b/>
        </w:rPr>
        <w:t>.6</w:t>
      </w:r>
      <w:r w:rsidR="0046583A" w:rsidRPr="000C2EA5">
        <w:rPr>
          <w:rStyle w:val="Heading2Char"/>
          <w:b/>
        </w:rPr>
        <w:tab/>
        <w:t>Metered dose inhalers</w:t>
      </w:r>
      <w:bookmarkEnd w:id="589"/>
      <w:bookmarkEnd w:id="590"/>
      <w:bookmarkEnd w:id="591"/>
      <w:bookmarkEnd w:id="592"/>
      <w:bookmarkEnd w:id="593"/>
      <w:bookmarkEnd w:id="594"/>
      <w:bookmarkEnd w:id="595"/>
      <w:bookmarkEnd w:id="596"/>
    </w:p>
    <w:p w14:paraId="17D4BA19" w14:textId="24222F0E" w:rsidR="0046583A" w:rsidRDefault="0046583A" w:rsidP="0046583A">
      <w:r>
        <w:t>Metered dose inhalers (</w:t>
      </w:r>
      <w:r w:rsidRPr="008E422D">
        <w:t>MDIs</w:t>
      </w:r>
      <w:r>
        <w:t>)</w:t>
      </w:r>
      <w:r w:rsidRPr="008E422D">
        <w:t xml:space="preserve">, </w:t>
      </w:r>
      <w:r>
        <w:t>dry powder inhalers (</w:t>
      </w:r>
      <w:r w:rsidRPr="008E422D">
        <w:t>DPIs</w:t>
      </w:r>
      <w:r>
        <w:t>), aqueous soft mist inhalers (SMIs),</w:t>
      </w:r>
      <w:r w:rsidRPr="008E422D">
        <w:t xml:space="preserve"> and other delivery systems </w:t>
      </w:r>
      <w:r>
        <w:t xml:space="preserve">all </w:t>
      </w:r>
      <w:r w:rsidRPr="008E422D">
        <w:t>play an important role in the treatment of asthma and COPD</w:t>
      </w:r>
      <w:r>
        <w:t xml:space="preserve">. </w:t>
      </w:r>
      <w:r w:rsidRPr="00E80875">
        <w:t xml:space="preserve">New </w:t>
      </w:r>
      <w:r>
        <w:t xml:space="preserve">alternative propellant </w:t>
      </w:r>
      <w:r w:rsidRPr="00E80875">
        <w:t xml:space="preserve">technologies </w:t>
      </w:r>
      <w:r>
        <w:t>to</w:t>
      </w:r>
      <w:r w:rsidRPr="00E80875">
        <w:t xml:space="preserve"> </w:t>
      </w:r>
      <w:r>
        <w:t xml:space="preserve">high-GWP HFC MDIs </w:t>
      </w:r>
      <w:r w:rsidRPr="00E80875">
        <w:t xml:space="preserve">are </w:t>
      </w:r>
      <w:r>
        <w:t>under development</w:t>
      </w:r>
      <w:r w:rsidRPr="00E80875">
        <w:t xml:space="preserve">. </w:t>
      </w:r>
    </w:p>
    <w:p w14:paraId="56F41C29" w14:textId="77777777" w:rsidR="0046583A" w:rsidRPr="00E80875" w:rsidRDefault="0046583A" w:rsidP="0046583A">
      <w:r>
        <w:t>S</w:t>
      </w:r>
      <w:r w:rsidRPr="00E80875">
        <w:t xml:space="preserve">everal pharmaceutical companies </w:t>
      </w:r>
      <w:r>
        <w:t xml:space="preserve">have now </w:t>
      </w:r>
      <w:r w:rsidRPr="00E80875">
        <w:t>publicly committed to develop</w:t>
      </w:r>
      <w:r>
        <w:t>ing</w:t>
      </w:r>
      <w:r w:rsidRPr="00E80875">
        <w:t xml:space="preserve"> inhalers </w:t>
      </w:r>
      <w:r>
        <w:t xml:space="preserve">that </w:t>
      </w:r>
      <w:r w:rsidRPr="00E80875">
        <w:t>contain alternative propellants</w:t>
      </w:r>
      <w:r>
        <w:t xml:space="preserve"> </w:t>
      </w:r>
      <w:r w:rsidRPr="00E80875">
        <w:t>(HF</w:t>
      </w:r>
      <w:r>
        <w:t>C-</w:t>
      </w:r>
      <w:r w:rsidRPr="00E80875">
        <w:t>152a and HFO</w:t>
      </w:r>
      <w:r>
        <w:t>-</w:t>
      </w:r>
      <w:r w:rsidRPr="00E80875">
        <w:t>1234ze) with significant</w:t>
      </w:r>
      <w:r>
        <w:t>ly</w:t>
      </w:r>
      <w:r w:rsidRPr="00E80875">
        <w:t xml:space="preserve"> lower GWP </w:t>
      </w:r>
      <w:r>
        <w:t>than existing propellants (HFC-134a and HFC-227ea).</w:t>
      </w:r>
      <w:r w:rsidRPr="005449F5">
        <w:rPr>
          <w:rStyle w:val="FootnoteReference"/>
        </w:rPr>
        <w:t xml:space="preserve"> </w:t>
      </w:r>
      <w:r>
        <w:rPr>
          <w:rStyle w:val="FootnoteReference"/>
        </w:rPr>
        <w:footnoteReference w:id="60"/>
      </w:r>
      <w:r w:rsidRPr="00DE5FE1">
        <w:rPr>
          <w:vertAlign w:val="superscript"/>
        </w:rPr>
        <w:t>,</w:t>
      </w:r>
      <w:r>
        <w:rPr>
          <w:rStyle w:val="FootnoteReference"/>
        </w:rPr>
        <w:footnoteReference w:id="61"/>
      </w:r>
      <w:r w:rsidRPr="00DE5FE1">
        <w:rPr>
          <w:vertAlign w:val="superscript"/>
        </w:rPr>
        <w:t>,</w:t>
      </w:r>
      <w:r>
        <w:rPr>
          <w:rStyle w:val="FootnoteReference"/>
        </w:rPr>
        <w:footnoteReference w:id="62"/>
      </w:r>
      <w:r>
        <w:t xml:space="preserve"> These new alternatives will</w:t>
      </w:r>
      <w:r w:rsidRPr="00E80875">
        <w:t xml:space="preserve"> </w:t>
      </w:r>
      <w:r w:rsidRPr="00E80875">
        <w:lastRenderedPageBreak/>
        <w:t xml:space="preserve">support </w:t>
      </w:r>
      <w:r>
        <w:t xml:space="preserve">the </w:t>
      </w:r>
      <w:r w:rsidRPr="00E80875">
        <w:t>introduction of MDI products with carbon footprint</w:t>
      </w:r>
      <w:r>
        <w:t>s</w:t>
      </w:r>
      <w:r w:rsidRPr="00E80875">
        <w:t xml:space="preserve"> reduced by </w:t>
      </w:r>
      <w:r>
        <w:t>85</w:t>
      </w:r>
      <w:r w:rsidRPr="00E80875">
        <w:t>%</w:t>
      </w:r>
      <w:r>
        <w:t xml:space="preserve"> or more</w:t>
      </w:r>
      <w:r>
        <w:rPr>
          <w:rStyle w:val="FootnoteReference"/>
        </w:rPr>
        <w:footnoteReference w:id="63"/>
      </w:r>
      <w:r w:rsidRPr="00E80875">
        <w:t xml:space="preserve">. </w:t>
      </w:r>
      <w:r>
        <w:t>C</w:t>
      </w:r>
      <w:r w:rsidRPr="00D6043A">
        <w:t>ontract development and manufacturing organi</w:t>
      </w:r>
      <w:r>
        <w:t>s</w:t>
      </w:r>
      <w:r w:rsidRPr="00D6043A">
        <w:t>ation</w:t>
      </w:r>
      <w:r>
        <w:t xml:space="preserve">s </w:t>
      </w:r>
      <w:r w:rsidRPr="00E80875">
        <w:t>are now also offering development and manufacturing capabilities for MDIs with alternative propellants.</w:t>
      </w:r>
      <w:r>
        <w:rPr>
          <w:rStyle w:val="FootnoteReference"/>
        </w:rPr>
        <w:footnoteReference w:id="64"/>
      </w:r>
    </w:p>
    <w:p w14:paraId="6DE92AE2" w14:textId="1FA8C0B4" w:rsidR="0046583A" w:rsidRPr="00E80875" w:rsidRDefault="0046583A" w:rsidP="0046583A">
      <w:r w:rsidRPr="00E80875">
        <w:t xml:space="preserve">Progress in development is </w:t>
      </w:r>
      <w:r>
        <w:t>demonstrated</w:t>
      </w:r>
      <w:r w:rsidRPr="00E80875">
        <w:t xml:space="preserve"> by steps forward in the completion of </w:t>
      </w:r>
      <w:r>
        <w:t xml:space="preserve">the </w:t>
      </w:r>
      <w:r w:rsidRPr="00E80875">
        <w:t xml:space="preserve">toxicology package for </w:t>
      </w:r>
      <w:r>
        <w:t xml:space="preserve">these </w:t>
      </w:r>
      <w:r w:rsidRPr="00E80875">
        <w:t>alternative propellants, with long-term toxicology testing and the Drug Master File (DMF) for HF</w:t>
      </w:r>
      <w:r>
        <w:t>C-</w:t>
      </w:r>
      <w:r w:rsidRPr="00E80875">
        <w:t xml:space="preserve">152a expected </w:t>
      </w:r>
      <w:r>
        <w:t xml:space="preserve">to be completed </w:t>
      </w:r>
      <w:r w:rsidRPr="00E80875">
        <w:t>by mid</w:t>
      </w:r>
      <w:r w:rsidR="002C0D7B" w:rsidRPr="002C0D7B">
        <w:t>-</w:t>
      </w:r>
      <w:r w:rsidRPr="00E80875">
        <w:t>2022.</w:t>
      </w:r>
      <w:r>
        <w:rPr>
          <w:rStyle w:val="FootnoteReference"/>
        </w:rPr>
        <w:footnoteReference w:id="65"/>
      </w:r>
      <w:r w:rsidRPr="00E80875">
        <w:t xml:space="preserve"> </w:t>
      </w:r>
      <w:r>
        <w:t>T</w:t>
      </w:r>
      <w:r w:rsidRPr="00E80875">
        <w:t xml:space="preserve">he pharmaceutical industry </w:t>
      </w:r>
      <w:r>
        <w:t>has</w:t>
      </w:r>
      <w:r w:rsidRPr="00E80875">
        <w:t xml:space="preserve"> </w:t>
      </w:r>
      <w:r>
        <w:t>also achieved</w:t>
      </w:r>
      <w:r w:rsidRPr="00E80875">
        <w:t xml:space="preserve"> important progress </w:t>
      </w:r>
      <w:r>
        <w:t>with the commencement of</w:t>
      </w:r>
      <w:r w:rsidRPr="00E80875">
        <w:t xml:space="preserve"> </w:t>
      </w:r>
      <w:r>
        <w:t xml:space="preserve">the </w:t>
      </w:r>
      <w:r w:rsidRPr="00E80875">
        <w:t>first clinical studies</w:t>
      </w:r>
      <w:r>
        <w:t xml:space="preserve"> of MDI products containing one of the new propellants</w:t>
      </w:r>
      <w:r w:rsidRPr="00E80875">
        <w:t>.</w:t>
      </w:r>
      <w:r>
        <w:rPr>
          <w:rStyle w:val="FootnoteReference"/>
        </w:rPr>
        <w:footnoteReference w:id="66"/>
      </w:r>
      <w:r w:rsidRPr="00E80875">
        <w:t xml:space="preserve"> </w:t>
      </w:r>
    </w:p>
    <w:p w14:paraId="251EFFB6" w14:textId="77777777" w:rsidR="0046583A" w:rsidRPr="00E80875" w:rsidRDefault="0046583A" w:rsidP="0046583A">
      <w:r w:rsidRPr="00E80875">
        <w:t xml:space="preserve">Considerable work has also been </w:t>
      </w:r>
      <w:r>
        <w:t>performed</w:t>
      </w:r>
      <w:r w:rsidRPr="00E80875">
        <w:t xml:space="preserve"> to </w:t>
      </w:r>
      <w:r>
        <w:t>establish</w:t>
      </w:r>
      <w:r w:rsidRPr="00E80875">
        <w:t xml:space="preserve"> or adapt manufacturing facilities, both at </w:t>
      </w:r>
      <w:r>
        <w:t xml:space="preserve">the </w:t>
      </w:r>
      <w:r w:rsidRPr="00E80875">
        <w:t>pharma</w:t>
      </w:r>
      <w:r>
        <w:t>ceutical</w:t>
      </w:r>
      <w:r w:rsidRPr="00E80875">
        <w:t xml:space="preserve"> </w:t>
      </w:r>
      <w:r>
        <w:t xml:space="preserve">product </w:t>
      </w:r>
      <w:r w:rsidRPr="00E80875">
        <w:t xml:space="preserve">and propellant supply level, to safely handle the two new propellants. </w:t>
      </w:r>
      <w:r>
        <w:t>One chemical company</w:t>
      </w:r>
      <w:r w:rsidRPr="00E80875">
        <w:t xml:space="preserve"> recently announced </w:t>
      </w:r>
      <w:r>
        <w:t xml:space="preserve">the </w:t>
      </w:r>
      <w:r w:rsidRPr="00E80875">
        <w:t xml:space="preserve">opening of </w:t>
      </w:r>
      <w:r>
        <w:t>a</w:t>
      </w:r>
      <w:r w:rsidRPr="00E80875">
        <w:t xml:space="preserve"> new facility to produce pharma</w:t>
      </w:r>
      <w:r>
        <w:t>ceutical-</w:t>
      </w:r>
      <w:r w:rsidRPr="00E80875">
        <w:t>grade HF</w:t>
      </w:r>
      <w:r>
        <w:t>C-</w:t>
      </w:r>
      <w:r w:rsidRPr="00E80875">
        <w:t>152a that will be available at commercial scale by mid-2022</w:t>
      </w:r>
      <w:r>
        <w:t>.</w:t>
      </w:r>
      <w:r w:rsidRPr="00AA0393">
        <w:rPr>
          <w:rStyle w:val="FootnoteReference"/>
        </w:rPr>
        <w:t xml:space="preserve"> </w:t>
      </w:r>
      <w:r>
        <w:rPr>
          <w:rStyle w:val="FootnoteReference"/>
        </w:rPr>
        <w:footnoteReference w:id="67"/>
      </w:r>
      <w:r w:rsidRPr="00E80875">
        <w:t xml:space="preserve"> </w:t>
      </w:r>
      <w:r>
        <w:t>P</w:t>
      </w:r>
      <w:r w:rsidRPr="00E80875">
        <w:t xml:space="preserve">harmaceutical companies </w:t>
      </w:r>
      <w:r>
        <w:t>are planning first launches</w:t>
      </w:r>
      <w:r w:rsidRPr="00E80875">
        <w:t xml:space="preserve"> </w:t>
      </w:r>
      <w:r>
        <w:t xml:space="preserve">from as early as </w:t>
      </w:r>
      <w:r w:rsidRPr="00E80875">
        <w:t xml:space="preserve">2025. </w:t>
      </w:r>
      <w:r w:rsidRPr="008C13C6">
        <w:t>However, as with any new drug product development, there are risks and challenges still to be overcome.</w:t>
      </w:r>
      <w:r>
        <w:t xml:space="preserve"> </w:t>
      </w:r>
      <w:r w:rsidRPr="00917917">
        <w:t xml:space="preserve">A detailed launch schedule has not </w:t>
      </w:r>
      <w:r>
        <w:t>yet been announced</w:t>
      </w:r>
      <w:r w:rsidRPr="00917917">
        <w:t xml:space="preserve"> by the companies involved.</w:t>
      </w:r>
    </w:p>
    <w:p w14:paraId="3144BA44" w14:textId="77777777" w:rsidR="0046583A" w:rsidRDefault="0046583A" w:rsidP="0046583A">
      <w:r>
        <w:t>DPIs, soft mist inhalers and nebulisers are already available for most molecules and combinations as alternatives to high-GWP MDIs, offering a lower carbon footprint. One company has launched a new range of single capsule DPIs delivered from a re-usable inhaler, making it the lowest GWP of all inhalers yet tested.</w:t>
      </w:r>
      <w:r>
        <w:rPr>
          <w:rStyle w:val="FootnoteReference"/>
        </w:rPr>
        <w:footnoteReference w:id="68"/>
      </w:r>
      <w:r>
        <w:t xml:space="preserve"> N</w:t>
      </w:r>
      <w:r w:rsidRPr="0092588A">
        <w:t>ebuli</w:t>
      </w:r>
      <w:r>
        <w:t>s</w:t>
      </w:r>
      <w:r w:rsidRPr="0092588A">
        <w:t>ers may offer an alternative to MDIs in some uses.</w:t>
      </w:r>
    </w:p>
    <w:p w14:paraId="34AA91AE" w14:textId="77777777" w:rsidR="0046583A" w:rsidRPr="00E80875" w:rsidRDefault="0046583A" w:rsidP="0046583A">
      <w:r>
        <w:t xml:space="preserve">MCTOC </w:t>
      </w:r>
      <w:r w:rsidRPr="00716519">
        <w:t>will report further in its 2022 Assessment Report.</w:t>
      </w:r>
    </w:p>
    <w:bookmarkEnd w:id="597"/>
    <w:bookmarkEnd w:id="598"/>
    <w:p w14:paraId="58F9E67D" w14:textId="77777777" w:rsidR="006E33DB" w:rsidRDefault="006E33DB" w:rsidP="008B321C">
      <w:pPr>
        <w:spacing w:after="0"/>
        <w:sectPr w:rsidR="006E33DB" w:rsidSect="00517FCE">
          <w:pgSz w:w="11907" w:h="16839" w:code="9"/>
          <w:pgMar w:top="1260" w:right="1800" w:bottom="1526" w:left="1800" w:header="720" w:footer="792" w:gutter="0"/>
          <w:cols w:space="720"/>
          <w:docGrid w:linePitch="299"/>
        </w:sectPr>
      </w:pPr>
    </w:p>
    <w:p w14:paraId="2439FA8A" w14:textId="4407F9AC" w:rsidR="008B321C" w:rsidRPr="00821BBC" w:rsidRDefault="008B321C" w:rsidP="008B321C">
      <w:pPr>
        <w:spacing w:after="0"/>
        <w:rPr>
          <w:b/>
          <w:sz w:val="4"/>
          <w:szCs w:val="4"/>
        </w:rPr>
      </w:pPr>
    </w:p>
    <w:p w14:paraId="1D36E996" w14:textId="0EBCE60A" w:rsidR="00850702" w:rsidRDefault="00517FCE" w:rsidP="00BA0312">
      <w:pPr>
        <w:pStyle w:val="Heading1"/>
        <w:rPr>
          <w:rStyle w:val="Heading1Char2"/>
          <w:rFonts w:ascii="Times New Roman" w:hAnsi="Times New Roman"/>
        </w:rPr>
      </w:pPr>
      <w:bookmarkStart w:id="599" w:name="_Toc77868930"/>
      <w:bookmarkStart w:id="600" w:name="_Toc78040763"/>
      <w:bookmarkStart w:id="601" w:name="_Toc79066567"/>
      <w:bookmarkStart w:id="602" w:name="_Toc104396724"/>
      <w:r>
        <w:rPr>
          <w:rStyle w:val="Heading1Char2"/>
          <w:rFonts w:ascii="Times New Roman" w:hAnsi="Times New Roman"/>
        </w:rPr>
        <w:t>7</w:t>
      </w:r>
      <w:r w:rsidR="002D15FF" w:rsidRPr="005704A7">
        <w:rPr>
          <w:rStyle w:val="Heading1Char2"/>
          <w:rFonts w:ascii="Times New Roman" w:hAnsi="Times New Roman"/>
        </w:rPr>
        <w:tab/>
      </w:r>
      <w:r w:rsidR="00591AA8" w:rsidRPr="005704A7">
        <w:rPr>
          <w:rStyle w:val="Heading1Char2"/>
          <w:rFonts w:ascii="Times New Roman" w:hAnsi="Times New Roman"/>
        </w:rPr>
        <w:t>Refrigeration, Air Conditioning and Heat Pumps TOC (RTOC)</w:t>
      </w:r>
      <w:bookmarkEnd w:id="272"/>
      <w:bookmarkEnd w:id="273"/>
      <w:r w:rsidR="00591AA8" w:rsidRPr="005704A7">
        <w:rPr>
          <w:rStyle w:val="Heading1Char2"/>
          <w:rFonts w:ascii="Times New Roman" w:hAnsi="Times New Roman"/>
        </w:rPr>
        <w:t xml:space="preserve"> </w:t>
      </w:r>
      <w:r w:rsidR="00E70C38" w:rsidRPr="005704A7">
        <w:rPr>
          <w:rStyle w:val="Heading1Char2"/>
          <w:rFonts w:ascii="Times New Roman" w:hAnsi="Times New Roman"/>
        </w:rPr>
        <w:t>Progress Report</w:t>
      </w:r>
      <w:bookmarkEnd w:id="274"/>
      <w:bookmarkEnd w:id="275"/>
      <w:bookmarkEnd w:id="276"/>
      <w:bookmarkEnd w:id="599"/>
      <w:bookmarkEnd w:id="600"/>
      <w:bookmarkEnd w:id="601"/>
      <w:bookmarkEnd w:id="602"/>
    </w:p>
    <w:p w14:paraId="3A8B825C" w14:textId="0102055E" w:rsidR="009E24CA" w:rsidRPr="00F125CE" w:rsidRDefault="009E24CA" w:rsidP="00821BBC">
      <w:pPr>
        <w:pStyle w:val="Heading2"/>
        <w:rPr>
          <w:rStyle w:val="Heading2Char"/>
          <w:b/>
        </w:rPr>
      </w:pPr>
      <w:bookmarkStart w:id="603" w:name="_Toc104396725"/>
      <w:r w:rsidRPr="00F125CE">
        <w:rPr>
          <w:rStyle w:val="Heading2Char"/>
          <w:b/>
        </w:rPr>
        <w:t>7.1</w:t>
      </w:r>
      <w:r>
        <w:rPr>
          <w:rStyle w:val="Heading2Char"/>
          <w:b/>
        </w:rPr>
        <w:tab/>
      </w:r>
      <w:r w:rsidRPr="00F125CE">
        <w:rPr>
          <w:rStyle w:val="Heading2Char"/>
          <w:b/>
        </w:rPr>
        <w:t xml:space="preserve"> Introduction</w:t>
      </w:r>
      <w:bookmarkEnd w:id="603"/>
    </w:p>
    <w:p w14:paraId="75E7026E" w14:textId="584CB13A" w:rsidR="00550028" w:rsidRPr="00C7675C" w:rsidRDefault="00550028" w:rsidP="00C7675C">
      <w:pPr>
        <w:rPr>
          <w:rFonts w:eastAsia="MS Mincho"/>
          <w:bCs/>
          <w:lang w:val="en-US"/>
        </w:rPr>
      </w:pPr>
      <w:r>
        <w:rPr>
          <w:rFonts w:eastAsia="MS Mincho"/>
          <w:bCs/>
          <w:lang w:val="en-US"/>
        </w:rPr>
        <w:t xml:space="preserve">In 2021, </w:t>
      </w:r>
      <w:r w:rsidRPr="00C216BA">
        <w:rPr>
          <w:rFonts w:eastAsia="MS Mincho"/>
          <w:bCs/>
          <w:lang w:val="en-US"/>
        </w:rPr>
        <w:t xml:space="preserve">RTOC reached consensus regarding the structure of the 2022 RTOC Assessment Report (AR2022) </w:t>
      </w:r>
      <w:r>
        <w:rPr>
          <w:rFonts w:eastAsia="MS Mincho"/>
          <w:bCs/>
          <w:lang w:val="en-US"/>
        </w:rPr>
        <w:t xml:space="preserve">and will maintain </w:t>
      </w:r>
      <w:r w:rsidRPr="00C216BA">
        <w:rPr>
          <w:rFonts w:eastAsia="MS Mincho"/>
          <w:bCs/>
          <w:lang w:val="en-US"/>
        </w:rPr>
        <w:t xml:space="preserve">the Chapter Lead Authors and Chapters Authors </w:t>
      </w:r>
      <w:proofErr w:type="spellStart"/>
      <w:r w:rsidRPr="00C216BA">
        <w:rPr>
          <w:rFonts w:eastAsia="MS Mincho"/>
          <w:bCs/>
          <w:lang w:val="en-US"/>
        </w:rPr>
        <w:t>organi</w:t>
      </w:r>
      <w:r w:rsidR="002C0D7B" w:rsidRPr="002C0D7B">
        <w:rPr>
          <w:rFonts w:eastAsia="MS Mincho"/>
          <w:bCs/>
          <w:lang w:val="en-US"/>
        </w:rPr>
        <w:t>s</w:t>
      </w:r>
      <w:r w:rsidRPr="00C216BA">
        <w:rPr>
          <w:rFonts w:eastAsia="MS Mincho"/>
          <w:bCs/>
          <w:lang w:val="en-US"/>
        </w:rPr>
        <w:t>ation</w:t>
      </w:r>
      <w:proofErr w:type="spellEnd"/>
      <w:r w:rsidRPr="00C216BA">
        <w:rPr>
          <w:rFonts w:eastAsia="MS Mincho"/>
          <w:bCs/>
          <w:lang w:val="en-US"/>
        </w:rPr>
        <w:t xml:space="preserve">. RTOC members devoted time in developing the Second Order Draft (SOD) of the report which will be followed by a Third Order Draft (TOD), to be completed in the course of June 2022. </w:t>
      </w:r>
    </w:p>
    <w:p w14:paraId="4A0D5303" w14:textId="718C7754" w:rsidR="009E24CA" w:rsidRPr="000C2EA5" w:rsidRDefault="009E24CA" w:rsidP="005C5E68">
      <w:pPr>
        <w:pStyle w:val="Heading2"/>
        <w:rPr>
          <w:rStyle w:val="Heading2Char"/>
          <w:b/>
        </w:rPr>
      </w:pPr>
      <w:bookmarkStart w:id="604" w:name="_Toc104396726"/>
      <w:r>
        <w:rPr>
          <w:rStyle w:val="Heading2Char"/>
          <w:b/>
        </w:rPr>
        <w:t>7.2</w:t>
      </w:r>
      <w:r w:rsidRPr="000C2EA5">
        <w:rPr>
          <w:rStyle w:val="Heading2Char"/>
          <w:b/>
        </w:rPr>
        <w:tab/>
      </w:r>
      <w:r>
        <w:rPr>
          <w:rStyle w:val="Heading2Char"/>
          <w:b/>
        </w:rPr>
        <w:t>Refrigerants</w:t>
      </w:r>
      <w:bookmarkEnd w:id="604"/>
    </w:p>
    <w:p w14:paraId="343ADC7B" w14:textId="77777777" w:rsidR="002358C2" w:rsidRPr="006E7B12" w:rsidRDefault="002358C2" w:rsidP="002358C2">
      <w:pPr>
        <w:rPr>
          <w:lang w:eastAsia="en-GB"/>
        </w:rPr>
      </w:pPr>
      <w:r w:rsidRPr="006E7B12">
        <w:rPr>
          <w:lang w:eastAsia="en-GB"/>
        </w:rPr>
        <w:t>Since the publication of the RTOC 2018 Assessment Report, one new single component refrigerant and eighteen refrigerant blends have received a designation</w:t>
      </w:r>
      <w:r>
        <w:rPr>
          <w:lang w:eastAsia="en-GB"/>
        </w:rPr>
        <w:t xml:space="preserve"> and/or </w:t>
      </w:r>
      <w:r w:rsidRPr="006E7B12">
        <w:rPr>
          <w:lang w:eastAsia="en-GB"/>
        </w:rPr>
        <w:t xml:space="preserve">classification from the American Society of Heating, Refrigerating, and Air-Conditioning Engineers (ASHRAE) Standard 34 and/or from the International Standards Organisation (ISO) 817. These eighteen refrigerants are listed in tables </w:t>
      </w:r>
      <w:r>
        <w:rPr>
          <w:lang w:eastAsia="en-GB"/>
        </w:rPr>
        <w:t>7.</w:t>
      </w:r>
      <w:r w:rsidRPr="006E7B12">
        <w:rPr>
          <w:lang w:eastAsia="en-GB"/>
        </w:rPr>
        <w:t xml:space="preserve">1, </w:t>
      </w:r>
      <w:r>
        <w:rPr>
          <w:lang w:eastAsia="en-GB"/>
        </w:rPr>
        <w:t>7.</w:t>
      </w:r>
      <w:r w:rsidRPr="006E7B12">
        <w:rPr>
          <w:lang w:eastAsia="en-GB"/>
        </w:rPr>
        <w:t xml:space="preserve">2 and </w:t>
      </w:r>
      <w:r>
        <w:rPr>
          <w:lang w:eastAsia="en-GB"/>
        </w:rPr>
        <w:t>7.</w:t>
      </w:r>
      <w:r w:rsidRPr="006E7B12">
        <w:rPr>
          <w:lang w:eastAsia="en-GB"/>
        </w:rPr>
        <w:t xml:space="preserve">3 below. Their GWP and ODP values are calculated in the same way as the ones given in the RTOC 2018 Assessment Report. </w:t>
      </w:r>
    </w:p>
    <w:p w14:paraId="512931D3" w14:textId="77777777" w:rsidR="002358C2" w:rsidRPr="006E7B12" w:rsidRDefault="002358C2" w:rsidP="002358C2">
      <w:pPr>
        <w:rPr>
          <w:lang w:eastAsia="en-GB"/>
        </w:rPr>
      </w:pPr>
      <w:r w:rsidRPr="006E7B12">
        <w:rPr>
          <w:lang w:eastAsia="en-GB"/>
        </w:rPr>
        <w:t xml:space="preserve">One of the refrigerants is a single-component refrigerant, </w:t>
      </w:r>
      <w:proofErr w:type="spellStart"/>
      <w:r w:rsidRPr="006E7B12">
        <w:rPr>
          <w:lang w:eastAsia="en-GB"/>
        </w:rPr>
        <w:t>trifluoroiodomethane</w:t>
      </w:r>
      <w:proofErr w:type="spellEnd"/>
      <w:r w:rsidRPr="006E7B12">
        <w:rPr>
          <w:lang w:eastAsia="en-GB"/>
        </w:rPr>
        <w:t xml:space="preserve"> – IFC</w:t>
      </w:r>
      <w:r w:rsidRPr="006E7B12">
        <w:rPr>
          <w:lang w:eastAsia="en-GB"/>
        </w:rPr>
        <w:noBreakHyphen/>
        <w:t xml:space="preserve">13I1. Although this fluid had not yet received a designation from one of the refrigerant standards, it had already been mentioned in the RTOC 2018 Assessment Report. IFC-13I1 is now classified as non-flammable and with low chronic toxicity (safety class A1) in ASHRAE 34, while it is not listed in ISO 817. The boiling point is -21.9°C, and IFC-13I1 has the potential, when used as a component in refrigerant blends (such as R-466A), to produce low flammability refrigerant blends with a lower GWP. There are concerns about the stability of IFC-13I1 and there is </w:t>
      </w:r>
      <w:r>
        <w:rPr>
          <w:lang w:eastAsia="en-GB"/>
        </w:rPr>
        <w:t xml:space="preserve">therefore </w:t>
      </w:r>
      <w:r w:rsidRPr="006E7B12">
        <w:rPr>
          <w:lang w:eastAsia="en-GB"/>
        </w:rPr>
        <w:t xml:space="preserve">ongoing research on this topic. The ODP of IFC-13I1 is less than 0.09, but the impact on the ozone layer varies significantly with the geographical location of the release, due to its short atmospheric lifetime. More details on the ODP of IFC-13I1 </w:t>
      </w:r>
      <w:r>
        <w:rPr>
          <w:lang w:eastAsia="en-GB"/>
        </w:rPr>
        <w:t xml:space="preserve">were already given </w:t>
      </w:r>
      <w:r w:rsidRPr="006E7B12">
        <w:rPr>
          <w:lang w:eastAsia="en-GB"/>
        </w:rPr>
        <w:t>in the RTOC 2018 Assessment Report.</w:t>
      </w:r>
    </w:p>
    <w:p w14:paraId="34694F02" w14:textId="77777777" w:rsidR="002358C2" w:rsidRPr="001F7C46" w:rsidRDefault="002358C2" w:rsidP="00821BBC">
      <w:pPr>
        <w:rPr>
          <w:szCs w:val="22"/>
          <w:lang w:eastAsia="en-GB"/>
        </w:rPr>
      </w:pPr>
      <w:r w:rsidRPr="001F7C46">
        <w:rPr>
          <w:szCs w:val="22"/>
          <w:lang w:eastAsia="en-GB"/>
        </w:rPr>
        <w:t xml:space="preserve">The remaining refrigerants are blends: </w:t>
      </w:r>
    </w:p>
    <w:p w14:paraId="4708D405" w14:textId="77777777" w:rsidR="002358C2" w:rsidRPr="001F7C46" w:rsidRDefault="002358C2" w:rsidP="00107383">
      <w:pPr>
        <w:pStyle w:val="ListParagraph"/>
        <w:widowControl/>
        <w:numPr>
          <w:ilvl w:val="0"/>
          <w:numId w:val="57"/>
        </w:numPr>
        <w:ind w:left="347" w:firstLineChars="0"/>
        <w:rPr>
          <w:rFonts w:ascii="Times New Roman" w:hAnsi="Times New Roman"/>
          <w:sz w:val="22"/>
          <w:lang w:eastAsia="en-GB"/>
        </w:rPr>
      </w:pPr>
      <w:r w:rsidRPr="001F7C46">
        <w:rPr>
          <w:rFonts w:ascii="Times New Roman" w:hAnsi="Times New Roman"/>
          <w:sz w:val="22"/>
          <w:lang w:eastAsia="en-GB"/>
        </w:rPr>
        <w:t>R-427B, 427C, and R-467A are blends of “traditional” high GWP fluids.</w:t>
      </w:r>
    </w:p>
    <w:p w14:paraId="38BAAAEB" w14:textId="77777777" w:rsidR="002358C2" w:rsidRPr="001F7C46" w:rsidRDefault="002358C2" w:rsidP="00107383">
      <w:pPr>
        <w:pStyle w:val="ListParagraph"/>
        <w:widowControl/>
        <w:numPr>
          <w:ilvl w:val="0"/>
          <w:numId w:val="57"/>
        </w:numPr>
        <w:ind w:left="347" w:firstLineChars="0"/>
        <w:rPr>
          <w:rFonts w:ascii="Times New Roman" w:hAnsi="Times New Roman"/>
          <w:sz w:val="22"/>
          <w:lang w:eastAsia="en-GB"/>
        </w:rPr>
      </w:pPr>
      <w:r w:rsidRPr="001F7C46">
        <w:rPr>
          <w:rFonts w:ascii="Times New Roman" w:hAnsi="Times New Roman"/>
          <w:sz w:val="22"/>
          <w:lang w:eastAsia="en-GB"/>
        </w:rPr>
        <w:t>R-448B, R-457B, and R-475A are blends containing HFO-1234yf or HFO-1234ze</w:t>
      </w:r>
    </w:p>
    <w:p w14:paraId="6C3BD0CF" w14:textId="77777777" w:rsidR="002358C2" w:rsidRPr="001F7C46" w:rsidRDefault="002358C2" w:rsidP="00107383">
      <w:pPr>
        <w:pStyle w:val="ListParagraph"/>
        <w:widowControl/>
        <w:numPr>
          <w:ilvl w:val="0"/>
          <w:numId w:val="57"/>
        </w:numPr>
        <w:ind w:left="347" w:firstLineChars="0"/>
        <w:rPr>
          <w:rFonts w:ascii="Times New Roman" w:hAnsi="Times New Roman"/>
          <w:sz w:val="22"/>
          <w:lang w:eastAsia="en-GB"/>
        </w:rPr>
      </w:pPr>
      <w:r w:rsidRPr="001F7C46">
        <w:rPr>
          <w:rFonts w:ascii="Times New Roman" w:hAnsi="Times New Roman"/>
          <w:sz w:val="22"/>
          <w:lang w:eastAsia="en-GB"/>
        </w:rPr>
        <w:t>R-466A is a blend containing IFC-13I1.</w:t>
      </w:r>
    </w:p>
    <w:p w14:paraId="4DC6946D" w14:textId="77777777" w:rsidR="002358C2" w:rsidRPr="001F7C46" w:rsidRDefault="002358C2" w:rsidP="00107383">
      <w:pPr>
        <w:pStyle w:val="ListParagraph"/>
        <w:widowControl/>
        <w:numPr>
          <w:ilvl w:val="0"/>
          <w:numId w:val="57"/>
        </w:numPr>
        <w:ind w:left="347" w:firstLineChars="0"/>
        <w:rPr>
          <w:rFonts w:ascii="Times New Roman" w:hAnsi="Times New Roman"/>
          <w:sz w:val="22"/>
          <w:lang w:eastAsia="en-GB"/>
        </w:rPr>
      </w:pPr>
      <w:r w:rsidRPr="001F7C46">
        <w:rPr>
          <w:rFonts w:ascii="Times New Roman" w:hAnsi="Times New Roman"/>
          <w:sz w:val="22"/>
          <w:lang w:eastAsia="en-GB"/>
        </w:rPr>
        <w:t xml:space="preserve">R-468A, R-468B, R-468C, and R-473A are blends containing HFO-1132a, </w:t>
      </w:r>
    </w:p>
    <w:p w14:paraId="563903EB" w14:textId="77777777" w:rsidR="002358C2" w:rsidRPr="001F7C46" w:rsidRDefault="002358C2" w:rsidP="00107383">
      <w:pPr>
        <w:pStyle w:val="ListParagraph"/>
        <w:widowControl/>
        <w:numPr>
          <w:ilvl w:val="0"/>
          <w:numId w:val="57"/>
        </w:numPr>
        <w:ind w:left="347" w:firstLineChars="0"/>
        <w:rPr>
          <w:rFonts w:ascii="Times New Roman" w:hAnsi="Times New Roman"/>
          <w:sz w:val="22"/>
          <w:lang w:eastAsia="en-GB"/>
        </w:rPr>
      </w:pPr>
      <w:r w:rsidRPr="001F7C46">
        <w:rPr>
          <w:rFonts w:ascii="Times New Roman" w:hAnsi="Times New Roman"/>
          <w:sz w:val="22"/>
          <w:lang w:eastAsia="en-GB"/>
        </w:rPr>
        <w:t>R-471A is a blend containing HFO-1234ze(E) and HFO-1336mzz(E).</w:t>
      </w:r>
    </w:p>
    <w:p w14:paraId="645844E8" w14:textId="77777777" w:rsidR="002358C2" w:rsidRPr="001F7C46" w:rsidRDefault="002358C2" w:rsidP="00107383">
      <w:pPr>
        <w:pStyle w:val="ListParagraph"/>
        <w:widowControl/>
        <w:numPr>
          <w:ilvl w:val="0"/>
          <w:numId w:val="57"/>
        </w:numPr>
        <w:ind w:left="347" w:firstLineChars="0"/>
        <w:jc w:val="left"/>
        <w:rPr>
          <w:rFonts w:ascii="Times New Roman" w:hAnsi="Times New Roman"/>
          <w:sz w:val="22"/>
          <w:lang w:eastAsia="en-GB"/>
        </w:rPr>
      </w:pPr>
      <w:r w:rsidRPr="001F7C46">
        <w:rPr>
          <w:rFonts w:ascii="Times New Roman" w:hAnsi="Times New Roman"/>
          <w:sz w:val="22"/>
          <w:lang w:eastAsia="en-GB"/>
        </w:rPr>
        <w:t>R-469A, R-470A, R-470B, R-472A, R-472B, and 473A all contain CO</w:t>
      </w:r>
      <w:r w:rsidRPr="001F7C46">
        <w:rPr>
          <w:rFonts w:ascii="Times New Roman" w:hAnsi="Times New Roman"/>
          <w:sz w:val="22"/>
          <w:vertAlign w:val="subscript"/>
          <w:lang w:eastAsia="en-GB"/>
        </w:rPr>
        <w:t>2</w:t>
      </w:r>
      <w:r w:rsidRPr="001F7C46">
        <w:rPr>
          <w:rFonts w:ascii="Times New Roman" w:hAnsi="Times New Roman"/>
          <w:sz w:val="22"/>
          <w:lang w:eastAsia="en-GB"/>
        </w:rPr>
        <w:t xml:space="preserve">, which composition lowers the GWP, lowers the boiling point and results in relatively large temperature glides. </w:t>
      </w:r>
    </w:p>
    <w:p w14:paraId="29585FC2" w14:textId="77777777" w:rsidR="002358C2" w:rsidRPr="001F7C46" w:rsidRDefault="002358C2" w:rsidP="00107383">
      <w:pPr>
        <w:pStyle w:val="ListParagraph"/>
        <w:widowControl/>
        <w:numPr>
          <w:ilvl w:val="0"/>
          <w:numId w:val="57"/>
        </w:numPr>
        <w:ind w:left="347" w:firstLineChars="0"/>
        <w:rPr>
          <w:rFonts w:ascii="Times New Roman" w:hAnsi="Times New Roman"/>
          <w:sz w:val="22"/>
          <w:lang w:eastAsia="en-GB"/>
        </w:rPr>
      </w:pPr>
      <w:r w:rsidRPr="001F7C46">
        <w:rPr>
          <w:rFonts w:ascii="Times New Roman" w:hAnsi="Times New Roman"/>
          <w:sz w:val="22"/>
          <w:lang w:eastAsia="en-GB"/>
        </w:rPr>
        <w:t>R-515B is very similar to the existing R-515A and is also an azeotropic blend of HFO-1234ze(E) and HFC-227ea.</w:t>
      </w:r>
    </w:p>
    <w:p w14:paraId="3E5E6966" w14:textId="77777777" w:rsidR="002358C2" w:rsidRPr="001F7C46" w:rsidRDefault="002358C2" w:rsidP="002358C2">
      <w:pPr>
        <w:ind w:firstLine="720"/>
        <w:rPr>
          <w:szCs w:val="22"/>
          <w:lang w:eastAsia="en-GB"/>
        </w:rPr>
      </w:pPr>
      <w:r w:rsidRPr="001F7C46">
        <w:rPr>
          <w:szCs w:val="22"/>
          <w:lang w:eastAsia="en-GB"/>
        </w:rPr>
        <w:t>It is worth noting from the tables below, that most of the new refrigerants are non-flammable and of low toxicity, furthermore they have boiling points similar to traditional refrigerants such as HFC-23, HFC-134a, R-404A, R-507, and R-410A.</w:t>
      </w:r>
    </w:p>
    <w:p w14:paraId="46FE3250" w14:textId="05D26487" w:rsidR="002358C2" w:rsidRPr="00186B8F" w:rsidRDefault="002358C2" w:rsidP="002358C2">
      <w:pPr>
        <w:keepNext/>
        <w:spacing w:after="0"/>
        <w:rPr>
          <w:b/>
          <w:i/>
          <w:color w:val="auto"/>
          <w:sz w:val="24"/>
          <w:szCs w:val="22"/>
        </w:rPr>
      </w:pPr>
      <w:r w:rsidRPr="00186B8F">
        <w:rPr>
          <w:b/>
          <w:i/>
          <w:color w:val="auto"/>
          <w:sz w:val="24"/>
          <w:szCs w:val="22"/>
        </w:rPr>
        <w:lastRenderedPageBreak/>
        <w:t xml:space="preserve">Table </w:t>
      </w:r>
      <w:r>
        <w:rPr>
          <w:b/>
          <w:i/>
          <w:color w:val="auto"/>
          <w:sz w:val="24"/>
          <w:szCs w:val="22"/>
        </w:rPr>
        <w:t>7.</w:t>
      </w:r>
      <w:r w:rsidRPr="00186B8F">
        <w:rPr>
          <w:b/>
          <w:i/>
          <w:color w:val="auto"/>
          <w:sz w:val="24"/>
          <w:szCs w:val="22"/>
        </w:rPr>
        <w:t>1:</w:t>
      </w:r>
      <w:r w:rsidR="005617DE">
        <w:rPr>
          <w:b/>
          <w:i/>
          <w:color w:val="auto"/>
          <w:sz w:val="24"/>
          <w:szCs w:val="22"/>
        </w:rPr>
        <w:t xml:space="preserve"> </w:t>
      </w:r>
      <w:r w:rsidRPr="00186B8F">
        <w:rPr>
          <w:b/>
          <w:i/>
          <w:color w:val="auto"/>
          <w:sz w:val="24"/>
          <w:szCs w:val="22"/>
        </w:rPr>
        <w:t>Data summary for new single component refrigerants</w:t>
      </w:r>
    </w:p>
    <w:tbl>
      <w:tblPr>
        <w:tblW w:w="7951" w:type="dxa"/>
        <w:tblCellMar>
          <w:left w:w="57" w:type="dxa"/>
          <w:right w:w="57" w:type="dxa"/>
        </w:tblCellMar>
        <w:tblLook w:val="04A0" w:firstRow="1" w:lastRow="0" w:firstColumn="1" w:lastColumn="0" w:noHBand="0" w:noVBand="1"/>
      </w:tblPr>
      <w:tblGrid>
        <w:gridCol w:w="792"/>
        <w:gridCol w:w="1094"/>
        <w:gridCol w:w="1472"/>
        <w:gridCol w:w="509"/>
        <w:gridCol w:w="631"/>
        <w:gridCol w:w="509"/>
        <w:gridCol w:w="509"/>
        <w:gridCol w:w="716"/>
        <w:gridCol w:w="509"/>
        <w:gridCol w:w="596"/>
        <w:gridCol w:w="614"/>
      </w:tblGrid>
      <w:tr w:rsidR="002358C2" w:rsidRPr="00186B8F" w14:paraId="03ED4D7D" w14:textId="77777777" w:rsidTr="00992301">
        <w:trPr>
          <w:cantSplit/>
          <w:trHeight w:val="1814"/>
        </w:trPr>
        <w:tc>
          <w:tcPr>
            <w:tcW w:w="917"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20DD131C" w14:textId="77777777" w:rsidR="002358C2" w:rsidRPr="00186B8F" w:rsidRDefault="002358C2" w:rsidP="00992301">
            <w:pPr>
              <w:ind w:left="113" w:right="113"/>
              <w:jc w:val="center"/>
              <w:rPr>
                <w:b/>
                <w:color w:val="auto"/>
                <w:sz w:val="18"/>
                <w:szCs w:val="16"/>
              </w:rPr>
            </w:pPr>
            <w:r w:rsidRPr="00186B8F">
              <w:rPr>
                <w:b/>
                <w:color w:val="auto"/>
                <w:sz w:val="18"/>
                <w:szCs w:val="16"/>
              </w:rPr>
              <w:t>Refrigerant Designation</w:t>
            </w:r>
          </w:p>
        </w:tc>
        <w:tc>
          <w:tcPr>
            <w:tcW w:w="1351"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5C32F02A" w14:textId="77777777" w:rsidR="002358C2" w:rsidRPr="00186B8F" w:rsidRDefault="002358C2" w:rsidP="00992301">
            <w:pPr>
              <w:ind w:left="113" w:right="113"/>
              <w:jc w:val="center"/>
              <w:rPr>
                <w:b/>
                <w:color w:val="auto"/>
                <w:sz w:val="18"/>
                <w:szCs w:val="16"/>
              </w:rPr>
            </w:pPr>
            <w:r w:rsidRPr="00186B8F">
              <w:rPr>
                <w:b/>
                <w:color w:val="auto"/>
                <w:sz w:val="18"/>
                <w:szCs w:val="16"/>
              </w:rPr>
              <w:t>Chemical Formula</w:t>
            </w:r>
          </w:p>
        </w:tc>
        <w:tc>
          <w:tcPr>
            <w:tcW w:w="1497"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bottom"/>
            <w:hideMark/>
          </w:tcPr>
          <w:p w14:paraId="293450AE" w14:textId="77777777" w:rsidR="002358C2" w:rsidRPr="00186B8F" w:rsidRDefault="002358C2" w:rsidP="00992301">
            <w:pPr>
              <w:jc w:val="center"/>
              <w:rPr>
                <w:b/>
                <w:color w:val="auto"/>
                <w:sz w:val="18"/>
                <w:szCs w:val="16"/>
              </w:rPr>
            </w:pPr>
            <w:r w:rsidRPr="00186B8F">
              <w:rPr>
                <w:b/>
                <w:color w:val="auto"/>
                <w:sz w:val="18"/>
                <w:szCs w:val="16"/>
              </w:rPr>
              <w:t>Chemical Name</w:t>
            </w:r>
          </w:p>
        </w:tc>
        <w:tc>
          <w:tcPr>
            <w:tcW w:w="429"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5707D962" w14:textId="77777777" w:rsidR="002358C2" w:rsidRPr="00186B8F" w:rsidRDefault="002358C2" w:rsidP="00992301">
            <w:pPr>
              <w:ind w:left="113" w:right="113"/>
              <w:jc w:val="center"/>
              <w:rPr>
                <w:b/>
                <w:color w:val="auto"/>
                <w:sz w:val="18"/>
                <w:szCs w:val="16"/>
              </w:rPr>
            </w:pPr>
            <w:r w:rsidRPr="00186B8F">
              <w:rPr>
                <w:b/>
                <w:color w:val="auto"/>
                <w:sz w:val="18"/>
                <w:szCs w:val="16"/>
              </w:rPr>
              <w:t>Molecular Weight</w:t>
            </w:r>
          </w:p>
        </w:tc>
        <w:tc>
          <w:tcPr>
            <w:tcW w:w="684"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632B6AF4" w14:textId="77777777" w:rsidR="002358C2" w:rsidRPr="00186B8F" w:rsidRDefault="002358C2" w:rsidP="00992301">
            <w:pPr>
              <w:ind w:left="113" w:right="113"/>
              <w:jc w:val="center"/>
              <w:rPr>
                <w:b/>
                <w:color w:val="auto"/>
                <w:sz w:val="18"/>
                <w:szCs w:val="16"/>
              </w:rPr>
            </w:pPr>
            <w:r w:rsidRPr="00186B8F">
              <w:rPr>
                <w:b/>
                <w:color w:val="auto"/>
                <w:sz w:val="18"/>
                <w:szCs w:val="16"/>
              </w:rPr>
              <w:t>Boiling Point (°C)</w:t>
            </w:r>
          </w:p>
        </w:tc>
        <w:tc>
          <w:tcPr>
            <w:tcW w:w="386"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13B2F121" w14:textId="77777777" w:rsidR="002358C2" w:rsidRPr="00186B8F" w:rsidRDefault="002358C2" w:rsidP="00992301">
            <w:pPr>
              <w:ind w:left="113" w:right="113"/>
              <w:jc w:val="center"/>
              <w:rPr>
                <w:b/>
                <w:color w:val="auto"/>
                <w:sz w:val="18"/>
                <w:szCs w:val="16"/>
              </w:rPr>
            </w:pPr>
            <w:r w:rsidRPr="00186B8F">
              <w:rPr>
                <w:b/>
                <w:color w:val="auto"/>
                <w:sz w:val="18"/>
                <w:szCs w:val="16"/>
              </w:rPr>
              <w:t>Safety Class</w:t>
            </w:r>
          </w:p>
        </w:tc>
        <w:tc>
          <w:tcPr>
            <w:tcW w:w="441"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52D93456" w14:textId="77777777" w:rsidR="002358C2" w:rsidRPr="00186B8F" w:rsidRDefault="002358C2" w:rsidP="00992301">
            <w:pPr>
              <w:ind w:left="113" w:right="113"/>
              <w:jc w:val="center"/>
              <w:rPr>
                <w:b/>
                <w:color w:val="auto"/>
                <w:sz w:val="18"/>
                <w:szCs w:val="16"/>
              </w:rPr>
            </w:pPr>
            <w:r w:rsidRPr="00186B8F">
              <w:rPr>
                <w:b/>
                <w:color w:val="auto"/>
                <w:sz w:val="18"/>
                <w:szCs w:val="16"/>
              </w:rPr>
              <w:t>Atmospheric Lifetime (Years)</w:t>
            </w:r>
          </w:p>
        </w:tc>
        <w:tc>
          <w:tcPr>
            <w:tcW w:w="531"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71B9ADAB" w14:textId="77777777" w:rsidR="002358C2" w:rsidRPr="00186B8F" w:rsidRDefault="002358C2" w:rsidP="00992301">
            <w:pPr>
              <w:ind w:left="113" w:right="113"/>
              <w:jc w:val="center"/>
              <w:rPr>
                <w:b/>
                <w:color w:val="auto"/>
                <w:sz w:val="18"/>
                <w:szCs w:val="16"/>
              </w:rPr>
            </w:pPr>
            <w:r w:rsidRPr="00186B8F">
              <w:rPr>
                <w:b/>
                <w:color w:val="auto"/>
                <w:sz w:val="18"/>
                <w:szCs w:val="16"/>
              </w:rPr>
              <w:t xml:space="preserve">Radiative Efficiency </w:t>
            </w:r>
            <w:r w:rsidRPr="00186B8F">
              <w:rPr>
                <w:b/>
                <w:color w:val="auto"/>
                <w:sz w:val="18"/>
                <w:szCs w:val="16"/>
              </w:rPr>
              <w:br/>
              <w:t>(W/m/</w:t>
            </w:r>
            <w:r w:rsidRPr="00186B8F">
              <w:rPr>
                <w:b/>
                <w:color w:val="auto"/>
                <w:sz w:val="18"/>
                <w:szCs w:val="16"/>
                <w:vertAlign w:val="superscript"/>
              </w:rPr>
              <w:t xml:space="preserve"> </w:t>
            </w:r>
            <w:r w:rsidRPr="00186B8F">
              <w:rPr>
                <w:b/>
                <w:color w:val="auto"/>
                <w:sz w:val="18"/>
                <w:szCs w:val="16"/>
              </w:rPr>
              <w:t>ppm)</w:t>
            </w:r>
          </w:p>
        </w:tc>
        <w:tc>
          <w:tcPr>
            <w:tcW w:w="447"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7B485E92" w14:textId="77777777" w:rsidR="002358C2" w:rsidRPr="00186B8F" w:rsidRDefault="002358C2" w:rsidP="00992301">
            <w:pPr>
              <w:ind w:left="113" w:right="113"/>
              <w:jc w:val="center"/>
              <w:rPr>
                <w:b/>
                <w:color w:val="auto"/>
                <w:sz w:val="18"/>
                <w:szCs w:val="16"/>
              </w:rPr>
            </w:pPr>
            <w:r w:rsidRPr="00186B8F">
              <w:rPr>
                <w:b/>
                <w:color w:val="auto"/>
                <w:sz w:val="18"/>
                <w:szCs w:val="16"/>
              </w:rPr>
              <w:t>GWP 100 Year</w:t>
            </w:r>
          </w:p>
        </w:tc>
        <w:tc>
          <w:tcPr>
            <w:tcW w:w="634" w:type="dxa"/>
            <w:tcBorders>
              <w:top w:val="single" w:sz="18" w:space="0" w:color="A6A6A6"/>
              <w:left w:val="nil"/>
              <w:bottom w:val="single" w:sz="18" w:space="0" w:color="A6A6A6"/>
              <w:right w:val="nil"/>
            </w:tcBorders>
            <w:tcMar>
              <w:top w:w="0" w:type="dxa"/>
              <w:left w:w="28" w:type="dxa"/>
              <w:bottom w:w="0" w:type="dxa"/>
              <w:right w:w="28" w:type="dxa"/>
            </w:tcMar>
            <w:textDirection w:val="tbRl"/>
            <w:vAlign w:val="center"/>
            <w:hideMark/>
          </w:tcPr>
          <w:p w14:paraId="22610525" w14:textId="77777777" w:rsidR="002358C2" w:rsidRPr="00186B8F" w:rsidRDefault="002358C2" w:rsidP="00992301">
            <w:pPr>
              <w:ind w:left="113" w:right="113"/>
              <w:jc w:val="center"/>
              <w:rPr>
                <w:b/>
                <w:color w:val="auto"/>
                <w:sz w:val="18"/>
                <w:szCs w:val="16"/>
              </w:rPr>
            </w:pPr>
            <w:r w:rsidRPr="00186B8F">
              <w:rPr>
                <w:b/>
                <w:color w:val="auto"/>
                <w:sz w:val="18"/>
                <w:szCs w:val="16"/>
              </w:rPr>
              <w:t>GWP 20 Year</w:t>
            </w:r>
          </w:p>
        </w:tc>
        <w:tc>
          <w:tcPr>
            <w:tcW w:w="634" w:type="dxa"/>
            <w:tcBorders>
              <w:top w:val="single" w:sz="18" w:space="0" w:color="A6A6A6"/>
              <w:left w:val="nil"/>
              <w:bottom w:val="single" w:sz="18" w:space="0" w:color="A6A6A6"/>
              <w:right w:val="nil"/>
            </w:tcBorders>
            <w:textDirection w:val="tbRl"/>
            <w:hideMark/>
          </w:tcPr>
          <w:p w14:paraId="7F0F2AE3" w14:textId="77777777" w:rsidR="002358C2" w:rsidRPr="00186B8F" w:rsidRDefault="002358C2" w:rsidP="00992301">
            <w:pPr>
              <w:ind w:left="113" w:right="113"/>
              <w:jc w:val="center"/>
              <w:rPr>
                <w:b/>
                <w:color w:val="auto"/>
                <w:sz w:val="18"/>
                <w:szCs w:val="16"/>
              </w:rPr>
            </w:pPr>
            <w:r w:rsidRPr="00186B8F">
              <w:rPr>
                <w:b/>
                <w:color w:val="auto"/>
                <w:sz w:val="18"/>
                <w:szCs w:val="16"/>
              </w:rPr>
              <w:t>ODP</w:t>
            </w:r>
          </w:p>
        </w:tc>
      </w:tr>
      <w:tr w:rsidR="002358C2" w:rsidRPr="00186B8F" w14:paraId="045F1E02" w14:textId="77777777" w:rsidTr="00992301">
        <w:trPr>
          <w:trHeight w:val="255"/>
        </w:trPr>
        <w:tc>
          <w:tcPr>
            <w:tcW w:w="917"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41C2742D" w14:textId="77777777" w:rsidR="002358C2" w:rsidRPr="00186B8F" w:rsidRDefault="002358C2" w:rsidP="00992301">
            <w:pPr>
              <w:rPr>
                <w:color w:val="auto"/>
                <w:sz w:val="16"/>
                <w:szCs w:val="16"/>
              </w:rPr>
            </w:pPr>
            <w:r w:rsidRPr="00186B8F">
              <w:rPr>
                <w:color w:val="auto"/>
                <w:sz w:val="16"/>
                <w:szCs w:val="16"/>
              </w:rPr>
              <w:t>IFC-13I1</w:t>
            </w:r>
          </w:p>
        </w:tc>
        <w:tc>
          <w:tcPr>
            <w:tcW w:w="1351"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5BEFABED" w14:textId="77777777" w:rsidR="002358C2" w:rsidRPr="00186B8F" w:rsidRDefault="002358C2" w:rsidP="00992301">
            <w:pPr>
              <w:rPr>
                <w:color w:val="auto"/>
                <w:sz w:val="16"/>
                <w:szCs w:val="16"/>
              </w:rPr>
            </w:pPr>
            <w:r w:rsidRPr="00186B8F">
              <w:rPr>
                <w:color w:val="auto"/>
                <w:sz w:val="16"/>
                <w:szCs w:val="16"/>
              </w:rPr>
              <w:t>CF</w:t>
            </w:r>
            <w:r w:rsidRPr="00186B8F">
              <w:rPr>
                <w:color w:val="auto"/>
                <w:sz w:val="16"/>
                <w:szCs w:val="16"/>
                <w:vertAlign w:val="subscript"/>
              </w:rPr>
              <w:t>3</w:t>
            </w:r>
            <w:r w:rsidRPr="00186B8F">
              <w:rPr>
                <w:color w:val="auto"/>
                <w:sz w:val="16"/>
                <w:szCs w:val="16"/>
              </w:rPr>
              <w:t>I</w:t>
            </w:r>
          </w:p>
        </w:tc>
        <w:tc>
          <w:tcPr>
            <w:tcW w:w="1497"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14A38B2D" w14:textId="77777777" w:rsidR="002358C2" w:rsidRPr="00186B8F" w:rsidRDefault="002358C2" w:rsidP="00992301">
            <w:pPr>
              <w:rPr>
                <w:color w:val="auto"/>
                <w:sz w:val="16"/>
                <w:szCs w:val="16"/>
              </w:rPr>
            </w:pPr>
            <w:proofErr w:type="spellStart"/>
            <w:r w:rsidRPr="00186B8F">
              <w:rPr>
                <w:color w:val="auto"/>
                <w:sz w:val="16"/>
                <w:szCs w:val="16"/>
              </w:rPr>
              <w:t>trifluoroiodomethane</w:t>
            </w:r>
            <w:proofErr w:type="spellEnd"/>
          </w:p>
        </w:tc>
        <w:tc>
          <w:tcPr>
            <w:tcW w:w="429"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611EFC49" w14:textId="77777777" w:rsidR="002358C2" w:rsidRPr="00186B8F" w:rsidRDefault="002358C2" w:rsidP="00992301">
            <w:pPr>
              <w:jc w:val="center"/>
              <w:rPr>
                <w:color w:val="auto"/>
                <w:sz w:val="16"/>
                <w:szCs w:val="16"/>
              </w:rPr>
            </w:pPr>
            <w:r w:rsidRPr="00186B8F">
              <w:rPr>
                <w:color w:val="auto"/>
                <w:sz w:val="16"/>
                <w:szCs w:val="16"/>
              </w:rPr>
              <w:t>195.9</w:t>
            </w:r>
          </w:p>
        </w:tc>
        <w:tc>
          <w:tcPr>
            <w:tcW w:w="684"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7CC16C89" w14:textId="77777777" w:rsidR="002358C2" w:rsidRPr="00186B8F" w:rsidRDefault="002358C2" w:rsidP="00992301">
            <w:pPr>
              <w:jc w:val="center"/>
              <w:rPr>
                <w:color w:val="auto"/>
                <w:sz w:val="16"/>
                <w:szCs w:val="16"/>
              </w:rPr>
            </w:pPr>
            <w:r w:rsidRPr="00186B8F">
              <w:rPr>
                <w:color w:val="auto"/>
                <w:sz w:val="16"/>
                <w:szCs w:val="16"/>
              </w:rPr>
              <w:t>–21.9</w:t>
            </w:r>
          </w:p>
        </w:tc>
        <w:tc>
          <w:tcPr>
            <w:tcW w:w="386"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236DB2D1" w14:textId="77777777" w:rsidR="002358C2" w:rsidRPr="00186B8F" w:rsidRDefault="002358C2" w:rsidP="00992301">
            <w:pPr>
              <w:jc w:val="center"/>
              <w:rPr>
                <w:color w:val="auto"/>
                <w:sz w:val="16"/>
                <w:szCs w:val="16"/>
              </w:rPr>
            </w:pPr>
            <w:r w:rsidRPr="00186B8F">
              <w:rPr>
                <w:color w:val="auto"/>
                <w:sz w:val="16"/>
                <w:szCs w:val="16"/>
              </w:rPr>
              <w:t>A1</w:t>
            </w:r>
          </w:p>
        </w:tc>
        <w:tc>
          <w:tcPr>
            <w:tcW w:w="441"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4271B6E5" w14:textId="77777777" w:rsidR="002358C2" w:rsidRPr="00186B8F" w:rsidRDefault="002358C2" w:rsidP="00992301">
            <w:pPr>
              <w:jc w:val="center"/>
              <w:rPr>
                <w:color w:val="auto"/>
                <w:sz w:val="16"/>
                <w:szCs w:val="16"/>
              </w:rPr>
            </w:pPr>
            <w:r w:rsidRPr="00186B8F">
              <w:rPr>
                <w:color w:val="auto"/>
                <w:sz w:val="16"/>
                <w:szCs w:val="16"/>
              </w:rPr>
              <w:t>&lt;5 days</w:t>
            </w:r>
          </w:p>
        </w:tc>
        <w:tc>
          <w:tcPr>
            <w:tcW w:w="531"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1F824729" w14:textId="77777777" w:rsidR="002358C2" w:rsidRPr="00186B8F" w:rsidRDefault="002358C2" w:rsidP="00992301">
            <w:pPr>
              <w:jc w:val="center"/>
              <w:rPr>
                <w:color w:val="auto"/>
                <w:sz w:val="16"/>
                <w:szCs w:val="16"/>
              </w:rPr>
            </w:pPr>
            <w:r w:rsidRPr="00186B8F">
              <w:rPr>
                <w:color w:val="auto"/>
                <w:sz w:val="16"/>
                <w:szCs w:val="16"/>
              </w:rPr>
              <w:t>0.23</w:t>
            </w:r>
          </w:p>
        </w:tc>
        <w:tc>
          <w:tcPr>
            <w:tcW w:w="447"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63F0ACCF" w14:textId="77777777" w:rsidR="002358C2" w:rsidRPr="00186B8F" w:rsidRDefault="002358C2" w:rsidP="00992301">
            <w:pPr>
              <w:jc w:val="center"/>
              <w:rPr>
                <w:color w:val="auto"/>
                <w:sz w:val="16"/>
                <w:szCs w:val="16"/>
              </w:rPr>
            </w:pPr>
            <w:r w:rsidRPr="00186B8F">
              <w:rPr>
                <w:color w:val="auto"/>
                <w:sz w:val="16"/>
                <w:szCs w:val="16"/>
              </w:rPr>
              <w:t>0.4</w:t>
            </w:r>
          </w:p>
        </w:tc>
        <w:tc>
          <w:tcPr>
            <w:tcW w:w="634" w:type="dxa"/>
            <w:tcBorders>
              <w:top w:val="nil"/>
              <w:left w:val="nil"/>
              <w:bottom w:val="single" w:sz="18" w:space="0" w:color="A6A6A6" w:themeColor="background1" w:themeShade="A6"/>
              <w:right w:val="nil"/>
            </w:tcBorders>
            <w:tcMar>
              <w:top w:w="0" w:type="dxa"/>
              <w:left w:w="28" w:type="dxa"/>
              <w:bottom w:w="0" w:type="dxa"/>
              <w:right w:w="28" w:type="dxa"/>
            </w:tcMar>
            <w:vAlign w:val="center"/>
            <w:hideMark/>
          </w:tcPr>
          <w:p w14:paraId="232274E4" w14:textId="77777777" w:rsidR="002358C2" w:rsidRPr="00186B8F" w:rsidRDefault="002358C2" w:rsidP="00992301">
            <w:pPr>
              <w:jc w:val="center"/>
              <w:rPr>
                <w:color w:val="auto"/>
                <w:sz w:val="16"/>
                <w:szCs w:val="16"/>
              </w:rPr>
            </w:pPr>
            <w:r w:rsidRPr="00186B8F">
              <w:rPr>
                <w:color w:val="auto"/>
                <w:sz w:val="16"/>
                <w:szCs w:val="16"/>
              </w:rPr>
              <w:t>1</w:t>
            </w:r>
          </w:p>
        </w:tc>
        <w:tc>
          <w:tcPr>
            <w:tcW w:w="634" w:type="dxa"/>
            <w:tcBorders>
              <w:top w:val="nil"/>
              <w:left w:val="nil"/>
              <w:bottom w:val="single" w:sz="18" w:space="0" w:color="A6A6A6" w:themeColor="background1" w:themeShade="A6"/>
              <w:right w:val="nil"/>
            </w:tcBorders>
            <w:vAlign w:val="center"/>
            <w:hideMark/>
          </w:tcPr>
          <w:p w14:paraId="7BEB13AF" w14:textId="77777777" w:rsidR="002358C2" w:rsidRPr="00186B8F" w:rsidRDefault="002358C2" w:rsidP="00992301">
            <w:pPr>
              <w:jc w:val="center"/>
              <w:rPr>
                <w:color w:val="auto"/>
                <w:sz w:val="16"/>
                <w:szCs w:val="16"/>
              </w:rPr>
            </w:pPr>
            <w:r w:rsidRPr="00186B8F">
              <w:rPr>
                <w:color w:val="auto"/>
                <w:sz w:val="16"/>
                <w:szCs w:val="16"/>
              </w:rPr>
              <w:t>&lt;0.09</w:t>
            </w:r>
          </w:p>
        </w:tc>
      </w:tr>
    </w:tbl>
    <w:p w14:paraId="500EE8E6" w14:textId="77777777" w:rsidR="002358C2" w:rsidRDefault="002358C2" w:rsidP="002358C2">
      <w:pPr>
        <w:keepNext/>
        <w:spacing w:after="0"/>
        <w:rPr>
          <w:b/>
          <w:i/>
          <w:color w:val="auto"/>
          <w:sz w:val="24"/>
          <w:szCs w:val="22"/>
        </w:rPr>
      </w:pPr>
    </w:p>
    <w:p w14:paraId="6709A5E8" w14:textId="5C7DEDD5" w:rsidR="002358C2" w:rsidRPr="00186B8F" w:rsidRDefault="002358C2" w:rsidP="002358C2">
      <w:pPr>
        <w:keepNext/>
        <w:spacing w:after="0"/>
        <w:rPr>
          <w:b/>
          <w:i/>
          <w:color w:val="auto"/>
          <w:sz w:val="24"/>
          <w:szCs w:val="22"/>
        </w:rPr>
      </w:pPr>
      <w:r w:rsidRPr="00186B8F">
        <w:rPr>
          <w:b/>
          <w:i/>
          <w:color w:val="auto"/>
          <w:sz w:val="24"/>
          <w:szCs w:val="22"/>
        </w:rPr>
        <w:t xml:space="preserve">Table </w:t>
      </w:r>
      <w:r>
        <w:rPr>
          <w:b/>
          <w:i/>
          <w:color w:val="auto"/>
          <w:sz w:val="24"/>
          <w:szCs w:val="22"/>
        </w:rPr>
        <w:t>7.</w:t>
      </w:r>
      <w:r w:rsidRPr="00186B8F">
        <w:rPr>
          <w:b/>
          <w:i/>
          <w:color w:val="auto"/>
          <w:sz w:val="24"/>
          <w:szCs w:val="22"/>
        </w:rPr>
        <w:t>2:</w:t>
      </w:r>
      <w:r w:rsidR="005617DE">
        <w:rPr>
          <w:b/>
          <w:i/>
          <w:color w:val="auto"/>
          <w:sz w:val="24"/>
          <w:szCs w:val="22"/>
        </w:rPr>
        <w:t xml:space="preserve"> </w:t>
      </w:r>
      <w:r w:rsidRPr="00186B8F">
        <w:rPr>
          <w:b/>
          <w:i/>
          <w:color w:val="auto"/>
          <w:sz w:val="24"/>
          <w:szCs w:val="22"/>
        </w:rPr>
        <w:t>Data summary for new zeotropic refrigerant blends</w:t>
      </w:r>
    </w:p>
    <w:tbl>
      <w:tblPr>
        <w:tblW w:w="7947" w:type="dxa"/>
        <w:tblCellMar>
          <w:left w:w="28" w:type="dxa"/>
          <w:right w:w="28" w:type="dxa"/>
        </w:tblCellMar>
        <w:tblLook w:val="04A0" w:firstRow="1" w:lastRow="0" w:firstColumn="1" w:lastColumn="0" w:noHBand="0" w:noVBand="1"/>
      </w:tblPr>
      <w:tblGrid>
        <w:gridCol w:w="737"/>
        <w:gridCol w:w="3458"/>
        <w:gridCol w:w="677"/>
        <w:gridCol w:w="1074"/>
        <w:gridCol w:w="459"/>
        <w:gridCol w:w="459"/>
        <w:gridCol w:w="538"/>
        <w:gridCol w:w="545"/>
      </w:tblGrid>
      <w:tr w:rsidR="002358C2" w:rsidRPr="00186B8F" w14:paraId="355BA4C6" w14:textId="77777777" w:rsidTr="00992301">
        <w:trPr>
          <w:cantSplit/>
          <w:trHeight w:val="1474"/>
        </w:trPr>
        <w:tc>
          <w:tcPr>
            <w:tcW w:w="737" w:type="dxa"/>
            <w:tcBorders>
              <w:top w:val="single" w:sz="18" w:space="0" w:color="A6A6A6"/>
              <w:left w:val="nil"/>
              <w:bottom w:val="single" w:sz="18" w:space="0" w:color="A6A6A6"/>
              <w:right w:val="nil"/>
            </w:tcBorders>
            <w:noWrap/>
            <w:textDirection w:val="tbRl"/>
            <w:vAlign w:val="bottom"/>
            <w:hideMark/>
          </w:tcPr>
          <w:p w14:paraId="782E93C3" w14:textId="77777777" w:rsidR="002358C2" w:rsidRPr="00186B8F" w:rsidRDefault="002358C2" w:rsidP="00992301">
            <w:pPr>
              <w:ind w:left="113" w:right="113"/>
              <w:jc w:val="center"/>
              <w:rPr>
                <w:b/>
                <w:color w:val="auto"/>
                <w:sz w:val="18"/>
                <w:szCs w:val="18"/>
              </w:rPr>
            </w:pPr>
            <w:r w:rsidRPr="00186B8F">
              <w:rPr>
                <w:b/>
                <w:color w:val="auto"/>
                <w:sz w:val="18"/>
                <w:szCs w:val="18"/>
              </w:rPr>
              <w:t>Refrigerant Designation</w:t>
            </w:r>
          </w:p>
        </w:tc>
        <w:tc>
          <w:tcPr>
            <w:tcW w:w="3458" w:type="dxa"/>
            <w:tcBorders>
              <w:top w:val="single" w:sz="18" w:space="0" w:color="A6A6A6"/>
              <w:left w:val="nil"/>
              <w:bottom w:val="single" w:sz="18" w:space="0" w:color="A6A6A6"/>
              <w:right w:val="nil"/>
            </w:tcBorders>
            <w:noWrap/>
            <w:textDirection w:val="tbRl"/>
            <w:vAlign w:val="bottom"/>
            <w:hideMark/>
          </w:tcPr>
          <w:p w14:paraId="2DE7A1EB" w14:textId="77777777" w:rsidR="002358C2" w:rsidRPr="00186B8F" w:rsidRDefault="002358C2" w:rsidP="00992301">
            <w:pPr>
              <w:ind w:left="113" w:right="113"/>
              <w:jc w:val="center"/>
              <w:rPr>
                <w:b/>
                <w:color w:val="auto"/>
                <w:sz w:val="18"/>
                <w:szCs w:val="18"/>
              </w:rPr>
            </w:pPr>
            <w:r w:rsidRPr="00186B8F">
              <w:rPr>
                <w:b/>
                <w:color w:val="auto"/>
                <w:sz w:val="18"/>
                <w:szCs w:val="18"/>
              </w:rPr>
              <w:t xml:space="preserve">Refrigerant Composition </w:t>
            </w:r>
            <w:r w:rsidRPr="00186B8F">
              <w:rPr>
                <w:b/>
                <w:color w:val="auto"/>
                <w:sz w:val="18"/>
                <w:szCs w:val="18"/>
              </w:rPr>
              <w:br/>
              <w:t xml:space="preserve"> (Mass %)</w:t>
            </w:r>
          </w:p>
        </w:tc>
        <w:tc>
          <w:tcPr>
            <w:tcW w:w="677"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2A3B7470" w14:textId="77777777" w:rsidR="002358C2" w:rsidRPr="00186B8F" w:rsidRDefault="002358C2" w:rsidP="00992301">
            <w:pPr>
              <w:ind w:left="113" w:right="113"/>
              <w:jc w:val="center"/>
              <w:rPr>
                <w:b/>
                <w:color w:val="auto"/>
                <w:sz w:val="18"/>
                <w:szCs w:val="18"/>
              </w:rPr>
            </w:pPr>
            <w:r w:rsidRPr="00186B8F">
              <w:rPr>
                <w:b/>
                <w:color w:val="auto"/>
                <w:sz w:val="18"/>
                <w:szCs w:val="18"/>
              </w:rPr>
              <w:t>Molecular Weight</w:t>
            </w:r>
          </w:p>
        </w:tc>
        <w:tc>
          <w:tcPr>
            <w:tcW w:w="1074"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45EEABC7" w14:textId="77777777" w:rsidR="002358C2" w:rsidRPr="00186B8F" w:rsidRDefault="002358C2" w:rsidP="00992301">
            <w:pPr>
              <w:ind w:left="113" w:right="113"/>
              <w:jc w:val="center"/>
              <w:rPr>
                <w:b/>
                <w:color w:val="auto"/>
                <w:sz w:val="18"/>
                <w:szCs w:val="18"/>
              </w:rPr>
            </w:pPr>
            <w:r w:rsidRPr="00186B8F">
              <w:rPr>
                <w:b/>
                <w:color w:val="auto"/>
                <w:sz w:val="18"/>
                <w:szCs w:val="18"/>
              </w:rPr>
              <w:t>Bubble Point/ Dew Point (°C)</w:t>
            </w:r>
          </w:p>
        </w:tc>
        <w:tc>
          <w:tcPr>
            <w:tcW w:w="459"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7040C8E2" w14:textId="77777777" w:rsidR="002358C2" w:rsidRPr="00186B8F" w:rsidRDefault="002358C2" w:rsidP="00992301">
            <w:pPr>
              <w:ind w:left="113" w:right="113"/>
              <w:jc w:val="center"/>
              <w:rPr>
                <w:b/>
                <w:color w:val="auto"/>
                <w:sz w:val="18"/>
                <w:szCs w:val="18"/>
              </w:rPr>
            </w:pPr>
            <w:r w:rsidRPr="00186B8F">
              <w:rPr>
                <w:b/>
                <w:color w:val="auto"/>
                <w:sz w:val="18"/>
                <w:szCs w:val="18"/>
              </w:rPr>
              <w:t>Safety Class</w:t>
            </w:r>
          </w:p>
        </w:tc>
        <w:tc>
          <w:tcPr>
            <w:tcW w:w="459"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00676CE8" w14:textId="77777777" w:rsidR="002358C2" w:rsidRPr="00186B8F" w:rsidRDefault="002358C2" w:rsidP="00992301">
            <w:pPr>
              <w:ind w:left="113" w:right="113"/>
              <w:jc w:val="center"/>
              <w:rPr>
                <w:b/>
                <w:color w:val="auto"/>
                <w:sz w:val="18"/>
                <w:szCs w:val="18"/>
              </w:rPr>
            </w:pPr>
            <w:r w:rsidRPr="00186B8F">
              <w:rPr>
                <w:b/>
                <w:color w:val="auto"/>
                <w:sz w:val="18"/>
                <w:szCs w:val="18"/>
              </w:rPr>
              <w:t>GWP 100 Year</w:t>
            </w:r>
          </w:p>
        </w:tc>
        <w:tc>
          <w:tcPr>
            <w:tcW w:w="538"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1AC9BBDA" w14:textId="77777777" w:rsidR="002358C2" w:rsidRPr="00186B8F" w:rsidRDefault="002358C2" w:rsidP="00992301">
            <w:pPr>
              <w:ind w:left="113" w:right="113"/>
              <w:jc w:val="center"/>
              <w:rPr>
                <w:b/>
                <w:color w:val="auto"/>
                <w:sz w:val="18"/>
                <w:szCs w:val="18"/>
              </w:rPr>
            </w:pPr>
            <w:r w:rsidRPr="00186B8F">
              <w:rPr>
                <w:b/>
                <w:color w:val="auto"/>
                <w:sz w:val="18"/>
                <w:szCs w:val="18"/>
              </w:rPr>
              <w:t>GWP 20 Year</w:t>
            </w:r>
          </w:p>
        </w:tc>
        <w:tc>
          <w:tcPr>
            <w:tcW w:w="545" w:type="dxa"/>
            <w:tcBorders>
              <w:top w:val="single" w:sz="18" w:space="0" w:color="A6A6A6"/>
              <w:left w:val="nil"/>
              <w:bottom w:val="single" w:sz="18" w:space="0" w:color="A6A6A6"/>
              <w:right w:val="nil"/>
            </w:tcBorders>
            <w:textDirection w:val="tbRl"/>
            <w:hideMark/>
          </w:tcPr>
          <w:p w14:paraId="48385D2F" w14:textId="77777777" w:rsidR="002358C2" w:rsidRPr="00186B8F" w:rsidRDefault="002358C2" w:rsidP="00992301">
            <w:pPr>
              <w:ind w:left="113" w:right="113"/>
              <w:jc w:val="center"/>
              <w:rPr>
                <w:b/>
                <w:color w:val="auto"/>
                <w:sz w:val="18"/>
                <w:szCs w:val="18"/>
              </w:rPr>
            </w:pPr>
            <w:r w:rsidRPr="00186B8F">
              <w:rPr>
                <w:b/>
                <w:color w:val="auto"/>
                <w:sz w:val="18"/>
                <w:szCs w:val="18"/>
              </w:rPr>
              <w:t>ODP</w:t>
            </w:r>
          </w:p>
        </w:tc>
      </w:tr>
      <w:tr w:rsidR="002358C2" w:rsidRPr="00186B8F" w14:paraId="16F3BDF0" w14:textId="77777777" w:rsidTr="00992301">
        <w:trPr>
          <w:trHeight w:val="255"/>
        </w:trPr>
        <w:tc>
          <w:tcPr>
            <w:tcW w:w="737" w:type="dxa"/>
            <w:noWrap/>
            <w:vAlign w:val="center"/>
            <w:hideMark/>
          </w:tcPr>
          <w:p w14:paraId="17CD0B76" w14:textId="77777777" w:rsidR="002358C2" w:rsidRPr="00186B8F" w:rsidRDefault="002358C2" w:rsidP="00992301">
            <w:pPr>
              <w:rPr>
                <w:color w:val="auto"/>
                <w:sz w:val="16"/>
                <w:szCs w:val="16"/>
              </w:rPr>
            </w:pPr>
            <w:r w:rsidRPr="00186B8F">
              <w:rPr>
                <w:color w:val="auto"/>
                <w:sz w:val="16"/>
                <w:szCs w:val="16"/>
              </w:rPr>
              <w:t>R-427B</w:t>
            </w:r>
          </w:p>
        </w:tc>
        <w:tc>
          <w:tcPr>
            <w:tcW w:w="3458" w:type="dxa"/>
            <w:noWrap/>
            <w:vAlign w:val="center"/>
            <w:hideMark/>
          </w:tcPr>
          <w:p w14:paraId="303D64F1" w14:textId="77777777" w:rsidR="002358C2" w:rsidRPr="00186B8F" w:rsidRDefault="002358C2" w:rsidP="00992301">
            <w:pPr>
              <w:rPr>
                <w:color w:val="auto"/>
                <w:sz w:val="16"/>
                <w:szCs w:val="16"/>
              </w:rPr>
            </w:pPr>
            <w:r w:rsidRPr="00186B8F">
              <w:rPr>
                <w:color w:val="auto"/>
                <w:sz w:val="16"/>
                <w:szCs w:val="16"/>
              </w:rPr>
              <w:t>HFC-32/HFC-125/HFC-143a/HFC-134a (20.6/25.6/19.0/34.8)</w:t>
            </w:r>
          </w:p>
        </w:tc>
        <w:tc>
          <w:tcPr>
            <w:tcW w:w="677" w:type="dxa"/>
            <w:tcMar>
              <w:top w:w="0" w:type="dxa"/>
              <w:left w:w="0" w:type="dxa"/>
              <w:bottom w:w="0" w:type="dxa"/>
              <w:right w:w="0" w:type="dxa"/>
            </w:tcMar>
            <w:vAlign w:val="center"/>
            <w:hideMark/>
          </w:tcPr>
          <w:p w14:paraId="3E56386F" w14:textId="77777777" w:rsidR="002358C2" w:rsidRPr="00186B8F" w:rsidRDefault="002358C2" w:rsidP="00992301">
            <w:pPr>
              <w:jc w:val="center"/>
              <w:rPr>
                <w:color w:val="auto"/>
                <w:sz w:val="16"/>
                <w:szCs w:val="16"/>
              </w:rPr>
            </w:pPr>
            <w:r w:rsidRPr="00186B8F">
              <w:rPr>
                <w:color w:val="auto"/>
                <w:sz w:val="16"/>
                <w:szCs w:val="16"/>
              </w:rPr>
              <w:t>85.0</w:t>
            </w:r>
          </w:p>
        </w:tc>
        <w:tc>
          <w:tcPr>
            <w:tcW w:w="1074" w:type="dxa"/>
            <w:tcMar>
              <w:top w:w="0" w:type="dxa"/>
              <w:left w:w="0" w:type="dxa"/>
              <w:bottom w:w="0" w:type="dxa"/>
              <w:right w:w="0" w:type="dxa"/>
            </w:tcMar>
            <w:vAlign w:val="center"/>
            <w:hideMark/>
          </w:tcPr>
          <w:p w14:paraId="0CBFCDB9" w14:textId="77777777" w:rsidR="002358C2" w:rsidRPr="00186B8F" w:rsidRDefault="002358C2" w:rsidP="00992301">
            <w:pPr>
              <w:jc w:val="center"/>
              <w:rPr>
                <w:color w:val="auto"/>
                <w:sz w:val="16"/>
                <w:szCs w:val="16"/>
              </w:rPr>
            </w:pPr>
            <w:r w:rsidRPr="00186B8F">
              <w:rPr>
                <w:color w:val="auto"/>
                <w:sz w:val="16"/>
                <w:szCs w:val="16"/>
              </w:rPr>
              <w:t>–46</w:t>
            </w:r>
            <w:r>
              <w:rPr>
                <w:color w:val="auto"/>
                <w:sz w:val="16"/>
                <w:szCs w:val="16"/>
              </w:rPr>
              <w:t>.</w:t>
            </w:r>
            <w:r w:rsidRPr="00186B8F">
              <w:rPr>
                <w:color w:val="auto"/>
                <w:sz w:val="16"/>
                <w:szCs w:val="16"/>
              </w:rPr>
              <w:t>2/–40</w:t>
            </w:r>
            <w:r>
              <w:rPr>
                <w:color w:val="auto"/>
                <w:sz w:val="16"/>
                <w:szCs w:val="16"/>
              </w:rPr>
              <w:t>.</w:t>
            </w:r>
            <w:r w:rsidRPr="00186B8F">
              <w:rPr>
                <w:color w:val="auto"/>
                <w:sz w:val="16"/>
                <w:szCs w:val="16"/>
              </w:rPr>
              <w:t>1</w:t>
            </w:r>
          </w:p>
        </w:tc>
        <w:tc>
          <w:tcPr>
            <w:tcW w:w="459" w:type="dxa"/>
            <w:tcMar>
              <w:top w:w="0" w:type="dxa"/>
              <w:left w:w="0" w:type="dxa"/>
              <w:bottom w:w="0" w:type="dxa"/>
              <w:right w:w="0" w:type="dxa"/>
            </w:tcMar>
            <w:vAlign w:val="center"/>
            <w:hideMark/>
          </w:tcPr>
          <w:p w14:paraId="3543EC0D"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Mar>
              <w:top w:w="0" w:type="dxa"/>
              <w:left w:w="0" w:type="dxa"/>
              <w:bottom w:w="0" w:type="dxa"/>
              <w:right w:w="0" w:type="dxa"/>
            </w:tcMar>
            <w:vAlign w:val="center"/>
            <w:hideMark/>
          </w:tcPr>
          <w:p w14:paraId="09C39142" w14:textId="77777777" w:rsidR="002358C2" w:rsidRPr="00186B8F" w:rsidRDefault="002358C2" w:rsidP="00992301">
            <w:pPr>
              <w:jc w:val="center"/>
              <w:rPr>
                <w:color w:val="auto"/>
                <w:sz w:val="16"/>
                <w:szCs w:val="16"/>
              </w:rPr>
            </w:pPr>
            <w:r w:rsidRPr="00186B8F">
              <w:rPr>
                <w:color w:val="auto"/>
                <w:sz w:val="16"/>
                <w:szCs w:val="16"/>
              </w:rPr>
              <w:t>2,500</w:t>
            </w:r>
          </w:p>
        </w:tc>
        <w:tc>
          <w:tcPr>
            <w:tcW w:w="538" w:type="dxa"/>
            <w:tcMar>
              <w:top w:w="0" w:type="dxa"/>
              <w:left w:w="0" w:type="dxa"/>
              <w:bottom w:w="0" w:type="dxa"/>
              <w:right w:w="0" w:type="dxa"/>
            </w:tcMar>
            <w:vAlign w:val="center"/>
            <w:hideMark/>
          </w:tcPr>
          <w:p w14:paraId="2EA83EFC" w14:textId="77777777" w:rsidR="002358C2" w:rsidRPr="00186B8F" w:rsidRDefault="002358C2" w:rsidP="00992301">
            <w:pPr>
              <w:jc w:val="center"/>
              <w:rPr>
                <w:color w:val="auto"/>
                <w:sz w:val="16"/>
                <w:szCs w:val="16"/>
              </w:rPr>
            </w:pPr>
            <w:r w:rsidRPr="00186B8F">
              <w:rPr>
                <w:color w:val="auto"/>
                <w:sz w:val="16"/>
                <w:szCs w:val="16"/>
              </w:rPr>
              <w:t>4,800</w:t>
            </w:r>
          </w:p>
        </w:tc>
        <w:tc>
          <w:tcPr>
            <w:tcW w:w="545" w:type="dxa"/>
            <w:vAlign w:val="center"/>
          </w:tcPr>
          <w:p w14:paraId="07851142" w14:textId="77777777" w:rsidR="002358C2" w:rsidRPr="00186B8F" w:rsidRDefault="002358C2" w:rsidP="00992301">
            <w:pPr>
              <w:jc w:val="center"/>
              <w:rPr>
                <w:color w:val="auto"/>
                <w:sz w:val="16"/>
                <w:szCs w:val="16"/>
              </w:rPr>
            </w:pPr>
          </w:p>
        </w:tc>
      </w:tr>
      <w:tr w:rsidR="002358C2" w:rsidRPr="00186B8F" w14:paraId="0DCCE012" w14:textId="77777777" w:rsidTr="00992301">
        <w:trPr>
          <w:trHeight w:val="255"/>
        </w:trPr>
        <w:tc>
          <w:tcPr>
            <w:tcW w:w="737" w:type="dxa"/>
            <w:noWrap/>
            <w:vAlign w:val="center"/>
          </w:tcPr>
          <w:p w14:paraId="1FCA5311" w14:textId="77777777" w:rsidR="002358C2" w:rsidRPr="00186B8F" w:rsidRDefault="002358C2" w:rsidP="00992301">
            <w:pPr>
              <w:rPr>
                <w:color w:val="auto"/>
                <w:sz w:val="16"/>
                <w:szCs w:val="16"/>
              </w:rPr>
            </w:pPr>
            <w:r w:rsidRPr="00186B8F">
              <w:rPr>
                <w:color w:val="auto"/>
                <w:sz w:val="16"/>
                <w:szCs w:val="16"/>
              </w:rPr>
              <w:t>R-427C</w:t>
            </w:r>
          </w:p>
        </w:tc>
        <w:tc>
          <w:tcPr>
            <w:tcW w:w="3458" w:type="dxa"/>
            <w:noWrap/>
            <w:vAlign w:val="center"/>
          </w:tcPr>
          <w:p w14:paraId="2FE17377" w14:textId="77777777" w:rsidR="002358C2" w:rsidRPr="00186B8F" w:rsidRDefault="002358C2" w:rsidP="00992301">
            <w:pPr>
              <w:rPr>
                <w:color w:val="auto"/>
                <w:sz w:val="16"/>
                <w:szCs w:val="16"/>
              </w:rPr>
            </w:pPr>
            <w:r w:rsidRPr="00186B8F">
              <w:rPr>
                <w:color w:val="auto"/>
                <w:sz w:val="16"/>
                <w:szCs w:val="16"/>
              </w:rPr>
              <w:t>He-32/HFC-125/HFC-143a/HFC-134a (25.0/25.0/10.0/40.0)</w:t>
            </w:r>
          </w:p>
        </w:tc>
        <w:tc>
          <w:tcPr>
            <w:tcW w:w="677" w:type="dxa"/>
            <w:tcMar>
              <w:top w:w="0" w:type="dxa"/>
              <w:left w:w="0" w:type="dxa"/>
              <w:bottom w:w="0" w:type="dxa"/>
              <w:right w:w="0" w:type="dxa"/>
            </w:tcMar>
            <w:vAlign w:val="center"/>
          </w:tcPr>
          <w:p w14:paraId="77177039" w14:textId="77777777" w:rsidR="002358C2" w:rsidRPr="00186B8F" w:rsidRDefault="002358C2" w:rsidP="00992301">
            <w:pPr>
              <w:jc w:val="center"/>
              <w:rPr>
                <w:color w:val="auto"/>
                <w:sz w:val="16"/>
                <w:szCs w:val="16"/>
              </w:rPr>
            </w:pPr>
            <w:r w:rsidRPr="00186B8F">
              <w:rPr>
                <w:color w:val="auto"/>
                <w:sz w:val="16"/>
                <w:szCs w:val="16"/>
              </w:rPr>
              <w:t>83.3</w:t>
            </w:r>
          </w:p>
        </w:tc>
        <w:tc>
          <w:tcPr>
            <w:tcW w:w="1074" w:type="dxa"/>
            <w:tcMar>
              <w:top w:w="0" w:type="dxa"/>
              <w:left w:w="0" w:type="dxa"/>
              <w:bottom w:w="0" w:type="dxa"/>
              <w:right w:w="0" w:type="dxa"/>
            </w:tcMar>
            <w:vAlign w:val="center"/>
          </w:tcPr>
          <w:p w14:paraId="59392C4C" w14:textId="77777777" w:rsidR="002358C2" w:rsidRPr="00186B8F" w:rsidRDefault="002358C2" w:rsidP="00992301">
            <w:pPr>
              <w:jc w:val="center"/>
              <w:rPr>
                <w:color w:val="auto"/>
                <w:sz w:val="16"/>
                <w:szCs w:val="16"/>
              </w:rPr>
            </w:pPr>
            <w:r>
              <w:rPr>
                <w:color w:val="auto"/>
                <w:sz w:val="16"/>
                <w:szCs w:val="16"/>
              </w:rPr>
              <w:t>–45.9/–39.</w:t>
            </w:r>
            <w:r w:rsidRPr="00186B8F">
              <w:rPr>
                <w:color w:val="auto"/>
                <w:sz w:val="16"/>
                <w:szCs w:val="16"/>
              </w:rPr>
              <w:t>4</w:t>
            </w:r>
          </w:p>
        </w:tc>
        <w:tc>
          <w:tcPr>
            <w:tcW w:w="459" w:type="dxa"/>
            <w:tcMar>
              <w:top w:w="0" w:type="dxa"/>
              <w:left w:w="0" w:type="dxa"/>
              <w:bottom w:w="0" w:type="dxa"/>
              <w:right w:w="0" w:type="dxa"/>
            </w:tcMar>
            <w:vAlign w:val="center"/>
          </w:tcPr>
          <w:p w14:paraId="0165478A"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Mar>
              <w:top w:w="0" w:type="dxa"/>
              <w:left w:w="0" w:type="dxa"/>
              <w:bottom w:w="0" w:type="dxa"/>
              <w:right w:w="0" w:type="dxa"/>
            </w:tcMar>
            <w:vAlign w:val="center"/>
          </w:tcPr>
          <w:p w14:paraId="25762A23" w14:textId="77777777" w:rsidR="002358C2" w:rsidRPr="00186B8F" w:rsidRDefault="002358C2" w:rsidP="00992301">
            <w:pPr>
              <w:jc w:val="center"/>
              <w:rPr>
                <w:color w:val="auto"/>
                <w:sz w:val="16"/>
                <w:szCs w:val="16"/>
              </w:rPr>
            </w:pPr>
            <w:r w:rsidRPr="00186B8F">
              <w:rPr>
                <w:color w:val="auto"/>
                <w:sz w:val="16"/>
                <w:szCs w:val="16"/>
              </w:rPr>
              <w:t>2,100</w:t>
            </w:r>
          </w:p>
        </w:tc>
        <w:tc>
          <w:tcPr>
            <w:tcW w:w="538" w:type="dxa"/>
            <w:tcMar>
              <w:top w:w="0" w:type="dxa"/>
              <w:left w:w="0" w:type="dxa"/>
              <w:bottom w:w="0" w:type="dxa"/>
              <w:right w:w="0" w:type="dxa"/>
            </w:tcMar>
            <w:vAlign w:val="center"/>
          </w:tcPr>
          <w:p w14:paraId="413B529D" w14:textId="77777777" w:rsidR="002358C2" w:rsidRPr="00186B8F" w:rsidRDefault="002358C2" w:rsidP="00992301">
            <w:pPr>
              <w:jc w:val="center"/>
              <w:rPr>
                <w:color w:val="auto"/>
                <w:sz w:val="16"/>
                <w:szCs w:val="16"/>
              </w:rPr>
            </w:pPr>
            <w:r w:rsidRPr="00186B8F">
              <w:rPr>
                <w:color w:val="auto"/>
                <w:sz w:val="16"/>
                <w:szCs w:val="16"/>
              </w:rPr>
              <w:t>4,400</w:t>
            </w:r>
          </w:p>
        </w:tc>
        <w:tc>
          <w:tcPr>
            <w:tcW w:w="545" w:type="dxa"/>
            <w:vAlign w:val="center"/>
          </w:tcPr>
          <w:p w14:paraId="1BDD2478" w14:textId="77777777" w:rsidR="002358C2" w:rsidRPr="00186B8F" w:rsidRDefault="002358C2" w:rsidP="00992301">
            <w:pPr>
              <w:jc w:val="center"/>
              <w:rPr>
                <w:color w:val="auto"/>
                <w:sz w:val="16"/>
                <w:szCs w:val="16"/>
              </w:rPr>
            </w:pPr>
          </w:p>
        </w:tc>
      </w:tr>
      <w:tr w:rsidR="002358C2" w:rsidRPr="00186B8F" w14:paraId="2DDEA35B" w14:textId="77777777" w:rsidTr="00992301">
        <w:trPr>
          <w:trHeight w:val="255"/>
        </w:trPr>
        <w:tc>
          <w:tcPr>
            <w:tcW w:w="737" w:type="dxa"/>
            <w:noWrap/>
            <w:vAlign w:val="center"/>
          </w:tcPr>
          <w:p w14:paraId="07BCC92A" w14:textId="77777777" w:rsidR="002358C2" w:rsidRPr="00186B8F" w:rsidRDefault="002358C2" w:rsidP="00992301">
            <w:pPr>
              <w:rPr>
                <w:color w:val="auto"/>
                <w:sz w:val="16"/>
                <w:szCs w:val="16"/>
              </w:rPr>
            </w:pPr>
            <w:r w:rsidRPr="00186B8F">
              <w:rPr>
                <w:color w:val="auto"/>
                <w:sz w:val="16"/>
                <w:szCs w:val="16"/>
              </w:rPr>
              <w:t>R-448B</w:t>
            </w:r>
          </w:p>
        </w:tc>
        <w:tc>
          <w:tcPr>
            <w:tcW w:w="3458" w:type="dxa"/>
            <w:noWrap/>
            <w:vAlign w:val="center"/>
          </w:tcPr>
          <w:p w14:paraId="707E13B1" w14:textId="77777777" w:rsidR="002358C2" w:rsidRPr="00186B8F" w:rsidRDefault="002358C2" w:rsidP="00992301">
            <w:pPr>
              <w:rPr>
                <w:color w:val="auto"/>
                <w:sz w:val="16"/>
                <w:szCs w:val="16"/>
              </w:rPr>
            </w:pPr>
            <w:r w:rsidRPr="00186B8F">
              <w:rPr>
                <w:color w:val="auto"/>
                <w:sz w:val="16"/>
                <w:szCs w:val="16"/>
              </w:rPr>
              <w:t>HFC-32/ HFC-125/ HFO-1234yf/ HFC-134a/ HFO-1234ze(E) (21.0/21.0/20.0/31.0/7.0)</w:t>
            </w:r>
          </w:p>
        </w:tc>
        <w:tc>
          <w:tcPr>
            <w:tcW w:w="677" w:type="dxa"/>
            <w:tcMar>
              <w:top w:w="0" w:type="dxa"/>
              <w:left w:w="0" w:type="dxa"/>
              <w:bottom w:w="0" w:type="dxa"/>
              <w:right w:w="0" w:type="dxa"/>
            </w:tcMar>
            <w:vAlign w:val="center"/>
          </w:tcPr>
          <w:p w14:paraId="2FC6596C" w14:textId="77777777" w:rsidR="002358C2" w:rsidRPr="00186B8F" w:rsidRDefault="002358C2" w:rsidP="00992301">
            <w:pPr>
              <w:jc w:val="center"/>
              <w:rPr>
                <w:color w:val="auto"/>
                <w:sz w:val="16"/>
                <w:szCs w:val="16"/>
              </w:rPr>
            </w:pPr>
            <w:r w:rsidRPr="00186B8F">
              <w:rPr>
                <w:color w:val="auto"/>
                <w:sz w:val="16"/>
                <w:szCs w:val="16"/>
              </w:rPr>
              <w:t>89.3</w:t>
            </w:r>
          </w:p>
        </w:tc>
        <w:tc>
          <w:tcPr>
            <w:tcW w:w="1074" w:type="dxa"/>
            <w:tcMar>
              <w:top w:w="0" w:type="dxa"/>
              <w:left w:w="0" w:type="dxa"/>
              <w:bottom w:w="0" w:type="dxa"/>
              <w:right w:w="0" w:type="dxa"/>
            </w:tcMar>
            <w:vAlign w:val="center"/>
          </w:tcPr>
          <w:p w14:paraId="67616244" w14:textId="77777777" w:rsidR="002358C2" w:rsidRPr="00186B8F" w:rsidRDefault="002358C2" w:rsidP="00992301">
            <w:pPr>
              <w:jc w:val="center"/>
              <w:rPr>
                <w:color w:val="auto"/>
                <w:sz w:val="16"/>
                <w:szCs w:val="16"/>
              </w:rPr>
            </w:pPr>
            <w:r>
              <w:rPr>
                <w:color w:val="auto"/>
                <w:sz w:val="16"/>
                <w:szCs w:val="16"/>
              </w:rPr>
              <w:t>–44.1/–37.</w:t>
            </w:r>
            <w:r w:rsidRPr="00186B8F">
              <w:rPr>
                <w:color w:val="auto"/>
                <w:sz w:val="16"/>
                <w:szCs w:val="16"/>
              </w:rPr>
              <w:t>4</w:t>
            </w:r>
          </w:p>
        </w:tc>
        <w:tc>
          <w:tcPr>
            <w:tcW w:w="459" w:type="dxa"/>
            <w:tcMar>
              <w:top w:w="0" w:type="dxa"/>
              <w:left w:w="0" w:type="dxa"/>
              <w:bottom w:w="0" w:type="dxa"/>
              <w:right w:w="0" w:type="dxa"/>
            </w:tcMar>
            <w:vAlign w:val="center"/>
          </w:tcPr>
          <w:p w14:paraId="1E03C956"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Mar>
              <w:top w:w="0" w:type="dxa"/>
              <w:left w:w="0" w:type="dxa"/>
              <w:bottom w:w="0" w:type="dxa"/>
              <w:right w:w="0" w:type="dxa"/>
            </w:tcMar>
            <w:vAlign w:val="center"/>
          </w:tcPr>
          <w:p w14:paraId="124F9AAC" w14:textId="77777777" w:rsidR="002358C2" w:rsidRPr="00186B8F" w:rsidRDefault="002358C2" w:rsidP="00992301">
            <w:pPr>
              <w:jc w:val="center"/>
              <w:rPr>
                <w:color w:val="auto"/>
                <w:sz w:val="16"/>
                <w:szCs w:val="16"/>
              </w:rPr>
            </w:pPr>
            <w:r w:rsidRPr="00186B8F">
              <w:rPr>
                <w:color w:val="auto"/>
                <w:sz w:val="16"/>
                <w:szCs w:val="16"/>
              </w:rPr>
              <w:t>1,300</w:t>
            </w:r>
          </w:p>
        </w:tc>
        <w:tc>
          <w:tcPr>
            <w:tcW w:w="538" w:type="dxa"/>
            <w:tcMar>
              <w:top w:w="0" w:type="dxa"/>
              <w:left w:w="0" w:type="dxa"/>
              <w:bottom w:w="0" w:type="dxa"/>
              <w:right w:w="0" w:type="dxa"/>
            </w:tcMar>
            <w:vAlign w:val="center"/>
          </w:tcPr>
          <w:p w14:paraId="12ED7554" w14:textId="77777777" w:rsidR="002358C2" w:rsidRPr="00186B8F" w:rsidRDefault="002358C2" w:rsidP="00992301">
            <w:pPr>
              <w:jc w:val="center"/>
              <w:rPr>
                <w:color w:val="auto"/>
                <w:sz w:val="16"/>
                <w:szCs w:val="16"/>
              </w:rPr>
            </w:pPr>
            <w:r w:rsidRPr="00186B8F">
              <w:rPr>
                <w:color w:val="auto"/>
                <w:sz w:val="16"/>
                <w:szCs w:val="16"/>
              </w:rPr>
              <w:t>3,000</w:t>
            </w:r>
          </w:p>
        </w:tc>
        <w:tc>
          <w:tcPr>
            <w:tcW w:w="545" w:type="dxa"/>
            <w:vAlign w:val="center"/>
          </w:tcPr>
          <w:p w14:paraId="3ABADDE0" w14:textId="77777777" w:rsidR="002358C2" w:rsidRPr="00186B8F" w:rsidRDefault="002358C2" w:rsidP="00992301">
            <w:pPr>
              <w:jc w:val="center"/>
              <w:rPr>
                <w:color w:val="auto"/>
                <w:sz w:val="16"/>
                <w:szCs w:val="16"/>
              </w:rPr>
            </w:pPr>
          </w:p>
        </w:tc>
      </w:tr>
      <w:tr w:rsidR="002358C2" w:rsidRPr="00186B8F" w14:paraId="7E8CF34C" w14:textId="77777777" w:rsidTr="00992301">
        <w:trPr>
          <w:trHeight w:val="255"/>
        </w:trPr>
        <w:tc>
          <w:tcPr>
            <w:tcW w:w="737" w:type="dxa"/>
            <w:noWrap/>
            <w:vAlign w:val="center"/>
          </w:tcPr>
          <w:p w14:paraId="512DB0C0" w14:textId="77777777" w:rsidR="002358C2" w:rsidRPr="00186B8F" w:rsidRDefault="002358C2" w:rsidP="00992301">
            <w:pPr>
              <w:rPr>
                <w:color w:val="auto"/>
                <w:sz w:val="16"/>
                <w:szCs w:val="16"/>
              </w:rPr>
            </w:pPr>
            <w:r w:rsidRPr="00186B8F">
              <w:rPr>
                <w:color w:val="auto"/>
                <w:sz w:val="16"/>
                <w:szCs w:val="16"/>
              </w:rPr>
              <w:t>R-457B</w:t>
            </w:r>
          </w:p>
        </w:tc>
        <w:tc>
          <w:tcPr>
            <w:tcW w:w="3458" w:type="dxa"/>
            <w:noWrap/>
            <w:vAlign w:val="center"/>
          </w:tcPr>
          <w:p w14:paraId="60E295A8" w14:textId="77777777" w:rsidR="002358C2" w:rsidRPr="00186B8F" w:rsidRDefault="002358C2" w:rsidP="00992301">
            <w:pPr>
              <w:rPr>
                <w:color w:val="auto"/>
                <w:sz w:val="16"/>
                <w:szCs w:val="16"/>
              </w:rPr>
            </w:pPr>
            <w:r w:rsidRPr="00186B8F">
              <w:rPr>
                <w:color w:val="auto"/>
                <w:sz w:val="16"/>
                <w:szCs w:val="16"/>
              </w:rPr>
              <w:t>HFC-32/HFO-1234yf/HFC-152a (35.0/55.0/10.0)</w:t>
            </w:r>
          </w:p>
        </w:tc>
        <w:tc>
          <w:tcPr>
            <w:tcW w:w="677" w:type="dxa"/>
            <w:tcMar>
              <w:top w:w="0" w:type="dxa"/>
              <w:left w:w="0" w:type="dxa"/>
              <w:bottom w:w="0" w:type="dxa"/>
              <w:right w:w="0" w:type="dxa"/>
            </w:tcMar>
            <w:vAlign w:val="center"/>
          </w:tcPr>
          <w:p w14:paraId="6F943B0D" w14:textId="77777777" w:rsidR="002358C2" w:rsidRPr="00186B8F" w:rsidRDefault="002358C2" w:rsidP="00992301">
            <w:pPr>
              <w:jc w:val="center"/>
              <w:rPr>
                <w:color w:val="auto"/>
                <w:sz w:val="16"/>
                <w:szCs w:val="16"/>
              </w:rPr>
            </w:pPr>
            <w:r w:rsidRPr="00186B8F">
              <w:rPr>
                <w:color w:val="auto"/>
                <w:sz w:val="16"/>
                <w:szCs w:val="16"/>
              </w:rPr>
              <w:t>76.5</w:t>
            </w:r>
          </w:p>
        </w:tc>
        <w:tc>
          <w:tcPr>
            <w:tcW w:w="1074" w:type="dxa"/>
            <w:tcMar>
              <w:top w:w="0" w:type="dxa"/>
              <w:left w:w="0" w:type="dxa"/>
              <w:bottom w:w="0" w:type="dxa"/>
              <w:right w:w="0" w:type="dxa"/>
            </w:tcMar>
            <w:vAlign w:val="center"/>
          </w:tcPr>
          <w:p w14:paraId="24AA4694" w14:textId="77777777" w:rsidR="002358C2" w:rsidRPr="00186B8F" w:rsidRDefault="002358C2" w:rsidP="00992301">
            <w:pPr>
              <w:jc w:val="center"/>
              <w:rPr>
                <w:color w:val="auto"/>
                <w:sz w:val="16"/>
                <w:szCs w:val="16"/>
              </w:rPr>
            </w:pPr>
            <w:r>
              <w:rPr>
                <w:color w:val="auto"/>
                <w:sz w:val="16"/>
                <w:szCs w:val="16"/>
              </w:rPr>
              <w:t>–46.4/–40.</w:t>
            </w:r>
            <w:r w:rsidRPr="00186B8F">
              <w:rPr>
                <w:color w:val="auto"/>
                <w:sz w:val="16"/>
                <w:szCs w:val="16"/>
              </w:rPr>
              <w:t>4</w:t>
            </w:r>
          </w:p>
        </w:tc>
        <w:tc>
          <w:tcPr>
            <w:tcW w:w="459" w:type="dxa"/>
            <w:tcMar>
              <w:top w:w="0" w:type="dxa"/>
              <w:left w:w="0" w:type="dxa"/>
              <w:bottom w:w="0" w:type="dxa"/>
              <w:right w:w="0" w:type="dxa"/>
            </w:tcMar>
            <w:vAlign w:val="center"/>
          </w:tcPr>
          <w:p w14:paraId="33626220" w14:textId="77777777" w:rsidR="002358C2" w:rsidRPr="00186B8F" w:rsidRDefault="002358C2" w:rsidP="00992301">
            <w:pPr>
              <w:jc w:val="center"/>
              <w:rPr>
                <w:color w:val="auto"/>
                <w:sz w:val="16"/>
                <w:szCs w:val="16"/>
              </w:rPr>
            </w:pPr>
            <w:r w:rsidRPr="00186B8F">
              <w:rPr>
                <w:color w:val="auto"/>
                <w:sz w:val="16"/>
                <w:szCs w:val="16"/>
              </w:rPr>
              <w:t>A2L</w:t>
            </w:r>
          </w:p>
        </w:tc>
        <w:tc>
          <w:tcPr>
            <w:tcW w:w="459" w:type="dxa"/>
            <w:tcMar>
              <w:top w:w="0" w:type="dxa"/>
              <w:left w:w="0" w:type="dxa"/>
              <w:bottom w:w="0" w:type="dxa"/>
              <w:right w:w="0" w:type="dxa"/>
            </w:tcMar>
            <w:vAlign w:val="center"/>
          </w:tcPr>
          <w:p w14:paraId="605B2E9A" w14:textId="77777777" w:rsidR="002358C2" w:rsidRPr="00186B8F" w:rsidRDefault="002358C2" w:rsidP="00992301">
            <w:pPr>
              <w:jc w:val="center"/>
              <w:rPr>
                <w:color w:val="auto"/>
                <w:sz w:val="16"/>
                <w:szCs w:val="16"/>
              </w:rPr>
            </w:pPr>
            <w:r w:rsidRPr="00186B8F">
              <w:rPr>
                <w:color w:val="auto"/>
                <w:sz w:val="16"/>
                <w:szCs w:val="16"/>
              </w:rPr>
              <w:t>260</w:t>
            </w:r>
          </w:p>
        </w:tc>
        <w:tc>
          <w:tcPr>
            <w:tcW w:w="538" w:type="dxa"/>
            <w:tcMar>
              <w:top w:w="0" w:type="dxa"/>
              <w:left w:w="0" w:type="dxa"/>
              <w:bottom w:w="0" w:type="dxa"/>
              <w:right w:w="0" w:type="dxa"/>
            </w:tcMar>
            <w:vAlign w:val="center"/>
          </w:tcPr>
          <w:p w14:paraId="2517C701" w14:textId="77777777" w:rsidR="002358C2" w:rsidRPr="00186B8F" w:rsidRDefault="002358C2" w:rsidP="00992301">
            <w:pPr>
              <w:jc w:val="center"/>
              <w:rPr>
                <w:color w:val="auto"/>
                <w:sz w:val="16"/>
                <w:szCs w:val="16"/>
              </w:rPr>
            </w:pPr>
            <w:r w:rsidRPr="00186B8F">
              <w:rPr>
                <w:color w:val="auto"/>
                <w:sz w:val="16"/>
                <w:szCs w:val="16"/>
              </w:rPr>
              <w:t>940</w:t>
            </w:r>
          </w:p>
        </w:tc>
        <w:tc>
          <w:tcPr>
            <w:tcW w:w="545" w:type="dxa"/>
            <w:vAlign w:val="center"/>
          </w:tcPr>
          <w:p w14:paraId="1C3A2AE9" w14:textId="77777777" w:rsidR="002358C2" w:rsidRPr="00186B8F" w:rsidRDefault="002358C2" w:rsidP="00992301">
            <w:pPr>
              <w:jc w:val="center"/>
              <w:rPr>
                <w:color w:val="auto"/>
                <w:sz w:val="16"/>
                <w:szCs w:val="16"/>
              </w:rPr>
            </w:pPr>
          </w:p>
        </w:tc>
      </w:tr>
      <w:tr w:rsidR="002358C2" w:rsidRPr="00186B8F" w14:paraId="7C32ED23" w14:textId="77777777" w:rsidTr="00992301">
        <w:trPr>
          <w:trHeight w:val="255"/>
        </w:trPr>
        <w:tc>
          <w:tcPr>
            <w:tcW w:w="737" w:type="dxa"/>
            <w:noWrap/>
            <w:vAlign w:val="center"/>
            <w:hideMark/>
          </w:tcPr>
          <w:p w14:paraId="005EB5D5" w14:textId="77777777" w:rsidR="002358C2" w:rsidRPr="00186B8F" w:rsidRDefault="002358C2" w:rsidP="00992301">
            <w:pPr>
              <w:rPr>
                <w:color w:val="auto"/>
                <w:sz w:val="16"/>
                <w:szCs w:val="16"/>
              </w:rPr>
            </w:pPr>
            <w:r w:rsidRPr="00186B8F">
              <w:rPr>
                <w:color w:val="auto"/>
                <w:sz w:val="16"/>
                <w:szCs w:val="16"/>
              </w:rPr>
              <w:t>R-466A</w:t>
            </w:r>
          </w:p>
        </w:tc>
        <w:tc>
          <w:tcPr>
            <w:tcW w:w="3458" w:type="dxa"/>
            <w:noWrap/>
            <w:vAlign w:val="center"/>
            <w:hideMark/>
          </w:tcPr>
          <w:p w14:paraId="4C724C5F" w14:textId="77777777" w:rsidR="002358C2" w:rsidRPr="00186B8F" w:rsidRDefault="002358C2" w:rsidP="00992301">
            <w:pPr>
              <w:rPr>
                <w:color w:val="auto"/>
                <w:sz w:val="16"/>
                <w:szCs w:val="16"/>
              </w:rPr>
            </w:pPr>
            <w:r w:rsidRPr="00186B8F">
              <w:rPr>
                <w:color w:val="auto"/>
                <w:sz w:val="16"/>
                <w:szCs w:val="16"/>
              </w:rPr>
              <w:t>HFC-32/HFC-125/13I1 (49.0/11.5/39.5)</w:t>
            </w:r>
          </w:p>
        </w:tc>
        <w:tc>
          <w:tcPr>
            <w:tcW w:w="677" w:type="dxa"/>
            <w:tcMar>
              <w:top w:w="0" w:type="dxa"/>
              <w:left w:w="0" w:type="dxa"/>
              <w:bottom w:w="0" w:type="dxa"/>
              <w:right w:w="0" w:type="dxa"/>
            </w:tcMar>
            <w:vAlign w:val="center"/>
            <w:hideMark/>
          </w:tcPr>
          <w:p w14:paraId="57E8C7DB" w14:textId="77777777" w:rsidR="002358C2" w:rsidRPr="00186B8F" w:rsidRDefault="002358C2" w:rsidP="00992301">
            <w:pPr>
              <w:jc w:val="center"/>
              <w:rPr>
                <w:color w:val="auto"/>
                <w:sz w:val="16"/>
                <w:szCs w:val="16"/>
              </w:rPr>
            </w:pPr>
            <w:r w:rsidRPr="00186B8F">
              <w:rPr>
                <w:color w:val="auto"/>
                <w:sz w:val="16"/>
                <w:szCs w:val="16"/>
              </w:rPr>
              <w:t>80.7</w:t>
            </w:r>
          </w:p>
        </w:tc>
        <w:tc>
          <w:tcPr>
            <w:tcW w:w="1074" w:type="dxa"/>
            <w:tcMar>
              <w:top w:w="0" w:type="dxa"/>
              <w:left w:w="0" w:type="dxa"/>
              <w:bottom w:w="0" w:type="dxa"/>
              <w:right w:w="0" w:type="dxa"/>
            </w:tcMar>
            <w:vAlign w:val="center"/>
            <w:hideMark/>
          </w:tcPr>
          <w:p w14:paraId="184801A4" w14:textId="77777777" w:rsidR="002358C2" w:rsidRPr="00186B8F" w:rsidRDefault="002358C2" w:rsidP="00992301">
            <w:pPr>
              <w:jc w:val="center"/>
              <w:rPr>
                <w:color w:val="auto"/>
                <w:sz w:val="16"/>
                <w:szCs w:val="16"/>
              </w:rPr>
            </w:pPr>
            <w:r>
              <w:rPr>
                <w:color w:val="auto"/>
                <w:sz w:val="16"/>
                <w:szCs w:val="16"/>
              </w:rPr>
              <w:t>–51.7/–51.</w:t>
            </w:r>
            <w:r w:rsidRPr="00186B8F">
              <w:rPr>
                <w:color w:val="auto"/>
                <w:sz w:val="16"/>
                <w:szCs w:val="16"/>
              </w:rPr>
              <w:t>0</w:t>
            </w:r>
          </w:p>
        </w:tc>
        <w:tc>
          <w:tcPr>
            <w:tcW w:w="459" w:type="dxa"/>
            <w:tcMar>
              <w:top w:w="0" w:type="dxa"/>
              <w:left w:w="0" w:type="dxa"/>
              <w:bottom w:w="0" w:type="dxa"/>
              <w:right w:w="0" w:type="dxa"/>
            </w:tcMar>
            <w:vAlign w:val="center"/>
            <w:hideMark/>
          </w:tcPr>
          <w:p w14:paraId="1D73A555"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Mar>
              <w:top w:w="0" w:type="dxa"/>
              <w:left w:w="0" w:type="dxa"/>
              <w:bottom w:w="0" w:type="dxa"/>
              <w:right w:w="0" w:type="dxa"/>
            </w:tcMar>
            <w:vAlign w:val="center"/>
            <w:hideMark/>
          </w:tcPr>
          <w:p w14:paraId="789A5C8E" w14:textId="77777777" w:rsidR="002358C2" w:rsidRPr="00186B8F" w:rsidRDefault="002358C2" w:rsidP="00992301">
            <w:pPr>
              <w:jc w:val="center"/>
              <w:rPr>
                <w:color w:val="auto"/>
                <w:sz w:val="16"/>
                <w:szCs w:val="16"/>
              </w:rPr>
            </w:pPr>
            <w:r w:rsidRPr="00186B8F">
              <w:rPr>
                <w:color w:val="auto"/>
                <w:sz w:val="16"/>
                <w:szCs w:val="16"/>
              </w:rPr>
              <w:t>740</w:t>
            </w:r>
          </w:p>
        </w:tc>
        <w:tc>
          <w:tcPr>
            <w:tcW w:w="538" w:type="dxa"/>
            <w:tcMar>
              <w:top w:w="0" w:type="dxa"/>
              <w:left w:w="0" w:type="dxa"/>
              <w:bottom w:w="0" w:type="dxa"/>
              <w:right w:w="0" w:type="dxa"/>
            </w:tcMar>
            <w:vAlign w:val="center"/>
            <w:hideMark/>
          </w:tcPr>
          <w:p w14:paraId="54DDBA02" w14:textId="77777777" w:rsidR="002358C2" w:rsidRPr="00186B8F" w:rsidRDefault="002358C2" w:rsidP="00992301">
            <w:pPr>
              <w:jc w:val="center"/>
              <w:rPr>
                <w:color w:val="auto"/>
                <w:sz w:val="16"/>
                <w:szCs w:val="16"/>
              </w:rPr>
            </w:pPr>
            <w:r w:rsidRPr="00186B8F">
              <w:rPr>
                <w:color w:val="auto"/>
                <w:sz w:val="16"/>
                <w:szCs w:val="16"/>
              </w:rPr>
              <w:t>2,000</w:t>
            </w:r>
          </w:p>
        </w:tc>
        <w:tc>
          <w:tcPr>
            <w:tcW w:w="545" w:type="dxa"/>
            <w:vAlign w:val="center"/>
            <w:hideMark/>
          </w:tcPr>
          <w:p w14:paraId="5935B378" w14:textId="77777777" w:rsidR="002358C2" w:rsidRPr="00186B8F" w:rsidRDefault="002358C2" w:rsidP="00992301">
            <w:pPr>
              <w:jc w:val="center"/>
              <w:rPr>
                <w:color w:val="auto"/>
                <w:sz w:val="16"/>
                <w:szCs w:val="16"/>
              </w:rPr>
            </w:pPr>
            <w:r w:rsidRPr="00186B8F">
              <w:rPr>
                <w:color w:val="auto"/>
                <w:sz w:val="16"/>
                <w:szCs w:val="16"/>
              </w:rPr>
              <w:t>&lt;0.04</w:t>
            </w:r>
          </w:p>
        </w:tc>
      </w:tr>
      <w:tr w:rsidR="002358C2" w:rsidRPr="00186B8F" w14:paraId="1061A9D1" w14:textId="77777777" w:rsidTr="00992301">
        <w:trPr>
          <w:trHeight w:val="255"/>
        </w:trPr>
        <w:tc>
          <w:tcPr>
            <w:tcW w:w="737" w:type="dxa"/>
            <w:noWrap/>
            <w:vAlign w:val="center"/>
            <w:hideMark/>
          </w:tcPr>
          <w:p w14:paraId="48C06328" w14:textId="77777777" w:rsidR="002358C2" w:rsidRPr="00186B8F" w:rsidRDefault="002358C2" w:rsidP="00992301">
            <w:pPr>
              <w:rPr>
                <w:color w:val="auto"/>
                <w:sz w:val="16"/>
                <w:szCs w:val="16"/>
              </w:rPr>
            </w:pPr>
            <w:r w:rsidRPr="00186B8F">
              <w:rPr>
                <w:color w:val="auto"/>
                <w:sz w:val="16"/>
                <w:szCs w:val="16"/>
              </w:rPr>
              <w:t>R-467A</w:t>
            </w:r>
          </w:p>
        </w:tc>
        <w:tc>
          <w:tcPr>
            <w:tcW w:w="3458" w:type="dxa"/>
            <w:noWrap/>
            <w:vAlign w:val="center"/>
            <w:hideMark/>
          </w:tcPr>
          <w:p w14:paraId="17A8D0B9" w14:textId="77777777" w:rsidR="002358C2" w:rsidRPr="00186B8F" w:rsidRDefault="002358C2" w:rsidP="00992301">
            <w:pPr>
              <w:rPr>
                <w:color w:val="auto"/>
                <w:sz w:val="16"/>
                <w:szCs w:val="16"/>
              </w:rPr>
            </w:pPr>
            <w:r w:rsidRPr="00186B8F">
              <w:rPr>
                <w:color w:val="auto"/>
                <w:sz w:val="16"/>
                <w:szCs w:val="16"/>
              </w:rPr>
              <w:t>HFC-32/HFC-125/HFC-134a/HC-600a (22.0/5.0/72.4/0.6)</w:t>
            </w:r>
          </w:p>
        </w:tc>
        <w:tc>
          <w:tcPr>
            <w:tcW w:w="677" w:type="dxa"/>
            <w:tcMar>
              <w:top w:w="0" w:type="dxa"/>
              <w:left w:w="0" w:type="dxa"/>
              <w:bottom w:w="0" w:type="dxa"/>
              <w:right w:w="0" w:type="dxa"/>
            </w:tcMar>
            <w:vAlign w:val="center"/>
            <w:hideMark/>
          </w:tcPr>
          <w:p w14:paraId="425BFEDB" w14:textId="77777777" w:rsidR="002358C2" w:rsidRPr="00186B8F" w:rsidRDefault="002358C2" w:rsidP="00992301">
            <w:pPr>
              <w:jc w:val="center"/>
              <w:rPr>
                <w:color w:val="auto"/>
                <w:sz w:val="16"/>
                <w:szCs w:val="16"/>
              </w:rPr>
            </w:pPr>
            <w:r w:rsidRPr="00186B8F">
              <w:rPr>
                <w:color w:val="auto"/>
                <w:sz w:val="16"/>
                <w:szCs w:val="16"/>
              </w:rPr>
              <w:t>84.4</w:t>
            </w:r>
          </w:p>
        </w:tc>
        <w:tc>
          <w:tcPr>
            <w:tcW w:w="1074" w:type="dxa"/>
            <w:tcMar>
              <w:top w:w="0" w:type="dxa"/>
              <w:left w:w="0" w:type="dxa"/>
              <w:bottom w:w="0" w:type="dxa"/>
              <w:right w:w="0" w:type="dxa"/>
            </w:tcMar>
            <w:vAlign w:val="center"/>
            <w:hideMark/>
          </w:tcPr>
          <w:p w14:paraId="5E4CF37E" w14:textId="77777777" w:rsidR="002358C2" w:rsidRPr="00186B8F" w:rsidRDefault="002358C2" w:rsidP="00992301">
            <w:pPr>
              <w:jc w:val="center"/>
              <w:rPr>
                <w:color w:val="auto"/>
                <w:sz w:val="16"/>
                <w:szCs w:val="16"/>
              </w:rPr>
            </w:pPr>
            <w:r w:rsidRPr="00186B8F">
              <w:rPr>
                <w:color w:val="auto"/>
                <w:sz w:val="16"/>
                <w:szCs w:val="16"/>
              </w:rPr>
              <w:t>–40.5/–33.3</w:t>
            </w:r>
          </w:p>
        </w:tc>
        <w:tc>
          <w:tcPr>
            <w:tcW w:w="459" w:type="dxa"/>
            <w:tcMar>
              <w:top w:w="0" w:type="dxa"/>
              <w:left w:w="0" w:type="dxa"/>
              <w:bottom w:w="0" w:type="dxa"/>
              <w:right w:w="0" w:type="dxa"/>
            </w:tcMar>
            <w:vAlign w:val="center"/>
            <w:hideMark/>
          </w:tcPr>
          <w:p w14:paraId="4926241B"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Mar>
              <w:top w:w="0" w:type="dxa"/>
              <w:left w:w="0" w:type="dxa"/>
              <w:bottom w:w="0" w:type="dxa"/>
              <w:right w:w="0" w:type="dxa"/>
            </w:tcMar>
            <w:vAlign w:val="center"/>
            <w:hideMark/>
          </w:tcPr>
          <w:p w14:paraId="5743F8E6" w14:textId="77777777" w:rsidR="002358C2" w:rsidRPr="00186B8F" w:rsidRDefault="002358C2" w:rsidP="00992301">
            <w:pPr>
              <w:jc w:val="center"/>
              <w:rPr>
                <w:color w:val="auto"/>
                <w:sz w:val="16"/>
                <w:szCs w:val="16"/>
              </w:rPr>
            </w:pPr>
            <w:r w:rsidRPr="00186B8F">
              <w:rPr>
                <w:color w:val="auto"/>
                <w:sz w:val="16"/>
                <w:szCs w:val="16"/>
              </w:rPr>
              <w:t>1,300</w:t>
            </w:r>
          </w:p>
        </w:tc>
        <w:tc>
          <w:tcPr>
            <w:tcW w:w="538" w:type="dxa"/>
            <w:tcMar>
              <w:top w:w="0" w:type="dxa"/>
              <w:left w:w="0" w:type="dxa"/>
              <w:bottom w:w="0" w:type="dxa"/>
              <w:right w:w="0" w:type="dxa"/>
            </w:tcMar>
            <w:vAlign w:val="center"/>
            <w:hideMark/>
          </w:tcPr>
          <w:p w14:paraId="65B06845" w14:textId="77777777" w:rsidR="002358C2" w:rsidRPr="00186B8F" w:rsidRDefault="002358C2" w:rsidP="00992301">
            <w:pPr>
              <w:jc w:val="center"/>
              <w:rPr>
                <w:color w:val="auto"/>
                <w:sz w:val="16"/>
                <w:szCs w:val="16"/>
              </w:rPr>
            </w:pPr>
            <w:r w:rsidRPr="00186B8F">
              <w:rPr>
                <w:color w:val="auto"/>
                <w:sz w:val="16"/>
                <w:szCs w:val="16"/>
              </w:rPr>
              <w:t>3,600</w:t>
            </w:r>
          </w:p>
        </w:tc>
        <w:tc>
          <w:tcPr>
            <w:tcW w:w="545" w:type="dxa"/>
            <w:vAlign w:val="center"/>
          </w:tcPr>
          <w:p w14:paraId="3B9CFB4E" w14:textId="77777777" w:rsidR="002358C2" w:rsidRPr="00186B8F" w:rsidRDefault="002358C2" w:rsidP="00992301">
            <w:pPr>
              <w:jc w:val="center"/>
              <w:rPr>
                <w:color w:val="auto"/>
                <w:sz w:val="16"/>
                <w:szCs w:val="16"/>
              </w:rPr>
            </w:pPr>
          </w:p>
        </w:tc>
      </w:tr>
      <w:tr w:rsidR="002358C2" w:rsidRPr="00186B8F" w14:paraId="5BC10A64" w14:textId="77777777" w:rsidTr="00992301">
        <w:trPr>
          <w:trHeight w:val="255"/>
        </w:trPr>
        <w:tc>
          <w:tcPr>
            <w:tcW w:w="737" w:type="dxa"/>
            <w:noWrap/>
            <w:vAlign w:val="center"/>
            <w:hideMark/>
          </w:tcPr>
          <w:p w14:paraId="0DBC7F89" w14:textId="77777777" w:rsidR="002358C2" w:rsidRPr="00186B8F" w:rsidRDefault="002358C2" w:rsidP="00992301">
            <w:pPr>
              <w:rPr>
                <w:color w:val="auto"/>
                <w:sz w:val="16"/>
                <w:szCs w:val="16"/>
              </w:rPr>
            </w:pPr>
            <w:r w:rsidRPr="00186B8F">
              <w:rPr>
                <w:color w:val="auto"/>
                <w:sz w:val="16"/>
                <w:szCs w:val="16"/>
              </w:rPr>
              <w:t>R-468A</w:t>
            </w:r>
          </w:p>
        </w:tc>
        <w:tc>
          <w:tcPr>
            <w:tcW w:w="3458" w:type="dxa"/>
            <w:noWrap/>
            <w:vAlign w:val="center"/>
            <w:hideMark/>
          </w:tcPr>
          <w:p w14:paraId="13755E9F" w14:textId="77777777" w:rsidR="002358C2" w:rsidRPr="00186B8F" w:rsidRDefault="002358C2" w:rsidP="00992301">
            <w:pPr>
              <w:rPr>
                <w:color w:val="auto"/>
                <w:sz w:val="16"/>
                <w:szCs w:val="16"/>
              </w:rPr>
            </w:pPr>
            <w:r w:rsidRPr="00186B8F">
              <w:rPr>
                <w:color w:val="auto"/>
                <w:sz w:val="16"/>
                <w:szCs w:val="16"/>
              </w:rPr>
              <w:t>HFO-1132a/HFC-32/HFO-1234yf (3.5/21.5/75.0)</w:t>
            </w:r>
          </w:p>
        </w:tc>
        <w:tc>
          <w:tcPr>
            <w:tcW w:w="677" w:type="dxa"/>
            <w:tcMar>
              <w:top w:w="0" w:type="dxa"/>
              <w:left w:w="0" w:type="dxa"/>
              <w:bottom w:w="0" w:type="dxa"/>
              <w:right w:w="0" w:type="dxa"/>
            </w:tcMar>
            <w:vAlign w:val="center"/>
            <w:hideMark/>
          </w:tcPr>
          <w:p w14:paraId="18BBC7EA" w14:textId="77777777" w:rsidR="002358C2" w:rsidRPr="00186B8F" w:rsidRDefault="002358C2" w:rsidP="00992301">
            <w:pPr>
              <w:jc w:val="center"/>
              <w:rPr>
                <w:color w:val="auto"/>
                <w:sz w:val="16"/>
                <w:szCs w:val="16"/>
              </w:rPr>
            </w:pPr>
            <w:r w:rsidRPr="00186B8F">
              <w:rPr>
                <w:color w:val="auto"/>
                <w:sz w:val="16"/>
                <w:szCs w:val="16"/>
              </w:rPr>
              <w:t>88.8</w:t>
            </w:r>
          </w:p>
        </w:tc>
        <w:tc>
          <w:tcPr>
            <w:tcW w:w="1074" w:type="dxa"/>
            <w:tcMar>
              <w:top w:w="0" w:type="dxa"/>
              <w:left w:w="0" w:type="dxa"/>
              <w:bottom w:w="0" w:type="dxa"/>
              <w:right w:w="0" w:type="dxa"/>
            </w:tcMar>
            <w:vAlign w:val="center"/>
            <w:hideMark/>
          </w:tcPr>
          <w:p w14:paraId="76F120CA" w14:textId="77777777" w:rsidR="002358C2" w:rsidRPr="00186B8F" w:rsidRDefault="002358C2" w:rsidP="00992301">
            <w:pPr>
              <w:jc w:val="center"/>
              <w:rPr>
                <w:color w:val="auto"/>
                <w:sz w:val="16"/>
                <w:szCs w:val="16"/>
              </w:rPr>
            </w:pPr>
            <w:r w:rsidRPr="00186B8F">
              <w:rPr>
                <w:color w:val="auto"/>
                <w:sz w:val="16"/>
                <w:szCs w:val="16"/>
              </w:rPr>
              <w:t>–51.3/–39.0</w:t>
            </w:r>
          </w:p>
        </w:tc>
        <w:tc>
          <w:tcPr>
            <w:tcW w:w="459" w:type="dxa"/>
            <w:tcMar>
              <w:top w:w="0" w:type="dxa"/>
              <w:left w:w="0" w:type="dxa"/>
              <w:bottom w:w="0" w:type="dxa"/>
              <w:right w:w="0" w:type="dxa"/>
            </w:tcMar>
            <w:vAlign w:val="center"/>
            <w:hideMark/>
          </w:tcPr>
          <w:p w14:paraId="1B83DBD9" w14:textId="77777777" w:rsidR="002358C2" w:rsidRPr="00186B8F" w:rsidRDefault="002358C2" w:rsidP="00992301">
            <w:pPr>
              <w:jc w:val="center"/>
              <w:rPr>
                <w:color w:val="auto"/>
                <w:sz w:val="16"/>
                <w:szCs w:val="16"/>
              </w:rPr>
            </w:pPr>
            <w:r w:rsidRPr="00186B8F">
              <w:rPr>
                <w:color w:val="auto"/>
                <w:sz w:val="16"/>
                <w:szCs w:val="16"/>
              </w:rPr>
              <w:t>A2L</w:t>
            </w:r>
          </w:p>
        </w:tc>
        <w:tc>
          <w:tcPr>
            <w:tcW w:w="459" w:type="dxa"/>
            <w:tcMar>
              <w:top w:w="0" w:type="dxa"/>
              <w:left w:w="0" w:type="dxa"/>
              <w:bottom w:w="0" w:type="dxa"/>
              <w:right w:w="0" w:type="dxa"/>
            </w:tcMar>
            <w:vAlign w:val="center"/>
            <w:hideMark/>
          </w:tcPr>
          <w:p w14:paraId="2C95CE0E" w14:textId="77777777" w:rsidR="002358C2" w:rsidRPr="00186B8F" w:rsidRDefault="002358C2" w:rsidP="00992301">
            <w:pPr>
              <w:jc w:val="center"/>
              <w:rPr>
                <w:color w:val="auto"/>
                <w:sz w:val="16"/>
                <w:szCs w:val="16"/>
              </w:rPr>
            </w:pPr>
            <w:r w:rsidRPr="00186B8F">
              <w:rPr>
                <w:color w:val="auto"/>
                <w:sz w:val="16"/>
                <w:szCs w:val="16"/>
              </w:rPr>
              <w:t>150</w:t>
            </w:r>
          </w:p>
        </w:tc>
        <w:tc>
          <w:tcPr>
            <w:tcW w:w="538" w:type="dxa"/>
            <w:tcMar>
              <w:top w:w="0" w:type="dxa"/>
              <w:left w:w="0" w:type="dxa"/>
              <w:bottom w:w="0" w:type="dxa"/>
              <w:right w:w="0" w:type="dxa"/>
            </w:tcMar>
            <w:vAlign w:val="center"/>
            <w:hideMark/>
          </w:tcPr>
          <w:p w14:paraId="0A0EA7BC" w14:textId="77777777" w:rsidR="002358C2" w:rsidRPr="00186B8F" w:rsidRDefault="002358C2" w:rsidP="00992301">
            <w:pPr>
              <w:jc w:val="center"/>
              <w:rPr>
                <w:color w:val="auto"/>
                <w:sz w:val="16"/>
                <w:szCs w:val="16"/>
              </w:rPr>
            </w:pPr>
            <w:r w:rsidRPr="00186B8F">
              <w:rPr>
                <w:color w:val="auto"/>
                <w:sz w:val="16"/>
                <w:szCs w:val="16"/>
              </w:rPr>
              <w:t>540</w:t>
            </w:r>
          </w:p>
        </w:tc>
        <w:tc>
          <w:tcPr>
            <w:tcW w:w="545" w:type="dxa"/>
            <w:vAlign w:val="center"/>
          </w:tcPr>
          <w:p w14:paraId="6F45970F" w14:textId="77777777" w:rsidR="002358C2" w:rsidRPr="00186B8F" w:rsidRDefault="002358C2" w:rsidP="00992301">
            <w:pPr>
              <w:jc w:val="center"/>
              <w:rPr>
                <w:color w:val="auto"/>
                <w:sz w:val="16"/>
                <w:szCs w:val="16"/>
              </w:rPr>
            </w:pPr>
          </w:p>
        </w:tc>
      </w:tr>
      <w:tr w:rsidR="002358C2" w:rsidRPr="00186B8F" w14:paraId="435E48DA" w14:textId="77777777" w:rsidTr="00992301">
        <w:trPr>
          <w:trHeight w:val="255"/>
        </w:trPr>
        <w:tc>
          <w:tcPr>
            <w:tcW w:w="737" w:type="dxa"/>
            <w:noWrap/>
            <w:vAlign w:val="center"/>
          </w:tcPr>
          <w:p w14:paraId="17B8868E" w14:textId="77777777" w:rsidR="002358C2" w:rsidRPr="00186B8F" w:rsidRDefault="002358C2" w:rsidP="00992301">
            <w:pPr>
              <w:rPr>
                <w:color w:val="auto"/>
                <w:sz w:val="16"/>
                <w:szCs w:val="16"/>
              </w:rPr>
            </w:pPr>
            <w:r>
              <w:rPr>
                <w:color w:val="auto"/>
                <w:sz w:val="16"/>
                <w:szCs w:val="16"/>
              </w:rPr>
              <w:t>R-468B</w:t>
            </w:r>
          </w:p>
        </w:tc>
        <w:tc>
          <w:tcPr>
            <w:tcW w:w="3458" w:type="dxa"/>
            <w:noWrap/>
            <w:vAlign w:val="center"/>
          </w:tcPr>
          <w:p w14:paraId="1D0EC277" w14:textId="77777777" w:rsidR="002358C2" w:rsidRPr="00186B8F" w:rsidRDefault="002358C2" w:rsidP="00992301">
            <w:pPr>
              <w:rPr>
                <w:color w:val="auto"/>
                <w:sz w:val="16"/>
                <w:szCs w:val="16"/>
              </w:rPr>
            </w:pPr>
            <w:r w:rsidRPr="00186B8F">
              <w:rPr>
                <w:color w:val="auto"/>
                <w:sz w:val="16"/>
                <w:szCs w:val="16"/>
              </w:rPr>
              <w:t xml:space="preserve">HFO-1132a/HFC-32/HFO-1234yf </w:t>
            </w:r>
            <w:r w:rsidRPr="001751D8">
              <w:rPr>
                <w:color w:val="auto"/>
                <w:sz w:val="16"/>
                <w:szCs w:val="16"/>
              </w:rPr>
              <w:t>(6.0/13.0/81.0)</w:t>
            </w:r>
          </w:p>
        </w:tc>
        <w:tc>
          <w:tcPr>
            <w:tcW w:w="677" w:type="dxa"/>
            <w:tcMar>
              <w:top w:w="0" w:type="dxa"/>
              <w:left w:w="0" w:type="dxa"/>
              <w:bottom w:w="0" w:type="dxa"/>
              <w:right w:w="0" w:type="dxa"/>
            </w:tcMar>
            <w:vAlign w:val="center"/>
          </w:tcPr>
          <w:p w14:paraId="5A4710A4" w14:textId="77777777" w:rsidR="002358C2" w:rsidRPr="00186B8F" w:rsidRDefault="002358C2" w:rsidP="00992301">
            <w:pPr>
              <w:jc w:val="center"/>
              <w:rPr>
                <w:color w:val="auto"/>
                <w:sz w:val="16"/>
                <w:szCs w:val="16"/>
              </w:rPr>
            </w:pPr>
            <w:r>
              <w:rPr>
                <w:color w:val="auto"/>
                <w:sz w:val="16"/>
                <w:szCs w:val="16"/>
              </w:rPr>
              <w:t>94.</w:t>
            </w:r>
            <w:r w:rsidRPr="00913221">
              <w:rPr>
                <w:color w:val="auto"/>
                <w:sz w:val="16"/>
                <w:szCs w:val="16"/>
              </w:rPr>
              <w:t>9</w:t>
            </w:r>
          </w:p>
        </w:tc>
        <w:tc>
          <w:tcPr>
            <w:tcW w:w="1074" w:type="dxa"/>
            <w:tcMar>
              <w:top w:w="0" w:type="dxa"/>
              <w:left w:w="0" w:type="dxa"/>
              <w:bottom w:w="0" w:type="dxa"/>
              <w:right w:w="0" w:type="dxa"/>
            </w:tcMar>
            <w:vAlign w:val="center"/>
          </w:tcPr>
          <w:p w14:paraId="7356535E" w14:textId="77777777" w:rsidR="002358C2" w:rsidRPr="00186B8F" w:rsidRDefault="002358C2" w:rsidP="00992301">
            <w:pPr>
              <w:jc w:val="center"/>
              <w:rPr>
                <w:color w:val="auto"/>
                <w:sz w:val="16"/>
                <w:szCs w:val="16"/>
              </w:rPr>
            </w:pPr>
            <w:r w:rsidRPr="00913221">
              <w:rPr>
                <w:color w:val="auto"/>
                <w:sz w:val="16"/>
                <w:szCs w:val="16"/>
              </w:rPr>
              <w:t>–52.4/–36.8</w:t>
            </w:r>
          </w:p>
        </w:tc>
        <w:tc>
          <w:tcPr>
            <w:tcW w:w="459" w:type="dxa"/>
            <w:tcMar>
              <w:top w:w="0" w:type="dxa"/>
              <w:left w:w="0" w:type="dxa"/>
              <w:bottom w:w="0" w:type="dxa"/>
              <w:right w:w="0" w:type="dxa"/>
            </w:tcMar>
            <w:vAlign w:val="center"/>
          </w:tcPr>
          <w:p w14:paraId="51C93DA6" w14:textId="77777777" w:rsidR="002358C2" w:rsidRPr="00186B8F" w:rsidRDefault="002358C2" w:rsidP="00992301">
            <w:pPr>
              <w:jc w:val="center"/>
              <w:rPr>
                <w:color w:val="auto"/>
                <w:sz w:val="16"/>
                <w:szCs w:val="16"/>
              </w:rPr>
            </w:pPr>
            <w:r w:rsidRPr="00186B8F">
              <w:rPr>
                <w:color w:val="auto"/>
                <w:sz w:val="16"/>
                <w:szCs w:val="16"/>
              </w:rPr>
              <w:t>A2L</w:t>
            </w:r>
          </w:p>
        </w:tc>
        <w:tc>
          <w:tcPr>
            <w:tcW w:w="459" w:type="dxa"/>
            <w:tcMar>
              <w:top w:w="0" w:type="dxa"/>
              <w:left w:w="0" w:type="dxa"/>
              <w:bottom w:w="0" w:type="dxa"/>
              <w:right w:w="0" w:type="dxa"/>
            </w:tcMar>
            <w:vAlign w:val="center"/>
          </w:tcPr>
          <w:p w14:paraId="304EF6ED" w14:textId="77777777" w:rsidR="002358C2" w:rsidRPr="00186B8F" w:rsidRDefault="002358C2" w:rsidP="00992301">
            <w:pPr>
              <w:jc w:val="center"/>
              <w:rPr>
                <w:color w:val="auto"/>
                <w:sz w:val="16"/>
                <w:szCs w:val="16"/>
              </w:rPr>
            </w:pPr>
            <w:r>
              <w:rPr>
                <w:color w:val="auto"/>
                <w:sz w:val="16"/>
                <w:szCs w:val="16"/>
              </w:rPr>
              <w:t>93</w:t>
            </w:r>
          </w:p>
        </w:tc>
        <w:tc>
          <w:tcPr>
            <w:tcW w:w="538" w:type="dxa"/>
            <w:tcMar>
              <w:top w:w="0" w:type="dxa"/>
              <w:left w:w="0" w:type="dxa"/>
              <w:bottom w:w="0" w:type="dxa"/>
              <w:right w:w="0" w:type="dxa"/>
            </w:tcMar>
            <w:vAlign w:val="center"/>
          </w:tcPr>
          <w:p w14:paraId="6063B1F8" w14:textId="77777777" w:rsidR="002358C2" w:rsidRPr="00186B8F" w:rsidRDefault="002358C2" w:rsidP="00992301">
            <w:pPr>
              <w:jc w:val="center"/>
              <w:rPr>
                <w:color w:val="auto"/>
                <w:sz w:val="16"/>
                <w:szCs w:val="16"/>
              </w:rPr>
            </w:pPr>
            <w:r>
              <w:rPr>
                <w:color w:val="auto"/>
                <w:sz w:val="16"/>
                <w:szCs w:val="16"/>
              </w:rPr>
              <w:t>330</w:t>
            </w:r>
          </w:p>
        </w:tc>
        <w:tc>
          <w:tcPr>
            <w:tcW w:w="545" w:type="dxa"/>
            <w:vAlign w:val="center"/>
          </w:tcPr>
          <w:p w14:paraId="6BAF690F" w14:textId="77777777" w:rsidR="002358C2" w:rsidRPr="00186B8F" w:rsidRDefault="002358C2" w:rsidP="00992301">
            <w:pPr>
              <w:jc w:val="center"/>
              <w:rPr>
                <w:color w:val="auto"/>
                <w:sz w:val="16"/>
                <w:szCs w:val="16"/>
              </w:rPr>
            </w:pPr>
          </w:p>
        </w:tc>
      </w:tr>
      <w:tr w:rsidR="002358C2" w:rsidRPr="00186B8F" w14:paraId="5D88FAA3" w14:textId="77777777" w:rsidTr="00992301">
        <w:trPr>
          <w:trHeight w:val="255"/>
        </w:trPr>
        <w:tc>
          <w:tcPr>
            <w:tcW w:w="737" w:type="dxa"/>
            <w:noWrap/>
            <w:vAlign w:val="center"/>
          </w:tcPr>
          <w:p w14:paraId="131DBC53" w14:textId="77777777" w:rsidR="002358C2" w:rsidRPr="00186B8F" w:rsidRDefault="002358C2" w:rsidP="00992301">
            <w:pPr>
              <w:rPr>
                <w:color w:val="auto"/>
                <w:sz w:val="16"/>
                <w:szCs w:val="16"/>
              </w:rPr>
            </w:pPr>
            <w:r>
              <w:rPr>
                <w:color w:val="auto"/>
                <w:sz w:val="16"/>
                <w:szCs w:val="16"/>
              </w:rPr>
              <w:t>R-468C</w:t>
            </w:r>
          </w:p>
        </w:tc>
        <w:tc>
          <w:tcPr>
            <w:tcW w:w="3458" w:type="dxa"/>
            <w:noWrap/>
            <w:vAlign w:val="center"/>
          </w:tcPr>
          <w:p w14:paraId="76CE698E" w14:textId="77777777" w:rsidR="002358C2" w:rsidRPr="00186B8F" w:rsidRDefault="002358C2" w:rsidP="00992301">
            <w:pPr>
              <w:rPr>
                <w:color w:val="auto"/>
                <w:sz w:val="16"/>
                <w:szCs w:val="16"/>
              </w:rPr>
            </w:pPr>
            <w:r w:rsidRPr="00186B8F">
              <w:rPr>
                <w:color w:val="auto"/>
                <w:sz w:val="16"/>
                <w:szCs w:val="16"/>
              </w:rPr>
              <w:t xml:space="preserve">HFO-1132a/HFC-32/HFO-1234yf </w:t>
            </w:r>
            <w:r w:rsidRPr="001751D8">
              <w:rPr>
                <w:color w:val="auto"/>
                <w:sz w:val="16"/>
                <w:szCs w:val="16"/>
              </w:rPr>
              <w:t>(6.0/42.0/52.0)</w:t>
            </w:r>
          </w:p>
        </w:tc>
        <w:tc>
          <w:tcPr>
            <w:tcW w:w="677" w:type="dxa"/>
            <w:tcMar>
              <w:top w:w="0" w:type="dxa"/>
              <w:left w:w="0" w:type="dxa"/>
              <w:bottom w:w="0" w:type="dxa"/>
              <w:right w:w="0" w:type="dxa"/>
            </w:tcMar>
            <w:vAlign w:val="center"/>
          </w:tcPr>
          <w:p w14:paraId="67B46FA2" w14:textId="77777777" w:rsidR="002358C2" w:rsidRPr="00186B8F" w:rsidRDefault="002358C2" w:rsidP="00992301">
            <w:pPr>
              <w:jc w:val="center"/>
              <w:rPr>
                <w:color w:val="auto"/>
                <w:sz w:val="16"/>
                <w:szCs w:val="16"/>
              </w:rPr>
            </w:pPr>
            <w:r>
              <w:rPr>
                <w:color w:val="auto"/>
                <w:sz w:val="16"/>
                <w:szCs w:val="16"/>
              </w:rPr>
              <w:t>73.</w:t>
            </w:r>
            <w:r w:rsidRPr="00913221">
              <w:rPr>
                <w:color w:val="auto"/>
                <w:sz w:val="16"/>
                <w:szCs w:val="16"/>
              </w:rPr>
              <w:t>7</w:t>
            </w:r>
          </w:p>
        </w:tc>
        <w:tc>
          <w:tcPr>
            <w:tcW w:w="1074" w:type="dxa"/>
            <w:tcMar>
              <w:top w:w="0" w:type="dxa"/>
              <w:left w:w="0" w:type="dxa"/>
              <w:bottom w:w="0" w:type="dxa"/>
              <w:right w:w="0" w:type="dxa"/>
            </w:tcMar>
            <w:vAlign w:val="center"/>
          </w:tcPr>
          <w:p w14:paraId="102B8E38" w14:textId="77777777" w:rsidR="002358C2" w:rsidRPr="00186B8F" w:rsidRDefault="002358C2" w:rsidP="00992301">
            <w:pPr>
              <w:jc w:val="center"/>
              <w:rPr>
                <w:color w:val="auto"/>
                <w:sz w:val="16"/>
                <w:szCs w:val="16"/>
              </w:rPr>
            </w:pPr>
            <w:r w:rsidRPr="00913221">
              <w:rPr>
                <w:color w:val="auto"/>
                <w:sz w:val="16"/>
                <w:szCs w:val="16"/>
              </w:rPr>
              <w:t>–56.6/–46.2</w:t>
            </w:r>
          </w:p>
        </w:tc>
        <w:tc>
          <w:tcPr>
            <w:tcW w:w="459" w:type="dxa"/>
            <w:tcMar>
              <w:top w:w="0" w:type="dxa"/>
              <w:left w:w="0" w:type="dxa"/>
              <w:bottom w:w="0" w:type="dxa"/>
              <w:right w:w="0" w:type="dxa"/>
            </w:tcMar>
            <w:vAlign w:val="center"/>
          </w:tcPr>
          <w:p w14:paraId="71FBB130" w14:textId="77777777" w:rsidR="002358C2" w:rsidRPr="00186B8F" w:rsidRDefault="002358C2" w:rsidP="00992301">
            <w:pPr>
              <w:jc w:val="center"/>
              <w:rPr>
                <w:color w:val="auto"/>
                <w:sz w:val="16"/>
                <w:szCs w:val="16"/>
              </w:rPr>
            </w:pPr>
            <w:r w:rsidRPr="00186B8F">
              <w:rPr>
                <w:color w:val="auto"/>
                <w:sz w:val="16"/>
                <w:szCs w:val="16"/>
              </w:rPr>
              <w:t>A2L</w:t>
            </w:r>
          </w:p>
        </w:tc>
        <w:tc>
          <w:tcPr>
            <w:tcW w:w="459" w:type="dxa"/>
            <w:tcMar>
              <w:top w:w="0" w:type="dxa"/>
              <w:left w:w="0" w:type="dxa"/>
              <w:bottom w:w="0" w:type="dxa"/>
              <w:right w:w="0" w:type="dxa"/>
            </w:tcMar>
            <w:vAlign w:val="center"/>
          </w:tcPr>
          <w:p w14:paraId="5FC97D24" w14:textId="77777777" w:rsidR="002358C2" w:rsidRPr="00186B8F" w:rsidRDefault="002358C2" w:rsidP="00992301">
            <w:pPr>
              <w:jc w:val="center"/>
              <w:rPr>
                <w:color w:val="auto"/>
                <w:sz w:val="16"/>
                <w:szCs w:val="16"/>
              </w:rPr>
            </w:pPr>
            <w:r>
              <w:rPr>
                <w:color w:val="auto"/>
                <w:sz w:val="16"/>
                <w:szCs w:val="16"/>
              </w:rPr>
              <w:t>300</w:t>
            </w:r>
          </w:p>
        </w:tc>
        <w:tc>
          <w:tcPr>
            <w:tcW w:w="538" w:type="dxa"/>
            <w:tcMar>
              <w:top w:w="0" w:type="dxa"/>
              <w:left w:w="0" w:type="dxa"/>
              <w:bottom w:w="0" w:type="dxa"/>
              <w:right w:w="0" w:type="dxa"/>
            </w:tcMar>
            <w:vAlign w:val="center"/>
          </w:tcPr>
          <w:p w14:paraId="4FD2ADE9" w14:textId="77777777" w:rsidR="002358C2" w:rsidRPr="00186B8F" w:rsidRDefault="002358C2" w:rsidP="00992301">
            <w:pPr>
              <w:jc w:val="center"/>
              <w:rPr>
                <w:color w:val="auto"/>
                <w:sz w:val="16"/>
                <w:szCs w:val="16"/>
              </w:rPr>
            </w:pPr>
            <w:r>
              <w:rPr>
                <w:color w:val="auto"/>
                <w:sz w:val="16"/>
                <w:szCs w:val="16"/>
              </w:rPr>
              <w:t>1,100</w:t>
            </w:r>
          </w:p>
        </w:tc>
        <w:tc>
          <w:tcPr>
            <w:tcW w:w="545" w:type="dxa"/>
            <w:vAlign w:val="center"/>
          </w:tcPr>
          <w:p w14:paraId="6066A9B2" w14:textId="77777777" w:rsidR="002358C2" w:rsidRPr="00186B8F" w:rsidRDefault="002358C2" w:rsidP="00992301">
            <w:pPr>
              <w:jc w:val="center"/>
              <w:rPr>
                <w:color w:val="auto"/>
                <w:sz w:val="16"/>
                <w:szCs w:val="16"/>
              </w:rPr>
            </w:pPr>
          </w:p>
        </w:tc>
      </w:tr>
      <w:tr w:rsidR="002358C2" w:rsidRPr="00186B8F" w14:paraId="649D0300" w14:textId="77777777" w:rsidTr="00992301">
        <w:trPr>
          <w:trHeight w:val="255"/>
        </w:trPr>
        <w:tc>
          <w:tcPr>
            <w:tcW w:w="737" w:type="dxa"/>
            <w:noWrap/>
            <w:vAlign w:val="center"/>
            <w:hideMark/>
          </w:tcPr>
          <w:p w14:paraId="6B042B69" w14:textId="77777777" w:rsidR="002358C2" w:rsidRPr="00186B8F" w:rsidRDefault="002358C2" w:rsidP="00992301">
            <w:pPr>
              <w:rPr>
                <w:color w:val="auto"/>
                <w:sz w:val="16"/>
                <w:szCs w:val="16"/>
              </w:rPr>
            </w:pPr>
            <w:r w:rsidRPr="00186B8F">
              <w:rPr>
                <w:color w:val="auto"/>
                <w:sz w:val="16"/>
                <w:szCs w:val="16"/>
              </w:rPr>
              <w:t>R-469A</w:t>
            </w:r>
          </w:p>
        </w:tc>
        <w:tc>
          <w:tcPr>
            <w:tcW w:w="3458" w:type="dxa"/>
            <w:noWrap/>
            <w:vAlign w:val="center"/>
            <w:hideMark/>
          </w:tcPr>
          <w:p w14:paraId="1A024013" w14:textId="77777777" w:rsidR="002358C2" w:rsidRPr="00186B8F" w:rsidRDefault="002358C2" w:rsidP="00992301">
            <w:pPr>
              <w:rPr>
                <w:color w:val="auto"/>
                <w:sz w:val="16"/>
                <w:szCs w:val="16"/>
              </w:rPr>
            </w:pPr>
            <w:r w:rsidRPr="00186B8F">
              <w:rPr>
                <w:color w:val="auto"/>
                <w:sz w:val="16"/>
                <w:szCs w:val="16"/>
              </w:rPr>
              <w:t>R-744/HFC- 32/HFC-125 (35.0/32.5/32.5)</w:t>
            </w:r>
          </w:p>
        </w:tc>
        <w:tc>
          <w:tcPr>
            <w:tcW w:w="677" w:type="dxa"/>
            <w:tcMar>
              <w:top w:w="0" w:type="dxa"/>
              <w:left w:w="0" w:type="dxa"/>
              <w:bottom w:w="0" w:type="dxa"/>
              <w:right w:w="0" w:type="dxa"/>
            </w:tcMar>
            <w:vAlign w:val="center"/>
            <w:hideMark/>
          </w:tcPr>
          <w:p w14:paraId="6360E627" w14:textId="77777777" w:rsidR="002358C2" w:rsidRPr="00186B8F" w:rsidRDefault="002358C2" w:rsidP="00992301">
            <w:pPr>
              <w:jc w:val="center"/>
              <w:rPr>
                <w:color w:val="auto"/>
                <w:sz w:val="16"/>
                <w:szCs w:val="16"/>
              </w:rPr>
            </w:pPr>
            <w:r w:rsidRPr="00186B8F">
              <w:rPr>
                <w:color w:val="auto"/>
                <w:sz w:val="16"/>
                <w:szCs w:val="16"/>
              </w:rPr>
              <w:t>59.1</w:t>
            </w:r>
          </w:p>
        </w:tc>
        <w:tc>
          <w:tcPr>
            <w:tcW w:w="1074" w:type="dxa"/>
            <w:tcMar>
              <w:top w:w="0" w:type="dxa"/>
              <w:left w:w="0" w:type="dxa"/>
              <w:bottom w:w="0" w:type="dxa"/>
              <w:right w:w="0" w:type="dxa"/>
            </w:tcMar>
            <w:vAlign w:val="center"/>
            <w:hideMark/>
          </w:tcPr>
          <w:p w14:paraId="176A4A6D" w14:textId="77777777" w:rsidR="002358C2" w:rsidRPr="00186B8F" w:rsidRDefault="002358C2" w:rsidP="00992301">
            <w:pPr>
              <w:jc w:val="center"/>
              <w:rPr>
                <w:color w:val="auto"/>
                <w:sz w:val="16"/>
                <w:szCs w:val="16"/>
              </w:rPr>
            </w:pPr>
            <w:r w:rsidRPr="00186B8F">
              <w:rPr>
                <w:color w:val="auto"/>
                <w:sz w:val="16"/>
                <w:szCs w:val="16"/>
              </w:rPr>
              <w:t>–78.5/–61.5</w:t>
            </w:r>
          </w:p>
        </w:tc>
        <w:tc>
          <w:tcPr>
            <w:tcW w:w="459" w:type="dxa"/>
            <w:tcMar>
              <w:top w:w="0" w:type="dxa"/>
              <w:left w:w="0" w:type="dxa"/>
              <w:bottom w:w="0" w:type="dxa"/>
              <w:right w:w="0" w:type="dxa"/>
            </w:tcMar>
            <w:vAlign w:val="center"/>
            <w:hideMark/>
          </w:tcPr>
          <w:p w14:paraId="63B5EC6C" w14:textId="77777777" w:rsidR="002358C2" w:rsidRPr="00186B8F" w:rsidRDefault="002358C2" w:rsidP="00992301">
            <w:pPr>
              <w:jc w:val="center"/>
              <w:rPr>
                <w:color w:val="auto"/>
                <w:sz w:val="16"/>
                <w:szCs w:val="16"/>
              </w:rPr>
            </w:pPr>
            <w:r w:rsidRPr="00186B8F">
              <w:rPr>
                <w:color w:val="auto"/>
                <w:sz w:val="16"/>
                <w:szCs w:val="16"/>
              </w:rPr>
              <w:t>A2L</w:t>
            </w:r>
          </w:p>
        </w:tc>
        <w:tc>
          <w:tcPr>
            <w:tcW w:w="459" w:type="dxa"/>
            <w:tcMar>
              <w:top w:w="0" w:type="dxa"/>
              <w:left w:w="0" w:type="dxa"/>
              <w:bottom w:w="0" w:type="dxa"/>
              <w:right w:w="0" w:type="dxa"/>
            </w:tcMar>
            <w:vAlign w:val="center"/>
            <w:hideMark/>
          </w:tcPr>
          <w:p w14:paraId="553BC73F" w14:textId="77777777" w:rsidR="002358C2" w:rsidRPr="00186B8F" w:rsidRDefault="002358C2" w:rsidP="00992301">
            <w:pPr>
              <w:jc w:val="center"/>
              <w:rPr>
                <w:color w:val="auto"/>
                <w:sz w:val="16"/>
                <w:szCs w:val="16"/>
              </w:rPr>
            </w:pPr>
            <w:r w:rsidRPr="00186B8F">
              <w:rPr>
                <w:color w:val="auto"/>
                <w:sz w:val="16"/>
                <w:szCs w:val="16"/>
              </w:rPr>
              <w:t>1,400</w:t>
            </w:r>
          </w:p>
        </w:tc>
        <w:tc>
          <w:tcPr>
            <w:tcW w:w="538" w:type="dxa"/>
            <w:tcMar>
              <w:top w:w="0" w:type="dxa"/>
              <w:left w:w="0" w:type="dxa"/>
              <w:bottom w:w="0" w:type="dxa"/>
              <w:right w:w="0" w:type="dxa"/>
            </w:tcMar>
            <w:vAlign w:val="center"/>
            <w:hideMark/>
          </w:tcPr>
          <w:p w14:paraId="715797D2" w14:textId="77777777" w:rsidR="002358C2" w:rsidRPr="00186B8F" w:rsidRDefault="002358C2" w:rsidP="00992301">
            <w:pPr>
              <w:jc w:val="center"/>
              <w:rPr>
                <w:color w:val="auto"/>
                <w:sz w:val="16"/>
                <w:szCs w:val="16"/>
              </w:rPr>
            </w:pPr>
            <w:r w:rsidRPr="00186B8F">
              <w:rPr>
                <w:color w:val="auto"/>
                <w:sz w:val="16"/>
                <w:szCs w:val="16"/>
              </w:rPr>
              <w:t>2,900</w:t>
            </w:r>
          </w:p>
        </w:tc>
        <w:tc>
          <w:tcPr>
            <w:tcW w:w="545" w:type="dxa"/>
            <w:vAlign w:val="center"/>
          </w:tcPr>
          <w:p w14:paraId="48684E9F" w14:textId="77777777" w:rsidR="002358C2" w:rsidRPr="00186B8F" w:rsidRDefault="002358C2" w:rsidP="00992301">
            <w:pPr>
              <w:jc w:val="center"/>
              <w:rPr>
                <w:color w:val="auto"/>
                <w:sz w:val="16"/>
                <w:szCs w:val="16"/>
              </w:rPr>
            </w:pPr>
          </w:p>
        </w:tc>
      </w:tr>
      <w:tr w:rsidR="002358C2" w:rsidRPr="00186B8F" w14:paraId="48A47EAB" w14:textId="77777777" w:rsidTr="00992301">
        <w:trPr>
          <w:trHeight w:val="255"/>
        </w:trPr>
        <w:tc>
          <w:tcPr>
            <w:tcW w:w="737" w:type="dxa"/>
            <w:noWrap/>
            <w:vAlign w:val="center"/>
            <w:hideMark/>
          </w:tcPr>
          <w:p w14:paraId="7688FDA6" w14:textId="77777777" w:rsidR="002358C2" w:rsidRPr="00186B8F" w:rsidRDefault="002358C2" w:rsidP="00992301">
            <w:pPr>
              <w:rPr>
                <w:color w:val="auto"/>
                <w:sz w:val="16"/>
                <w:szCs w:val="16"/>
              </w:rPr>
            </w:pPr>
            <w:r w:rsidRPr="00186B8F">
              <w:rPr>
                <w:color w:val="auto"/>
                <w:sz w:val="16"/>
                <w:szCs w:val="16"/>
              </w:rPr>
              <w:t>R-470A</w:t>
            </w:r>
          </w:p>
        </w:tc>
        <w:tc>
          <w:tcPr>
            <w:tcW w:w="3458" w:type="dxa"/>
            <w:noWrap/>
            <w:vAlign w:val="center"/>
            <w:hideMark/>
          </w:tcPr>
          <w:p w14:paraId="0077C3AB" w14:textId="77777777" w:rsidR="002358C2" w:rsidRPr="00186B8F" w:rsidRDefault="002358C2" w:rsidP="00992301">
            <w:pPr>
              <w:rPr>
                <w:color w:val="auto"/>
                <w:sz w:val="16"/>
                <w:szCs w:val="16"/>
              </w:rPr>
            </w:pPr>
            <w:r w:rsidRPr="00186B8F">
              <w:rPr>
                <w:color w:val="auto"/>
                <w:sz w:val="16"/>
                <w:szCs w:val="16"/>
              </w:rPr>
              <w:t xml:space="preserve"> R-744/32/HFC-125/HFC-134a/HFO-1234ze(E)/HFC-227ea (10.0/17.0/19.0/7.0/44.0/3.0) </w:t>
            </w:r>
          </w:p>
        </w:tc>
        <w:tc>
          <w:tcPr>
            <w:tcW w:w="677" w:type="dxa"/>
            <w:tcMar>
              <w:top w:w="0" w:type="dxa"/>
              <w:left w:w="0" w:type="dxa"/>
              <w:bottom w:w="0" w:type="dxa"/>
              <w:right w:w="0" w:type="dxa"/>
            </w:tcMar>
            <w:vAlign w:val="center"/>
            <w:hideMark/>
          </w:tcPr>
          <w:p w14:paraId="0D9A1C10" w14:textId="77777777" w:rsidR="002358C2" w:rsidRPr="00186B8F" w:rsidRDefault="002358C2" w:rsidP="00992301">
            <w:pPr>
              <w:jc w:val="center"/>
              <w:rPr>
                <w:color w:val="auto"/>
                <w:sz w:val="16"/>
                <w:szCs w:val="16"/>
              </w:rPr>
            </w:pPr>
            <w:r w:rsidRPr="00186B8F">
              <w:rPr>
                <w:color w:val="auto"/>
                <w:sz w:val="16"/>
                <w:szCs w:val="16"/>
              </w:rPr>
              <w:t>84.4</w:t>
            </w:r>
          </w:p>
        </w:tc>
        <w:tc>
          <w:tcPr>
            <w:tcW w:w="1074" w:type="dxa"/>
            <w:tcMar>
              <w:top w:w="0" w:type="dxa"/>
              <w:left w:w="0" w:type="dxa"/>
              <w:bottom w:w="0" w:type="dxa"/>
              <w:right w:w="0" w:type="dxa"/>
            </w:tcMar>
            <w:vAlign w:val="center"/>
            <w:hideMark/>
          </w:tcPr>
          <w:p w14:paraId="6C335A58" w14:textId="77777777" w:rsidR="002358C2" w:rsidRPr="00186B8F" w:rsidRDefault="002358C2" w:rsidP="00992301">
            <w:pPr>
              <w:jc w:val="center"/>
              <w:rPr>
                <w:color w:val="auto"/>
                <w:sz w:val="16"/>
                <w:szCs w:val="16"/>
              </w:rPr>
            </w:pPr>
            <w:r w:rsidRPr="00186B8F">
              <w:rPr>
                <w:color w:val="auto"/>
                <w:sz w:val="16"/>
                <w:szCs w:val="16"/>
              </w:rPr>
              <w:t>–62.7/–35.6</w:t>
            </w:r>
          </w:p>
        </w:tc>
        <w:tc>
          <w:tcPr>
            <w:tcW w:w="459" w:type="dxa"/>
            <w:tcMar>
              <w:top w:w="0" w:type="dxa"/>
              <w:left w:w="0" w:type="dxa"/>
              <w:bottom w:w="0" w:type="dxa"/>
              <w:right w:w="0" w:type="dxa"/>
            </w:tcMar>
            <w:vAlign w:val="center"/>
            <w:hideMark/>
          </w:tcPr>
          <w:p w14:paraId="091DC0B8"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Mar>
              <w:top w:w="0" w:type="dxa"/>
              <w:left w:w="0" w:type="dxa"/>
              <w:bottom w:w="0" w:type="dxa"/>
              <w:right w:w="0" w:type="dxa"/>
            </w:tcMar>
            <w:vAlign w:val="center"/>
            <w:hideMark/>
          </w:tcPr>
          <w:p w14:paraId="55770D83" w14:textId="77777777" w:rsidR="002358C2" w:rsidRPr="00186B8F" w:rsidRDefault="002358C2" w:rsidP="00992301">
            <w:pPr>
              <w:jc w:val="center"/>
              <w:rPr>
                <w:color w:val="auto"/>
                <w:sz w:val="16"/>
                <w:szCs w:val="16"/>
              </w:rPr>
            </w:pPr>
            <w:r w:rsidRPr="00186B8F">
              <w:rPr>
                <w:color w:val="auto"/>
                <w:sz w:val="16"/>
                <w:szCs w:val="16"/>
              </w:rPr>
              <w:t>970</w:t>
            </w:r>
          </w:p>
        </w:tc>
        <w:tc>
          <w:tcPr>
            <w:tcW w:w="538" w:type="dxa"/>
            <w:tcMar>
              <w:top w:w="0" w:type="dxa"/>
              <w:left w:w="0" w:type="dxa"/>
              <w:bottom w:w="0" w:type="dxa"/>
              <w:right w:w="0" w:type="dxa"/>
            </w:tcMar>
            <w:vAlign w:val="center"/>
            <w:hideMark/>
          </w:tcPr>
          <w:p w14:paraId="534E3D0B" w14:textId="77777777" w:rsidR="002358C2" w:rsidRPr="00186B8F" w:rsidRDefault="002358C2" w:rsidP="00992301">
            <w:pPr>
              <w:jc w:val="center"/>
              <w:rPr>
                <w:color w:val="auto"/>
                <w:sz w:val="16"/>
                <w:szCs w:val="16"/>
              </w:rPr>
            </w:pPr>
            <w:r w:rsidRPr="00186B8F">
              <w:rPr>
                <w:color w:val="auto"/>
                <w:sz w:val="16"/>
                <w:szCs w:val="16"/>
              </w:rPr>
              <w:t>2,000</w:t>
            </w:r>
          </w:p>
        </w:tc>
        <w:tc>
          <w:tcPr>
            <w:tcW w:w="545" w:type="dxa"/>
            <w:vAlign w:val="center"/>
          </w:tcPr>
          <w:p w14:paraId="7B88C2C2" w14:textId="77777777" w:rsidR="002358C2" w:rsidRPr="00186B8F" w:rsidRDefault="002358C2" w:rsidP="00992301">
            <w:pPr>
              <w:jc w:val="center"/>
              <w:rPr>
                <w:color w:val="auto"/>
                <w:sz w:val="16"/>
                <w:szCs w:val="16"/>
              </w:rPr>
            </w:pPr>
          </w:p>
        </w:tc>
      </w:tr>
      <w:tr w:rsidR="002358C2" w:rsidRPr="00186B8F" w14:paraId="6F2A3553" w14:textId="77777777" w:rsidTr="00992301">
        <w:trPr>
          <w:trHeight w:val="255"/>
        </w:trPr>
        <w:tc>
          <w:tcPr>
            <w:tcW w:w="737" w:type="dxa"/>
            <w:tcBorders>
              <w:top w:val="nil"/>
              <w:left w:val="nil"/>
              <w:bottom w:val="nil"/>
              <w:right w:val="nil"/>
            </w:tcBorders>
            <w:noWrap/>
            <w:vAlign w:val="center"/>
            <w:hideMark/>
          </w:tcPr>
          <w:p w14:paraId="699C3911" w14:textId="77777777" w:rsidR="002358C2" w:rsidRPr="00186B8F" w:rsidRDefault="002358C2" w:rsidP="00992301">
            <w:pPr>
              <w:rPr>
                <w:color w:val="auto"/>
                <w:sz w:val="16"/>
                <w:szCs w:val="16"/>
              </w:rPr>
            </w:pPr>
            <w:r w:rsidRPr="00186B8F">
              <w:rPr>
                <w:color w:val="auto"/>
                <w:sz w:val="16"/>
                <w:szCs w:val="16"/>
              </w:rPr>
              <w:t>R-470B</w:t>
            </w:r>
          </w:p>
        </w:tc>
        <w:tc>
          <w:tcPr>
            <w:tcW w:w="3458" w:type="dxa"/>
            <w:tcBorders>
              <w:top w:val="nil"/>
              <w:left w:val="nil"/>
              <w:bottom w:val="nil"/>
              <w:right w:val="nil"/>
            </w:tcBorders>
            <w:noWrap/>
            <w:vAlign w:val="center"/>
            <w:hideMark/>
          </w:tcPr>
          <w:p w14:paraId="29461DF0" w14:textId="77777777" w:rsidR="002358C2" w:rsidRPr="00186B8F" w:rsidRDefault="002358C2" w:rsidP="00992301">
            <w:pPr>
              <w:rPr>
                <w:color w:val="auto"/>
                <w:sz w:val="16"/>
                <w:szCs w:val="16"/>
              </w:rPr>
            </w:pPr>
            <w:r w:rsidRPr="00186B8F">
              <w:rPr>
                <w:color w:val="auto"/>
                <w:sz w:val="16"/>
                <w:szCs w:val="16"/>
              </w:rPr>
              <w:t xml:space="preserve"> R-744/HFC-32/HFC-125/HFC-134a/HFO-1234ze(E)/HFC- 227ea (10.0/11.5/11.5/3.0/57.0/7.0) </w:t>
            </w:r>
          </w:p>
        </w:tc>
        <w:tc>
          <w:tcPr>
            <w:tcW w:w="677" w:type="dxa"/>
            <w:tcBorders>
              <w:top w:val="nil"/>
              <w:left w:val="nil"/>
              <w:bottom w:val="nil"/>
              <w:right w:val="nil"/>
            </w:tcBorders>
            <w:tcMar>
              <w:top w:w="0" w:type="dxa"/>
              <w:left w:w="0" w:type="dxa"/>
              <w:bottom w:w="0" w:type="dxa"/>
              <w:right w:w="0" w:type="dxa"/>
            </w:tcMar>
            <w:vAlign w:val="center"/>
            <w:hideMark/>
          </w:tcPr>
          <w:p w14:paraId="01F75516" w14:textId="77777777" w:rsidR="002358C2" w:rsidRPr="00186B8F" w:rsidRDefault="002358C2" w:rsidP="00992301">
            <w:pPr>
              <w:jc w:val="center"/>
              <w:rPr>
                <w:color w:val="auto"/>
                <w:sz w:val="16"/>
                <w:szCs w:val="16"/>
              </w:rPr>
            </w:pPr>
            <w:r w:rsidRPr="00186B8F">
              <w:rPr>
                <w:color w:val="auto"/>
                <w:sz w:val="16"/>
                <w:szCs w:val="16"/>
              </w:rPr>
              <w:t>89.7</w:t>
            </w:r>
          </w:p>
        </w:tc>
        <w:tc>
          <w:tcPr>
            <w:tcW w:w="1074" w:type="dxa"/>
            <w:tcBorders>
              <w:top w:val="nil"/>
              <w:left w:val="nil"/>
              <w:bottom w:val="nil"/>
              <w:right w:val="nil"/>
            </w:tcBorders>
            <w:tcMar>
              <w:top w:w="0" w:type="dxa"/>
              <w:left w:w="0" w:type="dxa"/>
              <w:bottom w:w="0" w:type="dxa"/>
              <w:right w:w="0" w:type="dxa"/>
            </w:tcMar>
            <w:vAlign w:val="center"/>
            <w:hideMark/>
          </w:tcPr>
          <w:p w14:paraId="0887D8C1" w14:textId="77777777" w:rsidR="002358C2" w:rsidRPr="00186B8F" w:rsidRDefault="002358C2" w:rsidP="00992301">
            <w:pPr>
              <w:jc w:val="center"/>
              <w:rPr>
                <w:color w:val="auto"/>
                <w:sz w:val="16"/>
                <w:szCs w:val="16"/>
              </w:rPr>
            </w:pPr>
            <w:r w:rsidRPr="00186B8F">
              <w:rPr>
                <w:color w:val="auto"/>
                <w:sz w:val="16"/>
                <w:szCs w:val="16"/>
              </w:rPr>
              <w:t>–61.7/–31.4</w:t>
            </w:r>
          </w:p>
        </w:tc>
        <w:tc>
          <w:tcPr>
            <w:tcW w:w="459" w:type="dxa"/>
            <w:tcBorders>
              <w:top w:val="nil"/>
              <w:left w:val="nil"/>
              <w:bottom w:val="nil"/>
              <w:right w:val="nil"/>
            </w:tcBorders>
            <w:tcMar>
              <w:top w:w="0" w:type="dxa"/>
              <w:left w:w="0" w:type="dxa"/>
              <w:bottom w:w="0" w:type="dxa"/>
              <w:right w:w="0" w:type="dxa"/>
            </w:tcMar>
            <w:vAlign w:val="center"/>
            <w:hideMark/>
          </w:tcPr>
          <w:p w14:paraId="5E931A96"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Borders>
              <w:top w:val="nil"/>
              <w:left w:val="nil"/>
              <w:bottom w:val="nil"/>
              <w:right w:val="nil"/>
            </w:tcBorders>
            <w:tcMar>
              <w:top w:w="0" w:type="dxa"/>
              <w:left w:w="0" w:type="dxa"/>
              <w:bottom w:w="0" w:type="dxa"/>
              <w:right w:w="0" w:type="dxa"/>
            </w:tcMar>
            <w:vAlign w:val="center"/>
            <w:hideMark/>
          </w:tcPr>
          <w:p w14:paraId="4C6FDF59" w14:textId="77777777" w:rsidR="002358C2" w:rsidRPr="00186B8F" w:rsidRDefault="002358C2" w:rsidP="00992301">
            <w:pPr>
              <w:jc w:val="center"/>
              <w:rPr>
                <w:color w:val="auto"/>
                <w:sz w:val="16"/>
                <w:szCs w:val="16"/>
              </w:rPr>
            </w:pPr>
            <w:r w:rsidRPr="00186B8F">
              <w:rPr>
                <w:color w:val="auto"/>
                <w:sz w:val="16"/>
                <w:szCs w:val="16"/>
              </w:rPr>
              <w:t>740</w:t>
            </w:r>
          </w:p>
        </w:tc>
        <w:tc>
          <w:tcPr>
            <w:tcW w:w="538" w:type="dxa"/>
            <w:tcBorders>
              <w:top w:val="nil"/>
              <w:left w:val="nil"/>
              <w:bottom w:val="nil"/>
              <w:right w:val="nil"/>
            </w:tcBorders>
            <w:tcMar>
              <w:top w:w="0" w:type="dxa"/>
              <w:left w:w="0" w:type="dxa"/>
              <w:bottom w:w="0" w:type="dxa"/>
              <w:right w:w="0" w:type="dxa"/>
            </w:tcMar>
            <w:vAlign w:val="center"/>
            <w:hideMark/>
          </w:tcPr>
          <w:p w14:paraId="7AD83557" w14:textId="77777777" w:rsidR="002358C2" w:rsidRPr="00186B8F" w:rsidRDefault="002358C2" w:rsidP="00992301">
            <w:pPr>
              <w:jc w:val="center"/>
              <w:rPr>
                <w:color w:val="auto"/>
                <w:sz w:val="16"/>
                <w:szCs w:val="16"/>
              </w:rPr>
            </w:pPr>
            <w:r w:rsidRPr="00186B8F">
              <w:rPr>
                <w:color w:val="auto"/>
                <w:sz w:val="16"/>
                <w:szCs w:val="16"/>
              </w:rPr>
              <w:t>1,500</w:t>
            </w:r>
          </w:p>
        </w:tc>
        <w:tc>
          <w:tcPr>
            <w:tcW w:w="545" w:type="dxa"/>
            <w:tcBorders>
              <w:top w:val="nil"/>
              <w:left w:val="nil"/>
              <w:bottom w:val="nil"/>
              <w:right w:val="nil"/>
            </w:tcBorders>
            <w:vAlign w:val="center"/>
          </w:tcPr>
          <w:p w14:paraId="53834CE8" w14:textId="77777777" w:rsidR="002358C2" w:rsidRPr="00186B8F" w:rsidRDefault="002358C2" w:rsidP="00992301">
            <w:pPr>
              <w:jc w:val="center"/>
              <w:rPr>
                <w:color w:val="auto"/>
                <w:sz w:val="16"/>
                <w:szCs w:val="16"/>
              </w:rPr>
            </w:pPr>
          </w:p>
        </w:tc>
      </w:tr>
      <w:tr w:rsidR="002358C2" w:rsidRPr="00186B8F" w14:paraId="2500593C" w14:textId="77777777" w:rsidTr="00992301">
        <w:trPr>
          <w:trHeight w:val="255"/>
        </w:trPr>
        <w:tc>
          <w:tcPr>
            <w:tcW w:w="737" w:type="dxa"/>
            <w:tcBorders>
              <w:top w:val="nil"/>
              <w:left w:val="nil"/>
              <w:bottom w:val="nil"/>
              <w:right w:val="nil"/>
            </w:tcBorders>
            <w:noWrap/>
            <w:vAlign w:val="center"/>
          </w:tcPr>
          <w:p w14:paraId="414C9136" w14:textId="77777777" w:rsidR="002358C2" w:rsidRPr="00186B8F" w:rsidRDefault="002358C2" w:rsidP="00992301">
            <w:pPr>
              <w:rPr>
                <w:color w:val="auto"/>
                <w:sz w:val="16"/>
                <w:szCs w:val="16"/>
              </w:rPr>
            </w:pPr>
            <w:r w:rsidRPr="00186B8F">
              <w:rPr>
                <w:color w:val="auto"/>
                <w:sz w:val="16"/>
                <w:szCs w:val="16"/>
              </w:rPr>
              <w:t>R-471A</w:t>
            </w:r>
          </w:p>
        </w:tc>
        <w:tc>
          <w:tcPr>
            <w:tcW w:w="3458" w:type="dxa"/>
            <w:tcBorders>
              <w:top w:val="nil"/>
              <w:left w:val="nil"/>
              <w:bottom w:val="nil"/>
              <w:right w:val="nil"/>
            </w:tcBorders>
            <w:noWrap/>
            <w:vAlign w:val="center"/>
          </w:tcPr>
          <w:p w14:paraId="316B995D" w14:textId="77777777" w:rsidR="002358C2" w:rsidRPr="00186B8F" w:rsidRDefault="002358C2" w:rsidP="00992301">
            <w:pPr>
              <w:rPr>
                <w:color w:val="auto"/>
                <w:sz w:val="16"/>
                <w:szCs w:val="16"/>
                <w:lang w:val="it-IT"/>
              </w:rPr>
            </w:pPr>
            <w:r w:rsidRPr="00186B8F">
              <w:rPr>
                <w:color w:val="auto"/>
                <w:sz w:val="16"/>
                <w:szCs w:val="16"/>
                <w:lang w:val="it-IT"/>
              </w:rPr>
              <w:t>HFO-1234ze(E)/HFC-227ea/HFO-1336mzz(E) (78.7/4.3/17.0)</w:t>
            </w:r>
          </w:p>
        </w:tc>
        <w:tc>
          <w:tcPr>
            <w:tcW w:w="677" w:type="dxa"/>
            <w:tcBorders>
              <w:top w:val="nil"/>
              <w:left w:val="nil"/>
              <w:bottom w:val="nil"/>
              <w:right w:val="nil"/>
            </w:tcBorders>
            <w:tcMar>
              <w:top w:w="0" w:type="dxa"/>
              <w:left w:w="0" w:type="dxa"/>
              <w:bottom w:w="0" w:type="dxa"/>
              <w:right w:w="0" w:type="dxa"/>
            </w:tcMar>
            <w:vAlign w:val="center"/>
          </w:tcPr>
          <w:p w14:paraId="07E748F9" w14:textId="77777777" w:rsidR="002358C2" w:rsidRPr="00186B8F" w:rsidRDefault="002358C2" w:rsidP="00992301">
            <w:pPr>
              <w:jc w:val="center"/>
              <w:rPr>
                <w:color w:val="auto"/>
                <w:sz w:val="16"/>
                <w:szCs w:val="16"/>
              </w:rPr>
            </w:pPr>
            <w:r w:rsidRPr="00186B8F">
              <w:rPr>
                <w:color w:val="auto"/>
                <w:sz w:val="16"/>
                <w:szCs w:val="16"/>
              </w:rPr>
              <w:t>122.1</w:t>
            </w:r>
          </w:p>
        </w:tc>
        <w:tc>
          <w:tcPr>
            <w:tcW w:w="1074" w:type="dxa"/>
            <w:tcBorders>
              <w:top w:val="nil"/>
              <w:left w:val="nil"/>
              <w:bottom w:val="nil"/>
              <w:right w:val="nil"/>
            </w:tcBorders>
            <w:tcMar>
              <w:top w:w="0" w:type="dxa"/>
              <w:left w:w="0" w:type="dxa"/>
              <w:bottom w:w="0" w:type="dxa"/>
              <w:right w:w="0" w:type="dxa"/>
            </w:tcMar>
            <w:vAlign w:val="center"/>
          </w:tcPr>
          <w:p w14:paraId="4EE7372C" w14:textId="77777777" w:rsidR="002358C2" w:rsidRPr="00186B8F" w:rsidRDefault="002358C2" w:rsidP="00992301">
            <w:pPr>
              <w:jc w:val="center"/>
              <w:rPr>
                <w:color w:val="auto"/>
                <w:sz w:val="16"/>
                <w:szCs w:val="16"/>
              </w:rPr>
            </w:pPr>
            <w:r w:rsidRPr="004C5493">
              <w:rPr>
                <w:color w:val="auto"/>
                <w:sz w:val="16"/>
                <w:szCs w:val="16"/>
              </w:rPr>
              <w:t>–16,9/–13,8</w:t>
            </w:r>
          </w:p>
        </w:tc>
        <w:tc>
          <w:tcPr>
            <w:tcW w:w="459" w:type="dxa"/>
            <w:tcBorders>
              <w:top w:val="nil"/>
              <w:left w:val="nil"/>
              <w:bottom w:val="nil"/>
              <w:right w:val="nil"/>
            </w:tcBorders>
            <w:tcMar>
              <w:top w:w="0" w:type="dxa"/>
              <w:left w:w="0" w:type="dxa"/>
              <w:bottom w:w="0" w:type="dxa"/>
              <w:right w:w="0" w:type="dxa"/>
            </w:tcMar>
            <w:vAlign w:val="center"/>
          </w:tcPr>
          <w:p w14:paraId="173C6E1A"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Borders>
              <w:top w:val="nil"/>
              <w:left w:val="nil"/>
              <w:bottom w:val="nil"/>
              <w:right w:val="nil"/>
            </w:tcBorders>
            <w:tcMar>
              <w:top w:w="0" w:type="dxa"/>
              <w:left w:w="0" w:type="dxa"/>
              <w:bottom w:w="0" w:type="dxa"/>
              <w:right w:w="0" w:type="dxa"/>
            </w:tcMar>
            <w:vAlign w:val="center"/>
          </w:tcPr>
          <w:p w14:paraId="04588A21" w14:textId="77777777" w:rsidR="002358C2" w:rsidRPr="00186B8F" w:rsidRDefault="002358C2" w:rsidP="00992301">
            <w:pPr>
              <w:jc w:val="center"/>
              <w:rPr>
                <w:color w:val="auto"/>
                <w:sz w:val="16"/>
                <w:szCs w:val="16"/>
              </w:rPr>
            </w:pPr>
            <w:r w:rsidRPr="00186B8F">
              <w:rPr>
                <w:color w:val="auto"/>
                <w:sz w:val="16"/>
                <w:szCs w:val="16"/>
              </w:rPr>
              <w:t>140</w:t>
            </w:r>
          </w:p>
        </w:tc>
        <w:tc>
          <w:tcPr>
            <w:tcW w:w="538" w:type="dxa"/>
            <w:tcBorders>
              <w:top w:val="nil"/>
              <w:left w:val="nil"/>
              <w:bottom w:val="nil"/>
              <w:right w:val="nil"/>
            </w:tcBorders>
            <w:tcMar>
              <w:top w:w="0" w:type="dxa"/>
              <w:left w:w="0" w:type="dxa"/>
              <w:bottom w:w="0" w:type="dxa"/>
              <w:right w:w="0" w:type="dxa"/>
            </w:tcMar>
            <w:vAlign w:val="center"/>
          </w:tcPr>
          <w:p w14:paraId="53B7CDAF" w14:textId="77777777" w:rsidR="002358C2" w:rsidRPr="00186B8F" w:rsidRDefault="002358C2" w:rsidP="00992301">
            <w:pPr>
              <w:jc w:val="center"/>
              <w:rPr>
                <w:color w:val="auto"/>
                <w:sz w:val="16"/>
                <w:szCs w:val="16"/>
              </w:rPr>
            </w:pPr>
            <w:r w:rsidRPr="00186B8F">
              <w:rPr>
                <w:color w:val="auto"/>
                <w:sz w:val="16"/>
                <w:szCs w:val="16"/>
              </w:rPr>
              <w:t>240</w:t>
            </w:r>
          </w:p>
        </w:tc>
        <w:tc>
          <w:tcPr>
            <w:tcW w:w="545" w:type="dxa"/>
            <w:tcBorders>
              <w:top w:val="nil"/>
              <w:left w:val="nil"/>
              <w:bottom w:val="nil"/>
              <w:right w:val="nil"/>
            </w:tcBorders>
            <w:vAlign w:val="center"/>
          </w:tcPr>
          <w:p w14:paraId="4D5A872B" w14:textId="77777777" w:rsidR="002358C2" w:rsidRPr="00186B8F" w:rsidRDefault="002358C2" w:rsidP="00992301">
            <w:pPr>
              <w:jc w:val="center"/>
              <w:rPr>
                <w:color w:val="auto"/>
                <w:sz w:val="16"/>
                <w:szCs w:val="16"/>
              </w:rPr>
            </w:pPr>
          </w:p>
        </w:tc>
      </w:tr>
      <w:tr w:rsidR="002358C2" w:rsidRPr="00186B8F" w14:paraId="76F529E1" w14:textId="77777777" w:rsidTr="00992301">
        <w:trPr>
          <w:trHeight w:val="255"/>
        </w:trPr>
        <w:tc>
          <w:tcPr>
            <w:tcW w:w="737" w:type="dxa"/>
            <w:tcBorders>
              <w:top w:val="nil"/>
              <w:left w:val="nil"/>
              <w:bottom w:val="nil"/>
              <w:right w:val="nil"/>
            </w:tcBorders>
            <w:noWrap/>
            <w:vAlign w:val="center"/>
          </w:tcPr>
          <w:p w14:paraId="196C19C2" w14:textId="77777777" w:rsidR="002358C2" w:rsidRPr="00186B8F" w:rsidRDefault="002358C2" w:rsidP="00992301">
            <w:pPr>
              <w:rPr>
                <w:color w:val="auto"/>
                <w:sz w:val="16"/>
                <w:szCs w:val="16"/>
              </w:rPr>
            </w:pPr>
            <w:r w:rsidRPr="00186B8F">
              <w:rPr>
                <w:color w:val="auto"/>
                <w:sz w:val="16"/>
                <w:szCs w:val="16"/>
              </w:rPr>
              <w:t>R-472A</w:t>
            </w:r>
          </w:p>
        </w:tc>
        <w:tc>
          <w:tcPr>
            <w:tcW w:w="3458" w:type="dxa"/>
            <w:tcBorders>
              <w:top w:val="nil"/>
              <w:left w:val="nil"/>
              <w:bottom w:val="nil"/>
              <w:right w:val="nil"/>
            </w:tcBorders>
            <w:noWrap/>
            <w:vAlign w:val="center"/>
          </w:tcPr>
          <w:p w14:paraId="6324DB7A" w14:textId="77777777" w:rsidR="002358C2" w:rsidRPr="00186B8F" w:rsidRDefault="002358C2" w:rsidP="00992301">
            <w:pPr>
              <w:rPr>
                <w:color w:val="auto"/>
                <w:sz w:val="16"/>
                <w:szCs w:val="16"/>
              </w:rPr>
            </w:pPr>
            <w:r w:rsidRPr="00186B8F">
              <w:rPr>
                <w:color w:val="auto"/>
                <w:sz w:val="16"/>
                <w:szCs w:val="16"/>
              </w:rPr>
              <w:t>R-744/HFC-32/HFC-134a (69.0/12.0/19.0)</w:t>
            </w:r>
          </w:p>
        </w:tc>
        <w:tc>
          <w:tcPr>
            <w:tcW w:w="677" w:type="dxa"/>
            <w:tcBorders>
              <w:top w:val="nil"/>
              <w:left w:val="nil"/>
              <w:bottom w:val="nil"/>
              <w:right w:val="nil"/>
            </w:tcBorders>
            <w:tcMar>
              <w:top w:w="0" w:type="dxa"/>
              <w:left w:w="0" w:type="dxa"/>
              <w:bottom w:w="0" w:type="dxa"/>
              <w:right w:w="0" w:type="dxa"/>
            </w:tcMar>
            <w:vAlign w:val="center"/>
          </w:tcPr>
          <w:p w14:paraId="1804B369" w14:textId="77777777" w:rsidR="002358C2" w:rsidRPr="00186B8F" w:rsidRDefault="002358C2" w:rsidP="00992301">
            <w:pPr>
              <w:jc w:val="center"/>
              <w:rPr>
                <w:color w:val="auto"/>
                <w:sz w:val="16"/>
                <w:szCs w:val="16"/>
              </w:rPr>
            </w:pPr>
            <w:r w:rsidRPr="00186B8F">
              <w:rPr>
                <w:color w:val="auto"/>
                <w:sz w:val="16"/>
                <w:szCs w:val="16"/>
              </w:rPr>
              <w:t>50.4</w:t>
            </w:r>
          </w:p>
        </w:tc>
        <w:tc>
          <w:tcPr>
            <w:tcW w:w="1074" w:type="dxa"/>
            <w:tcBorders>
              <w:top w:val="nil"/>
              <w:left w:val="nil"/>
              <w:bottom w:val="nil"/>
              <w:right w:val="nil"/>
            </w:tcBorders>
            <w:tcMar>
              <w:top w:w="0" w:type="dxa"/>
              <w:left w:w="0" w:type="dxa"/>
              <w:bottom w:w="0" w:type="dxa"/>
              <w:right w:w="0" w:type="dxa"/>
            </w:tcMar>
            <w:vAlign w:val="center"/>
          </w:tcPr>
          <w:p w14:paraId="07637FB1" w14:textId="77777777" w:rsidR="002358C2" w:rsidRPr="00186B8F" w:rsidRDefault="002358C2" w:rsidP="00992301">
            <w:pPr>
              <w:jc w:val="center"/>
              <w:rPr>
                <w:color w:val="auto"/>
                <w:sz w:val="16"/>
                <w:szCs w:val="16"/>
              </w:rPr>
            </w:pPr>
            <w:r w:rsidRPr="004C5493">
              <w:rPr>
                <w:color w:val="auto"/>
                <w:sz w:val="16"/>
                <w:szCs w:val="16"/>
              </w:rPr>
              <w:t>–84,3/–61,5</w:t>
            </w:r>
          </w:p>
        </w:tc>
        <w:tc>
          <w:tcPr>
            <w:tcW w:w="459" w:type="dxa"/>
            <w:tcBorders>
              <w:top w:val="nil"/>
              <w:left w:val="nil"/>
              <w:bottom w:val="nil"/>
              <w:right w:val="nil"/>
            </w:tcBorders>
            <w:tcMar>
              <w:top w:w="0" w:type="dxa"/>
              <w:left w:w="0" w:type="dxa"/>
              <w:bottom w:w="0" w:type="dxa"/>
              <w:right w:w="0" w:type="dxa"/>
            </w:tcMar>
            <w:vAlign w:val="center"/>
          </w:tcPr>
          <w:p w14:paraId="0F2653CA"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Borders>
              <w:top w:val="nil"/>
              <w:left w:val="nil"/>
              <w:bottom w:val="nil"/>
              <w:right w:val="nil"/>
            </w:tcBorders>
            <w:tcMar>
              <w:top w:w="0" w:type="dxa"/>
              <w:left w:w="0" w:type="dxa"/>
              <w:bottom w:w="0" w:type="dxa"/>
              <w:right w:w="0" w:type="dxa"/>
            </w:tcMar>
            <w:vAlign w:val="center"/>
          </w:tcPr>
          <w:p w14:paraId="4C691F7C" w14:textId="77777777" w:rsidR="002358C2" w:rsidRPr="00186B8F" w:rsidRDefault="002358C2" w:rsidP="00992301">
            <w:pPr>
              <w:jc w:val="center"/>
              <w:rPr>
                <w:color w:val="auto"/>
                <w:sz w:val="16"/>
                <w:szCs w:val="16"/>
              </w:rPr>
            </w:pPr>
            <w:r w:rsidRPr="00186B8F">
              <w:rPr>
                <w:color w:val="auto"/>
                <w:sz w:val="16"/>
                <w:szCs w:val="16"/>
              </w:rPr>
              <w:t>340</w:t>
            </w:r>
          </w:p>
        </w:tc>
        <w:tc>
          <w:tcPr>
            <w:tcW w:w="538" w:type="dxa"/>
            <w:tcBorders>
              <w:top w:val="nil"/>
              <w:left w:val="nil"/>
              <w:bottom w:val="nil"/>
              <w:right w:val="nil"/>
            </w:tcBorders>
            <w:tcMar>
              <w:top w:w="0" w:type="dxa"/>
              <w:left w:w="0" w:type="dxa"/>
              <w:bottom w:w="0" w:type="dxa"/>
              <w:right w:w="0" w:type="dxa"/>
            </w:tcMar>
            <w:vAlign w:val="center"/>
          </w:tcPr>
          <w:p w14:paraId="77E9AD3D" w14:textId="77777777" w:rsidR="002358C2" w:rsidRPr="00186B8F" w:rsidRDefault="002358C2" w:rsidP="00992301">
            <w:pPr>
              <w:jc w:val="center"/>
              <w:rPr>
                <w:color w:val="auto"/>
                <w:sz w:val="16"/>
                <w:szCs w:val="16"/>
              </w:rPr>
            </w:pPr>
            <w:r w:rsidRPr="00186B8F">
              <w:rPr>
                <w:color w:val="auto"/>
                <w:sz w:val="16"/>
                <w:szCs w:val="16"/>
              </w:rPr>
              <w:t>1,000</w:t>
            </w:r>
          </w:p>
        </w:tc>
        <w:tc>
          <w:tcPr>
            <w:tcW w:w="545" w:type="dxa"/>
            <w:tcBorders>
              <w:top w:val="nil"/>
              <w:left w:val="nil"/>
              <w:bottom w:val="nil"/>
              <w:right w:val="nil"/>
            </w:tcBorders>
            <w:vAlign w:val="center"/>
          </w:tcPr>
          <w:p w14:paraId="5AA7EB27" w14:textId="77777777" w:rsidR="002358C2" w:rsidRPr="00186B8F" w:rsidRDefault="002358C2" w:rsidP="00992301">
            <w:pPr>
              <w:jc w:val="center"/>
              <w:rPr>
                <w:color w:val="auto"/>
                <w:sz w:val="16"/>
                <w:szCs w:val="16"/>
              </w:rPr>
            </w:pPr>
          </w:p>
        </w:tc>
      </w:tr>
      <w:tr w:rsidR="002358C2" w:rsidRPr="00186B8F" w14:paraId="1CB47372" w14:textId="77777777" w:rsidTr="00992301">
        <w:trPr>
          <w:trHeight w:val="255"/>
        </w:trPr>
        <w:tc>
          <w:tcPr>
            <w:tcW w:w="737" w:type="dxa"/>
            <w:tcBorders>
              <w:top w:val="nil"/>
              <w:left w:val="nil"/>
              <w:bottom w:val="nil"/>
              <w:right w:val="nil"/>
            </w:tcBorders>
            <w:noWrap/>
            <w:vAlign w:val="center"/>
          </w:tcPr>
          <w:p w14:paraId="3654A077" w14:textId="77777777" w:rsidR="002358C2" w:rsidRPr="00186B8F" w:rsidRDefault="002358C2" w:rsidP="00992301">
            <w:pPr>
              <w:rPr>
                <w:color w:val="auto"/>
                <w:sz w:val="16"/>
                <w:szCs w:val="16"/>
              </w:rPr>
            </w:pPr>
            <w:r w:rsidRPr="00186B8F">
              <w:rPr>
                <w:color w:val="auto"/>
                <w:sz w:val="16"/>
                <w:szCs w:val="16"/>
              </w:rPr>
              <w:t>R-472</w:t>
            </w:r>
            <w:r>
              <w:rPr>
                <w:color w:val="auto"/>
                <w:sz w:val="16"/>
                <w:szCs w:val="16"/>
              </w:rPr>
              <w:t>B</w:t>
            </w:r>
          </w:p>
        </w:tc>
        <w:tc>
          <w:tcPr>
            <w:tcW w:w="3458" w:type="dxa"/>
            <w:tcBorders>
              <w:top w:val="nil"/>
              <w:left w:val="nil"/>
              <w:bottom w:val="nil"/>
              <w:right w:val="nil"/>
            </w:tcBorders>
            <w:noWrap/>
            <w:vAlign w:val="center"/>
          </w:tcPr>
          <w:p w14:paraId="679CB54B" w14:textId="77777777" w:rsidR="002358C2" w:rsidRPr="00186B8F" w:rsidRDefault="002358C2" w:rsidP="00992301">
            <w:pPr>
              <w:rPr>
                <w:color w:val="auto"/>
                <w:sz w:val="16"/>
                <w:szCs w:val="16"/>
              </w:rPr>
            </w:pPr>
            <w:r w:rsidRPr="00186B8F">
              <w:rPr>
                <w:color w:val="auto"/>
                <w:sz w:val="16"/>
                <w:szCs w:val="16"/>
              </w:rPr>
              <w:t xml:space="preserve">R-744/HFC-32/HFC-134a </w:t>
            </w:r>
            <w:r w:rsidRPr="001751D8">
              <w:rPr>
                <w:color w:val="auto"/>
                <w:sz w:val="16"/>
                <w:szCs w:val="16"/>
              </w:rPr>
              <w:t>(58.0/10.0/32.0)</w:t>
            </w:r>
          </w:p>
        </w:tc>
        <w:tc>
          <w:tcPr>
            <w:tcW w:w="677" w:type="dxa"/>
            <w:tcBorders>
              <w:top w:val="nil"/>
              <w:left w:val="nil"/>
              <w:bottom w:val="nil"/>
              <w:right w:val="nil"/>
            </w:tcBorders>
            <w:tcMar>
              <w:top w:w="0" w:type="dxa"/>
              <w:left w:w="0" w:type="dxa"/>
              <w:bottom w:w="0" w:type="dxa"/>
              <w:right w:w="0" w:type="dxa"/>
            </w:tcMar>
            <w:vAlign w:val="center"/>
          </w:tcPr>
          <w:p w14:paraId="01E3E3B4" w14:textId="77777777" w:rsidR="002358C2" w:rsidRPr="00186B8F" w:rsidRDefault="002358C2" w:rsidP="00992301">
            <w:pPr>
              <w:jc w:val="center"/>
              <w:rPr>
                <w:color w:val="auto"/>
                <w:sz w:val="16"/>
                <w:szCs w:val="16"/>
              </w:rPr>
            </w:pPr>
            <w:r>
              <w:rPr>
                <w:color w:val="auto"/>
                <w:sz w:val="16"/>
                <w:szCs w:val="16"/>
              </w:rPr>
              <w:t>54.8</w:t>
            </w:r>
          </w:p>
        </w:tc>
        <w:tc>
          <w:tcPr>
            <w:tcW w:w="1074" w:type="dxa"/>
            <w:tcBorders>
              <w:top w:val="nil"/>
              <w:left w:val="nil"/>
              <w:bottom w:val="nil"/>
              <w:right w:val="nil"/>
            </w:tcBorders>
            <w:tcMar>
              <w:top w:w="0" w:type="dxa"/>
              <w:left w:w="0" w:type="dxa"/>
              <w:bottom w:w="0" w:type="dxa"/>
              <w:right w:w="0" w:type="dxa"/>
            </w:tcMar>
            <w:vAlign w:val="center"/>
          </w:tcPr>
          <w:p w14:paraId="1EA3219F" w14:textId="77777777" w:rsidR="002358C2" w:rsidRDefault="002358C2" w:rsidP="00992301">
            <w:pPr>
              <w:jc w:val="center"/>
              <w:rPr>
                <w:color w:val="auto"/>
                <w:sz w:val="16"/>
                <w:szCs w:val="16"/>
              </w:rPr>
            </w:pPr>
            <w:r w:rsidRPr="001751D8">
              <w:rPr>
                <w:color w:val="auto"/>
                <w:sz w:val="16"/>
                <w:szCs w:val="16"/>
              </w:rPr>
              <w:t>–82,9/–54,8</w:t>
            </w:r>
          </w:p>
        </w:tc>
        <w:tc>
          <w:tcPr>
            <w:tcW w:w="459" w:type="dxa"/>
            <w:tcBorders>
              <w:top w:val="nil"/>
              <w:left w:val="nil"/>
              <w:bottom w:val="nil"/>
              <w:right w:val="nil"/>
            </w:tcBorders>
            <w:tcMar>
              <w:top w:w="0" w:type="dxa"/>
              <w:left w:w="0" w:type="dxa"/>
              <w:bottom w:w="0" w:type="dxa"/>
              <w:right w:w="0" w:type="dxa"/>
            </w:tcMar>
            <w:vAlign w:val="center"/>
          </w:tcPr>
          <w:p w14:paraId="734D9133" w14:textId="77777777" w:rsidR="002358C2" w:rsidRPr="00186B8F" w:rsidRDefault="002358C2" w:rsidP="00992301">
            <w:pPr>
              <w:jc w:val="center"/>
              <w:rPr>
                <w:color w:val="auto"/>
                <w:sz w:val="16"/>
                <w:szCs w:val="16"/>
              </w:rPr>
            </w:pPr>
            <w:r>
              <w:rPr>
                <w:color w:val="auto"/>
                <w:sz w:val="16"/>
                <w:szCs w:val="16"/>
              </w:rPr>
              <w:t>A1</w:t>
            </w:r>
          </w:p>
        </w:tc>
        <w:tc>
          <w:tcPr>
            <w:tcW w:w="459" w:type="dxa"/>
            <w:tcBorders>
              <w:top w:val="nil"/>
              <w:left w:val="nil"/>
              <w:bottom w:val="nil"/>
              <w:right w:val="nil"/>
            </w:tcBorders>
            <w:tcMar>
              <w:top w:w="0" w:type="dxa"/>
              <w:left w:w="0" w:type="dxa"/>
              <w:bottom w:w="0" w:type="dxa"/>
              <w:right w:w="0" w:type="dxa"/>
            </w:tcMar>
            <w:vAlign w:val="center"/>
          </w:tcPr>
          <w:p w14:paraId="01C84A77" w14:textId="77777777" w:rsidR="002358C2" w:rsidRPr="00186B8F" w:rsidRDefault="002358C2" w:rsidP="00992301">
            <w:pPr>
              <w:jc w:val="center"/>
              <w:rPr>
                <w:color w:val="auto"/>
                <w:sz w:val="16"/>
                <w:szCs w:val="16"/>
              </w:rPr>
            </w:pPr>
            <w:r>
              <w:rPr>
                <w:color w:val="auto"/>
                <w:sz w:val="16"/>
                <w:szCs w:val="16"/>
              </w:rPr>
              <w:t>510</w:t>
            </w:r>
          </w:p>
        </w:tc>
        <w:tc>
          <w:tcPr>
            <w:tcW w:w="538" w:type="dxa"/>
            <w:tcBorders>
              <w:top w:val="nil"/>
              <w:left w:val="nil"/>
              <w:bottom w:val="nil"/>
              <w:right w:val="nil"/>
            </w:tcBorders>
            <w:tcMar>
              <w:top w:w="0" w:type="dxa"/>
              <w:left w:w="0" w:type="dxa"/>
              <w:bottom w:w="0" w:type="dxa"/>
              <w:right w:w="0" w:type="dxa"/>
            </w:tcMar>
            <w:vAlign w:val="center"/>
          </w:tcPr>
          <w:p w14:paraId="7BDD714C" w14:textId="77777777" w:rsidR="002358C2" w:rsidRPr="00186B8F" w:rsidRDefault="002358C2" w:rsidP="00992301">
            <w:pPr>
              <w:jc w:val="center"/>
              <w:rPr>
                <w:color w:val="auto"/>
                <w:sz w:val="16"/>
                <w:szCs w:val="16"/>
              </w:rPr>
            </w:pPr>
            <w:r>
              <w:rPr>
                <w:color w:val="auto"/>
                <w:sz w:val="16"/>
                <w:szCs w:val="16"/>
              </w:rPr>
              <w:t>1,500</w:t>
            </w:r>
          </w:p>
        </w:tc>
        <w:tc>
          <w:tcPr>
            <w:tcW w:w="545" w:type="dxa"/>
            <w:tcBorders>
              <w:top w:val="nil"/>
              <w:left w:val="nil"/>
              <w:bottom w:val="nil"/>
              <w:right w:val="nil"/>
            </w:tcBorders>
            <w:vAlign w:val="center"/>
          </w:tcPr>
          <w:p w14:paraId="7950680B" w14:textId="77777777" w:rsidR="002358C2" w:rsidRPr="00186B8F" w:rsidRDefault="002358C2" w:rsidP="00992301">
            <w:pPr>
              <w:jc w:val="center"/>
              <w:rPr>
                <w:color w:val="auto"/>
                <w:sz w:val="16"/>
                <w:szCs w:val="16"/>
              </w:rPr>
            </w:pPr>
          </w:p>
        </w:tc>
      </w:tr>
      <w:tr w:rsidR="002358C2" w:rsidRPr="00186B8F" w14:paraId="3FF47D90" w14:textId="77777777" w:rsidTr="00992301">
        <w:trPr>
          <w:trHeight w:val="255"/>
        </w:trPr>
        <w:tc>
          <w:tcPr>
            <w:tcW w:w="737" w:type="dxa"/>
            <w:tcBorders>
              <w:top w:val="nil"/>
              <w:left w:val="nil"/>
              <w:bottom w:val="nil"/>
              <w:right w:val="nil"/>
            </w:tcBorders>
            <w:noWrap/>
            <w:vAlign w:val="center"/>
          </w:tcPr>
          <w:p w14:paraId="51BDA338" w14:textId="77777777" w:rsidR="002358C2" w:rsidRPr="00186B8F" w:rsidRDefault="002358C2" w:rsidP="00992301">
            <w:pPr>
              <w:rPr>
                <w:color w:val="auto"/>
                <w:sz w:val="16"/>
                <w:szCs w:val="16"/>
              </w:rPr>
            </w:pPr>
            <w:r w:rsidRPr="00186B8F">
              <w:rPr>
                <w:color w:val="auto"/>
                <w:sz w:val="16"/>
                <w:szCs w:val="16"/>
              </w:rPr>
              <w:t>R-473A</w:t>
            </w:r>
          </w:p>
        </w:tc>
        <w:tc>
          <w:tcPr>
            <w:tcW w:w="3458" w:type="dxa"/>
            <w:tcBorders>
              <w:top w:val="nil"/>
              <w:left w:val="nil"/>
              <w:bottom w:val="nil"/>
              <w:right w:val="nil"/>
            </w:tcBorders>
            <w:noWrap/>
            <w:vAlign w:val="center"/>
          </w:tcPr>
          <w:p w14:paraId="732B8E22" w14:textId="77777777" w:rsidR="002358C2" w:rsidRPr="00186B8F" w:rsidRDefault="002358C2" w:rsidP="00992301">
            <w:pPr>
              <w:rPr>
                <w:color w:val="auto"/>
                <w:sz w:val="16"/>
                <w:szCs w:val="16"/>
              </w:rPr>
            </w:pPr>
            <w:r w:rsidRPr="00186B8F">
              <w:rPr>
                <w:color w:val="auto"/>
                <w:sz w:val="16"/>
                <w:szCs w:val="16"/>
              </w:rPr>
              <w:t>HFO-1132a/ HFC-23/R-744/ HFC-125 (20.0/10.0/60.0/10.0)</w:t>
            </w:r>
          </w:p>
        </w:tc>
        <w:tc>
          <w:tcPr>
            <w:tcW w:w="677" w:type="dxa"/>
            <w:tcBorders>
              <w:top w:val="nil"/>
              <w:left w:val="nil"/>
              <w:bottom w:val="nil"/>
              <w:right w:val="nil"/>
            </w:tcBorders>
            <w:tcMar>
              <w:top w:w="0" w:type="dxa"/>
              <w:left w:w="0" w:type="dxa"/>
              <w:bottom w:w="0" w:type="dxa"/>
              <w:right w:w="0" w:type="dxa"/>
            </w:tcMar>
            <w:vAlign w:val="center"/>
          </w:tcPr>
          <w:p w14:paraId="68F892AE" w14:textId="77777777" w:rsidR="002358C2" w:rsidRPr="00186B8F" w:rsidRDefault="002358C2" w:rsidP="00992301">
            <w:pPr>
              <w:jc w:val="center"/>
              <w:rPr>
                <w:color w:val="auto"/>
                <w:sz w:val="16"/>
                <w:szCs w:val="16"/>
              </w:rPr>
            </w:pPr>
            <w:r w:rsidRPr="00186B8F">
              <w:rPr>
                <w:color w:val="auto"/>
                <w:sz w:val="16"/>
                <w:szCs w:val="16"/>
              </w:rPr>
              <w:t>52.6</w:t>
            </w:r>
          </w:p>
        </w:tc>
        <w:tc>
          <w:tcPr>
            <w:tcW w:w="1074" w:type="dxa"/>
            <w:tcBorders>
              <w:top w:val="nil"/>
              <w:left w:val="nil"/>
              <w:bottom w:val="nil"/>
              <w:right w:val="nil"/>
            </w:tcBorders>
            <w:tcMar>
              <w:top w:w="0" w:type="dxa"/>
              <w:left w:w="0" w:type="dxa"/>
              <w:bottom w:w="0" w:type="dxa"/>
              <w:right w:w="0" w:type="dxa"/>
            </w:tcMar>
            <w:vAlign w:val="center"/>
          </w:tcPr>
          <w:p w14:paraId="231FFF72" w14:textId="77777777" w:rsidR="002358C2" w:rsidRPr="00186B8F" w:rsidRDefault="002358C2" w:rsidP="00992301">
            <w:pPr>
              <w:jc w:val="center"/>
              <w:rPr>
                <w:color w:val="auto"/>
                <w:sz w:val="16"/>
                <w:szCs w:val="16"/>
              </w:rPr>
            </w:pPr>
            <w:r>
              <w:rPr>
                <w:color w:val="auto"/>
                <w:sz w:val="16"/>
                <w:szCs w:val="16"/>
              </w:rPr>
              <w:t>–87.6/–83.</w:t>
            </w:r>
            <w:r w:rsidRPr="00186B8F">
              <w:rPr>
                <w:color w:val="auto"/>
                <w:sz w:val="16"/>
                <w:szCs w:val="16"/>
              </w:rPr>
              <w:t>0</w:t>
            </w:r>
          </w:p>
        </w:tc>
        <w:tc>
          <w:tcPr>
            <w:tcW w:w="459" w:type="dxa"/>
            <w:tcBorders>
              <w:top w:val="nil"/>
              <w:left w:val="nil"/>
              <w:bottom w:val="nil"/>
              <w:right w:val="nil"/>
            </w:tcBorders>
            <w:tcMar>
              <w:top w:w="0" w:type="dxa"/>
              <w:left w:w="0" w:type="dxa"/>
              <w:bottom w:w="0" w:type="dxa"/>
              <w:right w:w="0" w:type="dxa"/>
            </w:tcMar>
            <w:vAlign w:val="center"/>
          </w:tcPr>
          <w:p w14:paraId="1D9770EA" w14:textId="77777777" w:rsidR="002358C2" w:rsidRPr="00186B8F" w:rsidRDefault="002358C2" w:rsidP="00992301">
            <w:pPr>
              <w:jc w:val="center"/>
              <w:rPr>
                <w:color w:val="auto"/>
                <w:sz w:val="16"/>
                <w:szCs w:val="16"/>
              </w:rPr>
            </w:pPr>
            <w:r w:rsidRPr="00186B8F">
              <w:rPr>
                <w:color w:val="auto"/>
                <w:sz w:val="16"/>
                <w:szCs w:val="16"/>
              </w:rPr>
              <w:t>A1</w:t>
            </w:r>
          </w:p>
        </w:tc>
        <w:tc>
          <w:tcPr>
            <w:tcW w:w="459" w:type="dxa"/>
            <w:tcBorders>
              <w:top w:val="nil"/>
              <w:left w:val="nil"/>
              <w:bottom w:val="nil"/>
              <w:right w:val="nil"/>
            </w:tcBorders>
            <w:tcMar>
              <w:top w:w="0" w:type="dxa"/>
              <w:left w:w="0" w:type="dxa"/>
              <w:bottom w:w="0" w:type="dxa"/>
              <w:right w:w="0" w:type="dxa"/>
            </w:tcMar>
            <w:vAlign w:val="center"/>
          </w:tcPr>
          <w:p w14:paraId="55D372D6" w14:textId="77777777" w:rsidR="002358C2" w:rsidRPr="00186B8F" w:rsidRDefault="002358C2" w:rsidP="00992301">
            <w:pPr>
              <w:jc w:val="center"/>
              <w:rPr>
                <w:color w:val="auto"/>
                <w:sz w:val="16"/>
                <w:szCs w:val="16"/>
              </w:rPr>
            </w:pPr>
            <w:r w:rsidRPr="00186B8F">
              <w:rPr>
                <w:color w:val="auto"/>
                <w:sz w:val="16"/>
                <w:szCs w:val="16"/>
              </w:rPr>
              <w:t>1,600</w:t>
            </w:r>
          </w:p>
        </w:tc>
        <w:tc>
          <w:tcPr>
            <w:tcW w:w="538" w:type="dxa"/>
            <w:tcBorders>
              <w:top w:val="nil"/>
              <w:left w:val="nil"/>
              <w:bottom w:val="nil"/>
              <w:right w:val="nil"/>
            </w:tcBorders>
            <w:tcMar>
              <w:top w:w="0" w:type="dxa"/>
              <w:left w:w="0" w:type="dxa"/>
              <w:bottom w:w="0" w:type="dxa"/>
              <w:right w:w="0" w:type="dxa"/>
            </w:tcMar>
            <w:vAlign w:val="center"/>
          </w:tcPr>
          <w:p w14:paraId="2BE94D91" w14:textId="77777777" w:rsidR="002358C2" w:rsidRPr="00186B8F" w:rsidRDefault="002358C2" w:rsidP="00992301">
            <w:pPr>
              <w:jc w:val="center"/>
              <w:rPr>
                <w:color w:val="auto"/>
                <w:sz w:val="16"/>
                <w:szCs w:val="16"/>
              </w:rPr>
            </w:pPr>
            <w:r w:rsidRPr="00186B8F">
              <w:rPr>
                <w:color w:val="auto"/>
                <w:sz w:val="16"/>
                <w:szCs w:val="16"/>
              </w:rPr>
              <w:t>1,700</w:t>
            </w:r>
          </w:p>
        </w:tc>
        <w:tc>
          <w:tcPr>
            <w:tcW w:w="545" w:type="dxa"/>
            <w:tcBorders>
              <w:top w:val="nil"/>
              <w:left w:val="nil"/>
              <w:bottom w:val="nil"/>
              <w:right w:val="nil"/>
            </w:tcBorders>
            <w:vAlign w:val="center"/>
          </w:tcPr>
          <w:p w14:paraId="305174A4" w14:textId="77777777" w:rsidR="002358C2" w:rsidRPr="00186B8F" w:rsidRDefault="002358C2" w:rsidP="00992301">
            <w:pPr>
              <w:jc w:val="center"/>
              <w:rPr>
                <w:color w:val="auto"/>
                <w:sz w:val="16"/>
                <w:szCs w:val="16"/>
              </w:rPr>
            </w:pPr>
          </w:p>
        </w:tc>
      </w:tr>
      <w:tr w:rsidR="002358C2" w:rsidRPr="00186B8F" w14:paraId="233333F1" w14:textId="77777777" w:rsidTr="00992301">
        <w:trPr>
          <w:trHeight w:val="255"/>
        </w:trPr>
        <w:tc>
          <w:tcPr>
            <w:tcW w:w="737" w:type="dxa"/>
            <w:tcBorders>
              <w:top w:val="nil"/>
              <w:left w:val="nil"/>
              <w:bottom w:val="single" w:sz="18" w:space="0" w:color="A6A6A6"/>
              <w:right w:val="nil"/>
            </w:tcBorders>
            <w:noWrap/>
            <w:vAlign w:val="center"/>
          </w:tcPr>
          <w:p w14:paraId="2181C9D1" w14:textId="77777777" w:rsidR="002358C2" w:rsidRPr="00186B8F" w:rsidRDefault="002358C2" w:rsidP="00992301">
            <w:pPr>
              <w:rPr>
                <w:color w:val="auto"/>
                <w:sz w:val="16"/>
                <w:szCs w:val="16"/>
              </w:rPr>
            </w:pPr>
            <w:r w:rsidRPr="00186B8F">
              <w:rPr>
                <w:color w:val="auto"/>
                <w:sz w:val="16"/>
                <w:szCs w:val="16"/>
              </w:rPr>
              <w:t>R-47</w:t>
            </w:r>
            <w:r>
              <w:rPr>
                <w:color w:val="auto"/>
                <w:sz w:val="16"/>
                <w:szCs w:val="16"/>
              </w:rPr>
              <w:t>5</w:t>
            </w:r>
            <w:r w:rsidRPr="00186B8F">
              <w:rPr>
                <w:color w:val="auto"/>
                <w:sz w:val="16"/>
                <w:szCs w:val="16"/>
              </w:rPr>
              <w:t>A</w:t>
            </w:r>
          </w:p>
        </w:tc>
        <w:tc>
          <w:tcPr>
            <w:tcW w:w="3458" w:type="dxa"/>
            <w:tcBorders>
              <w:top w:val="nil"/>
              <w:left w:val="nil"/>
              <w:bottom w:val="single" w:sz="18" w:space="0" w:color="A6A6A6"/>
              <w:right w:val="nil"/>
            </w:tcBorders>
            <w:noWrap/>
            <w:vAlign w:val="center"/>
          </w:tcPr>
          <w:p w14:paraId="0B281BDD" w14:textId="77777777" w:rsidR="002358C2" w:rsidRPr="005540A9" w:rsidRDefault="002358C2" w:rsidP="00992301">
            <w:pPr>
              <w:rPr>
                <w:color w:val="auto"/>
                <w:sz w:val="16"/>
                <w:szCs w:val="16"/>
                <w:lang w:val="it-IT"/>
              </w:rPr>
            </w:pPr>
            <w:r w:rsidRPr="005540A9">
              <w:rPr>
                <w:color w:val="auto"/>
                <w:sz w:val="16"/>
                <w:szCs w:val="16"/>
                <w:lang w:val="it-IT"/>
              </w:rPr>
              <w:t>HFO-1234yf/HFC-134a/HFO-1234ze(E) (45.0/43.0/12.0)</w:t>
            </w:r>
          </w:p>
        </w:tc>
        <w:tc>
          <w:tcPr>
            <w:tcW w:w="677" w:type="dxa"/>
            <w:tcBorders>
              <w:top w:val="nil"/>
              <w:left w:val="nil"/>
              <w:bottom w:val="single" w:sz="18" w:space="0" w:color="A6A6A6"/>
              <w:right w:val="nil"/>
            </w:tcBorders>
            <w:tcMar>
              <w:top w:w="0" w:type="dxa"/>
              <w:left w:w="0" w:type="dxa"/>
              <w:bottom w:w="0" w:type="dxa"/>
              <w:right w:w="0" w:type="dxa"/>
            </w:tcMar>
            <w:vAlign w:val="center"/>
          </w:tcPr>
          <w:p w14:paraId="1CC1A4F6" w14:textId="77777777" w:rsidR="002358C2" w:rsidRPr="00186B8F" w:rsidRDefault="002358C2" w:rsidP="00992301">
            <w:pPr>
              <w:jc w:val="center"/>
              <w:rPr>
                <w:color w:val="auto"/>
                <w:sz w:val="16"/>
                <w:szCs w:val="16"/>
              </w:rPr>
            </w:pPr>
            <w:r>
              <w:rPr>
                <w:color w:val="auto"/>
                <w:sz w:val="16"/>
                <w:szCs w:val="16"/>
              </w:rPr>
              <w:t>108.5</w:t>
            </w:r>
          </w:p>
        </w:tc>
        <w:tc>
          <w:tcPr>
            <w:tcW w:w="1074" w:type="dxa"/>
            <w:tcBorders>
              <w:top w:val="nil"/>
              <w:left w:val="nil"/>
              <w:bottom w:val="single" w:sz="18" w:space="0" w:color="A6A6A6"/>
              <w:right w:val="nil"/>
            </w:tcBorders>
            <w:tcMar>
              <w:top w:w="0" w:type="dxa"/>
              <w:left w:w="0" w:type="dxa"/>
              <w:bottom w:w="0" w:type="dxa"/>
              <w:right w:w="0" w:type="dxa"/>
            </w:tcMar>
            <w:vAlign w:val="center"/>
          </w:tcPr>
          <w:p w14:paraId="4BE22345" w14:textId="77777777" w:rsidR="002358C2" w:rsidRDefault="002358C2" w:rsidP="00992301">
            <w:pPr>
              <w:jc w:val="center"/>
              <w:rPr>
                <w:color w:val="auto"/>
                <w:sz w:val="16"/>
                <w:szCs w:val="16"/>
              </w:rPr>
            </w:pPr>
            <w:r>
              <w:rPr>
                <w:color w:val="auto"/>
                <w:sz w:val="16"/>
                <w:szCs w:val="16"/>
              </w:rPr>
              <w:t>–28.8/–28.</w:t>
            </w:r>
            <w:r w:rsidRPr="001751D8">
              <w:rPr>
                <w:color w:val="auto"/>
                <w:sz w:val="16"/>
                <w:szCs w:val="16"/>
              </w:rPr>
              <w:t>3</w:t>
            </w:r>
          </w:p>
        </w:tc>
        <w:tc>
          <w:tcPr>
            <w:tcW w:w="459" w:type="dxa"/>
            <w:tcBorders>
              <w:top w:val="nil"/>
              <w:left w:val="nil"/>
              <w:bottom w:val="single" w:sz="18" w:space="0" w:color="A6A6A6" w:themeColor="background1" w:themeShade="A6"/>
              <w:right w:val="nil"/>
            </w:tcBorders>
            <w:tcMar>
              <w:top w:w="0" w:type="dxa"/>
              <w:left w:w="0" w:type="dxa"/>
              <w:bottom w:w="0" w:type="dxa"/>
              <w:right w:w="0" w:type="dxa"/>
            </w:tcMar>
            <w:vAlign w:val="center"/>
          </w:tcPr>
          <w:p w14:paraId="3D6FE6DB" w14:textId="77777777" w:rsidR="002358C2" w:rsidRPr="00186B8F" w:rsidRDefault="002358C2" w:rsidP="00992301">
            <w:pPr>
              <w:jc w:val="center"/>
              <w:rPr>
                <w:color w:val="auto"/>
                <w:sz w:val="16"/>
                <w:szCs w:val="16"/>
              </w:rPr>
            </w:pPr>
            <w:r>
              <w:rPr>
                <w:color w:val="auto"/>
                <w:sz w:val="16"/>
                <w:szCs w:val="16"/>
              </w:rPr>
              <w:t>A1</w:t>
            </w:r>
          </w:p>
        </w:tc>
        <w:tc>
          <w:tcPr>
            <w:tcW w:w="459" w:type="dxa"/>
            <w:tcBorders>
              <w:top w:val="nil"/>
              <w:left w:val="nil"/>
              <w:bottom w:val="single" w:sz="18" w:space="0" w:color="A6A6A6" w:themeColor="background1" w:themeShade="A6"/>
              <w:right w:val="nil"/>
            </w:tcBorders>
            <w:tcMar>
              <w:top w:w="0" w:type="dxa"/>
              <w:left w:w="0" w:type="dxa"/>
              <w:bottom w:w="0" w:type="dxa"/>
              <w:right w:w="0" w:type="dxa"/>
            </w:tcMar>
            <w:vAlign w:val="center"/>
          </w:tcPr>
          <w:p w14:paraId="08F842C4" w14:textId="77777777" w:rsidR="002358C2" w:rsidRPr="00186B8F" w:rsidRDefault="002358C2" w:rsidP="00992301">
            <w:pPr>
              <w:jc w:val="center"/>
              <w:rPr>
                <w:color w:val="auto"/>
                <w:sz w:val="16"/>
                <w:szCs w:val="16"/>
              </w:rPr>
            </w:pPr>
            <w:r>
              <w:rPr>
                <w:color w:val="auto"/>
                <w:sz w:val="16"/>
                <w:szCs w:val="16"/>
              </w:rPr>
              <w:t>590</w:t>
            </w:r>
          </w:p>
        </w:tc>
        <w:tc>
          <w:tcPr>
            <w:tcW w:w="538" w:type="dxa"/>
            <w:tcBorders>
              <w:top w:val="nil"/>
              <w:left w:val="nil"/>
              <w:bottom w:val="single" w:sz="18" w:space="0" w:color="A6A6A6" w:themeColor="background1" w:themeShade="A6"/>
              <w:right w:val="nil"/>
            </w:tcBorders>
            <w:tcMar>
              <w:top w:w="0" w:type="dxa"/>
              <w:left w:w="0" w:type="dxa"/>
              <w:bottom w:w="0" w:type="dxa"/>
              <w:right w:w="0" w:type="dxa"/>
            </w:tcMar>
            <w:vAlign w:val="center"/>
          </w:tcPr>
          <w:p w14:paraId="37261F90" w14:textId="77777777" w:rsidR="002358C2" w:rsidRPr="00186B8F" w:rsidRDefault="002358C2" w:rsidP="00992301">
            <w:pPr>
              <w:jc w:val="center"/>
              <w:rPr>
                <w:color w:val="auto"/>
                <w:sz w:val="16"/>
                <w:szCs w:val="16"/>
              </w:rPr>
            </w:pPr>
            <w:r>
              <w:rPr>
                <w:color w:val="auto"/>
                <w:sz w:val="16"/>
                <w:szCs w:val="16"/>
              </w:rPr>
              <w:t>1,600</w:t>
            </w:r>
          </w:p>
        </w:tc>
        <w:tc>
          <w:tcPr>
            <w:tcW w:w="545" w:type="dxa"/>
            <w:tcBorders>
              <w:top w:val="nil"/>
              <w:left w:val="nil"/>
              <w:bottom w:val="single" w:sz="18" w:space="0" w:color="A6A6A6" w:themeColor="background1" w:themeShade="A6"/>
              <w:right w:val="nil"/>
            </w:tcBorders>
            <w:vAlign w:val="center"/>
          </w:tcPr>
          <w:p w14:paraId="4C95A04B" w14:textId="77777777" w:rsidR="002358C2" w:rsidRPr="00186B8F" w:rsidRDefault="002358C2" w:rsidP="00992301">
            <w:pPr>
              <w:jc w:val="center"/>
              <w:rPr>
                <w:color w:val="auto"/>
                <w:sz w:val="16"/>
                <w:szCs w:val="16"/>
              </w:rPr>
            </w:pPr>
          </w:p>
        </w:tc>
      </w:tr>
    </w:tbl>
    <w:p w14:paraId="7E5C5E18" w14:textId="77777777" w:rsidR="002358C2" w:rsidRPr="00186B8F" w:rsidRDefault="002358C2" w:rsidP="002358C2">
      <w:pPr>
        <w:rPr>
          <w:b/>
          <w:color w:val="auto"/>
          <w:sz w:val="24"/>
          <w:szCs w:val="24"/>
          <w:u w:val="single"/>
          <w:lang w:eastAsia="en-GB"/>
        </w:rPr>
      </w:pPr>
    </w:p>
    <w:p w14:paraId="3892ABBD" w14:textId="08CDE343" w:rsidR="002358C2" w:rsidRPr="009E24CA" w:rsidRDefault="002358C2" w:rsidP="009E24CA">
      <w:pPr>
        <w:rPr>
          <w:b/>
        </w:rPr>
      </w:pPr>
      <w:r w:rsidRPr="009E24CA">
        <w:rPr>
          <w:b/>
        </w:rPr>
        <w:t>Table 7.3:</w:t>
      </w:r>
      <w:r w:rsidR="005617DE">
        <w:rPr>
          <w:b/>
        </w:rPr>
        <w:t xml:space="preserve"> </w:t>
      </w:r>
      <w:r w:rsidRPr="009E24CA">
        <w:rPr>
          <w:b/>
        </w:rPr>
        <w:t>Data summary for new azeotropic refrigerant blends</w:t>
      </w:r>
    </w:p>
    <w:tbl>
      <w:tblPr>
        <w:tblW w:w="7937" w:type="dxa"/>
        <w:tblLook w:val="04A0" w:firstRow="1" w:lastRow="0" w:firstColumn="1" w:lastColumn="0" w:noHBand="0" w:noVBand="1"/>
      </w:tblPr>
      <w:tblGrid>
        <w:gridCol w:w="737"/>
        <w:gridCol w:w="3855"/>
        <w:gridCol w:w="624"/>
        <w:gridCol w:w="1020"/>
        <w:gridCol w:w="567"/>
        <w:gridCol w:w="567"/>
        <w:gridCol w:w="567"/>
      </w:tblGrid>
      <w:tr w:rsidR="002358C2" w:rsidRPr="00186B8F" w14:paraId="466E5D57" w14:textId="77777777" w:rsidTr="00992301">
        <w:trPr>
          <w:cantSplit/>
          <w:trHeight w:val="1474"/>
        </w:trPr>
        <w:tc>
          <w:tcPr>
            <w:tcW w:w="737" w:type="dxa"/>
            <w:tcBorders>
              <w:top w:val="single" w:sz="18" w:space="0" w:color="A6A6A6"/>
              <w:left w:val="nil"/>
              <w:bottom w:val="single" w:sz="18" w:space="0" w:color="A6A6A6"/>
              <w:right w:val="nil"/>
            </w:tcBorders>
            <w:tcMar>
              <w:top w:w="0" w:type="dxa"/>
              <w:left w:w="0" w:type="dxa"/>
              <w:bottom w:w="0" w:type="dxa"/>
              <w:right w:w="0" w:type="dxa"/>
            </w:tcMar>
            <w:textDirection w:val="tbRl"/>
            <w:vAlign w:val="bottom"/>
            <w:hideMark/>
          </w:tcPr>
          <w:p w14:paraId="6DD35696" w14:textId="77777777" w:rsidR="002358C2" w:rsidRPr="00186B8F" w:rsidRDefault="002358C2" w:rsidP="00992301">
            <w:pPr>
              <w:ind w:left="113" w:right="113"/>
              <w:jc w:val="center"/>
              <w:rPr>
                <w:b/>
                <w:color w:val="auto"/>
                <w:sz w:val="18"/>
                <w:szCs w:val="16"/>
              </w:rPr>
            </w:pPr>
            <w:r w:rsidRPr="00186B8F">
              <w:rPr>
                <w:b/>
                <w:color w:val="auto"/>
                <w:sz w:val="18"/>
                <w:szCs w:val="16"/>
              </w:rPr>
              <w:t>Refrigerant Designation</w:t>
            </w:r>
          </w:p>
        </w:tc>
        <w:tc>
          <w:tcPr>
            <w:tcW w:w="3855" w:type="dxa"/>
            <w:tcBorders>
              <w:top w:val="single" w:sz="18" w:space="0" w:color="A6A6A6"/>
              <w:left w:val="nil"/>
              <w:bottom w:val="single" w:sz="18" w:space="0" w:color="A6A6A6"/>
              <w:right w:val="nil"/>
            </w:tcBorders>
            <w:tcMar>
              <w:top w:w="0" w:type="dxa"/>
              <w:left w:w="0" w:type="dxa"/>
              <w:bottom w:w="0" w:type="dxa"/>
              <w:right w:w="0" w:type="dxa"/>
            </w:tcMar>
            <w:textDirection w:val="tbRl"/>
            <w:vAlign w:val="bottom"/>
            <w:hideMark/>
          </w:tcPr>
          <w:p w14:paraId="5FADAC08" w14:textId="19CE400D" w:rsidR="002358C2" w:rsidRPr="00186B8F" w:rsidRDefault="002358C2" w:rsidP="00992301">
            <w:pPr>
              <w:ind w:left="113" w:right="113"/>
              <w:jc w:val="center"/>
              <w:rPr>
                <w:b/>
                <w:color w:val="auto"/>
                <w:sz w:val="18"/>
                <w:szCs w:val="16"/>
              </w:rPr>
            </w:pPr>
            <w:r w:rsidRPr="00186B8F">
              <w:rPr>
                <w:b/>
                <w:color w:val="auto"/>
                <w:sz w:val="18"/>
                <w:szCs w:val="16"/>
              </w:rPr>
              <w:t>Refrigerant Composition (Mass %)</w:t>
            </w:r>
          </w:p>
        </w:tc>
        <w:tc>
          <w:tcPr>
            <w:tcW w:w="624"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24AD8C58" w14:textId="77777777" w:rsidR="002358C2" w:rsidRPr="00186B8F" w:rsidRDefault="002358C2" w:rsidP="00992301">
            <w:pPr>
              <w:ind w:left="113" w:right="113"/>
              <w:jc w:val="center"/>
              <w:rPr>
                <w:b/>
                <w:color w:val="auto"/>
                <w:sz w:val="18"/>
                <w:szCs w:val="16"/>
              </w:rPr>
            </w:pPr>
            <w:r w:rsidRPr="00186B8F">
              <w:rPr>
                <w:b/>
                <w:color w:val="auto"/>
                <w:sz w:val="18"/>
                <w:szCs w:val="16"/>
              </w:rPr>
              <w:t>Molecular Weight</w:t>
            </w:r>
          </w:p>
        </w:tc>
        <w:tc>
          <w:tcPr>
            <w:tcW w:w="1020"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30EDD2DA" w14:textId="77777777" w:rsidR="002358C2" w:rsidRPr="00186B8F" w:rsidRDefault="002358C2" w:rsidP="00992301">
            <w:pPr>
              <w:ind w:left="113" w:right="113"/>
              <w:jc w:val="center"/>
              <w:rPr>
                <w:b/>
                <w:color w:val="auto"/>
                <w:sz w:val="18"/>
                <w:szCs w:val="16"/>
              </w:rPr>
            </w:pPr>
            <w:r w:rsidRPr="00186B8F">
              <w:rPr>
                <w:b/>
                <w:color w:val="auto"/>
                <w:sz w:val="18"/>
                <w:szCs w:val="18"/>
              </w:rPr>
              <w:t>Bubble Point/ Dew Point (°C)</w:t>
            </w:r>
          </w:p>
        </w:tc>
        <w:tc>
          <w:tcPr>
            <w:tcW w:w="567"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2EBEC898" w14:textId="77777777" w:rsidR="002358C2" w:rsidRPr="00186B8F" w:rsidRDefault="002358C2" w:rsidP="00992301">
            <w:pPr>
              <w:ind w:left="113" w:right="113"/>
              <w:jc w:val="center"/>
              <w:rPr>
                <w:b/>
                <w:color w:val="auto"/>
                <w:sz w:val="18"/>
                <w:szCs w:val="16"/>
              </w:rPr>
            </w:pPr>
            <w:r w:rsidRPr="00186B8F">
              <w:rPr>
                <w:b/>
                <w:color w:val="auto"/>
                <w:sz w:val="18"/>
                <w:szCs w:val="16"/>
              </w:rPr>
              <w:t>Safety Class</w:t>
            </w:r>
          </w:p>
        </w:tc>
        <w:tc>
          <w:tcPr>
            <w:tcW w:w="567"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68222910" w14:textId="77777777" w:rsidR="002358C2" w:rsidRPr="00186B8F" w:rsidRDefault="002358C2" w:rsidP="00992301">
            <w:pPr>
              <w:ind w:left="113" w:right="113"/>
              <w:jc w:val="center"/>
              <w:rPr>
                <w:b/>
                <w:color w:val="auto"/>
                <w:sz w:val="18"/>
                <w:szCs w:val="16"/>
              </w:rPr>
            </w:pPr>
            <w:r w:rsidRPr="00186B8F">
              <w:rPr>
                <w:b/>
                <w:color w:val="auto"/>
                <w:sz w:val="18"/>
                <w:szCs w:val="16"/>
              </w:rPr>
              <w:t>GWP 100 Year</w:t>
            </w:r>
          </w:p>
        </w:tc>
        <w:tc>
          <w:tcPr>
            <w:tcW w:w="567" w:type="dxa"/>
            <w:tcBorders>
              <w:top w:val="single" w:sz="18" w:space="0" w:color="A6A6A6"/>
              <w:left w:val="nil"/>
              <w:bottom w:val="single" w:sz="18" w:space="0" w:color="A6A6A6"/>
              <w:right w:val="nil"/>
            </w:tcBorders>
            <w:tcMar>
              <w:top w:w="0" w:type="dxa"/>
              <w:left w:w="0" w:type="dxa"/>
              <w:bottom w:w="0" w:type="dxa"/>
              <w:right w:w="0" w:type="dxa"/>
            </w:tcMar>
            <w:textDirection w:val="tbRl"/>
            <w:vAlign w:val="center"/>
            <w:hideMark/>
          </w:tcPr>
          <w:p w14:paraId="018E2D59" w14:textId="77777777" w:rsidR="002358C2" w:rsidRPr="00186B8F" w:rsidRDefault="002358C2" w:rsidP="00992301">
            <w:pPr>
              <w:ind w:left="113" w:right="113"/>
              <w:jc w:val="center"/>
              <w:rPr>
                <w:b/>
                <w:color w:val="auto"/>
                <w:sz w:val="18"/>
                <w:szCs w:val="16"/>
              </w:rPr>
            </w:pPr>
            <w:r w:rsidRPr="00186B8F">
              <w:rPr>
                <w:b/>
                <w:color w:val="auto"/>
                <w:sz w:val="18"/>
                <w:szCs w:val="16"/>
              </w:rPr>
              <w:t>GWP 20 Year</w:t>
            </w:r>
          </w:p>
        </w:tc>
      </w:tr>
      <w:tr w:rsidR="002358C2" w:rsidRPr="00186B8F" w14:paraId="64B5E0FF" w14:textId="77777777" w:rsidTr="00992301">
        <w:trPr>
          <w:trHeight w:val="255"/>
        </w:trPr>
        <w:tc>
          <w:tcPr>
            <w:tcW w:w="737" w:type="dxa"/>
            <w:tcBorders>
              <w:top w:val="nil"/>
              <w:left w:val="nil"/>
              <w:bottom w:val="single" w:sz="18" w:space="0" w:color="A6A6A6"/>
              <w:right w:val="nil"/>
            </w:tcBorders>
            <w:tcMar>
              <w:top w:w="0" w:type="dxa"/>
              <w:left w:w="0" w:type="dxa"/>
              <w:bottom w:w="0" w:type="dxa"/>
              <w:right w:w="0" w:type="dxa"/>
            </w:tcMar>
            <w:vAlign w:val="center"/>
            <w:hideMark/>
          </w:tcPr>
          <w:p w14:paraId="12FF9A51" w14:textId="77777777" w:rsidR="002358C2" w:rsidRPr="00186B8F" w:rsidRDefault="002358C2" w:rsidP="00992301">
            <w:pPr>
              <w:rPr>
                <w:color w:val="auto"/>
                <w:sz w:val="16"/>
                <w:szCs w:val="16"/>
              </w:rPr>
            </w:pPr>
            <w:r w:rsidRPr="00186B8F">
              <w:rPr>
                <w:color w:val="auto"/>
                <w:sz w:val="16"/>
                <w:szCs w:val="16"/>
              </w:rPr>
              <w:t>R-515B</w:t>
            </w:r>
          </w:p>
        </w:tc>
        <w:tc>
          <w:tcPr>
            <w:tcW w:w="3855" w:type="dxa"/>
            <w:tcBorders>
              <w:top w:val="nil"/>
              <w:left w:val="nil"/>
              <w:bottom w:val="single" w:sz="18" w:space="0" w:color="A6A6A6"/>
              <w:right w:val="nil"/>
            </w:tcBorders>
            <w:tcMar>
              <w:top w:w="0" w:type="dxa"/>
              <w:left w:w="0" w:type="dxa"/>
              <w:bottom w:w="0" w:type="dxa"/>
              <w:right w:w="0" w:type="dxa"/>
            </w:tcMar>
            <w:vAlign w:val="center"/>
            <w:hideMark/>
          </w:tcPr>
          <w:p w14:paraId="72CFCDD8" w14:textId="77777777" w:rsidR="002358C2" w:rsidRPr="00186B8F" w:rsidRDefault="002358C2" w:rsidP="00992301">
            <w:pPr>
              <w:rPr>
                <w:color w:val="auto"/>
                <w:sz w:val="16"/>
                <w:szCs w:val="16"/>
                <w:lang w:val="nl-NL"/>
              </w:rPr>
            </w:pPr>
            <w:r w:rsidRPr="00186B8F">
              <w:rPr>
                <w:color w:val="auto"/>
                <w:sz w:val="16"/>
                <w:szCs w:val="16"/>
                <w:lang w:val="nl-NL"/>
              </w:rPr>
              <w:t>HFO-1234ze(E)/HFC-227ea (91,1/8,9)</w:t>
            </w:r>
          </w:p>
        </w:tc>
        <w:tc>
          <w:tcPr>
            <w:tcW w:w="624" w:type="dxa"/>
            <w:tcBorders>
              <w:top w:val="nil"/>
              <w:left w:val="nil"/>
              <w:bottom w:val="single" w:sz="18" w:space="0" w:color="A6A6A6"/>
              <w:right w:val="nil"/>
            </w:tcBorders>
            <w:tcMar>
              <w:top w:w="0" w:type="dxa"/>
              <w:left w:w="0" w:type="dxa"/>
              <w:bottom w:w="0" w:type="dxa"/>
              <w:right w:w="0" w:type="dxa"/>
            </w:tcMar>
            <w:vAlign w:val="center"/>
            <w:hideMark/>
          </w:tcPr>
          <w:p w14:paraId="2918CF0E" w14:textId="77777777" w:rsidR="002358C2" w:rsidRPr="00186B8F" w:rsidRDefault="002358C2" w:rsidP="00992301">
            <w:pPr>
              <w:jc w:val="center"/>
              <w:rPr>
                <w:color w:val="auto"/>
                <w:sz w:val="16"/>
                <w:szCs w:val="16"/>
              </w:rPr>
            </w:pPr>
            <w:r w:rsidRPr="00186B8F">
              <w:rPr>
                <w:color w:val="auto"/>
                <w:sz w:val="16"/>
                <w:szCs w:val="16"/>
              </w:rPr>
              <w:t>117.5</w:t>
            </w:r>
          </w:p>
        </w:tc>
        <w:tc>
          <w:tcPr>
            <w:tcW w:w="1020" w:type="dxa"/>
            <w:tcBorders>
              <w:top w:val="nil"/>
              <w:left w:val="nil"/>
              <w:bottom w:val="single" w:sz="18" w:space="0" w:color="A6A6A6"/>
              <w:right w:val="nil"/>
            </w:tcBorders>
            <w:tcMar>
              <w:top w:w="0" w:type="dxa"/>
              <w:left w:w="0" w:type="dxa"/>
              <w:bottom w:w="0" w:type="dxa"/>
              <w:right w:w="0" w:type="dxa"/>
            </w:tcMar>
            <w:vAlign w:val="center"/>
            <w:hideMark/>
          </w:tcPr>
          <w:p w14:paraId="37CC2208" w14:textId="77777777" w:rsidR="002358C2" w:rsidRPr="00186B8F" w:rsidRDefault="002358C2" w:rsidP="00992301">
            <w:pPr>
              <w:jc w:val="center"/>
              <w:rPr>
                <w:color w:val="auto"/>
                <w:sz w:val="16"/>
                <w:szCs w:val="16"/>
              </w:rPr>
            </w:pPr>
            <w:r w:rsidRPr="00186B8F">
              <w:rPr>
                <w:color w:val="auto"/>
                <w:sz w:val="16"/>
                <w:szCs w:val="16"/>
              </w:rPr>
              <w:t>–19.0/–19.0</w:t>
            </w:r>
          </w:p>
        </w:tc>
        <w:tc>
          <w:tcPr>
            <w:tcW w:w="567" w:type="dxa"/>
            <w:tcBorders>
              <w:top w:val="nil"/>
              <w:left w:val="nil"/>
              <w:bottom w:val="single" w:sz="18" w:space="0" w:color="A6A6A6"/>
              <w:right w:val="nil"/>
            </w:tcBorders>
            <w:tcMar>
              <w:top w:w="0" w:type="dxa"/>
              <w:left w:w="0" w:type="dxa"/>
              <w:bottom w:w="0" w:type="dxa"/>
              <w:right w:w="0" w:type="dxa"/>
            </w:tcMar>
            <w:vAlign w:val="center"/>
            <w:hideMark/>
          </w:tcPr>
          <w:p w14:paraId="2D424D7F" w14:textId="77777777" w:rsidR="002358C2" w:rsidRPr="00186B8F" w:rsidRDefault="002358C2" w:rsidP="00992301">
            <w:pPr>
              <w:jc w:val="center"/>
              <w:rPr>
                <w:color w:val="auto"/>
                <w:sz w:val="16"/>
                <w:szCs w:val="16"/>
              </w:rPr>
            </w:pPr>
            <w:r w:rsidRPr="00186B8F">
              <w:rPr>
                <w:color w:val="auto"/>
                <w:sz w:val="16"/>
                <w:szCs w:val="16"/>
              </w:rPr>
              <w:t>A1</w:t>
            </w:r>
          </w:p>
        </w:tc>
        <w:tc>
          <w:tcPr>
            <w:tcW w:w="567" w:type="dxa"/>
            <w:tcBorders>
              <w:top w:val="nil"/>
              <w:left w:val="nil"/>
              <w:bottom w:val="single" w:sz="18" w:space="0" w:color="A6A6A6"/>
              <w:right w:val="nil"/>
            </w:tcBorders>
            <w:tcMar>
              <w:top w:w="0" w:type="dxa"/>
              <w:left w:w="0" w:type="dxa"/>
              <w:bottom w:w="0" w:type="dxa"/>
              <w:right w:w="0" w:type="dxa"/>
            </w:tcMar>
            <w:vAlign w:val="center"/>
            <w:hideMark/>
          </w:tcPr>
          <w:p w14:paraId="63A3CAA4" w14:textId="77777777" w:rsidR="002358C2" w:rsidRPr="00186B8F" w:rsidRDefault="002358C2" w:rsidP="00992301">
            <w:pPr>
              <w:jc w:val="center"/>
              <w:rPr>
                <w:color w:val="auto"/>
                <w:sz w:val="16"/>
                <w:szCs w:val="16"/>
              </w:rPr>
            </w:pPr>
            <w:r w:rsidRPr="00186B8F">
              <w:rPr>
                <w:color w:val="auto"/>
                <w:sz w:val="16"/>
                <w:szCs w:val="16"/>
              </w:rPr>
              <w:t>280</w:t>
            </w:r>
          </w:p>
        </w:tc>
        <w:tc>
          <w:tcPr>
            <w:tcW w:w="567" w:type="dxa"/>
            <w:tcBorders>
              <w:top w:val="nil"/>
              <w:left w:val="nil"/>
              <w:bottom w:val="single" w:sz="18" w:space="0" w:color="A6A6A6"/>
              <w:right w:val="nil"/>
            </w:tcBorders>
            <w:tcMar>
              <w:top w:w="0" w:type="dxa"/>
              <w:left w:w="0" w:type="dxa"/>
              <w:bottom w:w="0" w:type="dxa"/>
              <w:right w:w="0" w:type="dxa"/>
            </w:tcMar>
            <w:vAlign w:val="center"/>
            <w:hideMark/>
          </w:tcPr>
          <w:p w14:paraId="1DA1D6B0" w14:textId="77777777" w:rsidR="002358C2" w:rsidRPr="00186B8F" w:rsidRDefault="002358C2" w:rsidP="00992301">
            <w:pPr>
              <w:jc w:val="center"/>
              <w:rPr>
                <w:color w:val="auto"/>
                <w:sz w:val="16"/>
                <w:szCs w:val="16"/>
              </w:rPr>
            </w:pPr>
            <w:r w:rsidRPr="00186B8F">
              <w:rPr>
                <w:color w:val="auto"/>
                <w:sz w:val="16"/>
                <w:szCs w:val="16"/>
              </w:rPr>
              <w:t>470</w:t>
            </w:r>
          </w:p>
        </w:tc>
      </w:tr>
    </w:tbl>
    <w:p w14:paraId="30858648" w14:textId="77777777" w:rsidR="002358C2" w:rsidRDefault="002358C2" w:rsidP="002358C2">
      <w:pPr>
        <w:pStyle w:val="Style15"/>
      </w:pPr>
    </w:p>
    <w:p w14:paraId="7D828989" w14:textId="34CACE7F" w:rsidR="00961306" w:rsidRPr="00F125CE" w:rsidRDefault="002358C2" w:rsidP="005C5E68">
      <w:pPr>
        <w:pStyle w:val="Heading2"/>
        <w:rPr>
          <w:rStyle w:val="Heading2Char"/>
          <w:b/>
        </w:rPr>
      </w:pPr>
      <w:bookmarkStart w:id="605" w:name="_Toc104396727"/>
      <w:r w:rsidRPr="00F125CE">
        <w:rPr>
          <w:rStyle w:val="Heading2Char"/>
          <w:b/>
        </w:rPr>
        <w:t>7.</w:t>
      </w:r>
      <w:r>
        <w:rPr>
          <w:rStyle w:val="Heading2Char"/>
          <w:b/>
        </w:rPr>
        <w:t>3</w:t>
      </w:r>
      <w:r w:rsidR="00961306">
        <w:rPr>
          <w:rStyle w:val="Heading2Char"/>
          <w:b/>
        </w:rPr>
        <w:tab/>
      </w:r>
      <w:r w:rsidRPr="00F125CE">
        <w:rPr>
          <w:rStyle w:val="Heading2Char"/>
          <w:b/>
        </w:rPr>
        <w:t xml:space="preserve"> </w:t>
      </w:r>
      <w:r w:rsidR="00961306" w:rsidRPr="00F125CE">
        <w:rPr>
          <w:rStyle w:val="Heading2Char"/>
          <w:b/>
        </w:rPr>
        <w:t>Factory sealed domestic and commercial refrigeration appliances</w:t>
      </w:r>
      <w:bookmarkEnd w:id="605"/>
    </w:p>
    <w:p w14:paraId="19B44CD9" w14:textId="77777777" w:rsidR="002358C2" w:rsidRPr="00A452E9" w:rsidRDefault="002358C2" w:rsidP="002358C2">
      <w:pPr>
        <w:rPr>
          <w:szCs w:val="22"/>
        </w:rPr>
      </w:pPr>
      <w:bookmarkStart w:id="606" w:name="_Toc402095388"/>
      <w:bookmarkStart w:id="607" w:name="_Toc441310655"/>
      <w:bookmarkStart w:id="608" w:name="_Toc522038504"/>
      <w:bookmarkStart w:id="609" w:name="_Hlk76471001"/>
      <w:r w:rsidRPr="00DA6F97">
        <w:rPr>
          <w:szCs w:val="22"/>
        </w:rPr>
        <w:t>Currently, the entire global new production of domestic refrigerators is based on non-ODS refrigerants, predominantly HC-600a and to some extent still HFC-134a. Refrigerant migration from HFC-134a to HC-600a is expected to continue, driven by Kigali Amendment phase-down schedules or local regulations on HFCs. It is estimated that by 2020 about 75% of new refrigerator production were using HC-600a and the rest was still applying HFC-134a.</w:t>
      </w:r>
      <w:r w:rsidRPr="00A452E9">
        <w:rPr>
          <w:szCs w:val="22"/>
        </w:rPr>
        <w:t xml:space="preserve"> </w:t>
      </w:r>
    </w:p>
    <w:bookmarkEnd w:id="606"/>
    <w:bookmarkEnd w:id="607"/>
    <w:bookmarkEnd w:id="608"/>
    <w:bookmarkEnd w:id="609"/>
    <w:p w14:paraId="34F4E8FD" w14:textId="77777777" w:rsidR="002358C2" w:rsidRPr="00A452E9" w:rsidRDefault="002358C2" w:rsidP="002358C2">
      <w:pPr>
        <w:rPr>
          <w:szCs w:val="22"/>
        </w:rPr>
      </w:pPr>
      <w:r w:rsidRPr="00A452E9">
        <w:rPr>
          <w:szCs w:val="22"/>
        </w:rPr>
        <w:t xml:space="preserve">Commercial systems are predominantly produced with HFCs, particularly HFC-134a. Migrations are taking place to HC-290 and HC-600a in several European and US companies. The application of R-744 has gained a lot of interest in some niche markets. This trend is spreading to some of the Article 5 countries too. </w:t>
      </w:r>
      <w:bookmarkStart w:id="610" w:name="_Hlk76472754"/>
    </w:p>
    <w:p w14:paraId="329B08AE" w14:textId="77777777" w:rsidR="002358C2" w:rsidRPr="00A452E9" w:rsidRDefault="002358C2" w:rsidP="002358C2">
      <w:pPr>
        <w:rPr>
          <w:szCs w:val="22"/>
        </w:rPr>
      </w:pPr>
      <w:r w:rsidRPr="00A452E9">
        <w:rPr>
          <w:szCs w:val="22"/>
        </w:rPr>
        <w:t xml:space="preserve">The most commonly used refrigerants in HPTDs are HFC-134a, R-407C, and R-410A. Large European manufacturers, motivated by the reduction of refrigerant quotas under the EU F-Gas regulation, have already switched to HC-290 for better efficiency while complying with safety standards. </w:t>
      </w:r>
    </w:p>
    <w:bookmarkEnd w:id="610"/>
    <w:p w14:paraId="00A8BBBA" w14:textId="77777777" w:rsidR="002358C2" w:rsidRPr="00A452E9" w:rsidRDefault="002358C2" w:rsidP="002358C2">
      <w:pPr>
        <w:rPr>
          <w:szCs w:val="22"/>
        </w:rPr>
      </w:pPr>
      <w:r w:rsidRPr="00A452E9">
        <w:rPr>
          <w:szCs w:val="22"/>
        </w:rPr>
        <w:t xml:space="preserve">For most appliances and components used in appliances, particular safety standards are available within the IEC 60335 framework. Applicable standards include: </w:t>
      </w:r>
    </w:p>
    <w:p w14:paraId="6436911B" w14:textId="77777777" w:rsidR="002358C2" w:rsidRPr="00A452E9" w:rsidRDefault="002358C2" w:rsidP="00107383">
      <w:pPr>
        <w:pStyle w:val="ListParagraph"/>
        <w:widowControl/>
        <w:numPr>
          <w:ilvl w:val="0"/>
          <w:numId w:val="58"/>
        </w:numPr>
        <w:ind w:firstLineChars="0"/>
        <w:jc w:val="left"/>
        <w:rPr>
          <w:rFonts w:ascii="Times New Roman" w:hAnsi="Times New Roman"/>
          <w:sz w:val="22"/>
        </w:rPr>
      </w:pPr>
      <w:r w:rsidRPr="00A452E9">
        <w:rPr>
          <w:rFonts w:ascii="Times New Roman" w:hAnsi="Times New Roman"/>
          <w:sz w:val="22"/>
        </w:rPr>
        <w:t xml:space="preserve">60335-2-11 Household and similar electrical appliances - Safety for tumble dryers </w:t>
      </w:r>
    </w:p>
    <w:p w14:paraId="1C699E0A" w14:textId="77777777" w:rsidR="002358C2" w:rsidRPr="00A452E9" w:rsidRDefault="002358C2" w:rsidP="00107383">
      <w:pPr>
        <w:pStyle w:val="ListParagraph"/>
        <w:widowControl/>
        <w:numPr>
          <w:ilvl w:val="0"/>
          <w:numId w:val="58"/>
        </w:numPr>
        <w:ind w:firstLineChars="0"/>
        <w:jc w:val="left"/>
        <w:rPr>
          <w:rFonts w:ascii="Times New Roman" w:hAnsi="Times New Roman"/>
          <w:sz w:val="22"/>
        </w:rPr>
      </w:pPr>
      <w:r w:rsidRPr="00A452E9">
        <w:rPr>
          <w:rFonts w:ascii="Times New Roman" w:hAnsi="Times New Roman"/>
          <w:sz w:val="22"/>
        </w:rPr>
        <w:t>60335-2-24 Household and similar electrical appliances - Safety for refrigerating appliances, ice-cream appliances and ice makers</w:t>
      </w:r>
    </w:p>
    <w:p w14:paraId="1AE0B3C9" w14:textId="77777777" w:rsidR="002358C2" w:rsidRPr="00A452E9" w:rsidRDefault="002358C2" w:rsidP="00107383">
      <w:pPr>
        <w:pStyle w:val="ListParagraph"/>
        <w:widowControl/>
        <w:numPr>
          <w:ilvl w:val="0"/>
          <w:numId w:val="58"/>
        </w:numPr>
        <w:ind w:firstLineChars="0"/>
        <w:jc w:val="left"/>
        <w:rPr>
          <w:rFonts w:ascii="Times New Roman" w:hAnsi="Times New Roman"/>
          <w:sz w:val="22"/>
        </w:rPr>
      </w:pPr>
      <w:r w:rsidRPr="00A452E9">
        <w:rPr>
          <w:rFonts w:ascii="Times New Roman" w:hAnsi="Times New Roman"/>
          <w:sz w:val="22"/>
        </w:rPr>
        <w:t>60335-2-75 Household and similar electrical appliances - Safety for commercial dispensing appliances and vending machines</w:t>
      </w:r>
    </w:p>
    <w:p w14:paraId="395DEACE" w14:textId="77777777" w:rsidR="002358C2" w:rsidRPr="00A452E9" w:rsidRDefault="002358C2" w:rsidP="00107383">
      <w:pPr>
        <w:pStyle w:val="ListParagraph"/>
        <w:widowControl/>
        <w:numPr>
          <w:ilvl w:val="0"/>
          <w:numId w:val="58"/>
        </w:numPr>
        <w:ind w:firstLineChars="0"/>
        <w:jc w:val="left"/>
        <w:rPr>
          <w:rFonts w:ascii="Times New Roman" w:hAnsi="Times New Roman"/>
          <w:sz w:val="22"/>
        </w:rPr>
      </w:pPr>
      <w:r w:rsidRPr="00A452E9">
        <w:rPr>
          <w:rFonts w:ascii="Times New Roman" w:hAnsi="Times New Roman"/>
          <w:sz w:val="22"/>
        </w:rPr>
        <w:t xml:space="preserve">60335-2-89 Household and similar electrical appliances - Safety for commercial refrigerating appliances and icemakers with an incorporated or remote refrigerant unit or motor-compressor </w:t>
      </w:r>
    </w:p>
    <w:p w14:paraId="6305B0EF" w14:textId="77777777" w:rsidR="002358C2" w:rsidRPr="00A452E9" w:rsidRDefault="002358C2" w:rsidP="00107383">
      <w:pPr>
        <w:pStyle w:val="ListParagraph"/>
        <w:widowControl/>
        <w:numPr>
          <w:ilvl w:val="0"/>
          <w:numId w:val="58"/>
        </w:numPr>
        <w:ind w:firstLineChars="0"/>
        <w:jc w:val="left"/>
        <w:rPr>
          <w:rFonts w:ascii="Times New Roman" w:hAnsi="Times New Roman"/>
          <w:sz w:val="22"/>
        </w:rPr>
      </w:pPr>
      <w:r w:rsidRPr="00A452E9">
        <w:rPr>
          <w:rFonts w:ascii="Times New Roman" w:hAnsi="Times New Roman"/>
          <w:sz w:val="22"/>
        </w:rPr>
        <w:t>60335-2-118 Household and similar electrical appliances - Safety for professional ice-cream makers</w:t>
      </w:r>
    </w:p>
    <w:p w14:paraId="6C61A154" w14:textId="0D03D26F" w:rsidR="002358C2" w:rsidRPr="00E01ED3" w:rsidRDefault="002358C2" w:rsidP="002358C2">
      <w:pPr>
        <w:rPr>
          <w:szCs w:val="22"/>
        </w:rPr>
      </w:pPr>
      <w:r>
        <w:rPr>
          <w:szCs w:val="22"/>
        </w:rPr>
        <w:br/>
      </w:r>
      <w:r w:rsidRPr="00A452E9">
        <w:rPr>
          <w:szCs w:val="22"/>
        </w:rPr>
        <w:t>The regulatory schemes and standards on energy efficiency seem to drive manufacturers to innovate products for better energy efficiency at lower costs.</w:t>
      </w:r>
      <w:r w:rsidR="005617DE">
        <w:rPr>
          <w:szCs w:val="22"/>
        </w:rPr>
        <w:t xml:space="preserve"> </w:t>
      </w:r>
    </w:p>
    <w:p w14:paraId="787711EB" w14:textId="6360B713" w:rsidR="002358C2" w:rsidRPr="00F125CE" w:rsidRDefault="002358C2" w:rsidP="005C5E68">
      <w:pPr>
        <w:pStyle w:val="Heading2"/>
        <w:rPr>
          <w:rStyle w:val="Heading2Char"/>
          <w:b/>
        </w:rPr>
      </w:pPr>
      <w:bookmarkStart w:id="611" w:name="_Toc104396728"/>
      <w:r w:rsidRPr="00F125CE">
        <w:rPr>
          <w:rStyle w:val="Heading2Char"/>
          <w:b/>
        </w:rPr>
        <w:t>7.</w:t>
      </w:r>
      <w:r>
        <w:rPr>
          <w:rStyle w:val="Heading2Char"/>
          <w:b/>
        </w:rPr>
        <w:t>4</w:t>
      </w:r>
      <w:r w:rsidR="00961306">
        <w:rPr>
          <w:rStyle w:val="Heading2Char"/>
          <w:b/>
        </w:rPr>
        <w:tab/>
      </w:r>
      <w:r w:rsidRPr="00F125CE">
        <w:rPr>
          <w:rStyle w:val="Heading2Char"/>
          <w:b/>
        </w:rPr>
        <w:t xml:space="preserve"> Food retail and food service refrigeration</w:t>
      </w:r>
      <w:bookmarkEnd w:id="611"/>
    </w:p>
    <w:p w14:paraId="0AF74EB3" w14:textId="2E88C134" w:rsidR="002358C2" w:rsidRPr="00E01ED3" w:rsidRDefault="002358C2" w:rsidP="002358C2">
      <w:pPr>
        <w:rPr>
          <w:szCs w:val="22"/>
          <w:lang w:val="en-US"/>
        </w:rPr>
      </w:pPr>
      <w:r w:rsidRPr="00E01ED3">
        <w:rPr>
          <w:szCs w:val="22"/>
          <w:lang w:val="en-US"/>
        </w:rPr>
        <w:t xml:space="preserve">The trend of adopting some form of a GWP limit on the use of high GWP HFC gases in food retail and food service applications continues across the world. The F-gas regulation 517/2014 in Europe is in the process of being updated and in the U.S., the American Innovation </w:t>
      </w:r>
      <w:r w:rsidR="00B710A8">
        <w:rPr>
          <w:szCs w:val="22"/>
          <w:lang w:val="en-US"/>
        </w:rPr>
        <w:t>and</w:t>
      </w:r>
      <w:r w:rsidRPr="00E01ED3">
        <w:rPr>
          <w:szCs w:val="22"/>
          <w:lang w:val="en-US"/>
        </w:rPr>
        <w:t xml:space="preserve"> Manufacturing Act of 2020 (AIM Act) signed into law on </w:t>
      </w:r>
      <w:r w:rsidR="00B710A8">
        <w:rPr>
          <w:szCs w:val="22"/>
          <w:lang w:val="en-US"/>
        </w:rPr>
        <w:t xml:space="preserve">27 </w:t>
      </w:r>
      <w:r w:rsidRPr="00E01ED3">
        <w:rPr>
          <w:szCs w:val="22"/>
          <w:lang w:val="en-US"/>
        </w:rPr>
        <w:t>Dec</w:t>
      </w:r>
      <w:r w:rsidR="00B710A8">
        <w:rPr>
          <w:szCs w:val="22"/>
          <w:lang w:val="en-US"/>
        </w:rPr>
        <w:t>ember</w:t>
      </w:r>
      <w:r w:rsidRPr="00E01ED3">
        <w:rPr>
          <w:szCs w:val="22"/>
          <w:lang w:val="en-US"/>
        </w:rPr>
        <w:t xml:space="preserve"> 2020, is being </w:t>
      </w:r>
      <w:r w:rsidRPr="00E01ED3">
        <w:rPr>
          <w:szCs w:val="22"/>
          <w:lang w:val="en-US"/>
        </w:rPr>
        <w:lastRenderedPageBreak/>
        <w:t xml:space="preserve">implemented. According to ICAP (India Cooling Action Plan), in </w:t>
      </w:r>
      <w:r w:rsidRPr="00E01ED3">
        <w:rPr>
          <w:szCs w:val="22"/>
        </w:rPr>
        <w:t>India and around the world, a combined energy and refrigerant use metric may be considered for the labelling of equipment</w:t>
      </w:r>
    </w:p>
    <w:p w14:paraId="4C92D2E9" w14:textId="09A33451" w:rsidR="002358C2" w:rsidRPr="00E01ED3" w:rsidRDefault="002358C2" w:rsidP="002358C2">
      <w:pPr>
        <w:rPr>
          <w:szCs w:val="22"/>
          <w:lang w:val="en-US"/>
        </w:rPr>
      </w:pPr>
      <w:r w:rsidRPr="00E01ED3">
        <w:rPr>
          <w:szCs w:val="22"/>
          <w:lang w:val="en-US"/>
        </w:rPr>
        <w:t xml:space="preserve">The commonly used HFCs in existing food retail and food service are R-404A (GWP 3922) and HFC-134a (GWP 1430) and in many A5 </w:t>
      </w:r>
      <w:r w:rsidR="00B710A8">
        <w:rPr>
          <w:szCs w:val="22"/>
          <w:lang w:val="en-US"/>
        </w:rPr>
        <w:t>partie</w:t>
      </w:r>
      <w:r w:rsidRPr="00E01ED3">
        <w:rPr>
          <w:szCs w:val="22"/>
          <w:lang w:val="en-US"/>
        </w:rPr>
        <w:t xml:space="preserve">s HCFC-22 (GWP 1810) is </w:t>
      </w:r>
      <w:r>
        <w:rPr>
          <w:szCs w:val="22"/>
          <w:lang w:val="en-US"/>
        </w:rPr>
        <w:t xml:space="preserve">still being </w:t>
      </w:r>
      <w:r w:rsidRPr="00E01ED3">
        <w:rPr>
          <w:szCs w:val="22"/>
          <w:lang w:val="en-US"/>
        </w:rPr>
        <w:t>used.</w:t>
      </w:r>
      <w:r w:rsidR="005617DE">
        <w:rPr>
          <w:szCs w:val="22"/>
          <w:lang w:val="en-US"/>
        </w:rPr>
        <w:t xml:space="preserve"> </w:t>
      </w:r>
      <w:r w:rsidRPr="00E01ED3">
        <w:rPr>
          <w:szCs w:val="22"/>
          <w:lang w:val="en-US"/>
        </w:rPr>
        <w:t xml:space="preserve">Much lower GWP alternatives for these refrigerants are now widely available in the European Union and North American markets. In non-A5 </w:t>
      </w:r>
      <w:r w:rsidR="00B710A8">
        <w:rPr>
          <w:szCs w:val="22"/>
          <w:lang w:val="en-US"/>
        </w:rPr>
        <w:t>part</w:t>
      </w:r>
      <w:r w:rsidRPr="00E01ED3">
        <w:rPr>
          <w:szCs w:val="22"/>
          <w:lang w:val="en-US"/>
        </w:rPr>
        <w:t>ies, R-448A and R-449A are being used widely to replace R-404A and HCFC-22 in both existing systems and new systems wherever permitted by regulations. Lower GWP refrigerants, which are mostly A2L, are also gaining acceptance. Commercial stand-alone systems, which are commonly used in food retail and food service establishments, have for the most part transitioned to R-290, with some exceptions where the properties of the halocarbon blends are needed for achieving performance.</w:t>
      </w:r>
    </w:p>
    <w:p w14:paraId="37B22317" w14:textId="43D8B37F" w:rsidR="002358C2" w:rsidRPr="00CA0A32" w:rsidRDefault="002358C2" w:rsidP="002358C2">
      <w:pPr>
        <w:pStyle w:val="Style15"/>
        <w:rPr>
          <w:b w:val="0"/>
          <w:bCs/>
          <w:sz w:val="22"/>
          <w:szCs w:val="22"/>
          <w:lang w:val="en-US"/>
        </w:rPr>
      </w:pPr>
      <w:r w:rsidRPr="00CA0A32">
        <w:rPr>
          <w:b w:val="0"/>
          <w:bCs/>
          <w:sz w:val="22"/>
          <w:szCs w:val="22"/>
          <w:lang w:val="en-US"/>
        </w:rPr>
        <w:t>Non-halocarbon refrigerants such as R-744 continue to make gains in many regions, particularly in Europe and North America. Regardless of the refrigerant, the awareness of the need for leak detection and leak prevention is growing worldwide.</w:t>
      </w:r>
    </w:p>
    <w:p w14:paraId="47F8F927" w14:textId="77777777" w:rsidR="002358C2" w:rsidRDefault="002358C2" w:rsidP="002358C2">
      <w:pPr>
        <w:pStyle w:val="Style15"/>
        <w:rPr>
          <w:lang w:val="en-US"/>
        </w:rPr>
      </w:pPr>
    </w:p>
    <w:p w14:paraId="357B382B" w14:textId="105C450C" w:rsidR="002358C2" w:rsidRPr="00F125CE" w:rsidRDefault="002358C2" w:rsidP="005C5E68">
      <w:pPr>
        <w:pStyle w:val="Heading2"/>
        <w:rPr>
          <w:rStyle w:val="Heading2Char"/>
          <w:b/>
        </w:rPr>
      </w:pPr>
      <w:bookmarkStart w:id="612" w:name="_Toc104396729"/>
      <w:r w:rsidRPr="00F125CE">
        <w:rPr>
          <w:rStyle w:val="Heading2Char"/>
          <w:b/>
        </w:rPr>
        <w:t>7.</w:t>
      </w:r>
      <w:r>
        <w:rPr>
          <w:rStyle w:val="Heading2Char"/>
          <w:b/>
        </w:rPr>
        <w:t>5</w:t>
      </w:r>
      <w:r w:rsidR="00961306">
        <w:rPr>
          <w:rStyle w:val="Heading2Char"/>
          <w:b/>
        </w:rPr>
        <w:tab/>
      </w:r>
      <w:r w:rsidRPr="00F125CE">
        <w:rPr>
          <w:rStyle w:val="Heading2Char"/>
          <w:b/>
        </w:rPr>
        <w:t xml:space="preserve"> Transport refrigeration</w:t>
      </w:r>
      <w:bookmarkEnd w:id="612"/>
    </w:p>
    <w:p w14:paraId="53268BC8" w14:textId="0261CC77" w:rsidR="002358C2" w:rsidRPr="0055083C" w:rsidRDefault="002358C2" w:rsidP="002358C2">
      <w:pPr>
        <w:rPr>
          <w:szCs w:val="22"/>
          <w:lang w:val="en-US"/>
        </w:rPr>
      </w:pPr>
      <w:r w:rsidRPr="0055083C">
        <w:rPr>
          <w:szCs w:val="22"/>
          <w:lang w:val="en-US"/>
        </w:rPr>
        <w:t xml:space="preserve">In the past year, a progressive conversion from HFC-404A to R-452A continued, together with an exploration of alternatives. </w:t>
      </w:r>
    </w:p>
    <w:p w14:paraId="08CD6069" w14:textId="77777777" w:rsidR="002358C2" w:rsidRPr="0055083C" w:rsidRDefault="002358C2" w:rsidP="002358C2">
      <w:pPr>
        <w:rPr>
          <w:szCs w:val="22"/>
          <w:lang w:val="en-US"/>
        </w:rPr>
      </w:pPr>
      <w:r w:rsidRPr="0055083C">
        <w:rPr>
          <w:szCs w:val="22"/>
          <w:lang w:val="en-US"/>
        </w:rPr>
        <w:t xml:space="preserve">It was supported by a progress in relevant safety standards, in particular ISO 20854 (2019) for marine containers and a parallel activity on trucks and trailers. </w:t>
      </w:r>
    </w:p>
    <w:p w14:paraId="49F84D13" w14:textId="77777777" w:rsidR="002358C2" w:rsidRPr="0055083C" w:rsidRDefault="002358C2" w:rsidP="002358C2">
      <w:pPr>
        <w:pStyle w:val="Style15"/>
        <w:rPr>
          <w:b w:val="0"/>
          <w:sz w:val="22"/>
          <w:szCs w:val="22"/>
          <w:lang w:val="en-US"/>
        </w:rPr>
      </w:pPr>
      <w:r w:rsidRPr="0055083C">
        <w:rPr>
          <w:b w:val="0"/>
          <w:sz w:val="22"/>
          <w:szCs w:val="22"/>
          <w:lang w:val="en-US"/>
        </w:rPr>
        <w:t>The industry is experiencing inflation and disruptions in the supply chain after the global pandemic.</w:t>
      </w:r>
    </w:p>
    <w:p w14:paraId="55B19CD4" w14:textId="77777777" w:rsidR="002358C2" w:rsidRDefault="002358C2" w:rsidP="002358C2">
      <w:pPr>
        <w:pStyle w:val="Style15"/>
        <w:rPr>
          <w:lang w:val="en-US"/>
        </w:rPr>
      </w:pPr>
    </w:p>
    <w:p w14:paraId="6A255ACF" w14:textId="3ED19B7A" w:rsidR="002358C2" w:rsidRPr="00296416" w:rsidRDefault="002358C2" w:rsidP="00296416">
      <w:r w:rsidRPr="00821BBC">
        <w:rPr>
          <w:rStyle w:val="Heading2Char"/>
          <w:rFonts w:eastAsiaTheme="minorEastAsia" w:cstheme="majorBidi"/>
          <w:snapToGrid/>
          <w:szCs w:val="22"/>
        </w:rPr>
        <w:t>7.</w:t>
      </w:r>
      <w:r w:rsidR="00A71914" w:rsidRPr="00821BBC">
        <w:rPr>
          <w:rStyle w:val="Heading2Char"/>
          <w:rFonts w:eastAsiaTheme="minorEastAsia" w:cstheme="majorBidi"/>
          <w:snapToGrid/>
          <w:szCs w:val="22"/>
        </w:rPr>
        <w:t xml:space="preserve"> 6</w:t>
      </w:r>
      <w:r w:rsidR="00A71914" w:rsidRPr="00821BBC">
        <w:rPr>
          <w:rStyle w:val="Heading2Char"/>
          <w:rFonts w:eastAsiaTheme="minorEastAsia" w:cstheme="majorBidi"/>
          <w:snapToGrid/>
          <w:szCs w:val="22"/>
        </w:rPr>
        <w:tab/>
      </w:r>
      <w:r w:rsidRPr="00821BBC">
        <w:rPr>
          <w:rStyle w:val="Heading2Char"/>
          <w:rFonts w:eastAsiaTheme="minorEastAsia" w:cstheme="majorBidi"/>
          <w:snapToGrid/>
          <w:szCs w:val="22"/>
        </w:rPr>
        <w:t>Air-to-air air conditioners and heat pumps</w:t>
      </w:r>
      <w:r w:rsidRPr="00821BBC">
        <w:rPr>
          <w:rStyle w:val="Heading2Char"/>
          <w:rFonts w:eastAsiaTheme="minorEastAsia" w:cstheme="majorBidi"/>
          <w:szCs w:val="22"/>
        </w:rPr>
        <w:br/>
      </w:r>
      <w:r w:rsidR="00B710A8">
        <w:rPr>
          <w:b/>
        </w:rPr>
        <w:br/>
      </w:r>
      <w:r w:rsidRPr="00296416">
        <w:t xml:space="preserve">Air conditioners, including reversible air heating heat pumps (generally defined as “reversible heat pumps”), range in size from 1 kW to 750 kW although the majority are less than 70 kW. The most populous are non-ducted single splits, which are produced in excess of 80 million units per year (in 2020). All products sold within non-A5 </w:t>
      </w:r>
      <w:r w:rsidR="00B710A8" w:rsidRPr="00296416">
        <w:t>part</w:t>
      </w:r>
      <w:r w:rsidRPr="00296416">
        <w:t xml:space="preserve">ies use non-ODS refrigerants. There is an increasing proportion of production of air conditioners in A5 countries that do not use HCFCs. Globally more than four-fifths all units produced globally use non-ODP refrigerants. </w:t>
      </w:r>
    </w:p>
    <w:p w14:paraId="3619ADF6" w14:textId="42F9357F" w:rsidR="002358C2" w:rsidRDefault="002358C2" w:rsidP="00296416">
      <w:pPr>
        <w:rPr>
          <w:b/>
        </w:rPr>
      </w:pPr>
      <w:r w:rsidRPr="00296416">
        <w:t xml:space="preserve">Conversion of the HCFC-22 production of equipment is continuing and in most non-A5 </w:t>
      </w:r>
      <w:r w:rsidR="00C7675C">
        <w:t>part</w:t>
      </w:r>
      <w:r>
        <w:t xml:space="preserve">ies the use of HCFC-22 has been prohibited in new </w:t>
      </w:r>
      <w:r w:rsidRPr="00DA3C43">
        <w:t xml:space="preserve">systems. For A5 </w:t>
      </w:r>
      <w:r w:rsidR="00B710A8" w:rsidRPr="00C7675C">
        <w:t>part</w:t>
      </w:r>
      <w:r w:rsidRPr="00DA3C43">
        <w:t>ies less than a third of ACs are produced with HCFC-22. In addition to the wid</w:t>
      </w:r>
      <w:r>
        <w:t>espread use of R-410A, the extensive introduction of HFC-32 in residential split air conditioners continues in many countries around the world, accounting for nearly half of the total production of split room air conditioners in 2021.</w:t>
      </w:r>
    </w:p>
    <w:p w14:paraId="12338C63" w14:textId="24188A8B" w:rsidR="002358C2" w:rsidRPr="001B3C17" w:rsidRDefault="002358C2" w:rsidP="002358C2">
      <w:pPr>
        <w:pStyle w:val="Title"/>
        <w:jc w:val="left"/>
        <w:rPr>
          <w:b w:val="0"/>
          <w:color w:val="000000" w:themeColor="text1"/>
          <w:sz w:val="22"/>
          <w:szCs w:val="22"/>
        </w:rPr>
      </w:pPr>
      <w:r>
        <w:rPr>
          <w:b w:val="0"/>
          <w:sz w:val="22"/>
          <w:szCs w:val="22"/>
        </w:rPr>
        <w:t>E</w:t>
      </w:r>
      <w:r w:rsidRPr="00E811B9">
        <w:rPr>
          <w:b w:val="0"/>
          <w:sz w:val="22"/>
          <w:szCs w:val="22"/>
        </w:rPr>
        <w:t>nterprises</w:t>
      </w:r>
      <w:r>
        <w:rPr>
          <w:b w:val="0"/>
          <w:sz w:val="22"/>
          <w:szCs w:val="22"/>
        </w:rPr>
        <w:t xml:space="preserve"> in A5 </w:t>
      </w:r>
      <w:r w:rsidR="00B710A8">
        <w:rPr>
          <w:b w:val="0"/>
          <w:sz w:val="22"/>
          <w:szCs w:val="22"/>
        </w:rPr>
        <w:t>part</w:t>
      </w:r>
      <w:r>
        <w:rPr>
          <w:b w:val="0"/>
          <w:sz w:val="22"/>
          <w:szCs w:val="22"/>
        </w:rPr>
        <w:t xml:space="preserve">ies and also mainly those in non-A5 regions, </w:t>
      </w:r>
      <w:r w:rsidRPr="00E811B9">
        <w:rPr>
          <w:b w:val="0"/>
          <w:sz w:val="22"/>
          <w:szCs w:val="22"/>
        </w:rPr>
        <w:t xml:space="preserve">are </w:t>
      </w:r>
      <w:r>
        <w:rPr>
          <w:b w:val="0"/>
          <w:sz w:val="22"/>
          <w:szCs w:val="22"/>
        </w:rPr>
        <w:t>continuing to evaluate and develop products with various</w:t>
      </w:r>
      <w:r w:rsidRPr="00E811B9">
        <w:rPr>
          <w:b w:val="0"/>
          <w:sz w:val="22"/>
          <w:szCs w:val="22"/>
        </w:rPr>
        <w:t xml:space="preserve"> HFC/unsaturated HFC blends, such as </w:t>
      </w:r>
      <w:r>
        <w:rPr>
          <w:b w:val="0"/>
          <w:sz w:val="22"/>
          <w:szCs w:val="22"/>
        </w:rPr>
        <w:t xml:space="preserve">those comprising </w:t>
      </w:r>
      <w:r w:rsidRPr="00E811B9">
        <w:rPr>
          <w:b w:val="0"/>
          <w:sz w:val="22"/>
          <w:szCs w:val="22"/>
        </w:rPr>
        <w:t>HFC-32, HFC-125, HFC-134a, HFC-1234yf and HFC-1234ze</w:t>
      </w:r>
      <w:r>
        <w:rPr>
          <w:b w:val="0"/>
          <w:sz w:val="22"/>
          <w:szCs w:val="22"/>
        </w:rPr>
        <w:t xml:space="preserve">; primarily R-454B and R-452B.Further conversion of </w:t>
      </w:r>
      <w:r w:rsidRPr="00335E38">
        <w:rPr>
          <w:b w:val="0"/>
          <w:sz w:val="22"/>
          <w:szCs w:val="22"/>
        </w:rPr>
        <w:t xml:space="preserve">production lines to HC-290 </w:t>
      </w:r>
      <w:r>
        <w:rPr>
          <w:b w:val="0"/>
          <w:sz w:val="22"/>
          <w:szCs w:val="22"/>
        </w:rPr>
        <w:t>in China, South East Asia and South America is underway, and (except for small and portable units) there is limited market introduction, which is due to restrictive requirements of safety standards. In China, more models are now being offered</w:t>
      </w:r>
      <w:r w:rsidR="002C0D7B" w:rsidRPr="002C0D7B">
        <w:rPr>
          <w:b w:val="0"/>
          <w:sz w:val="22"/>
          <w:szCs w:val="22"/>
        </w:rPr>
        <w:t>,</w:t>
      </w:r>
      <w:r>
        <w:rPr>
          <w:b w:val="0"/>
          <w:sz w:val="22"/>
          <w:szCs w:val="22"/>
        </w:rPr>
        <w:t xml:space="preserve"> and i</w:t>
      </w:r>
      <w:r w:rsidRPr="00335E38">
        <w:rPr>
          <w:b w:val="0"/>
          <w:sz w:val="22"/>
          <w:szCs w:val="22"/>
        </w:rPr>
        <w:t>n India</w:t>
      </w:r>
      <w:r>
        <w:rPr>
          <w:b w:val="0"/>
          <w:sz w:val="22"/>
          <w:szCs w:val="22"/>
        </w:rPr>
        <w:t xml:space="preserve">, the production of </w:t>
      </w:r>
      <w:r w:rsidRPr="00335E38">
        <w:rPr>
          <w:b w:val="0"/>
          <w:sz w:val="22"/>
          <w:szCs w:val="22"/>
        </w:rPr>
        <w:t xml:space="preserve">HC-290 </w:t>
      </w:r>
      <w:r>
        <w:rPr>
          <w:b w:val="0"/>
          <w:sz w:val="22"/>
          <w:szCs w:val="22"/>
        </w:rPr>
        <w:t xml:space="preserve">split </w:t>
      </w:r>
      <w:r w:rsidRPr="00335E38">
        <w:rPr>
          <w:b w:val="0"/>
          <w:sz w:val="22"/>
          <w:szCs w:val="22"/>
        </w:rPr>
        <w:t>air conditioners</w:t>
      </w:r>
      <w:r>
        <w:rPr>
          <w:b w:val="0"/>
          <w:sz w:val="22"/>
          <w:szCs w:val="22"/>
        </w:rPr>
        <w:t xml:space="preserve"> </w:t>
      </w:r>
      <w:proofErr w:type="gramStart"/>
      <w:r>
        <w:rPr>
          <w:b w:val="0"/>
          <w:sz w:val="22"/>
          <w:szCs w:val="22"/>
        </w:rPr>
        <w:lastRenderedPageBreak/>
        <w:t>continues</w:t>
      </w:r>
      <w:proofErr w:type="gramEnd"/>
      <w:r w:rsidRPr="00335E38">
        <w:rPr>
          <w:b w:val="0"/>
          <w:sz w:val="22"/>
          <w:szCs w:val="22"/>
        </w:rPr>
        <w:t xml:space="preserve">. </w:t>
      </w:r>
      <w:r>
        <w:rPr>
          <w:b w:val="0"/>
          <w:sz w:val="22"/>
          <w:szCs w:val="22"/>
        </w:rPr>
        <w:t xml:space="preserve">At least one company has introduced a range of </w:t>
      </w:r>
      <w:r w:rsidRPr="001B3C17">
        <w:rPr>
          <w:b w:val="0"/>
          <w:color w:val="000000" w:themeColor="text1"/>
          <w:sz w:val="22"/>
          <w:szCs w:val="22"/>
        </w:rPr>
        <w:t>products with R-463A</w:t>
      </w:r>
      <w:r>
        <w:rPr>
          <w:b w:val="0"/>
          <w:color w:val="000000" w:themeColor="text1"/>
          <w:sz w:val="22"/>
          <w:szCs w:val="22"/>
        </w:rPr>
        <w:t xml:space="preserve"> and models with R-454A are anticipated elsewhere</w:t>
      </w:r>
      <w:r w:rsidRPr="001B3C17">
        <w:rPr>
          <w:b w:val="0"/>
          <w:color w:val="000000" w:themeColor="text1"/>
          <w:sz w:val="22"/>
          <w:szCs w:val="22"/>
        </w:rPr>
        <w:t xml:space="preserve">. Some enterprises </w:t>
      </w:r>
      <w:r>
        <w:rPr>
          <w:b w:val="0"/>
          <w:color w:val="000000" w:themeColor="text1"/>
          <w:sz w:val="22"/>
          <w:szCs w:val="22"/>
        </w:rPr>
        <w:t>i</w:t>
      </w:r>
      <w:r w:rsidRPr="001B3C17">
        <w:rPr>
          <w:b w:val="0"/>
          <w:color w:val="000000" w:themeColor="text1"/>
          <w:sz w:val="22"/>
          <w:szCs w:val="22"/>
        </w:rPr>
        <w:t>n the Middle East still see R</w:t>
      </w:r>
      <w:r>
        <w:rPr>
          <w:b w:val="0"/>
          <w:color w:val="000000" w:themeColor="text1"/>
          <w:sz w:val="22"/>
          <w:szCs w:val="22"/>
        </w:rPr>
        <w:t>-</w:t>
      </w:r>
      <w:r w:rsidRPr="001B3C17">
        <w:rPr>
          <w:b w:val="0"/>
          <w:color w:val="000000" w:themeColor="text1"/>
          <w:sz w:val="22"/>
          <w:szCs w:val="22"/>
        </w:rPr>
        <w:t xml:space="preserve">407C and HFC-134a </w:t>
      </w:r>
      <w:r>
        <w:rPr>
          <w:b w:val="0"/>
          <w:color w:val="000000" w:themeColor="text1"/>
          <w:sz w:val="22"/>
          <w:szCs w:val="22"/>
        </w:rPr>
        <w:t>--</w:t>
      </w:r>
      <w:r w:rsidRPr="001B3C17">
        <w:rPr>
          <w:b w:val="0"/>
          <w:color w:val="000000" w:themeColor="text1"/>
          <w:sz w:val="22"/>
          <w:szCs w:val="22"/>
        </w:rPr>
        <w:t>and in some applications R410A</w:t>
      </w:r>
      <w:r>
        <w:rPr>
          <w:b w:val="0"/>
          <w:color w:val="000000" w:themeColor="text1"/>
          <w:sz w:val="22"/>
          <w:szCs w:val="22"/>
        </w:rPr>
        <w:t>--</w:t>
      </w:r>
      <w:r w:rsidRPr="001B3C17">
        <w:rPr>
          <w:b w:val="0"/>
          <w:color w:val="000000" w:themeColor="text1"/>
          <w:sz w:val="22"/>
          <w:szCs w:val="22"/>
        </w:rPr>
        <w:t xml:space="preserve"> as </w:t>
      </w:r>
      <w:r>
        <w:rPr>
          <w:b w:val="0"/>
          <w:color w:val="000000" w:themeColor="text1"/>
          <w:sz w:val="22"/>
          <w:szCs w:val="22"/>
        </w:rPr>
        <w:t xml:space="preserve">the most </w:t>
      </w:r>
      <w:r w:rsidRPr="001B3C17">
        <w:rPr>
          <w:b w:val="0"/>
          <w:color w:val="000000" w:themeColor="text1"/>
          <w:sz w:val="22"/>
          <w:szCs w:val="22"/>
        </w:rPr>
        <w:t xml:space="preserve">favourable alternatives to HCFC-22. </w:t>
      </w:r>
    </w:p>
    <w:p w14:paraId="5A4BCF10" w14:textId="187BF0EA" w:rsidR="002358C2" w:rsidRPr="0055779F" w:rsidRDefault="002358C2" w:rsidP="0055779F">
      <w:r w:rsidRPr="0055779F">
        <w:t>The new edition of the standard IEC 60335-2-40</w:t>
      </w:r>
      <w:r w:rsidRPr="0055779F">
        <w:footnoteReference w:id="69"/>
      </w:r>
      <w:r w:rsidRPr="0055779F">
        <w:t xml:space="preserve"> was approved in April 2022 by the International Electrotechnical Commission. The approved revised version will allow HC-290 (propane), and other flammable refrigerants, to be used in many air conditioning systems and heat pumps that were previously prohibited by the previous version of the standard from using these refrigerants.</w:t>
      </w:r>
    </w:p>
    <w:p w14:paraId="02877527" w14:textId="57F72AEF" w:rsidR="002358C2" w:rsidRPr="0055779F" w:rsidRDefault="002358C2" w:rsidP="0055779F">
      <w:r w:rsidRPr="0055779F">
        <w:t>The revised safety standard allows for the use of a larger charge of flammable refrigerants (up to 988g of HC-290 in a standard split air conditioning system). This will be possible on new equipment that must have additional safety requirements to ensure the same high level of safety as equipment that does not use flammable refrigerants.</w:t>
      </w:r>
    </w:p>
    <w:p w14:paraId="7A6DE58B" w14:textId="3E8AC805" w:rsidR="002358C2" w:rsidRPr="00B710A8" w:rsidRDefault="002358C2" w:rsidP="00B710A8">
      <w:r w:rsidRPr="0055779F">
        <w:t>The use of flammable refrigerants in air conditioning equipment will lead to a reduction in direct climate emissions compared to systems using R410A.</w:t>
      </w:r>
    </w:p>
    <w:p w14:paraId="650C00AD" w14:textId="4905FF5F" w:rsidR="002358C2" w:rsidRPr="0024733A" w:rsidRDefault="002358C2" w:rsidP="005C5E68">
      <w:pPr>
        <w:pStyle w:val="Heading2"/>
        <w:rPr>
          <w:rStyle w:val="Heading2Char"/>
          <w:b/>
        </w:rPr>
      </w:pPr>
      <w:bookmarkStart w:id="613" w:name="_Toc104396730"/>
      <w:r w:rsidRPr="0024733A">
        <w:rPr>
          <w:rStyle w:val="Heading2Char"/>
          <w:b/>
        </w:rPr>
        <w:t>7.</w:t>
      </w:r>
      <w:r>
        <w:rPr>
          <w:rStyle w:val="Heading2Char"/>
          <w:b/>
        </w:rPr>
        <w:t>7</w:t>
      </w:r>
      <w:r w:rsidR="00961306" w:rsidRPr="000C2EA5">
        <w:rPr>
          <w:rStyle w:val="Heading2Char"/>
          <w:b/>
        </w:rPr>
        <w:tab/>
      </w:r>
      <w:r w:rsidRPr="0024733A">
        <w:rPr>
          <w:rStyle w:val="Heading2Char"/>
          <w:b/>
        </w:rPr>
        <w:t>Commercial comfort air conditioning</w:t>
      </w:r>
      <w:bookmarkEnd w:id="613"/>
    </w:p>
    <w:p w14:paraId="1882DE5E" w14:textId="7F97A988" w:rsidR="002358C2" w:rsidRDefault="002358C2" w:rsidP="002358C2">
      <w:pPr>
        <w:rPr>
          <w:lang w:eastAsia="fr-FR"/>
        </w:rPr>
      </w:pPr>
      <w:r w:rsidRPr="003F0277">
        <w:rPr>
          <w:lang w:eastAsia="fr-FR"/>
        </w:rPr>
        <w:t>There are now complete lines of all chiller types in all major markets that use refrigerants having lower GWP than their predecessors</w:t>
      </w:r>
      <w:r>
        <w:rPr>
          <w:lang w:eastAsia="fr-FR"/>
        </w:rPr>
        <w:t>; s</w:t>
      </w:r>
      <w:r w:rsidRPr="003F0277">
        <w:rPr>
          <w:lang w:eastAsia="fr-FR"/>
        </w:rPr>
        <w:t xml:space="preserve">ee </w:t>
      </w:r>
      <w:r>
        <w:rPr>
          <w:lang w:eastAsia="fr-FR"/>
        </w:rPr>
        <w:t xml:space="preserve">the </w:t>
      </w:r>
      <w:r w:rsidRPr="003F0277">
        <w:rPr>
          <w:lang w:eastAsia="fr-FR"/>
        </w:rPr>
        <w:t xml:space="preserve">Table </w:t>
      </w:r>
      <w:r>
        <w:rPr>
          <w:lang w:eastAsia="fr-FR"/>
        </w:rPr>
        <w:t xml:space="preserve">7.4 </w:t>
      </w:r>
      <w:r w:rsidRPr="003F0277">
        <w:rPr>
          <w:lang w:eastAsia="fr-FR"/>
        </w:rPr>
        <w:t>below. Additionally</w:t>
      </w:r>
      <w:r>
        <w:rPr>
          <w:lang w:eastAsia="fr-FR"/>
        </w:rPr>
        <w:t>,</w:t>
      </w:r>
      <w:r w:rsidRPr="003F0277">
        <w:rPr>
          <w:lang w:eastAsia="fr-FR"/>
        </w:rPr>
        <w:t xml:space="preserve"> non-fluorinated refrigerants, </w:t>
      </w:r>
      <w:r>
        <w:rPr>
          <w:lang w:eastAsia="fr-FR"/>
        </w:rPr>
        <w:t xml:space="preserve">such as </w:t>
      </w:r>
      <w:r w:rsidRPr="003F0277">
        <w:rPr>
          <w:lang w:eastAsia="fr-FR"/>
        </w:rPr>
        <w:t xml:space="preserve">ammonia, are available in some chiller types, albeit in select sizes </w:t>
      </w:r>
      <w:r>
        <w:rPr>
          <w:lang w:eastAsia="fr-FR"/>
        </w:rPr>
        <w:t xml:space="preserve">and </w:t>
      </w:r>
      <w:r w:rsidRPr="003F0277">
        <w:rPr>
          <w:lang w:eastAsia="fr-FR"/>
        </w:rPr>
        <w:t xml:space="preserve">not </w:t>
      </w:r>
      <w:r>
        <w:rPr>
          <w:lang w:eastAsia="fr-FR"/>
        </w:rPr>
        <w:t xml:space="preserve">in (from) </w:t>
      </w:r>
      <w:r w:rsidRPr="003F0277">
        <w:rPr>
          <w:lang w:eastAsia="fr-FR"/>
        </w:rPr>
        <w:t>complete product lines.</w:t>
      </w:r>
      <w:r w:rsidR="005617DE">
        <w:rPr>
          <w:lang w:eastAsia="fr-FR"/>
        </w:rPr>
        <w:t xml:space="preserve"> </w:t>
      </w:r>
    </w:p>
    <w:p w14:paraId="6F9976BD" w14:textId="19C0C757" w:rsidR="002358C2" w:rsidRDefault="002358C2" w:rsidP="002358C2">
      <w:pPr>
        <w:rPr>
          <w:lang w:eastAsia="fr-FR"/>
        </w:rPr>
      </w:pPr>
      <w:r w:rsidRPr="003F0277">
        <w:rPr>
          <w:lang w:eastAsia="fr-FR"/>
        </w:rPr>
        <w:t xml:space="preserve">Existing products using high GWP refrigerants have not been discontinued, and in fact are </w:t>
      </w:r>
      <w:r>
        <w:rPr>
          <w:lang w:eastAsia="fr-FR"/>
        </w:rPr>
        <w:t xml:space="preserve">still </w:t>
      </w:r>
      <w:r w:rsidRPr="003F0277">
        <w:rPr>
          <w:lang w:eastAsia="fr-FR"/>
        </w:rPr>
        <w:t>the dominant products being sold in most markets.</w:t>
      </w:r>
      <w:r w:rsidR="005617DE">
        <w:rPr>
          <w:lang w:eastAsia="fr-FR"/>
        </w:rPr>
        <w:t xml:space="preserve"> </w:t>
      </w:r>
      <w:r w:rsidRPr="003F0277">
        <w:rPr>
          <w:lang w:eastAsia="fr-FR"/>
        </w:rPr>
        <w:t>Normal market forces will cause this to slowly change. The Kigali Amendment to the Montreal Protocol is providing some regulation to cause a more rapid change. However, there is little else in terms of regulation or incentives that are accelerating change. Products using the existing refrigerants will continue to be sold and the installed base of these products will remain in service for years to come.</w:t>
      </w:r>
      <w:r w:rsidR="005617DE">
        <w:rPr>
          <w:lang w:eastAsia="fr-FR"/>
        </w:rPr>
        <w:t xml:space="preserve"> </w:t>
      </w:r>
      <w:r w:rsidRPr="003F0277">
        <w:rPr>
          <w:lang w:eastAsia="fr-FR"/>
        </w:rPr>
        <w:t>Despite the new refrigerant choices</w:t>
      </w:r>
      <w:r>
        <w:rPr>
          <w:lang w:eastAsia="fr-FR"/>
        </w:rPr>
        <w:t xml:space="preserve"> including </w:t>
      </w:r>
      <w:r w:rsidRPr="003F0277">
        <w:rPr>
          <w:lang w:eastAsia="fr-FR"/>
        </w:rPr>
        <w:t>that are now available for new and existing equipment, they may not be the final choices.</w:t>
      </w:r>
      <w:r w:rsidR="005617DE">
        <w:rPr>
          <w:lang w:eastAsia="fr-FR"/>
        </w:rPr>
        <w:t xml:space="preserve"> </w:t>
      </w:r>
    </w:p>
    <w:p w14:paraId="6D6D3282" w14:textId="77777777" w:rsidR="002358C2" w:rsidRDefault="002358C2" w:rsidP="002358C2">
      <w:pPr>
        <w:rPr>
          <w:lang w:eastAsia="fr-FR"/>
        </w:rPr>
      </w:pPr>
      <w:r w:rsidRPr="003F0277">
        <w:rPr>
          <w:lang w:eastAsia="fr-FR"/>
        </w:rPr>
        <w:t>There is continued pressure from regulators to move to yet another generation of zero ODP and near zero GWP</w:t>
      </w:r>
      <w:r>
        <w:rPr>
          <w:lang w:eastAsia="fr-FR"/>
        </w:rPr>
        <w:t xml:space="preserve"> refrigerants</w:t>
      </w:r>
      <w:r w:rsidRPr="003F0277">
        <w:rPr>
          <w:lang w:eastAsia="fr-FR"/>
        </w:rPr>
        <w:t xml:space="preserve">, if technically possible and economically reasonable. </w:t>
      </w:r>
    </w:p>
    <w:p w14:paraId="11379D31" w14:textId="4E312C16" w:rsidR="002358C2" w:rsidRPr="003F0277" w:rsidRDefault="002358C2" w:rsidP="00821BBC">
      <w:pPr>
        <w:keepNext/>
        <w:spacing w:after="0"/>
        <w:rPr>
          <w:b/>
          <w:bCs/>
          <w:lang w:eastAsia="fr-FR"/>
        </w:rPr>
      </w:pPr>
      <w:r w:rsidRPr="003F0277">
        <w:rPr>
          <w:b/>
          <w:bCs/>
          <w:lang w:eastAsia="fr-FR"/>
        </w:rPr>
        <w:lastRenderedPageBreak/>
        <w:t xml:space="preserve">Table </w:t>
      </w:r>
      <w:r>
        <w:rPr>
          <w:b/>
          <w:bCs/>
          <w:lang w:eastAsia="fr-FR"/>
        </w:rPr>
        <w:t>7</w:t>
      </w:r>
      <w:r w:rsidRPr="003F0277">
        <w:rPr>
          <w:b/>
          <w:bCs/>
          <w:lang w:eastAsia="fr-FR"/>
        </w:rPr>
        <w:t>.4</w:t>
      </w:r>
      <w:r w:rsidR="005617DE">
        <w:rPr>
          <w:b/>
          <w:bCs/>
          <w:lang w:eastAsia="fr-FR"/>
        </w:rPr>
        <w:t xml:space="preserve"> </w:t>
      </w:r>
      <w:r>
        <w:rPr>
          <w:b/>
          <w:bCs/>
          <w:lang w:eastAsia="fr-FR"/>
        </w:rPr>
        <w:t>Refrigerants used within chillers</w:t>
      </w:r>
    </w:p>
    <w:p w14:paraId="1D960CF0" w14:textId="77777777" w:rsidR="002358C2" w:rsidRDefault="002358C2" w:rsidP="00821BBC">
      <w:pPr>
        <w:ind w:left="-709"/>
        <w:rPr>
          <w:lang w:eastAsia="fr-FR"/>
        </w:rPr>
      </w:pPr>
      <w:r>
        <w:rPr>
          <w:noProof/>
        </w:rPr>
        <w:drawing>
          <wp:inline distT="0" distB="0" distL="0" distR="0" wp14:anchorId="7C6E13F4" wp14:editId="26006F61">
            <wp:extent cx="6431915" cy="1914525"/>
            <wp:effectExtent l="0" t="0" r="6985" b="9525"/>
            <wp:docPr id="9" name="Picture 1"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Immagine che contiene tavolo&#10;&#10;Descrizione generata automaticament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63511" cy="1923930"/>
                    </a:xfrm>
                    <a:prstGeom prst="rect">
                      <a:avLst/>
                    </a:prstGeom>
                    <a:noFill/>
                  </pic:spPr>
                </pic:pic>
              </a:graphicData>
            </a:graphic>
          </wp:inline>
        </w:drawing>
      </w:r>
    </w:p>
    <w:p w14:paraId="207B0624" w14:textId="77777777" w:rsidR="002358C2" w:rsidRPr="00B96EAD" w:rsidRDefault="002358C2" w:rsidP="002358C2">
      <w:pPr>
        <w:rPr>
          <w:szCs w:val="22"/>
          <w:lang w:eastAsia="fr-FR"/>
        </w:rPr>
      </w:pPr>
      <w:r w:rsidRPr="00B96EAD">
        <w:rPr>
          <w:szCs w:val="22"/>
          <w:lang w:eastAsia="fr-FR"/>
        </w:rPr>
        <w:t xml:space="preserve">New refrigerant choices, notably replacements for </w:t>
      </w:r>
      <w:r>
        <w:rPr>
          <w:szCs w:val="22"/>
          <w:lang w:eastAsia="fr-FR"/>
        </w:rPr>
        <w:t>HFC</w:t>
      </w:r>
      <w:r w:rsidRPr="00B96EAD">
        <w:rPr>
          <w:szCs w:val="22"/>
          <w:lang w:eastAsia="fr-FR"/>
        </w:rPr>
        <w:t xml:space="preserve">-134a (medium pressure) and R-410A (high pressure), include flammable refrigerants, safety class A2L. Safety regulations that allow use of A2L refrigerants, supported by recent research, are being written, but are not uniform nor adopted in all regions. This is not a trivial matter, since health, safety and property issues are involved. Adoption and enforcement of revised codes and standards may slow the adoption new flammable refrigerants. </w:t>
      </w:r>
    </w:p>
    <w:p w14:paraId="2AA75A56" w14:textId="702D825D" w:rsidR="002358C2" w:rsidRPr="00B96EAD" w:rsidRDefault="002358C2" w:rsidP="002358C2">
      <w:pPr>
        <w:pStyle w:val="Style15"/>
        <w:rPr>
          <w:b w:val="0"/>
          <w:bCs/>
          <w:sz w:val="22"/>
          <w:szCs w:val="22"/>
          <w:lang w:val="en-US"/>
        </w:rPr>
      </w:pPr>
      <w:r w:rsidRPr="00B96EAD">
        <w:rPr>
          <w:b w:val="0"/>
          <w:bCs/>
          <w:sz w:val="22"/>
          <w:szCs w:val="22"/>
        </w:rPr>
        <w:t>In the face of ever-increasing energy demand from the use of comfort air conditioning, customers and regulators alike are interested in less energy consumption. Global warming effects from chillers are dominated by their energy use, rather than the direct emissions from refrigerants. Regardless of any future refrigerant change, new products must improve full and part load or seasonal energy consumption.</w:t>
      </w:r>
      <w:r w:rsidR="005617DE">
        <w:rPr>
          <w:b w:val="0"/>
          <w:bCs/>
          <w:sz w:val="22"/>
          <w:szCs w:val="22"/>
        </w:rPr>
        <w:t xml:space="preserve"> </w:t>
      </w:r>
    </w:p>
    <w:p w14:paraId="7141651D" w14:textId="77777777" w:rsidR="002358C2" w:rsidRDefault="002358C2" w:rsidP="002358C2">
      <w:pPr>
        <w:spacing w:after="0"/>
      </w:pPr>
    </w:p>
    <w:p w14:paraId="74D0FB80" w14:textId="0622BC94" w:rsidR="002358C2" w:rsidRPr="00961306" w:rsidRDefault="002358C2" w:rsidP="005C5E68">
      <w:pPr>
        <w:pStyle w:val="Heading2"/>
        <w:rPr>
          <w:rStyle w:val="Heading2Char"/>
          <w:b/>
        </w:rPr>
      </w:pPr>
      <w:bookmarkStart w:id="614" w:name="_Toc104396731"/>
      <w:r w:rsidRPr="00961306">
        <w:rPr>
          <w:rStyle w:val="Heading2Char"/>
          <w:b/>
        </w:rPr>
        <w:t>7.8</w:t>
      </w:r>
      <w:r w:rsidR="00961306" w:rsidRPr="00961306">
        <w:rPr>
          <w:rStyle w:val="Heading2Char"/>
          <w:b/>
        </w:rPr>
        <w:tab/>
      </w:r>
      <w:r w:rsidRPr="00961306">
        <w:rPr>
          <w:rStyle w:val="Heading2Char"/>
          <w:b/>
        </w:rPr>
        <w:t>Mobile AC/HP</w:t>
      </w:r>
      <w:bookmarkEnd w:id="614"/>
    </w:p>
    <w:p w14:paraId="104D41FB" w14:textId="66C313F3" w:rsidR="002358C2" w:rsidRPr="00EB0BFF" w:rsidRDefault="002358C2" w:rsidP="002358C2">
      <w:pPr>
        <w:rPr>
          <w:szCs w:val="22"/>
          <w:lang w:eastAsia="en-GB"/>
        </w:rPr>
      </w:pPr>
      <w:r w:rsidRPr="00EB0BFF">
        <w:rPr>
          <w:szCs w:val="22"/>
          <w:lang w:eastAsia="en-GB"/>
        </w:rPr>
        <w:t>At present, more than one refrigerant is used for new cars and light trucks air conditioning and heavy-duty off-road vehicles: HFC-134a will remain to be used world-wide while, as a consequence of current regulations, HFO-1234yf replaced it in Europe, US</w:t>
      </w:r>
      <w:r w:rsidR="002C0D7B" w:rsidRPr="002C0D7B">
        <w:rPr>
          <w:szCs w:val="22"/>
          <w:lang w:eastAsia="en-GB"/>
        </w:rPr>
        <w:t>,</w:t>
      </w:r>
      <w:r w:rsidRPr="00EB0BFF">
        <w:rPr>
          <w:szCs w:val="22"/>
          <w:lang w:eastAsia="en-GB"/>
        </w:rPr>
        <w:t xml:space="preserve"> and Japan. The progressive electrification of road transport in Europe, China and North America is leading to the implementation of a heat pump function and for this R-744 is taken as the (most promising) alternative. In Europe there is a movement led by several countries asking for limiting the use of PFAS-related substances.</w:t>
      </w:r>
      <w:r w:rsidR="005617DE">
        <w:rPr>
          <w:szCs w:val="22"/>
          <w:lang w:eastAsia="en-GB"/>
        </w:rPr>
        <w:t xml:space="preserve"> </w:t>
      </w:r>
      <w:r w:rsidRPr="00EB0BFF">
        <w:rPr>
          <w:szCs w:val="22"/>
          <w:lang w:eastAsia="en-GB"/>
        </w:rPr>
        <w:t>Several countries developed a new, broader definition for PFAS -related substances.</w:t>
      </w:r>
      <w:r w:rsidR="005617DE">
        <w:rPr>
          <w:szCs w:val="22"/>
          <w:lang w:eastAsia="en-GB"/>
        </w:rPr>
        <w:t xml:space="preserve"> </w:t>
      </w:r>
      <w:r w:rsidRPr="00EB0BFF">
        <w:rPr>
          <w:szCs w:val="22"/>
          <w:lang w:eastAsia="en-GB"/>
        </w:rPr>
        <w:t>With this new definition many HFCs, HFOs and polymeric materials (such as hoses) would now be included in this revised definition.</w:t>
      </w:r>
      <w:r w:rsidR="005617DE">
        <w:rPr>
          <w:szCs w:val="22"/>
          <w:lang w:eastAsia="en-GB"/>
        </w:rPr>
        <w:t xml:space="preserve"> </w:t>
      </w:r>
      <w:r w:rsidRPr="00EB0BFF">
        <w:rPr>
          <w:szCs w:val="22"/>
          <w:lang w:eastAsia="en-GB"/>
        </w:rPr>
        <w:t>Even if the study is at an early stage, new scenarios considering alternative refrigerants are re-evaluated.</w:t>
      </w:r>
      <w:r w:rsidR="005617DE">
        <w:rPr>
          <w:szCs w:val="22"/>
          <w:lang w:eastAsia="en-GB"/>
        </w:rPr>
        <w:t xml:space="preserve"> </w:t>
      </w:r>
    </w:p>
    <w:p w14:paraId="7EE903FC" w14:textId="4C732315" w:rsidR="002358C2" w:rsidRPr="00EB0BFF" w:rsidRDefault="002358C2" w:rsidP="002358C2">
      <w:pPr>
        <w:rPr>
          <w:szCs w:val="22"/>
          <w:lang w:eastAsia="en-GB"/>
        </w:rPr>
      </w:pPr>
      <w:r w:rsidRPr="00EB0BFF">
        <w:rPr>
          <w:szCs w:val="22"/>
          <w:lang w:eastAsia="en-GB"/>
        </w:rPr>
        <w:t xml:space="preserve">In A5 </w:t>
      </w:r>
      <w:r w:rsidR="00B710A8">
        <w:rPr>
          <w:szCs w:val="22"/>
          <w:lang w:eastAsia="en-GB"/>
        </w:rPr>
        <w:t>part</w:t>
      </w:r>
      <w:r w:rsidRPr="00EB0BFF">
        <w:rPr>
          <w:szCs w:val="22"/>
          <w:lang w:eastAsia="en-GB"/>
        </w:rPr>
        <w:t>ies, the availability and cost of low GWP refrigerants (e.g., HFO-1234yf) is still a barrier and options based on the use of dual loop system combined with HFC-152a or hydrocarbons remains under evaluation (e.g.</w:t>
      </w:r>
      <w:r w:rsidR="00796A2B">
        <w:rPr>
          <w:szCs w:val="22"/>
          <w:lang w:eastAsia="en-GB"/>
        </w:rPr>
        <w:t>,</w:t>
      </w:r>
      <w:r w:rsidRPr="00EB0BFF">
        <w:rPr>
          <w:szCs w:val="22"/>
          <w:lang w:eastAsia="en-GB"/>
        </w:rPr>
        <w:t xml:space="preserve"> in India).</w:t>
      </w:r>
    </w:p>
    <w:p w14:paraId="4C4AD787" w14:textId="02592D99" w:rsidR="002358C2" w:rsidRPr="00EB0BFF" w:rsidRDefault="002358C2" w:rsidP="002358C2">
      <w:pPr>
        <w:rPr>
          <w:szCs w:val="22"/>
          <w:lang w:eastAsia="en-GB"/>
        </w:rPr>
      </w:pPr>
      <w:r w:rsidRPr="00EB0BFF">
        <w:rPr>
          <w:szCs w:val="22"/>
          <w:lang w:eastAsia="en-GB"/>
        </w:rPr>
        <w:t xml:space="preserve">The </w:t>
      </w:r>
      <w:r w:rsidR="00B710A8">
        <w:rPr>
          <w:szCs w:val="22"/>
          <w:lang w:eastAsia="en-GB"/>
        </w:rPr>
        <w:t>m</w:t>
      </w:r>
      <w:r w:rsidRPr="00EB0BFF">
        <w:rPr>
          <w:szCs w:val="22"/>
          <w:lang w:eastAsia="en-GB"/>
        </w:rPr>
        <w:t xml:space="preserve">obile </w:t>
      </w:r>
      <w:r w:rsidR="00B710A8">
        <w:rPr>
          <w:szCs w:val="22"/>
          <w:lang w:eastAsia="en-GB"/>
        </w:rPr>
        <w:t>a</w:t>
      </w:r>
      <w:r w:rsidRPr="00EB0BFF">
        <w:rPr>
          <w:szCs w:val="22"/>
          <w:lang w:eastAsia="en-GB"/>
        </w:rPr>
        <w:t xml:space="preserve">ir </w:t>
      </w:r>
      <w:r w:rsidR="00B710A8">
        <w:rPr>
          <w:szCs w:val="22"/>
          <w:lang w:eastAsia="en-GB"/>
        </w:rPr>
        <w:t>c</w:t>
      </w:r>
      <w:r w:rsidRPr="00EB0BFF">
        <w:rPr>
          <w:szCs w:val="22"/>
          <w:lang w:eastAsia="en-GB"/>
        </w:rPr>
        <w:t>onditioning system increases the annual average vehicle energy demand of about the 20% leading to an estimated GHG indirect emissions of about 280 Mt CO</w:t>
      </w:r>
      <w:r w:rsidRPr="00EB0BFF">
        <w:rPr>
          <w:szCs w:val="22"/>
          <w:vertAlign w:val="subscript"/>
          <w:lang w:eastAsia="en-GB"/>
        </w:rPr>
        <w:t>2</w:t>
      </w:r>
      <w:r w:rsidRPr="00EB0BFF">
        <w:rPr>
          <w:szCs w:val="22"/>
          <w:lang w:eastAsia="en-GB"/>
        </w:rPr>
        <w:t>-eq. per year. Road transport electrification could reduce this amount from 0% to 40% dependent on the electrification rate and on the average energy mix of electric energy production (</w:t>
      </w:r>
      <w:r>
        <w:rPr>
          <w:szCs w:val="22"/>
          <w:lang w:eastAsia="en-GB"/>
        </w:rPr>
        <w:t xml:space="preserve">the </w:t>
      </w:r>
      <w:r w:rsidRPr="00EB0BFF">
        <w:rPr>
          <w:szCs w:val="22"/>
          <w:lang w:eastAsia="en-GB"/>
        </w:rPr>
        <w:t xml:space="preserve">current worldwide </w:t>
      </w:r>
      <w:r>
        <w:rPr>
          <w:szCs w:val="22"/>
          <w:lang w:eastAsia="en-GB"/>
        </w:rPr>
        <w:t xml:space="preserve">ratio is </w:t>
      </w:r>
      <w:r w:rsidRPr="00EB0BFF">
        <w:rPr>
          <w:szCs w:val="22"/>
          <w:lang w:eastAsia="en-GB"/>
        </w:rPr>
        <w:t>475 g CO</w:t>
      </w:r>
      <w:r w:rsidRPr="00EB0BFF">
        <w:rPr>
          <w:szCs w:val="22"/>
          <w:vertAlign w:val="subscript"/>
          <w:lang w:eastAsia="en-GB"/>
        </w:rPr>
        <w:t>2</w:t>
      </w:r>
      <w:r w:rsidRPr="00EB0BFF">
        <w:rPr>
          <w:szCs w:val="22"/>
          <w:lang w:eastAsia="en-GB"/>
        </w:rPr>
        <w:t xml:space="preserve">/kWh). </w:t>
      </w:r>
    </w:p>
    <w:p w14:paraId="6E3B2EFB" w14:textId="7DA91DCD" w:rsidR="002358C2" w:rsidRPr="00961306" w:rsidRDefault="002358C2" w:rsidP="005C5E68">
      <w:pPr>
        <w:pStyle w:val="Heading2"/>
        <w:rPr>
          <w:rStyle w:val="Heading2Char"/>
          <w:b/>
        </w:rPr>
      </w:pPr>
      <w:bookmarkStart w:id="615" w:name="_Toc104396732"/>
      <w:r w:rsidRPr="00961306">
        <w:rPr>
          <w:rStyle w:val="Heading2Char"/>
          <w:b/>
        </w:rPr>
        <w:lastRenderedPageBreak/>
        <w:t>7.9</w:t>
      </w:r>
      <w:r w:rsidR="00961306" w:rsidRPr="00961306">
        <w:rPr>
          <w:rStyle w:val="Heading2Char"/>
          <w:b/>
        </w:rPr>
        <w:tab/>
      </w:r>
      <w:r w:rsidRPr="00961306">
        <w:rPr>
          <w:rStyle w:val="Heading2Char"/>
          <w:b/>
        </w:rPr>
        <w:t>Industrial refrigeration, heat pumps and heat engines</w:t>
      </w:r>
      <w:bookmarkEnd w:id="615"/>
    </w:p>
    <w:p w14:paraId="6F864453" w14:textId="41AC6593" w:rsidR="002358C2" w:rsidRPr="00BA4DDF" w:rsidRDefault="002358C2" w:rsidP="002358C2">
      <w:pPr>
        <w:rPr>
          <w:lang w:val="en-US"/>
        </w:rPr>
      </w:pPr>
      <w:r w:rsidRPr="00BA4DDF">
        <w:rPr>
          <w:lang w:val="en-US"/>
        </w:rPr>
        <w:t xml:space="preserve">Since the </w:t>
      </w:r>
      <w:r>
        <w:rPr>
          <w:lang w:val="en-US"/>
        </w:rPr>
        <w:t>2018 Assessment Report</w:t>
      </w:r>
      <w:r w:rsidRPr="00BA4DDF">
        <w:rPr>
          <w:lang w:val="en-US"/>
        </w:rPr>
        <w:t xml:space="preserve"> there is more focus on energy efficiency and heat recovery in industrial refrigeration. Regarding heat recovery, the industrial sector, including industrial refrigeration, accounts for approximately 30% of the global total energy consumption and up to 50% of it is lost as waste heat (</w:t>
      </w:r>
      <w:proofErr w:type="spellStart"/>
      <w:r w:rsidRPr="00BA4DDF">
        <w:rPr>
          <w:lang w:val="en-US"/>
        </w:rPr>
        <w:t>Thorsson</w:t>
      </w:r>
      <w:proofErr w:type="spellEnd"/>
      <w:r w:rsidRPr="00BA4DDF">
        <w:rPr>
          <w:lang w:val="en-US"/>
        </w:rPr>
        <w:t>, 2020). The waste heat can be recovered in various ways. For the industrial producer it means that what was regarded as waste heat in the past, has become an asset that has a value for other purposes. This heat can be the natural heat source for a heat pump producing 90°C ho</w:t>
      </w:r>
      <w:r>
        <w:rPr>
          <w:lang w:val="en-US"/>
        </w:rPr>
        <w:t>t</w:t>
      </w:r>
      <w:r w:rsidRPr="00BA4DDF">
        <w:rPr>
          <w:lang w:val="en-US"/>
        </w:rPr>
        <w:t xml:space="preserve"> water for chemical free cleaning or may serve as source for a heat pump that produces even higher temperature water or steam. It is expected that innovative solutions for heat recovery will continue to emerge.</w:t>
      </w:r>
    </w:p>
    <w:p w14:paraId="0CF808C9" w14:textId="77777777" w:rsidR="002358C2" w:rsidRPr="00BA4DDF" w:rsidRDefault="002358C2" w:rsidP="002358C2">
      <w:pPr>
        <w:rPr>
          <w:lang w:val="en-US"/>
        </w:rPr>
      </w:pPr>
      <w:r w:rsidRPr="00BA4DDF">
        <w:rPr>
          <w:lang w:val="en-US"/>
        </w:rPr>
        <w:t>Industrial companies are focused on improving the efficiency of their process, and thereby reducing energy consumption. This is accomplished by improving the efficiency of individual pieces of equipment and the total process or system, but also by employing non-traditional approaches. As the transition from fossil fuel based electrical production to sustainable electrical production advances, electrically driven heat pumps are more widely used.</w:t>
      </w:r>
    </w:p>
    <w:p w14:paraId="192FEF6F" w14:textId="58873FD9" w:rsidR="002358C2" w:rsidRDefault="002358C2" w:rsidP="00961306">
      <w:pPr>
        <w:spacing w:after="0"/>
      </w:pPr>
      <w:r w:rsidRPr="00BA4DDF">
        <w:rPr>
          <w:lang w:val="en-US"/>
        </w:rPr>
        <w:t xml:space="preserve">The Kigali </w:t>
      </w:r>
      <w:r w:rsidR="00B710A8">
        <w:rPr>
          <w:lang w:val="en-US"/>
        </w:rPr>
        <w:t>A</w:t>
      </w:r>
      <w:r w:rsidRPr="00BA4DDF">
        <w:rPr>
          <w:lang w:val="en-US"/>
        </w:rPr>
        <w:t>mendment to the Montreal Protocol has stimulated the broader use of lower GWP refrigerants.</w:t>
      </w:r>
      <w:r w:rsidR="005617DE">
        <w:rPr>
          <w:lang w:val="en-US"/>
        </w:rPr>
        <w:t xml:space="preserve"> </w:t>
      </w:r>
      <w:r w:rsidRPr="00BA4DDF">
        <w:rPr>
          <w:lang w:val="en-US"/>
        </w:rPr>
        <w:t>Industrial systems with ammonia are seeing more competition from CO</w:t>
      </w:r>
      <w:r w:rsidRPr="00BA4DDF">
        <w:rPr>
          <w:vertAlign w:val="subscript"/>
          <w:lang w:val="en-US"/>
        </w:rPr>
        <w:t>2</w:t>
      </w:r>
      <w:r w:rsidRPr="00BA4DDF">
        <w:rPr>
          <w:lang w:val="en-US"/>
        </w:rPr>
        <w:t xml:space="preserve"> rather than </w:t>
      </w:r>
      <w:r>
        <w:rPr>
          <w:lang w:val="en-US"/>
        </w:rPr>
        <w:t xml:space="preserve">from </w:t>
      </w:r>
      <w:r w:rsidRPr="00BA4DDF">
        <w:rPr>
          <w:lang w:val="en-US"/>
        </w:rPr>
        <w:t>HFC</w:t>
      </w:r>
      <w:r>
        <w:rPr>
          <w:lang w:val="en-US"/>
        </w:rPr>
        <w:t>s</w:t>
      </w:r>
      <w:r w:rsidRPr="00BA4DDF">
        <w:rPr>
          <w:lang w:val="en-US"/>
        </w:rPr>
        <w:t xml:space="preserve"> and HCFC</w:t>
      </w:r>
      <w:r>
        <w:rPr>
          <w:lang w:val="en-US"/>
        </w:rPr>
        <w:t>s</w:t>
      </w:r>
      <w:r w:rsidRPr="00BA4DDF">
        <w:rPr>
          <w:lang w:val="en-US"/>
        </w:rPr>
        <w:t xml:space="preserve">, especially </w:t>
      </w:r>
      <w:r>
        <w:rPr>
          <w:lang w:val="en-US"/>
        </w:rPr>
        <w:t>HCFC-22</w:t>
      </w:r>
      <w:r w:rsidRPr="00BA4DDF">
        <w:rPr>
          <w:lang w:val="en-US"/>
        </w:rPr>
        <w:t>.</w:t>
      </w:r>
    </w:p>
    <w:p w14:paraId="5F0128A6" w14:textId="5BE94FD6" w:rsidR="002358C2" w:rsidRPr="0024733A" w:rsidRDefault="002358C2" w:rsidP="005C5E68">
      <w:pPr>
        <w:pStyle w:val="Heading2"/>
        <w:rPr>
          <w:rStyle w:val="Heading2Char"/>
          <w:b/>
        </w:rPr>
      </w:pPr>
      <w:bookmarkStart w:id="616" w:name="_Toc104396733"/>
      <w:r w:rsidRPr="0024733A">
        <w:rPr>
          <w:rStyle w:val="Heading2Char"/>
          <w:b/>
        </w:rPr>
        <w:t>7.1</w:t>
      </w:r>
      <w:r>
        <w:rPr>
          <w:rStyle w:val="Heading2Char"/>
          <w:b/>
        </w:rPr>
        <w:t>0</w:t>
      </w:r>
      <w:r w:rsidR="00961306" w:rsidRPr="000C2EA5">
        <w:rPr>
          <w:rStyle w:val="Heading2Char"/>
          <w:b/>
        </w:rPr>
        <w:tab/>
      </w:r>
      <w:r w:rsidRPr="0024733A">
        <w:rPr>
          <w:rStyle w:val="Heading2Char"/>
          <w:b/>
        </w:rPr>
        <w:t>Heating-only heat pumps</w:t>
      </w:r>
      <w:bookmarkEnd w:id="616"/>
    </w:p>
    <w:p w14:paraId="4A815267" w14:textId="680F9DEE" w:rsidR="002358C2" w:rsidRPr="00F84AFE" w:rsidRDefault="002358C2" w:rsidP="002358C2">
      <w:r w:rsidRPr="00F84AFE">
        <w:t>In general, heating-only heat pumps represent a fast-growing equipment type in several regions in the world. The growth is driven by decarbonisation and pollution targets. Currently, Europe, Japan and China are leading the way. In Europe and US there are recently several strong initiatives to replace fossil fuel combustion heating by heat pumps.</w:t>
      </w:r>
    </w:p>
    <w:p w14:paraId="5E431B0C" w14:textId="77777777" w:rsidR="002358C2" w:rsidRPr="00F84AFE" w:rsidRDefault="002358C2" w:rsidP="002358C2">
      <w:r w:rsidRPr="00F84AFE">
        <w:t xml:space="preserve">Energy efficiency and product cost are the most important characteristics, as heat pumps compete mainly with combusting type water heating equipment. Regulation is driving the adoption of lower GWP refrigerants, and noise level is becoming an important characteristic. The need to achieve high efficiency, low cost, low GWP and low noise represents a major challenge for equipment manufacturers. </w:t>
      </w:r>
    </w:p>
    <w:p w14:paraId="4F718F33" w14:textId="77777777" w:rsidR="002358C2" w:rsidRPr="00F84AFE" w:rsidRDefault="002358C2" w:rsidP="002358C2">
      <w:r w:rsidRPr="00F84AFE">
        <w:t>As the heating-only heat pumps subsector does not represent a mature market yet, the availability of components at competitive price is critical. Specifically, compressor</w:t>
      </w:r>
      <w:r>
        <w:t>s</w:t>
      </w:r>
      <w:r w:rsidRPr="00F84AFE">
        <w:t xml:space="preserve"> must be able to operate at specific heating operation conditions, and refrigerant</w:t>
      </w:r>
      <w:r>
        <w:t>s</w:t>
      </w:r>
      <w:r w:rsidRPr="00F84AFE">
        <w:t xml:space="preserve"> must be chosen accordingly. For very high-pressure refrigerants, </w:t>
      </w:r>
      <w:r>
        <w:t xml:space="preserve">such as </w:t>
      </w:r>
      <w:r w:rsidRPr="00F84AFE">
        <w:t>R-744, there is a need for specific components and control features</w:t>
      </w:r>
      <w:r>
        <w:t xml:space="preserve"> that are </w:t>
      </w:r>
      <w:r w:rsidRPr="00F84AFE">
        <w:t>able to operate at very high pressure. Sometimes the other applications in which the same compressor is used (such as commercial refrigeration and air conditioners) drives the refrigerant selection.</w:t>
      </w:r>
    </w:p>
    <w:p w14:paraId="528F6A53" w14:textId="77777777" w:rsidR="002358C2" w:rsidRPr="00F84AFE" w:rsidRDefault="002358C2" w:rsidP="002358C2">
      <w:r w:rsidRPr="00F84AFE">
        <w:t xml:space="preserve">In recent years, some </w:t>
      </w:r>
      <w:r>
        <w:t xml:space="preserve">new </w:t>
      </w:r>
      <w:r w:rsidRPr="00F84AFE">
        <w:t xml:space="preserve">refrigerant trends have emerged. For new developments, there is a general tendency to move away from high-GWP refrigerants. For water heating appliances there is a growing usage of R-744, R-290 and HFC-32 as </w:t>
      </w:r>
      <w:r>
        <w:t xml:space="preserve">a </w:t>
      </w:r>
      <w:r w:rsidRPr="00F84AFE">
        <w:t>refrigerant. Where safety restrictions allow to use it,</w:t>
      </w:r>
      <w:r>
        <w:t xml:space="preserve"> </w:t>
      </w:r>
      <w:r w:rsidRPr="00F84AFE">
        <w:t xml:space="preserve">R-290 is growing in monobloc equipment. R-744 is applied for heating water for storage at high temperature, </w:t>
      </w:r>
      <w:r>
        <w:t xml:space="preserve">since </w:t>
      </w:r>
      <w:r w:rsidRPr="00F84AFE">
        <w:t>R-744 shows good performance for this application</w:t>
      </w:r>
      <w:r>
        <w:t>. H</w:t>
      </w:r>
      <w:r w:rsidRPr="00F84AFE">
        <w:t>owever, cost and performance for broader heating application</w:t>
      </w:r>
      <w:r>
        <w:t>s</w:t>
      </w:r>
      <w:r w:rsidRPr="00F84AFE">
        <w:t xml:space="preserve"> are limiting adoption of R-744, particularly in Europe. There is an extensive introduction of </w:t>
      </w:r>
      <w:r>
        <w:t xml:space="preserve">refrigerant </w:t>
      </w:r>
      <w:r w:rsidRPr="00F84AFE">
        <w:t>HFC-32 for heat pumps as they use several common components with the air-to-air air-conditioners and heat pumps. Also</w:t>
      </w:r>
      <w:r>
        <w:t>,</w:t>
      </w:r>
      <w:r w:rsidRPr="00F84AFE">
        <w:t xml:space="preserve"> for larger water heating </w:t>
      </w:r>
      <w:r>
        <w:t>heat pumps</w:t>
      </w:r>
      <w:r w:rsidRPr="00F84AFE">
        <w:t xml:space="preserve">, as well as for combined space </w:t>
      </w:r>
      <w:r>
        <w:t xml:space="preserve">- </w:t>
      </w:r>
      <w:r w:rsidRPr="00F84AFE">
        <w:t xml:space="preserve">plus hot water heating </w:t>
      </w:r>
      <w:r>
        <w:t>h</w:t>
      </w:r>
      <w:r w:rsidRPr="00F84AFE">
        <w:t xml:space="preserve">eat </w:t>
      </w:r>
      <w:r>
        <w:t>p</w:t>
      </w:r>
      <w:r w:rsidRPr="00F84AFE">
        <w:t xml:space="preserve">umps, HFC-32 </w:t>
      </w:r>
      <w:r>
        <w:t>is seeing a very high growth in consumption</w:t>
      </w:r>
      <w:r w:rsidRPr="00F84AFE">
        <w:t xml:space="preserve"> due to the broad availability of refrigerant and components already qualified for these applications. For </w:t>
      </w:r>
      <w:r>
        <w:t xml:space="preserve">those </w:t>
      </w:r>
      <w:r w:rsidRPr="00F84AFE">
        <w:t xml:space="preserve">areas in the world where there are restrictions on the use of </w:t>
      </w:r>
      <w:r w:rsidRPr="00F84AFE">
        <w:lastRenderedPageBreak/>
        <w:t xml:space="preserve">flammable refrigerants, HFCs with higher GWPs are used. Based on upcoming regulations for the phase-down of HFCs, continued transition to low and medium GWP refrigerants is expected in </w:t>
      </w:r>
      <w:r>
        <w:t xml:space="preserve">the next few </w:t>
      </w:r>
      <w:r w:rsidRPr="00F84AFE">
        <w:t>years.</w:t>
      </w:r>
    </w:p>
    <w:p w14:paraId="6EFA6DEE" w14:textId="50FD480F" w:rsidR="00550028" w:rsidRPr="00961306" w:rsidRDefault="002358C2" w:rsidP="00550028">
      <w:pPr>
        <w:pStyle w:val="Style15"/>
        <w:rPr>
          <w:b w:val="0"/>
          <w:bCs/>
          <w:sz w:val="22"/>
          <w:szCs w:val="22"/>
        </w:rPr>
      </w:pPr>
      <w:r w:rsidRPr="000E72FC">
        <w:rPr>
          <w:b w:val="0"/>
          <w:bCs/>
          <w:sz w:val="22"/>
          <w:szCs w:val="22"/>
        </w:rPr>
        <w:t xml:space="preserve">As reported in the 2020 progress report, R-454C had been introduced for water heating heat-pumps by one manufacturer. Recently, R-454B </w:t>
      </w:r>
      <w:r>
        <w:rPr>
          <w:b w:val="0"/>
          <w:bCs/>
          <w:sz w:val="22"/>
          <w:szCs w:val="22"/>
        </w:rPr>
        <w:t xml:space="preserve">has </w:t>
      </w:r>
      <w:r w:rsidRPr="000E72FC">
        <w:rPr>
          <w:b w:val="0"/>
          <w:bCs/>
          <w:sz w:val="22"/>
          <w:szCs w:val="22"/>
        </w:rPr>
        <w:t xml:space="preserve">also </w:t>
      </w:r>
      <w:r>
        <w:rPr>
          <w:b w:val="0"/>
          <w:bCs/>
          <w:sz w:val="22"/>
          <w:szCs w:val="22"/>
        </w:rPr>
        <w:t xml:space="preserve">been </w:t>
      </w:r>
      <w:r w:rsidRPr="000E72FC">
        <w:rPr>
          <w:b w:val="0"/>
          <w:bCs/>
          <w:sz w:val="22"/>
          <w:szCs w:val="22"/>
        </w:rPr>
        <w:t>introduced for the use in water heating heat-pumps. Besides the adaptations for using an A2L flammable refrigerant, design changes and production process impacts for using R-454B are limited when converting from R-410A.</w:t>
      </w:r>
    </w:p>
    <w:p w14:paraId="75568FF8" w14:textId="20A8A314" w:rsidR="00517FCE" w:rsidRDefault="00517FCE" w:rsidP="00B865BA">
      <w:pPr>
        <w:rPr>
          <w:b/>
          <w:sz w:val="20"/>
        </w:rPr>
      </w:pPr>
    </w:p>
    <w:p w14:paraId="625DDD52" w14:textId="77777777" w:rsidR="003C4EB0" w:rsidRDefault="003C4EB0" w:rsidP="00BA0312">
      <w:pPr>
        <w:pStyle w:val="Heading1"/>
        <w:rPr>
          <w:rStyle w:val="Heading1Char2"/>
          <w:rFonts w:ascii="Times New Roman" w:hAnsi="Times New Roman"/>
        </w:rPr>
        <w:sectPr w:rsidR="003C4EB0" w:rsidSect="006E33DB">
          <w:type w:val="oddPage"/>
          <w:pgSz w:w="11907" w:h="16839" w:code="9"/>
          <w:pgMar w:top="1260" w:right="1800" w:bottom="1526" w:left="1800" w:header="720" w:footer="792" w:gutter="0"/>
          <w:cols w:space="720"/>
          <w:docGrid w:linePitch="299"/>
        </w:sectPr>
      </w:pPr>
      <w:bookmarkStart w:id="617" w:name="_Toc77868932"/>
      <w:bookmarkStart w:id="618" w:name="_Toc78040764"/>
      <w:bookmarkStart w:id="619" w:name="_Toc79066568"/>
      <w:bookmarkStart w:id="620" w:name="_Toc9109606"/>
      <w:bookmarkStart w:id="621" w:name="_Toc40696100"/>
      <w:bookmarkStart w:id="622" w:name="_Toc514151684"/>
      <w:bookmarkStart w:id="623" w:name="_Toc295289741"/>
      <w:bookmarkStart w:id="624" w:name="_Toc388648379"/>
      <w:bookmarkStart w:id="625" w:name="_Toc295406184"/>
      <w:bookmarkEnd w:id="277"/>
    </w:p>
    <w:p w14:paraId="0D223531" w14:textId="0085040C" w:rsidR="00850702" w:rsidRPr="00517FCE" w:rsidRDefault="00BB48C4" w:rsidP="00BA0312">
      <w:pPr>
        <w:pStyle w:val="Heading1"/>
        <w:rPr>
          <w:rStyle w:val="Heading1Char2"/>
          <w:rFonts w:ascii="Times New Roman" w:hAnsi="Times New Roman"/>
          <w:color w:val="auto"/>
          <w:sz w:val="24"/>
          <w:szCs w:val="24"/>
          <w:lang w:eastAsia="en-US"/>
        </w:rPr>
      </w:pPr>
      <w:bookmarkStart w:id="626" w:name="_Toc104396734"/>
      <w:r>
        <w:rPr>
          <w:rStyle w:val="Heading1Char2"/>
          <w:rFonts w:ascii="Times New Roman" w:hAnsi="Times New Roman"/>
        </w:rPr>
        <w:lastRenderedPageBreak/>
        <w:t>8</w:t>
      </w:r>
      <w:r w:rsidR="00783C72">
        <w:rPr>
          <w:rStyle w:val="Heading1Char2"/>
          <w:rFonts w:ascii="Times New Roman" w:hAnsi="Times New Roman"/>
        </w:rPr>
        <w:tab/>
      </w:r>
      <w:bookmarkStart w:id="627" w:name="_Toc77868933"/>
      <w:bookmarkStart w:id="628" w:name="_Toc78040765"/>
      <w:bookmarkStart w:id="629" w:name="_Toc79066569"/>
      <w:bookmarkEnd w:id="617"/>
      <w:bookmarkEnd w:id="618"/>
      <w:bookmarkEnd w:id="619"/>
      <w:r w:rsidR="00517FCE" w:rsidRPr="00B865BA">
        <w:rPr>
          <w:lang w:eastAsia="en-US"/>
        </w:rPr>
        <w:t>Decision XXXI/8 and </w:t>
      </w:r>
      <w:r w:rsidR="00A64E06" w:rsidRPr="00B865BA">
        <w:rPr>
          <w:rStyle w:val="Heading1Char2"/>
          <w:rFonts w:ascii="Times New Roman" w:hAnsi="Times New Roman"/>
        </w:rPr>
        <w:t>TEAP matters</w:t>
      </w:r>
      <w:bookmarkEnd w:id="620"/>
      <w:bookmarkEnd w:id="621"/>
      <w:bookmarkEnd w:id="622"/>
      <w:bookmarkEnd w:id="626"/>
      <w:bookmarkEnd w:id="627"/>
      <w:bookmarkEnd w:id="628"/>
      <w:bookmarkEnd w:id="629"/>
    </w:p>
    <w:p w14:paraId="5B22DE29" w14:textId="2C0E88AE" w:rsidR="002D3492" w:rsidRPr="00517FCE" w:rsidRDefault="00BB48C4" w:rsidP="005C5E68">
      <w:pPr>
        <w:pStyle w:val="Heading2"/>
        <w:rPr>
          <w:rStyle w:val="Heading2Char"/>
          <w:b/>
        </w:rPr>
      </w:pPr>
      <w:bookmarkStart w:id="630" w:name="_Toc104396735"/>
      <w:r>
        <w:rPr>
          <w:rStyle w:val="Heading2Char"/>
          <w:b/>
        </w:rPr>
        <w:t>8</w:t>
      </w:r>
      <w:r w:rsidR="00245849" w:rsidRPr="00517FCE">
        <w:rPr>
          <w:rStyle w:val="Heading2Char"/>
          <w:b/>
        </w:rPr>
        <w:t>.1</w:t>
      </w:r>
      <w:r w:rsidR="003C4EB0">
        <w:rPr>
          <w:rStyle w:val="Heading2Char"/>
          <w:b/>
        </w:rPr>
        <w:tab/>
      </w:r>
      <w:r w:rsidR="00517FCE" w:rsidRPr="00517FCE">
        <w:rPr>
          <w:rStyle w:val="Heading2Char"/>
          <w:b/>
        </w:rPr>
        <w:t>Nomination and appointment process</w:t>
      </w:r>
      <w:bookmarkEnd w:id="630"/>
    </w:p>
    <w:p w14:paraId="28FCB57A" w14:textId="77777777" w:rsidR="00B710A8" w:rsidRDefault="00B710A8" w:rsidP="00B710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color w:val="auto"/>
          <w:szCs w:val="22"/>
        </w:rPr>
      </w:pPr>
      <w:r>
        <w:rPr>
          <w:color w:val="auto"/>
          <w:szCs w:val="22"/>
        </w:rPr>
        <w:t>This section includes information previously provided in the 2020 and 2021 TEAP Progress Reports as these processes are relevant to TEAP’s recommendations in this section of the report.</w:t>
      </w:r>
    </w:p>
    <w:p w14:paraId="01CADE5E" w14:textId="77777777" w:rsidR="00B710A8" w:rsidRDefault="00B710A8" w:rsidP="00B710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color w:val="auto"/>
          <w:szCs w:val="22"/>
        </w:rPr>
      </w:pPr>
      <w:r w:rsidRPr="00986E3B">
        <w:rPr>
          <w:color w:val="auto"/>
          <w:szCs w:val="22"/>
        </w:rPr>
        <w:t xml:space="preserve">At the 31st MOP, decision XXXI/8, “Terms of reference of the Technology and Economic Assessment Panel and its technical options committees and temporary subsidiary bodies – procedures relevant to nominations,” states the following: </w:t>
      </w:r>
    </w:p>
    <w:p w14:paraId="5EC175D7" w14:textId="3BEFD07F" w:rsidR="00B710A8" w:rsidRPr="00986E3B" w:rsidRDefault="00B710A8" w:rsidP="00B710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left="560"/>
        <w:rPr>
          <w:i/>
          <w:iCs/>
          <w:color w:val="auto"/>
          <w:szCs w:val="22"/>
        </w:rPr>
      </w:pPr>
      <w:r w:rsidRPr="00986E3B">
        <w:rPr>
          <w:i/>
          <w:iCs/>
          <w:color w:val="auto"/>
          <w:szCs w:val="22"/>
        </w:rPr>
        <w:t>“…To request the Panel to provide, as part of its annual progress report, a summary outlining the procedures that the Panel and its technical options committees have undertaken to ensure adherence to the Panel’s terms of reference through clear and transparent procedures, including full consultations with the focal points, in line with the terms of reference, regarding:</w:t>
      </w:r>
      <w:r w:rsidR="005617DE">
        <w:rPr>
          <w:i/>
          <w:iCs/>
          <w:color w:val="auto"/>
          <w:szCs w:val="22"/>
        </w:rPr>
        <w:t xml:space="preserve"> </w:t>
      </w:r>
    </w:p>
    <w:p w14:paraId="3ED2B411" w14:textId="79D6FA38" w:rsidR="00B710A8" w:rsidRPr="00986E3B" w:rsidRDefault="00B710A8" w:rsidP="00B710A8">
      <w:pPr>
        <w:pStyle w:val="ListParagraph"/>
        <w:numPr>
          <w:ilvl w:val="0"/>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Chars="0"/>
        <w:rPr>
          <w:rFonts w:ascii="Times New Roman" w:hAnsi="Times New Roman"/>
          <w:i/>
          <w:iCs/>
        </w:rPr>
      </w:pPr>
      <w:r w:rsidRPr="00986E3B">
        <w:rPr>
          <w:rFonts w:ascii="Times New Roman" w:hAnsi="Times New Roman"/>
          <w:i/>
          <w:iCs/>
        </w:rPr>
        <w:t xml:space="preserve">nomination processes, </w:t>
      </w:r>
      <w:proofErr w:type="gramStart"/>
      <w:r w:rsidRPr="00986E3B">
        <w:rPr>
          <w:rFonts w:ascii="Times New Roman" w:hAnsi="Times New Roman"/>
          <w:i/>
          <w:iCs/>
        </w:rPr>
        <w:t>taking into account</w:t>
      </w:r>
      <w:proofErr w:type="gramEnd"/>
      <w:r w:rsidRPr="00986E3B">
        <w:rPr>
          <w:rFonts w:ascii="Times New Roman" w:hAnsi="Times New Roman"/>
          <w:i/>
          <w:iCs/>
        </w:rPr>
        <w:t xml:space="preserve"> the matrix of needed expertise and already available expertise;</w:t>
      </w:r>
      <w:r w:rsidR="005617DE">
        <w:rPr>
          <w:rFonts w:ascii="Times New Roman" w:hAnsi="Times New Roman"/>
          <w:i/>
          <w:iCs/>
        </w:rPr>
        <w:t xml:space="preserve"> </w:t>
      </w:r>
    </w:p>
    <w:p w14:paraId="3452BD6E" w14:textId="023B8BB8" w:rsidR="00B710A8" w:rsidRPr="00986E3B" w:rsidRDefault="00B710A8" w:rsidP="00B710A8">
      <w:pPr>
        <w:pStyle w:val="ListParagraph"/>
        <w:numPr>
          <w:ilvl w:val="0"/>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Chars="0"/>
        <w:rPr>
          <w:rFonts w:ascii="Times New Roman" w:hAnsi="Times New Roman"/>
          <w:i/>
          <w:iCs/>
        </w:rPr>
      </w:pPr>
      <w:r w:rsidRPr="00986E3B">
        <w:rPr>
          <w:rFonts w:ascii="Times New Roman" w:hAnsi="Times New Roman"/>
          <w:i/>
          <w:iCs/>
        </w:rPr>
        <w:t>proposed nominations and appointment decisions;</w:t>
      </w:r>
      <w:r w:rsidR="005617DE">
        <w:rPr>
          <w:rFonts w:ascii="Times New Roman" w:hAnsi="Times New Roman"/>
          <w:i/>
          <w:iCs/>
        </w:rPr>
        <w:t xml:space="preserve"> </w:t>
      </w:r>
    </w:p>
    <w:p w14:paraId="45BA43EE" w14:textId="5C97E251" w:rsidR="00B710A8" w:rsidRDefault="00B710A8" w:rsidP="00B710A8">
      <w:pPr>
        <w:pStyle w:val="ListParagraph"/>
        <w:numPr>
          <w:ilvl w:val="0"/>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Chars="0"/>
        <w:rPr>
          <w:rFonts w:ascii="Times New Roman" w:hAnsi="Times New Roman"/>
          <w:i/>
          <w:iCs/>
        </w:rPr>
      </w:pPr>
      <w:r w:rsidRPr="00986E3B">
        <w:rPr>
          <w:rFonts w:ascii="Times New Roman" w:hAnsi="Times New Roman"/>
          <w:i/>
          <w:iCs/>
        </w:rPr>
        <w:t>termination of appointments; and</w:t>
      </w:r>
      <w:r w:rsidR="005617DE">
        <w:rPr>
          <w:rFonts w:ascii="Times New Roman" w:hAnsi="Times New Roman"/>
          <w:i/>
          <w:iCs/>
        </w:rPr>
        <w:t xml:space="preserve"> </w:t>
      </w:r>
    </w:p>
    <w:p w14:paraId="78CB4400" w14:textId="15CCD4B6" w:rsidR="00B710A8" w:rsidRPr="003C4EB0" w:rsidRDefault="00B710A8" w:rsidP="00B710A8">
      <w:pPr>
        <w:pStyle w:val="ListParagraph"/>
        <w:numPr>
          <w:ilvl w:val="0"/>
          <w:numId w:val="8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ind w:firstLineChars="0"/>
        <w:rPr>
          <w:rFonts w:ascii="Times New Roman" w:hAnsi="Times New Roman"/>
          <w:i/>
          <w:iCs/>
        </w:rPr>
      </w:pPr>
      <w:r w:rsidRPr="00821BBC">
        <w:rPr>
          <w:rFonts w:ascii="Times New Roman" w:hAnsi="Times New Roman"/>
          <w:i/>
          <w:iCs/>
        </w:rPr>
        <w:t>replacements;</w:t>
      </w:r>
    </w:p>
    <w:p w14:paraId="686E6AB1" w14:textId="449E3EFC" w:rsidR="00F83506" w:rsidRDefault="00F83506" w:rsidP="00821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120"/>
        <w:rPr>
          <w:color w:val="auto"/>
          <w:szCs w:val="22"/>
        </w:rPr>
      </w:pPr>
      <w:r>
        <w:rPr>
          <w:color w:val="auto"/>
          <w:szCs w:val="22"/>
        </w:rPr>
        <w:t>U</w:t>
      </w:r>
      <w:r w:rsidRPr="00D23986">
        <w:rPr>
          <w:color w:val="auto"/>
          <w:szCs w:val="22"/>
        </w:rPr>
        <w:t xml:space="preserve">nder </w:t>
      </w:r>
      <w:r>
        <w:rPr>
          <w:color w:val="auto"/>
          <w:szCs w:val="22"/>
        </w:rPr>
        <w:t>TEAP’s</w:t>
      </w:r>
      <w:r w:rsidRPr="00D23986">
        <w:rPr>
          <w:color w:val="auto"/>
          <w:szCs w:val="22"/>
        </w:rPr>
        <w:t xml:space="preserve"> mandates</w:t>
      </w:r>
      <w:r>
        <w:rPr>
          <w:color w:val="auto"/>
          <w:szCs w:val="22"/>
        </w:rPr>
        <w:t xml:space="preserve"> from parties</w:t>
      </w:r>
      <w:r w:rsidRPr="00D23986">
        <w:rPr>
          <w:color w:val="auto"/>
          <w:szCs w:val="22"/>
        </w:rPr>
        <w:t xml:space="preserve">, TEAP </w:t>
      </w:r>
      <w:r>
        <w:rPr>
          <w:color w:val="auto"/>
          <w:szCs w:val="22"/>
        </w:rPr>
        <w:t>continuously works to identifying</w:t>
      </w:r>
      <w:r w:rsidRPr="00D23986">
        <w:rPr>
          <w:color w:val="auto"/>
          <w:szCs w:val="22"/>
        </w:rPr>
        <w:t xml:space="preserve"> appropriate expertise </w:t>
      </w:r>
      <w:r>
        <w:rPr>
          <w:color w:val="auto"/>
          <w:szCs w:val="22"/>
        </w:rPr>
        <w:t>and finding qualified candidates who are</w:t>
      </w:r>
      <w:r w:rsidRPr="00D23986">
        <w:rPr>
          <w:color w:val="auto"/>
          <w:szCs w:val="22"/>
        </w:rPr>
        <w:t xml:space="preserve"> interested and available to serve</w:t>
      </w:r>
      <w:r>
        <w:rPr>
          <w:color w:val="auto"/>
          <w:szCs w:val="22"/>
        </w:rPr>
        <w:t xml:space="preserve">. TEAP takes into consideration of </w:t>
      </w:r>
      <w:r w:rsidRPr="00D23986">
        <w:rPr>
          <w:color w:val="auto"/>
          <w:szCs w:val="22"/>
        </w:rPr>
        <w:t xml:space="preserve">its current pool of experts, </w:t>
      </w:r>
      <w:r>
        <w:rPr>
          <w:color w:val="auto"/>
          <w:szCs w:val="22"/>
        </w:rPr>
        <w:t xml:space="preserve">with </w:t>
      </w:r>
      <w:r w:rsidRPr="00D23986">
        <w:rPr>
          <w:color w:val="auto"/>
          <w:szCs w:val="22"/>
        </w:rPr>
        <w:t>the potential loss of expertise</w:t>
      </w:r>
      <w:r>
        <w:rPr>
          <w:color w:val="auto"/>
          <w:szCs w:val="22"/>
        </w:rPr>
        <w:t>,</w:t>
      </w:r>
      <w:r w:rsidRPr="00D23986">
        <w:rPr>
          <w:color w:val="auto"/>
          <w:szCs w:val="22"/>
        </w:rPr>
        <w:t xml:space="preserve"> through attrition or lack of support,</w:t>
      </w:r>
      <w:r>
        <w:rPr>
          <w:color w:val="auto"/>
          <w:szCs w:val="22"/>
        </w:rPr>
        <w:t xml:space="preserve"> and</w:t>
      </w:r>
      <w:r w:rsidRPr="00D23986">
        <w:rPr>
          <w:color w:val="auto"/>
          <w:szCs w:val="22"/>
        </w:rPr>
        <w:t xml:space="preserve"> the need for specific and cross-cutting expertise within TOCs and the TEAP itself</w:t>
      </w:r>
      <w:r>
        <w:rPr>
          <w:color w:val="auto"/>
          <w:szCs w:val="22"/>
        </w:rPr>
        <w:t>.</w:t>
      </w:r>
      <w:r w:rsidRPr="00C30961">
        <w:rPr>
          <w:color w:val="auto"/>
          <w:szCs w:val="22"/>
        </w:rPr>
        <w:t xml:space="preserve"> </w:t>
      </w:r>
      <w:r w:rsidRPr="00D23986">
        <w:rPr>
          <w:color w:val="auto"/>
          <w:szCs w:val="22"/>
        </w:rPr>
        <w:t>TEAP communicate</w:t>
      </w:r>
      <w:r>
        <w:rPr>
          <w:color w:val="auto"/>
          <w:szCs w:val="22"/>
        </w:rPr>
        <w:t>s</w:t>
      </w:r>
      <w:r w:rsidRPr="00D23986">
        <w:rPr>
          <w:color w:val="auto"/>
          <w:szCs w:val="22"/>
        </w:rPr>
        <w:t xml:space="preserve"> these needs</w:t>
      </w:r>
      <w:r>
        <w:rPr>
          <w:color w:val="auto"/>
          <w:szCs w:val="22"/>
        </w:rPr>
        <w:t xml:space="preserve"> to parties</w:t>
      </w:r>
      <w:r w:rsidRPr="00D23986">
        <w:rPr>
          <w:color w:val="auto"/>
          <w:szCs w:val="22"/>
        </w:rPr>
        <w:t xml:space="preserve"> through its</w:t>
      </w:r>
      <w:r>
        <w:rPr>
          <w:color w:val="auto"/>
          <w:szCs w:val="22"/>
        </w:rPr>
        <w:t xml:space="preserve"> annual progress reports and the</w:t>
      </w:r>
      <w:r w:rsidRPr="00D23986">
        <w:rPr>
          <w:color w:val="auto"/>
          <w:szCs w:val="22"/>
        </w:rPr>
        <w:t xml:space="preserve"> matrix of needed expertise.</w:t>
      </w:r>
    </w:p>
    <w:p w14:paraId="6EFFF59E" w14:textId="18BD1B62" w:rsidR="00F83506" w:rsidRPr="004F0D60" w:rsidRDefault="00F83506" w:rsidP="00F835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eastAsia="SimSun"/>
          <w:color w:val="auto"/>
          <w:szCs w:val="22"/>
          <w:lang w:eastAsia="en-US"/>
        </w:rPr>
      </w:pPr>
      <w:r w:rsidRPr="004F0D60">
        <w:rPr>
          <w:rFonts w:eastAsia="SimSun"/>
          <w:color w:val="auto"/>
          <w:szCs w:val="22"/>
          <w:lang w:eastAsia="en-US"/>
        </w:rPr>
        <w:t xml:space="preserve">To facilitate the submission of nominations by the parties, the terms of reference </w:t>
      </w:r>
      <w:r>
        <w:rPr>
          <w:rFonts w:eastAsia="SimSun"/>
          <w:color w:val="auto"/>
          <w:szCs w:val="22"/>
          <w:lang w:eastAsia="en-US"/>
        </w:rPr>
        <w:t>instruct</w:t>
      </w:r>
      <w:r w:rsidRPr="004F0D60">
        <w:rPr>
          <w:rFonts w:eastAsia="SimSun"/>
          <w:color w:val="auto"/>
          <w:szCs w:val="22"/>
          <w:lang w:eastAsia="en-US"/>
        </w:rPr>
        <w:t xml:space="preserve"> the Panel and </w:t>
      </w:r>
      <w:r>
        <w:rPr>
          <w:rFonts w:eastAsia="SimSun"/>
          <w:color w:val="auto"/>
          <w:szCs w:val="22"/>
          <w:lang w:eastAsia="en-US"/>
        </w:rPr>
        <w:t>its</w:t>
      </w:r>
      <w:r w:rsidRPr="004F0D60">
        <w:rPr>
          <w:rFonts w:eastAsia="SimSun"/>
          <w:color w:val="auto"/>
          <w:szCs w:val="22"/>
          <w:lang w:eastAsia="en-US"/>
        </w:rPr>
        <w:t xml:space="preserve"> </w:t>
      </w:r>
      <w:r>
        <w:rPr>
          <w:rFonts w:eastAsia="SimSun"/>
          <w:color w:val="auto"/>
          <w:szCs w:val="22"/>
          <w:lang w:eastAsia="en-US"/>
        </w:rPr>
        <w:t>TOCs</w:t>
      </w:r>
      <w:r w:rsidRPr="004F0D60">
        <w:rPr>
          <w:rFonts w:eastAsia="SimSun"/>
          <w:color w:val="auto"/>
          <w:szCs w:val="22"/>
          <w:lang w:eastAsia="en-US"/>
        </w:rPr>
        <w:t xml:space="preserve"> to draw up guidelines for the nomination of experts. It is stipulated that “the TEAP/TOCs will publicize a matrix of expertise available</w:t>
      </w:r>
      <w:r w:rsidR="00B031F1">
        <w:rPr>
          <w:rFonts w:eastAsia="SimSun"/>
          <w:color w:val="auto"/>
          <w:szCs w:val="22"/>
          <w:lang w:eastAsia="en-US"/>
        </w:rPr>
        <w:t>,</w:t>
      </w:r>
      <w:r w:rsidRPr="004F0D60">
        <w:rPr>
          <w:rFonts w:eastAsia="SimSun"/>
          <w:color w:val="auto"/>
          <w:szCs w:val="22"/>
          <w:lang w:eastAsia="en-US"/>
        </w:rPr>
        <w:t xml:space="preserve"> and the expertise needed in the TEAP/TOCs so as to facilitate submission of appropriate nominations by the parties. The matrix must include the need for geographic and expertise balance and provide consistent information on expertise that is available and required. The matrix would include the name and affiliation and the specific expertise required including on different alternatives. The TEAP/TOCs, acting through their respective co-chairs, shall ensure that the matrix is updated at least once a year and shall publish the matrix on the Secretariat website and in the Panel’s annual progress reports. The TEAP/TOCs shall also ensure that the information in the matrix is clear, sufficient and consistent as far as is appropriate between the TEAP and TOCs and balanced to allow a full understanding of needed expertise” (TOR 2.9). </w:t>
      </w:r>
    </w:p>
    <w:p w14:paraId="6C7EAF1F" w14:textId="77777777" w:rsidR="00F83506" w:rsidRDefault="00F83506" w:rsidP="00F83506">
      <w:pPr>
        <w:tabs>
          <w:tab w:val="num" w:pos="40"/>
          <w:tab w:val="left" w:pos="1247"/>
          <w:tab w:val="left" w:pos="1814"/>
          <w:tab w:val="left" w:pos="2381"/>
          <w:tab w:val="left" w:pos="2948"/>
          <w:tab w:val="left" w:pos="3515"/>
        </w:tabs>
        <w:rPr>
          <w:rStyle w:val="Heading311ptBoldChar"/>
          <w:iCs/>
          <w:szCs w:val="22"/>
        </w:rPr>
      </w:pPr>
      <w:r w:rsidRPr="00D23986">
        <w:rPr>
          <w:color w:val="auto"/>
          <w:szCs w:val="22"/>
        </w:rPr>
        <w:t>Annex 1 of this report provides updated TOC membership lists</w:t>
      </w:r>
      <w:r>
        <w:rPr>
          <w:color w:val="auto"/>
          <w:szCs w:val="22"/>
        </w:rPr>
        <w:t>,</w:t>
      </w:r>
      <w:r w:rsidRPr="00D23986">
        <w:rPr>
          <w:color w:val="auto"/>
          <w:szCs w:val="22"/>
        </w:rPr>
        <w:t xml:space="preserve"> includ</w:t>
      </w:r>
      <w:r>
        <w:rPr>
          <w:color w:val="auto"/>
          <w:szCs w:val="22"/>
        </w:rPr>
        <w:t>ing</w:t>
      </w:r>
      <w:r w:rsidRPr="00D23986">
        <w:rPr>
          <w:color w:val="auto"/>
          <w:szCs w:val="22"/>
        </w:rPr>
        <w:t xml:space="preserve"> the current terms of appointment for all members</w:t>
      </w:r>
      <w:r>
        <w:rPr>
          <w:color w:val="auto"/>
          <w:szCs w:val="22"/>
        </w:rPr>
        <w:t>. Each TOC describes the expertise that is currently available and the expertise that is needed.</w:t>
      </w:r>
    </w:p>
    <w:p w14:paraId="53113ADC" w14:textId="77777777" w:rsidR="00F83506" w:rsidRPr="004F0D60" w:rsidRDefault="00F83506" w:rsidP="00F83506">
      <w:pPr>
        <w:tabs>
          <w:tab w:val="num" w:pos="40"/>
          <w:tab w:val="left" w:pos="1247"/>
          <w:tab w:val="left" w:pos="1814"/>
          <w:tab w:val="left" w:pos="2381"/>
          <w:tab w:val="left" w:pos="2948"/>
          <w:tab w:val="left" w:pos="3515"/>
        </w:tabs>
        <w:rPr>
          <w:rFonts w:eastAsia="SimSun"/>
          <w:color w:val="auto"/>
          <w:szCs w:val="22"/>
          <w:lang w:eastAsia="en-US"/>
        </w:rPr>
      </w:pPr>
      <w:r w:rsidRPr="004F0D60">
        <w:rPr>
          <w:rFonts w:eastAsia="SimSun"/>
          <w:color w:val="auto"/>
          <w:szCs w:val="22"/>
          <w:lang w:eastAsia="en-US"/>
        </w:rPr>
        <w:t xml:space="preserve">The </w:t>
      </w:r>
      <w:r>
        <w:rPr>
          <w:rFonts w:eastAsia="SimSun"/>
          <w:color w:val="auto"/>
          <w:szCs w:val="22"/>
          <w:lang w:eastAsia="en-US"/>
        </w:rPr>
        <w:t>TOR</w:t>
      </w:r>
      <w:r w:rsidRPr="004F0D60">
        <w:rPr>
          <w:rFonts w:eastAsia="SimSun"/>
          <w:color w:val="auto"/>
          <w:szCs w:val="22"/>
          <w:lang w:eastAsia="en-US"/>
        </w:rPr>
        <w:t xml:space="preserve"> specify that “nominations of members to the TEAP, including co-chairs of the TEAP and TOCs, must be made by individual parties to the Secretariat through their respective national focal points. Such nominations will be forwarded to the Meeting of the Parties for consideration. The TEAP co-chairs shall ensure that any potential nominee identified by TEAP for appointment to the Panel, including co-chairs of TEAP and the TOCs, is agreed to by the national focal points of the relevant party. A member of TEAP, the TOCs or the TSBs shall not be a current representative of a party to the Montreal Protocol” (TOR 2.2.1). </w:t>
      </w:r>
    </w:p>
    <w:p w14:paraId="570BFAD6" w14:textId="4E8DBBFF" w:rsidR="00F83506" w:rsidRPr="004F0D60" w:rsidRDefault="00F83506" w:rsidP="00F83506">
      <w:pPr>
        <w:tabs>
          <w:tab w:val="num" w:pos="40"/>
          <w:tab w:val="left" w:pos="624"/>
        </w:tabs>
        <w:rPr>
          <w:rFonts w:eastAsia="SimSun"/>
          <w:color w:val="auto"/>
          <w:szCs w:val="22"/>
          <w:lang w:eastAsia="en-US"/>
        </w:rPr>
      </w:pPr>
      <w:r w:rsidRPr="004F0D60">
        <w:rPr>
          <w:rFonts w:eastAsia="SimSun"/>
          <w:color w:val="auto"/>
          <w:szCs w:val="22"/>
          <w:lang w:eastAsia="en-US"/>
        </w:rPr>
        <w:lastRenderedPageBreak/>
        <w:t xml:space="preserve">For </w:t>
      </w:r>
      <w:r>
        <w:rPr>
          <w:rFonts w:eastAsia="SimSun"/>
          <w:color w:val="auto"/>
          <w:szCs w:val="22"/>
          <w:lang w:eastAsia="en-US"/>
        </w:rPr>
        <w:t>TOCs</w:t>
      </w:r>
      <w:r w:rsidRPr="004F0D60">
        <w:rPr>
          <w:rFonts w:eastAsia="SimSun"/>
          <w:color w:val="auto"/>
          <w:szCs w:val="22"/>
          <w:lang w:eastAsia="en-US"/>
        </w:rPr>
        <w:t xml:space="preserve"> or temporary subsidiary bodies</w:t>
      </w:r>
      <w:r>
        <w:rPr>
          <w:rFonts w:eastAsia="SimSun"/>
          <w:color w:val="auto"/>
          <w:szCs w:val="22"/>
          <w:lang w:eastAsia="en-US"/>
        </w:rPr>
        <w:t xml:space="preserve"> (TSBs)</w:t>
      </w:r>
      <w:r w:rsidRPr="004F0D60">
        <w:rPr>
          <w:rFonts w:eastAsia="SimSun"/>
          <w:color w:val="auto"/>
          <w:szCs w:val="22"/>
          <w:lang w:eastAsia="en-US"/>
        </w:rPr>
        <w:t xml:space="preserve">, the </w:t>
      </w:r>
      <w:r>
        <w:rPr>
          <w:rFonts w:eastAsia="SimSun"/>
          <w:color w:val="auto"/>
          <w:szCs w:val="22"/>
          <w:lang w:eastAsia="en-US"/>
        </w:rPr>
        <w:t>TOR</w:t>
      </w:r>
      <w:r w:rsidRPr="004F0D60">
        <w:rPr>
          <w:rFonts w:eastAsia="SimSun"/>
          <w:color w:val="auto"/>
          <w:szCs w:val="22"/>
          <w:lang w:eastAsia="en-US"/>
        </w:rPr>
        <w:t xml:space="preserve"> require all nominations to be made in full consultation with the national focal point of the relevant party. The </w:t>
      </w:r>
      <w:r>
        <w:rPr>
          <w:rFonts w:eastAsia="SimSun"/>
          <w:color w:val="auto"/>
          <w:szCs w:val="22"/>
          <w:lang w:eastAsia="en-US"/>
        </w:rPr>
        <w:t>TOR</w:t>
      </w:r>
      <w:r w:rsidRPr="004F0D60">
        <w:rPr>
          <w:rFonts w:eastAsia="SimSun"/>
          <w:color w:val="auto"/>
          <w:szCs w:val="22"/>
          <w:lang w:eastAsia="en-US"/>
        </w:rPr>
        <w:t xml:space="preserve"> further state that “all nominations to the TOCs and TSBs shall be made in full consultation with the national focal point of the relevant party. Nominations of members to a TOC (other than TOC co-chairs) may also be made by individual parties</w:t>
      </w:r>
      <w:r w:rsidR="002C0D7B" w:rsidRPr="002C0D7B">
        <w:rPr>
          <w:rFonts w:eastAsia="SimSun"/>
          <w:color w:val="auto"/>
          <w:szCs w:val="22"/>
          <w:lang w:eastAsia="en-US"/>
        </w:rPr>
        <w:t>,</w:t>
      </w:r>
      <w:r w:rsidRPr="004F0D60">
        <w:rPr>
          <w:rFonts w:eastAsia="SimSun"/>
          <w:color w:val="auto"/>
          <w:szCs w:val="22"/>
          <w:lang w:eastAsia="en-US"/>
        </w:rPr>
        <w:t xml:space="preserve"> or TEAP and TOC co-chairs may suggest to individual </w:t>
      </w:r>
      <w:proofErr w:type="gramStart"/>
      <w:r w:rsidRPr="004F0D60">
        <w:rPr>
          <w:rFonts w:eastAsia="SimSun"/>
          <w:color w:val="auto"/>
          <w:szCs w:val="22"/>
          <w:lang w:eastAsia="en-US"/>
        </w:rPr>
        <w:t>parties</w:t>
      </w:r>
      <w:proofErr w:type="gramEnd"/>
      <w:r w:rsidRPr="004F0D60">
        <w:rPr>
          <w:rFonts w:eastAsia="SimSun"/>
          <w:color w:val="auto"/>
          <w:szCs w:val="22"/>
          <w:lang w:eastAsia="en-US"/>
        </w:rPr>
        <w:t xml:space="preserve"> experts to consider nominating. Nominations to a TSB (including TSB co-chairs) can be made by the TEAP co-chairs” (TOR 2.2.2). </w:t>
      </w:r>
    </w:p>
    <w:p w14:paraId="3B4B30E1" w14:textId="74A21C3D" w:rsidR="00F83506" w:rsidRPr="00BE2C76" w:rsidRDefault="00BB48C4" w:rsidP="005C5E68">
      <w:pPr>
        <w:pStyle w:val="Heading2"/>
        <w:rPr>
          <w:rStyle w:val="Heading311ptBoldChar"/>
          <w:b/>
        </w:rPr>
      </w:pPr>
      <w:bookmarkStart w:id="631" w:name="_Toc40696103"/>
      <w:bookmarkStart w:id="632" w:name="_Toc77868934"/>
      <w:bookmarkStart w:id="633" w:name="_Toc78040766"/>
      <w:bookmarkStart w:id="634" w:name="_Toc79066570"/>
      <w:bookmarkStart w:id="635" w:name="_Toc79069760"/>
      <w:bookmarkStart w:id="636" w:name="_Toc104396736"/>
      <w:r>
        <w:rPr>
          <w:rStyle w:val="Heading311ptBoldChar"/>
          <w:b/>
        </w:rPr>
        <w:t>8</w:t>
      </w:r>
      <w:r w:rsidR="00F83506" w:rsidRPr="00BE2C76">
        <w:rPr>
          <w:rStyle w:val="Heading311ptBoldChar"/>
          <w:b/>
        </w:rPr>
        <w:t>.1.</w:t>
      </w:r>
      <w:r w:rsidR="00F83506">
        <w:rPr>
          <w:rStyle w:val="Heading311ptBoldChar"/>
          <w:b/>
        </w:rPr>
        <w:t>1</w:t>
      </w:r>
      <w:r w:rsidR="00F83506" w:rsidRPr="00BE2C76">
        <w:rPr>
          <w:rStyle w:val="Heading311ptBoldChar"/>
          <w:b/>
        </w:rPr>
        <w:tab/>
        <w:t>Proposed nominations and appointment decisions</w:t>
      </w:r>
      <w:bookmarkEnd w:id="631"/>
      <w:bookmarkEnd w:id="632"/>
      <w:bookmarkEnd w:id="633"/>
      <w:bookmarkEnd w:id="634"/>
      <w:bookmarkEnd w:id="635"/>
      <w:bookmarkEnd w:id="636"/>
      <w:r w:rsidR="00F83506" w:rsidRPr="00BE2C76">
        <w:rPr>
          <w:rStyle w:val="Heading311ptBoldChar"/>
          <w:b/>
        </w:rPr>
        <w:t xml:space="preserve"> </w:t>
      </w:r>
    </w:p>
    <w:p w14:paraId="4E9F06E6" w14:textId="60721848" w:rsidR="00F83506" w:rsidRPr="00ED0D01" w:rsidRDefault="00F83506" w:rsidP="00F83506">
      <w:pPr>
        <w:tabs>
          <w:tab w:val="num" w:pos="40"/>
          <w:tab w:val="left" w:pos="624"/>
        </w:tabs>
        <w:rPr>
          <w:rFonts w:eastAsia="SimSun"/>
          <w:color w:val="auto"/>
          <w:szCs w:val="22"/>
          <w:lang w:eastAsia="en-US"/>
        </w:rPr>
      </w:pPr>
      <w:r w:rsidRPr="00ED0D01">
        <w:rPr>
          <w:rFonts w:eastAsia="SimSun"/>
          <w:color w:val="auto"/>
          <w:szCs w:val="22"/>
          <w:lang w:eastAsia="en-US"/>
        </w:rPr>
        <w:t xml:space="preserve">Ensuring </w:t>
      </w:r>
      <w:r>
        <w:rPr>
          <w:rFonts w:eastAsia="SimSun"/>
          <w:color w:val="auto"/>
          <w:szCs w:val="22"/>
          <w:lang w:eastAsia="en-US"/>
        </w:rPr>
        <w:t>relevant</w:t>
      </w:r>
      <w:r w:rsidRPr="00ED0D01">
        <w:rPr>
          <w:rFonts w:eastAsia="SimSun"/>
          <w:color w:val="auto"/>
          <w:szCs w:val="22"/>
          <w:lang w:eastAsia="en-US"/>
        </w:rPr>
        <w:t xml:space="preserve"> and sufficient technical expertise is the priority consideration for the Panel and its committees. The need to maintain a reasonable size and balance, to avoid the duplication of expertise and to ensure that particular gaps in expertise are filled, means that experts nominated by parties </w:t>
      </w:r>
      <w:r>
        <w:rPr>
          <w:rFonts w:eastAsia="SimSun"/>
          <w:color w:val="auto"/>
          <w:szCs w:val="22"/>
          <w:lang w:eastAsia="en-US"/>
        </w:rPr>
        <w:t>may</w:t>
      </w:r>
      <w:r w:rsidRPr="00ED0D01">
        <w:rPr>
          <w:rFonts w:eastAsia="SimSun"/>
          <w:color w:val="auto"/>
          <w:szCs w:val="22"/>
          <w:lang w:eastAsia="en-US"/>
        </w:rPr>
        <w:t xml:space="preserve"> sometimes </w:t>
      </w:r>
      <w:r>
        <w:rPr>
          <w:rFonts w:eastAsia="SimSun"/>
          <w:color w:val="auto"/>
          <w:szCs w:val="22"/>
          <w:lang w:eastAsia="en-US"/>
        </w:rPr>
        <w:t>be declined</w:t>
      </w:r>
      <w:r w:rsidRPr="00ED0D01">
        <w:rPr>
          <w:rFonts w:eastAsia="SimSun"/>
          <w:color w:val="auto"/>
          <w:szCs w:val="22"/>
          <w:lang w:eastAsia="en-US"/>
        </w:rPr>
        <w:t xml:space="preserve"> or that their consideration </w:t>
      </w:r>
      <w:r>
        <w:rPr>
          <w:rFonts w:eastAsia="SimSun"/>
          <w:color w:val="auto"/>
          <w:szCs w:val="22"/>
          <w:lang w:eastAsia="en-US"/>
        </w:rPr>
        <w:t>may be deferred</w:t>
      </w:r>
      <w:r w:rsidRPr="00ED0D01">
        <w:rPr>
          <w:rFonts w:eastAsia="SimSun"/>
          <w:color w:val="auto"/>
          <w:szCs w:val="22"/>
          <w:lang w:eastAsia="en-US"/>
        </w:rPr>
        <w:t xml:space="preserve"> by the committee co-chairs in consultation with the Panel co-chairs. Although the committee co-chairs </w:t>
      </w:r>
      <w:proofErr w:type="gramStart"/>
      <w:r w:rsidRPr="00ED0D01">
        <w:rPr>
          <w:rFonts w:eastAsia="SimSun"/>
          <w:color w:val="auto"/>
          <w:szCs w:val="22"/>
          <w:lang w:eastAsia="en-US"/>
        </w:rPr>
        <w:t>take into account</w:t>
      </w:r>
      <w:proofErr w:type="gramEnd"/>
      <w:r w:rsidRPr="00ED0D01">
        <w:rPr>
          <w:rFonts w:eastAsia="SimSun"/>
          <w:color w:val="auto"/>
          <w:szCs w:val="22"/>
          <w:lang w:eastAsia="en-US"/>
        </w:rPr>
        <w:t xml:space="preserve"> </w:t>
      </w:r>
      <w:r>
        <w:rPr>
          <w:rFonts w:eastAsia="SimSun"/>
          <w:color w:val="auto"/>
          <w:szCs w:val="22"/>
          <w:lang w:eastAsia="en-US"/>
        </w:rPr>
        <w:t>A</w:t>
      </w:r>
      <w:r w:rsidRPr="00ED0D01">
        <w:rPr>
          <w:rFonts w:eastAsia="SimSun"/>
          <w:color w:val="auto"/>
          <w:szCs w:val="22"/>
          <w:lang w:eastAsia="en-US"/>
        </w:rPr>
        <w:t>5/non-</w:t>
      </w:r>
      <w:r>
        <w:rPr>
          <w:rFonts w:eastAsia="SimSun"/>
          <w:color w:val="auto"/>
          <w:szCs w:val="22"/>
          <w:lang w:eastAsia="en-US"/>
        </w:rPr>
        <w:t>A</w:t>
      </w:r>
      <w:r w:rsidRPr="00ED0D01">
        <w:rPr>
          <w:rFonts w:eastAsia="SimSun"/>
          <w:color w:val="auto"/>
          <w:szCs w:val="22"/>
          <w:lang w:eastAsia="en-US"/>
        </w:rPr>
        <w:t xml:space="preserve">5, gender and geographical balance, </w:t>
      </w:r>
      <w:r>
        <w:rPr>
          <w:rFonts w:eastAsia="SimSun"/>
          <w:color w:val="auto"/>
          <w:szCs w:val="22"/>
          <w:lang w:eastAsia="en-US"/>
        </w:rPr>
        <w:t>relevant</w:t>
      </w:r>
      <w:r w:rsidRPr="00ED0D01">
        <w:rPr>
          <w:rFonts w:eastAsia="SimSun"/>
          <w:color w:val="auto"/>
          <w:szCs w:val="22"/>
          <w:lang w:eastAsia="en-US"/>
        </w:rPr>
        <w:t xml:space="preserve"> technical expertise can outweigh those other </w:t>
      </w:r>
      <w:r>
        <w:rPr>
          <w:rFonts w:eastAsia="SimSun"/>
          <w:color w:val="auto"/>
          <w:szCs w:val="22"/>
          <w:lang w:eastAsia="en-US"/>
        </w:rPr>
        <w:t>considerations</w:t>
      </w:r>
      <w:r w:rsidRPr="00ED0D01">
        <w:rPr>
          <w:rFonts w:eastAsia="SimSun"/>
          <w:color w:val="auto"/>
          <w:szCs w:val="22"/>
          <w:lang w:eastAsia="en-US"/>
        </w:rPr>
        <w:t>.</w:t>
      </w:r>
    </w:p>
    <w:p w14:paraId="45D87341" w14:textId="23D2694A" w:rsidR="00F83506" w:rsidRPr="004F0D60" w:rsidRDefault="00F83506" w:rsidP="00F83506">
      <w:pPr>
        <w:tabs>
          <w:tab w:val="num" w:pos="40"/>
          <w:tab w:val="left" w:pos="624"/>
        </w:tabs>
        <w:rPr>
          <w:rFonts w:eastAsia="SimSun"/>
          <w:color w:val="auto"/>
          <w:szCs w:val="22"/>
          <w:lang w:eastAsia="en-US"/>
        </w:rPr>
      </w:pPr>
      <w:r w:rsidRPr="004F0D60">
        <w:rPr>
          <w:rFonts w:eastAsia="SimSun"/>
          <w:color w:val="auto"/>
          <w:szCs w:val="22"/>
          <w:lang w:eastAsia="en-US"/>
        </w:rPr>
        <w:t>Nominations are currently made through a standardised nomination form</w:t>
      </w:r>
      <w:r w:rsidR="00C7675C">
        <w:rPr>
          <w:rFonts w:eastAsia="SimSun"/>
          <w:color w:val="auto"/>
          <w:szCs w:val="22"/>
          <w:lang w:eastAsia="en-US"/>
        </w:rPr>
        <w:t xml:space="preserve"> (Annex 3)</w:t>
      </w:r>
      <w:r w:rsidRPr="004F0D60">
        <w:rPr>
          <w:rFonts w:eastAsia="SimSun"/>
          <w:color w:val="auto"/>
          <w:szCs w:val="22"/>
          <w:lang w:eastAsia="en-US"/>
        </w:rPr>
        <w:t>, that may include a curriculum vitae</w:t>
      </w:r>
      <w:r w:rsidRPr="008052F5">
        <w:rPr>
          <w:rFonts w:eastAsia="SimSun"/>
          <w:color w:val="auto"/>
          <w:szCs w:val="22"/>
          <w:lang w:eastAsia="en-US"/>
        </w:rPr>
        <w:t xml:space="preserve">, and which is </w:t>
      </w:r>
      <w:r w:rsidR="00C7675C">
        <w:rPr>
          <w:rFonts w:eastAsia="SimSun"/>
          <w:color w:val="auto"/>
          <w:szCs w:val="22"/>
          <w:lang w:eastAsia="en-US"/>
        </w:rPr>
        <w:t xml:space="preserve">also </w:t>
      </w:r>
      <w:r w:rsidRPr="008052F5">
        <w:rPr>
          <w:rFonts w:eastAsia="SimSun"/>
          <w:color w:val="auto"/>
          <w:szCs w:val="22"/>
          <w:lang w:eastAsia="en-US"/>
        </w:rPr>
        <w:t>available on the Ozone Secretariat’s website</w:t>
      </w:r>
      <w:r>
        <w:rPr>
          <w:rStyle w:val="FootnoteReference"/>
          <w:rFonts w:eastAsia="SimSun"/>
          <w:color w:val="auto"/>
          <w:szCs w:val="22"/>
          <w:lang w:eastAsia="en-US"/>
        </w:rPr>
        <w:footnoteReference w:id="70"/>
      </w:r>
      <w:r w:rsidRPr="008052F5">
        <w:rPr>
          <w:rFonts w:eastAsia="SimSun"/>
          <w:color w:val="auto"/>
          <w:szCs w:val="22"/>
          <w:lang w:eastAsia="en-US"/>
        </w:rPr>
        <w:t>. If information is not already included in the curriculum vitae of the nominee, t</w:t>
      </w:r>
      <w:r w:rsidRPr="005575A1">
        <w:rPr>
          <w:rFonts w:eastAsia="SimSun"/>
          <w:color w:val="auto"/>
          <w:szCs w:val="22"/>
          <w:lang w:eastAsia="en-US"/>
        </w:rPr>
        <w:t xml:space="preserve">he </w:t>
      </w:r>
      <w:r w:rsidRPr="004F0D60">
        <w:rPr>
          <w:rFonts w:eastAsia="SimSun"/>
          <w:color w:val="auto"/>
          <w:szCs w:val="22"/>
          <w:lang w:eastAsia="en-US"/>
        </w:rPr>
        <w:t xml:space="preserve">standardised form requests </w:t>
      </w:r>
      <w:r>
        <w:rPr>
          <w:rFonts w:eastAsia="SimSun"/>
          <w:color w:val="auto"/>
          <w:szCs w:val="22"/>
          <w:lang w:eastAsia="en-US"/>
        </w:rPr>
        <w:t>relevant</w:t>
      </w:r>
      <w:r w:rsidRPr="004F0D60">
        <w:rPr>
          <w:rFonts w:eastAsia="SimSun"/>
          <w:color w:val="auto"/>
          <w:szCs w:val="22"/>
          <w:lang w:eastAsia="en-US"/>
        </w:rPr>
        <w:t xml:space="preserve"> information such as education and other qualifications, relevant employment history, publications, awards, memberships, and references. </w:t>
      </w:r>
    </w:p>
    <w:p w14:paraId="1BCA6C51" w14:textId="77777777" w:rsidR="00F83506" w:rsidRPr="004F0D60" w:rsidRDefault="00F83506" w:rsidP="00F83506">
      <w:pPr>
        <w:tabs>
          <w:tab w:val="num" w:pos="40"/>
          <w:tab w:val="left" w:pos="624"/>
        </w:tabs>
        <w:rPr>
          <w:rFonts w:eastAsia="SimSun"/>
          <w:color w:val="auto"/>
          <w:szCs w:val="22"/>
          <w:lang w:eastAsia="en-US"/>
        </w:rPr>
      </w:pPr>
      <w:r>
        <w:rPr>
          <w:rFonts w:eastAsia="SimSun"/>
          <w:color w:val="auto"/>
          <w:szCs w:val="22"/>
          <w:lang w:eastAsia="en-US"/>
        </w:rPr>
        <w:t>It is helpful when</w:t>
      </w:r>
      <w:r w:rsidRPr="004F0D60">
        <w:rPr>
          <w:rFonts w:eastAsia="SimSun"/>
          <w:color w:val="auto"/>
          <w:szCs w:val="22"/>
          <w:lang w:eastAsia="en-US"/>
        </w:rPr>
        <w:t xml:space="preserve"> there is consultation </w:t>
      </w:r>
      <w:r>
        <w:rPr>
          <w:rFonts w:eastAsia="SimSun"/>
          <w:color w:val="auto"/>
          <w:szCs w:val="22"/>
          <w:lang w:eastAsia="en-US"/>
        </w:rPr>
        <w:t>between</w:t>
      </w:r>
      <w:r w:rsidRPr="004F0D60">
        <w:rPr>
          <w:rFonts w:eastAsia="SimSun"/>
          <w:color w:val="auto"/>
          <w:szCs w:val="22"/>
          <w:lang w:eastAsia="en-US"/>
        </w:rPr>
        <w:t xml:space="preserve"> the parties and the co-chairs of the Panel and/or the relevant committee on potential nominations </w:t>
      </w:r>
      <w:r>
        <w:rPr>
          <w:rFonts w:eastAsia="SimSun"/>
          <w:color w:val="auto"/>
          <w:szCs w:val="22"/>
          <w:lang w:eastAsia="en-US"/>
        </w:rPr>
        <w:t>for</w:t>
      </w:r>
      <w:r w:rsidRPr="004F0D60">
        <w:rPr>
          <w:rFonts w:eastAsia="SimSun"/>
          <w:color w:val="auto"/>
          <w:szCs w:val="22"/>
          <w:lang w:eastAsia="en-US"/>
        </w:rPr>
        <w:t xml:space="preserve"> the positions of co-chairs of the Panel or the committees. In the case of nominations or </w:t>
      </w:r>
      <w:r>
        <w:rPr>
          <w:rFonts w:eastAsia="SimSun"/>
          <w:color w:val="auto"/>
          <w:szCs w:val="22"/>
          <w:lang w:eastAsia="en-US"/>
        </w:rPr>
        <w:t>nominations for reappointment</w:t>
      </w:r>
      <w:r w:rsidRPr="004F0D60">
        <w:rPr>
          <w:rFonts w:eastAsia="SimSun"/>
          <w:color w:val="auto"/>
          <w:szCs w:val="22"/>
          <w:lang w:eastAsia="en-US"/>
        </w:rPr>
        <w:t xml:space="preserve"> for </w:t>
      </w:r>
      <w:r>
        <w:rPr>
          <w:rFonts w:eastAsia="SimSun"/>
          <w:color w:val="auto"/>
          <w:szCs w:val="22"/>
          <w:lang w:eastAsia="en-US"/>
        </w:rPr>
        <w:t>the position of members</w:t>
      </w:r>
      <w:r w:rsidRPr="004F0D60">
        <w:rPr>
          <w:rFonts w:eastAsia="SimSun"/>
          <w:color w:val="auto"/>
          <w:szCs w:val="22"/>
          <w:lang w:eastAsia="en-US"/>
        </w:rPr>
        <w:t xml:space="preserve"> in a committee, the committee co-chairs consult with the Panel co-chairs and the relevant national focal points. </w:t>
      </w:r>
    </w:p>
    <w:p w14:paraId="3FAA21E3" w14:textId="77777777" w:rsidR="00F83506" w:rsidRPr="004F0D60" w:rsidRDefault="00F83506" w:rsidP="00F83506">
      <w:pPr>
        <w:tabs>
          <w:tab w:val="num" w:pos="40"/>
          <w:tab w:val="left" w:pos="624"/>
        </w:tabs>
        <w:rPr>
          <w:rFonts w:eastAsia="SimSun"/>
          <w:color w:val="auto"/>
          <w:szCs w:val="22"/>
          <w:lang w:eastAsia="en-US"/>
        </w:rPr>
      </w:pPr>
      <w:r w:rsidRPr="004F0D60">
        <w:rPr>
          <w:rFonts w:eastAsia="SimSun"/>
          <w:color w:val="auto"/>
          <w:szCs w:val="22"/>
          <w:lang w:eastAsia="en-US"/>
        </w:rPr>
        <w:t xml:space="preserve">The </w:t>
      </w:r>
      <w:r>
        <w:rPr>
          <w:rFonts w:eastAsia="SimSun"/>
          <w:color w:val="auto"/>
          <w:szCs w:val="22"/>
          <w:lang w:eastAsia="en-US"/>
        </w:rPr>
        <w:t>TOCs</w:t>
      </w:r>
      <w:r w:rsidRPr="004F0D60">
        <w:rPr>
          <w:rFonts w:eastAsia="SimSun"/>
          <w:color w:val="auto"/>
          <w:szCs w:val="22"/>
          <w:lang w:eastAsia="en-US"/>
        </w:rPr>
        <w:t xml:space="preserve"> committees also receive nominations</w:t>
      </w:r>
      <w:r>
        <w:rPr>
          <w:rFonts w:eastAsia="SimSun"/>
          <w:color w:val="auto"/>
          <w:szCs w:val="22"/>
          <w:lang w:eastAsia="en-US"/>
        </w:rPr>
        <w:t xml:space="preserve"> for the position of members</w:t>
      </w:r>
      <w:r w:rsidRPr="004F0D60">
        <w:rPr>
          <w:rFonts w:eastAsia="SimSun"/>
          <w:color w:val="auto"/>
          <w:szCs w:val="22"/>
          <w:lang w:eastAsia="en-US"/>
        </w:rPr>
        <w:t xml:space="preserve"> directly from parties. In determining whether to accept or </w:t>
      </w:r>
      <w:r>
        <w:rPr>
          <w:rFonts w:eastAsia="SimSun"/>
          <w:color w:val="auto"/>
          <w:szCs w:val="22"/>
          <w:lang w:eastAsia="en-US"/>
        </w:rPr>
        <w:t>decline</w:t>
      </w:r>
      <w:r w:rsidRPr="004F0D60">
        <w:rPr>
          <w:rFonts w:eastAsia="SimSun"/>
          <w:color w:val="auto"/>
          <w:szCs w:val="22"/>
          <w:lang w:eastAsia="en-US"/>
        </w:rPr>
        <w:t xml:space="preserve"> a nomination, the committee co-chairs, in consultation with the Panel as appropriate, consider the expertise of the nominee </w:t>
      </w:r>
      <w:proofErr w:type="gramStart"/>
      <w:r>
        <w:rPr>
          <w:rFonts w:eastAsia="SimSun"/>
          <w:color w:val="auto"/>
          <w:szCs w:val="22"/>
          <w:lang w:eastAsia="en-US"/>
        </w:rPr>
        <w:t>taking into account</w:t>
      </w:r>
      <w:proofErr w:type="gramEnd"/>
      <w:r w:rsidRPr="004F0D60">
        <w:rPr>
          <w:rFonts w:eastAsia="SimSun"/>
          <w:color w:val="auto"/>
          <w:szCs w:val="22"/>
          <w:lang w:eastAsia="en-US"/>
        </w:rPr>
        <w:t xml:space="preserve"> the expertise needed by the relevant committee, </w:t>
      </w:r>
      <w:r>
        <w:rPr>
          <w:rFonts w:eastAsia="SimSun"/>
          <w:color w:val="auto"/>
          <w:szCs w:val="22"/>
          <w:lang w:eastAsia="en-US"/>
        </w:rPr>
        <w:t>and also the balance of</w:t>
      </w:r>
      <w:r w:rsidRPr="004F0D60">
        <w:rPr>
          <w:rFonts w:eastAsia="SimSun"/>
          <w:color w:val="auto"/>
          <w:szCs w:val="22"/>
          <w:lang w:eastAsia="en-US"/>
        </w:rPr>
        <w:t xml:space="preserve"> A5/non-A5, geographical and gender. The gaps in the expertise </w:t>
      </w:r>
      <w:r>
        <w:rPr>
          <w:rFonts w:eastAsia="SimSun"/>
          <w:color w:val="auto"/>
          <w:szCs w:val="22"/>
          <w:lang w:eastAsia="en-US"/>
        </w:rPr>
        <w:t>within</w:t>
      </w:r>
      <w:r w:rsidRPr="004F0D60">
        <w:rPr>
          <w:rFonts w:eastAsia="SimSun"/>
          <w:color w:val="auto"/>
          <w:szCs w:val="22"/>
          <w:lang w:eastAsia="en-US"/>
        </w:rPr>
        <w:t xml:space="preserve"> the committees are </w:t>
      </w:r>
      <w:r>
        <w:rPr>
          <w:rFonts w:eastAsia="SimSun"/>
          <w:color w:val="auto"/>
          <w:szCs w:val="22"/>
          <w:lang w:eastAsia="en-US"/>
        </w:rPr>
        <w:t>presented</w:t>
      </w:r>
      <w:r w:rsidRPr="004F0D60">
        <w:rPr>
          <w:rFonts w:eastAsia="SimSun"/>
          <w:color w:val="auto"/>
          <w:szCs w:val="22"/>
          <w:lang w:eastAsia="en-US"/>
        </w:rPr>
        <w:t xml:space="preserve"> in the matrix of needed expertise</w:t>
      </w:r>
      <w:r>
        <w:rPr>
          <w:rFonts w:eastAsia="SimSun"/>
          <w:color w:val="auto"/>
          <w:szCs w:val="22"/>
          <w:lang w:eastAsia="en-US"/>
        </w:rPr>
        <w:t xml:space="preserve"> and annual progress reports</w:t>
      </w:r>
      <w:r w:rsidRPr="004F0D60">
        <w:rPr>
          <w:rFonts w:eastAsia="SimSun"/>
          <w:color w:val="auto"/>
          <w:szCs w:val="22"/>
          <w:lang w:eastAsia="en-US"/>
        </w:rPr>
        <w:t>. It has been the practice that nominations for committee membership and appointments to the committee can be made at any time</w:t>
      </w:r>
      <w:r>
        <w:rPr>
          <w:rFonts w:eastAsia="SimSun"/>
          <w:color w:val="auto"/>
          <w:szCs w:val="22"/>
          <w:lang w:eastAsia="en-US"/>
        </w:rPr>
        <w:t>, which has worked well in promptly sourcing the needed expertise and flexibly responding to the constant and yet changing workloads of some committees</w:t>
      </w:r>
      <w:r w:rsidRPr="004F0D60">
        <w:rPr>
          <w:rFonts w:eastAsia="SimSun"/>
          <w:color w:val="auto"/>
          <w:szCs w:val="22"/>
          <w:lang w:eastAsia="en-US"/>
        </w:rPr>
        <w:t xml:space="preserve">. </w:t>
      </w:r>
    </w:p>
    <w:p w14:paraId="7CE2DFB9" w14:textId="77777777" w:rsidR="00F83506" w:rsidRPr="004F0D60" w:rsidRDefault="00F83506" w:rsidP="00F83506">
      <w:pPr>
        <w:rPr>
          <w:lang w:val="en-US" w:eastAsia="fr-FR"/>
        </w:rPr>
      </w:pPr>
      <w:r w:rsidRPr="004F0D60">
        <w:rPr>
          <w:szCs w:val="22"/>
        </w:rPr>
        <w:t xml:space="preserve">As specified in section 2.3 of the </w:t>
      </w:r>
      <w:r>
        <w:rPr>
          <w:szCs w:val="22"/>
        </w:rPr>
        <w:t>TOR</w:t>
      </w:r>
      <w:r w:rsidRPr="004F0D60">
        <w:rPr>
          <w:szCs w:val="22"/>
        </w:rPr>
        <w:t xml:space="preserve">, </w:t>
      </w:r>
      <w:r>
        <w:rPr>
          <w:szCs w:val="22"/>
        </w:rPr>
        <w:t xml:space="preserve">upon nomination by the relevant party, </w:t>
      </w:r>
      <w:r w:rsidRPr="004F0D60">
        <w:rPr>
          <w:szCs w:val="22"/>
        </w:rPr>
        <w:t xml:space="preserve">parties appoint members of the panel upon nomination by the relevant party for periods of up to four years each. As specified in section 2.5 of the </w:t>
      </w:r>
      <w:r>
        <w:rPr>
          <w:szCs w:val="22"/>
        </w:rPr>
        <w:t>TOR</w:t>
      </w:r>
      <w:r w:rsidRPr="004F0D60">
        <w:rPr>
          <w:szCs w:val="22"/>
        </w:rPr>
        <w:t>, the “TOC members are appointed by the TOC co-chairs, in consultation with TEAP, for a period of no more than four years.”</w:t>
      </w:r>
    </w:p>
    <w:p w14:paraId="44A86933" w14:textId="0A225935" w:rsidR="00027144" w:rsidRPr="00517FCE" w:rsidRDefault="00BB48C4" w:rsidP="005C5E68">
      <w:pPr>
        <w:pStyle w:val="Heading2"/>
        <w:rPr>
          <w:rStyle w:val="Heading2Char"/>
          <w:b/>
        </w:rPr>
      </w:pPr>
      <w:bookmarkStart w:id="637" w:name="_Toc104396737"/>
      <w:r>
        <w:rPr>
          <w:rStyle w:val="Heading2Char"/>
          <w:b/>
        </w:rPr>
        <w:lastRenderedPageBreak/>
        <w:t>8</w:t>
      </w:r>
      <w:r w:rsidR="00245849" w:rsidRPr="00517FCE">
        <w:rPr>
          <w:rStyle w:val="Heading2Char"/>
          <w:b/>
        </w:rPr>
        <w:t>.</w:t>
      </w:r>
      <w:r w:rsidR="0030557E">
        <w:rPr>
          <w:rStyle w:val="Heading2Char"/>
          <w:b/>
        </w:rPr>
        <w:t>2</w:t>
      </w:r>
      <w:r w:rsidR="00245849" w:rsidRPr="00517FCE">
        <w:rPr>
          <w:rStyle w:val="Heading2Char"/>
          <w:b/>
        </w:rPr>
        <w:tab/>
      </w:r>
      <w:r w:rsidR="007A293D" w:rsidRPr="00517FCE">
        <w:rPr>
          <w:rStyle w:val="Heading2Char"/>
          <w:b/>
        </w:rPr>
        <w:t xml:space="preserve">TEAP and TOCs </w:t>
      </w:r>
      <w:r w:rsidR="004F0D60" w:rsidRPr="00517FCE">
        <w:rPr>
          <w:rStyle w:val="Heading2Char"/>
          <w:b/>
        </w:rPr>
        <w:t>o</w:t>
      </w:r>
      <w:r w:rsidR="007A293D" w:rsidRPr="00517FCE">
        <w:rPr>
          <w:rStyle w:val="Heading2Char"/>
          <w:b/>
        </w:rPr>
        <w:t xml:space="preserve">rganisational and </w:t>
      </w:r>
      <w:r w:rsidR="004F0D60" w:rsidRPr="00517FCE">
        <w:rPr>
          <w:rStyle w:val="Heading2Char"/>
          <w:b/>
        </w:rPr>
        <w:t>o</w:t>
      </w:r>
      <w:r w:rsidR="007A293D" w:rsidRPr="00517FCE">
        <w:rPr>
          <w:rStyle w:val="Heading2Char"/>
          <w:b/>
        </w:rPr>
        <w:t xml:space="preserve">ther </w:t>
      </w:r>
      <w:r w:rsidR="004F0D60" w:rsidRPr="00517FCE">
        <w:rPr>
          <w:rStyle w:val="Heading2Char"/>
          <w:b/>
        </w:rPr>
        <w:t>m</w:t>
      </w:r>
      <w:r w:rsidR="007A293D" w:rsidRPr="00517FCE">
        <w:rPr>
          <w:rStyle w:val="Heading2Char"/>
          <w:b/>
        </w:rPr>
        <w:t>atters</w:t>
      </w:r>
      <w:bookmarkEnd w:id="637"/>
    </w:p>
    <w:p w14:paraId="474A2774" w14:textId="124460BB" w:rsidR="00027144" w:rsidRPr="00027144" w:rsidRDefault="00AB219E" w:rsidP="00821BBC">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color w:val="auto"/>
          <w:szCs w:val="22"/>
        </w:rPr>
      </w:pPr>
      <w:r w:rsidRPr="00D23986">
        <w:rPr>
          <w:color w:val="auto"/>
          <w:szCs w:val="22"/>
        </w:rPr>
        <w:t xml:space="preserve">TEAP takes </w:t>
      </w:r>
      <w:r w:rsidR="00F719E6" w:rsidRPr="00D23986">
        <w:rPr>
          <w:color w:val="auto"/>
          <w:szCs w:val="22"/>
        </w:rPr>
        <w:t>th</w:t>
      </w:r>
      <w:r w:rsidR="00F719E6">
        <w:rPr>
          <w:color w:val="auto"/>
          <w:szCs w:val="22"/>
        </w:rPr>
        <w:t>is</w:t>
      </w:r>
      <w:r w:rsidR="00F719E6" w:rsidRPr="00D23986">
        <w:rPr>
          <w:color w:val="auto"/>
          <w:szCs w:val="22"/>
        </w:rPr>
        <w:t xml:space="preserve"> </w:t>
      </w:r>
      <w:r w:rsidRPr="00D23986">
        <w:rPr>
          <w:color w:val="auto"/>
          <w:szCs w:val="22"/>
        </w:rPr>
        <w:t xml:space="preserve">opportunity to bring to </w:t>
      </w:r>
      <w:r w:rsidR="00F719E6">
        <w:rPr>
          <w:color w:val="auto"/>
          <w:szCs w:val="22"/>
        </w:rPr>
        <w:t>parties’</w:t>
      </w:r>
      <w:r w:rsidR="00F719E6" w:rsidRPr="00D23986">
        <w:rPr>
          <w:color w:val="auto"/>
          <w:szCs w:val="22"/>
        </w:rPr>
        <w:t xml:space="preserve"> </w:t>
      </w:r>
      <w:r w:rsidRPr="00D23986">
        <w:rPr>
          <w:color w:val="auto"/>
          <w:szCs w:val="22"/>
        </w:rPr>
        <w:t xml:space="preserve">attention </w:t>
      </w:r>
      <w:r w:rsidR="004B3F5D">
        <w:rPr>
          <w:color w:val="auto"/>
          <w:szCs w:val="22"/>
        </w:rPr>
        <w:t xml:space="preserve">information </w:t>
      </w:r>
      <w:r w:rsidRPr="00D23986">
        <w:rPr>
          <w:color w:val="auto"/>
          <w:szCs w:val="22"/>
        </w:rPr>
        <w:t xml:space="preserve">relevant </w:t>
      </w:r>
      <w:r w:rsidR="00293681" w:rsidRPr="00D23986">
        <w:rPr>
          <w:color w:val="auto"/>
          <w:szCs w:val="22"/>
        </w:rPr>
        <w:t xml:space="preserve">to </w:t>
      </w:r>
      <w:r w:rsidR="00F719E6">
        <w:rPr>
          <w:color w:val="auto"/>
          <w:szCs w:val="22"/>
        </w:rPr>
        <w:t xml:space="preserve">each </w:t>
      </w:r>
      <w:r w:rsidRPr="00D23986">
        <w:rPr>
          <w:color w:val="auto"/>
          <w:szCs w:val="22"/>
        </w:rPr>
        <w:t>TOC:</w:t>
      </w:r>
      <w:bookmarkStart w:id="638" w:name="_Toc388648372"/>
      <w:bookmarkStart w:id="639" w:name="_Toc295406180"/>
      <w:bookmarkStart w:id="640" w:name="_Toc514151686"/>
      <w:bookmarkStart w:id="641" w:name="_Toc9109608"/>
    </w:p>
    <w:p w14:paraId="6590B9C6" w14:textId="62C50245" w:rsidR="00AB219E" w:rsidRPr="00BE2C76" w:rsidRDefault="00BB48C4" w:rsidP="005C5E68">
      <w:pPr>
        <w:pStyle w:val="Heading2"/>
        <w:rPr>
          <w:rStyle w:val="Heading311ptBoldChar"/>
          <w:b/>
        </w:rPr>
      </w:pPr>
      <w:bookmarkStart w:id="642" w:name="_Toc40696108"/>
      <w:bookmarkStart w:id="643" w:name="_Toc77868937"/>
      <w:bookmarkStart w:id="644" w:name="_Toc78040769"/>
      <w:bookmarkStart w:id="645" w:name="_Toc79066573"/>
      <w:bookmarkStart w:id="646" w:name="_Toc104396738"/>
      <w:r>
        <w:rPr>
          <w:rStyle w:val="Heading311ptBoldChar"/>
          <w:b/>
        </w:rPr>
        <w:t>8</w:t>
      </w:r>
      <w:r w:rsidR="006107C2" w:rsidRPr="00BE2C76">
        <w:rPr>
          <w:rStyle w:val="Heading311ptBoldChar"/>
          <w:b/>
        </w:rPr>
        <w:t>.</w:t>
      </w:r>
      <w:r w:rsidR="0030557E">
        <w:rPr>
          <w:rStyle w:val="Heading311ptBoldChar"/>
          <w:b/>
        </w:rPr>
        <w:t>2</w:t>
      </w:r>
      <w:r w:rsidR="006107C2" w:rsidRPr="00BE2C76">
        <w:rPr>
          <w:rStyle w:val="Heading311ptBoldChar"/>
          <w:b/>
        </w:rPr>
        <w:t>.1</w:t>
      </w:r>
      <w:r w:rsidR="006107C2" w:rsidRPr="00BE2C76">
        <w:rPr>
          <w:rStyle w:val="Heading311ptBoldChar"/>
          <w:b/>
        </w:rPr>
        <w:tab/>
      </w:r>
      <w:r w:rsidR="00AB219E" w:rsidRPr="000E7C16">
        <w:rPr>
          <w:rStyle w:val="Heading311ptBoldChar"/>
          <w:b/>
        </w:rPr>
        <w:t>FTOC</w:t>
      </w:r>
      <w:bookmarkEnd w:id="638"/>
      <w:bookmarkEnd w:id="639"/>
      <w:bookmarkEnd w:id="640"/>
      <w:bookmarkEnd w:id="641"/>
      <w:bookmarkEnd w:id="642"/>
      <w:bookmarkEnd w:id="643"/>
      <w:bookmarkEnd w:id="644"/>
      <w:bookmarkEnd w:id="645"/>
      <w:bookmarkEnd w:id="646"/>
    </w:p>
    <w:p w14:paraId="692AAE9B" w14:textId="03238376" w:rsidR="000E7C16" w:rsidRPr="000E7C16" w:rsidRDefault="000E7C16" w:rsidP="000E7C16">
      <w:bookmarkStart w:id="647" w:name="_Toc388648377"/>
      <w:bookmarkStart w:id="648" w:name="_Toc295406182"/>
      <w:bookmarkStart w:id="649" w:name="_Toc514151687"/>
      <w:bookmarkStart w:id="650" w:name="_Toc9109609"/>
      <w:r w:rsidRPr="000E7C16">
        <w:t>FTOC meets regularly, virtually, due to the pandemic, and has increased the frequency to biweekly meetings to prepare for the 2022 Assessment Report.</w:t>
      </w:r>
    </w:p>
    <w:p w14:paraId="25795876" w14:textId="47EDE96B" w:rsidR="000E7C16" w:rsidRPr="000E7C16" w:rsidRDefault="000E7C16" w:rsidP="000E7C16">
      <w:r w:rsidRPr="000E7C16">
        <w:t>FTOC members currently have expertise in: producing and handling foam blowing agents; foam formulation; foam production (XPS, Spray Foam, appliance etc.) and life cycle analysis; emissions and banks model</w:t>
      </w:r>
      <w:r w:rsidR="00C7675C">
        <w:t>l</w:t>
      </w:r>
      <w:r w:rsidRPr="000E7C16">
        <w:t>ing; certification testing for foams; regulations related to foams; global foam markets including forecasting future production; historical knowledge of foams, foam blowing agents, regulations, and the Montreal Protocol; the building envelope and reducing energy demand from buildings; appliance design and production energy efficiency.</w:t>
      </w:r>
    </w:p>
    <w:p w14:paraId="6C877013" w14:textId="3AF4FDDD" w:rsidR="00AB219E" w:rsidRPr="00BE2C76" w:rsidRDefault="00BB48C4" w:rsidP="005C5E68">
      <w:pPr>
        <w:pStyle w:val="Heading2"/>
        <w:rPr>
          <w:rStyle w:val="Heading311ptBoldChar"/>
          <w:b/>
        </w:rPr>
      </w:pPr>
      <w:bookmarkStart w:id="651" w:name="_Toc40696109"/>
      <w:bookmarkStart w:id="652" w:name="_Toc77868938"/>
      <w:bookmarkStart w:id="653" w:name="_Toc78040770"/>
      <w:bookmarkStart w:id="654" w:name="_Toc79066574"/>
      <w:bookmarkStart w:id="655" w:name="_Toc104396739"/>
      <w:r>
        <w:rPr>
          <w:rStyle w:val="Heading311ptBoldChar"/>
          <w:b/>
        </w:rPr>
        <w:t>8</w:t>
      </w:r>
      <w:r w:rsidR="00872075" w:rsidRPr="00BE2C76">
        <w:rPr>
          <w:rStyle w:val="Heading311ptBoldChar"/>
          <w:b/>
        </w:rPr>
        <w:t>.</w:t>
      </w:r>
      <w:r w:rsidR="0030557E">
        <w:rPr>
          <w:rStyle w:val="Heading311ptBoldChar"/>
          <w:b/>
        </w:rPr>
        <w:t>2</w:t>
      </w:r>
      <w:r w:rsidR="00872075" w:rsidRPr="00BE2C76">
        <w:rPr>
          <w:rStyle w:val="Heading311ptBoldChar"/>
          <w:b/>
        </w:rPr>
        <w:t>.2</w:t>
      </w:r>
      <w:r w:rsidR="00872075" w:rsidRPr="00BE2C76">
        <w:rPr>
          <w:rStyle w:val="Heading311ptBoldChar"/>
          <w:b/>
        </w:rPr>
        <w:tab/>
      </w:r>
      <w:r w:rsidR="00AB219E" w:rsidRPr="0030557E">
        <w:rPr>
          <w:rStyle w:val="Heading311ptBoldChar"/>
          <w:b/>
        </w:rPr>
        <w:t>HTOC</w:t>
      </w:r>
      <w:bookmarkEnd w:id="647"/>
      <w:bookmarkEnd w:id="648"/>
      <w:bookmarkEnd w:id="649"/>
      <w:bookmarkEnd w:id="650"/>
      <w:bookmarkEnd w:id="651"/>
      <w:bookmarkEnd w:id="652"/>
      <w:bookmarkEnd w:id="653"/>
      <w:bookmarkEnd w:id="654"/>
      <w:bookmarkEnd w:id="655"/>
      <w:r w:rsidR="00AB219E" w:rsidRPr="00BE2C76">
        <w:rPr>
          <w:rStyle w:val="Heading311ptBoldChar"/>
          <w:b/>
        </w:rPr>
        <w:t xml:space="preserve"> </w:t>
      </w:r>
    </w:p>
    <w:p w14:paraId="2E8DC977" w14:textId="2BC7DCFB" w:rsidR="0030557E" w:rsidRPr="00C964F3" w:rsidRDefault="0030557E" w:rsidP="0030557E">
      <w:pPr>
        <w:rPr>
          <w:szCs w:val="22"/>
        </w:rPr>
      </w:pPr>
      <w:bookmarkStart w:id="656" w:name="_Toc514151688"/>
      <w:bookmarkStart w:id="657" w:name="_Toc9109610"/>
      <w:bookmarkStart w:id="658" w:name="_Toc388648378"/>
      <w:bookmarkStart w:id="659" w:name="_Toc295406183"/>
      <w:r w:rsidRPr="00C964F3">
        <w:t>Following the Kigali Amendment to the Montreal Protocol, the role of the Halons Technical Options Committee (HTOC) has broadened to cover low</w:t>
      </w:r>
      <w:r>
        <w:t>/no</w:t>
      </w:r>
      <w:r w:rsidRPr="00C964F3">
        <w:t xml:space="preserve">-GWP alternatives to halons, HCFCs, and high-GWP HFCs. However, </w:t>
      </w:r>
      <w:r w:rsidRPr="00C964F3">
        <w:rPr>
          <w:szCs w:val="22"/>
        </w:rPr>
        <w:t xml:space="preserve">the Kigali amendment does not </w:t>
      </w:r>
      <w:r>
        <w:rPr>
          <w:szCs w:val="22"/>
        </w:rPr>
        <w:t xml:space="preserve">necessarily </w:t>
      </w:r>
      <w:r w:rsidRPr="00C964F3">
        <w:rPr>
          <w:szCs w:val="22"/>
        </w:rPr>
        <w:t>bring the need for any additional areas of expertise in</w:t>
      </w:r>
      <w:r>
        <w:rPr>
          <w:szCs w:val="22"/>
        </w:rPr>
        <w:t xml:space="preserve"> </w:t>
      </w:r>
      <w:r w:rsidRPr="00C964F3">
        <w:rPr>
          <w:szCs w:val="22"/>
        </w:rPr>
        <w:t>fire protection because the use</w:t>
      </w:r>
      <w:r>
        <w:rPr>
          <w:szCs w:val="22"/>
        </w:rPr>
        <w:t>s</w:t>
      </w:r>
      <w:r w:rsidRPr="00C964F3">
        <w:rPr>
          <w:szCs w:val="22"/>
        </w:rPr>
        <w:t xml:space="preserve"> remain unchanged</w:t>
      </w:r>
      <w:r>
        <w:rPr>
          <w:szCs w:val="22"/>
        </w:rPr>
        <w:t>, although additional expertise for regional or sub-regional considerations will be needed</w:t>
      </w:r>
      <w:r w:rsidRPr="00C964F3">
        <w:rPr>
          <w:szCs w:val="22"/>
        </w:rPr>
        <w:t>.</w:t>
      </w:r>
      <w:r w:rsidR="005617DE">
        <w:rPr>
          <w:szCs w:val="22"/>
        </w:rPr>
        <w:t xml:space="preserve"> </w:t>
      </w:r>
      <w:r w:rsidRPr="00C964F3">
        <w:rPr>
          <w:szCs w:val="22"/>
        </w:rPr>
        <w:t xml:space="preserve">From a </w:t>
      </w:r>
      <w:r>
        <w:rPr>
          <w:szCs w:val="22"/>
        </w:rPr>
        <w:t xml:space="preserve">fire </w:t>
      </w:r>
      <w:r w:rsidRPr="00C964F3">
        <w:rPr>
          <w:szCs w:val="22"/>
        </w:rPr>
        <w:t>safety standpoint, the HTOC remains concerned that the flammability of refrigerants, foam blowing agents and solvents requires fire protection expertise which almost exclusively resides in the HTOC</w:t>
      </w:r>
      <w:r>
        <w:rPr>
          <w:szCs w:val="22"/>
        </w:rPr>
        <w:t xml:space="preserve"> within the TEAP</w:t>
      </w:r>
      <w:r w:rsidRPr="00C964F3">
        <w:rPr>
          <w:szCs w:val="22"/>
        </w:rPr>
        <w:t>.</w:t>
      </w:r>
      <w:r w:rsidR="005617DE">
        <w:rPr>
          <w:szCs w:val="22"/>
        </w:rPr>
        <w:t xml:space="preserve"> </w:t>
      </w:r>
      <w:r>
        <w:rPr>
          <w:szCs w:val="22"/>
        </w:rPr>
        <w:t>The HTOC remains available to assist in this area.</w:t>
      </w:r>
    </w:p>
    <w:p w14:paraId="1076B3B3" w14:textId="77777777" w:rsidR="0030557E" w:rsidRDefault="0030557E" w:rsidP="0030557E">
      <w:pPr>
        <w:rPr>
          <w:szCs w:val="22"/>
        </w:rPr>
      </w:pPr>
      <w:r w:rsidRPr="00C964F3">
        <w:rPr>
          <w:szCs w:val="22"/>
        </w:rPr>
        <w:t xml:space="preserve">Generally speaking, the HTOC maintains expertise in </w:t>
      </w:r>
      <w:r>
        <w:rPr>
          <w:szCs w:val="22"/>
        </w:rPr>
        <w:t xml:space="preserve">the following </w:t>
      </w:r>
      <w:r w:rsidRPr="00C964F3">
        <w:rPr>
          <w:szCs w:val="22"/>
        </w:rPr>
        <w:t xml:space="preserve">five main areas: </w:t>
      </w:r>
    </w:p>
    <w:p w14:paraId="34D888DC" w14:textId="09F4BF69" w:rsidR="0030557E" w:rsidRDefault="0030557E" w:rsidP="0030557E">
      <w:pPr>
        <w:rPr>
          <w:szCs w:val="22"/>
        </w:rPr>
      </w:pPr>
      <w:r w:rsidRPr="00C964F3">
        <w:rPr>
          <w:szCs w:val="22"/>
        </w:rPr>
        <w:t>1) a fundamental scientific understanding of fire chemistry and the process of combustion and fire extinguishment</w:t>
      </w:r>
      <w:r>
        <w:rPr>
          <w:szCs w:val="22"/>
        </w:rPr>
        <w:t>, and technical and economic expertise in fire protection needs, active and passive methods, system maintenance and personnel training.</w:t>
      </w:r>
      <w:r w:rsidR="005617DE">
        <w:rPr>
          <w:szCs w:val="22"/>
        </w:rPr>
        <w:t xml:space="preserve"> </w:t>
      </w:r>
    </w:p>
    <w:p w14:paraId="7207278D" w14:textId="77777777" w:rsidR="0030557E" w:rsidRDefault="0030557E" w:rsidP="0030557E">
      <w:pPr>
        <w:rPr>
          <w:szCs w:val="22"/>
        </w:rPr>
      </w:pPr>
      <w:r>
        <w:rPr>
          <w:szCs w:val="22"/>
        </w:rPr>
        <w:t>2</w:t>
      </w:r>
      <w:r w:rsidRPr="00254F80">
        <w:rPr>
          <w:szCs w:val="22"/>
        </w:rPr>
        <w:t>) the use of halons, HCFCs, high</w:t>
      </w:r>
      <w:r>
        <w:rPr>
          <w:szCs w:val="22"/>
        </w:rPr>
        <w:t>-</w:t>
      </w:r>
      <w:r w:rsidRPr="00254F80">
        <w:rPr>
          <w:szCs w:val="22"/>
        </w:rPr>
        <w:t xml:space="preserve">GWP HFCs and their alternatives in fire protection, including emissions and </w:t>
      </w:r>
      <w:r>
        <w:rPr>
          <w:szCs w:val="22"/>
        </w:rPr>
        <w:t>installed amounts (</w:t>
      </w:r>
      <w:r w:rsidRPr="00254F80">
        <w:rPr>
          <w:szCs w:val="22"/>
        </w:rPr>
        <w:t>bank estimates</w:t>
      </w:r>
      <w:r>
        <w:rPr>
          <w:szCs w:val="22"/>
        </w:rPr>
        <w:t>)</w:t>
      </w:r>
      <w:r w:rsidRPr="00254F80">
        <w:rPr>
          <w:szCs w:val="22"/>
        </w:rPr>
        <w:t xml:space="preserve">, </w:t>
      </w:r>
    </w:p>
    <w:p w14:paraId="17853EF1" w14:textId="77777777" w:rsidR="0030557E" w:rsidRDefault="0030557E" w:rsidP="0030557E">
      <w:pPr>
        <w:rPr>
          <w:szCs w:val="22"/>
        </w:rPr>
      </w:pPr>
      <w:r>
        <w:rPr>
          <w:szCs w:val="22"/>
        </w:rPr>
        <w:t>3</w:t>
      </w:r>
      <w:r w:rsidRPr="00254F80">
        <w:rPr>
          <w:szCs w:val="22"/>
        </w:rPr>
        <w:t xml:space="preserve">) “banking” i.e., collection, recycling/reclamation, and re-deployment of fire extinguishants including their application standards, purity requirements, and destruction issues, </w:t>
      </w:r>
    </w:p>
    <w:p w14:paraId="6DCC5A9F" w14:textId="2E9EC0C4" w:rsidR="0030557E" w:rsidRPr="00C964F3" w:rsidRDefault="0030557E" w:rsidP="0030557E">
      <w:pPr>
        <w:rPr>
          <w:szCs w:val="22"/>
        </w:rPr>
      </w:pPr>
      <w:r>
        <w:rPr>
          <w:szCs w:val="22"/>
        </w:rPr>
        <w:t>4</w:t>
      </w:r>
      <w:r w:rsidRPr="00254F80">
        <w:rPr>
          <w:szCs w:val="22"/>
        </w:rPr>
        <w:t xml:space="preserve">) issues impacting current and future use, e.g., continued reliance on halons for existing uses in military, oil and gas, merchant shipping, etc., and for existing/new installations in civil aviation, and phase-down requirements of fire protections uses of high GWP HFCs. </w:t>
      </w:r>
      <w:r>
        <w:rPr>
          <w:szCs w:val="22"/>
        </w:rPr>
        <w:t xml:space="preserve">This includes modelling of remaining quantities </w:t>
      </w:r>
      <w:r w:rsidRPr="00C964F3">
        <w:rPr>
          <w:szCs w:val="22"/>
        </w:rPr>
        <w:t xml:space="preserve">and emissions of halons, </w:t>
      </w:r>
      <w:r>
        <w:rPr>
          <w:szCs w:val="22"/>
        </w:rPr>
        <w:t xml:space="preserve">and growth of </w:t>
      </w:r>
      <w:r w:rsidRPr="00C964F3">
        <w:rPr>
          <w:szCs w:val="22"/>
        </w:rPr>
        <w:t>HCFCs and high-GWP HFCs.</w:t>
      </w:r>
      <w:r w:rsidR="005617DE">
        <w:rPr>
          <w:szCs w:val="22"/>
        </w:rPr>
        <w:t xml:space="preserve"> </w:t>
      </w:r>
    </w:p>
    <w:p w14:paraId="53BD7302" w14:textId="77777777" w:rsidR="0030557E" w:rsidRPr="00C964F3" w:rsidRDefault="0030557E" w:rsidP="0030557E">
      <w:pPr>
        <w:pStyle w:val="Style15"/>
        <w:rPr>
          <w:b w:val="0"/>
          <w:sz w:val="22"/>
          <w:szCs w:val="22"/>
        </w:rPr>
      </w:pPr>
      <w:r w:rsidRPr="00C964F3">
        <w:rPr>
          <w:b w:val="0"/>
          <w:sz w:val="22"/>
          <w:szCs w:val="22"/>
        </w:rPr>
        <w:t>5) In addition</w:t>
      </w:r>
      <w:r>
        <w:rPr>
          <w:b w:val="0"/>
          <w:sz w:val="22"/>
          <w:szCs w:val="22"/>
        </w:rPr>
        <w:t>,</w:t>
      </w:r>
      <w:r w:rsidRPr="00C964F3">
        <w:rPr>
          <w:b w:val="0"/>
          <w:sz w:val="22"/>
          <w:szCs w:val="22"/>
        </w:rPr>
        <w:t xml:space="preserve"> the HTOC maintains an understanding of the workings of the Montreal Protocol and how lessons learned in </w:t>
      </w:r>
      <w:r>
        <w:rPr>
          <w:b w:val="0"/>
          <w:sz w:val="22"/>
          <w:szCs w:val="22"/>
        </w:rPr>
        <w:t xml:space="preserve">phasing out production and consumption of </w:t>
      </w:r>
      <w:r w:rsidRPr="00C964F3">
        <w:rPr>
          <w:b w:val="0"/>
          <w:sz w:val="22"/>
          <w:szCs w:val="22"/>
        </w:rPr>
        <w:t>halons</w:t>
      </w:r>
      <w:r>
        <w:rPr>
          <w:b w:val="0"/>
          <w:sz w:val="22"/>
          <w:szCs w:val="22"/>
        </w:rPr>
        <w:t>, for example,</w:t>
      </w:r>
      <w:r w:rsidRPr="00C964F3">
        <w:rPr>
          <w:b w:val="0"/>
          <w:sz w:val="22"/>
          <w:szCs w:val="22"/>
        </w:rPr>
        <w:t xml:space="preserve"> on some applications</w:t>
      </w:r>
      <w:r>
        <w:rPr>
          <w:b w:val="0"/>
          <w:sz w:val="22"/>
          <w:szCs w:val="22"/>
        </w:rPr>
        <w:t xml:space="preserve"> </w:t>
      </w:r>
      <w:r w:rsidRPr="00C964F3">
        <w:rPr>
          <w:b w:val="0"/>
          <w:sz w:val="22"/>
          <w:szCs w:val="22"/>
        </w:rPr>
        <w:t xml:space="preserve">could be reapplied </w:t>
      </w:r>
      <w:r>
        <w:rPr>
          <w:b w:val="0"/>
          <w:sz w:val="22"/>
          <w:szCs w:val="22"/>
        </w:rPr>
        <w:t>in phasing out the production and consumption</w:t>
      </w:r>
      <w:r w:rsidRPr="00C964F3">
        <w:rPr>
          <w:b w:val="0"/>
          <w:sz w:val="22"/>
          <w:szCs w:val="22"/>
        </w:rPr>
        <w:t xml:space="preserve"> </w:t>
      </w:r>
      <w:r>
        <w:rPr>
          <w:b w:val="0"/>
          <w:sz w:val="22"/>
          <w:szCs w:val="22"/>
        </w:rPr>
        <w:t xml:space="preserve">of </w:t>
      </w:r>
      <w:r w:rsidRPr="00C964F3">
        <w:rPr>
          <w:b w:val="0"/>
          <w:sz w:val="22"/>
          <w:szCs w:val="22"/>
        </w:rPr>
        <w:t xml:space="preserve">HCFCs and </w:t>
      </w:r>
      <w:r>
        <w:rPr>
          <w:b w:val="0"/>
          <w:sz w:val="22"/>
          <w:szCs w:val="22"/>
        </w:rPr>
        <w:t>phasing down the high-GWP</w:t>
      </w:r>
      <w:r w:rsidRPr="00C964F3">
        <w:rPr>
          <w:b w:val="0"/>
          <w:sz w:val="22"/>
          <w:szCs w:val="22"/>
        </w:rPr>
        <w:t xml:space="preserve"> HFCs under the Kigali Amendment.</w:t>
      </w:r>
    </w:p>
    <w:p w14:paraId="25F1E746" w14:textId="77777777" w:rsidR="0030557E" w:rsidRPr="00C964F3" w:rsidRDefault="0030557E" w:rsidP="0030557E">
      <w:pPr>
        <w:pStyle w:val="Style15"/>
        <w:rPr>
          <w:sz w:val="24"/>
          <w:szCs w:val="24"/>
        </w:rPr>
      </w:pPr>
    </w:p>
    <w:p w14:paraId="4C423036" w14:textId="141A5F98" w:rsidR="0030557E" w:rsidRDefault="0030557E" w:rsidP="0030557E">
      <w:pPr>
        <w:pStyle w:val="Style15"/>
        <w:rPr>
          <w:b w:val="0"/>
          <w:sz w:val="22"/>
          <w:szCs w:val="22"/>
        </w:rPr>
      </w:pPr>
      <w:r w:rsidRPr="00254F80">
        <w:rPr>
          <w:b w:val="0"/>
          <w:sz w:val="22"/>
          <w:szCs w:val="22"/>
        </w:rPr>
        <w:t xml:space="preserve">Within the </w:t>
      </w:r>
      <w:r>
        <w:rPr>
          <w:b w:val="0"/>
          <w:sz w:val="22"/>
          <w:szCs w:val="22"/>
        </w:rPr>
        <w:t>five</w:t>
      </w:r>
      <w:r w:rsidRPr="00254F80">
        <w:rPr>
          <w:b w:val="0"/>
          <w:sz w:val="22"/>
          <w:szCs w:val="22"/>
        </w:rPr>
        <w:t xml:space="preserve"> main areas, the expertise is further divided into sectoral expertise and regional expertise.</w:t>
      </w:r>
      <w:r w:rsidR="005617DE">
        <w:rPr>
          <w:b w:val="0"/>
          <w:sz w:val="22"/>
          <w:szCs w:val="22"/>
        </w:rPr>
        <w:t xml:space="preserve"> </w:t>
      </w:r>
      <w:r w:rsidRPr="00254F80">
        <w:rPr>
          <w:b w:val="0"/>
          <w:sz w:val="22"/>
          <w:szCs w:val="22"/>
        </w:rPr>
        <w:t xml:space="preserve">From a sectoral perspective, the HTOC has experts on fire protection requirements for </w:t>
      </w:r>
      <w:r>
        <w:rPr>
          <w:b w:val="0"/>
          <w:sz w:val="22"/>
          <w:szCs w:val="22"/>
        </w:rPr>
        <w:t xml:space="preserve">on-going </w:t>
      </w:r>
      <w:r w:rsidRPr="00254F80">
        <w:rPr>
          <w:b w:val="0"/>
          <w:sz w:val="22"/>
          <w:szCs w:val="22"/>
        </w:rPr>
        <w:t>uses of halons</w:t>
      </w:r>
      <w:r>
        <w:rPr>
          <w:b w:val="0"/>
          <w:sz w:val="22"/>
          <w:szCs w:val="22"/>
        </w:rPr>
        <w:t xml:space="preserve">, </w:t>
      </w:r>
      <w:r w:rsidRPr="00254F80">
        <w:rPr>
          <w:b w:val="0"/>
          <w:sz w:val="22"/>
          <w:szCs w:val="22"/>
        </w:rPr>
        <w:t>HCFCs, high</w:t>
      </w:r>
      <w:r>
        <w:rPr>
          <w:b w:val="0"/>
          <w:sz w:val="22"/>
          <w:szCs w:val="22"/>
        </w:rPr>
        <w:t>-</w:t>
      </w:r>
      <w:r w:rsidRPr="00254F80">
        <w:rPr>
          <w:b w:val="0"/>
          <w:sz w:val="22"/>
          <w:szCs w:val="22"/>
        </w:rPr>
        <w:t xml:space="preserve">GWP HFCs and their alternatives within civil </w:t>
      </w:r>
      <w:r w:rsidRPr="00254F80">
        <w:rPr>
          <w:b w:val="0"/>
          <w:sz w:val="22"/>
          <w:szCs w:val="22"/>
        </w:rPr>
        <w:lastRenderedPageBreak/>
        <w:t xml:space="preserve">aviation, military, telecommunications, oil and gas, power generation, merchant shipping, explosion protection, etc. </w:t>
      </w:r>
      <w:r>
        <w:rPr>
          <w:b w:val="0"/>
          <w:sz w:val="22"/>
          <w:szCs w:val="22"/>
        </w:rPr>
        <w:t xml:space="preserve">The HTOC also maintains expertise in banking and recycling of </w:t>
      </w:r>
      <w:r w:rsidRPr="00254F80">
        <w:rPr>
          <w:b w:val="0"/>
          <w:sz w:val="22"/>
          <w:szCs w:val="22"/>
        </w:rPr>
        <w:t>halons, HCFCs, high GWP HFCs and their alternatives</w:t>
      </w:r>
      <w:r>
        <w:rPr>
          <w:b w:val="0"/>
          <w:sz w:val="22"/>
          <w:szCs w:val="22"/>
        </w:rPr>
        <w:t>.</w:t>
      </w:r>
      <w:r w:rsidR="005617DE">
        <w:rPr>
          <w:b w:val="0"/>
          <w:sz w:val="22"/>
          <w:szCs w:val="22"/>
        </w:rPr>
        <w:t xml:space="preserve"> </w:t>
      </w:r>
      <w:r>
        <w:rPr>
          <w:b w:val="0"/>
          <w:sz w:val="22"/>
          <w:szCs w:val="22"/>
        </w:rPr>
        <w:t>HTOC recently added expertise on halon recovery (amounts, quantity and qualify) from active and historic shipbreaking activities.</w:t>
      </w:r>
    </w:p>
    <w:p w14:paraId="224061E8" w14:textId="77777777" w:rsidR="0030557E" w:rsidRDefault="0030557E" w:rsidP="0030557E">
      <w:pPr>
        <w:pStyle w:val="Style15"/>
        <w:rPr>
          <w:b w:val="0"/>
          <w:sz w:val="22"/>
          <w:szCs w:val="22"/>
        </w:rPr>
      </w:pPr>
    </w:p>
    <w:p w14:paraId="68199014" w14:textId="6688D52F" w:rsidR="009E41D5" w:rsidRPr="00B710A8" w:rsidRDefault="0030557E" w:rsidP="00B710A8">
      <w:pPr>
        <w:pStyle w:val="Style15"/>
        <w:rPr>
          <w:b w:val="0"/>
          <w:sz w:val="22"/>
          <w:szCs w:val="22"/>
        </w:rPr>
      </w:pPr>
      <w:r w:rsidRPr="00254F80">
        <w:rPr>
          <w:b w:val="0"/>
          <w:sz w:val="22"/>
          <w:szCs w:val="22"/>
        </w:rPr>
        <w:t>From a regional standpoint, the HTOC has expertise covering North America, Eastern and Western Europe, Australia</w:t>
      </w:r>
      <w:r w:rsidR="002C0D7B" w:rsidRPr="002C0D7B">
        <w:rPr>
          <w:b w:val="0"/>
          <w:sz w:val="22"/>
          <w:szCs w:val="22"/>
        </w:rPr>
        <w:t>,</w:t>
      </w:r>
      <w:r w:rsidRPr="00254F80">
        <w:rPr>
          <w:b w:val="0"/>
          <w:sz w:val="22"/>
          <w:szCs w:val="22"/>
        </w:rPr>
        <w:t xml:space="preserve"> and Japan, with some limited expertise in Anglophone North Africa (Egypt), the Middle East (</w:t>
      </w:r>
      <w:r w:rsidRPr="008C7598">
        <w:rPr>
          <w:b w:val="0"/>
          <w:sz w:val="22"/>
          <w:szCs w:val="22"/>
        </w:rPr>
        <w:t>Kuwait), South America (Brazil), Asia (India and World Bank expertise on halon production phase-out in China).</w:t>
      </w:r>
      <w:r w:rsidR="005617DE">
        <w:rPr>
          <w:b w:val="0"/>
          <w:sz w:val="22"/>
          <w:szCs w:val="22"/>
        </w:rPr>
        <w:t xml:space="preserve"> </w:t>
      </w:r>
      <w:r w:rsidRPr="008C7598">
        <w:rPr>
          <w:b w:val="0"/>
          <w:sz w:val="22"/>
          <w:szCs w:val="22"/>
        </w:rPr>
        <w:t>As noted in the matrix of expertise needed, the HTOC is continuing to look for additional experts to promote A5/non-A5 and regional balance while also being mindful of gender balance.</w:t>
      </w:r>
    </w:p>
    <w:p w14:paraId="22E3763A" w14:textId="63BBD73B" w:rsidR="00AB219E" w:rsidRPr="00BE2C76" w:rsidRDefault="00BB48C4" w:rsidP="005C5E68">
      <w:pPr>
        <w:pStyle w:val="Heading2"/>
        <w:rPr>
          <w:rStyle w:val="Heading311ptBoldChar"/>
          <w:b/>
        </w:rPr>
      </w:pPr>
      <w:bookmarkStart w:id="660" w:name="_Toc40696110"/>
      <w:bookmarkStart w:id="661" w:name="_Toc77868939"/>
      <w:bookmarkStart w:id="662" w:name="_Toc78040771"/>
      <w:bookmarkStart w:id="663" w:name="_Toc79066575"/>
      <w:bookmarkStart w:id="664" w:name="_Toc104396740"/>
      <w:r>
        <w:rPr>
          <w:rStyle w:val="Heading311ptBoldChar"/>
          <w:b/>
        </w:rPr>
        <w:t>8</w:t>
      </w:r>
      <w:r w:rsidR="00872075" w:rsidRPr="00BE2C76">
        <w:rPr>
          <w:rStyle w:val="Heading311ptBoldChar"/>
          <w:b/>
        </w:rPr>
        <w:t>.</w:t>
      </w:r>
      <w:r w:rsidR="0030557E">
        <w:rPr>
          <w:rStyle w:val="Heading311ptBoldChar"/>
          <w:b/>
        </w:rPr>
        <w:t>2</w:t>
      </w:r>
      <w:r w:rsidR="00872075" w:rsidRPr="00BE2C76">
        <w:rPr>
          <w:rStyle w:val="Heading311ptBoldChar"/>
          <w:b/>
        </w:rPr>
        <w:t>.3</w:t>
      </w:r>
      <w:r w:rsidR="00872075" w:rsidRPr="00BE2C76">
        <w:rPr>
          <w:rStyle w:val="Heading311ptBoldChar"/>
          <w:b/>
        </w:rPr>
        <w:tab/>
      </w:r>
      <w:r w:rsidR="00AB219E" w:rsidRPr="00BE2C76">
        <w:rPr>
          <w:rStyle w:val="Heading311ptBoldChar"/>
          <w:b/>
        </w:rPr>
        <w:t>MBTOC</w:t>
      </w:r>
      <w:bookmarkEnd w:id="656"/>
      <w:bookmarkEnd w:id="657"/>
      <w:bookmarkEnd w:id="660"/>
      <w:bookmarkEnd w:id="661"/>
      <w:bookmarkEnd w:id="662"/>
      <w:bookmarkEnd w:id="663"/>
      <w:bookmarkEnd w:id="664"/>
    </w:p>
    <w:p w14:paraId="037CEEBB" w14:textId="1A20D2BA" w:rsidR="00907AAF" w:rsidRDefault="0024733A" w:rsidP="002D3492">
      <w:pPr>
        <w:rPr>
          <w:lang w:eastAsia="en-US"/>
        </w:rPr>
      </w:pPr>
      <w:r>
        <w:rPr>
          <w:lang w:eastAsia="en-US"/>
        </w:rPr>
        <w:t>MBTOC met virtually at the beginning of April 2022 to</w:t>
      </w:r>
      <w:r w:rsidR="00907AAF">
        <w:rPr>
          <w:lang w:eastAsia="en-US"/>
        </w:rPr>
        <w:t xml:space="preserve"> conduct assessment of CUNs for methyl bromide submitted by parties, and to prepare its 2022 Progress Report. A face-to-face meeting is planned in September 2022 to finalize the 2022 Assessment Report.</w:t>
      </w:r>
    </w:p>
    <w:p w14:paraId="5E862B75" w14:textId="40FE8C9C" w:rsidR="005D552A" w:rsidRPr="00907AAF" w:rsidRDefault="00907AAF" w:rsidP="00907AAF">
      <w:pPr>
        <w:rPr>
          <w:lang w:val="en-US" w:eastAsia="en-US"/>
        </w:rPr>
      </w:pPr>
      <w:r>
        <w:rPr>
          <w:lang w:eastAsia="en-US"/>
        </w:rPr>
        <w:t>MBTOC currently has two co-chairs (one A5, one non-A5) and fourteen members, 5 from A5 countries and 8 from non-A5. MBTOC is seeking</w:t>
      </w:r>
      <w:r w:rsidR="005617DE">
        <w:rPr>
          <w:lang w:eastAsia="en-US"/>
        </w:rPr>
        <w:t xml:space="preserve"> </w:t>
      </w:r>
      <w:r>
        <w:rPr>
          <w:lang w:val="en-US" w:eastAsia="en-US"/>
        </w:rPr>
        <w:t>n</w:t>
      </w:r>
      <w:r w:rsidR="005D552A" w:rsidRPr="00907AAF">
        <w:rPr>
          <w:lang w:val="en-US" w:eastAsia="en-US"/>
        </w:rPr>
        <w:t xml:space="preserve">ew members </w:t>
      </w:r>
      <w:r>
        <w:rPr>
          <w:lang w:val="en-US" w:eastAsia="en-US"/>
        </w:rPr>
        <w:t>who are</w:t>
      </w:r>
      <w:r w:rsidRPr="00907AAF">
        <w:rPr>
          <w:lang w:val="en-US" w:eastAsia="en-US"/>
        </w:rPr>
        <w:t xml:space="preserve"> QPS experts </w:t>
      </w:r>
      <w:r>
        <w:rPr>
          <w:lang w:val="en-US" w:eastAsia="en-US"/>
        </w:rPr>
        <w:t xml:space="preserve">preferably females from </w:t>
      </w:r>
      <w:r w:rsidRPr="00907AAF">
        <w:rPr>
          <w:lang w:val="en-US" w:eastAsia="en-US"/>
        </w:rPr>
        <w:t>Asia</w:t>
      </w:r>
      <w:r>
        <w:rPr>
          <w:lang w:val="en-US" w:eastAsia="en-US"/>
        </w:rPr>
        <w:t xml:space="preserve"> and</w:t>
      </w:r>
      <w:r w:rsidRPr="00907AAF">
        <w:rPr>
          <w:lang w:val="en-US" w:eastAsia="en-US"/>
        </w:rPr>
        <w:t xml:space="preserve"> Latin America</w:t>
      </w:r>
      <w:r w:rsidR="005D552A" w:rsidRPr="00907AAF">
        <w:rPr>
          <w:lang w:val="en-US" w:eastAsia="en-US"/>
        </w:rPr>
        <w:t>. Members with crossover links to the TPPT Committee of the IPPC would be most welcome.</w:t>
      </w:r>
    </w:p>
    <w:p w14:paraId="09E9FD7E" w14:textId="5F74ED25" w:rsidR="005D552A" w:rsidRPr="00907AAF" w:rsidRDefault="005D552A" w:rsidP="00907AAF">
      <w:pPr>
        <w:rPr>
          <w:lang w:val="en-US" w:eastAsia="en-US"/>
        </w:rPr>
      </w:pPr>
      <w:r w:rsidRPr="00907AAF">
        <w:rPr>
          <w:lang w:val="en-US" w:eastAsia="en-US"/>
        </w:rPr>
        <w:t>Stocks of MB</w:t>
      </w:r>
      <w:r w:rsidR="00907AAF">
        <w:rPr>
          <w:lang w:val="en-US" w:eastAsia="en-US"/>
        </w:rPr>
        <w:t xml:space="preserve"> and</w:t>
      </w:r>
      <w:r w:rsidRPr="00907AAF">
        <w:rPr>
          <w:lang w:val="en-US" w:eastAsia="en-US"/>
        </w:rPr>
        <w:t xml:space="preserve"> illegal trade </w:t>
      </w:r>
      <w:r w:rsidR="00907AAF">
        <w:rPr>
          <w:lang w:val="en-US" w:eastAsia="en-US"/>
        </w:rPr>
        <w:t>continue to be</w:t>
      </w:r>
      <w:r w:rsidRPr="00907AAF">
        <w:rPr>
          <w:lang w:val="en-US" w:eastAsia="en-US"/>
        </w:rPr>
        <w:t xml:space="preserve"> prominent issues</w:t>
      </w:r>
      <w:r w:rsidR="00907AAF">
        <w:rPr>
          <w:lang w:val="en-US" w:eastAsia="en-US"/>
        </w:rPr>
        <w:t>, as well as e</w:t>
      </w:r>
      <w:r w:rsidRPr="00907AAF">
        <w:rPr>
          <w:lang w:val="en-US" w:eastAsia="en-US"/>
        </w:rPr>
        <w:t>missions of MB</w:t>
      </w:r>
      <w:r w:rsidR="00907AAF">
        <w:rPr>
          <w:lang w:val="en-US" w:eastAsia="en-US"/>
        </w:rPr>
        <w:t>. MBTOC further suggests that</w:t>
      </w:r>
      <w:r w:rsidR="00F34790">
        <w:rPr>
          <w:lang w:val="en-US" w:eastAsia="en-US"/>
        </w:rPr>
        <w:t xml:space="preserve"> in response to the Rome Declaration, the increasing importa</w:t>
      </w:r>
      <w:r w:rsidR="002C0D7B" w:rsidRPr="002C0D7B">
        <w:rPr>
          <w:lang w:val="en-US" w:eastAsia="en-US"/>
        </w:rPr>
        <w:t>n</w:t>
      </w:r>
      <w:r w:rsidR="00F34790">
        <w:rPr>
          <w:lang w:val="en-US" w:eastAsia="en-US"/>
        </w:rPr>
        <w:t>ce of the 2030 Agenda and its SDGs plus recent action taken by UNEA (e.g.</w:t>
      </w:r>
      <w:r w:rsidR="002C0D7B" w:rsidRPr="002C0D7B">
        <w:rPr>
          <w:lang w:val="en-US" w:eastAsia="en-US"/>
        </w:rPr>
        <w:t>,</w:t>
      </w:r>
      <w:r w:rsidR="00F34790">
        <w:rPr>
          <w:lang w:val="en-US" w:eastAsia="en-US"/>
        </w:rPr>
        <w:t xml:space="preserve"> nitroge</w:t>
      </w:r>
      <w:r>
        <w:rPr>
          <w:lang w:val="en-US" w:eastAsia="en-US"/>
        </w:rPr>
        <w:t>n</w:t>
      </w:r>
      <w:r w:rsidR="00F34790">
        <w:rPr>
          <w:lang w:val="en-US" w:eastAsia="en-US"/>
        </w:rPr>
        <w:t>, use of plastics a</w:t>
      </w:r>
      <w:r>
        <w:rPr>
          <w:lang w:val="en-US" w:eastAsia="en-US"/>
        </w:rPr>
        <w:t>n</w:t>
      </w:r>
      <w:r w:rsidR="00F34790">
        <w:rPr>
          <w:lang w:val="en-US" w:eastAsia="en-US"/>
        </w:rPr>
        <w:t xml:space="preserve">d others), the committee may in the near future work on a wider scope of issues where it has relevant expertise and where its expertise could be strengthened. </w:t>
      </w:r>
    </w:p>
    <w:p w14:paraId="7B8BC57E" w14:textId="383CEB5E" w:rsidR="00AB219E" w:rsidRPr="00BE2C76" w:rsidRDefault="00BB48C4" w:rsidP="005C5E68">
      <w:pPr>
        <w:pStyle w:val="Heading2"/>
        <w:rPr>
          <w:rStyle w:val="Heading311ptBoldChar"/>
          <w:b/>
        </w:rPr>
      </w:pPr>
      <w:bookmarkStart w:id="665" w:name="_Toc514151689"/>
      <w:bookmarkStart w:id="666" w:name="_Toc9109611"/>
      <w:bookmarkStart w:id="667" w:name="_Toc40696111"/>
      <w:bookmarkStart w:id="668" w:name="_Toc77868940"/>
      <w:bookmarkStart w:id="669" w:name="_Toc78040772"/>
      <w:bookmarkStart w:id="670" w:name="_Toc79066576"/>
      <w:bookmarkStart w:id="671" w:name="_Toc104396741"/>
      <w:r>
        <w:rPr>
          <w:rStyle w:val="Heading311ptBoldChar"/>
          <w:b/>
        </w:rPr>
        <w:t>8</w:t>
      </w:r>
      <w:r w:rsidR="00AB219E" w:rsidRPr="00BE2C76">
        <w:rPr>
          <w:rStyle w:val="Heading311ptBoldChar"/>
          <w:b/>
        </w:rPr>
        <w:t>.</w:t>
      </w:r>
      <w:r w:rsidR="00C7675C">
        <w:rPr>
          <w:rStyle w:val="Heading311ptBoldChar"/>
          <w:b/>
        </w:rPr>
        <w:t>2</w:t>
      </w:r>
      <w:r w:rsidR="00AB219E" w:rsidRPr="00BE2C76">
        <w:rPr>
          <w:rStyle w:val="Heading311ptBoldChar"/>
          <w:b/>
        </w:rPr>
        <w:t>.4</w:t>
      </w:r>
      <w:r w:rsidR="00AB219E" w:rsidRPr="00BE2C76">
        <w:rPr>
          <w:rStyle w:val="Heading311ptBoldChar"/>
          <w:b/>
        </w:rPr>
        <w:tab/>
        <w:t>MCTOC</w:t>
      </w:r>
      <w:bookmarkEnd w:id="665"/>
      <w:bookmarkEnd w:id="666"/>
      <w:bookmarkEnd w:id="667"/>
      <w:bookmarkEnd w:id="668"/>
      <w:bookmarkEnd w:id="669"/>
      <w:bookmarkEnd w:id="670"/>
      <w:bookmarkEnd w:id="671"/>
    </w:p>
    <w:p w14:paraId="1A30E2E1" w14:textId="77777777" w:rsidR="001D166E" w:rsidRDefault="001D166E" w:rsidP="001D166E">
      <w:pPr>
        <w:rPr>
          <w:szCs w:val="22"/>
          <w:lang w:val="en-US" w:eastAsia="en-US"/>
        </w:rPr>
      </w:pPr>
      <w:r>
        <w:rPr>
          <w:szCs w:val="22"/>
          <w:lang w:val="en-US" w:eastAsia="en-US"/>
        </w:rPr>
        <w:t>F</w:t>
      </w:r>
      <w:r w:rsidRPr="007A77BA">
        <w:rPr>
          <w:szCs w:val="22"/>
          <w:lang w:val="en-US" w:eastAsia="en-US"/>
        </w:rPr>
        <w:t xml:space="preserve">ace-to-face meetings were </w:t>
      </w:r>
      <w:r>
        <w:rPr>
          <w:szCs w:val="22"/>
          <w:lang w:val="en-US" w:eastAsia="en-US"/>
        </w:rPr>
        <w:t>impossible</w:t>
      </w:r>
      <w:r w:rsidRPr="007A77BA">
        <w:rPr>
          <w:szCs w:val="22"/>
          <w:lang w:val="en-US" w:eastAsia="en-US"/>
        </w:rPr>
        <w:t xml:space="preserve"> due to COVID-19 and MCTOC’s </w:t>
      </w:r>
      <w:r>
        <w:rPr>
          <w:szCs w:val="22"/>
          <w:lang w:val="en-US" w:eastAsia="en-US"/>
        </w:rPr>
        <w:t>P</w:t>
      </w:r>
      <w:r w:rsidRPr="007A77BA">
        <w:rPr>
          <w:szCs w:val="22"/>
          <w:lang w:val="en-US" w:eastAsia="en-US"/>
        </w:rPr>
        <w:t xml:space="preserve">rogress </w:t>
      </w:r>
      <w:r>
        <w:rPr>
          <w:szCs w:val="22"/>
          <w:lang w:val="en-US" w:eastAsia="en-US"/>
        </w:rPr>
        <w:t>R</w:t>
      </w:r>
      <w:r w:rsidRPr="007A77BA">
        <w:rPr>
          <w:szCs w:val="22"/>
          <w:lang w:val="en-US" w:eastAsia="en-US"/>
        </w:rPr>
        <w:t xml:space="preserve">eport was developed </w:t>
      </w:r>
      <w:r>
        <w:rPr>
          <w:szCs w:val="22"/>
          <w:lang w:val="en-US" w:eastAsia="en-US"/>
        </w:rPr>
        <w:t xml:space="preserve">online and </w:t>
      </w:r>
      <w:r w:rsidRPr="007A77BA">
        <w:rPr>
          <w:szCs w:val="22"/>
          <w:lang w:val="en-US" w:eastAsia="en-US"/>
        </w:rPr>
        <w:t xml:space="preserve">through electronic means. 2022 </w:t>
      </w:r>
      <w:r>
        <w:rPr>
          <w:szCs w:val="22"/>
          <w:lang w:val="en-US" w:eastAsia="en-US"/>
        </w:rPr>
        <w:t>MCTOC A</w:t>
      </w:r>
      <w:r w:rsidRPr="007A77BA">
        <w:rPr>
          <w:szCs w:val="22"/>
          <w:lang w:val="en-US" w:eastAsia="en-US"/>
        </w:rPr>
        <w:t xml:space="preserve">ssessment </w:t>
      </w:r>
      <w:r>
        <w:rPr>
          <w:szCs w:val="22"/>
          <w:lang w:val="en-US" w:eastAsia="en-US"/>
        </w:rPr>
        <w:t>R</w:t>
      </w:r>
      <w:r w:rsidRPr="007A77BA">
        <w:rPr>
          <w:szCs w:val="22"/>
          <w:lang w:val="en-US" w:eastAsia="en-US"/>
        </w:rPr>
        <w:t xml:space="preserve">eport </w:t>
      </w:r>
      <w:r>
        <w:rPr>
          <w:szCs w:val="22"/>
          <w:lang w:val="en-US" w:eastAsia="en-US"/>
        </w:rPr>
        <w:t>preparations are underway through online and electronic means</w:t>
      </w:r>
      <w:r w:rsidRPr="007A77BA">
        <w:rPr>
          <w:szCs w:val="22"/>
          <w:lang w:val="en-US" w:eastAsia="en-US"/>
        </w:rPr>
        <w:t xml:space="preserve">. </w:t>
      </w:r>
    </w:p>
    <w:p w14:paraId="607C8763" w14:textId="77777777" w:rsidR="001D166E" w:rsidRDefault="001D166E" w:rsidP="001D166E">
      <w:pPr>
        <w:rPr>
          <w:szCs w:val="22"/>
          <w:lang w:val="en-US" w:eastAsia="en-US"/>
        </w:rPr>
      </w:pPr>
      <w:r w:rsidRPr="007A77BA">
        <w:rPr>
          <w:szCs w:val="22"/>
          <w:lang w:val="en-US" w:eastAsia="en-US"/>
        </w:rPr>
        <w:t>At the end of 20</w:t>
      </w:r>
      <w:r>
        <w:rPr>
          <w:szCs w:val="22"/>
          <w:lang w:val="en-US" w:eastAsia="en-US"/>
        </w:rPr>
        <w:t>21</w:t>
      </w:r>
      <w:r w:rsidRPr="007A77BA">
        <w:rPr>
          <w:szCs w:val="22"/>
          <w:lang w:val="en-US" w:eastAsia="en-US"/>
        </w:rPr>
        <w:t xml:space="preserve">, MCTOC had </w:t>
      </w:r>
      <w:r>
        <w:rPr>
          <w:szCs w:val="22"/>
          <w:lang w:val="en-US" w:eastAsia="en-US"/>
        </w:rPr>
        <w:t>1 co-chair and 7</w:t>
      </w:r>
      <w:r w:rsidRPr="007A77BA">
        <w:rPr>
          <w:szCs w:val="22"/>
          <w:lang w:val="en-US" w:eastAsia="en-US"/>
        </w:rPr>
        <w:t xml:space="preserve"> members whose terms of appointment ended, </w:t>
      </w:r>
      <w:r>
        <w:rPr>
          <w:szCs w:val="22"/>
          <w:lang w:val="en-US" w:eastAsia="en-US"/>
        </w:rPr>
        <w:t>6</w:t>
      </w:r>
      <w:r w:rsidRPr="007A77BA">
        <w:rPr>
          <w:szCs w:val="22"/>
          <w:lang w:val="en-US" w:eastAsia="en-US"/>
        </w:rPr>
        <w:t xml:space="preserve"> of whom were appointed for additional terms of up to 4 years</w:t>
      </w:r>
      <w:r>
        <w:rPr>
          <w:szCs w:val="22"/>
          <w:lang w:val="en-US" w:eastAsia="en-US"/>
        </w:rPr>
        <w:t xml:space="preserve">: William Auriemma (aerosols, US); B. </w:t>
      </w:r>
      <w:proofErr w:type="spellStart"/>
      <w:r>
        <w:rPr>
          <w:szCs w:val="22"/>
          <w:lang w:val="en-US" w:eastAsia="en-US"/>
        </w:rPr>
        <w:t>Narsaiah</w:t>
      </w:r>
      <w:proofErr w:type="spellEnd"/>
      <w:r>
        <w:rPr>
          <w:szCs w:val="22"/>
          <w:lang w:val="en-US" w:eastAsia="en-US"/>
        </w:rPr>
        <w:t xml:space="preserve"> (chemicals, India); Richard Cooke (destruction, Canada); Steve Burns (metered dose inhalers, UK); Maureen George (metered dose inhalers, US); </w:t>
      </w:r>
      <w:proofErr w:type="spellStart"/>
      <w:r>
        <w:rPr>
          <w:szCs w:val="22"/>
          <w:lang w:val="en-US" w:eastAsia="en-US"/>
        </w:rPr>
        <w:t>Jørgen</w:t>
      </w:r>
      <w:proofErr w:type="spellEnd"/>
      <w:r>
        <w:rPr>
          <w:szCs w:val="22"/>
          <w:lang w:val="en-US" w:eastAsia="en-US"/>
        </w:rPr>
        <w:t xml:space="preserve"> </w:t>
      </w:r>
      <w:proofErr w:type="spellStart"/>
      <w:r>
        <w:rPr>
          <w:szCs w:val="22"/>
          <w:lang w:val="en-US" w:eastAsia="en-US"/>
        </w:rPr>
        <w:t>Vestbo</w:t>
      </w:r>
      <w:proofErr w:type="spellEnd"/>
      <w:r>
        <w:rPr>
          <w:szCs w:val="22"/>
          <w:lang w:val="en-US" w:eastAsia="en-US"/>
        </w:rPr>
        <w:t xml:space="preserve"> (metered dose inhalers, Denmark). </w:t>
      </w:r>
      <w:r w:rsidRPr="007A77BA">
        <w:rPr>
          <w:szCs w:val="22"/>
          <w:lang w:val="en-US" w:eastAsia="en-US"/>
        </w:rPr>
        <w:t>With sincere gratitude</w:t>
      </w:r>
      <w:r>
        <w:rPr>
          <w:szCs w:val="22"/>
          <w:lang w:val="en-US" w:eastAsia="en-US"/>
        </w:rPr>
        <w:t>,</w:t>
      </w:r>
      <w:r w:rsidRPr="007A77BA">
        <w:rPr>
          <w:szCs w:val="22"/>
          <w:lang w:val="en-US" w:eastAsia="en-US"/>
        </w:rPr>
        <w:t xml:space="preserve"> MCTOC </w:t>
      </w:r>
      <w:r>
        <w:rPr>
          <w:szCs w:val="22"/>
          <w:lang w:val="en-US" w:eastAsia="en-US"/>
        </w:rPr>
        <w:t>congratulates</w:t>
      </w:r>
      <w:r w:rsidRPr="007A77BA">
        <w:rPr>
          <w:szCs w:val="22"/>
          <w:lang w:val="en-US" w:eastAsia="en-US"/>
        </w:rPr>
        <w:t xml:space="preserve"> </w:t>
      </w:r>
      <w:proofErr w:type="spellStart"/>
      <w:r>
        <w:rPr>
          <w:szCs w:val="22"/>
          <w:lang w:val="en-US" w:eastAsia="en-US"/>
        </w:rPr>
        <w:t>Rajiev</w:t>
      </w:r>
      <w:proofErr w:type="spellEnd"/>
      <w:r>
        <w:rPr>
          <w:szCs w:val="22"/>
          <w:lang w:val="en-US" w:eastAsia="en-US"/>
        </w:rPr>
        <w:t xml:space="preserve"> Sharma on his retirement from MCTOC for his</w:t>
      </w:r>
      <w:r w:rsidRPr="007A77BA">
        <w:rPr>
          <w:szCs w:val="22"/>
          <w:lang w:val="en-US" w:eastAsia="en-US"/>
        </w:rPr>
        <w:t xml:space="preserve"> years of voluntary service to the Montreal Protocol. Considering additional expertise needs, a new member</w:t>
      </w:r>
      <w:r>
        <w:rPr>
          <w:szCs w:val="22"/>
          <w:lang w:val="en-US" w:eastAsia="en-US"/>
        </w:rPr>
        <w:t>,</w:t>
      </w:r>
      <w:r w:rsidRPr="007A77BA">
        <w:rPr>
          <w:szCs w:val="22"/>
          <w:lang w:val="en-US" w:eastAsia="en-US"/>
        </w:rPr>
        <w:t xml:space="preserve"> </w:t>
      </w:r>
      <w:r>
        <w:rPr>
          <w:szCs w:val="22"/>
          <w:lang w:val="en-US" w:eastAsia="en-US"/>
        </w:rPr>
        <w:t>Alex Wilkinson (metered dose inhalers, UK) has</w:t>
      </w:r>
      <w:r w:rsidRPr="007A77BA">
        <w:rPr>
          <w:szCs w:val="22"/>
          <w:lang w:val="en-US" w:eastAsia="en-US"/>
        </w:rPr>
        <w:t xml:space="preserve"> been appointed, following </w:t>
      </w:r>
      <w:r>
        <w:rPr>
          <w:szCs w:val="22"/>
          <w:lang w:val="en-US" w:eastAsia="en-US"/>
        </w:rPr>
        <w:t xml:space="preserve">his </w:t>
      </w:r>
      <w:r w:rsidRPr="007A77BA">
        <w:rPr>
          <w:szCs w:val="22"/>
          <w:lang w:val="en-US" w:eastAsia="en-US"/>
        </w:rPr>
        <w:t xml:space="preserve">nomination </w:t>
      </w:r>
      <w:r>
        <w:rPr>
          <w:szCs w:val="22"/>
          <w:lang w:val="en-US" w:eastAsia="en-US"/>
        </w:rPr>
        <w:t xml:space="preserve">and </w:t>
      </w:r>
      <w:r w:rsidRPr="007A77BA">
        <w:rPr>
          <w:szCs w:val="22"/>
          <w:lang w:val="en-US" w:eastAsia="en-US"/>
        </w:rPr>
        <w:t xml:space="preserve">in consultation with </w:t>
      </w:r>
      <w:r>
        <w:rPr>
          <w:szCs w:val="22"/>
          <w:lang w:val="en-US" w:eastAsia="en-US"/>
        </w:rPr>
        <w:t xml:space="preserve">the </w:t>
      </w:r>
      <w:r w:rsidRPr="007A77BA">
        <w:rPr>
          <w:szCs w:val="22"/>
          <w:lang w:val="en-US" w:eastAsia="en-US"/>
        </w:rPr>
        <w:t>national focal point of the relevant part</w:t>
      </w:r>
      <w:r>
        <w:rPr>
          <w:szCs w:val="22"/>
          <w:lang w:val="en-US" w:eastAsia="en-US"/>
        </w:rPr>
        <w:t>y</w:t>
      </w:r>
      <w:r w:rsidRPr="007A77BA">
        <w:rPr>
          <w:szCs w:val="22"/>
          <w:lang w:val="en-US" w:eastAsia="en-US"/>
        </w:rPr>
        <w:t>, in accordance with TEAP’s terms of reference.</w:t>
      </w:r>
    </w:p>
    <w:p w14:paraId="2462BCE7" w14:textId="77777777" w:rsidR="001D166E" w:rsidRDefault="001D166E" w:rsidP="001D166E">
      <w:pPr>
        <w:rPr>
          <w:lang w:val="en-US" w:eastAsia="en-US"/>
        </w:rPr>
      </w:pPr>
      <w:r>
        <w:rPr>
          <w:lang w:val="en-US" w:eastAsia="en-US"/>
        </w:rPr>
        <w:t xml:space="preserve">MCTOC co-chairs continue to review and renew its membership and to consider its structure to ensure it can address current and future predicted challenges of the Montreal Protocol in medical and chemicals sectors. Some new areas of expansion in knowledge and expertise include: HFC semiconductor etchants, a sector which uses controlled substances, in the manufacture of semiconductors in etching processes and also in chemical </w:t>
      </w:r>
      <w:proofErr w:type="spellStart"/>
      <w:r>
        <w:rPr>
          <w:lang w:val="en-US" w:eastAsia="en-US"/>
        </w:rPr>
        <w:t>vapour</w:t>
      </w:r>
      <w:proofErr w:type="spellEnd"/>
      <w:r>
        <w:rPr>
          <w:lang w:val="en-US" w:eastAsia="en-US"/>
        </w:rPr>
        <w:t xml:space="preserve"> deposition, that are subject to the HFC phase down; and end-of-life waste management of controlled substances to address the </w:t>
      </w:r>
      <w:r w:rsidRPr="0042799C">
        <w:rPr>
          <w:lang w:val="en-US" w:eastAsia="en-US"/>
        </w:rPr>
        <w:t xml:space="preserve">status of banks and the options available for managing them so as to </w:t>
      </w:r>
      <w:r w:rsidRPr="0042799C">
        <w:rPr>
          <w:lang w:val="en-US" w:eastAsia="en-US"/>
        </w:rPr>
        <w:lastRenderedPageBreak/>
        <w:t xml:space="preserve">avoid emissions </w:t>
      </w:r>
      <w:r>
        <w:rPr>
          <w:lang w:val="en-US" w:eastAsia="en-US"/>
        </w:rPr>
        <w:t>and the associated systemic opportunities and challenges with their disposal and destruction.</w:t>
      </w:r>
    </w:p>
    <w:p w14:paraId="7AF5BEE2" w14:textId="77777777" w:rsidR="001D166E" w:rsidRPr="00D31441" w:rsidRDefault="001D166E" w:rsidP="001D166E">
      <w:pPr>
        <w:rPr>
          <w:sz w:val="24"/>
          <w:szCs w:val="24"/>
          <w:lang w:val="en-US" w:eastAsia="en-US"/>
        </w:rPr>
      </w:pPr>
      <w:r w:rsidRPr="007A77BA">
        <w:rPr>
          <w:lang w:val="en-US" w:eastAsia="en-US"/>
        </w:rPr>
        <w:t xml:space="preserve">MCTOC seeks new members to strengthen expertise in the following identified key knowledge areas: </w:t>
      </w:r>
      <w:r>
        <w:rPr>
          <w:lang w:val="en-US" w:eastAsia="en-US"/>
        </w:rPr>
        <w:t xml:space="preserve">HFC semiconductor etchants; </w:t>
      </w:r>
      <w:r w:rsidRPr="007A77BA">
        <w:rPr>
          <w:lang w:val="en-US" w:eastAsia="en-US"/>
        </w:rPr>
        <w:t>destruction technologies</w:t>
      </w:r>
      <w:r>
        <w:rPr>
          <w:lang w:val="en-US" w:eastAsia="en-US"/>
        </w:rPr>
        <w:t xml:space="preserve"> and end-of-life waste management</w:t>
      </w:r>
      <w:r w:rsidRPr="007A77BA">
        <w:rPr>
          <w:lang w:val="en-US" w:eastAsia="en-US"/>
        </w:rPr>
        <w:t>; metered dose inhalers; and aerosols</w:t>
      </w:r>
      <w:r>
        <w:rPr>
          <w:lang w:val="en-US" w:eastAsia="en-US"/>
        </w:rPr>
        <w:t>.</w:t>
      </w:r>
    </w:p>
    <w:p w14:paraId="23454093" w14:textId="141E556F" w:rsidR="00550028" w:rsidRPr="001D166E" w:rsidRDefault="00BB48C4" w:rsidP="005C5E68">
      <w:pPr>
        <w:pStyle w:val="Heading2"/>
      </w:pPr>
      <w:bookmarkStart w:id="672" w:name="_Toc514151690"/>
      <w:bookmarkStart w:id="673" w:name="_Toc9109612"/>
      <w:bookmarkStart w:id="674" w:name="_Toc77868941"/>
      <w:bookmarkStart w:id="675" w:name="_Toc78040773"/>
      <w:bookmarkStart w:id="676" w:name="_Toc79066577"/>
      <w:bookmarkStart w:id="677" w:name="_Toc104396742"/>
      <w:r>
        <w:rPr>
          <w:rStyle w:val="Heading311ptBoldChar"/>
          <w:b/>
        </w:rPr>
        <w:t>8</w:t>
      </w:r>
      <w:r w:rsidR="00872075" w:rsidRPr="00BE2C76">
        <w:rPr>
          <w:rStyle w:val="Heading311ptBoldChar"/>
          <w:b/>
        </w:rPr>
        <w:t>.</w:t>
      </w:r>
      <w:r w:rsidR="00C7675C">
        <w:rPr>
          <w:rStyle w:val="Heading311ptBoldChar"/>
          <w:b/>
        </w:rPr>
        <w:t>2</w:t>
      </w:r>
      <w:r w:rsidR="00872075" w:rsidRPr="00BE2C76">
        <w:rPr>
          <w:rStyle w:val="Heading311ptBoldChar"/>
          <w:b/>
        </w:rPr>
        <w:t>.5</w:t>
      </w:r>
      <w:r w:rsidR="00872075" w:rsidRPr="00BE2C76">
        <w:rPr>
          <w:rStyle w:val="Heading311ptBoldChar"/>
          <w:b/>
        </w:rPr>
        <w:tab/>
      </w:r>
      <w:r w:rsidR="00AB219E" w:rsidRPr="00BE2C76">
        <w:rPr>
          <w:rStyle w:val="Heading311ptBoldChar"/>
          <w:b/>
        </w:rPr>
        <w:t>RTOC</w:t>
      </w:r>
      <w:bookmarkEnd w:id="672"/>
      <w:bookmarkEnd w:id="673"/>
      <w:bookmarkEnd w:id="674"/>
      <w:bookmarkEnd w:id="675"/>
      <w:bookmarkEnd w:id="676"/>
      <w:bookmarkEnd w:id="677"/>
      <w:r w:rsidR="00AB219E" w:rsidRPr="00BE2C76">
        <w:rPr>
          <w:rStyle w:val="Heading311ptBoldChar"/>
          <w:b/>
        </w:rPr>
        <w:t xml:space="preserve"> </w:t>
      </w:r>
      <w:bookmarkStart w:id="678" w:name="_Toc514151691"/>
      <w:bookmarkStart w:id="679" w:name="_Toc9109613"/>
      <w:bookmarkStart w:id="680" w:name="_Toc40696112"/>
    </w:p>
    <w:p w14:paraId="1D8ACC7F" w14:textId="59522B6A" w:rsidR="00550028" w:rsidRPr="00015CF2" w:rsidRDefault="00550028" w:rsidP="00550028">
      <w:pPr>
        <w:pStyle w:val="Style15"/>
        <w:spacing w:after="240"/>
        <w:rPr>
          <w:rFonts w:eastAsia="MS Mincho"/>
          <w:b w:val="0"/>
          <w:color w:val="auto"/>
          <w:sz w:val="22"/>
          <w:szCs w:val="22"/>
        </w:rPr>
      </w:pPr>
      <w:r w:rsidRPr="00F552D7">
        <w:rPr>
          <w:rFonts w:eastAsia="MS Mincho"/>
          <w:b w:val="0"/>
          <w:iCs/>
          <w:sz w:val="22"/>
          <w:szCs w:val="22"/>
        </w:rPr>
        <w:t xml:space="preserve">During the second half of 2021 and the first half of 2022 RTOC met twice virtually, during 27-29 September 2021 and 9-11 March 2022. </w:t>
      </w:r>
    </w:p>
    <w:p w14:paraId="70D3D8E2" w14:textId="0A282F11" w:rsidR="00550028" w:rsidRPr="003F3495" w:rsidRDefault="00550028" w:rsidP="00550028">
      <w:pPr>
        <w:pStyle w:val="Style15"/>
        <w:spacing w:after="240"/>
        <w:rPr>
          <w:rFonts w:eastAsia="MS Mincho"/>
          <w:b w:val="0"/>
          <w:bCs/>
          <w:color w:val="auto"/>
          <w:sz w:val="22"/>
          <w:szCs w:val="22"/>
        </w:rPr>
      </w:pPr>
      <w:r w:rsidRPr="00F552D7">
        <w:rPr>
          <w:rFonts w:eastAsia="MS Mincho"/>
          <w:b w:val="0"/>
          <w:sz w:val="22"/>
          <w:szCs w:val="22"/>
          <w:lang w:val="en-US"/>
        </w:rPr>
        <w:t xml:space="preserve">Consensus was reached in 2021 about the structure of the 2022 Assessment Report (AR2022), and the same vertical </w:t>
      </w:r>
      <w:proofErr w:type="spellStart"/>
      <w:r w:rsidRPr="00F552D7">
        <w:rPr>
          <w:rFonts w:eastAsia="MS Mincho"/>
          <w:b w:val="0"/>
          <w:sz w:val="22"/>
          <w:szCs w:val="22"/>
          <w:lang w:val="en-US"/>
        </w:rPr>
        <w:t>organi</w:t>
      </w:r>
      <w:r w:rsidR="002C0D7B" w:rsidRPr="002C0D7B">
        <w:rPr>
          <w:rFonts w:eastAsia="MS Mincho"/>
          <w:b w:val="0"/>
          <w:sz w:val="22"/>
          <w:szCs w:val="22"/>
          <w:lang w:val="en-US"/>
        </w:rPr>
        <w:t>s</w:t>
      </w:r>
      <w:r w:rsidRPr="00F552D7">
        <w:rPr>
          <w:rFonts w:eastAsia="MS Mincho"/>
          <w:b w:val="0"/>
          <w:sz w:val="22"/>
          <w:szCs w:val="22"/>
          <w:lang w:val="en-US"/>
        </w:rPr>
        <w:t>ation</w:t>
      </w:r>
      <w:proofErr w:type="spellEnd"/>
      <w:r w:rsidRPr="00F552D7">
        <w:rPr>
          <w:rFonts w:eastAsia="MS Mincho"/>
          <w:b w:val="0"/>
          <w:sz w:val="22"/>
          <w:szCs w:val="22"/>
          <w:lang w:val="en-US"/>
        </w:rPr>
        <w:t xml:space="preserve"> of </w:t>
      </w:r>
      <w:r w:rsidRPr="003F3495">
        <w:rPr>
          <w:rFonts w:eastAsia="MS Mincho"/>
          <w:b w:val="0"/>
          <w:color w:val="auto"/>
          <w:sz w:val="22"/>
          <w:szCs w:val="22"/>
          <w:lang w:val="en-US"/>
        </w:rPr>
        <w:t>the</w:t>
      </w:r>
      <w:r w:rsidRPr="00015CF2">
        <w:rPr>
          <w:rFonts w:eastAsia="MS Mincho"/>
          <w:b w:val="0"/>
          <w:bCs/>
          <w:color w:val="auto"/>
          <w:sz w:val="22"/>
          <w:szCs w:val="22"/>
          <w:lang w:val="en-US"/>
        </w:rPr>
        <w:t xml:space="preserve"> previous RTOC AR2018</w:t>
      </w:r>
      <w:r w:rsidRPr="003F3495">
        <w:rPr>
          <w:rFonts w:eastAsia="MS Mincho"/>
          <w:b w:val="0"/>
          <w:bCs/>
          <w:color w:val="auto"/>
          <w:sz w:val="22"/>
          <w:szCs w:val="22"/>
          <w:lang w:val="en-US"/>
        </w:rPr>
        <w:t xml:space="preserve"> was maintained, including the Chapter Lead Authors and Chapters Authors structure.</w:t>
      </w:r>
      <w:r w:rsidRPr="003F3495">
        <w:rPr>
          <w:rFonts w:eastAsia="MS Mincho"/>
          <w:b w:val="0"/>
          <w:bCs/>
          <w:color w:val="auto"/>
          <w:sz w:val="22"/>
          <w:szCs w:val="22"/>
        </w:rPr>
        <w:t xml:space="preserve"> </w:t>
      </w:r>
    </w:p>
    <w:p w14:paraId="0A345183" w14:textId="77777777" w:rsidR="00550028" w:rsidRDefault="00550028" w:rsidP="00550028">
      <w:pPr>
        <w:pStyle w:val="Style15"/>
        <w:spacing w:after="240"/>
        <w:rPr>
          <w:rFonts w:eastAsia="MS Mincho"/>
          <w:b w:val="0"/>
          <w:bCs/>
          <w:color w:val="auto"/>
          <w:sz w:val="22"/>
          <w:szCs w:val="22"/>
        </w:rPr>
      </w:pPr>
      <w:r w:rsidRPr="003F3495">
        <w:rPr>
          <w:rFonts w:eastAsia="MS Mincho"/>
          <w:b w:val="0"/>
          <w:bCs/>
          <w:color w:val="auto"/>
          <w:sz w:val="22"/>
          <w:szCs w:val="22"/>
        </w:rPr>
        <w:t>During the 2021 meeting</w:t>
      </w:r>
      <w:r>
        <w:rPr>
          <w:rFonts w:eastAsia="MS Mincho"/>
          <w:b w:val="0"/>
          <w:bCs/>
          <w:color w:val="auto"/>
          <w:sz w:val="22"/>
          <w:szCs w:val="22"/>
        </w:rPr>
        <w:t>,</w:t>
      </w:r>
      <w:r w:rsidRPr="003F3495">
        <w:rPr>
          <w:rFonts w:eastAsia="MS Mincho"/>
          <w:b w:val="0"/>
          <w:bCs/>
          <w:color w:val="auto"/>
          <w:sz w:val="22"/>
          <w:szCs w:val="22"/>
        </w:rPr>
        <w:t xml:space="preserve"> the revision of the First Order Draft (FOD) of AR2022 and the release</w:t>
      </w:r>
      <w:r w:rsidRPr="003F3495" w:rsidDel="0069663A">
        <w:rPr>
          <w:rFonts w:eastAsia="MS Mincho"/>
          <w:b w:val="0"/>
          <w:bCs/>
          <w:color w:val="auto"/>
          <w:sz w:val="22"/>
          <w:szCs w:val="22"/>
        </w:rPr>
        <w:t xml:space="preserve"> </w:t>
      </w:r>
      <w:r w:rsidRPr="003F3495">
        <w:rPr>
          <w:rFonts w:eastAsia="MS Mincho"/>
          <w:b w:val="0"/>
          <w:bCs/>
          <w:color w:val="auto"/>
          <w:sz w:val="22"/>
          <w:szCs w:val="22"/>
        </w:rPr>
        <w:t>of the guidelines for the preparation of the Second Order Draft (SOD</w:t>
      </w:r>
      <w:r>
        <w:rPr>
          <w:rFonts w:eastAsia="MS Mincho"/>
          <w:b w:val="0"/>
          <w:bCs/>
          <w:color w:val="auto"/>
          <w:sz w:val="22"/>
          <w:szCs w:val="22"/>
        </w:rPr>
        <w:t xml:space="preserve">, </w:t>
      </w:r>
      <w:r w:rsidRPr="007F1C02">
        <w:rPr>
          <w:rFonts w:eastAsia="MS Mincho"/>
          <w:b w:val="0"/>
          <w:bCs/>
          <w:color w:val="auto"/>
          <w:sz w:val="22"/>
          <w:szCs w:val="22"/>
        </w:rPr>
        <w:t>were performed.</w:t>
      </w:r>
    </w:p>
    <w:p w14:paraId="1427C85D" w14:textId="1F016C67" w:rsidR="00550028" w:rsidRPr="00EC210D" w:rsidRDefault="00550028" w:rsidP="00550028">
      <w:pPr>
        <w:rPr>
          <w:bCs/>
        </w:rPr>
      </w:pPr>
      <w:r w:rsidRPr="00EC210D">
        <w:t>The revision of the SOD was worked on during the March 2022 meeting and the deadline for the Third Order Draft (TOD) was established for mid-June 2022. The TOD will be edited and completed by the RTOC co-chairs, it will then be</w:t>
      </w:r>
      <w:r w:rsidR="005617DE">
        <w:t xml:space="preserve"> </w:t>
      </w:r>
      <w:r w:rsidRPr="00EC210D">
        <w:t>submitted on September/October 2022 for peer review and RTOC members’ review, to 18 international RACHP organi</w:t>
      </w:r>
      <w:r w:rsidR="002C0D7B" w:rsidRPr="002C0D7B">
        <w:t>s</w:t>
      </w:r>
      <w:r w:rsidRPr="00EC210D">
        <w:t>ations and a few outside experts, as it was done for the RTOC 2018 Assessment Report.</w:t>
      </w:r>
    </w:p>
    <w:p w14:paraId="521C3809" w14:textId="53F468E0" w:rsidR="00550028" w:rsidRPr="000A5B4E" w:rsidRDefault="00550028" w:rsidP="00B710A8">
      <w:pPr>
        <w:widowControl w:val="0"/>
        <w:autoSpaceDE w:val="0"/>
        <w:autoSpaceDN w:val="0"/>
        <w:adjustRightInd w:val="0"/>
      </w:pPr>
      <w:r w:rsidRPr="000A5B4E">
        <w:t>During the 2020-202</w:t>
      </w:r>
      <w:r>
        <w:t>2</w:t>
      </w:r>
      <w:r w:rsidRPr="000A5B4E">
        <w:t xml:space="preserve"> pandemic, the RTOC membership stood at 42 members </w:t>
      </w:r>
      <w:r w:rsidRPr="000A5B4E">
        <w:rPr>
          <w:i/>
          <w:iCs/>
        </w:rPr>
        <w:t>(i.e., as of January 2020).</w:t>
      </w:r>
      <w:r w:rsidRPr="000A5B4E">
        <w:t xml:space="preserve"> </w:t>
      </w:r>
    </w:p>
    <w:p w14:paraId="02056B77" w14:textId="6AC04675" w:rsidR="00245849" w:rsidRPr="00517FCE" w:rsidRDefault="00BB48C4" w:rsidP="005C5E68">
      <w:pPr>
        <w:pStyle w:val="Heading2"/>
        <w:rPr>
          <w:rStyle w:val="Heading2Char"/>
          <w:b/>
        </w:rPr>
      </w:pPr>
      <w:bookmarkStart w:id="681" w:name="_Toc104396743"/>
      <w:r>
        <w:rPr>
          <w:rStyle w:val="Heading2Char"/>
          <w:b/>
        </w:rPr>
        <w:t>8</w:t>
      </w:r>
      <w:r w:rsidR="00245849" w:rsidRPr="00517FCE">
        <w:rPr>
          <w:rStyle w:val="Heading2Char"/>
          <w:b/>
        </w:rPr>
        <w:t>.4</w:t>
      </w:r>
      <w:r w:rsidR="00245849" w:rsidRPr="00517FCE">
        <w:rPr>
          <w:rStyle w:val="Heading2Char"/>
          <w:b/>
        </w:rPr>
        <w:tab/>
      </w:r>
      <w:r w:rsidR="00CA5012">
        <w:rPr>
          <w:rStyle w:val="Heading2Char"/>
          <w:b/>
        </w:rPr>
        <w:t xml:space="preserve">Organisational Matters – </w:t>
      </w:r>
      <w:r w:rsidR="00B710A8">
        <w:rPr>
          <w:rStyle w:val="Heading2Char"/>
          <w:b/>
        </w:rPr>
        <w:t>Recommendations</w:t>
      </w:r>
      <w:bookmarkEnd w:id="681"/>
    </w:p>
    <w:p w14:paraId="0182EB6C" w14:textId="1BF251ED" w:rsidR="00CA5012" w:rsidRPr="00C963D8" w:rsidRDefault="00BB48C4" w:rsidP="00821BBC">
      <w:pPr>
        <w:pStyle w:val="Heading2"/>
        <w:rPr>
          <w:rStyle w:val="Heading311ptBoldChar"/>
          <w:b/>
        </w:rPr>
      </w:pPr>
      <w:bookmarkStart w:id="682" w:name="_Toc104396744"/>
      <w:bookmarkEnd w:id="658"/>
      <w:bookmarkEnd w:id="659"/>
      <w:bookmarkEnd w:id="678"/>
      <w:bookmarkEnd w:id="679"/>
      <w:bookmarkEnd w:id="680"/>
      <w:r w:rsidRPr="00C963D8">
        <w:rPr>
          <w:rStyle w:val="Heading311ptBoldChar"/>
          <w:b/>
        </w:rPr>
        <w:t>8</w:t>
      </w:r>
      <w:r w:rsidR="00CA5012" w:rsidRPr="00C963D8">
        <w:rPr>
          <w:rStyle w:val="Heading311ptBoldChar"/>
          <w:b/>
        </w:rPr>
        <w:t>.4.1</w:t>
      </w:r>
      <w:r w:rsidR="002B6B90" w:rsidRPr="00C963D8">
        <w:rPr>
          <w:rStyle w:val="Heading311ptBoldChar"/>
          <w:b/>
        </w:rPr>
        <w:tab/>
      </w:r>
      <w:r w:rsidR="00CA5012" w:rsidRPr="00C963D8">
        <w:rPr>
          <w:rStyle w:val="Heading311ptBoldChar"/>
          <w:b/>
        </w:rPr>
        <w:t>Introduction</w:t>
      </w:r>
      <w:bookmarkEnd w:id="682"/>
    </w:p>
    <w:p w14:paraId="168E3FFD" w14:textId="251B975B" w:rsidR="00CA5012" w:rsidRDefault="00CA5012" w:rsidP="00CA5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Cs w:val="22"/>
        </w:rPr>
      </w:pPr>
      <w:r w:rsidRPr="00247F53">
        <w:rPr>
          <w:szCs w:val="22"/>
        </w:rPr>
        <w:t>TEAP continues to maintain or have access to the expertise, experience</w:t>
      </w:r>
      <w:r w:rsidR="002C0D7B" w:rsidRPr="002C0D7B">
        <w:rPr>
          <w:szCs w:val="22"/>
        </w:rPr>
        <w:t>,</w:t>
      </w:r>
      <w:r w:rsidRPr="00247F53">
        <w:rPr>
          <w:szCs w:val="22"/>
        </w:rPr>
        <w:t xml:space="preserve"> and capacity to provide the parties with the technical and economic information they need to further the goals and objectives of the Vienna Convention and Montreal Protocol thr</w:t>
      </w:r>
      <w:r w:rsidRPr="00C2166B">
        <w:rPr>
          <w:szCs w:val="22"/>
        </w:rPr>
        <w:t xml:space="preserve">ough reports, presentations, analyses, </w:t>
      </w:r>
      <w:r>
        <w:rPr>
          <w:szCs w:val="22"/>
        </w:rPr>
        <w:t>recommendations</w:t>
      </w:r>
      <w:r w:rsidRPr="00C2166B">
        <w:rPr>
          <w:szCs w:val="22"/>
        </w:rPr>
        <w:t xml:space="preserve"> requested by the parties. </w:t>
      </w:r>
      <w:r>
        <w:rPr>
          <w:szCs w:val="22"/>
        </w:rPr>
        <w:t xml:space="preserve">The expertise and structure of </w:t>
      </w:r>
      <w:r w:rsidRPr="00C2166B">
        <w:rPr>
          <w:szCs w:val="22"/>
        </w:rPr>
        <w:t xml:space="preserve">TEAP and its TOCs are </w:t>
      </w:r>
      <w:r>
        <w:rPr>
          <w:szCs w:val="22"/>
        </w:rPr>
        <w:t xml:space="preserve">designed to address its current workload, including completing its </w:t>
      </w:r>
      <w:r w:rsidRPr="00C2166B">
        <w:rPr>
          <w:szCs w:val="22"/>
        </w:rPr>
        <w:t>Assessment Reports at the end of 2022. TEAP continues to review its organi</w:t>
      </w:r>
      <w:r w:rsidR="002C0D7B" w:rsidRPr="002C0D7B">
        <w:rPr>
          <w:szCs w:val="22"/>
        </w:rPr>
        <w:t>s</w:t>
      </w:r>
      <w:r w:rsidRPr="00C2166B">
        <w:rPr>
          <w:szCs w:val="22"/>
        </w:rPr>
        <w:t xml:space="preserve">ation and structure to ensure that TEAP and its TOCS are structured in size and expertise to support future efforts of the parties to phase out ODS and phase down HFCs. </w:t>
      </w:r>
    </w:p>
    <w:p w14:paraId="6A3997C3" w14:textId="77777777" w:rsidR="00CA5012" w:rsidRPr="00C2166B" w:rsidRDefault="00CA5012" w:rsidP="00CA501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Cs w:val="22"/>
        </w:rPr>
      </w:pPr>
      <w:r w:rsidRPr="00C2166B">
        <w:rPr>
          <w:szCs w:val="22"/>
        </w:rPr>
        <w:t>In its presentation to the high-level segment at MOP-33, TEAP noted some of the challenges to its work over the past few years:</w:t>
      </w:r>
    </w:p>
    <w:p w14:paraId="3E800ACA" w14:textId="77777777" w:rsidR="00CA5012" w:rsidRPr="00C2166B" w:rsidRDefault="00CA5012" w:rsidP="00821BBC">
      <w:pPr>
        <w:pStyle w:val="ListParagraph"/>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firstLineChars="0"/>
        <w:rPr>
          <w:rFonts w:ascii="Times New Roman" w:hAnsi="Times New Roman"/>
          <w:i/>
          <w:iCs/>
          <w:sz w:val="22"/>
          <w:lang w:val="en-US"/>
        </w:rPr>
      </w:pPr>
      <w:r w:rsidRPr="00C2166B">
        <w:rPr>
          <w:rFonts w:ascii="Times New Roman" w:hAnsi="Times New Roman"/>
          <w:i/>
          <w:iCs/>
          <w:sz w:val="22"/>
          <w:lang w:val="en-US"/>
        </w:rPr>
        <w:t>The COVID pandemic has required Montreal Protocol processes to adapt (e.g., online comment forums, written responses to comments, extended technical sessions, repeated presentations, expanding scope over time).</w:t>
      </w:r>
    </w:p>
    <w:p w14:paraId="512ABB9A" w14:textId="77777777" w:rsidR="00CA5012" w:rsidRPr="00C2166B" w:rsidRDefault="00CA5012" w:rsidP="00821BBC">
      <w:pPr>
        <w:pStyle w:val="ListParagraph"/>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firstLineChars="0"/>
        <w:rPr>
          <w:rFonts w:ascii="Times New Roman" w:hAnsi="Times New Roman"/>
          <w:i/>
          <w:iCs/>
          <w:sz w:val="22"/>
          <w:lang w:val="en-US"/>
        </w:rPr>
      </w:pPr>
      <w:r w:rsidRPr="00C2166B">
        <w:rPr>
          <w:rFonts w:ascii="Times New Roman" w:hAnsi="Times New Roman"/>
          <w:i/>
          <w:iCs/>
          <w:sz w:val="22"/>
          <w:lang w:val="en-US"/>
        </w:rPr>
        <w:t>Despite the substantial additional workload and challenges with maintaining consensus and engagement virtually, TEAP has provided 14 reports since MOP-31.</w:t>
      </w:r>
    </w:p>
    <w:p w14:paraId="6F6BE313" w14:textId="77777777" w:rsidR="00CA5012" w:rsidRPr="00821BBC" w:rsidRDefault="00CA5012" w:rsidP="00821BBC">
      <w:pPr>
        <w:pStyle w:val="ListParagraph"/>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firstLineChars="0"/>
        <w:rPr>
          <w:i/>
          <w:iCs/>
          <w:lang w:val="en-US"/>
        </w:rPr>
      </w:pPr>
      <w:r w:rsidRPr="00821BBC">
        <w:rPr>
          <w:rFonts w:ascii="Times New Roman" w:hAnsi="Times New Roman"/>
          <w:i/>
          <w:iCs/>
          <w:sz w:val="22"/>
          <w:lang w:val="en-US"/>
        </w:rPr>
        <w:t>TEAP and TOC memberships are world-leading technical experts in their field, and we constantly strive to maintain that level of independent technical and economic expertise for the service of parties.</w:t>
      </w:r>
    </w:p>
    <w:p w14:paraId="18F351D5" w14:textId="77777777" w:rsidR="00CA5012" w:rsidRPr="00821BBC" w:rsidRDefault="00CA5012" w:rsidP="00821BBC">
      <w:pPr>
        <w:pStyle w:val="ListParagraph"/>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firstLineChars="0"/>
        <w:rPr>
          <w:i/>
          <w:iCs/>
          <w:lang w:val="en-US"/>
        </w:rPr>
      </w:pPr>
      <w:r w:rsidRPr="00821BBC">
        <w:rPr>
          <w:rFonts w:ascii="Times New Roman" w:hAnsi="Times New Roman"/>
          <w:i/>
          <w:iCs/>
          <w:sz w:val="22"/>
          <w:lang w:val="en-US"/>
        </w:rPr>
        <w:t>TEAP is aware of the need to ensure that its membership meets the evolving needs of parties whilst ensuring continuity of its work under the Montreal Protocol.</w:t>
      </w:r>
    </w:p>
    <w:p w14:paraId="49970AA8" w14:textId="77777777" w:rsidR="00CA5012" w:rsidRPr="00821BBC" w:rsidRDefault="00CA5012" w:rsidP="00821BBC">
      <w:pPr>
        <w:pStyle w:val="ListParagraph"/>
        <w:numPr>
          <w:ilvl w:val="0"/>
          <w:numId w:val="7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40" w:firstLineChars="0"/>
        <w:rPr>
          <w:i/>
          <w:iCs/>
          <w:lang w:val="en-US"/>
        </w:rPr>
      </w:pPr>
      <w:r w:rsidRPr="00821BBC">
        <w:rPr>
          <w:rFonts w:ascii="Times New Roman" w:hAnsi="Times New Roman"/>
          <w:i/>
          <w:iCs/>
          <w:sz w:val="22"/>
          <w:lang w:val="en-US"/>
        </w:rPr>
        <w:lastRenderedPageBreak/>
        <w:t>TEAP is planning face-to-face discussions in 2022 on its structure, membership, and future directions to present in its 2022 Progress Report.</w:t>
      </w:r>
    </w:p>
    <w:p w14:paraId="4280A44D" w14:textId="77777777" w:rsidR="00CA5012" w:rsidRPr="00247F53" w:rsidRDefault="00CA5012" w:rsidP="00CA5012">
      <w:pPr>
        <w:pStyle w:val="Style15"/>
        <w:rPr>
          <w:b w:val="0"/>
          <w:sz w:val="22"/>
          <w:szCs w:val="22"/>
        </w:rPr>
      </w:pPr>
    </w:p>
    <w:p w14:paraId="5C2BEC92" w14:textId="57959018" w:rsidR="00CA5012" w:rsidRDefault="00CA5012" w:rsidP="00CA5012">
      <w:pPr>
        <w:pStyle w:val="Style15"/>
        <w:rPr>
          <w:b w:val="0"/>
          <w:sz w:val="22"/>
          <w:szCs w:val="22"/>
        </w:rPr>
      </w:pPr>
      <w:r>
        <w:rPr>
          <w:b w:val="0"/>
          <w:sz w:val="22"/>
          <w:szCs w:val="22"/>
        </w:rPr>
        <w:t>In May 2022, at its hybrid meeting in London</w:t>
      </w:r>
      <w:r w:rsidRPr="00247F53">
        <w:rPr>
          <w:b w:val="0"/>
          <w:sz w:val="22"/>
          <w:szCs w:val="22"/>
        </w:rPr>
        <w:t>,</w:t>
      </w:r>
      <w:r w:rsidRPr="00C2166B">
        <w:rPr>
          <w:b w:val="0"/>
          <w:sz w:val="22"/>
          <w:szCs w:val="22"/>
        </w:rPr>
        <w:t xml:space="preserve"> TEAP discussed its structure</w:t>
      </w:r>
      <w:r>
        <w:rPr>
          <w:b w:val="0"/>
          <w:sz w:val="22"/>
          <w:szCs w:val="22"/>
        </w:rPr>
        <w:t>,</w:t>
      </w:r>
      <w:r w:rsidRPr="00C2166B">
        <w:rPr>
          <w:b w:val="0"/>
          <w:sz w:val="22"/>
          <w:szCs w:val="22"/>
        </w:rPr>
        <w:t xml:space="preserve"> memberships</w:t>
      </w:r>
      <w:r>
        <w:rPr>
          <w:b w:val="0"/>
          <w:sz w:val="22"/>
          <w:szCs w:val="22"/>
        </w:rPr>
        <w:t>,</w:t>
      </w:r>
      <w:r w:rsidRPr="00C2166B">
        <w:rPr>
          <w:b w:val="0"/>
          <w:sz w:val="22"/>
          <w:szCs w:val="22"/>
        </w:rPr>
        <w:t xml:space="preserve"> particularly within its TOCs</w:t>
      </w:r>
      <w:r>
        <w:rPr>
          <w:b w:val="0"/>
          <w:sz w:val="22"/>
          <w:szCs w:val="22"/>
        </w:rPr>
        <w:t>, and how best to meet the continuing trends and challenges that may impact the future efforts of the parties to ensure the phase out of ODS and phase down of HFCs.</w:t>
      </w:r>
      <w:r w:rsidRPr="00C2166B">
        <w:rPr>
          <w:b w:val="0"/>
          <w:sz w:val="22"/>
          <w:szCs w:val="22"/>
        </w:rPr>
        <w:t xml:space="preserve"> In particular, TEAP considered the</w:t>
      </w:r>
      <w:r>
        <w:rPr>
          <w:b w:val="0"/>
          <w:sz w:val="22"/>
          <w:szCs w:val="22"/>
        </w:rPr>
        <w:t xml:space="preserve"> increasing </w:t>
      </w:r>
      <w:r w:rsidRPr="00C2166B">
        <w:rPr>
          <w:b w:val="0"/>
          <w:sz w:val="22"/>
          <w:szCs w:val="22"/>
        </w:rPr>
        <w:t xml:space="preserve">emphasis on </w:t>
      </w:r>
      <w:r>
        <w:rPr>
          <w:b w:val="0"/>
          <w:sz w:val="22"/>
          <w:szCs w:val="22"/>
        </w:rPr>
        <w:t xml:space="preserve">food and vaccine cold chains and the overall health and performance of buildings especially during the pandemic, including </w:t>
      </w:r>
      <w:r w:rsidRPr="00C2166B">
        <w:rPr>
          <w:b w:val="0"/>
          <w:sz w:val="22"/>
          <w:szCs w:val="22"/>
        </w:rPr>
        <w:t>energy efficiency, safety, and availability of alternatives</w:t>
      </w:r>
      <w:r>
        <w:rPr>
          <w:b w:val="0"/>
          <w:sz w:val="22"/>
          <w:szCs w:val="22"/>
        </w:rPr>
        <w:t xml:space="preserve"> during the transition to ODS and HFC alternatives</w:t>
      </w:r>
      <w:r w:rsidRPr="00C2166B">
        <w:rPr>
          <w:b w:val="0"/>
          <w:sz w:val="22"/>
          <w:szCs w:val="22"/>
        </w:rPr>
        <w:t xml:space="preserve">. </w:t>
      </w:r>
      <w:r w:rsidRPr="00247F53">
        <w:rPr>
          <w:b w:val="0"/>
          <w:sz w:val="22"/>
          <w:szCs w:val="22"/>
        </w:rPr>
        <w:t xml:space="preserve">Based on its discussions at its meeting, TEAP is providing its recommendations for the consideration of parties to address these specific challenges through a restructuring of two TOCs: RTOC and FTOC. </w:t>
      </w:r>
      <w:r>
        <w:rPr>
          <w:b w:val="0"/>
          <w:sz w:val="22"/>
          <w:szCs w:val="22"/>
        </w:rPr>
        <w:t>In addition, TEAP considered the scope of work for its three additional TOCs (MCTOC, MBTOC, HTOC).</w:t>
      </w:r>
      <w:r w:rsidR="005617DE">
        <w:rPr>
          <w:b w:val="0"/>
          <w:sz w:val="22"/>
          <w:szCs w:val="22"/>
        </w:rPr>
        <w:t xml:space="preserve"> </w:t>
      </w:r>
    </w:p>
    <w:p w14:paraId="1C1F8BA3" w14:textId="77777777" w:rsidR="00CA5012" w:rsidRDefault="00CA5012" w:rsidP="00CA5012">
      <w:pPr>
        <w:pStyle w:val="Style15"/>
        <w:rPr>
          <w:b w:val="0"/>
          <w:sz w:val="22"/>
          <w:szCs w:val="22"/>
        </w:rPr>
      </w:pPr>
    </w:p>
    <w:p w14:paraId="0E5C9440" w14:textId="6D5BED1D" w:rsidR="00CA5012" w:rsidRPr="00247F53" w:rsidRDefault="00CA5012" w:rsidP="00CA5012">
      <w:pPr>
        <w:pStyle w:val="Style15"/>
        <w:rPr>
          <w:b w:val="0"/>
          <w:sz w:val="22"/>
          <w:szCs w:val="22"/>
        </w:rPr>
      </w:pPr>
      <w:r>
        <w:rPr>
          <w:b w:val="0"/>
          <w:sz w:val="22"/>
          <w:szCs w:val="22"/>
        </w:rPr>
        <w:t>According to t</w:t>
      </w:r>
      <w:r w:rsidRPr="00247F53">
        <w:rPr>
          <w:b w:val="0"/>
          <w:sz w:val="22"/>
          <w:szCs w:val="22"/>
        </w:rPr>
        <w:t xml:space="preserve">he TEAP Terms of Reference (TOR), "[to] carry out its work programme, technical options committees (TOCs) are established and agreed to by a decision of the parties.” These recommendations </w:t>
      </w:r>
      <w:r>
        <w:rPr>
          <w:b w:val="0"/>
          <w:sz w:val="22"/>
          <w:szCs w:val="22"/>
        </w:rPr>
        <w:t xml:space="preserve">to parties </w:t>
      </w:r>
      <w:r w:rsidRPr="00247F53">
        <w:rPr>
          <w:b w:val="0"/>
          <w:sz w:val="22"/>
          <w:szCs w:val="22"/>
        </w:rPr>
        <w:t xml:space="preserve">follow </w:t>
      </w:r>
      <w:r>
        <w:rPr>
          <w:b w:val="0"/>
          <w:sz w:val="22"/>
          <w:szCs w:val="22"/>
        </w:rPr>
        <w:t xml:space="preserve">a detailed consideration of work and reflect </w:t>
      </w:r>
      <w:r w:rsidRPr="00247F53">
        <w:rPr>
          <w:b w:val="0"/>
          <w:sz w:val="22"/>
          <w:szCs w:val="22"/>
        </w:rPr>
        <w:t xml:space="preserve">TEAP’s continuing commitment to the aims of the parties so that its TOCs are structured to support current and future efforts under the Vienna Convention and Montreal Protocol. </w:t>
      </w:r>
    </w:p>
    <w:p w14:paraId="10B01E2A" w14:textId="6E65D8F4" w:rsidR="00CA5012" w:rsidRPr="002B6B90" w:rsidRDefault="00BB48C4" w:rsidP="00821BBC">
      <w:pPr>
        <w:pStyle w:val="Heading2"/>
        <w:rPr>
          <w:rStyle w:val="Heading311ptBoldChar"/>
          <w:b/>
        </w:rPr>
      </w:pPr>
      <w:bookmarkStart w:id="683" w:name="_Toc104396745"/>
      <w:r>
        <w:rPr>
          <w:rStyle w:val="Heading311ptBoldChar"/>
          <w:b/>
        </w:rPr>
        <w:t>8</w:t>
      </w:r>
      <w:r w:rsidR="002B6B90" w:rsidRPr="002B6B90">
        <w:rPr>
          <w:rStyle w:val="Heading311ptBoldChar"/>
          <w:b/>
        </w:rPr>
        <w:t>.4.2</w:t>
      </w:r>
      <w:r w:rsidR="002B6B90" w:rsidRPr="002B6B90">
        <w:rPr>
          <w:rStyle w:val="Heading311ptBoldChar"/>
          <w:b/>
        </w:rPr>
        <w:tab/>
      </w:r>
      <w:r w:rsidR="00CA5012" w:rsidRPr="002B6B90">
        <w:rPr>
          <w:rStyle w:val="Heading311ptBoldChar"/>
          <w:b/>
        </w:rPr>
        <w:t>Considerations for RTOC and FTOC</w:t>
      </w:r>
      <w:bookmarkEnd w:id="683"/>
    </w:p>
    <w:p w14:paraId="4817E08A" w14:textId="77777777" w:rsidR="00CA5012" w:rsidRDefault="00CA5012" w:rsidP="00CA5012">
      <w:pPr>
        <w:pStyle w:val="Style15"/>
        <w:rPr>
          <w:b w:val="0"/>
          <w:sz w:val="22"/>
          <w:szCs w:val="22"/>
        </w:rPr>
      </w:pPr>
      <w:r w:rsidRPr="00042D6E">
        <w:rPr>
          <w:b w:val="0"/>
          <w:sz w:val="22"/>
          <w:szCs w:val="22"/>
        </w:rPr>
        <w:t>A synergistic approach to cold chains for food and</w:t>
      </w:r>
      <w:r>
        <w:rPr>
          <w:b w:val="0"/>
          <w:sz w:val="22"/>
          <w:szCs w:val="22"/>
        </w:rPr>
        <w:t xml:space="preserve"> other perishables as well as</w:t>
      </w:r>
      <w:r w:rsidRPr="00042D6E">
        <w:rPr>
          <w:b w:val="0"/>
          <w:sz w:val="22"/>
          <w:szCs w:val="22"/>
        </w:rPr>
        <w:t xml:space="preserve"> medicines </w:t>
      </w:r>
      <w:r>
        <w:rPr>
          <w:b w:val="0"/>
          <w:sz w:val="22"/>
          <w:szCs w:val="22"/>
        </w:rPr>
        <w:t>w</w:t>
      </w:r>
      <w:r w:rsidRPr="00042D6E">
        <w:rPr>
          <w:b w:val="0"/>
          <w:sz w:val="22"/>
          <w:szCs w:val="22"/>
        </w:rPr>
        <w:t>ould allow for more thoughtful consideration of the architecture of retail facilities and how that may impact foam blowing agent and refrigerant selection and safe</w:t>
      </w:r>
      <w:r>
        <w:rPr>
          <w:b w:val="0"/>
          <w:sz w:val="22"/>
          <w:szCs w:val="22"/>
        </w:rPr>
        <w:t>,</w:t>
      </w:r>
      <w:r w:rsidRPr="00042D6E">
        <w:rPr>
          <w:b w:val="0"/>
          <w:sz w:val="22"/>
          <w:szCs w:val="22"/>
        </w:rPr>
        <w:t xml:space="preserve"> </w:t>
      </w:r>
      <w:r>
        <w:rPr>
          <w:b w:val="0"/>
          <w:sz w:val="22"/>
          <w:szCs w:val="22"/>
        </w:rPr>
        <w:t xml:space="preserve">efficient </w:t>
      </w:r>
      <w:r w:rsidRPr="00042D6E">
        <w:rPr>
          <w:b w:val="0"/>
          <w:sz w:val="22"/>
          <w:szCs w:val="22"/>
        </w:rPr>
        <w:t>use. Similarly, issues such as selection of ODS and HFC alternatives and energy demands in the context of ventilation needs and load reduction in buildings through insulation and design, could be ex</w:t>
      </w:r>
      <w:r>
        <w:rPr>
          <w:b w:val="0"/>
          <w:sz w:val="22"/>
          <w:szCs w:val="22"/>
        </w:rPr>
        <w:t>a</w:t>
      </w:r>
      <w:r w:rsidRPr="00042D6E">
        <w:rPr>
          <w:b w:val="0"/>
          <w:sz w:val="22"/>
          <w:szCs w:val="22"/>
        </w:rPr>
        <w:t>mined in a holistic manner</w:t>
      </w:r>
      <w:r>
        <w:rPr>
          <w:b w:val="0"/>
          <w:sz w:val="22"/>
          <w:szCs w:val="22"/>
        </w:rPr>
        <w:t>.</w:t>
      </w:r>
    </w:p>
    <w:p w14:paraId="4A745E03" w14:textId="77777777" w:rsidR="00CA5012" w:rsidRDefault="00CA5012" w:rsidP="00CA5012">
      <w:pPr>
        <w:pStyle w:val="Style15"/>
        <w:rPr>
          <w:b w:val="0"/>
          <w:sz w:val="22"/>
          <w:szCs w:val="22"/>
        </w:rPr>
      </w:pPr>
    </w:p>
    <w:p w14:paraId="6D477E77" w14:textId="77777777" w:rsidR="00CA5012" w:rsidRPr="00247F53" w:rsidRDefault="00CA5012" w:rsidP="00CA5012">
      <w:pPr>
        <w:pStyle w:val="Style15"/>
        <w:rPr>
          <w:b w:val="0"/>
          <w:sz w:val="22"/>
          <w:szCs w:val="22"/>
        </w:rPr>
      </w:pPr>
      <w:r w:rsidRPr="00247F53">
        <w:rPr>
          <w:b w:val="0"/>
          <w:sz w:val="22"/>
          <w:szCs w:val="22"/>
        </w:rPr>
        <w:t>The TEAP is recommending the following to enhance its ability to provide necessary support to the Parties and provides further background information below</w:t>
      </w:r>
      <w:r>
        <w:rPr>
          <w:b w:val="0"/>
          <w:sz w:val="22"/>
          <w:szCs w:val="22"/>
        </w:rPr>
        <w:t>.</w:t>
      </w:r>
      <w:r w:rsidRPr="00247F53">
        <w:rPr>
          <w:b w:val="0"/>
          <w:sz w:val="22"/>
          <w:szCs w:val="22"/>
        </w:rPr>
        <w:t xml:space="preserve"> </w:t>
      </w:r>
    </w:p>
    <w:p w14:paraId="6ACB9237" w14:textId="77777777" w:rsidR="00CA5012" w:rsidRDefault="00CA5012" w:rsidP="00CA5012">
      <w:pPr>
        <w:pStyle w:val="ListParagraph"/>
        <w:ind w:firstLine="442"/>
        <w:rPr>
          <w:b/>
          <w:sz w:val="22"/>
        </w:rPr>
      </w:pPr>
    </w:p>
    <w:p w14:paraId="1EB532E8" w14:textId="77777777" w:rsidR="00CA5012" w:rsidRDefault="00CA5012" w:rsidP="00107383">
      <w:pPr>
        <w:pStyle w:val="Style15"/>
        <w:numPr>
          <w:ilvl w:val="0"/>
          <w:numId w:val="76"/>
        </w:numPr>
        <w:rPr>
          <w:b w:val="0"/>
          <w:sz w:val="22"/>
          <w:szCs w:val="22"/>
        </w:rPr>
      </w:pPr>
      <w:r>
        <w:rPr>
          <w:b w:val="0"/>
          <w:sz w:val="22"/>
          <w:szCs w:val="22"/>
        </w:rPr>
        <w:t>In recognition of the timely opportunity to address these challenges, t</w:t>
      </w:r>
      <w:r w:rsidRPr="00247F53">
        <w:rPr>
          <w:b w:val="0"/>
          <w:sz w:val="22"/>
          <w:szCs w:val="22"/>
        </w:rPr>
        <w:t xml:space="preserve">he TEAP would like the parties to consider </w:t>
      </w:r>
      <w:r>
        <w:rPr>
          <w:b w:val="0"/>
          <w:sz w:val="22"/>
          <w:szCs w:val="22"/>
        </w:rPr>
        <w:t xml:space="preserve">forming two new TOCs in place of </w:t>
      </w:r>
      <w:r w:rsidRPr="00247F53">
        <w:rPr>
          <w:b w:val="0"/>
          <w:sz w:val="22"/>
          <w:szCs w:val="22"/>
        </w:rPr>
        <w:t>the current Refrigeration, Air Conditioning and Heat Pumps Technical Options Committee (RTOC) and the Flexible and Rigid Foams Technical Options Committee (FTOC, to be called the</w:t>
      </w:r>
    </w:p>
    <w:p w14:paraId="286EA98D" w14:textId="77777777" w:rsidR="00CA5012" w:rsidRPr="00142C85" w:rsidRDefault="00CA5012" w:rsidP="00107383">
      <w:pPr>
        <w:pStyle w:val="Style15"/>
        <w:numPr>
          <w:ilvl w:val="1"/>
          <w:numId w:val="76"/>
        </w:numPr>
        <w:rPr>
          <w:bCs/>
          <w:sz w:val="22"/>
          <w:szCs w:val="22"/>
        </w:rPr>
      </w:pPr>
      <w:r w:rsidRPr="00142C85">
        <w:rPr>
          <w:bCs/>
          <w:sz w:val="22"/>
          <w:szCs w:val="22"/>
        </w:rPr>
        <w:t>Cold Chain TOC (CCTOC)</w:t>
      </w:r>
    </w:p>
    <w:p w14:paraId="386B53B3" w14:textId="77777777" w:rsidR="00CA5012" w:rsidRPr="00142C85" w:rsidRDefault="00CA5012" w:rsidP="00107383">
      <w:pPr>
        <w:pStyle w:val="Style15"/>
        <w:numPr>
          <w:ilvl w:val="1"/>
          <w:numId w:val="76"/>
        </w:numPr>
        <w:rPr>
          <w:bCs/>
          <w:sz w:val="22"/>
          <w:szCs w:val="22"/>
        </w:rPr>
      </w:pPr>
      <w:r w:rsidRPr="00142C85">
        <w:rPr>
          <w:bCs/>
          <w:sz w:val="22"/>
          <w:szCs w:val="22"/>
        </w:rPr>
        <w:t xml:space="preserve">Building &amp; Indoor Climate Control TOC (BICCTOC) </w:t>
      </w:r>
    </w:p>
    <w:p w14:paraId="0876CCD4" w14:textId="77777777" w:rsidR="00CA5012" w:rsidRPr="00247F53" w:rsidRDefault="00CA5012" w:rsidP="00CA5012">
      <w:pPr>
        <w:pStyle w:val="Style15"/>
        <w:rPr>
          <w:b w:val="0"/>
          <w:sz w:val="22"/>
          <w:szCs w:val="22"/>
        </w:rPr>
      </w:pPr>
    </w:p>
    <w:p w14:paraId="509C897A" w14:textId="77777777" w:rsidR="00CA5012" w:rsidRPr="000605BA" w:rsidRDefault="00CA5012" w:rsidP="00107383">
      <w:pPr>
        <w:pStyle w:val="Style15"/>
        <w:numPr>
          <w:ilvl w:val="0"/>
          <w:numId w:val="76"/>
        </w:numPr>
        <w:rPr>
          <w:b w:val="0"/>
          <w:sz w:val="22"/>
          <w:szCs w:val="22"/>
        </w:rPr>
      </w:pPr>
      <w:r w:rsidRPr="00247F53">
        <w:rPr>
          <w:b w:val="0"/>
          <w:sz w:val="22"/>
          <w:szCs w:val="22"/>
        </w:rPr>
        <w:t xml:space="preserve">TEAP </w:t>
      </w:r>
      <w:r w:rsidRPr="00C46AEC">
        <w:rPr>
          <w:b w:val="0"/>
          <w:sz w:val="22"/>
          <w:szCs w:val="22"/>
        </w:rPr>
        <w:t xml:space="preserve">understands that the terms of appointment for the existing co-chairs of the RTOC and FTOC </w:t>
      </w:r>
      <w:r w:rsidRPr="000605BA">
        <w:rPr>
          <w:b w:val="0"/>
          <w:sz w:val="22"/>
          <w:szCs w:val="22"/>
        </w:rPr>
        <w:t>would expire upon establishment of the new TOC. TEAP recommends the following co-chairs for these new TOCs:</w:t>
      </w:r>
    </w:p>
    <w:p w14:paraId="2052EA75" w14:textId="77777777" w:rsidR="00CA5012" w:rsidRPr="000605BA" w:rsidRDefault="00CA5012" w:rsidP="00107383">
      <w:pPr>
        <w:pStyle w:val="ListParagraph"/>
        <w:numPr>
          <w:ilvl w:val="1"/>
          <w:numId w:val="76"/>
        </w:numPr>
        <w:ind w:firstLineChars="0"/>
        <w:rPr>
          <w:rFonts w:ascii="Times New Roman" w:hAnsi="Times New Roman"/>
          <w:sz w:val="22"/>
        </w:rPr>
      </w:pPr>
      <w:r w:rsidRPr="000605BA">
        <w:rPr>
          <w:rFonts w:ascii="Times New Roman" w:hAnsi="Times New Roman"/>
          <w:sz w:val="22"/>
        </w:rPr>
        <w:t xml:space="preserve">For the </w:t>
      </w:r>
      <w:r>
        <w:rPr>
          <w:rFonts w:ascii="Times New Roman" w:hAnsi="Times New Roman"/>
          <w:sz w:val="22"/>
        </w:rPr>
        <w:t xml:space="preserve">CCTOC, </w:t>
      </w:r>
      <w:r w:rsidRPr="000605BA">
        <w:rPr>
          <w:rFonts w:ascii="Times New Roman" w:hAnsi="Times New Roman"/>
          <w:sz w:val="22"/>
        </w:rPr>
        <w:t>that the parties consider appointing</w:t>
      </w:r>
      <w:r>
        <w:rPr>
          <w:rFonts w:ascii="Times New Roman" w:hAnsi="Times New Roman"/>
          <w:sz w:val="22"/>
        </w:rPr>
        <w:t xml:space="preserve"> </w:t>
      </w:r>
      <w:r w:rsidRPr="000605BA">
        <w:rPr>
          <w:rFonts w:ascii="Times New Roman" w:hAnsi="Times New Roman"/>
          <w:sz w:val="22"/>
        </w:rPr>
        <w:t xml:space="preserve">Roberto </w:t>
      </w:r>
      <w:proofErr w:type="spellStart"/>
      <w:r w:rsidRPr="000605BA">
        <w:rPr>
          <w:rFonts w:ascii="Times New Roman" w:hAnsi="Times New Roman"/>
          <w:sz w:val="22"/>
        </w:rPr>
        <w:t>Piexoto</w:t>
      </w:r>
      <w:proofErr w:type="spellEnd"/>
      <w:r>
        <w:rPr>
          <w:rFonts w:ascii="Times New Roman" w:hAnsi="Times New Roman"/>
          <w:sz w:val="22"/>
        </w:rPr>
        <w:t xml:space="preserve"> and Fabio </w:t>
      </w:r>
      <w:proofErr w:type="spellStart"/>
      <w:r>
        <w:rPr>
          <w:rFonts w:ascii="Times New Roman" w:hAnsi="Times New Roman"/>
          <w:sz w:val="22"/>
        </w:rPr>
        <w:t>Polonara</w:t>
      </w:r>
      <w:proofErr w:type="spellEnd"/>
      <w:r w:rsidRPr="000605BA">
        <w:rPr>
          <w:rFonts w:ascii="Times New Roman" w:hAnsi="Times New Roman"/>
          <w:sz w:val="22"/>
        </w:rPr>
        <w:t>, co-chair</w:t>
      </w:r>
      <w:r>
        <w:rPr>
          <w:rFonts w:ascii="Times New Roman" w:hAnsi="Times New Roman"/>
          <w:sz w:val="22"/>
        </w:rPr>
        <w:t>s</w:t>
      </w:r>
      <w:r w:rsidRPr="000605BA">
        <w:rPr>
          <w:rFonts w:ascii="Times New Roman" w:hAnsi="Times New Roman"/>
          <w:sz w:val="22"/>
        </w:rPr>
        <w:t xml:space="preserve"> of the current RTOC, and Paulo </w:t>
      </w:r>
      <w:proofErr w:type="spellStart"/>
      <w:r w:rsidRPr="000605BA">
        <w:rPr>
          <w:rFonts w:ascii="Times New Roman" w:hAnsi="Times New Roman"/>
          <w:sz w:val="22"/>
        </w:rPr>
        <w:t>Altoé</w:t>
      </w:r>
      <w:proofErr w:type="spellEnd"/>
      <w:r w:rsidRPr="000605BA">
        <w:rPr>
          <w:rFonts w:ascii="Times New Roman" w:hAnsi="Times New Roman"/>
          <w:sz w:val="22"/>
        </w:rPr>
        <w:t>, co-chair of the current FTOC, as co-chairs for a period not to exceed four years;</w:t>
      </w:r>
      <w:r w:rsidRPr="000605BA">
        <w:rPr>
          <w:rFonts w:ascii="Times New Roman" w:hAnsi="Times New Roman"/>
        </w:rPr>
        <w:t xml:space="preserve"> and</w:t>
      </w:r>
    </w:p>
    <w:p w14:paraId="27F95BE1" w14:textId="77777777" w:rsidR="00CA5012" w:rsidRPr="000605BA" w:rsidRDefault="00CA5012" w:rsidP="00107383">
      <w:pPr>
        <w:pStyle w:val="ListParagraph"/>
        <w:numPr>
          <w:ilvl w:val="1"/>
          <w:numId w:val="76"/>
        </w:numPr>
        <w:ind w:firstLineChars="0"/>
        <w:jc w:val="left"/>
        <w:rPr>
          <w:rFonts w:ascii="Times New Roman" w:hAnsi="Times New Roman"/>
          <w:sz w:val="22"/>
        </w:rPr>
      </w:pPr>
      <w:r>
        <w:rPr>
          <w:rFonts w:ascii="Times New Roman" w:hAnsi="Times New Roman"/>
        </w:rPr>
        <w:t>For the BICCTOC, that the parties consider</w:t>
      </w:r>
      <w:r w:rsidRPr="000605BA">
        <w:rPr>
          <w:rFonts w:ascii="Times New Roman" w:hAnsi="Times New Roman"/>
        </w:rPr>
        <w:t xml:space="preserve"> appointing Omar Abdelaziz, co-chair of the current RTOC</w:t>
      </w:r>
      <w:r>
        <w:rPr>
          <w:rFonts w:ascii="Times New Roman" w:hAnsi="Times New Roman"/>
        </w:rPr>
        <w:t>,</w:t>
      </w:r>
      <w:r w:rsidRPr="000605BA">
        <w:rPr>
          <w:rFonts w:ascii="Times New Roman" w:hAnsi="Times New Roman"/>
        </w:rPr>
        <w:t xml:space="preserve"> and Helen Walter-Terrinoni, co-chair of the current FTOC, as co-chairs for a period not to exceed four years. </w:t>
      </w:r>
    </w:p>
    <w:p w14:paraId="24468442" w14:textId="77777777" w:rsidR="00CA5012" w:rsidRPr="000605BA" w:rsidRDefault="00CA5012" w:rsidP="00CA5012">
      <w:pPr>
        <w:pStyle w:val="Style15"/>
        <w:rPr>
          <w:b w:val="0"/>
          <w:sz w:val="22"/>
          <w:szCs w:val="22"/>
        </w:rPr>
      </w:pPr>
    </w:p>
    <w:p w14:paraId="404C9053" w14:textId="77777777" w:rsidR="00CA5012" w:rsidRPr="00247F53" w:rsidRDefault="00CA5012" w:rsidP="00107383">
      <w:pPr>
        <w:pStyle w:val="Style15"/>
        <w:numPr>
          <w:ilvl w:val="0"/>
          <w:numId w:val="76"/>
        </w:numPr>
        <w:rPr>
          <w:b w:val="0"/>
          <w:sz w:val="22"/>
          <w:szCs w:val="22"/>
        </w:rPr>
      </w:pPr>
      <w:r w:rsidRPr="00247F53">
        <w:rPr>
          <w:b w:val="0"/>
          <w:sz w:val="22"/>
          <w:szCs w:val="22"/>
        </w:rPr>
        <w:t>With the formation of two new TOCs from the existing RTOC and FTOC, the terms of members of the current RTOC and FTOC are proposed to expire as of 31 December 2022. Co-chairs of the new TOCs will appoint members with terms beginning in 2023, ensuring compliance with the TEAP TOR, including:</w:t>
      </w:r>
    </w:p>
    <w:p w14:paraId="54498A68" w14:textId="77777777" w:rsidR="00CA5012" w:rsidRPr="00247F53" w:rsidRDefault="00CA5012" w:rsidP="00821BBC">
      <w:pPr>
        <w:pStyle w:val="Style15"/>
        <w:numPr>
          <w:ilvl w:val="0"/>
          <w:numId w:val="74"/>
        </w:numPr>
        <w:spacing w:after="60"/>
        <w:rPr>
          <w:b w:val="0"/>
          <w:i/>
          <w:iCs/>
          <w:sz w:val="22"/>
          <w:szCs w:val="22"/>
        </w:rPr>
      </w:pPr>
      <w:r w:rsidRPr="00247F53">
        <w:rPr>
          <w:b w:val="0"/>
          <w:i/>
          <w:iCs/>
          <w:sz w:val="22"/>
          <w:szCs w:val="22"/>
        </w:rPr>
        <w:lastRenderedPageBreak/>
        <w:t>Paragraph 2.1.2: TEAP, through its TOC co-chairs, shall compose its TOCs to reflect a balance of appropriate and anticipated expertise so that its reports are comprehensive, objective, and policy-neutral.</w:t>
      </w:r>
    </w:p>
    <w:p w14:paraId="244F91D9" w14:textId="77777777" w:rsidR="00CA5012" w:rsidRPr="00247F53" w:rsidRDefault="00CA5012" w:rsidP="00821BBC">
      <w:pPr>
        <w:pStyle w:val="Style15"/>
        <w:numPr>
          <w:ilvl w:val="0"/>
          <w:numId w:val="74"/>
        </w:numPr>
        <w:spacing w:after="60"/>
        <w:rPr>
          <w:b w:val="0"/>
          <w:i/>
          <w:iCs/>
          <w:sz w:val="22"/>
          <w:szCs w:val="22"/>
        </w:rPr>
      </w:pPr>
      <w:r w:rsidRPr="00247F53">
        <w:rPr>
          <w:b w:val="0"/>
          <w:i/>
          <w:iCs/>
          <w:sz w:val="22"/>
          <w:szCs w:val="22"/>
        </w:rPr>
        <w:t xml:space="preserve">Paragraph 2.2.2: All nominations to TOCs shall be made in full consultation with the national focal point of the relevant party. Nominations of members to a TOC may be made by individual parties or TEAP or TOC co-chairs may suggest to individual </w:t>
      </w:r>
      <w:proofErr w:type="gramStart"/>
      <w:r w:rsidRPr="00247F53">
        <w:rPr>
          <w:b w:val="0"/>
          <w:i/>
          <w:iCs/>
          <w:sz w:val="22"/>
          <w:szCs w:val="22"/>
        </w:rPr>
        <w:t>parties</w:t>
      </w:r>
      <w:proofErr w:type="gramEnd"/>
      <w:r w:rsidRPr="00247F53">
        <w:rPr>
          <w:b w:val="0"/>
          <w:i/>
          <w:iCs/>
          <w:sz w:val="22"/>
          <w:szCs w:val="22"/>
        </w:rPr>
        <w:t xml:space="preserve"> experts to consider nominating </w:t>
      </w:r>
    </w:p>
    <w:p w14:paraId="1B9AF20C" w14:textId="77777777" w:rsidR="00CA5012" w:rsidRPr="00247F53" w:rsidRDefault="00CA5012" w:rsidP="00821BBC">
      <w:pPr>
        <w:pStyle w:val="Style15"/>
        <w:numPr>
          <w:ilvl w:val="0"/>
          <w:numId w:val="74"/>
        </w:numPr>
        <w:spacing w:after="60"/>
        <w:rPr>
          <w:b w:val="0"/>
          <w:i/>
          <w:iCs/>
          <w:sz w:val="22"/>
          <w:szCs w:val="22"/>
        </w:rPr>
      </w:pPr>
      <w:r w:rsidRPr="00247F53">
        <w:rPr>
          <w:b w:val="0"/>
          <w:i/>
          <w:iCs/>
          <w:sz w:val="22"/>
          <w:szCs w:val="22"/>
        </w:rPr>
        <w:t>Paragraph 2.5: The TOC members are appointed by the TOC co-chairs, in consultation with TEAP, for a period of no more than four years.</w:t>
      </w:r>
    </w:p>
    <w:p w14:paraId="39713C51" w14:textId="5C3F8C2F" w:rsidR="00CA5012" w:rsidRPr="002B6B90" w:rsidRDefault="00BB48C4" w:rsidP="00821BBC">
      <w:pPr>
        <w:pStyle w:val="Heading2"/>
        <w:rPr>
          <w:rStyle w:val="Heading311ptBoldChar"/>
          <w:b/>
        </w:rPr>
      </w:pPr>
      <w:bookmarkStart w:id="684" w:name="_Toc104396746"/>
      <w:r>
        <w:rPr>
          <w:rStyle w:val="Heading311ptBoldChar"/>
          <w:b/>
        </w:rPr>
        <w:t>8</w:t>
      </w:r>
      <w:r w:rsidR="002B6B90" w:rsidRPr="002B6B90">
        <w:rPr>
          <w:rStyle w:val="Heading311ptBoldChar"/>
          <w:b/>
        </w:rPr>
        <w:t>.4.3</w:t>
      </w:r>
      <w:r w:rsidR="002B6B90" w:rsidRPr="002B6B90">
        <w:rPr>
          <w:rStyle w:val="Heading311ptBoldChar"/>
          <w:b/>
        </w:rPr>
        <w:tab/>
      </w:r>
      <w:r w:rsidR="00CA5012" w:rsidRPr="002B6B90">
        <w:rPr>
          <w:rStyle w:val="Heading311ptBoldChar"/>
          <w:b/>
        </w:rPr>
        <w:t>Background to Recommendations</w:t>
      </w:r>
      <w:bookmarkEnd w:id="684"/>
      <w:r w:rsidR="00CA5012" w:rsidRPr="002B6B90">
        <w:rPr>
          <w:rStyle w:val="Heading311ptBoldChar"/>
          <w:b/>
        </w:rPr>
        <w:t xml:space="preserve"> </w:t>
      </w:r>
    </w:p>
    <w:p w14:paraId="1C3B51ED" w14:textId="1F34A71E" w:rsidR="00CA5012" w:rsidRPr="00247F53" w:rsidRDefault="00CA5012" w:rsidP="00CA5012">
      <w:pPr>
        <w:pStyle w:val="Style15"/>
        <w:rPr>
          <w:b w:val="0"/>
          <w:sz w:val="22"/>
          <w:szCs w:val="22"/>
        </w:rPr>
      </w:pPr>
      <w:r w:rsidRPr="00247F53">
        <w:rPr>
          <w:b w:val="0"/>
          <w:sz w:val="22"/>
          <w:szCs w:val="22"/>
        </w:rPr>
        <w:t>TEAP is very mindful of the ongoing operational and organi</w:t>
      </w:r>
      <w:r w:rsidR="002C0D7B" w:rsidRPr="002C0D7B">
        <w:rPr>
          <w:b w:val="0"/>
          <w:sz w:val="22"/>
          <w:szCs w:val="22"/>
        </w:rPr>
        <w:t>s</w:t>
      </w:r>
      <w:r w:rsidRPr="00247F53">
        <w:rPr>
          <w:b w:val="0"/>
          <w:sz w:val="22"/>
          <w:szCs w:val="22"/>
        </w:rPr>
        <w:t>ational constraints on its TOCs.</w:t>
      </w:r>
      <w:r w:rsidR="005617DE">
        <w:rPr>
          <w:b w:val="0"/>
          <w:sz w:val="22"/>
          <w:szCs w:val="22"/>
        </w:rPr>
        <w:t xml:space="preserve"> </w:t>
      </w:r>
      <w:r w:rsidRPr="00247F53">
        <w:rPr>
          <w:b w:val="0"/>
          <w:sz w:val="22"/>
          <w:szCs w:val="22"/>
        </w:rPr>
        <w:t>From time to time, the Parties have re-organized TEAP to maintain an effective and efficient structure to provide the Parties with the technical and economic information they need.</w:t>
      </w:r>
      <w:r w:rsidR="005617DE">
        <w:rPr>
          <w:b w:val="0"/>
          <w:sz w:val="22"/>
          <w:szCs w:val="22"/>
        </w:rPr>
        <w:t xml:space="preserve"> </w:t>
      </w:r>
      <w:r w:rsidRPr="00247F53">
        <w:rPr>
          <w:b w:val="0"/>
          <w:sz w:val="22"/>
          <w:szCs w:val="22"/>
        </w:rPr>
        <w:t xml:space="preserve">As part of this on-going process to meet changing needs, TEAP believes Parties may wish to consider adjustments to the current structure of TEAP and its TOCs with a restructuring of two of its key TOCs: the RTOC and the FTOC. TEAP believes this change now would support the ongoing efforts of </w:t>
      </w:r>
      <w:proofErr w:type="spellStart"/>
      <w:r w:rsidRPr="00247F53">
        <w:rPr>
          <w:b w:val="0"/>
          <w:sz w:val="22"/>
          <w:szCs w:val="22"/>
        </w:rPr>
        <w:t>partes</w:t>
      </w:r>
      <w:proofErr w:type="spellEnd"/>
      <w:r w:rsidRPr="00247F53">
        <w:rPr>
          <w:b w:val="0"/>
          <w:sz w:val="22"/>
          <w:szCs w:val="22"/>
        </w:rPr>
        <w:t xml:space="preserve"> to ensure the phaseout of ODS and meet the challenges to phase down HFCs</w:t>
      </w:r>
      <w:r>
        <w:rPr>
          <w:b w:val="0"/>
          <w:sz w:val="22"/>
          <w:szCs w:val="22"/>
        </w:rPr>
        <w:t>, in the larger context of shifting technologies and market needs</w:t>
      </w:r>
      <w:r w:rsidRPr="00247F53">
        <w:rPr>
          <w:b w:val="0"/>
          <w:sz w:val="22"/>
          <w:szCs w:val="22"/>
        </w:rPr>
        <w:t>. TEAP has concluded that creation of a committee focused on the transition broadly in the refrigeration and air conditioning and foams sectors, in the context of the cold chain and overall indoor temperature control of buildings and transportation, is important to an effectively functioning body responsive to the needs of parties now and for the future. This structure allows identifying the needed expertise important to these sector transitions while remaining a cohesive organi</w:t>
      </w:r>
      <w:r w:rsidR="002C0D7B" w:rsidRPr="002C0D7B">
        <w:rPr>
          <w:b w:val="0"/>
          <w:sz w:val="22"/>
          <w:szCs w:val="22"/>
        </w:rPr>
        <w:t>s</w:t>
      </w:r>
      <w:r w:rsidRPr="00247F53">
        <w:rPr>
          <w:b w:val="0"/>
          <w:sz w:val="22"/>
          <w:szCs w:val="22"/>
        </w:rPr>
        <w:t>ation which can continue to effectively and efficiently coordinate responses to requests from parties.</w:t>
      </w:r>
      <w:r w:rsidR="005617DE">
        <w:rPr>
          <w:b w:val="0"/>
          <w:sz w:val="22"/>
          <w:szCs w:val="22"/>
        </w:rPr>
        <w:t xml:space="preserve"> </w:t>
      </w:r>
    </w:p>
    <w:p w14:paraId="2AC2B13D" w14:textId="77777777" w:rsidR="00CA5012" w:rsidRPr="00247F53" w:rsidRDefault="00CA5012" w:rsidP="00CA5012">
      <w:pPr>
        <w:pStyle w:val="Style15"/>
        <w:rPr>
          <w:b w:val="0"/>
          <w:sz w:val="22"/>
          <w:szCs w:val="22"/>
        </w:rPr>
      </w:pPr>
    </w:p>
    <w:p w14:paraId="0A163739" w14:textId="77777777" w:rsidR="00CA5012" w:rsidRDefault="00CA5012" w:rsidP="00CA5012">
      <w:pPr>
        <w:pStyle w:val="Style15"/>
        <w:rPr>
          <w:b w:val="0"/>
          <w:sz w:val="22"/>
          <w:szCs w:val="22"/>
        </w:rPr>
      </w:pPr>
      <w:r w:rsidRPr="0073190A">
        <w:rPr>
          <w:b w:val="0"/>
          <w:sz w:val="22"/>
          <w:szCs w:val="22"/>
        </w:rPr>
        <w:t xml:space="preserve">TEAP believes that the proposed structure will allow for more collaboration between experts in load reduction in buildings and cold chain architecture design and in overarching system performance. There are also common considerations for ODS and HFC replacement selection for foam blowing agents and refrigerants, such as the safe use of flammable alternatives and use of some of the same replacements. </w:t>
      </w:r>
    </w:p>
    <w:p w14:paraId="115132D1" w14:textId="77777777" w:rsidR="00CA5012" w:rsidRDefault="00CA5012" w:rsidP="00CA5012">
      <w:pPr>
        <w:pStyle w:val="Style15"/>
        <w:rPr>
          <w:b w:val="0"/>
          <w:sz w:val="22"/>
          <w:szCs w:val="22"/>
        </w:rPr>
      </w:pPr>
    </w:p>
    <w:p w14:paraId="73173CBC" w14:textId="77777777" w:rsidR="00CA5012" w:rsidRPr="00247F53" w:rsidRDefault="00CA5012" w:rsidP="00CA5012">
      <w:pPr>
        <w:pStyle w:val="Style15"/>
        <w:rPr>
          <w:b w:val="0"/>
          <w:sz w:val="22"/>
          <w:szCs w:val="22"/>
        </w:rPr>
      </w:pPr>
      <w:r w:rsidRPr="00247F53">
        <w:rPr>
          <w:b w:val="0"/>
          <w:sz w:val="22"/>
          <w:szCs w:val="22"/>
        </w:rPr>
        <w:t>In recognition of the challenges to parties to achieve the phaseout of ODS and phasedown of HFCs, the TEAP would like Parties to consider integrating relevant issues such as energy efficiency into the formation into two new TOCs which would be formed starting from the existing RTOC and FTOC and would cover all sectors of the current RTOC and FTOC. These two new TOCs could be called the Cold Chain</w:t>
      </w:r>
      <w:r>
        <w:rPr>
          <w:b w:val="0"/>
          <w:sz w:val="22"/>
          <w:szCs w:val="22"/>
        </w:rPr>
        <w:t xml:space="preserve"> TOC or CCTOC </w:t>
      </w:r>
      <w:r w:rsidRPr="00247F53">
        <w:rPr>
          <w:b w:val="0"/>
          <w:sz w:val="22"/>
          <w:szCs w:val="22"/>
        </w:rPr>
        <w:t xml:space="preserve">and </w:t>
      </w:r>
      <w:r>
        <w:rPr>
          <w:b w:val="0"/>
          <w:sz w:val="22"/>
          <w:szCs w:val="22"/>
        </w:rPr>
        <w:t>the Building &amp; Indoor Climate Control TOC or BICCTOC</w:t>
      </w:r>
      <w:r w:rsidRPr="00247F53">
        <w:rPr>
          <w:b w:val="0"/>
          <w:sz w:val="22"/>
          <w:szCs w:val="22"/>
        </w:rPr>
        <w:t>. The functional areas served by each new TOC are as follows:</w:t>
      </w:r>
    </w:p>
    <w:p w14:paraId="5D81FD11" w14:textId="77777777" w:rsidR="00CA5012" w:rsidRPr="00247F53" w:rsidRDefault="00CA5012" w:rsidP="00CA5012">
      <w:pPr>
        <w:pStyle w:val="Style15"/>
        <w:rPr>
          <w:b w:val="0"/>
          <w:sz w:val="22"/>
          <w:szCs w:val="22"/>
        </w:rPr>
      </w:pPr>
    </w:p>
    <w:p w14:paraId="5ED67048" w14:textId="77777777" w:rsidR="00CA5012" w:rsidRDefault="00CA5012" w:rsidP="00107383">
      <w:pPr>
        <w:pStyle w:val="Style15"/>
        <w:numPr>
          <w:ilvl w:val="0"/>
          <w:numId w:val="75"/>
        </w:numPr>
        <w:rPr>
          <w:b w:val="0"/>
          <w:bCs/>
          <w:sz w:val="22"/>
          <w:szCs w:val="22"/>
        </w:rPr>
      </w:pPr>
      <w:r w:rsidRPr="00892A5D">
        <w:rPr>
          <w:sz w:val="22"/>
          <w:szCs w:val="22"/>
        </w:rPr>
        <w:t>Cold Chain TOC</w:t>
      </w:r>
      <w:r w:rsidRPr="00247F53">
        <w:rPr>
          <w:b w:val="0"/>
          <w:bCs/>
          <w:sz w:val="22"/>
          <w:szCs w:val="22"/>
        </w:rPr>
        <w:t xml:space="preserve">: Sectors to be covered include cold chains for </w:t>
      </w:r>
      <w:r>
        <w:rPr>
          <w:b w:val="0"/>
          <w:bCs/>
          <w:sz w:val="22"/>
          <w:szCs w:val="22"/>
        </w:rPr>
        <w:t>food and other perishables including agriculture and fisheries,</w:t>
      </w:r>
      <w:r w:rsidRPr="00247F53">
        <w:rPr>
          <w:b w:val="0"/>
          <w:bCs/>
          <w:sz w:val="22"/>
          <w:szCs w:val="22"/>
        </w:rPr>
        <w:t xml:space="preserve"> </w:t>
      </w:r>
      <w:r>
        <w:rPr>
          <w:b w:val="0"/>
          <w:bCs/>
          <w:sz w:val="22"/>
          <w:szCs w:val="22"/>
        </w:rPr>
        <w:t xml:space="preserve">and medicines, such as </w:t>
      </w:r>
      <w:r w:rsidRPr="00247F53">
        <w:rPr>
          <w:b w:val="0"/>
          <w:bCs/>
          <w:sz w:val="22"/>
          <w:szCs w:val="22"/>
        </w:rPr>
        <w:t>vaccines</w:t>
      </w:r>
      <w:r>
        <w:rPr>
          <w:b w:val="0"/>
          <w:bCs/>
          <w:sz w:val="22"/>
          <w:szCs w:val="22"/>
        </w:rPr>
        <w:t>,</w:t>
      </w:r>
      <w:r w:rsidRPr="00247F53">
        <w:rPr>
          <w:b w:val="0"/>
          <w:bCs/>
          <w:sz w:val="22"/>
          <w:szCs w:val="22"/>
        </w:rPr>
        <w:t xml:space="preserve"> with a focus on sustainability</w:t>
      </w:r>
      <w:r>
        <w:rPr>
          <w:b w:val="0"/>
          <w:bCs/>
          <w:sz w:val="22"/>
          <w:szCs w:val="22"/>
        </w:rPr>
        <w:t>;</w:t>
      </w:r>
      <w:r w:rsidRPr="00247F53">
        <w:rPr>
          <w:b w:val="0"/>
          <w:bCs/>
          <w:sz w:val="22"/>
          <w:szCs w:val="22"/>
        </w:rPr>
        <w:t xml:space="preserve"> refrigeration </w:t>
      </w:r>
      <w:r>
        <w:rPr>
          <w:b w:val="0"/>
          <w:bCs/>
          <w:sz w:val="22"/>
          <w:szCs w:val="22"/>
        </w:rPr>
        <w:t xml:space="preserve">including foam </w:t>
      </w:r>
      <w:r w:rsidRPr="00247F53">
        <w:rPr>
          <w:b w:val="0"/>
          <w:bCs/>
          <w:sz w:val="22"/>
          <w:szCs w:val="22"/>
        </w:rPr>
        <w:t>insulati</w:t>
      </w:r>
      <w:r>
        <w:rPr>
          <w:b w:val="0"/>
          <w:bCs/>
          <w:sz w:val="22"/>
          <w:szCs w:val="22"/>
        </w:rPr>
        <w:t>on</w:t>
      </w:r>
      <w:r w:rsidRPr="00247F53">
        <w:rPr>
          <w:b w:val="0"/>
          <w:bCs/>
          <w:sz w:val="22"/>
          <w:szCs w:val="22"/>
        </w:rPr>
        <w:t xml:space="preserve"> and other foams</w:t>
      </w:r>
      <w:r>
        <w:rPr>
          <w:b w:val="0"/>
          <w:bCs/>
          <w:sz w:val="22"/>
          <w:szCs w:val="22"/>
        </w:rPr>
        <w:t xml:space="preserve"> and</w:t>
      </w:r>
      <w:r w:rsidRPr="00247F53">
        <w:rPr>
          <w:b w:val="0"/>
          <w:bCs/>
          <w:sz w:val="22"/>
          <w:szCs w:val="22"/>
        </w:rPr>
        <w:t xml:space="preserve"> refrigerants</w:t>
      </w:r>
      <w:r>
        <w:rPr>
          <w:b w:val="0"/>
          <w:bCs/>
          <w:sz w:val="22"/>
          <w:szCs w:val="22"/>
        </w:rPr>
        <w:t xml:space="preserve">. </w:t>
      </w:r>
      <w:r w:rsidRPr="00247F53">
        <w:rPr>
          <w:b w:val="0"/>
          <w:bCs/>
          <w:sz w:val="22"/>
          <w:szCs w:val="22"/>
        </w:rPr>
        <w:t>Examples of equipment include factory-sealed appliances, food retail and food service, transport refrigeration, industrial refrigeration.</w:t>
      </w:r>
      <w:r>
        <w:rPr>
          <w:b w:val="0"/>
          <w:bCs/>
          <w:sz w:val="22"/>
          <w:szCs w:val="22"/>
        </w:rPr>
        <w:t xml:space="preserve"> Expected coordination on cross-cutting issues, e.g., safety standards, with BICCTOC.</w:t>
      </w:r>
    </w:p>
    <w:p w14:paraId="639E64B4" w14:textId="77777777" w:rsidR="00CA5012" w:rsidRDefault="00CA5012" w:rsidP="00CA5012">
      <w:pPr>
        <w:pStyle w:val="Style15"/>
        <w:rPr>
          <w:b w:val="0"/>
          <w:bCs/>
          <w:sz w:val="22"/>
          <w:szCs w:val="22"/>
        </w:rPr>
      </w:pPr>
    </w:p>
    <w:p w14:paraId="4E8A3278" w14:textId="77777777" w:rsidR="00CA5012" w:rsidRPr="00892A5D" w:rsidRDefault="00CA5012" w:rsidP="00107383">
      <w:pPr>
        <w:pStyle w:val="Style15"/>
        <w:numPr>
          <w:ilvl w:val="0"/>
          <w:numId w:val="75"/>
        </w:numPr>
        <w:rPr>
          <w:b w:val="0"/>
          <w:bCs/>
          <w:sz w:val="22"/>
          <w:szCs w:val="22"/>
        </w:rPr>
      </w:pPr>
      <w:r w:rsidRPr="00892A5D">
        <w:rPr>
          <w:sz w:val="22"/>
          <w:szCs w:val="22"/>
        </w:rPr>
        <w:t>Building &amp; Indoor Climate Control TOC</w:t>
      </w:r>
      <w:r w:rsidRPr="00892A5D">
        <w:rPr>
          <w:b w:val="0"/>
          <w:bCs/>
          <w:sz w:val="22"/>
          <w:szCs w:val="22"/>
        </w:rPr>
        <w:t xml:space="preserve">: Sectors to be covered include stationary and mobile AC, heat pumps (HP), construction foam), and refrigerants. Examples of equipment includes air to air AC and HP, commercial comfort AC, MAC, heating HP, heat engines. Expected </w:t>
      </w:r>
      <w:r w:rsidRPr="00093476">
        <w:rPr>
          <w:b w:val="0"/>
          <w:bCs/>
          <w:sz w:val="22"/>
          <w:szCs w:val="22"/>
        </w:rPr>
        <w:t xml:space="preserve">coordination </w:t>
      </w:r>
      <w:r>
        <w:rPr>
          <w:b w:val="0"/>
          <w:bCs/>
          <w:sz w:val="22"/>
          <w:szCs w:val="22"/>
        </w:rPr>
        <w:t>on cross-cutting issues with CCTOC.</w:t>
      </w:r>
    </w:p>
    <w:p w14:paraId="26BF00B5" w14:textId="77777777" w:rsidR="00CA5012" w:rsidRPr="00247F53" w:rsidRDefault="00CA5012" w:rsidP="00CA5012">
      <w:pPr>
        <w:pStyle w:val="Style15"/>
        <w:rPr>
          <w:b w:val="0"/>
          <w:sz w:val="22"/>
          <w:szCs w:val="22"/>
        </w:rPr>
      </w:pPr>
    </w:p>
    <w:p w14:paraId="088AF4CD" w14:textId="2B0AD2E4" w:rsidR="00CA5012" w:rsidRPr="00247F53" w:rsidRDefault="00CA5012" w:rsidP="00CA5012">
      <w:pPr>
        <w:pStyle w:val="Style15"/>
        <w:rPr>
          <w:b w:val="0"/>
          <w:sz w:val="22"/>
          <w:szCs w:val="22"/>
        </w:rPr>
      </w:pPr>
      <w:r w:rsidRPr="00247F53">
        <w:rPr>
          <w:b w:val="0"/>
          <w:sz w:val="22"/>
          <w:szCs w:val="22"/>
        </w:rPr>
        <w:lastRenderedPageBreak/>
        <w:t xml:space="preserve">TEAP recommends that </w:t>
      </w:r>
      <w:r>
        <w:rPr>
          <w:b w:val="0"/>
          <w:sz w:val="22"/>
          <w:szCs w:val="22"/>
        </w:rPr>
        <w:t xml:space="preserve">the </w:t>
      </w:r>
      <w:r w:rsidRPr="00247F53">
        <w:rPr>
          <w:b w:val="0"/>
          <w:sz w:val="22"/>
          <w:szCs w:val="22"/>
        </w:rPr>
        <w:t xml:space="preserve">current RTOC </w:t>
      </w:r>
      <w:r>
        <w:rPr>
          <w:b w:val="0"/>
          <w:sz w:val="22"/>
          <w:szCs w:val="22"/>
        </w:rPr>
        <w:t xml:space="preserve">and FTOC </w:t>
      </w:r>
      <w:r w:rsidRPr="00247F53">
        <w:rPr>
          <w:b w:val="0"/>
          <w:sz w:val="22"/>
          <w:szCs w:val="22"/>
        </w:rPr>
        <w:t xml:space="preserve">co-chairs be appointed as co-chairs to the new TOCs for a term of </w:t>
      </w:r>
      <w:r>
        <w:rPr>
          <w:b w:val="0"/>
          <w:sz w:val="22"/>
          <w:szCs w:val="22"/>
        </w:rPr>
        <w:t xml:space="preserve">no longer than </w:t>
      </w:r>
      <w:r w:rsidRPr="00247F53">
        <w:rPr>
          <w:b w:val="0"/>
          <w:sz w:val="22"/>
          <w:szCs w:val="22"/>
        </w:rPr>
        <w:t>four years to provide continuity in this new structure.</w:t>
      </w:r>
      <w:r w:rsidR="005617DE">
        <w:rPr>
          <w:b w:val="0"/>
          <w:sz w:val="22"/>
          <w:szCs w:val="22"/>
        </w:rPr>
        <w:t xml:space="preserve"> </w:t>
      </w:r>
      <w:r w:rsidRPr="00247F53">
        <w:rPr>
          <w:b w:val="0"/>
          <w:sz w:val="22"/>
          <w:szCs w:val="22"/>
        </w:rPr>
        <w:t xml:space="preserve">All current chairs hold significant institutional knowledge and excellent understanding of the expectations of the Montreal Protocol, meeting the standards expected of TEAP reports and presentations to the Parties, and program management of the TOC for Temporary Subsidiary Body (TSB) reports, assessment reports, etc. TEAP believes this new construct would provide increased capabilities to the Parties in an effective and efficient manner. </w:t>
      </w:r>
    </w:p>
    <w:p w14:paraId="55DE162B" w14:textId="77777777" w:rsidR="00CA5012" w:rsidRPr="00247F53" w:rsidRDefault="00CA5012" w:rsidP="00CA5012">
      <w:pPr>
        <w:pStyle w:val="Style15"/>
        <w:rPr>
          <w:b w:val="0"/>
          <w:sz w:val="22"/>
          <w:szCs w:val="22"/>
        </w:rPr>
      </w:pPr>
    </w:p>
    <w:p w14:paraId="44054437" w14:textId="71A1880F" w:rsidR="00CA5012" w:rsidRPr="00247F53" w:rsidRDefault="00CA5012" w:rsidP="00CA5012">
      <w:pPr>
        <w:pStyle w:val="Style15"/>
        <w:rPr>
          <w:b w:val="0"/>
          <w:sz w:val="22"/>
          <w:szCs w:val="22"/>
        </w:rPr>
      </w:pPr>
      <w:r w:rsidRPr="00247F53">
        <w:rPr>
          <w:b w:val="0"/>
          <w:sz w:val="22"/>
          <w:szCs w:val="22"/>
        </w:rPr>
        <w:t xml:space="preserve">In recommending this restructuring of the RTOC and FTOC, TEAP wishes to recognize the significant contributions that all three RTOC co-chairs, Omar Abdelaziz, Roberto </w:t>
      </w:r>
      <w:r w:rsidR="002C0D7B" w:rsidRPr="002C0D7B">
        <w:rPr>
          <w:b w:val="0"/>
          <w:sz w:val="22"/>
          <w:szCs w:val="22"/>
        </w:rPr>
        <w:t>Peixoto</w:t>
      </w:r>
      <w:r w:rsidRPr="00247F53">
        <w:rPr>
          <w:b w:val="0"/>
          <w:sz w:val="22"/>
          <w:szCs w:val="22"/>
        </w:rPr>
        <w:t xml:space="preserve">, and Fabio </w:t>
      </w:r>
      <w:proofErr w:type="spellStart"/>
      <w:r w:rsidRPr="00247F53">
        <w:rPr>
          <w:b w:val="0"/>
          <w:sz w:val="22"/>
          <w:szCs w:val="22"/>
        </w:rPr>
        <w:t>Polonara</w:t>
      </w:r>
      <w:proofErr w:type="spellEnd"/>
      <w:r w:rsidRPr="00247F53">
        <w:rPr>
          <w:b w:val="0"/>
          <w:sz w:val="22"/>
          <w:szCs w:val="22"/>
        </w:rPr>
        <w:t xml:space="preserve">, and the two FTOC co-chairs, Paulo Altoé and Helen Walter-Terrinoni, have made. TEAP recognizes that integrating two existing TOCs into two newly structured TOCs will be a significant commitment of effort for the co-chairs. TEAP believes that in the first year or so, these integration efforts will require significantly more time than would otherwise be the case. Regarding membership, TEAP is recommending that current members’ terms of the RTOC and FTOC expire at the end of 2022, and new TOCs co-chairs would consider new appointments for the needed expertise </w:t>
      </w:r>
      <w:r>
        <w:rPr>
          <w:b w:val="0"/>
          <w:sz w:val="22"/>
          <w:szCs w:val="22"/>
        </w:rPr>
        <w:t xml:space="preserve">(based on the TEAP Matrix of Needed Expertise) </w:t>
      </w:r>
      <w:r w:rsidRPr="00247F53">
        <w:rPr>
          <w:b w:val="0"/>
          <w:sz w:val="22"/>
          <w:szCs w:val="22"/>
        </w:rPr>
        <w:t>starting in 2023 following the requirements in the TEAP TOR for nominations and appointments to the TOCs.</w:t>
      </w:r>
      <w:r>
        <w:rPr>
          <w:b w:val="0"/>
          <w:sz w:val="22"/>
          <w:szCs w:val="22"/>
        </w:rPr>
        <w:t xml:space="preserve"> </w:t>
      </w:r>
    </w:p>
    <w:p w14:paraId="1BD8A6C0" w14:textId="77777777" w:rsidR="002B6B90" w:rsidRDefault="002B6B90" w:rsidP="00CA5012">
      <w:pPr>
        <w:pStyle w:val="Style15"/>
        <w:rPr>
          <w:b w:val="0"/>
          <w:sz w:val="22"/>
          <w:szCs w:val="22"/>
        </w:rPr>
      </w:pPr>
    </w:p>
    <w:p w14:paraId="1916CE98" w14:textId="738CC671" w:rsidR="00CA5012" w:rsidRPr="00892A5D" w:rsidRDefault="00CA5012" w:rsidP="00CA5012">
      <w:pPr>
        <w:pStyle w:val="Style15"/>
        <w:rPr>
          <w:b w:val="0"/>
          <w:sz w:val="22"/>
          <w:szCs w:val="22"/>
        </w:rPr>
      </w:pPr>
      <w:r>
        <w:rPr>
          <w:b w:val="0"/>
          <w:sz w:val="22"/>
          <w:szCs w:val="22"/>
        </w:rPr>
        <w:t>TEAP also considered the forward roles and scope of work for</w:t>
      </w:r>
      <w:r w:rsidRPr="00892A5D">
        <w:rPr>
          <w:b w:val="0"/>
          <w:sz w:val="22"/>
          <w:szCs w:val="22"/>
        </w:rPr>
        <w:t xml:space="preserve"> HTOC, MBTOC, </w:t>
      </w:r>
      <w:r>
        <w:rPr>
          <w:b w:val="0"/>
          <w:sz w:val="22"/>
          <w:szCs w:val="22"/>
        </w:rPr>
        <w:t xml:space="preserve">and </w:t>
      </w:r>
      <w:r w:rsidRPr="00892A5D">
        <w:rPr>
          <w:b w:val="0"/>
          <w:sz w:val="22"/>
          <w:szCs w:val="22"/>
        </w:rPr>
        <w:t>MCTOC</w:t>
      </w:r>
      <w:r w:rsidR="00B710A8">
        <w:rPr>
          <w:b w:val="0"/>
          <w:sz w:val="22"/>
          <w:szCs w:val="22"/>
        </w:rPr>
        <w:t>:</w:t>
      </w:r>
    </w:p>
    <w:p w14:paraId="1B00642E" w14:textId="77777777" w:rsidR="00CA5012" w:rsidRPr="00892A5D" w:rsidRDefault="00CA5012" w:rsidP="00CA5012">
      <w:pPr>
        <w:pStyle w:val="Style15"/>
        <w:rPr>
          <w:b w:val="0"/>
          <w:sz w:val="22"/>
          <w:szCs w:val="22"/>
        </w:rPr>
      </w:pPr>
    </w:p>
    <w:p w14:paraId="2559B146" w14:textId="3195301D" w:rsidR="00794ABE" w:rsidRPr="00794ABE" w:rsidRDefault="00CA5012" w:rsidP="00107383">
      <w:pPr>
        <w:pStyle w:val="Style15"/>
        <w:numPr>
          <w:ilvl w:val="0"/>
          <w:numId w:val="77"/>
        </w:numPr>
        <w:rPr>
          <w:b w:val="0"/>
          <w:sz w:val="22"/>
          <w:szCs w:val="22"/>
        </w:rPr>
      </w:pPr>
      <w:r w:rsidRPr="00FF0B5C">
        <w:rPr>
          <w:b w:val="0"/>
          <w:sz w:val="22"/>
          <w:szCs w:val="22"/>
        </w:rPr>
        <w:t>HTOC</w:t>
      </w:r>
      <w:r w:rsidRPr="00892A5D">
        <w:rPr>
          <w:b w:val="0"/>
          <w:sz w:val="22"/>
          <w:szCs w:val="22"/>
        </w:rPr>
        <w:t xml:space="preserve">: reflecting the broad role of HTOC in fire safety, and the increasing range of fire suppressant options to Halons, we propose to re-name as </w:t>
      </w:r>
      <w:r w:rsidRPr="00576C71">
        <w:rPr>
          <w:bCs/>
          <w:sz w:val="22"/>
          <w:szCs w:val="22"/>
        </w:rPr>
        <w:t>Fire Protection TOC (FPTOC)</w:t>
      </w:r>
      <w:r w:rsidR="002C0D7B" w:rsidRPr="002C0D7B">
        <w:rPr>
          <w:b w:val="0"/>
          <w:sz w:val="22"/>
          <w:szCs w:val="22"/>
        </w:rPr>
        <w:t>.</w:t>
      </w:r>
    </w:p>
    <w:p w14:paraId="72F8DE34" w14:textId="444A3C66" w:rsidR="00CA5012" w:rsidRPr="00B710A8" w:rsidRDefault="00CA5012" w:rsidP="00B710A8">
      <w:pPr>
        <w:pStyle w:val="Style15"/>
        <w:numPr>
          <w:ilvl w:val="0"/>
          <w:numId w:val="77"/>
        </w:numPr>
        <w:rPr>
          <w:b w:val="0"/>
          <w:sz w:val="22"/>
          <w:szCs w:val="22"/>
        </w:rPr>
      </w:pPr>
      <w:r w:rsidRPr="00B710A8">
        <w:rPr>
          <w:b w:val="0"/>
          <w:sz w:val="22"/>
          <w:szCs w:val="22"/>
        </w:rPr>
        <w:t xml:space="preserve">MBTOC: </w:t>
      </w:r>
      <w:r w:rsidR="00794ABE" w:rsidRPr="00B710A8">
        <w:rPr>
          <w:b w:val="0"/>
          <w:sz w:val="22"/>
          <w:szCs w:val="22"/>
        </w:rPr>
        <w:t xml:space="preserve">Reflecting the broad importance of sustainability in food production and food safety as well as sustainable agriculture beyond methyl bromide, we propose to rename MBTOC as the </w:t>
      </w:r>
      <w:r w:rsidR="00794ABE" w:rsidRPr="00B710A8">
        <w:rPr>
          <w:sz w:val="22"/>
          <w:szCs w:val="22"/>
        </w:rPr>
        <w:t>Methyl Bromide, Agriculture and Sustainability TOC (MBASTOC)</w:t>
      </w:r>
      <w:r w:rsidR="00794ABE" w:rsidRPr="00B710A8">
        <w:rPr>
          <w:b w:val="0"/>
          <w:sz w:val="22"/>
          <w:szCs w:val="22"/>
        </w:rPr>
        <w:t>. This TOC would still address important MB uses - controlled (CUNs) and exempted (QPS) and their alternatives, but its scope of work would be much wider and relevant to sustainable production in agriculture (e.g.</w:t>
      </w:r>
      <w:r w:rsidR="002C0D7B" w:rsidRPr="002C0D7B">
        <w:rPr>
          <w:b w:val="0"/>
          <w:sz w:val="22"/>
          <w:szCs w:val="22"/>
        </w:rPr>
        <w:t>,</w:t>
      </w:r>
      <w:r w:rsidR="00794ABE" w:rsidRPr="00B710A8">
        <w:rPr>
          <w:b w:val="0"/>
          <w:sz w:val="22"/>
          <w:szCs w:val="22"/>
        </w:rPr>
        <w:t xml:space="preserve"> nitrogen management). Cross cutting issues will also be addressed jointly with other TOCs as appropriate (e.g.</w:t>
      </w:r>
      <w:r w:rsidR="002C0D7B" w:rsidRPr="002C0D7B">
        <w:rPr>
          <w:b w:val="0"/>
          <w:sz w:val="22"/>
          <w:szCs w:val="22"/>
        </w:rPr>
        <w:t>,</w:t>
      </w:r>
      <w:r w:rsidR="00794ABE" w:rsidRPr="00B710A8">
        <w:rPr>
          <w:b w:val="0"/>
          <w:sz w:val="22"/>
          <w:szCs w:val="22"/>
        </w:rPr>
        <w:t xml:space="preserve"> the impact of the cold chain on food security).</w:t>
      </w:r>
    </w:p>
    <w:p w14:paraId="507153DF" w14:textId="77777777" w:rsidR="00CA5012" w:rsidRPr="00892A5D" w:rsidRDefault="00CA5012" w:rsidP="00107383">
      <w:pPr>
        <w:pStyle w:val="Style15"/>
        <w:numPr>
          <w:ilvl w:val="0"/>
          <w:numId w:val="77"/>
        </w:numPr>
        <w:rPr>
          <w:b w:val="0"/>
          <w:sz w:val="22"/>
          <w:szCs w:val="22"/>
        </w:rPr>
      </w:pPr>
      <w:r>
        <w:rPr>
          <w:bCs/>
          <w:sz w:val="22"/>
          <w:szCs w:val="22"/>
        </w:rPr>
        <w:t>Medical and Chemicals Technical Options Committee (</w:t>
      </w:r>
      <w:r w:rsidRPr="00576C71">
        <w:rPr>
          <w:bCs/>
          <w:sz w:val="22"/>
          <w:szCs w:val="22"/>
        </w:rPr>
        <w:t>MCTOC</w:t>
      </w:r>
      <w:r>
        <w:rPr>
          <w:bCs/>
          <w:sz w:val="22"/>
          <w:szCs w:val="22"/>
        </w:rPr>
        <w:t>)</w:t>
      </w:r>
      <w:r w:rsidRPr="00892A5D">
        <w:rPr>
          <w:b w:val="0"/>
          <w:sz w:val="22"/>
          <w:szCs w:val="22"/>
        </w:rPr>
        <w:t>: no proposed change at this time.]</w:t>
      </w:r>
    </w:p>
    <w:p w14:paraId="477D0BE2" w14:textId="42709EA5" w:rsidR="00521E02" w:rsidRPr="00D23986" w:rsidRDefault="001B3AC0" w:rsidP="002D3492">
      <w:r w:rsidRPr="00BE2C76">
        <w:rPr>
          <w:rStyle w:val="Heading2Char"/>
        </w:rPr>
        <w:br/>
      </w:r>
      <w:r w:rsidR="00C7675C" w:rsidRPr="002D72EB">
        <w:t xml:space="preserve">TEAP will provide an updated Matrix of Needed Expertise </w:t>
      </w:r>
      <w:r w:rsidR="00C7675C">
        <w:t xml:space="preserve">well </w:t>
      </w:r>
      <w:r w:rsidR="00C7675C" w:rsidRPr="002D72EB">
        <w:t>ahead of MOP-34.</w:t>
      </w:r>
    </w:p>
    <w:p w14:paraId="0B714365" w14:textId="77EC5ADB" w:rsidR="00DC7516" w:rsidRDefault="00DC7516" w:rsidP="004F0D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br w:type="page"/>
      </w:r>
    </w:p>
    <w:p w14:paraId="09A2A517" w14:textId="19591CD4" w:rsidR="00D94B22" w:rsidRPr="00872075" w:rsidRDefault="00591AA8" w:rsidP="00BA0312">
      <w:pPr>
        <w:pStyle w:val="Heading1"/>
      </w:pPr>
      <w:bookmarkStart w:id="685" w:name="_Toc514151692"/>
      <w:bookmarkStart w:id="686" w:name="_Toc9109614"/>
      <w:bookmarkStart w:id="687" w:name="_Toc40696113"/>
      <w:bookmarkStart w:id="688" w:name="_Toc77868942"/>
      <w:bookmarkStart w:id="689" w:name="_Toc78040774"/>
      <w:bookmarkStart w:id="690" w:name="_Toc79066578"/>
      <w:bookmarkStart w:id="691" w:name="_Toc104396747"/>
      <w:r w:rsidRPr="00D23986">
        <w:lastRenderedPageBreak/>
        <w:t>A</w:t>
      </w:r>
      <w:r w:rsidR="007C3101" w:rsidRPr="00D23986">
        <w:t>nnex</w:t>
      </w:r>
      <w:r w:rsidR="00725450" w:rsidRPr="00D23986">
        <w:t xml:space="preserve"> </w:t>
      </w:r>
      <w:r w:rsidR="00651E26" w:rsidRPr="00D23986">
        <w:t>1</w:t>
      </w:r>
      <w:r w:rsidR="00AA1A8F" w:rsidRPr="00D23986">
        <w:t>:</w:t>
      </w:r>
      <w:r w:rsidR="00963889">
        <w:t xml:space="preserve"> </w:t>
      </w:r>
      <w:r w:rsidRPr="00D23986">
        <w:t xml:space="preserve">TEAP and TOC membership </w:t>
      </w:r>
      <w:r w:rsidR="00DF70DE" w:rsidRPr="00D23986">
        <w:t>and administration</w:t>
      </w:r>
      <w:bookmarkEnd w:id="685"/>
      <w:bookmarkEnd w:id="686"/>
      <w:bookmarkEnd w:id="687"/>
      <w:bookmarkEnd w:id="688"/>
      <w:bookmarkEnd w:id="689"/>
      <w:bookmarkEnd w:id="690"/>
      <w:bookmarkEnd w:id="691"/>
      <w:r w:rsidRPr="00D23986">
        <w:t xml:space="preserve"> </w:t>
      </w:r>
      <w:bookmarkEnd w:id="623"/>
      <w:bookmarkEnd w:id="624"/>
      <w:bookmarkEnd w:id="625"/>
    </w:p>
    <w:p w14:paraId="23B74D8D" w14:textId="59D3E423" w:rsidR="00455567" w:rsidRDefault="00591AA8" w:rsidP="0051468B">
      <w:pPr>
        <w:spacing w:after="0"/>
        <w:rPr>
          <w:szCs w:val="22"/>
        </w:rPr>
      </w:pPr>
      <w:r w:rsidRPr="00D23986">
        <w:rPr>
          <w:szCs w:val="22"/>
        </w:rPr>
        <w:t xml:space="preserve">The disclosure of interest (DOI) of each member can be found on the Ozone Secretariat website at: </w:t>
      </w:r>
      <w:hyperlink r:id="rId81" w:history="1">
        <w:r w:rsidR="009E1AF4">
          <w:rPr>
            <w:rStyle w:val="Hyperlink"/>
          </w:rPr>
          <w:t>https://ozone.unep.org/science/assessment/teap</w:t>
        </w:r>
      </w:hyperlink>
      <w:r w:rsidR="00D44C95" w:rsidRPr="00D23986">
        <w:rPr>
          <w:szCs w:val="22"/>
        </w:rPr>
        <w:t xml:space="preserve">. </w:t>
      </w:r>
      <w:r w:rsidRPr="00D23986">
        <w:rPr>
          <w:szCs w:val="22"/>
        </w:rPr>
        <w:t xml:space="preserve">The disclosures are normally updated at the time of </w:t>
      </w:r>
      <w:r w:rsidR="003E070D">
        <w:rPr>
          <w:szCs w:val="22"/>
        </w:rPr>
        <w:t>TEAP’s annual meeting (normally in April/ May)</w:t>
      </w:r>
      <w:r w:rsidRPr="00D23986">
        <w:rPr>
          <w:szCs w:val="22"/>
        </w:rPr>
        <w:t xml:space="preserve">. </w:t>
      </w:r>
      <w:r w:rsidR="00BB5801" w:rsidRPr="00D23986">
        <w:rPr>
          <w:szCs w:val="22"/>
        </w:rPr>
        <w:t>TEAP’s Terms of Reference (TOR) (2.3) as approved by the Parties in Decision XXIV/8 specif</w:t>
      </w:r>
      <w:r w:rsidR="007E51F4" w:rsidRPr="00D23986">
        <w:rPr>
          <w:szCs w:val="22"/>
        </w:rPr>
        <w:t>y</w:t>
      </w:r>
      <w:r w:rsidR="00BB5801" w:rsidRPr="00D23986">
        <w:rPr>
          <w:szCs w:val="22"/>
        </w:rPr>
        <w:t xml:space="preserve"> that</w:t>
      </w:r>
    </w:p>
    <w:p w14:paraId="0CF20D51" w14:textId="4A26DAA9" w:rsidR="00B77294" w:rsidRPr="009E1AF4" w:rsidRDefault="00BB5801" w:rsidP="0051468B">
      <w:pPr>
        <w:spacing w:after="0"/>
        <w:rPr>
          <w:sz w:val="20"/>
        </w:rPr>
      </w:pPr>
      <w:r w:rsidRPr="00D23986">
        <w:rPr>
          <w:szCs w:val="22"/>
        </w:rPr>
        <w:t xml:space="preserve"> </w:t>
      </w:r>
    </w:p>
    <w:p w14:paraId="3CF5A3AF" w14:textId="7B9BAD8D" w:rsidR="00AD4B2A" w:rsidRPr="00F24FF8" w:rsidRDefault="00BB5801" w:rsidP="0051468B">
      <w:pPr>
        <w:spacing w:after="0"/>
        <w:rPr>
          <w:szCs w:val="22"/>
        </w:rPr>
      </w:pPr>
      <w:r w:rsidRPr="00D23986">
        <w:rPr>
          <w:i/>
          <w:szCs w:val="22"/>
        </w:rPr>
        <w:t>“</w:t>
      </w:r>
      <w:r w:rsidR="00B77294" w:rsidRPr="00D23986">
        <w:rPr>
          <w:i/>
          <w:szCs w:val="22"/>
        </w:rPr>
        <w:t xml:space="preserve">… </w:t>
      </w:r>
      <w:r w:rsidRPr="00D23986">
        <w:rPr>
          <w:i/>
          <w:szCs w:val="22"/>
        </w:rPr>
        <w:t>the Meeting of the Parties shall appoint the members of TEAP for a period of no more than four years…and may re-appoint Members of the Panel upon nomination by the relevant party for additional periods of up to four years each.”</w:t>
      </w:r>
      <w:r w:rsidR="00D64079" w:rsidRPr="00D23986">
        <w:rPr>
          <w:szCs w:val="22"/>
        </w:rPr>
        <w:t xml:space="preserve">. </w:t>
      </w:r>
      <w:r w:rsidRPr="00D23986">
        <w:rPr>
          <w:szCs w:val="22"/>
        </w:rPr>
        <w:t>TEAP member appointments end as of 31</w:t>
      </w:r>
      <w:r w:rsidR="006A713F" w:rsidRPr="00D23986">
        <w:rPr>
          <w:szCs w:val="22"/>
          <w:vertAlign w:val="superscript"/>
        </w:rPr>
        <w:t xml:space="preserve"> </w:t>
      </w:r>
      <w:r w:rsidRPr="00D23986">
        <w:rPr>
          <w:szCs w:val="22"/>
        </w:rPr>
        <w:t>December of the final year of appointment, as indicated in the</w:t>
      </w:r>
      <w:r w:rsidR="00E82B31" w:rsidRPr="00D23986">
        <w:rPr>
          <w:szCs w:val="22"/>
        </w:rPr>
        <w:t xml:space="preserve"> following tables</w:t>
      </w:r>
      <w:r w:rsidRPr="00D23986">
        <w:rPr>
          <w:szCs w:val="22"/>
        </w:rPr>
        <w:t>.</w:t>
      </w:r>
    </w:p>
    <w:p w14:paraId="56CB74F5" w14:textId="77777777" w:rsidR="00F35B4A" w:rsidRDefault="00F35B4A" w:rsidP="0051468B">
      <w:pPr>
        <w:tabs>
          <w:tab w:val="left" w:pos="720"/>
          <w:tab w:val="left" w:pos="1080"/>
        </w:tabs>
        <w:spacing w:after="0"/>
      </w:pPr>
      <w:bookmarkStart w:id="692" w:name="_Toc514151693"/>
      <w:bookmarkStart w:id="693" w:name="_Toc9109615"/>
      <w:bookmarkStart w:id="694" w:name="_Toc40696114"/>
    </w:p>
    <w:p w14:paraId="41F35681" w14:textId="2F4A7732" w:rsidR="00F35B4A" w:rsidRPr="00093C5C" w:rsidRDefault="00F35B4A" w:rsidP="0051468B">
      <w:pPr>
        <w:tabs>
          <w:tab w:val="left" w:pos="720"/>
          <w:tab w:val="left" w:pos="1080"/>
        </w:tabs>
        <w:spacing w:after="0"/>
      </w:pPr>
      <w:r w:rsidRPr="00D23986">
        <w:t xml:space="preserve">TEAP’s TOR (2.5) specifies that </w:t>
      </w:r>
      <w:r w:rsidRPr="00D23986">
        <w:rPr>
          <w:i/>
        </w:rPr>
        <w:t>“TOC members are appointed by the TOC co-chairs, in consultation with TEAP, for a period of no more than four years…[and] may be re-appointed following the procedure for nominations for additional periods of up to four years each.</w:t>
      </w:r>
      <w:r w:rsidRPr="00D23986">
        <w:t>” New appointments to a TOC start from the date of appointment by TOC co-chairs and end as of 31</w:t>
      </w:r>
      <w:r w:rsidRPr="00D23986">
        <w:rPr>
          <w:vertAlign w:val="superscript"/>
        </w:rPr>
        <w:t>st</w:t>
      </w:r>
      <w:r w:rsidRPr="00D23986">
        <w:t xml:space="preserve"> December of the final year of appointment, up to four years. </w:t>
      </w:r>
    </w:p>
    <w:p w14:paraId="36954073" w14:textId="0AE5299D" w:rsidR="00AD4B2A" w:rsidRPr="00BE2C76" w:rsidRDefault="001B3AC0" w:rsidP="001B3AC0">
      <w:pPr>
        <w:rPr>
          <w:rStyle w:val="Heading2Char"/>
        </w:rPr>
      </w:pPr>
      <w:r>
        <w:rPr>
          <w:rStyle w:val="Heading2Char"/>
        </w:rPr>
        <w:br/>
      </w:r>
      <w:r w:rsidRPr="00BE2C76">
        <w:rPr>
          <w:rStyle w:val="Heading2Char"/>
        </w:rPr>
        <w:t xml:space="preserve">1. </w:t>
      </w:r>
      <w:r w:rsidR="00591AA8" w:rsidRPr="00BE2C76">
        <w:rPr>
          <w:rStyle w:val="Heading2Char"/>
        </w:rPr>
        <w:t>Technology and Economic Assessment Panel (TEAP)</w:t>
      </w:r>
      <w:r w:rsidR="00177452" w:rsidRPr="00BE2C76">
        <w:rPr>
          <w:rStyle w:val="Heading2Char"/>
        </w:rPr>
        <w:t xml:space="preserve"> </w:t>
      </w:r>
      <w:bookmarkEnd w:id="692"/>
      <w:bookmarkEnd w:id="693"/>
      <w:bookmarkEnd w:id="694"/>
      <w:r w:rsidR="00B82F6D" w:rsidRPr="00BE2C76">
        <w:rPr>
          <w:rStyle w:val="Heading2Char"/>
        </w:rPr>
        <w:t>202</w:t>
      </w:r>
      <w:r w:rsidR="002D3492">
        <w:rPr>
          <w:rStyle w:val="Heading2Char"/>
        </w:rPr>
        <w:t>2</w:t>
      </w:r>
    </w:p>
    <w:p w14:paraId="1966AE5E" w14:textId="3DA5D781" w:rsidR="00743638" w:rsidRDefault="00840CE5" w:rsidP="0051468B">
      <w:pPr>
        <w:spacing w:after="120"/>
      </w:pPr>
      <w:r w:rsidRPr="00840CE5">
        <w:t xml:space="preserve">TEAP is presently composed </w:t>
      </w:r>
      <w:r w:rsidR="009E41D5">
        <w:t>of</w:t>
      </w:r>
      <w:r w:rsidR="009E41D5" w:rsidRPr="00840CE5">
        <w:t xml:space="preserve"> </w:t>
      </w:r>
      <w:r w:rsidR="00646834">
        <w:t>three</w:t>
      </w:r>
      <w:r w:rsidR="00646834" w:rsidRPr="00840CE5">
        <w:t xml:space="preserve"> </w:t>
      </w:r>
      <w:r w:rsidRPr="00840CE5">
        <w:t xml:space="preserve">co-chairs, the co-chairs of the Technical Options Committees and five senior experts as indicated in Table 1 below. </w:t>
      </w:r>
    </w:p>
    <w:p w14:paraId="7B373E5F" w14:textId="22ED11A1" w:rsidR="008A212A" w:rsidRPr="001B3AC0" w:rsidRDefault="008A212A" w:rsidP="003C63EA">
      <w:pPr>
        <w:pStyle w:val="Style15"/>
        <w:tabs>
          <w:tab w:val="clear" w:pos="720"/>
          <w:tab w:val="clear" w:pos="1080"/>
          <w:tab w:val="left" w:pos="900"/>
        </w:tabs>
        <w:rPr>
          <w:i/>
          <w:iCs/>
          <w:sz w:val="22"/>
          <w:szCs w:val="22"/>
        </w:rPr>
      </w:pPr>
      <w:r w:rsidRPr="001B3AC0">
        <w:rPr>
          <w:i/>
          <w:iCs/>
          <w:sz w:val="22"/>
          <w:szCs w:val="22"/>
        </w:rPr>
        <w:t>Table 1</w:t>
      </w:r>
      <w:r w:rsidR="003C63EA" w:rsidRPr="001B3AC0">
        <w:rPr>
          <w:i/>
          <w:iCs/>
          <w:sz w:val="22"/>
          <w:szCs w:val="22"/>
        </w:rPr>
        <w:t>:</w:t>
      </w:r>
      <w:r w:rsidR="003C63EA" w:rsidRPr="001B3AC0">
        <w:rPr>
          <w:i/>
          <w:iCs/>
          <w:sz w:val="22"/>
          <w:szCs w:val="22"/>
        </w:rPr>
        <w:tab/>
      </w:r>
      <w:r w:rsidRPr="001B3AC0">
        <w:rPr>
          <w:i/>
          <w:iCs/>
          <w:sz w:val="22"/>
          <w:szCs w:val="22"/>
        </w:rPr>
        <w:t xml:space="preserve">TEAP Membership at </w:t>
      </w:r>
      <w:r w:rsidR="00BC7AA9">
        <w:rPr>
          <w:i/>
          <w:iCs/>
          <w:sz w:val="22"/>
          <w:szCs w:val="22"/>
        </w:rPr>
        <w:t>May</w:t>
      </w:r>
      <w:r w:rsidRPr="001B3AC0">
        <w:rPr>
          <w:i/>
          <w:iCs/>
          <w:sz w:val="22"/>
          <w:szCs w:val="22"/>
        </w:rPr>
        <w:t xml:space="preserve"> 20</w:t>
      </w:r>
      <w:r w:rsidR="00C30961" w:rsidRPr="001B3AC0">
        <w:rPr>
          <w:i/>
          <w:iCs/>
          <w:sz w:val="22"/>
          <w:szCs w:val="22"/>
        </w:rPr>
        <w:t>2</w:t>
      </w:r>
      <w:r w:rsidR="002D3492">
        <w:rPr>
          <w:i/>
          <w:iCs/>
          <w:sz w:val="22"/>
          <w:szCs w:val="22"/>
        </w:rPr>
        <w:t>2</w:t>
      </w:r>
      <w:r w:rsidR="00932FD4">
        <w:rPr>
          <w:i/>
          <w:iCs/>
          <w:sz w:val="22"/>
          <w:szCs w:val="22"/>
        </w:rPr>
        <w:br/>
      </w:r>
    </w:p>
    <w:tbl>
      <w:tblPr>
        <w:tblStyle w:val="TableGrid"/>
        <w:tblW w:w="9293" w:type="dxa"/>
        <w:tblLayout w:type="fixed"/>
        <w:tblLook w:val="04A0" w:firstRow="1" w:lastRow="0" w:firstColumn="1" w:lastColumn="0" w:noHBand="0" w:noVBand="1"/>
      </w:tblPr>
      <w:tblGrid>
        <w:gridCol w:w="2695"/>
        <w:gridCol w:w="2912"/>
        <w:gridCol w:w="1678"/>
        <w:gridCol w:w="2008"/>
      </w:tblGrid>
      <w:tr w:rsidR="0020075A" w:rsidRPr="00BF2B4F" w14:paraId="23E9A0E6" w14:textId="77777777" w:rsidTr="009E1AF4">
        <w:tc>
          <w:tcPr>
            <w:tcW w:w="2695" w:type="dxa"/>
            <w:shd w:val="clear" w:color="auto" w:fill="BDD6EE" w:themeFill="accent1" w:themeFillTint="66"/>
          </w:tcPr>
          <w:p w14:paraId="32EA9132" w14:textId="77777777" w:rsidR="0020075A" w:rsidRPr="0020075A" w:rsidRDefault="0020075A" w:rsidP="00F10ECB">
            <w:pPr>
              <w:tabs>
                <w:tab w:val="left" w:pos="720"/>
                <w:tab w:val="left" w:pos="1080"/>
              </w:tabs>
              <w:spacing w:after="0"/>
              <w:rPr>
                <w:b/>
                <w:sz w:val="20"/>
                <w:szCs w:val="20"/>
              </w:rPr>
            </w:pPr>
            <w:r w:rsidRPr="0020075A">
              <w:rPr>
                <w:b/>
                <w:sz w:val="20"/>
                <w:szCs w:val="20"/>
              </w:rPr>
              <w:t>Co-chairs</w:t>
            </w:r>
          </w:p>
        </w:tc>
        <w:tc>
          <w:tcPr>
            <w:tcW w:w="2912" w:type="dxa"/>
            <w:shd w:val="clear" w:color="auto" w:fill="BDD6EE" w:themeFill="accent1" w:themeFillTint="66"/>
          </w:tcPr>
          <w:p w14:paraId="6BD0F4E4" w14:textId="77777777" w:rsidR="0020075A" w:rsidRPr="0020075A" w:rsidRDefault="0020075A" w:rsidP="00F10ECB">
            <w:pPr>
              <w:tabs>
                <w:tab w:val="left" w:pos="720"/>
                <w:tab w:val="left" w:pos="1080"/>
              </w:tabs>
              <w:spacing w:after="0"/>
              <w:rPr>
                <w:b/>
                <w:sz w:val="20"/>
                <w:szCs w:val="20"/>
              </w:rPr>
            </w:pPr>
            <w:r w:rsidRPr="0020075A">
              <w:rPr>
                <w:b/>
                <w:sz w:val="20"/>
                <w:szCs w:val="20"/>
              </w:rPr>
              <w:t>Affiliation</w:t>
            </w:r>
          </w:p>
        </w:tc>
        <w:tc>
          <w:tcPr>
            <w:tcW w:w="1678" w:type="dxa"/>
            <w:shd w:val="clear" w:color="auto" w:fill="BDD6EE" w:themeFill="accent1" w:themeFillTint="66"/>
          </w:tcPr>
          <w:p w14:paraId="4A4FC4D7" w14:textId="77777777" w:rsidR="0020075A" w:rsidRPr="0020075A" w:rsidRDefault="0020075A" w:rsidP="00F10ECB">
            <w:pPr>
              <w:tabs>
                <w:tab w:val="left" w:pos="720"/>
                <w:tab w:val="left" w:pos="1080"/>
              </w:tabs>
              <w:spacing w:after="0"/>
              <w:rPr>
                <w:b/>
                <w:sz w:val="20"/>
                <w:szCs w:val="20"/>
              </w:rPr>
            </w:pPr>
            <w:r w:rsidRPr="0020075A">
              <w:rPr>
                <w:b/>
                <w:sz w:val="20"/>
                <w:szCs w:val="20"/>
              </w:rPr>
              <w:t>Country</w:t>
            </w:r>
          </w:p>
        </w:tc>
        <w:tc>
          <w:tcPr>
            <w:tcW w:w="2008" w:type="dxa"/>
            <w:shd w:val="clear" w:color="auto" w:fill="BDD6EE" w:themeFill="accent1" w:themeFillTint="66"/>
          </w:tcPr>
          <w:p w14:paraId="713F493D" w14:textId="77777777" w:rsidR="0020075A" w:rsidRPr="0020075A" w:rsidRDefault="0020075A" w:rsidP="00F10ECB">
            <w:pPr>
              <w:tabs>
                <w:tab w:val="left" w:pos="720"/>
                <w:tab w:val="left" w:pos="1080"/>
              </w:tabs>
              <w:spacing w:after="0"/>
              <w:rPr>
                <w:b/>
                <w:sz w:val="20"/>
                <w:szCs w:val="20"/>
              </w:rPr>
            </w:pPr>
            <w:r w:rsidRPr="0020075A">
              <w:rPr>
                <w:b/>
                <w:sz w:val="20"/>
                <w:szCs w:val="20"/>
              </w:rPr>
              <w:t>Appointed through</w:t>
            </w:r>
          </w:p>
        </w:tc>
      </w:tr>
      <w:tr w:rsidR="0020075A" w:rsidRPr="00BF2B4F" w14:paraId="0762326B" w14:textId="77777777" w:rsidTr="009E1AF4">
        <w:tc>
          <w:tcPr>
            <w:tcW w:w="2695" w:type="dxa"/>
          </w:tcPr>
          <w:p w14:paraId="54CE5538" w14:textId="776F4DDD" w:rsidR="0020075A" w:rsidRPr="0020075A" w:rsidRDefault="0020075A" w:rsidP="0020075A">
            <w:pPr>
              <w:tabs>
                <w:tab w:val="left" w:pos="720"/>
                <w:tab w:val="left" w:pos="1080"/>
              </w:tabs>
              <w:spacing w:after="0"/>
              <w:rPr>
                <w:sz w:val="20"/>
                <w:szCs w:val="20"/>
              </w:rPr>
            </w:pPr>
            <w:r w:rsidRPr="0020075A">
              <w:rPr>
                <w:sz w:val="20"/>
                <w:szCs w:val="20"/>
              </w:rPr>
              <w:t xml:space="preserve">Bella Maranion </w:t>
            </w:r>
          </w:p>
        </w:tc>
        <w:tc>
          <w:tcPr>
            <w:tcW w:w="2912" w:type="dxa"/>
          </w:tcPr>
          <w:p w14:paraId="0AA831FE" w14:textId="35214FBB" w:rsidR="0020075A" w:rsidRPr="0020075A" w:rsidRDefault="0020075A" w:rsidP="0020075A">
            <w:pPr>
              <w:tabs>
                <w:tab w:val="left" w:pos="720"/>
                <w:tab w:val="left" w:pos="1080"/>
              </w:tabs>
              <w:spacing w:after="0"/>
              <w:rPr>
                <w:sz w:val="20"/>
                <w:szCs w:val="20"/>
              </w:rPr>
            </w:pPr>
            <w:r w:rsidRPr="0020075A">
              <w:rPr>
                <w:sz w:val="20"/>
                <w:szCs w:val="20"/>
              </w:rPr>
              <w:t xml:space="preserve">U.S. Environmental Protection Agency </w:t>
            </w:r>
          </w:p>
        </w:tc>
        <w:tc>
          <w:tcPr>
            <w:tcW w:w="1678" w:type="dxa"/>
          </w:tcPr>
          <w:p w14:paraId="71929F48" w14:textId="49D3E4E3" w:rsidR="0020075A" w:rsidRPr="0020075A" w:rsidRDefault="0020075A" w:rsidP="0020075A">
            <w:pPr>
              <w:tabs>
                <w:tab w:val="left" w:pos="720"/>
                <w:tab w:val="left" w:pos="1080"/>
              </w:tabs>
              <w:spacing w:after="0"/>
              <w:rPr>
                <w:sz w:val="20"/>
                <w:szCs w:val="20"/>
              </w:rPr>
            </w:pPr>
            <w:r w:rsidRPr="0020075A">
              <w:rPr>
                <w:sz w:val="20"/>
                <w:szCs w:val="20"/>
              </w:rPr>
              <w:t>US</w:t>
            </w:r>
          </w:p>
        </w:tc>
        <w:tc>
          <w:tcPr>
            <w:tcW w:w="2008" w:type="dxa"/>
          </w:tcPr>
          <w:p w14:paraId="20F58E56" w14:textId="6D3210FA" w:rsidR="0020075A" w:rsidRPr="0020075A" w:rsidRDefault="0020075A" w:rsidP="0020075A">
            <w:pPr>
              <w:tabs>
                <w:tab w:val="left" w:pos="720"/>
                <w:tab w:val="left" w:pos="1080"/>
              </w:tabs>
              <w:spacing w:after="0"/>
              <w:rPr>
                <w:sz w:val="20"/>
                <w:szCs w:val="20"/>
              </w:rPr>
            </w:pPr>
            <w:r w:rsidRPr="0020075A">
              <w:rPr>
                <w:sz w:val="20"/>
                <w:szCs w:val="20"/>
              </w:rPr>
              <w:t>202</w:t>
            </w:r>
            <w:r w:rsidR="008331BC">
              <w:rPr>
                <w:sz w:val="20"/>
                <w:szCs w:val="20"/>
              </w:rPr>
              <w:t>4</w:t>
            </w:r>
          </w:p>
        </w:tc>
      </w:tr>
      <w:tr w:rsidR="0020075A" w:rsidRPr="00BF2B4F" w14:paraId="6782583C" w14:textId="77777777" w:rsidTr="009E1AF4">
        <w:tc>
          <w:tcPr>
            <w:tcW w:w="2695" w:type="dxa"/>
          </w:tcPr>
          <w:p w14:paraId="5D34D6AF" w14:textId="20F0BB59" w:rsidR="0020075A" w:rsidRPr="0020075A" w:rsidRDefault="0020075A" w:rsidP="0020075A">
            <w:pPr>
              <w:tabs>
                <w:tab w:val="left" w:pos="720"/>
                <w:tab w:val="left" w:pos="1080"/>
              </w:tabs>
              <w:spacing w:after="0"/>
              <w:rPr>
                <w:sz w:val="20"/>
                <w:szCs w:val="20"/>
              </w:rPr>
            </w:pPr>
            <w:r w:rsidRPr="0020075A">
              <w:rPr>
                <w:sz w:val="20"/>
                <w:szCs w:val="20"/>
              </w:rPr>
              <w:t>Marta Pizano</w:t>
            </w:r>
          </w:p>
        </w:tc>
        <w:tc>
          <w:tcPr>
            <w:tcW w:w="2912" w:type="dxa"/>
          </w:tcPr>
          <w:p w14:paraId="4F1CF108" w14:textId="6E3C8108" w:rsidR="0020075A" w:rsidRPr="0020075A" w:rsidRDefault="0020075A" w:rsidP="0020075A">
            <w:pPr>
              <w:tabs>
                <w:tab w:val="left" w:pos="720"/>
                <w:tab w:val="left" w:pos="1080"/>
              </w:tabs>
              <w:spacing w:after="0"/>
              <w:rPr>
                <w:sz w:val="20"/>
                <w:szCs w:val="20"/>
              </w:rPr>
            </w:pPr>
            <w:r w:rsidRPr="0020075A">
              <w:rPr>
                <w:sz w:val="20"/>
                <w:szCs w:val="20"/>
              </w:rPr>
              <w:t>Independent Expert</w:t>
            </w:r>
          </w:p>
        </w:tc>
        <w:tc>
          <w:tcPr>
            <w:tcW w:w="1678" w:type="dxa"/>
          </w:tcPr>
          <w:p w14:paraId="2457AA9B" w14:textId="7FA15556" w:rsidR="0020075A" w:rsidRPr="0020075A" w:rsidRDefault="0020075A" w:rsidP="0020075A">
            <w:pPr>
              <w:tabs>
                <w:tab w:val="left" w:pos="720"/>
                <w:tab w:val="left" w:pos="1080"/>
              </w:tabs>
              <w:spacing w:after="0"/>
              <w:rPr>
                <w:sz w:val="20"/>
                <w:szCs w:val="20"/>
              </w:rPr>
            </w:pPr>
            <w:r w:rsidRPr="0020075A">
              <w:rPr>
                <w:sz w:val="20"/>
                <w:szCs w:val="20"/>
              </w:rPr>
              <w:t>Colombia</w:t>
            </w:r>
          </w:p>
        </w:tc>
        <w:tc>
          <w:tcPr>
            <w:tcW w:w="2008" w:type="dxa"/>
          </w:tcPr>
          <w:p w14:paraId="5238C8F6" w14:textId="09D8D9CD" w:rsidR="0020075A" w:rsidRPr="0020075A" w:rsidRDefault="0020075A" w:rsidP="0020075A">
            <w:pPr>
              <w:tabs>
                <w:tab w:val="left" w:pos="720"/>
                <w:tab w:val="left" w:pos="1080"/>
              </w:tabs>
              <w:spacing w:after="0"/>
              <w:rPr>
                <w:sz w:val="20"/>
                <w:szCs w:val="20"/>
              </w:rPr>
            </w:pPr>
            <w:r w:rsidRPr="0020075A">
              <w:rPr>
                <w:sz w:val="20"/>
                <w:szCs w:val="20"/>
              </w:rPr>
              <w:t>2022</w:t>
            </w:r>
            <w:r w:rsidR="000C1C9A">
              <w:rPr>
                <w:sz w:val="20"/>
                <w:szCs w:val="20"/>
              </w:rPr>
              <w:t>*</w:t>
            </w:r>
          </w:p>
        </w:tc>
      </w:tr>
      <w:tr w:rsidR="0020075A" w:rsidRPr="00BF2B4F" w14:paraId="46B0743E" w14:textId="77777777" w:rsidTr="009E1AF4">
        <w:tc>
          <w:tcPr>
            <w:tcW w:w="2695" w:type="dxa"/>
          </w:tcPr>
          <w:p w14:paraId="7B0742AD" w14:textId="750794CD" w:rsidR="0020075A" w:rsidRPr="0020075A" w:rsidRDefault="0020075A" w:rsidP="0020075A">
            <w:pPr>
              <w:tabs>
                <w:tab w:val="left" w:pos="720"/>
                <w:tab w:val="left" w:pos="1080"/>
              </w:tabs>
              <w:spacing w:after="0"/>
              <w:rPr>
                <w:sz w:val="20"/>
                <w:szCs w:val="20"/>
              </w:rPr>
            </w:pPr>
            <w:r w:rsidRPr="0020075A">
              <w:rPr>
                <w:sz w:val="20"/>
                <w:szCs w:val="20"/>
              </w:rPr>
              <w:t>Ashley Woodcock</w:t>
            </w:r>
          </w:p>
        </w:tc>
        <w:tc>
          <w:tcPr>
            <w:tcW w:w="2912" w:type="dxa"/>
          </w:tcPr>
          <w:p w14:paraId="6095D2E5" w14:textId="3EE471D0" w:rsidR="0020075A" w:rsidRPr="0020075A" w:rsidRDefault="0020075A" w:rsidP="0020075A">
            <w:pPr>
              <w:tabs>
                <w:tab w:val="left" w:pos="720"/>
                <w:tab w:val="left" w:pos="1080"/>
              </w:tabs>
              <w:spacing w:after="0"/>
              <w:rPr>
                <w:sz w:val="20"/>
                <w:szCs w:val="20"/>
              </w:rPr>
            </w:pPr>
            <w:r w:rsidRPr="0020075A">
              <w:rPr>
                <w:sz w:val="20"/>
                <w:szCs w:val="20"/>
              </w:rPr>
              <w:t>Manchester University NHS Foundation Trust</w:t>
            </w:r>
          </w:p>
        </w:tc>
        <w:tc>
          <w:tcPr>
            <w:tcW w:w="1678" w:type="dxa"/>
          </w:tcPr>
          <w:p w14:paraId="6EC87255" w14:textId="5CEEFD6C" w:rsidR="0020075A" w:rsidRPr="0020075A" w:rsidRDefault="0020075A" w:rsidP="0020075A">
            <w:pPr>
              <w:tabs>
                <w:tab w:val="left" w:pos="720"/>
                <w:tab w:val="left" w:pos="1080"/>
              </w:tabs>
              <w:spacing w:after="0"/>
              <w:rPr>
                <w:sz w:val="20"/>
                <w:szCs w:val="20"/>
              </w:rPr>
            </w:pPr>
            <w:r w:rsidRPr="0020075A">
              <w:rPr>
                <w:sz w:val="20"/>
                <w:szCs w:val="20"/>
              </w:rPr>
              <w:t>UK</w:t>
            </w:r>
          </w:p>
        </w:tc>
        <w:tc>
          <w:tcPr>
            <w:tcW w:w="2008" w:type="dxa"/>
          </w:tcPr>
          <w:p w14:paraId="1AD70A3D" w14:textId="5F284930" w:rsidR="0020075A" w:rsidRPr="0020075A" w:rsidRDefault="0020075A" w:rsidP="0020075A">
            <w:pPr>
              <w:tabs>
                <w:tab w:val="left" w:pos="720"/>
                <w:tab w:val="left" w:pos="1080"/>
              </w:tabs>
              <w:spacing w:after="0"/>
              <w:rPr>
                <w:sz w:val="20"/>
                <w:szCs w:val="20"/>
              </w:rPr>
            </w:pPr>
            <w:r w:rsidRPr="0020075A">
              <w:rPr>
                <w:sz w:val="20"/>
                <w:szCs w:val="20"/>
              </w:rPr>
              <w:t>2022</w:t>
            </w:r>
            <w:r w:rsidR="000C1C9A">
              <w:rPr>
                <w:sz w:val="20"/>
                <w:szCs w:val="20"/>
              </w:rPr>
              <w:t>*</w:t>
            </w:r>
          </w:p>
        </w:tc>
      </w:tr>
      <w:tr w:rsidR="0020075A" w:rsidRPr="00BF2B4F" w14:paraId="4CD8B6EC" w14:textId="77777777" w:rsidTr="009E1AF4">
        <w:tc>
          <w:tcPr>
            <w:tcW w:w="2695" w:type="dxa"/>
            <w:shd w:val="clear" w:color="auto" w:fill="BDD6EE" w:themeFill="accent1" w:themeFillTint="66"/>
          </w:tcPr>
          <w:p w14:paraId="0E7FF1F5" w14:textId="0D037F06" w:rsidR="0020075A" w:rsidRPr="0020075A" w:rsidRDefault="0020075A" w:rsidP="00F10ECB">
            <w:pPr>
              <w:tabs>
                <w:tab w:val="left" w:pos="720"/>
                <w:tab w:val="left" w:pos="1080"/>
              </w:tabs>
              <w:spacing w:after="0"/>
              <w:rPr>
                <w:b/>
                <w:sz w:val="20"/>
                <w:szCs w:val="20"/>
              </w:rPr>
            </w:pPr>
            <w:r w:rsidRPr="0020075A">
              <w:rPr>
                <w:b/>
                <w:sz w:val="20"/>
                <w:szCs w:val="20"/>
              </w:rPr>
              <w:t>Senior Experts</w:t>
            </w:r>
          </w:p>
        </w:tc>
        <w:tc>
          <w:tcPr>
            <w:tcW w:w="2912" w:type="dxa"/>
            <w:shd w:val="clear" w:color="auto" w:fill="BDD6EE" w:themeFill="accent1" w:themeFillTint="66"/>
          </w:tcPr>
          <w:p w14:paraId="5D71F6A7" w14:textId="77777777" w:rsidR="0020075A" w:rsidRPr="0020075A" w:rsidRDefault="0020075A" w:rsidP="00F10ECB">
            <w:pPr>
              <w:tabs>
                <w:tab w:val="left" w:pos="720"/>
                <w:tab w:val="left" w:pos="1080"/>
              </w:tabs>
              <w:spacing w:after="0"/>
              <w:rPr>
                <w:b/>
                <w:sz w:val="20"/>
                <w:szCs w:val="20"/>
              </w:rPr>
            </w:pPr>
            <w:r w:rsidRPr="0020075A">
              <w:rPr>
                <w:b/>
                <w:sz w:val="20"/>
                <w:szCs w:val="20"/>
              </w:rPr>
              <w:t>Affiliation</w:t>
            </w:r>
          </w:p>
        </w:tc>
        <w:tc>
          <w:tcPr>
            <w:tcW w:w="1678" w:type="dxa"/>
            <w:shd w:val="clear" w:color="auto" w:fill="BDD6EE" w:themeFill="accent1" w:themeFillTint="66"/>
          </w:tcPr>
          <w:p w14:paraId="78105CC6" w14:textId="77777777" w:rsidR="0020075A" w:rsidRPr="0020075A" w:rsidRDefault="0020075A" w:rsidP="00F10ECB">
            <w:pPr>
              <w:tabs>
                <w:tab w:val="left" w:pos="720"/>
                <w:tab w:val="left" w:pos="1080"/>
              </w:tabs>
              <w:spacing w:after="0"/>
              <w:rPr>
                <w:b/>
                <w:sz w:val="20"/>
                <w:szCs w:val="20"/>
              </w:rPr>
            </w:pPr>
            <w:r w:rsidRPr="0020075A">
              <w:rPr>
                <w:b/>
                <w:sz w:val="20"/>
                <w:szCs w:val="20"/>
              </w:rPr>
              <w:t>Country</w:t>
            </w:r>
          </w:p>
        </w:tc>
        <w:tc>
          <w:tcPr>
            <w:tcW w:w="2008" w:type="dxa"/>
            <w:shd w:val="clear" w:color="auto" w:fill="BDD6EE" w:themeFill="accent1" w:themeFillTint="66"/>
          </w:tcPr>
          <w:p w14:paraId="26C41EA7" w14:textId="4E36E90F" w:rsidR="0020075A" w:rsidRPr="0020075A" w:rsidRDefault="0020075A" w:rsidP="00F10ECB">
            <w:pPr>
              <w:tabs>
                <w:tab w:val="left" w:pos="720"/>
                <w:tab w:val="left" w:pos="1080"/>
              </w:tabs>
              <w:spacing w:after="0"/>
              <w:rPr>
                <w:b/>
                <w:sz w:val="20"/>
                <w:szCs w:val="20"/>
              </w:rPr>
            </w:pPr>
            <w:r w:rsidRPr="0020075A">
              <w:rPr>
                <w:b/>
                <w:sz w:val="20"/>
                <w:szCs w:val="20"/>
              </w:rPr>
              <w:t>Appointed through</w:t>
            </w:r>
          </w:p>
        </w:tc>
      </w:tr>
      <w:tr w:rsidR="0020075A" w:rsidRPr="00BF2B4F" w14:paraId="4F18D6D1" w14:textId="77777777" w:rsidTr="009E1AF4">
        <w:tc>
          <w:tcPr>
            <w:tcW w:w="2695" w:type="dxa"/>
          </w:tcPr>
          <w:p w14:paraId="30EE55CD" w14:textId="5CE8E518" w:rsidR="0020075A" w:rsidRPr="0020075A" w:rsidRDefault="0020075A" w:rsidP="0020075A">
            <w:pPr>
              <w:tabs>
                <w:tab w:val="left" w:pos="720"/>
                <w:tab w:val="left" w:pos="1080"/>
              </w:tabs>
              <w:spacing w:after="0"/>
              <w:rPr>
                <w:sz w:val="20"/>
                <w:szCs w:val="20"/>
              </w:rPr>
            </w:pPr>
            <w:r w:rsidRPr="0020075A">
              <w:rPr>
                <w:sz w:val="20"/>
                <w:szCs w:val="20"/>
              </w:rPr>
              <w:t>Suely Machado Carvalho</w:t>
            </w:r>
          </w:p>
        </w:tc>
        <w:tc>
          <w:tcPr>
            <w:tcW w:w="2912" w:type="dxa"/>
          </w:tcPr>
          <w:p w14:paraId="425E59B0" w14:textId="2002D5FA" w:rsidR="0020075A" w:rsidRPr="0020075A" w:rsidRDefault="0020075A" w:rsidP="0020075A">
            <w:pPr>
              <w:tabs>
                <w:tab w:val="left" w:pos="720"/>
                <w:tab w:val="left" w:pos="1080"/>
              </w:tabs>
              <w:spacing w:after="0"/>
              <w:rPr>
                <w:sz w:val="20"/>
                <w:szCs w:val="20"/>
              </w:rPr>
            </w:pPr>
            <w:r w:rsidRPr="0020075A">
              <w:rPr>
                <w:sz w:val="20"/>
                <w:szCs w:val="20"/>
              </w:rPr>
              <w:t>Independent Expert</w:t>
            </w:r>
          </w:p>
        </w:tc>
        <w:tc>
          <w:tcPr>
            <w:tcW w:w="1678" w:type="dxa"/>
          </w:tcPr>
          <w:p w14:paraId="38A381F7" w14:textId="15A29648" w:rsidR="0020075A" w:rsidRPr="0020075A" w:rsidRDefault="0020075A" w:rsidP="0020075A">
            <w:pPr>
              <w:tabs>
                <w:tab w:val="left" w:pos="720"/>
                <w:tab w:val="left" w:pos="1080"/>
              </w:tabs>
              <w:spacing w:after="0"/>
              <w:rPr>
                <w:sz w:val="20"/>
                <w:szCs w:val="20"/>
              </w:rPr>
            </w:pPr>
            <w:r w:rsidRPr="0020075A">
              <w:rPr>
                <w:sz w:val="20"/>
                <w:szCs w:val="20"/>
              </w:rPr>
              <w:t>Brazil</w:t>
            </w:r>
          </w:p>
        </w:tc>
        <w:tc>
          <w:tcPr>
            <w:tcW w:w="2008" w:type="dxa"/>
          </w:tcPr>
          <w:p w14:paraId="73BDB014" w14:textId="52B80A02" w:rsidR="0020075A" w:rsidRPr="0020075A" w:rsidRDefault="00C30961" w:rsidP="0020075A">
            <w:pPr>
              <w:tabs>
                <w:tab w:val="left" w:pos="720"/>
                <w:tab w:val="left" w:pos="1080"/>
              </w:tabs>
              <w:spacing w:after="0"/>
              <w:rPr>
                <w:sz w:val="20"/>
                <w:szCs w:val="20"/>
              </w:rPr>
            </w:pPr>
            <w:r>
              <w:rPr>
                <w:sz w:val="20"/>
                <w:szCs w:val="20"/>
              </w:rPr>
              <w:t>2023</w:t>
            </w:r>
          </w:p>
        </w:tc>
      </w:tr>
      <w:tr w:rsidR="008331BC" w:rsidRPr="00BF2B4F" w14:paraId="5F92D668" w14:textId="77777777" w:rsidTr="009E1AF4">
        <w:tc>
          <w:tcPr>
            <w:tcW w:w="2695" w:type="dxa"/>
          </w:tcPr>
          <w:p w14:paraId="749EC749" w14:textId="377D6C1D" w:rsidR="008331BC" w:rsidRPr="0020075A" w:rsidRDefault="008331BC" w:rsidP="0020075A">
            <w:pPr>
              <w:tabs>
                <w:tab w:val="left" w:pos="720"/>
                <w:tab w:val="left" w:pos="1080"/>
              </w:tabs>
              <w:spacing w:after="0"/>
              <w:rPr>
                <w:sz w:val="20"/>
              </w:rPr>
            </w:pPr>
            <w:r>
              <w:rPr>
                <w:sz w:val="20"/>
              </w:rPr>
              <w:t>Ray Gluckman</w:t>
            </w:r>
          </w:p>
        </w:tc>
        <w:tc>
          <w:tcPr>
            <w:tcW w:w="2912" w:type="dxa"/>
          </w:tcPr>
          <w:p w14:paraId="0A502373" w14:textId="7947ECBC" w:rsidR="008331BC" w:rsidRPr="0020075A" w:rsidRDefault="008331BC" w:rsidP="0020075A">
            <w:pPr>
              <w:tabs>
                <w:tab w:val="left" w:pos="720"/>
                <w:tab w:val="left" w:pos="1080"/>
              </w:tabs>
              <w:spacing w:after="0"/>
              <w:rPr>
                <w:sz w:val="20"/>
              </w:rPr>
            </w:pPr>
            <w:r>
              <w:rPr>
                <w:sz w:val="20"/>
              </w:rPr>
              <w:t>Gluckman Consulting</w:t>
            </w:r>
          </w:p>
        </w:tc>
        <w:tc>
          <w:tcPr>
            <w:tcW w:w="1678" w:type="dxa"/>
          </w:tcPr>
          <w:p w14:paraId="3F6CA3DB" w14:textId="79492B29" w:rsidR="008331BC" w:rsidRPr="0020075A" w:rsidRDefault="008331BC" w:rsidP="0020075A">
            <w:pPr>
              <w:tabs>
                <w:tab w:val="left" w:pos="720"/>
                <w:tab w:val="left" w:pos="1080"/>
              </w:tabs>
              <w:spacing w:after="0"/>
              <w:rPr>
                <w:sz w:val="20"/>
              </w:rPr>
            </w:pPr>
            <w:r>
              <w:rPr>
                <w:sz w:val="20"/>
              </w:rPr>
              <w:t>UK</w:t>
            </w:r>
          </w:p>
        </w:tc>
        <w:tc>
          <w:tcPr>
            <w:tcW w:w="2008" w:type="dxa"/>
          </w:tcPr>
          <w:p w14:paraId="45D6E16C" w14:textId="0448ADE2" w:rsidR="008331BC" w:rsidRPr="0020075A" w:rsidRDefault="008331BC" w:rsidP="0020075A">
            <w:pPr>
              <w:tabs>
                <w:tab w:val="left" w:pos="720"/>
                <w:tab w:val="left" w:pos="1080"/>
              </w:tabs>
              <w:spacing w:after="0"/>
              <w:rPr>
                <w:sz w:val="20"/>
              </w:rPr>
            </w:pPr>
            <w:r>
              <w:rPr>
                <w:sz w:val="20"/>
              </w:rPr>
              <w:t>202</w:t>
            </w:r>
            <w:r w:rsidR="002D3492">
              <w:rPr>
                <w:sz w:val="20"/>
              </w:rPr>
              <w:t>2</w:t>
            </w:r>
            <w:r>
              <w:rPr>
                <w:sz w:val="20"/>
              </w:rPr>
              <w:t>*</w:t>
            </w:r>
          </w:p>
        </w:tc>
      </w:tr>
      <w:tr w:rsidR="0020075A" w:rsidRPr="00BF2B4F" w14:paraId="24B3799F" w14:textId="77777777" w:rsidTr="009E1AF4">
        <w:tc>
          <w:tcPr>
            <w:tcW w:w="2695" w:type="dxa"/>
          </w:tcPr>
          <w:p w14:paraId="06F5EAF8" w14:textId="20885CA9" w:rsidR="0020075A" w:rsidRPr="0020075A" w:rsidRDefault="0020075A" w:rsidP="0020075A">
            <w:pPr>
              <w:tabs>
                <w:tab w:val="left" w:pos="720"/>
                <w:tab w:val="left" w:pos="1080"/>
              </w:tabs>
              <w:spacing w:after="0"/>
              <w:rPr>
                <w:sz w:val="20"/>
                <w:szCs w:val="20"/>
              </w:rPr>
            </w:pPr>
            <w:r w:rsidRPr="0020075A">
              <w:rPr>
                <w:sz w:val="20"/>
                <w:szCs w:val="20"/>
              </w:rPr>
              <w:t>Marco Gonzalez</w:t>
            </w:r>
          </w:p>
        </w:tc>
        <w:tc>
          <w:tcPr>
            <w:tcW w:w="2912" w:type="dxa"/>
          </w:tcPr>
          <w:p w14:paraId="2343D3CF" w14:textId="7ACFC4CC" w:rsidR="0020075A" w:rsidRPr="0020075A" w:rsidRDefault="0020075A" w:rsidP="0020075A">
            <w:pPr>
              <w:tabs>
                <w:tab w:val="left" w:pos="720"/>
                <w:tab w:val="left" w:pos="1080"/>
              </w:tabs>
              <w:spacing w:after="0"/>
              <w:rPr>
                <w:sz w:val="20"/>
                <w:szCs w:val="20"/>
              </w:rPr>
            </w:pPr>
            <w:r w:rsidRPr="0020075A">
              <w:rPr>
                <w:sz w:val="20"/>
                <w:szCs w:val="20"/>
              </w:rPr>
              <w:t>Independent Expert</w:t>
            </w:r>
          </w:p>
        </w:tc>
        <w:tc>
          <w:tcPr>
            <w:tcW w:w="1678" w:type="dxa"/>
          </w:tcPr>
          <w:p w14:paraId="7C216A03" w14:textId="7D87C727" w:rsidR="0020075A" w:rsidRPr="0020075A" w:rsidRDefault="0020075A" w:rsidP="0020075A">
            <w:pPr>
              <w:tabs>
                <w:tab w:val="left" w:pos="720"/>
                <w:tab w:val="left" w:pos="1080"/>
              </w:tabs>
              <w:spacing w:after="0"/>
              <w:rPr>
                <w:sz w:val="20"/>
                <w:szCs w:val="20"/>
              </w:rPr>
            </w:pPr>
            <w:r w:rsidRPr="0020075A">
              <w:rPr>
                <w:sz w:val="20"/>
                <w:szCs w:val="20"/>
              </w:rPr>
              <w:t>Costa Rica</w:t>
            </w:r>
          </w:p>
        </w:tc>
        <w:tc>
          <w:tcPr>
            <w:tcW w:w="2008" w:type="dxa"/>
          </w:tcPr>
          <w:p w14:paraId="28ECEFAD" w14:textId="7A17DB8F" w:rsidR="0020075A" w:rsidRPr="0020075A" w:rsidRDefault="0020075A" w:rsidP="0020075A">
            <w:pPr>
              <w:tabs>
                <w:tab w:val="left" w:pos="720"/>
                <w:tab w:val="left" w:pos="1080"/>
              </w:tabs>
              <w:spacing w:after="0"/>
              <w:rPr>
                <w:sz w:val="20"/>
                <w:szCs w:val="20"/>
              </w:rPr>
            </w:pPr>
            <w:r w:rsidRPr="0020075A">
              <w:rPr>
                <w:sz w:val="20"/>
                <w:szCs w:val="20"/>
              </w:rPr>
              <w:t>202</w:t>
            </w:r>
            <w:r w:rsidR="002D3492">
              <w:rPr>
                <w:sz w:val="20"/>
                <w:szCs w:val="20"/>
              </w:rPr>
              <w:t>2</w:t>
            </w:r>
            <w:r w:rsidR="00C30961">
              <w:rPr>
                <w:sz w:val="20"/>
                <w:szCs w:val="20"/>
              </w:rPr>
              <w:t>*</w:t>
            </w:r>
          </w:p>
        </w:tc>
      </w:tr>
      <w:tr w:rsidR="0020075A" w:rsidRPr="00BF2B4F" w14:paraId="5726A0FC" w14:textId="77777777" w:rsidTr="009E1AF4">
        <w:tc>
          <w:tcPr>
            <w:tcW w:w="2695" w:type="dxa"/>
          </w:tcPr>
          <w:p w14:paraId="144D7DF7" w14:textId="2B480FB5" w:rsidR="0020075A" w:rsidRPr="0020075A" w:rsidRDefault="0020075A" w:rsidP="0020075A">
            <w:pPr>
              <w:tabs>
                <w:tab w:val="left" w:pos="720"/>
                <w:tab w:val="left" w:pos="1080"/>
              </w:tabs>
              <w:spacing w:after="0"/>
              <w:rPr>
                <w:sz w:val="20"/>
                <w:szCs w:val="20"/>
              </w:rPr>
            </w:pPr>
            <w:r w:rsidRPr="0020075A">
              <w:rPr>
                <w:sz w:val="20"/>
                <w:szCs w:val="20"/>
              </w:rPr>
              <w:t>Rajendra Shende</w:t>
            </w:r>
          </w:p>
        </w:tc>
        <w:tc>
          <w:tcPr>
            <w:tcW w:w="2912" w:type="dxa"/>
          </w:tcPr>
          <w:p w14:paraId="7BE61EDB" w14:textId="4396FF4F" w:rsidR="0020075A" w:rsidRPr="0020075A" w:rsidRDefault="0020075A" w:rsidP="0020075A">
            <w:pPr>
              <w:tabs>
                <w:tab w:val="left" w:pos="720"/>
                <w:tab w:val="left" w:pos="1080"/>
              </w:tabs>
              <w:spacing w:after="0"/>
              <w:rPr>
                <w:sz w:val="20"/>
                <w:szCs w:val="20"/>
              </w:rPr>
            </w:pPr>
            <w:r w:rsidRPr="0020075A">
              <w:rPr>
                <w:sz w:val="20"/>
                <w:szCs w:val="20"/>
              </w:rPr>
              <w:t>Terre Policy Centre</w:t>
            </w:r>
          </w:p>
        </w:tc>
        <w:tc>
          <w:tcPr>
            <w:tcW w:w="1678" w:type="dxa"/>
          </w:tcPr>
          <w:p w14:paraId="463AA541" w14:textId="6B52580F" w:rsidR="0020075A" w:rsidRPr="0020075A" w:rsidRDefault="0020075A" w:rsidP="0020075A">
            <w:pPr>
              <w:tabs>
                <w:tab w:val="left" w:pos="720"/>
                <w:tab w:val="left" w:pos="1080"/>
              </w:tabs>
              <w:spacing w:after="0"/>
              <w:rPr>
                <w:sz w:val="20"/>
                <w:szCs w:val="20"/>
              </w:rPr>
            </w:pPr>
            <w:r w:rsidRPr="0020075A">
              <w:rPr>
                <w:sz w:val="20"/>
                <w:szCs w:val="20"/>
              </w:rPr>
              <w:t>India</w:t>
            </w:r>
          </w:p>
        </w:tc>
        <w:tc>
          <w:tcPr>
            <w:tcW w:w="2008" w:type="dxa"/>
          </w:tcPr>
          <w:p w14:paraId="52E28574" w14:textId="6F86A79B" w:rsidR="0020075A" w:rsidRPr="0020075A" w:rsidRDefault="0020075A" w:rsidP="0020075A">
            <w:pPr>
              <w:tabs>
                <w:tab w:val="left" w:pos="720"/>
                <w:tab w:val="left" w:pos="1080"/>
              </w:tabs>
              <w:spacing w:after="0"/>
              <w:rPr>
                <w:sz w:val="20"/>
                <w:szCs w:val="20"/>
              </w:rPr>
            </w:pPr>
            <w:r w:rsidRPr="0020075A">
              <w:rPr>
                <w:sz w:val="20"/>
                <w:szCs w:val="20"/>
              </w:rPr>
              <w:t>202</w:t>
            </w:r>
            <w:r w:rsidR="002D3492">
              <w:rPr>
                <w:sz w:val="20"/>
                <w:szCs w:val="20"/>
              </w:rPr>
              <w:t>2</w:t>
            </w:r>
            <w:r w:rsidR="00C30961">
              <w:rPr>
                <w:sz w:val="20"/>
                <w:szCs w:val="20"/>
              </w:rPr>
              <w:t>*</w:t>
            </w:r>
          </w:p>
        </w:tc>
      </w:tr>
      <w:tr w:rsidR="0020075A" w:rsidRPr="00BF2B4F" w14:paraId="37DB336D" w14:textId="77777777" w:rsidTr="009E1AF4">
        <w:tc>
          <w:tcPr>
            <w:tcW w:w="2695" w:type="dxa"/>
          </w:tcPr>
          <w:p w14:paraId="222E2600" w14:textId="528C1E7C" w:rsidR="0020075A" w:rsidRPr="0020075A" w:rsidRDefault="0020075A" w:rsidP="0020075A">
            <w:pPr>
              <w:tabs>
                <w:tab w:val="left" w:pos="720"/>
                <w:tab w:val="left" w:pos="1080"/>
              </w:tabs>
              <w:spacing w:after="0"/>
              <w:rPr>
                <w:sz w:val="20"/>
                <w:szCs w:val="20"/>
              </w:rPr>
            </w:pPr>
            <w:r w:rsidRPr="0020075A">
              <w:rPr>
                <w:sz w:val="20"/>
                <w:szCs w:val="20"/>
              </w:rPr>
              <w:t>Shiqiu Zhang</w:t>
            </w:r>
          </w:p>
        </w:tc>
        <w:tc>
          <w:tcPr>
            <w:tcW w:w="2912" w:type="dxa"/>
          </w:tcPr>
          <w:p w14:paraId="5F748D76" w14:textId="44B29327" w:rsidR="0020075A" w:rsidRPr="0020075A" w:rsidRDefault="0020075A" w:rsidP="0020075A">
            <w:pPr>
              <w:tabs>
                <w:tab w:val="left" w:pos="720"/>
                <w:tab w:val="left" w:pos="1080"/>
              </w:tabs>
              <w:spacing w:after="0"/>
              <w:rPr>
                <w:sz w:val="20"/>
                <w:szCs w:val="20"/>
              </w:rPr>
            </w:pPr>
            <w:r w:rsidRPr="0020075A">
              <w:rPr>
                <w:sz w:val="20"/>
                <w:szCs w:val="20"/>
              </w:rPr>
              <w:t>Centre of Env. Sciences, Peking University</w:t>
            </w:r>
          </w:p>
        </w:tc>
        <w:tc>
          <w:tcPr>
            <w:tcW w:w="1678" w:type="dxa"/>
          </w:tcPr>
          <w:p w14:paraId="1563E24E" w14:textId="2C1426FC" w:rsidR="0020075A" w:rsidRPr="0020075A" w:rsidRDefault="0020075A" w:rsidP="0020075A">
            <w:pPr>
              <w:tabs>
                <w:tab w:val="left" w:pos="720"/>
                <w:tab w:val="left" w:pos="1080"/>
              </w:tabs>
              <w:spacing w:after="0"/>
              <w:rPr>
                <w:sz w:val="20"/>
                <w:szCs w:val="20"/>
              </w:rPr>
            </w:pPr>
            <w:r w:rsidRPr="0020075A">
              <w:rPr>
                <w:sz w:val="20"/>
                <w:szCs w:val="20"/>
              </w:rPr>
              <w:t>China</w:t>
            </w:r>
          </w:p>
        </w:tc>
        <w:tc>
          <w:tcPr>
            <w:tcW w:w="2008" w:type="dxa"/>
          </w:tcPr>
          <w:p w14:paraId="33ED762C" w14:textId="1BD8CCDD" w:rsidR="0020075A" w:rsidRPr="0020075A" w:rsidRDefault="0020075A" w:rsidP="0020075A">
            <w:pPr>
              <w:tabs>
                <w:tab w:val="left" w:pos="720"/>
                <w:tab w:val="left" w:pos="1080"/>
              </w:tabs>
              <w:spacing w:after="0"/>
              <w:rPr>
                <w:sz w:val="20"/>
                <w:szCs w:val="20"/>
              </w:rPr>
            </w:pPr>
            <w:r w:rsidRPr="0020075A">
              <w:rPr>
                <w:sz w:val="20"/>
                <w:szCs w:val="20"/>
              </w:rPr>
              <w:t>2022</w:t>
            </w:r>
            <w:r w:rsidR="002D3492">
              <w:rPr>
                <w:sz w:val="20"/>
                <w:szCs w:val="20"/>
              </w:rPr>
              <w:t>*</w:t>
            </w:r>
          </w:p>
        </w:tc>
      </w:tr>
      <w:tr w:rsidR="0020075A" w:rsidRPr="00BF2B4F" w14:paraId="23959596" w14:textId="77777777" w:rsidTr="009E1AF4">
        <w:tc>
          <w:tcPr>
            <w:tcW w:w="2695" w:type="dxa"/>
          </w:tcPr>
          <w:p w14:paraId="6F50B456" w14:textId="0329A691" w:rsidR="0020075A" w:rsidRPr="0020075A" w:rsidRDefault="0020075A" w:rsidP="00F10ECB">
            <w:pPr>
              <w:tabs>
                <w:tab w:val="left" w:pos="720"/>
                <w:tab w:val="left" w:pos="1080"/>
              </w:tabs>
              <w:spacing w:after="0"/>
              <w:rPr>
                <w:b/>
                <w:sz w:val="20"/>
                <w:szCs w:val="20"/>
              </w:rPr>
            </w:pPr>
            <w:r w:rsidRPr="0020075A">
              <w:rPr>
                <w:b/>
                <w:sz w:val="20"/>
                <w:szCs w:val="20"/>
              </w:rPr>
              <w:t>TOC Chairs</w:t>
            </w:r>
          </w:p>
        </w:tc>
        <w:tc>
          <w:tcPr>
            <w:tcW w:w="2912" w:type="dxa"/>
          </w:tcPr>
          <w:p w14:paraId="06233BFC" w14:textId="03300ABD" w:rsidR="0020075A" w:rsidRPr="0020075A" w:rsidRDefault="0020075A" w:rsidP="00F10ECB">
            <w:pPr>
              <w:tabs>
                <w:tab w:val="left" w:pos="720"/>
                <w:tab w:val="left" w:pos="1080"/>
              </w:tabs>
              <w:spacing w:after="0"/>
              <w:rPr>
                <w:b/>
                <w:sz w:val="20"/>
                <w:szCs w:val="20"/>
              </w:rPr>
            </w:pPr>
            <w:r w:rsidRPr="0020075A">
              <w:rPr>
                <w:b/>
                <w:sz w:val="20"/>
                <w:szCs w:val="20"/>
              </w:rPr>
              <w:t>Affiliation</w:t>
            </w:r>
          </w:p>
        </w:tc>
        <w:tc>
          <w:tcPr>
            <w:tcW w:w="1678" w:type="dxa"/>
          </w:tcPr>
          <w:p w14:paraId="10C0E607" w14:textId="5A14E474" w:rsidR="0020075A" w:rsidRPr="0020075A" w:rsidRDefault="0020075A" w:rsidP="00F10ECB">
            <w:pPr>
              <w:tabs>
                <w:tab w:val="left" w:pos="720"/>
                <w:tab w:val="left" w:pos="1080"/>
              </w:tabs>
              <w:spacing w:after="0"/>
              <w:rPr>
                <w:b/>
                <w:sz w:val="20"/>
                <w:szCs w:val="20"/>
              </w:rPr>
            </w:pPr>
            <w:r w:rsidRPr="0020075A">
              <w:rPr>
                <w:b/>
                <w:sz w:val="20"/>
                <w:szCs w:val="20"/>
              </w:rPr>
              <w:t>Country</w:t>
            </w:r>
          </w:p>
        </w:tc>
        <w:tc>
          <w:tcPr>
            <w:tcW w:w="2008" w:type="dxa"/>
          </w:tcPr>
          <w:p w14:paraId="534545DA" w14:textId="6076515F" w:rsidR="0020075A" w:rsidRPr="0020075A" w:rsidRDefault="0020075A" w:rsidP="00F10ECB">
            <w:pPr>
              <w:tabs>
                <w:tab w:val="left" w:pos="720"/>
                <w:tab w:val="left" w:pos="1080"/>
              </w:tabs>
              <w:spacing w:after="0"/>
              <w:rPr>
                <w:b/>
                <w:sz w:val="20"/>
                <w:szCs w:val="20"/>
              </w:rPr>
            </w:pPr>
            <w:r w:rsidRPr="0020075A">
              <w:rPr>
                <w:b/>
                <w:sz w:val="20"/>
                <w:szCs w:val="20"/>
              </w:rPr>
              <w:t>Appointed through</w:t>
            </w:r>
          </w:p>
        </w:tc>
      </w:tr>
      <w:tr w:rsidR="00C30961" w:rsidRPr="00BF2B4F" w14:paraId="7EEFB0E2" w14:textId="77777777" w:rsidTr="009E1AF4">
        <w:tc>
          <w:tcPr>
            <w:tcW w:w="2695" w:type="dxa"/>
          </w:tcPr>
          <w:p w14:paraId="2966F21B" w14:textId="1C48F48A" w:rsidR="00C30961" w:rsidRPr="0020075A" w:rsidRDefault="00C30961" w:rsidP="0020075A">
            <w:pPr>
              <w:tabs>
                <w:tab w:val="left" w:pos="720"/>
                <w:tab w:val="left" w:pos="1080"/>
              </w:tabs>
              <w:spacing w:after="0"/>
              <w:rPr>
                <w:sz w:val="20"/>
              </w:rPr>
            </w:pPr>
            <w:r>
              <w:rPr>
                <w:sz w:val="20"/>
              </w:rPr>
              <w:t>Omar Abdelaziz</w:t>
            </w:r>
          </w:p>
        </w:tc>
        <w:tc>
          <w:tcPr>
            <w:tcW w:w="2912" w:type="dxa"/>
          </w:tcPr>
          <w:p w14:paraId="6D62C082" w14:textId="61B1877C" w:rsidR="00C30961" w:rsidRDefault="005C3D92" w:rsidP="0020075A">
            <w:pPr>
              <w:tabs>
                <w:tab w:val="left" w:pos="720"/>
                <w:tab w:val="left" w:pos="1080"/>
              </w:tabs>
              <w:spacing w:after="0"/>
              <w:rPr>
                <w:sz w:val="20"/>
              </w:rPr>
            </w:pPr>
            <w:r w:rsidRPr="005C3D92">
              <w:rPr>
                <w:sz w:val="20"/>
              </w:rPr>
              <w:t>Zewail City of Science and Technology</w:t>
            </w:r>
          </w:p>
        </w:tc>
        <w:tc>
          <w:tcPr>
            <w:tcW w:w="1678" w:type="dxa"/>
          </w:tcPr>
          <w:p w14:paraId="00803F1B" w14:textId="154E6BB8" w:rsidR="00C30961" w:rsidRPr="0020075A" w:rsidRDefault="00C30961" w:rsidP="0020075A">
            <w:pPr>
              <w:tabs>
                <w:tab w:val="left" w:pos="720"/>
                <w:tab w:val="left" w:pos="1080"/>
              </w:tabs>
              <w:spacing w:after="0"/>
              <w:rPr>
                <w:sz w:val="20"/>
              </w:rPr>
            </w:pPr>
            <w:r>
              <w:rPr>
                <w:sz w:val="20"/>
              </w:rPr>
              <w:t>Egypt</w:t>
            </w:r>
          </w:p>
        </w:tc>
        <w:tc>
          <w:tcPr>
            <w:tcW w:w="2008" w:type="dxa"/>
          </w:tcPr>
          <w:p w14:paraId="5301964C" w14:textId="3BE33A97" w:rsidR="00C30961" w:rsidRPr="0020075A" w:rsidRDefault="00C30961" w:rsidP="0020075A">
            <w:pPr>
              <w:tabs>
                <w:tab w:val="left" w:pos="720"/>
                <w:tab w:val="left" w:pos="1080"/>
              </w:tabs>
              <w:spacing w:after="0"/>
              <w:rPr>
                <w:sz w:val="20"/>
              </w:rPr>
            </w:pPr>
            <w:r>
              <w:rPr>
                <w:sz w:val="20"/>
              </w:rPr>
              <w:t>2023</w:t>
            </w:r>
          </w:p>
        </w:tc>
      </w:tr>
      <w:tr w:rsidR="0020075A" w:rsidRPr="00BF2B4F" w14:paraId="39BEE5E6" w14:textId="77777777" w:rsidTr="009E1AF4">
        <w:tc>
          <w:tcPr>
            <w:tcW w:w="2695" w:type="dxa"/>
          </w:tcPr>
          <w:p w14:paraId="3C9869B8" w14:textId="7CCEB0C6" w:rsidR="0020075A" w:rsidRPr="0020075A" w:rsidRDefault="0020075A" w:rsidP="0020075A">
            <w:pPr>
              <w:tabs>
                <w:tab w:val="left" w:pos="720"/>
                <w:tab w:val="left" w:pos="1080"/>
              </w:tabs>
              <w:spacing w:after="0"/>
              <w:rPr>
                <w:sz w:val="20"/>
                <w:szCs w:val="20"/>
              </w:rPr>
            </w:pPr>
            <w:r w:rsidRPr="0020075A">
              <w:rPr>
                <w:sz w:val="20"/>
                <w:szCs w:val="20"/>
              </w:rPr>
              <w:t>Paulo Altoé</w:t>
            </w:r>
          </w:p>
        </w:tc>
        <w:tc>
          <w:tcPr>
            <w:tcW w:w="2912" w:type="dxa"/>
          </w:tcPr>
          <w:p w14:paraId="3E1C8399" w14:textId="3ED17211" w:rsidR="0020075A" w:rsidRPr="0020075A" w:rsidRDefault="002B7F1A" w:rsidP="0020075A">
            <w:pPr>
              <w:tabs>
                <w:tab w:val="left" w:pos="720"/>
                <w:tab w:val="left" w:pos="1080"/>
              </w:tabs>
              <w:spacing w:after="0"/>
              <w:rPr>
                <w:sz w:val="20"/>
                <w:szCs w:val="20"/>
              </w:rPr>
            </w:pPr>
            <w:r>
              <w:rPr>
                <w:sz w:val="20"/>
                <w:szCs w:val="20"/>
              </w:rPr>
              <w:t>Independent Expert</w:t>
            </w:r>
          </w:p>
        </w:tc>
        <w:tc>
          <w:tcPr>
            <w:tcW w:w="1678" w:type="dxa"/>
          </w:tcPr>
          <w:p w14:paraId="66F1508F" w14:textId="57C414CF" w:rsidR="0020075A" w:rsidRPr="0020075A" w:rsidRDefault="0020075A" w:rsidP="0020075A">
            <w:pPr>
              <w:tabs>
                <w:tab w:val="left" w:pos="720"/>
                <w:tab w:val="left" w:pos="1080"/>
              </w:tabs>
              <w:spacing w:after="0"/>
              <w:rPr>
                <w:sz w:val="20"/>
                <w:szCs w:val="20"/>
              </w:rPr>
            </w:pPr>
            <w:r w:rsidRPr="0020075A">
              <w:rPr>
                <w:sz w:val="20"/>
                <w:szCs w:val="20"/>
              </w:rPr>
              <w:t>Brazil</w:t>
            </w:r>
          </w:p>
        </w:tc>
        <w:tc>
          <w:tcPr>
            <w:tcW w:w="2008" w:type="dxa"/>
          </w:tcPr>
          <w:p w14:paraId="52AC5ED5" w14:textId="0A657BBB" w:rsidR="0020075A" w:rsidRPr="0020075A" w:rsidRDefault="0020075A" w:rsidP="0020075A">
            <w:pPr>
              <w:tabs>
                <w:tab w:val="left" w:pos="720"/>
                <w:tab w:val="left" w:pos="1080"/>
              </w:tabs>
              <w:spacing w:after="0"/>
              <w:rPr>
                <w:sz w:val="20"/>
                <w:szCs w:val="20"/>
              </w:rPr>
            </w:pPr>
            <w:r w:rsidRPr="0020075A">
              <w:rPr>
                <w:sz w:val="20"/>
                <w:szCs w:val="20"/>
              </w:rPr>
              <w:t>202</w:t>
            </w:r>
            <w:r w:rsidR="008331BC">
              <w:rPr>
                <w:sz w:val="20"/>
                <w:szCs w:val="20"/>
              </w:rPr>
              <w:t>4</w:t>
            </w:r>
          </w:p>
        </w:tc>
      </w:tr>
      <w:tr w:rsidR="0020075A" w:rsidRPr="00BF2B4F" w14:paraId="68191D45" w14:textId="77777777" w:rsidTr="009E1AF4">
        <w:tc>
          <w:tcPr>
            <w:tcW w:w="2695" w:type="dxa"/>
          </w:tcPr>
          <w:p w14:paraId="6B867E32" w14:textId="49C25F46" w:rsidR="0020075A" w:rsidRPr="0020075A" w:rsidRDefault="0020075A" w:rsidP="0020075A">
            <w:pPr>
              <w:tabs>
                <w:tab w:val="left" w:pos="720"/>
                <w:tab w:val="left" w:pos="1080"/>
              </w:tabs>
              <w:spacing w:after="0"/>
              <w:rPr>
                <w:sz w:val="20"/>
                <w:szCs w:val="20"/>
              </w:rPr>
            </w:pPr>
            <w:r w:rsidRPr="0020075A">
              <w:rPr>
                <w:sz w:val="20"/>
                <w:szCs w:val="20"/>
              </w:rPr>
              <w:t>Adam Chattaway</w:t>
            </w:r>
          </w:p>
        </w:tc>
        <w:tc>
          <w:tcPr>
            <w:tcW w:w="2912" w:type="dxa"/>
          </w:tcPr>
          <w:p w14:paraId="21A4359C" w14:textId="364F22D0" w:rsidR="0020075A" w:rsidRPr="0020075A" w:rsidRDefault="0020075A" w:rsidP="0020075A">
            <w:pPr>
              <w:tabs>
                <w:tab w:val="left" w:pos="720"/>
                <w:tab w:val="left" w:pos="1080"/>
              </w:tabs>
              <w:spacing w:after="0"/>
              <w:rPr>
                <w:sz w:val="20"/>
                <w:szCs w:val="20"/>
              </w:rPr>
            </w:pPr>
            <w:r w:rsidRPr="0020075A">
              <w:rPr>
                <w:sz w:val="20"/>
                <w:szCs w:val="20"/>
              </w:rPr>
              <w:t>Collins Aerospace</w:t>
            </w:r>
          </w:p>
        </w:tc>
        <w:tc>
          <w:tcPr>
            <w:tcW w:w="1678" w:type="dxa"/>
          </w:tcPr>
          <w:p w14:paraId="33A95573" w14:textId="71BD5C75" w:rsidR="0020075A" w:rsidRPr="0020075A" w:rsidRDefault="0020075A" w:rsidP="0020075A">
            <w:pPr>
              <w:tabs>
                <w:tab w:val="left" w:pos="720"/>
                <w:tab w:val="left" w:pos="1080"/>
              </w:tabs>
              <w:spacing w:after="0"/>
              <w:rPr>
                <w:sz w:val="20"/>
                <w:szCs w:val="20"/>
              </w:rPr>
            </w:pPr>
            <w:r w:rsidRPr="0020075A">
              <w:rPr>
                <w:sz w:val="20"/>
                <w:szCs w:val="20"/>
              </w:rPr>
              <w:t>UK</w:t>
            </w:r>
          </w:p>
        </w:tc>
        <w:tc>
          <w:tcPr>
            <w:tcW w:w="2008" w:type="dxa"/>
          </w:tcPr>
          <w:p w14:paraId="023FE3F7" w14:textId="2A7A0698" w:rsidR="0020075A" w:rsidRPr="0020075A" w:rsidRDefault="0020075A" w:rsidP="0020075A">
            <w:pPr>
              <w:tabs>
                <w:tab w:val="left" w:pos="720"/>
                <w:tab w:val="left" w:pos="1080"/>
              </w:tabs>
              <w:spacing w:after="0"/>
              <w:rPr>
                <w:sz w:val="20"/>
                <w:szCs w:val="20"/>
              </w:rPr>
            </w:pPr>
            <w:r w:rsidRPr="0020075A">
              <w:rPr>
                <w:sz w:val="20"/>
                <w:szCs w:val="20"/>
              </w:rPr>
              <w:t>202</w:t>
            </w:r>
            <w:r w:rsidR="008331BC">
              <w:rPr>
                <w:sz w:val="20"/>
                <w:szCs w:val="20"/>
              </w:rPr>
              <w:t>4</w:t>
            </w:r>
          </w:p>
        </w:tc>
      </w:tr>
      <w:tr w:rsidR="0020075A" w:rsidRPr="00BF2B4F" w14:paraId="21DDC578" w14:textId="77777777" w:rsidTr="009E1AF4">
        <w:tc>
          <w:tcPr>
            <w:tcW w:w="2695" w:type="dxa"/>
          </w:tcPr>
          <w:p w14:paraId="2684D628" w14:textId="1F0256D8" w:rsidR="0020075A" w:rsidRPr="0020075A" w:rsidRDefault="0020075A" w:rsidP="0020075A">
            <w:pPr>
              <w:tabs>
                <w:tab w:val="left" w:pos="720"/>
                <w:tab w:val="left" w:pos="1080"/>
              </w:tabs>
              <w:spacing w:after="0"/>
              <w:rPr>
                <w:sz w:val="20"/>
                <w:szCs w:val="20"/>
              </w:rPr>
            </w:pPr>
            <w:r w:rsidRPr="0020075A">
              <w:rPr>
                <w:sz w:val="20"/>
                <w:szCs w:val="20"/>
              </w:rPr>
              <w:t>Sergey Kopylov</w:t>
            </w:r>
          </w:p>
        </w:tc>
        <w:tc>
          <w:tcPr>
            <w:tcW w:w="2912" w:type="dxa"/>
          </w:tcPr>
          <w:p w14:paraId="51189133" w14:textId="67C8A451" w:rsidR="0020075A" w:rsidRPr="0020075A" w:rsidRDefault="0020075A" w:rsidP="0020075A">
            <w:pPr>
              <w:tabs>
                <w:tab w:val="left" w:pos="720"/>
                <w:tab w:val="left" w:pos="1080"/>
              </w:tabs>
              <w:spacing w:after="0"/>
              <w:rPr>
                <w:sz w:val="20"/>
                <w:szCs w:val="20"/>
              </w:rPr>
            </w:pPr>
            <w:r w:rsidRPr="0020075A">
              <w:rPr>
                <w:sz w:val="20"/>
                <w:szCs w:val="20"/>
              </w:rPr>
              <w:t>Russian Res. Institute for Fire Protection</w:t>
            </w:r>
          </w:p>
        </w:tc>
        <w:tc>
          <w:tcPr>
            <w:tcW w:w="1678" w:type="dxa"/>
          </w:tcPr>
          <w:p w14:paraId="3687351C" w14:textId="24E23205" w:rsidR="0020075A" w:rsidRPr="0020075A" w:rsidRDefault="0020075A" w:rsidP="0020075A">
            <w:pPr>
              <w:tabs>
                <w:tab w:val="left" w:pos="720"/>
                <w:tab w:val="left" w:pos="1080"/>
              </w:tabs>
              <w:spacing w:after="0"/>
              <w:rPr>
                <w:sz w:val="20"/>
                <w:szCs w:val="20"/>
              </w:rPr>
            </w:pPr>
            <w:r w:rsidRPr="0020075A">
              <w:rPr>
                <w:sz w:val="20"/>
                <w:szCs w:val="20"/>
              </w:rPr>
              <w:t>Russian Fed.</w:t>
            </w:r>
          </w:p>
        </w:tc>
        <w:tc>
          <w:tcPr>
            <w:tcW w:w="2008" w:type="dxa"/>
          </w:tcPr>
          <w:p w14:paraId="7C0D3601" w14:textId="69F948DE" w:rsidR="0020075A" w:rsidRPr="0020075A" w:rsidRDefault="0020075A" w:rsidP="0020075A">
            <w:pPr>
              <w:tabs>
                <w:tab w:val="left" w:pos="720"/>
                <w:tab w:val="left" w:pos="1080"/>
              </w:tabs>
              <w:spacing w:after="0"/>
              <w:rPr>
                <w:sz w:val="20"/>
                <w:szCs w:val="20"/>
              </w:rPr>
            </w:pPr>
            <w:r w:rsidRPr="0020075A">
              <w:rPr>
                <w:sz w:val="20"/>
                <w:szCs w:val="20"/>
              </w:rPr>
              <w:t>202</w:t>
            </w:r>
            <w:r w:rsidR="002D3492">
              <w:rPr>
                <w:sz w:val="20"/>
                <w:szCs w:val="20"/>
              </w:rPr>
              <w:t>5</w:t>
            </w:r>
          </w:p>
        </w:tc>
      </w:tr>
      <w:tr w:rsidR="0020075A" w:rsidRPr="00BF2B4F" w14:paraId="6AFF657D" w14:textId="77777777" w:rsidTr="009E1AF4">
        <w:tc>
          <w:tcPr>
            <w:tcW w:w="2695" w:type="dxa"/>
          </w:tcPr>
          <w:p w14:paraId="53ED3EDF" w14:textId="4439B4B8" w:rsidR="0020075A" w:rsidRPr="0020075A" w:rsidRDefault="0020075A" w:rsidP="0020075A">
            <w:pPr>
              <w:tabs>
                <w:tab w:val="left" w:pos="720"/>
                <w:tab w:val="left" w:pos="1080"/>
              </w:tabs>
              <w:spacing w:after="0"/>
              <w:rPr>
                <w:sz w:val="20"/>
                <w:szCs w:val="20"/>
              </w:rPr>
            </w:pPr>
            <w:r w:rsidRPr="0020075A">
              <w:rPr>
                <w:sz w:val="20"/>
                <w:szCs w:val="20"/>
              </w:rPr>
              <w:t>Kei-ichi Ohnishi</w:t>
            </w:r>
          </w:p>
        </w:tc>
        <w:tc>
          <w:tcPr>
            <w:tcW w:w="2912" w:type="dxa"/>
          </w:tcPr>
          <w:p w14:paraId="4F91C648" w14:textId="719A6987" w:rsidR="0020075A" w:rsidRPr="0020075A" w:rsidRDefault="0020075A" w:rsidP="0020075A">
            <w:pPr>
              <w:tabs>
                <w:tab w:val="left" w:pos="720"/>
                <w:tab w:val="left" w:pos="1080"/>
              </w:tabs>
              <w:spacing w:after="0"/>
              <w:rPr>
                <w:sz w:val="20"/>
                <w:szCs w:val="20"/>
              </w:rPr>
            </w:pPr>
            <w:r w:rsidRPr="0020075A">
              <w:rPr>
                <w:sz w:val="20"/>
                <w:szCs w:val="20"/>
              </w:rPr>
              <w:t>AGC, Inc.</w:t>
            </w:r>
          </w:p>
        </w:tc>
        <w:tc>
          <w:tcPr>
            <w:tcW w:w="1678" w:type="dxa"/>
          </w:tcPr>
          <w:p w14:paraId="267086C2" w14:textId="697ED2BE" w:rsidR="0020075A" w:rsidRPr="0020075A" w:rsidRDefault="0020075A" w:rsidP="0020075A">
            <w:pPr>
              <w:tabs>
                <w:tab w:val="left" w:pos="720"/>
                <w:tab w:val="left" w:pos="1080"/>
              </w:tabs>
              <w:spacing w:after="0"/>
              <w:rPr>
                <w:sz w:val="20"/>
                <w:szCs w:val="20"/>
              </w:rPr>
            </w:pPr>
            <w:r w:rsidRPr="0020075A">
              <w:rPr>
                <w:sz w:val="20"/>
                <w:szCs w:val="20"/>
              </w:rPr>
              <w:t>Japan</w:t>
            </w:r>
          </w:p>
        </w:tc>
        <w:tc>
          <w:tcPr>
            <w:tcW w:w="2008" w:type="dxa"/>
          </w:tcPr>
          <w:p w14:paraId="45EE88B5" w14:textId="57D1E6C9" w:rsidR="0020075A" w:rsidRPr="0020075A" w:rsidRDefault="0020075A" w:rsidP="0020075A">
            <w:pPr>
              <w:tabs>
                <w:tab w:val="left" w:pos="720"/>
                <w:tab w:val="left" w:pos="1080"/>
              </w:tabs>
              <w:spacing w:after="0"/>
              <w:rPr>
                <w:sz w:val="20"/>
                <w:szCs w:val="20"/>
              </w:rPr>
            </w:pPr>
            <w:r w:rsidRPr="0020075A">
              <w:rPr>
                <w:sz w:val="20"/>
                <w:szCs w:val="20"/>
              </w:rPr>
              <w:t>20</w:t>
            </w:r>
            <w:r w:rsidR="00C30961">
              <w:rPr>
                <w:sz w:val="20"/>
                <w:szCs w:val="20"/>
              </w:rPr>
              <w:t>23</w:t>
            </w:r>
          </w:p>
        </w:tc>
      </w:tr>
      <w:tr w:rsidR="0020075A" w:rsidRPr="00BF2B4F" w14:paraId="20232644" w14:textId="77777777" w:rsidTr="009E1AF4">
        <w:tc>
          <w:tcPr>
            <w:tcW w:w="2695" w:type="dxa"/>
          </w:tcPr>
          <w:p w14:paraId="62E54F2A" w14:textId="64969628" w:rsidR="0020075A" w:rsidRPr="0020075A" w:rsidRDefault="0020075A" w:rsidP="0020075A">
            <w:pPr>
              <w:tabs>
                <w:tab w:val="left" w:pos="720"/>
                <w:tab w:val="left" w:pos="1080"/>
              </w:tabs>
              <w:spacing w:after="0"/>
              <w:rPr>
                <w:sz w:val="20"/>
                <w:szCs w:val="20"/>
              </w:rPr>
            </w:pPr>
            <w:r w:rsidRPr="0020075A">
              <w:rPr>
                <w:sz w:val="20"/>
                <w:szCs w:val="20"/>
              </w:rPr>
              <w:t>Roberto Peixoto</w:t>
            </w:r>
          </w:p>
        </w:tc>
        <w:tc>
          <w:tcPr>
            <w:tcW w:w="2912" w:type="dxa"/>
          </w:tcPr>
          <w:p w14:paraId="121AE7AF" w14:textId="2F73FC56" w:rsidR="0020075A" w:rsidRPr="007E5DBF" w:rsidRDefault="0020075A" w:rsidP="0020075A">
            <w:pPr>
              <w:tabs>
                <w:tab w:val="left" w:pos="720"/>
                <w:tab w:val="left" w:pos="1080"/>
              </w:tabs>
              <w:spacing w:after="0"/>
              <w:rPr>
                <w:sz w:val="20"/>
                <w:szCs w:val="20"/>
                <w:lang w:val="fr-FR"/>
              </w:rPr>
            </w:pPr>
            <w:r w:rsidRPr="007E5DBF">
              <w:rPr>
                <w:sz w:val="20"/>
                <w:szCs w:val="20"/>
                <w:lang w:val="fr-FR"/>
              </w:rPr>
              <w:t xml:space="preserve">Maua Institute (IMT), Sao Paulo </w:t>
            </w:r>
          </w:p>
        </w:tc>
        <w:tc>
          <w:tcPr>
            <w:tcW w:w="1678" w:type="dxa"/>
          </w:tcPr>
          <w:p w14:paraId="2D36EDDB" w14:textId="29728062" w:rsidR="0020075A" w:rsidRPr="0020075A" w:rsidRDefault="0020075A" w:rsidP="0020075A">
            <w:pPr>
              <w:tabs>
                <w:tab w:val="left" w:pos="720"/>
                <w:tab w:val="left" w:pos="1080"/>
              </w:tabs>
              <w:spacing w:after="0"/>
              <w:rPr>
                <w:sz w:val="20"/>
                <w:szCs w:val="20"/>
              </w:rPr>
            </w:pPr>
            <w:r w:rsidRPr="0020075A">
              <w:rPr>
                <w:sz w:val="20"/>
                <w:szCs w:val="20"/>
              </w:rPr>
              <w:t>Brazil</w:t>
            </w:r>
          </w:p>
        </w:tc>
        <w:tc>
          <w:tcPr>
            <w:tcW w:w="2008" w:type="dxa"/>
          </w:tcPr>
          <w:p w14:paraId="2F4FB6C3" w14:textId="1CF42DEA" w:rsidR="0020075A" w:rsidRPr="0020075A" w:rsidRDefault="0020075A" w:rsidP="0020075A">
            <w:pPr>
              <w:tabs>
                <w:tab w:val="left" w:pos="720"/>
                <w:tab w:val="left" w:pos="1080"/>
              </w:tabs>
              <w:spacing w:after="0"/>
              <w:rPr>
                <w:sz w:val="20"/>
                <w:szCs w:val="20"/>
              </w:rPr>
            </w:pPr>
            <w:r w:rsidRPr="0020075A">
              <w:rPr>
                <w:sz w:val="20"/>
                <w:szCs w:val="20"/>
              </w:rPr>
              <w:t>202</w:t>
            </w:r>
            <w:r w:rsidR="002D3492">
              <w:rPr>
                <w:sz w:val="20"/>
                <w:szCs w:val="20"/>
              </w:rPr>
              <w:t>3</w:t>
            </w:r>
          </w:p>
        </w:tc>
      </w:tr>
      <w:tr w:rsidR="0020075A" w:rsidRPr="00BF2B4F" w14:paraId="46FA4E07" w14:textId="77777777" w:rsidTr="009E1AF4">
        <w:tc>
          <w:tcPr>
            <w:tcW w:w="2695" w:type="dxa"/>
          </w:tcPr>
          <w:p w14:paraId="7F7FC6DB" w14:textId="17F21E8D" w:rsidR="0020075A" w:rsidRPr="0020075A" w:rsidRDefault="0020075A" w:rsidP="0020075A">
            <w:pPr>
              <w:tabs>
                <w:tab w:val="left" w:pos="720"/>
                <w:tab w:val="left" w:pos="1080"/>
              </w:tabs>
              <w:spacing w:after="0"/>
              <w:rPr>
                <w:sz w:val="20"/>
                <w:szCs w:val="20"/>
              </w:rPr>
            </w:pPr>
            <w:r w:rsidRPr="0020075A">
              <w:rPr>
                <w:sz w:val="20"/>
                <w:szCs w:val="20"/>
              </w:rPr>
              <w:t>Fabio Polonara</w:t>
            </w:r>
          </w:p>
        </w:tc>
        <w:tc>
          <w:tcPr>
            <w:tcW w:w="2912" w:type="dxa"/>
          </w:tcPr>
          <w:p w14:paraId="63FCBCB0" w14:textId="6E623195" w:rsidR="0020075A" w:rsidRPr="0020075A" w:rsidRDefault="0020075A" w:rsidP="0020075A">
            <w:pPr>
              <w:tabs>
                <w:tab w:val="left" w:pos="720"/>
                <w:tab w:val="left" w:pos="1080"/>
              </w:tabs>
              <w:spacing w:after="0"/>
              <w:rPr>
                <w:sz w:val="20"/>
                <w:szCs w:val="20"/>
              </w:rPr>
            </w:pPr>
            <w:r w:rsidRPr="0020075A">
              <w:rPr>
                <w:sz w:val="20"/>
                <w:szCs w:val="20"/>
              </w:rPr>
              <w:t>Universitá Politecnica delle Marche</w:t>
            </w:r>
          </w:p>
        </w:tc>
        <w:tc>
          <w:tcPr>
            <w:tcW w:w="1678" w:type="dxa"/>
          </w:tcPr>
          <w:p w14:paraId="71DF92F6" w14:textId="68D5A34A" w:rsidR="0020075A" w:rsidRPr="0020075A" w:rsidRDefault="0020075A" w:rsidP="0020075A">
            <w:pPr>
              <w:tabs>
                <w:tab w:val="left" w:pos="720"/>
                <w:tab w:val="left" w:pos="1080"/>
              </w:tabs>
              <w:spacing w:after="0"/>
              <w:rPr>
                <w:sz w:val="20"/>
                <w:szCs w:val="20"/>
              </w:rPr>
            </w:pPr>
            <w:r w:rsidRPr="0020075A">
              <w:rPr>
                <w:sz w:val="20"/>
                <w:szCs w:val="20"/>
              </w:rPr>
              <w:t>Italy</w:t>
            </w:r>
          </w:p>
        </w:tc>
        <w:tc>
          <w:tcPr>
            <w:tcW w:w="2008" w:type="dxa"/>
          </w:tcPr>
          <w:p w14:paraId="2915DE35" w14:textId="5E921D42" w:rsidR="0020075A" w:rsidRPr="0020075A" w:rsidRDefault="0020075A" w:rsidP="0020075A">
            <w:pPr>
              <w:tabs>
                <w:tab w:val="left" w:pos="720"/>
                <w:tab w:val="left" w:pos="1080"/>
              </w:tabs>
              <w:spacing w:after="0"/>
              <w:rPr>
                <w:sz w:val="20"/>
                <w:szCs w:val="20"/>
              </w:rPr>
            </w:pPr>
            <w:r w:rsidRPr="0020075A">
              <w:rPr>
                <w:sz w:val="20"/>
                <w:szCs w:val="20"/>
              </w:rPr>
              <w:t>2022</w:t>
            </w:r>
            <w:r w:rsidR="002D3492">
              <w:rPr>
                <w:sz w:val="20"/>
                <w:szCs w:val="20"/>
              </w:rPr>
              <w:t>*</w:t>
            </w:r>
          </w:p>
        </w:tc>
      </w:tr>
      <w:tr w:rsidR="0020075A" w:rsidRPr="00BF2B4F" w14:paraId="19A1F803" w14:textId="77777777" w:rsidTr="009E1AF4">
        <w:tc>
          <w:tcPr>
            <w:tcW w:w="2695" w:type="dxa"/>
          </w:tcPr>
          <w:p w14:paraId="0B9033EB" w14:textId="76019804" w:rsidR="0020075A" w:rsidRPr="0020075A" w:rsidRDefault="0020075A" w:rsidP="0020075A">
            <w:pPr>
              <w:tabs>
                <w:tab w:val="left" w:pos="720"/>
                <w:tab w:val="left" w:pos="1080"/>
              </w:tabs>
              <w:spacing w:after="0"/>
              <w:rPr>
                <w:sz w:val="20"/>
                <w:szCs w:val="20"/>
              </w:rPr>
            </w:pPr>
            <w:r w:rsidRPr="0020075A">
              <w:rPr>
                <w:sz w:val="20"/>
                <w:szCs w:val="20"/>
              </w:rPr>
              <w:t>Ian Porter</w:t>
            </w:r>
          </w:p>
        </w:tc>
        <w:tc>
          <w:tcPr>
            <w:tcW w:w="2912" w:type="dxa"/>
          </w:tcPr>
          <w:p w14:paraId="36247BE3" w14:textId="311102AC" w:rsidR="0020075A" w:rsidRPr="0020075A" w:rsidRDefault="0020075A" w:rsidP="0020075A">
            <w:pPr>
              <w:tabs>
                <w:tab w:val="left" w:pos="720"/>
                <w:tab w:val="left" w:pos="1080"/>
              </w:tabs>
              <w:spacing w:after="0"/>
              <w:rPr>
                <w:sz w:val="20"/>
                <w:szCs w:val="20"/>
              </w:rPr>
            </w:pPr>
            <w:r w:rsidRPr="0020075A">
              <w:rPr>
                <w:sz w:val="20"/>
                <w:szCs w:val="20"/>
              </w:rPr>
              <w:t>La Trobe University</w:t>
            </w:r>
          </w:p>
        </w:tc>
        <w:tc>
          <w:tcPr>
            <w:tcW w:w="1678" w:type="dxa"/>
          </w:tcPr>
          <w:p w14:paraId="30B1922D" w14:textId="4520A60F" w:rsidR="0020075A" w:rsidRPr="0020075A" w:rsidRDefault="0020075A" w:rsidP="0020075A">
            <w:pPr>
              <w:tabs>
                <w:tab w:val="left" w:pos="720"/>
                <w:tab w:val="left" w:pos="1080"/>
              </w:tabs>
              <w:spacing w:after="0"/>
              <w:rPr>
                <w:sz w:val="20"/>
                <w:szCs w:val="20"/>
              </w:rPr>
            </w:pPr>
            <w:r w:rsidRPr="0020075A">
              <w:rPr>
                <w:sz w:val="20"/>
                <w:szCs w:val="20"/>
              </w:rPr>
              <w:t>Australia</w:t>
            </w:r>
          </w:p>
        </w:tc>
        <w:tc>
          <w:tcPr>
            <w:tcW w:w="2008" w:type="dxa"/>
          </w:tcPr>
          <w:p w14:paraId="2741929A" w14:textId="695FBE69" w:rsidR="0020075A" w:rsidRPr="0020075A" w:rsidRDefault="0020075A" w:rsidP="0020075A">
            <w:pPr>
              <w:tabs>
                <w:tab w:val="left" w:pos="720"/>
                <w:tab w:val="left" w:pos="1080"/>
              </w:tabs>
              <w:spacing w:after="0"/>
              <w:rPr>
                <w:sz w:val="20"/>
                <w:szCs w:val="20"/>
              </w:rPr>
            </w:pPr>
            <w:r w:rsidRPr="0020075A">
              <w:rPr>
                <w:sz w:val="20"/>
                <w:szCs w:val="20"/>
              </w:rPr>
              <w:t>202</w:t>
            </w:r>
            <w:r w:rsidR="002D3492">
              <w:rPr>
                <w:sz w:val="20"/>
                <w:szCs w:val="20"/>
              </w:rPr>
              <w:t>5</w:t>
            </w:r>
          </w:p>
        </w:tc>
      </w:tr>
      <w:tr w:rsidR="0020075A" w:rsidRPr="00BF2B4F" w14:paraId="5716BECE" w14:textId="77777777" w:rsidTr="009E1AF4">
        <w:tc>
          <w:tcPr>
            <w:tcW w:w="2695" w:type="dxa"/>
          </w:tcPr>
          <w:p w14:paraId="75B44B4D" w14:textId="3287FE3E" w:rsidR="0020075A" w:rsidRPr="0020075A" w:rsidRDefault="0020075A" w:rsidP="0020075A">
            <w:pPr>
              <w:tabs>
                <w:tab w:val="left" w:pos="720"/>
                <w:tab w:val="left" w:pos="1080"/>
              </w:tabs>
              <w:spacing w:after="0"/>
              <w:rPr>
                <w:sz w:val="20"/>
                <w:szCs w:val="20"/>
              </w:rPr>
            </w:pPr>
            <w:r w:rsidRPr="0020075A">
              <w:rPr>
                <w:sz w:val="20"/>
                <w:szCs w:val="20"/>
              </w:rPr>
              <w:t>Helen Tope</w:t>
            </w:r>
          </w:p>
        </w:tc>
        <w:tc>
          <w:tcPr>
            <w:tcW w:w="2912" w:type="dxa"/>
          </w:tcPr>
          <w:p w14:paraId="20B9BC5D" w14:textId="4C3B37F6" w:rsidR="0020075A" w:rsidRPr="0020075A" w:rsidRDefault="0020075A" w:rsidP="0020075A">
            <w:pPr>
              <w:tabs>
                <w:tab w:val="left" w:pos="720"/>
                <w:tab w:val="left" w:pos="1080"/>
              </w:tabs>
              <w:spacing w:after="0"/>
              <w:rPr>
                <w:sz w:val="20"/>
                <w:szCs w:val="20"/>
              </w:rPr>
            </w:pPr>
            <w:r w:rsidRPr="0020075A">
              <w:rPr>
                <w:sz w:val="20"/>
                <w:szCs w:val="20"/>
              </w:rPr>
              <w:t>Energy International Australia</w:t>
            </w:r>
          </w:p>
        </w:tc>
        <w:tc>
          <w:tcPr>
            <w:tcW w:w="1678" w:type="dxa"/>
          </w:tcPr>
          <w:p w14:paraId="107C0B23" w14:textId="7BDCC517" w:rsidR="0020075A" w:rsidRPr="0020075A" w:rsidRDefault="0020075A" w:rsidP="0020075A">
            <w:pPr>
              <w:tabs>
                <w:tab w:val="left" w:pos="720"/>
                <w:tab w:val="left" w:pos="1080"/>
              </w:tabs>
              <w:spacing w:after="0"/>
              <w:rPr>
                <w:sz w:val="20"/>
                <w:szCs w:val="20"/>
              </w:rPr>
            </w:pPr>
            <w:r w:rsidRPr="0020075A">
              <w:rPr>
                <w:sz w:val="20"/>
                <w:szCs w:val="20"/>
              </w:rPr>
              <w:t>Australia</w:t>
            </w:r>
          </w:p>
        </w:tc>
        <w:tc>
          <w:tcPr>
            <w:tcW w:w="2008" w:type="dxa"/>
          </w:tcPr>
          <w:p w14:paraId="01C3FEE8" w14:textId="655D8815" w:rsidR="0020075A" w:rsidRPr="0020075A" w:rsidRDefault="0020075A" w:rsidP="0020075A">
            <w:pPr>
              <w:tabs>
                <w:tab w:val="left" w:pos="720"/>
                <w:tab w:val="left" w:pos="1080"/>
              </w:tabs>
              <w:spacing w:after="0"/>
              <w:rPr>
                <w:sz w:val="20"/>
                <w:szCs w:val="20"/>
              </w:rPr>
            </w:pPr>
            <w:r w:rsidRPr="0020075A">
              <w:rPr>
                <w:sz w:val="20"/>
                <w:szCs w:val="20"/>
              </w:rPr>
              <w:t>202</w:t>
            </w:r>
            <w:r w:rsidR="002D3492">
              <w:rPr>
                <w:sz w:val="20"/>
                <w:szCs w:val="20"/>
              </w:rPr>
              <w:t>5</w:t>
            </w:r>
          </w:p>
        </w:tc>
      </w:tr>
      <w:tr w:rsidR="0020075A" w:rsidRPr="00BF2B4F" w14:paraId="56BBF08B" w14:textId="77777777" w:rsidTr="009E1AF4">
        <w:tc>
          <w:tcPr>
            <w:tcW w:w="2695" w:type="dxa"/>
          </w:tcPr>
          <w:p w14:paraId="1EA2CB58" w14:textId="32BAC526" w:rsidR="0020075A" w:rsidRPr="0020075A" w:rsidRDefault="0020075A" w:rsidP="0020075A">
            <w:pPr>
              <w:tabs>
                <w:tab w:val="left" w:pos="720"/>
                <w:tab w:val="left" w:pos="1080"/>
              </w:tabs>
              <w:spacing w:after="0"/>
              <w:rPr>
                <w:sz w:val="20"/>
                <w:szCs w:val="20"/>
              </w:rPr>
            </w:pPr>
            <w:r w:rsidRPr="0020075A">
              <w:rPr>
                <w:sz w:val="20"/>
                <w:szCs w:val="20"/>
              </w:rPr>
              <w:t>Daniel P. Verdonik</w:t>
            </w:r>
          </w:p>
        </w:tc>
        <w:tc>
          <w:tcPr>
            <w:tcW w:w="2912" w:type="dxa"/>
          </w:tcPr>
          <w:p w14:paraId="665FA5AA" w14:textId="60300A70" w:rsidR="0020075A" w:rsidRPr="0020075A" w:rsidRDefault="0020075A" w:rsidP="0020075A">
            <w:pPr>
              <w:tabs>
                <w:tab w:val="left" w:pos="720"/>
                <w:tab w:val="left" w:pos="1080"/>
              </w:tabs>
              <w:spacing w:after="0"/>
              <w:rPr>
                <w:sz w:val="20"/>
                <w:szCs w:val="20"/>
              </w:rPr>
            </w:pPr>
            <w:r w:rsidRPr="0020075A">
              <w:rPr>
                <w:sz w:val="20"/>
                <w:szCs w:val="20"/>
              </w:rPr>
              <w:t>Jensen Hughes Inc</w:t>
            </w:r>
          </w:p>
        </w:tc>
        <w:tc>
          <w:tcPr>
            <w:tcW w:w="1678" w:type="dxa"/>
          </w:tcPr>
          <w:p w14:paraId="7E635B85" w14:textId="4F389323" w:rsidR="0020075A" w:rsidRPr="0020075A" w:rsidRDefault="0020075A" w:rsidP="0020075A">
            <w:pPr>
              <w:tabs>
                <w:tab w:val="left" w:pos="720"/>
                <w:tab w:val="left" w:pos="1080"/>
              </w:tabs>
              <w:spacing w:after="0"/>
              <w:rPr>
                <w:sz w:val="20"/>
                <w:szCs w:val="20"/>
              </w:rPr>
            </w:pPr>
            <w:r w:rsidRPr="0020075A">
              <w:rPr>
                <w:sz w:val="20"/>
                <w:szCs w:val="20"/>
              </w:rPr>
              <w:t>US</w:t>
            </w:r>
          </w:p>
        </w:tc>
        <w:tc>
          <w:tcPr>
            <w:tcW w:w="2008" w:type="dxa"/>
          </w:tcPr>
          <w:p w14:paraId="44BB0BAE" w14:textId="3B1F5F48" w:rsidR="0020075A" w:rsidRPr="0020075A" w:rsidRDefault="0020075A" w:rsidP="0020075A">
            <w:pPr>
              <w:tabs>
                <w:tab w:val="left" w:pos="720"/>
                <w:tab w:val="left" w:pos="1080"/>
              </w:tabs>
              <w:spacing w:after="0"/>
              <w:rPr>
                <w:sz w:val="20"/>
                <w:szCs w:val="20"/>
              </w:rPr>
            </w:pPr>
            <w:r w:rsidRPr="0020075A">
              <w:rPr>
                <w:sz w:val="20"/>
                <w:szCs w:val="20"/>
              </w:rPr>
              <w:t>202</w:t>
            </w:r>
            <w:r w:rsidR="008331BC">
              <w:rPr>
                <w:sz w:val="20"/>
                <w:szCs w:val="20"/>
              </w:rPr>
              <w:t>4</w:t>
            </w:r>
          </w:p>
        </w:tc>
      </w:tr>
      <w:tr w:rsidR="0020075A" w:rsidRPr="00BF2B4F" w14:paraId="63EF2FB9" w14:textId="77777777" w:rsidTr="009E1AF4">
        <w:tc>
          <w:tcPr>
            <w:tcW w:w="2695" w:type="dxa"/>
          </w:tcPr>
          <w:p w14:paraId="0307F8A4" w14:textId="4AAAFB29" w:rsidR="0020075A" w:rsidRPr="0020075A" w:rsidRDefault="0020075A" w:rsidP="0020075A">
            <w:pPr>
              <w:tabs>
                <w:tab w:val="left" w:pos="720"/>
                <w:tab w:val="left" w:pos="1080"/>
              </w:tabs>
              <w:spacing w:after="0"/>
              <w:rPr>
                <w:sz w:val="20"/>
                <w:szCs w:val="20"/>
              </w:rPr>
            </w:pPr>
            <w:r w:rsidRPr="0020075A">
              <w:rPr>
                <w:sz w:val="20"/>
                <w:szCs w:val="20"/>
              </w:rPr>
              <w:t>Helen Walter-Terrinoni</w:t>
            </w:r>
          </w:p>
        </w:tc>
        <w:tc>
          <w:tcPr>
            <w:tcW w:w="2912" w:type="dxa"/>
          </w:tcPr>
          <w:p w14:paraId="63DA4D85" w14:textId="0EF17042" w:rsidR="0020075A" w:rsidRPr="0020075A" w:rsidRDefault="0020075A" w:rsidP="0020075A">
            <w:pPr>
              <w:tabs>
                <w:tab w:val="left" w:pos="720"/>
                <w:tab w:val="left" w:pos="1080"/>
              </w:tabs>
              <w:spacing w:after="0"/>
              <w:rPr>
                <w:sz w:val="20"/>
                <w:szCs w:val="20"/>
              </w:rPr>
            </w:pPr>
            <w:r w:rsidRPr="0020075A">
              <w:rPr>
                <w:sz w:val="20"/>
                <w:szCs w:val="20"/>
              </w:rPr>
              <w:t>Air conditioning</w:t>
            </w:r>
            <w:r w:rsidR="006D605D">
              <w:rPr>
                <w:sz w:val="20"/>
                <w:szCs w:val="20"/>
              </w:rPr>
              <w:t>,</w:t>
            </w:r>
            <w:r w:rsidRPr="0020075A">
              <w:rPr>
                <w:sz w:val="20"/>
                <w:szCs w:val="20"/>
              </w:rPr>
              <w:t xml:space="preserve"> Heating</w:t>
            </w:r>
            <w:r w:rsidR="006D605D">
              <w:rPr>
                <w:sz w:val="20"/>
                <w:szCs w:val="20"/>
              </w:rPr>
              <w:t xml:space="preserve"> and</w:t>
            </w:r>
            <w:r w:rsidRPr="0020075A">
              <w:rPr>
                <w:sz w:val="20"/>
                <w:szCs w:val="20"/>
              </w:rPr>
              <w:t xml:space="preserve"> </w:t>
            </w:r>
            <w:r w:rsidR="006D605D" w:rsidRPr="0020075A">
              <w:rPr>
                <w:sz w:val="20"/>
                <w:szCs w:val="20"/>
              </w:rPr>
              <w:t>Re</w:t>
            </w:r>
            <w:r w:rsidR="006D605D">
              <w:rPr>
                <w:sz w:val="20"/>
                <w:szCs w:val="20"/>
              </w:rPr>
              <w:t>frigeration</w:t>
            </w:r>
            <w:r w:rsidR="006D605D" w:rsidRPr="0020075A">
              <w:rPr>
                <w:sz w:val="20"/>
                <w:szCs w:val="20"/>
              </w:rPr>
              <w:t xml:space="preserve"> </w:t>
            </w:r>
            <w:r w:rsidRPr="0020075A">
              <w:rPr>
                <w:sz w:val="20"/>
                <w:szCs w:val="20"/>
              </w:rPr>
              <w:t>Institute</w:t>
            </w:r>
          </w:p>
        </w:tc>
        <w:tc>
          <w:tcPr>
            <w:tcW w:w="1678" w:type="dxa"/>
          </w:tcPr>
          <w:p w14:paraId="48DCCC06" w14:textId="267CD084" w:rsidR="0020075A" w:rsidRPr="0020075A" w:rsidRDefault="0020075A" w:rsidP="0020075A">
            <w:pPr>
              <w:tabs>
                <w:tab w:val="left" w:pos="720"/>
                <w:tab w:val="left" w:pos="1080"/>
              </w:tabs>
              <w:spacing w:after="0"/>
              <w:rPr>
                <w:sz w:val="20"/>
                <w:szCs w:val="20"/>
              </w:rPr>
            </w:pPr>
            <w:r w:rsidRPr="0020075A">
              <w:rPr>
                <w:sz w:val="20"/>
                <w:szCs w:val="20"/>
              </w:rPr>
              <w:t>US</w:t>
            </w:r>
          </w:p>
        </w:tc>
        <w:tc>
          <w:tcPr>
            <w:tcW w:w="2008" w:type="dxa"/>
          </w:tcPr>
          <w:p w14:paraId="598BD174" w14:textId="6BD6D5CE" w:rsidR="0020075A" w:rsidRPr="0020075A" w:rsidRDefault="0020075A" w:rsidP="0020075A">
            <w:pPr>
              <w:tabs>
                <w:tab w:val="left" w:pos="720"/>
                <w:tab w:val="left" w:pos="1080"/>
              </w:tabs>
              <w:spacing w:after="0"/>
              <w:rPr>
                <w:sz w:val="20"/>
                <w:szCs w:val="20"/>
              </w:rPr>
            </w:pPr>
            <w:r w:rsidRPr="0020075A">
              <w:rPr>
                <w:sz w:val="20"/>
                <w:szCs w:val="20"/>
              </w:rPr>
              <w:t>202</w:t>
            </w:r>
            <w:r w:rsidR="002D3492">
              <w:rPr>
                <w:sz w:val="20"/>
                <w:szCs w:val="20"/>
              </w:rPr>
              <w:t>5</w:t>
            </w:r>
          </w:p>
        </w:tc>
      </w:tr>
      <w:tr w:rsidR="0020075A" w:rsidRPr="00BF2B4F" w14:paraId="0D6ABEF5" w14:textId="77777777" w:rsidTr="009E1AF4">
        <w:tc>
          <w:tcPr>
            <w:tcW w:w="2695" w:type="dxa"/>
          </w:tcPr>
          <w:p w14:paraId="6A06AB37" w14:textId="0427589B" w:rsidR="0020075A" w:rsidRPr="0020075A" w:rsidRDefault="0020075A" w:rsidP="0020075A">
            <w:pPr>
              <w:tabs>
                <w:tab w:val="left" w:pos="720"/>
                <w:tab w:val="left" w:pos="1080"/>
              </w:tabs>
              <w:spacing w:after="0"/>
              <w:rPr>
                <w:sz w:val="20"/>
                <w:szCs w:val="20"/>
              </w:rPr>
            </w:pPr>
            <w:r w:rsidRPr="0020075A">
              <w:rPr>
                <w:sz w:val="20"/>
                <w:szCs w:val="20"/>
              </w:rPr>
              <w:t>Jianjun Zhang</w:t>
            </w:r>
          </w:p>
        </w:tc>
        <w:tc>
          <w:tcPr>
            <w:tcW w:w="2912" w:type="dxa"/>
          </w:tcPr>
          <w:p w14:paraId="1CE3431C" w14:textId="429E4910" w:rsidR="0020075A" w:rsidRPr="0020075A" w:rsidRDefault="0020075A" w:rsidP="0020075A">
            <w:pPr>
              <w:tabs>
                <w:tab w:val="left" w:pos="720"/>
                <w:tab w:val="left" w:pos="1080"/>
              </w:tabs>
              <w:spacing w:after="0"/>
              <w:rPr>
                <w:sz w:val="20"/>
                <w:szCs w:val="20"/>
              </w:rPr>
            </w:pPr>
            <w:r w:rsidRPr="0020075A">
              <w:rPr>
                <w:sz w:val="20"/>
                <w:szCs w:val="20"/>
              </w:rPr>
              <w:t>Zhejiang Chemical Industry Research Institute</w:t>
            </w:r>
          </w:p>
        </w:tc>
        <w:tc>
          <w:tcPr>
            <w:tcW w:w="1678" w:type="dxa"/>
          </w:tcPr>
          <w:p w14:paraId="559252C0" w14:textId="54DCC4D7" w:rsidR="0020075A" w:rsidRPr="0020075A" w:rsidRDefault="0020075A" w:rsidP="0020075A">
            <w:pPr>
              <w:tabs>
                <w:tab w:val="left" w:pos="720"/>
                <w:tab w:val="left" w:pos="1080"/>
              </w:tabs>
              <w:spacing w:after="0"/>
              <w:rPr>
                <w:sz w:val="20"/>
                <w:szCs w:val="20"/>
              </w:rPr>
            </w:pPr>
            <w:r w:rsidRPr="0020075A">
              <w:rPr>
                <w:sz w:val="20"/>
                <w:szCs w:val="20"/>
              </w:rPr>
              <w:t>PRC</w:t>
            </w:r>
          </w:p>
        </w:tc>
        <w:tc>
          <w:tcPr>
            <w:tcW w:w="2008" w:type="dxa"/>
          </w:tcPr>
          <w:p w14:paraId="697D77D3" w14:textId="33128ED3" w:rsidR="0020075A" w:rsidRPr="0020075A" w:rsidRDefault="0020075A" w:rsidP="0020075A">
            <w:pPr>
              <w:tabs>
                <w:tab w:val="left" w:pos="720"/>
                <w:tab w:val="left" w:pos="1080"/>
              </w:tabs>
              <w:spacing w:after="0"/>
              <w:rPr>
                <w:sz w:val="20"/>
                <w:szCs w:val="20"/>
              </w:rPr>
            </w:pPr>
            <w:r w:rsidRPr="0020075A">
              <w:rPr>
                <w:sz w:val="20"/>
                <w:szCs w:val="20"/>
              </w:rPr>
              <w:t>20</w:t>
            </w:r>
            <w:r w:rsidR="00C30961">
              <w:rPr>
                <w:sz w:val="20"/>
                <w:szCs w:val="20"/>
              </w:rPr>
              <w:t>23</w:t>
            </w:r>
          </w:p>
        </w:tc>
      </w:tr>
    </w:tbl>
    <w:p w14:paraId="0C8340F2" w14:textId="77777777" w:rsidR="00494CC5" w:rsidRPr="00D23986" w:rsidRDefault="004D1972">
      <w:pPr>
        <w:tabs>
          <w:tab w:val="left" w:pos="720"/>
          <w:tab w:val="left" w:pos="1080"/>
        </w:tabs>
        <w:spacing w:after="0"/>
        <w:rPr>
          <w:i/>
          <w:sz w:val="20"/>
        </w:rPr>
      </w:pPr>
      <w:r w:rsidRPr="00D23986">
        <w:rPr>
          <w:sz w:val="20"/>
        </w:rPr>
        <w:t xml:space="preserve">* </w:t>
      </w:r>
      <w:r w:rsidRPr="00D23986">
        <w:rPr>
          <w:i/>
          <w:sz w:val="20"/>
        </w:rPr>
        <w:t>Indicates members whose terms expire at the end of the current year</w:t>
      </w:r>
    </w:p>
    <w:p w14:paraId="1B25839D" w14:textId="49248DEB" w:rsidR="00AD4B2A" w:rsidRPr="00BE2C76" w:rsidRDefault="001B3AC0" w:rsidP="001B3AC0">
      <w:pPr>
        <w:rPr>
          <w:rStyle w:val="Heading2Char"/>
        </w:rPr>
      </w:pPr>
      <w:bookmarkStart w:id="695" w:name="_Toc514151694"/>
      <w:bookmarkStart w:id="696" w:name="_Toc9109616"/>
      <w:bookmarkStart w:id="697" w:name="_Toc40696115"/>
      <w:r w:rsidRPr="00BE2C76">
        <w:rPr>
          <w:rStyle w:val="Heading2Char"/>
        </w:rPr>
        <w:lastRenderedPageBreak/>
        <w:t>2.</w:t>
      </w:r>
      <w:r w:rsidRPr="00BE2C76">
        <w:rPr>
          <w:rStyle w:val="Heading2Char"/>
        </w:rPr>
        <w:tab/>
      </w:r>
      <w:r w:rsidR="00591AA8" w:rsidRPr="00BE2C76">
        <w:rPr>
          <w:rStyle w:val="Heading2Char"/>
        </w:rPr>
        <w:t>TEAP Flexible and Rigid Foams Technical Options Committee (FTOC)</w:t>
      </w:r>
      <w:bookmarkEnd w:id="695"/>
      <w:bookmarkEnd w:id="696"/>
      <w:bookmarkEnd w:id="697"/>
      <w:r w:rsidR="003E070D" w:rsidRPr="00BE2C76">
        <w:rPr>
          <w:rStyle w:val="Heading2Char"/>
        </w:rPr>
        <w:t xml:space="preserve"> </w:t>
      </w:r>
    </w:p>
    <w:p w14:paraId="0936DD21" w14:textId="2E115906" w:rsidR="00B4792C" w:rsidRDefault="00B4792C" w:rsidP="0051468B">
      <w:pPr>
        <w:tabs>
          <w:tab w:val="left" w:pos="720"/>
        </w:tabs>
        <w:rPr>
          <w:lang w:val="en-US"/>
        </w:rPr>
      </w:pPr>
      <w:r w:rsidRPr="00B4792C">
        <w:rPr>
          <w:lang w:val="en-US"/>
        </w:rPr>
        <w:t>FTOC members</w:t>
      </w:r>
      <w:r>
        <w:rPr>
          <w:lang w:val="en-US"/>
        </w:rPr>
        <w:t xml:space="preserve"> currently</w:t>
      </w:r>
      <w:r w:rsidRPr="00B4792C">
        <w:rPr>
          <w:lang w:val="en-US"/>
        </w:rPr>
        <w:t xml:space="preserve"> have expertise in: Producing and handling foam blowing agents; foam formulation; foam production (XPS, Spray Foam, appliance etc.) and life cycle analysis; emissions and banks model</w:t>
      </w:r>
      <w:r w:rsidR="002E1D1E">
        <w:rPr>
          <w:lang w:val="en-US"/>
        </w:rPr>
        <w:t>l</w:t>
      </w:r>
      <w:r w:rsidRPr="00B4792C">
        <w:rPr>
          <w:lang w:val="en-US"/>
        </w:rPr>
        <w:t>ing; certification testing for foams; regulations related to foams; global foam markets including forecasting future production; historical knowledge of foams, foam blowing agents, regulations, and the Montreal Protocol; the building envelope and reducing energy demand from buildings; appliance design and production energy efficiency.</w:t>
      </w:r>
    </w:p>
    <w:p w14:paraId="41828609" w14:textId="0367ACE1" w:rsidR="008A212A" w:rsidRPr="003C63EA" w:rsidRDefault="008A212A" w:rsidP="003C63EA">
      <w:pPr>
        <w:pStyle w:val="Style15"/>
        <w:tabs>
          <w:tab w:val="clear" w:pos="720"/>
          <w:tab w:val="clear" w:pos="1080"/>
          <w:tab w:val="left" w:pos="900"/>
        </w:tabs>
        <w:rPr>
          <w:i/>
          <w:iCs/>
          <w:sz w:val="22"/>
          <w:szCs w:val="22"/>
          <w:lang w:val="en-US"/>
        </w:rPr>
      </w:pPr>
      <w:r w:rsidRPr="003C63EA">
        <w:rPr>
          <w:i/>
          <w:iCs/>
          <w:sz w:val="22"/>
          <w:szCs w:val="22"/>
          <w:lang w:val="en-US"/>
        </w:rPr>
        <w:t>Table 2</w:t>
      </w:r>
      <w:r w:rsidR="003C63EA">
        <w:rPr>
          <w:i/>
          <w:iCs/>
          <w:sz w:val="22"/>
          <w:szCs w:val="22"/>
          <w:lang w:val="en-US"/>
        </w:rPr>
        <w:t>:</w:t>
      </w:r>
      <w:r w:rsidR="003C63EA">
        <w:rPr>
          <w:i/>
          <w:iCs/>
          <w:sz w:val="22"/>
          <w:szCs w:val="22"/>
          <w:lang w:val="en-US"/>
        </w:rPr>
        <w:tab/>
      </w:r>
      <w:r w:rsidRPr="00CD74B2">
        <w:rPr>
          <w:i/>
          <w:iCs/>
          <w:sz w:val="22"/>
          <w:szCs w:val="22"/>
          <w:lang w:val="en-US"/>
        </w:rPr>
        <w:t xml:space="preserve">FTOC Membership at </w:t>
      </w:r>
      <w:r w:rsidR="00CD74B2">
        <w:rPr>
          <w:i/>
          <w:iCs/>
          <w:sz w:val="22"/>
          <w:szCs w:val="22"/>
          <w:lang w:val="en-US"/>
        </w:rPr>
        <w:t>May</w:t>
      </w:r>
      <w:r w:rsidR="005617DE">
        <w:rPr>
          <w:i/>
          <w:iCs/>
          <w:sz w:val="22"/>
          <w:szCs w:val="22"/>
          <w:lang w:val="en-US"/>
        </w:rPr>
        <w:t xml:space="preserve"> </w:t>
      </w:r>
      <w:r w:rsidR="0075208A" w:rsidRPr="00CD74B2">
        <w:rPr>
          <w:i/>
          <w:iCs/>
          <w:sz w:val="22"/>
          <w:szCs w:val="22"/>
          <w:lang w:val="en-US"/>
        </w:rPr>
        <w:t>202</w:t>
      </w:r>
      <w:r w:rsidR="002D3492" w:rsidRPr="00CD74B2">
        <w:rPr>
          <w:i/>
          <w:iCs/>
          <w:sz w:val="22"/>
          <w:szCs w:val="22"/>
          <w:lang w:val="en-US"/>
        </w:rPr>
        <w:t>2</w:t>
      </w:r>
    </w:p>
    <w:p w14:paraId="50AE6816" w14:textId="77777777" w:rsidR="00415C42" w:rsidRPr="00157244" w:rsidRDefault="00415C42" w:rsidP="008A212A">
      <w:pPr>
        <w:pStyle w:val="Style15"/>
        <w:rPr>
          <w:sz w:val="22"/>
          <w:szCs w:val="22"/>
          <w:lang w:val="en-US"/>
        </w:rPr>
      </w:pPr>
    </w:p>
    <w:tbl>
      <w:tblPr>
        <w:tblStyle w:val="TableGrid"/>
        <w:tblW w:w="9293" w:type="dxa"/>
        <w:tblLayout w:type="fixed"/>
        <w:tblLook w:val="04A0" w:firstRow="1" w:lastRow="0" w:firstColumn="1" w:lastColumn="0" w:noHBand="0" w:noVBand="1"/>
      </w:tblPr>
      <w:tblGrid>
        <w:gridCol w:w="2155"/>
        <w:gridCol w:w="2880"/>
        <w:gridCol w:w="2250"/>
        <w:gridCol w:w="2008"/>
      </w:tblGrid>
      <w:tr w:rsidR="00CD74B2" w:rsidRPr="00BF2B4F" w14:paraId="61584295" w14:textId="77777777" w:rsidTr="002549D2">
        <w:tc>
          <w:tcPr>
            <w:tcW w:w="2155" w:type="dxa"/>
            <w:shd w:val="clear" w:color="auto" w:fill="BDD6EE" w:themeFill="accent1" w:themeFillTint="66"/>
          </w:tcPr>
          <w:p w14:paraId="75BA4C03" w14:textId="77777777" w:rsidR="00CD74B2" w:rsidRPr="00BF2B4F" w:rsidRDefault="00CD74B2" w:rsidP="002549D2">
            <w:pPr>
              <w:tabs>
                <w:tab w:val="left" w:pos="720"/>
                <w:tab w:val="left" w:pos="1080"/>
              </w:tabs>
              <w:spacing w:after="0"/>
              <w:rPr>
                <w:b/>
                <w:sz w:val="20"/>
              </w:rPr>
            </w:pPr>
            <w:bookmarkStart w:id="698" w:name="_Toc514151695"/>
            <w:bookmarkStart w:id="699" w:name="_Toc9109617"/>
            <w:bookmarkStart w:id="700" w:name="_Toc40696116"/>
            <w:r w:rsidRPr="00BF2B4F">
              <w:rPr>
                <w:b/>
                <w:sz w:val="20"/>
              </w:rPr>
              <w:t>Co-chairs</w:t>
            </w:r>
          </w:p>
        </w:tc>
        <w:tc>
          <w:tcPr>
            <w:tcW w:w="2880" w:type="dxa"/>
            <w:shd w:val="clear" w:color="auto" w:fill="BDD6EE" w:themeFill="accent1" w:themeFillTint="66"/>
          </w:tcPr>
          <w:p w14:paraId="0702F4EC" w14:textId="77777777" w:rsidR="00CD74B2" w:rsidRPr="00BF2B4F" w:rsidRDefault="00CD74B2" w:rsidP="002549D2">
            <w:pPr>
              <w:tabs>
                <w:tab w:val="left" w:pos="720"/>
                <w:tab w:val="left" w:pos="1080"/>
              </w:tabs>
              <w:spacing w:after="0"/>
              <w:rPr>
                <w:b/>
                <w:sz w:val="20"/>
              </w:rPr>
            </w:pPr>
            <w:r w:rsidRPr="00BF2B4F">
              <w:rPr>
                <w:b/>
                <w:sz w:val="20"/>
              </w:rPr>
              <w:t>Affiliation</w:t>
            </w:r>
          </w:p>
        </w:tc>
        <w:tc>
          <w:tcPr>
            <w:tcW w:w="2250" w:type="dxa"/>
            <w:shd w:val="clear" w:color="auto" w:fill="BDD6EE" w:themeFill="accent1" w:themeFillTint="66"/>
          </w:tcPr>
          <w:p w14:paraId="177AAF85" w14:textId="77777777" w:rsidR="00CD74B2" w:rsidRPr="00BF2B4F" w:rsidRDefault="00CD74B2" w:rsidP="002549D2">
            <w:pPr>
              <w:tabs>
                <w:tab w:val="left" w:pos="720"/>
                <w:tab w:val="left" w:pos="1080"/>
              </w:tabs>
              <w:spacing w:after="0"/>
              <w:rPr>
                <w:b/>
                <w:sz w:val="20"/>
              </w:rPr>
            </w:pPr>
            <w:r w:rsidRPr="00BF2B4F">
              <w:rPr>
                <w:b/>
                <w:sz w:val="20"/>
              </w:rPr>
              <w:t>Country</w:t>
            </w:r>
          </w:p>
        </w:tc>
        <w:tc>
          <w:tcPr>
            <w:tcW w:w="2008" w:type="dxa"/>
            <w:shd w:val="clear" w:color="auto" w:fill="BDD6EE" w:themeFill="accent1" w:themeFillTint="66"/>
          </w:tcPr>
          <w:p w14:paraId="58AC341E" w14:textId="77777777" w:rsidR="00CD74B2" w:rsidRPr="00BF2B4F" w:rsidRDefault="00CD74B2" w:rsidP="002549D2">
            <w:pPr>
              <w:tabs>
                <w:tab w:val="left" w:pos="720"/>
                <w:tab w:val="left" w:pos="1080"/>
              </w:tabs>
              <w:spacing w:after="0"/>
              <w:rPr>
                <w:b/>
                <w:sz w:val="20"/>
              </w:rPr>
            </w:pPr>
            <w:r>
              <w:rPr>
                <w:b/>
                <w:sz w:val="20"/>
              </w:rPr>
              <w:t>Appointed through</w:t>
            </w:r>
          </w:p>
        </w:tc>
      </w:tr>
      <w:tr w:rsidR="00CD74B2" w:rsidRPr="00BF2B4F" w14:paraId="1D455EAF" w14:textId="77777777" w:rsidTr="002549D2">
        <w:tc>
          <w:tcPr>
            <w:tcW w:w="2155" w:type="dxa"/>
          </w:tcPr>
          <w:p w14:paraId="11FF263F" w14:textId="77777777" w:rsidR="00CD74B2" w:rsidRPr="00BF2B4F" w:rsidRDefault="00CD74B2" w:rsidP="002549D2">
            <w:pPr>
              <w:tabs>
                <w:tab w:val="left" w:pos="720"/>
                <w:tab w:val="left" w:pos="1080"/>
              </w:tabs>
              <w:spacing w:after="0"/>
              <w:rPr>
                <w:sz w:val="20"/>
              </w:rPr>
            </w:pPr>
            <w:r>
              <w:rPr>
                <w:sz w:val="20"/>
              </w:rPr>
              <w:t>Helen Walter-Terrinoni</w:t>
            </w:r>
            <w:r w:rsidRPr="00FD4EE9">
              <w:rPr>
                <w:sz w:val="20"/>
              </w:rPr>
              <w:t xml:space="preserve"> </w:t>
            </w:r>
          </w:p>
        </w:tc>
        <w:tc>
          <w:tcPr>
            <w:tcW w:w="2880" w:type="dxa"/>
          </w:tcPr>
          <w:p w14:paraId="046B09BE" w14:textId="77777777" w:rsidR="00CD74B2" w:rsidRPr="00BF2B4F" w:rsidRDefault="00CD74B2" w:rsidP="002549D2">
            <w:pPr>
              <w:tabs>
                <w:tab w:val="left" w:pos="720"/>
                <w:tab w:val="left" w:pos="1080"/>
              </w:tabs>
              <w:spacing w:after="0"/>
              <w:rPr>
                <w:sz w:val="20"/>
              </w:rPr>
            </w:pPr>
            <w:r>
              <w:rPr>
                <w:sz w:val="20"/>
              </w:rPr>
              <w:t>The Air Conditioning, Heating and Refrigeration Institute</w:t>
            </w:r>
          </w:p>
        </w:tc>
        <w:tc>
          <w:tcPr>
            <w:tcW w:w="2250" w:type="dxa"/>
          </w:tcPr>
          <w:p w14:paraId="1961831C" w14:textId="77777777" w:rsidR="00CD74B2" w:rsidRPr="00BF2B4F" w:rsidRDefault="00CD74B2" w:rsidP="002549D2">
            <w:pPr>
              <w:tabs>
                <w:tab w:val="left" w:pos="720"/>
                <w:tab w:val="left" w:pos="1080"/>
              </w:tabs>
              <w:spacing w:after="0"/>
              <w:rPr>
                <w:sz w:val="20"/>
              </w:rPr>
            </w:pPr>
            <w:r w:rsidRPr="00FD4EE9">
              <w:rPr>
                <w:sz w:val="20"/>
              </w:rPr>
              <w:t>U</w:t>
            </w:r>
            <w:r>
              <w:rPr>
                <w:sz w:val="20"/>
              </w:rPr>
              <w:t>S</w:t>
            </w:r>
          </w:p>
        </w:tc>
        <w:tc>
          <w:tcPr>
            <w:tcW w:w="2008" w:type="dxa"/>
          </w:tcPr>
          <w:p w14:paraId="4CEF8EC8" w14:textId="77777777" w:rsidR="00CD74B2" w:rsidRPr="00BF2B4F" w:rsidRDefault="00CD74B2" w:rsidP="002549D2">
            <w:pPr>
              <w:tabs>
                <w:tab w:val="left" w:pos="720"/>
                <w:tab w:val="left" w:pos="1080"/>
              </w:tabs>
              <w:spacing w:after="0"/>
              <w:rPr>
                <w:sz w:val="20"/>
              </w:rPr>
            </w:pPr>
            <w:r>
              <w:rPr>
                <w:sz w:val="20"/>
              </w:rPr>
              <w:t>2025</w:t>
            </w:r>
          </w:p>
        </w:tc>
      </w:tr>
      <w:tr w:rsidR="00CD74B2" w:rsidRPr="00BF2B4F" w14:paraId="2858B9D6" w14:textId="77777777" w:rsidTr="002549D2">
        <w:tc>
          <w:tcPr>
            <w:tcW w:w="2155" w:type="dxa"/>
          </w:tcPr>
          <w:p w14:paraId="094E12C1" w14:textId="77777777" w:rsidR="00CD74B2" w:rsidRPr="00BF2B4F" w:rsidRDefault="00CD74B2" w:rsidP="002549D2">
            <w:pPr>
              <w:tabs>
                <w:tab w:val="left" w:pos="720"/>
                <w:tab w:val="left" w:pos="1080"/>
              </w:tabs>
              <w:spacing w:after="0"/>
              <w:rPr>
                <w:sz w:val="20"/>
              </w:rPr>
            </w:pPr>
            <w:r w:rsidRPr="006B52E0">
              <w:rPr>
                <w:sz w:val="20"/>
              </w:rPr>
              <w:t>Paulo Altoé</w:t>
            </w:r>
          </w:p>
        </w:tc>
        <w:tc>
          <w:tcPr>
            <w:tcW w:w="2880" w:type="dxa"/>
          </w:tcPr>
          <w:p w14:paraId="13322BEA" w14:textId="77777777" w:rsidR="00CD74B2" w:rsidRPr="00BF2B4F" w:rsidRDefault="00CD74B2" w:rsidP="002549D2">
            <w:pPr>
              <w:tabs>
                <w:tab w:val="left" w:pos="720"/>
                <w:tab w:val="left" w:pos="1080"/>
              </w:tabs>
              <w:spacing w:after="0"/>
              <w:rPr>
                <w:sz w:val="20"/>
              </w:rPr>
            </w:pPr>
            <w:r>
              <w:rPr>
                <w:sz w:val="20"/>
              </w:rPr>
              <w:t>Independent Expert</w:t>
            </w:r>
          </w:p>
        </w:tc>
        <w:tc>
          <w:tcPr>
            <w:tcW w:w="2250" w:type="dxa"/>
          </w:tcPr>
          <w:p w14:paraId="06CB7386" w14:textId="77777777" w:rsidR="00CD74B2" w:rsidRPr="00BF2B4F" w:rsidRDefault="00CD74B2" w:rsidP="002549D2">
            <w:pPr>
              <w:tabs>
                <w:tab w:val="left" w:pos="720"/>
                <w:tab w:val="left" w:pos="1080"/>
              </w:tabs>
              <w:spacing w:after="0"/>
              <w:rPr>
                <w:sz w:val="20"/>
              </w:rPr>
            </w:pPr>
            <w:r w:rsidRPr="006B52E0">
              <w:rPr>
                <w:sz w:val="20"/>
              </w:rPr>
              <w:t>Brazil</w:t>
            </w:r>
          </w:p>
        </w:tc>
        <w:tc>
          <w:tcPr>
            <w:tcW w:w="2008" w:type="dxa"/>
          </w:tcPr>
          <w:p w14:paraId="461B820B" w14:textId="77777777" w:rsidR="00CD74B2" w:rsidRPr="00BF2B4F" w:rsidRDefault="00CD74B2" w:rsidP="002549D2">
            <w:pPr>
              <w:tabs>
                <w:tab w:val="left" w:pos="720"/>
                <w:tab w:val="left" w:pos="1080"/>
              </w:tabs>
              <w:spacing w:after="0"/>
              <w:rPr>
                <w:sz w:val="20"/>
              </w:rPr>
            </w:pPr>
            <w:r w:rsidRPr="006B52E0">
              <w:rPr>
                <w:sz w:val="20"/>
              </w:rPr>
              <w:t>202</w:t>
            </w:r>
            <w:r>
              <w:rPr>
                <w:sz w:val="20"/>
              </w:rPr>
              <w:t>4</w:t>
            </w:r>
          </w:p>
        </w:tc>
      </w:tr>
      <w:tr w:rsidR="00CD74B2" w:rsidRPr="00BF2B4F" w14:paraId="73B39202" w14:textId="77777777" w:rsidTr="002549D2">
        <w:tc>
          <w:tcPr>
            <w:tcW w:w="2155" w:type="dxa"/>
            <w:shd w:val="clear" w:color="auto" w:fill="BDD6EE" w:themeFill="accent1" w:themeFillTint="66"/>
          </w:tcPr>
          <w:p w14:paraId="6EDE1869" w14:textId="77777777" w:rsidR="00CD74B2" w:rsidRPr="00BF2B4F" w:rsidRDefault="00CD74B2" w:rsidP="002549D2">
            <w:pPr>
              <w:tabs>
                <w:tab w:val="left" w:pos="720"/>
                <w:tab w:val="left" w:pos="1080"/>
              </w:tabs>
              <w:spacing w:after="0"/>
              <w:rPr>
                <w:b/>
                <w:sz w:val="20"/>
              </w:rPr>
            </w:pPr>
            <w:r w:rsidRPr="00BF2B4F">
              <w:rPr>
                <w:b/>
                <w:sz w:val="20"/>
              </w:rPr>
              <w:t>Members</w:t>
            </w:r>
          </w:p>
        </w:tc>
        <w:tc>
          <w:tcPr>
            <w:tcW w:w="2880" w:type="dxa"/>
            <w:shd w:val="clear" w:color="auto" w:fill="BDD6EE" w:themeFill="accent1" w:themeFillTint="66"/>
          </w:tcPr>
          <w:p w14:paraId="595B73E5" w14:textId="77777777" w:rsidR="00CD74B2" w:rsidRPr="00BF2B4F" w:rsidRDefault="00CD74B2" w:rsidP="002549D2">
            <w:pPr>
              <w:tabs>
                <w:tab w:val="left" w:pos="720"/>
                <w:tab w:val="left" w:pos="1080"/>
              </w:tabs>
              <w:spacing w:after="0"/>
              <w:rPr>
                <w:b/>
                <w:sz w:val="20"/>
              </w:rPr>
            </w:pPr>
            <w:r w:rsidRPr="00BF2B4F">
              <w:rPr>
                <w:b/>
                <w:sz w:val="20"/>
              </w:rPr>
              <w:t>Affiliation</w:t>
            </w:r>
          </w:p>
        </w:tc>
        <w:tc>
          <w:tcPr>
            <w:tcW w:w="2250" w:type="dxa"/>
            <w:shd w:val="clear" w:color="auto" w:fill="BDD6EE" w:themeFill="accent1" w:themeFillTint="66"/>
          </w:tcPr>
          <w:p w14:paraId="247A0CDB" w14:textId="77777777" w:rsidR="00CD74B2" w:rsidRPr="00BF2B4F" w:rsidRDefault="00CD74B2" w:rsidP="002549D2">
            <w:pPr>
              <w:tabs>
                <w:tab w:val="left" w:pos="720"/>
                <w:tab w:val="left" w:pos="1080"/>
              </w:tabs>
              <w:spacing w:after="0"/>
              <w:rPr>
                <w:b/>
                <w:sz w:val="20"/>
              </w:rPr>
            </w:pPr>
            <w:r w:rsidRPr="00BF2B4F">
              <w:rPr>
                <w:b/>
                <w:sz w:val="20"/>
              </w:rPr>
              <w:t>Country</w:t>
            </w:r>
          </w:p>
        </w:tc>
        <w:tc>
          <w:tcPr>
            <w:tcW w:w="2008" w:type="dxa"/>
            <w:shd w:val="clear" w:color="auto" w:fill="BDD6EE" w:themeFill="accent1" w:themeFillTint="66"/>
          </w:tcPr>
          <w:p w14:paraId="794C0047" w14:textId="77777777" w:rsidR="00CD74B2" w:rsidRPr="00BF2B4F" w:rsidRDefault="00CD74B2" w:rsidP="002549D2">
            <w:pPr>
              <w:tabs>
                <w:tab w:val="left" w:pos="720"/>
                <w:tab w:val="left" w:pos="1080"/>
              </w:tabs>
              <w:spacing w:after="0"/>
              <w:rPr>
                <w:b/>
                <w:sz w:val="20"/>
              </w:rPr>
            </w:pPr>
            <w:r>
              <w:rPr>
                <w:b/>
                <w:sz w:val="20"/>
              </w:rPr>
              <w:t>Appointed through</w:t>
            </w:r>
          </w:p>
        </w:tc>
      </w:tr>
      <w:tr w:rsidR="00CD74B2" w:rsidRPr="00BF2B4F" w14:paraId="477A7A1B" w14:textId="77777777" w:rsidTr="002549D2">
        <w:tc>
          <w:tcPr>
            <w:tcW w:w="2155" w:type="dxa"/>
          </w:tcPr>
          <w:p w14:paraId="4AF55E6C" w14:textId="77777777" w:rsidR="00CD74B2" w:rsidRPr="00BF2B4F" w:rsidRDefault="00CD74B2" w:rsidP="002549D2">
            <w:pPr>
              <w:tabs>
                <w:tab w:val="left" w:pos="720"/>
                <w:tab w:val="left" w:pos="1080"/>
              </w:tabs>
              <w:spacing w:after="0"/>
              <w:rPr>
                <w:sz w:val="20"/>
              </w:rPr>
            </w:pPr>
            <w:r w:rsidRPr="00A53BCE">
              <w:rPr>
                <w:sz w:val="20"/>
              </w:rPr>
              <w:t>Paul Ashford</w:t>
            </w:r>
          </w:p>
        </w:tc>
        <w:tc>
          <w:tcPr>
            <w:tcW w:w="2880" w:type="dxa"/>
          </w:tcPr>
          <w:p w14:paraId="42342D46" w14:textId="77777777" w:rsidR="00CD74B2" w:rsidRPr="00BF2B4F" w:rsidRDefault="00CD74B2" w:rsidP="002549D2">
            <w:pPr>
              <w:tabs>
                <w:tab w:val="left" w:pos="720"/>
                <w:tab w:val="left" w:pos="1080"/>
              </w:tabs>
              <w:spacing w:after="0"/>
              <w:rPr>
                <w:sz w:val="20"/>
              </w:rPr>
            </w:pPr>
            <w:r w:rsidRPr="00A53BCE">
              <w:rPr>
                <w:sz w:val="20"/>
              </w:rPr>
              <w:t>Anthesis</w:t>
            </w:r>
          </w:p>
        </w:tc>
        <w:tc>
          <w:tcPr>
            <w:tcW w:w="2250" w:type="dxa"/>
          </w:tcPr>
          <w:p w14:paraId="66B9C0AD" w14:textId="77777777" w:rsidR="00CD74B2" w:rsidRPr="00BF2B4F" w:rsidRDefault="00CD74B2" w:rsidP="002549D2">
            <w:pPr>
              <w:tabs>
                <w:tab w:val="left" w:pos="720"/>
                <w:tab w:val="left" w:pos="1080"/>
              </w:tabs>
              <w:spacing w:after="0"/>
              <w:rPr>
                <w:sz w:val="20"/>
              </w:rPr>
            </w:pPr>
            <w:r w:rsidRPr="00A53BCE">
              <w:rPr>
                <w:sz w:val="20"/>
              </w:rPr>
              <w:t>UK</w:t>
            </w:r>
          </w:p>
        </w:tc>
        <w:tc>
          <w:tcPr>
            <w:tcW w:w="2008" w:type="dxa"/>
          </w:tcPr>
          <w:p w14:paraId="7F219C6A" w14:textId="77777777" w:rsidR="00CD74B2" w:rsidRPr="00BF2B4F" w:rsidRDefault="00CD74B2" w:rsidP="002549D2">
            <w:pPr>
              <w:tabs>
                <w:tab w:val="left" w:pos="720"/>
                <w:tab w:val="left" w:pos="1080"/>
              </w:tabs>
              <w:spacing w:after="0"/>
              <w:rPr>
                <w:sz w:val="20"/>
              </w:rPr>
            </w:pPr>
            <w:r w:rsidRPr="00A53BCE">
              <w:rPr>
                <w:sz w:val="20"/>
              </w:rPr>
              <w:t>2023</w:t>
            </w:r>
          </w:p>
        </w:tc>
      </w:tr>
      <w:tr w:rsidR="00CD74B2" w:rsidRPr="00A53BCE" w14:paraId="7A79F33A" w14:textId="77777777" w:rsidTr="002549D2">
        <w:tc>
          <w:tcPr>
            <w:tcW w:w="2155" w:type="dxa"/>
          </w:tcPr>
          <w:p w14:paraId="40AB315B" w14:textId="77777777" w:rsidR="00CD74B2" w:rsidRPr="00BF2B4F" w:rsidRDefault="00CD74B2" w:rsidP="002549D2">
            <w:pPr>
              <w:tabs>
                <w:tab w:val="left" w:pos="720"/>
                <w:tab w:val="left" w:pos="1080"/>
              </w:tabs>
              <w:spacing w:after="0"/>
              <w:rPr>
                <w:sz w:val="20"/>
              </w:rPr>
            </w:pPr>
            <w:r w:rsidRPr="00A53BCE">
              <w:rPr>
                <w:sz w:val="20"/>
              </w:rPr>
              <w:t>Kultida Charoensawad</w:t>
            </w:r>
          </w:p>
        </w:tc>
        <w:tc>
          <w:tcPr>
            <w:tcW w:w="2880" w:type="dxa"/>
          </w:tcPr>
          <w:p w14:paraId="029137D8" w14:textId="77777777" w:rsidR="00CD74B2" w:rsidRPr="00BF2B4F" w:rsidRDefault="00CD74B2" w:rsidP="002549D2">
            <w:pPr>
              <w:tabs>
                <w:tab w:val="left" w:pos="720"/>
                <w:tab w:val="left" w:pos="1080"/>
              </w:tabs>
              <w:spacing w:after="0"/>
              <w:rPr>
                <w:sz w:val="20"/>
              </w:rPr>
            </w:pPr>
            <w:r w:rsidRPr="00A53BCE">
              <w:rPr>
                <w:sz w:val="20"/>
              </w:rPr>
              <w:t>Covestro</w:t>
            </w:r>
          </w:p>
        </w:tc>
        <w:tc>
          <w:tcPr>
            <w:tcW w:w="2250" w:type="dxa"/>
          </w:tcPr>
          <w:p w14:paraId="18180D66" w14:textId="77777777" w:rsidR="00CD74B2" w:rsidRPr="00BF2B4F" w:rsidRDefault="00CD74B2" w:rsidP="002549D2">
            <w:pPr>
              <w:tabs>
                <w:tab w:val="left" w:pos="720"/>
                <w:tab w:val="left" w:pos="1080"/>
              </w:tabs>
              <w:spacing w:after="0"/>
              <w:rPr>
                <w:sz w:val="20"/>
              </w:rPr>
            </w:pPr>
            <w:r w:rsidRPr="00A53BCE">
              <w:rPr>
                <w:sz w:val="20"/>
              </w:rPr>
              <w:t>Thailand</w:t>
            </w:r>
          </w:p>
        </w:tc>
        <w:tc>
          <w:tcPr>
            <w:tcW w:w="2008" w:type="dxa"/>
          </w:tcPr>
          <w:p w14:paraId="6DC6B0CF" w14:textId="77777777" w:rsidR="00CD74B2" w:rsidRPr="00A53BCE" w:rsidRDefault="00CD74B2" w:rsidP="002549D2">
            <w:pPr>
              <w:tabs>
                <w:tab w:val="left" w:pos="720"/>
                <w:tab w:val="left" w:pos="1080"/>
              </w:tabs>
              <w:spacing w:after="0"/>
              <w:rPr>
                <w:sz w:val="20"/>
              </w:rPr>
            </w:pPr>
            <w:r w:rsidRPr="00A53BCE">
              <w:rPr>
                <w:sz w:val="20"/>
              </w:rPr>
              <w:t>2024</w:t>
            </w:r>
          </w:p>
        </w:tc>
      </w:tr>
      <w:tr w:rsidR="00CD74B2" w:rsidRPr="00BF2B4F" w14:paraId="20763404" w14:textId="77777777" w:rsidTr="002549D2">
        <w:tc>
          <w:tcPr>
            <w:tcW w:w="2155" w:type="dxa"/>
          </w:tcPr>
          <w:p w14:paraId="3374E5FE" w14:textId="77777777" w:rsidR="00CD74B2" w:rsidRPr="00BF2B4F" w:rsidRDefault="00CD74B2" w:rsidP="002549D2">
            <w:pPr>
              <w:tabs>
                <w:tab w:val="left" w:pos="720"/>
                <w:tab w:val="left" w:pos="1080"/>
              </w:tabs>
              <w:spacing w:after="0"/>
              <w:rPr>
                <w:sz w:val="20"/>
              </w:rPr>
            </w:pPr>
            <w:r w:rsidRPr="00A53BCE">
              <w:rPr>
                <w:sz w:val="20"/>
              </w:rPr>
              <w:t>Roy Chowdhury</w:t>
            </w:r>
          </w:p>
        </w:tc>
        <w:tc>
          <w:tcPr>
            <w:tcW w:w="2880" w:type="dxa"/>
          </w:tcPr>
          <w:p w14:paraId="26A806BC" w14:textId="77777777" w:rsidR="00CD74B2" w:rsidRPr="00BF2B4F" w:rsidRDefault="00CD74B2" w:rsidP="002549D2">
            <w:pPr>
              <w:tabs>
                <w:tab w:val="left" w:pos="720"/>
                <w:tab w:val="left" w:pos="1080"/>
              </w:tabs>
              <w:spacing w:after="0"/>
              <w:rPr>
                <w:sz w:val="20"/>
              </w:rPr>
            </w:pPr>
            <w:r w:rsidRPr="00A53BCE">
              <w:rPr>
                <w:sz w:val="20"/>
              </w:rPr>
              <w:t>Foam Supplies</w:t>
            </w:r>
          </w:p>
        </w:tc>
        <w:tc>
          <w:tcPr>
            <w:tcW w:w="2250" w:type="dxa"/>
          </w:tcPr>
          <w:p w14:paraId="17171C63" w14:textId="77777777" w:rsidR="00CD74B2" w:rsidRPr="00BF2B4F" w:rsidRDefault="00CD74B2" w:rsidP="002549D2">
            <w:pPr>
              <w:tabs>
                <w:tab w:val="left" w:pos="720"/>
                <w:tab w:val="left" w:pos="1080"/>
              </w:tabs>
              <w:spacing w:after="0"/>
              <w:rPr>
                <w:sz w:val="20"/>
              </w:rPr>
            </w:pPr>
            <w:r w:rsidRPr="00A53BCE">
              <w:rPr>
                <w:sz w:val="20"/>
              </w:rPr>
              <w:t>Australia</w:t>
            </w:r>
          </w:p>
        </w:tc>
        <w:tc>
          <w:tcPr>
            <w:tcW w:w="2008" w:type="dxa"/>
          </w:tcPr>
          <w:p w14:paraId="6CA8BD61" w14:textId="77777777" w:rsidR="00CD74B2" w:rsidRPr="00BF2B4F" w:rsidRDefault="00CD74B2" w:rsidP="002549D2">
            <w:pPr>
              <w:tabs>
                <w:tab w:val="left" w:pos="720"/>
                <w:tab w:val="left" w:pos="1080"/>
              </w:tabs>
              <w:spacing w:after="0"/>
              <w:rPr>
                <w:sz w:val="20"/>
              </w:rPr>
            </w:pPr>
            <w:r w:rsidRPr="00A53BCE">
              <w:rPr>
                <w:sz w:val="20"/>
              </w:rPr>
              <w:t>2025</w:t>
            </w:r>
          </w:p>
        </w:tc>
      </w:tr>
      <w:tr w:rsidR="00CD74B2" w:rsidRPr="00BF2B4F" w14:paraId="7E94D460" w14:textId="77777777" w:rsidTr="002549D2">
        <w:tc>
          <w:tcPr>
            <w:tcW w:w="2155" w:type="dxa"/>
          </w:tcPr>
          <w:p w14:paraId="71B64801" w14:textId="77777777" w:rsidR="00CD74B2" w:rsidRPr="00BF2B4F" w:rsidRDefault="00CD74B2" w:rsidP="002549D2">
            <w:pPr>
              <w:tabs>
                <w:tab w:val="left" w:pos="720"/>
                <w:tab w:val="left" w:pos="1080"/>
              </w:tabs>
              <w:spacing w:after="0"/>
              <w:rPr>
                <w:sz w:val="20"/>
              </w:rPr>
            </w:pPr>
            <w:r w:rsidRPr="00A53BCE">
              <w:rPr>
                <w:sz w:val="20"/>
              </w:rPr>
              <w:t>Joseph Costa</w:t>
            </w:r>
          </w:p>
        </w:tc>
        <w:tc>
          <w:tcPr>
            <w:tcW w:w="2880" w:type="dxa"/>
          </w:tcPr>
          <w:p w14:paraId="78F5444C" w14:textId="77777777" w:rsidR="00CD74B2" w:rsidRPr="00BF2B4F" w:rsidRDefault="00CD74B2" w:rsidP="002549D2">
            <w:pPr>
              <w:tabs>
                <w:tab w:val="left" w:pos="720"/>
                <w:tab w:val="left" w:pos="1080"/>
              </w:tabs>
              <w:spacing w:after="0"/>
              <w:rPr>
                <w:sz w:val="20"/>
              </w:rPr>
            </w:pPr>
            <w:r w:rsidRPr="00A53BCE">
              <w:rPr>
                <w:sz w:val="20"/>
              </w:rPr>
              <w:t>Arkema</w:t>
            </w:r>
          </w:p>
        </w:tc>
        <w:tc>
          <w:tcPr>
            <w:tcW w:w="2250" w:type="dxa"/>
          </w:tcPr>
          <w:p w14:paraId="744A1436" w14:textId="77777777" w:rsidR="00CD74B2" w:rsidRPr="00BF2B4F" w:rsidRDefault="00CD74B2" w:rsidP="002549D2">
            <w:pPr>
              <w:tabs>
                <w:tab w:val="left" w:pos="720"/>
                <w:tab w:val="left" w:pos="1080"/>
              </w:tabs>
              <w:spacing w:after="0"/>
              <w:rPr>
                <w:sz w:val="20"/>
              </w:rPr>
            </w:pPr>
            <w:r w:rsidRPr="00A53BCE">
              <w:rPr>
                <w:sz w:val="20"/>
              </w:rPr>
              <w:t>US</w:t>
            </w:r>
          </w:p>
        </w:tc>
        <w:tc>
          <w:tcPr>
            <w:tcW w:w="2008" w:type="dxa"/>
          </w:tcPr>
          <w:p w14:paraId="58F65E84" w14:textId="77777777" w:rsidR="00CD74B2" w:rsidRPr="00BF2B4F" w:rsidRDefault="00CD74B2" w:rsidP="002549D2">
            <w:pPr>
              <w:tabs>
                <w:tab w:val="left" w:pos="720"/>
                <w:tab w:val="left" w:pos="1080"/>
              </w:tabs>
              <w:spacing w:after="0"/>
              <w:rPr>
                <w:sz w:val="20"/>
              </w:rPr>
            </w:pPr>
            <w:r w:rsidRPr="00A53BCE">
              <w:rPr>
                <w:sz w:val="20"/>
              </w:rPr>
              <w:t>2026</w:t>
            </w:r>
          </w:p>
        </w:tc>
      </w:tr>
      <w:tr w:rsidR="00CD74B2" w:rsidRPr="00BF2B4F" w14:paraId="3086485E" w14:textId="77777777" w:rsidTr="002549D2">
        <w:tc>
          <w:tcPr>
            <w:tcW w:w="2155" w:type="dxa"/>
          </w:tcPr>
          <w:p w14:paraId="2EA472B1" w14:textId="77777777" w:rsidR="00CD74B2" w:rsidRPr="00BF2B4F" w:rsidRDefault="00CD74B2" w:rsidP="002549D2">
            <w:pPr>
              <w:tabs>
                <w:tab w:val="left" w:pos="720"/>
                <w:tab w:val="left" w:pos="1080"/>
              </w:tabs>
              <w:spacing w:after="0"/>
              <w:rPr>
                <w:sz w:val="20"/>
              </w:rPr>
            </w:pPr>
            <w:r w:rsidRPr="00A53BCE">
              <w:rPr>
                <w:sz w:val="20"/>
              </w:rPr>
              <w:t>Gwyn Davis</w:t>
            </w:r>
          </w:p>
        </w:tc>
        <w:tc>
          <w:tcPr>
            <w:tcW w:w="2880" w:type="dxa"/>
          </w:tcPr>
          <w:p w14:paraId="75D0C80A" w14:textId="77777777" w:rsidR="00CD74B2" w:rsidRPr="00BF2B4F" w:rsidRDefault="00CD74B2" w:rsidP="002549D2">
            <w:pPr>
              <w:tabs>
                <w:tab w:val="left" w:pos="720"/>
                <w:tab w:val="left" w:pos="1080"/>
              </w:tabs>
              <w:spacing w:after="0"/>
              <w:rPr>
                <w:sz w:val="20"/>
              </w:rPr>
            </w:pPr>
            <w:r w:rsidRPr="00A53BCE">
              <w:rPr>
                <w:sz w:val="20"/>
              </w:rPr>
              <w:t>Kingspan</w:t>
            </w:r>
          </w:p>
        </w:tc>
        <w:tc>
          <w:tcPr>
            <w:tcW w:w="2250" w:type="dxa"/>
          </w:tcPr>
          <w:p w14:paraId="65971C5E" w14:textId="77777777" w:rsidR="00CD74B2" w:rsidRPr="00BF2B4F" w:rsidRDefault="00CD74B2" w:rsidP="002549D2">
            <w:pPr>
              <w:tabs>
                <w:tab w:val="left" w:pos="720"/>
                <w:tab w:val="left" w:pos="1080"/>
              </w:tabs>
              <w:spacing w:after="0"/>
              <w:rPr>
                <w:sz w:val="20"/>
              </w:rPr>
            </w:pPr>
            <w:r w:rsidRPr="00A53BCE">
              <w:rPr>
                <w:sz w:val="20"/>
              </w:rPr>
              <w:t>UK</w:t>
            </w:r>
          </w:p>
        </w:tc>
        <w:tc>
          <w:tcPr>
            <w:tcW w:w="2008" w:type="dxa"/>
          </w:tcPr>
          <w:p w14:paraId="71284259" w14:textId="77777777" w:rsidR="00CD74B2" w:rsidRPr="00BF2B4F" w:rsidRDefault="00CD74B2" w:rsidP="002549D2">
            <w:pPr>
              <w:tabs>
                <w:tab w:val="left" w:pos="720"/>
                <w:tab w:val="left" w:pos="1080"/>
              </w:tabs>
              <w:spacing w:after="0"/>
              <w:rPr>
                <w:sz w:val="20"/>
              </w:rPr>
            </w:pPr>
            <w:r w:rsidRPr="00A53BCE">
              <w:rPr>
                <w:sz w:val="20"/>
              </w:rPr>
              <w:t>2024</w:t>
            </w:r>
          </w:p>
        </w:tc>
      </w:tr>
      <w:tr w:rsidR="00CD74B2" w:rsidRPr="00FD4EE9" w14:paraId="2CAE51C6" w14:textId="77777777" w:rsidTr="002549D2">
        <w:tc>
          <w:tcPr>
            <w:tcW w:w="2155" w:type="dxa"/>
          </w:tcPr>
          <w:p w14:paraId="2A9317B0" w14:textId="77777777" w:rsidR="00CD74B2" w:rsidRPr="00FD4EE9" w:rsidRDefault="00CD74B2" w:rsidP="002549D2">
            <w:pPr>
              <w:tabs>
                <w:tab w:val="left" w:pos="720"/>
                <w:tab w:val="left" w:pos="1080"/>
              </w:tabs>
              <w:spacing w:after="0"/>
              <w:rPr>
                <w:sz w:val="20"/>
              </w:rPr>
            </w:pPr>
            <w:r w:rsidRPr="00A53BCE">
              <w:rPr>
                <w:sz w:val="20"/>
              </w:rPr>
              <w:t>Gabrielle Dreyfus</w:t>
            </w:r>
          </w:p>
        </w:tc>
        <w:tc>
          <w:tcPr>
            <w:tcW w:w="2880" w:type="dxa"/>
          </w:tcPr>
          <w:p w14:paraId="68009719" w14:textId="77777777" w:rsidR="00CD74B2" w:rsidRPr="00FD4EE9" w:rsidRDefault="00CD74B2" w:rsidP="002549D2">
            <w:pPr>
              <w:tabs>
                <w:tab w:val="left" w:pos="720"/>
                <w:tab w:val="left" w:pos="1080"/>
              </w:tabs>
              <w:spacing w:after="0"/>
              <w:rPr>
                <w:sz w:val="20"/>
              </w:rPr>
            </w:pPr>
            <w:r w:rsidRPr="00A53BCE">
              <w:rPr>
                <w:sz w:val="20"/>
              </w:rPr>
              <w:t>Climate Works</w:t>
            </w:r>
          </w:p>
        </w:tc>
        <w:tc>
          <w:tcPr>
            <w:tcW w:w="2250" w:type="dxa"/>
          </w:tcPr>
          <w:p w14:paraId="79B183F4" w14:textId="77777777" w:rsidR="00CD74B2" w:rsidRDefault="00CD74B2" w:rsidP="002549D2">
            <w:pPr>
              <w:tabs>
                <w:tab w:val="left" w:pos="720"/>
                <w:tab w:val="left" w:pos="1080"/>
              </w:tabs>
              <w:spacing w:after="0"/>
              <w:rPr>
                <w:sz w:val="20"/>
              </w:rPr>
            </w:pPr>
            <w:r w:rsidRPr="00A53BCE">
              <w:rPr>
                <w:sz w:val="20"/>
              </w:rPr>
              <w:t>US</w:t>
            </w:r>
          </w:p>
        </w:tc>
        <w:tc>
          <w:tcPr>
            <w:tcW w:w="2008" w:type="dxa"/>
          </w:tcPr>
          <w:p w14:paraId="2A201ABB" w14:textId="77777777" w:rsidR="00CD74B2" w:rsidRPr="00FD4EE9" w:rsidRDefault="00CD74B2" w:rsidP="002549D2">
            <w:pPr>
              <w:tabs>
                <w:tab w:val="left" w:pos="720"/>
                <w:tab w:val="left" w:pos="1080"/>
              </w:tabs>
              <w:spacing w:after="0"/>
              <w:rPr>
                <w:sz w:val="20"/>
              </w:rPr>
            </w:pPr>
            <w:r w:rsidRPr="00A53BCE">
              <w:rPr>
                <w:sz w:val="20"/>
              </w:rPr>
              <w:t>2025</w:t>
            </w:r>
          </w:p>
        </w:tc>
      </w:tr>
      <w:tr w:rsidR="00CD74B2" w:rsidRPr="00BF2B4F" w14:paraId="195F1150" w14:textId="77777777" w:rsidTr="002549D2">
        <w:tc>
          <w:tcPr>
            <w:tcW w:w="2155" w:type="dxa"/>
          </w:tcPr>
          <w:p w14:paraId="3683EA9A" w14:textId="77777777" w:rsidR="00CD74B2" w:rsidRPr="00BF2B4F" w:rsidRDefault="00CD74B2" w:rsidP="002549D2">
            <w:pPr>
              <w:tabs>
                <w:tab w:val="left" w:pos="720"/>
                <w:tab w:val="left" w:pos="1080"/>
              </w:tabs>
              <w:spacing w:after="0"/>
              <w:rPr>
                <w:sz w:val="20"/>
              </w:rPr>
            </w:pPr>
            <w:r w:rsidRPr="00A53BCE">
              <w:rPr>
                <w:sz w:val="20"/>
              </w:rPr>
              <w:t>Rick Duncan</w:t>
            </w:r>
          </w:p>
        </w:tc>
        <w:tc>
          <w:tcPr>
            <w:tcW w:w="2880" w:type="dxa"/>
          </w:tcPr>
          <w:p w14:paraId="7DCBEF55" w14:textId="77777777" w:rsidR="00CD74B2" w:rsidRPr="00BF2B4F" w:rsidRDefault="00CD74B2" w:rsidP="002549D2">
            <w:pPr>
              <w:tabs>
                <w:tab w:val="left" w:pos="720"/>
                <w:tab w:val="left" w:pos="1080"/>
              </w:tabs>
              <w:spacing w:after="0"/>
              <w:rPr>
                <w:sz w:val="20"/>
              </w:rPr>
            </w:pPr>
            <w:r w:rsidRPr="00A53BCE">
              <w:rPr>
                <w:sz w:val="20"/>
              </w:rPr>
              <w:t>Spray Polyurethane Association</w:t>
            </w:r>
          </w:p>
        </w:tc>
        <w:tc>
          <w:tcPr>
            <w:tcW w:w="2250" w:type="dxa"/>
          </w:tcPr>
          <w:p w14:paraId="13A98478" w14:textId="77777777" w:rsidR="00CD74B2" w:rsidRPr="00BF2B4F" w:rsidRDefault="00CD74B2" w:rsidP="002549D2">
            <w:pPr>
              <w:tabs>
                <w:tab w:val="left" w:pos="720"/>
                <w:tab w:val="left" w:pos="1080"/>
              </w:tabs>
              <w:spacing w:after="0"/>
              <w:rPr>
                <w:sz w:val="20"/>
              </w:rPr>
            </w:pPr>
            <w:r w:rsidRPr="00A53BCE">
              <w:rPr>
                <w:sz w:val="20"/>
              </w:rPr>
              <w:t>US</w:t>
            </w:r>
          </w:p>
        </w:tc>
        <w:tc>
          <w:tcPr>
            <w:tcW w:w="2008" w:type="dxa"/>
          </w:tcPr>
          <w:p w14:paraId="694BBB58" w14:textId="77777777" w:rsidR="00CD74B2" w:rsidRPr="00BF2B4F" w:rsidRDefault="00CD74B2" w:rsidP="002549D2">
            <w:pPr>
              <w:tabs>
                <w:tab w:val="left" w:pos="720"/>
                <w:tab w:val="left" w:pos="1080"/>
              </w:tabs>
              <w:spacing w:after="0"/>
              <w:rPr>
                <w:sz w:val="20"/>
              </w:rPr>
            </w:pPr>
            <w:r w:rsidRPr="00A53BCE">
              <w:rPr>
                <w:sz w:val="20"/>
              </w:rPr>
              <w:t>2023</w:t>
            </w:r>
          </w:p>
        </w:tc>
      </w:tr>
      <w:tr w:rsidR="00CD74B2" w:rsidRPr="00BF2B4F" w14:paraId="3F51C70C" w14:textId="77777777" w:rsidTr="002549D2">
        <w:tc>
          <w:tcPr>
            <w:tcW w:w="2155" w:type="dxa"/>
          </w:tcPr>
          <w:p w14:paraId="6F27E494" w14:textId="77777777" w:rsidR="00CD74B2" w:rsidRPr="00BF2B4F" w:rsidRDefault="00CD74B2" w:rsidP="002549D2">
            <w:pPr>
              <w:tabs>
                <w:tab w:val="left" w:pos="720"/>
                <w:tab w:val="left" w:pos="1080"/>
              </w:tabs>
              <w:spacing w:after="0"/>
              <w:rPr>
                <w:sz w:val="20"/>
              </w:rPr>
            </w:pPr>
            <w:r w:rsidRPr="00A53BCE">
              <w:rPr>
                <w:sz w:val="20"/>
              </w:rPr>
              <w:t>Ilhan Karaağaç</w:t>
            </w:r>
          </w:p>
        </w:tc>
        <w:tc>
          <w:tcPr>
            <w:tcW w:w="2880" w:type="dxa"/>
          </w:tcPr>
          <w:p w14:paraId="6878FCA5" w14:textId="77777777" w:rsidR="00CD74B2" w:rsidRPr="00BF2B4F" w:rsidRDefault="00CD74B2" w:rsidP="002549D2">
            <w:pPr>
              <w:tabs>
                <w:tab w:val="left" w:pos="720"/>
                <w:tab w:val="left" w:pos="1080"/>
              </w:tabs>
              <w:spacing w:after="0"/>
              <w:rPr>
                <w:sz w:val="20"/>
              </w:rPr>
            </w:pPr>
            <w:r w:rsidRPr="00A53BCE">
              <w:rPr>
                <w:sz w:val="20"/>
              </w:rPr>
              <w:t>Kingspan</w:t>
            </w:r>
          </w:p>
        </w:tc>
        <w:tc>
          <w:tcPr>
            <w:tcW w:w="2250" w:type="dxa"/>
          </w:tcPr>
          <w:p w14:paraId="048141F4" w14:textId="77777777" w:rsidR="00CD74B2" w:rsidRPr="00BF2B4F" w:rsidRDefault="00CD74B2" w:rsidP="002549D2">
            <w:pPr>
              <w:tabs>
                <w:tab w:val="left" w:pos="720"/>
                <w:tab w:val="left" w:pos="1080"/>
              </w:tabs>
              <w:spacing w:after="0"/>
              <w:rPr>
                <w:sz w:val="20"/>
              </w:rPr>
            </w:pPr>
            <w:r w:rsidRPr="00A53BCE">
              <w:rPr>
                <w:sz w:val="20"/>
              </w:rPr>
              <w:t>Turkey</w:t>
            </w:r>
          </w:p>
        </w:tc>
        <w:tc>
          <w:tcPr>
            <w:tcW w:w="2008" w:type="dxa"/>
          </w:tcPr>
          <w:p w14:paraId="6DCBD25A" w14:textId="77777777" w:rsidR="00CD74B2" w:rsidRPr="00BF2B4F" w:rsidRDefault="00CD74B2" w:rsidP="002549D2">
            <w:pPr>
              <w:tabs>
                <w:tab w:val="left" w:pos="720"/>
                <w:tab w:val="left" w:pos="1080"/>
              </w:tabs>
              <w:spacing w:after="0"/>
              <w:rPr>
                <w:sz w:val="20"/>
              </w:rPr>
            </w:pPr>
            <w:r w:rsidRPr="00A53BCE">
              <w:rPr>
                <w:sz w:val="20"/>
              </w:rPr>
              <w:t>2024</w:t>
            </w:r>
          </w:p>
        </w:tc>
      </w:tr>
      <w:tr w:rsidR="00CD74B2" w:rsidRPr="00BF2B4F" w14:paraId="37E35D1E" w14:textId="77777777" w:rsidTr="002549D2">
        <w:tc>
          <w:tcPr>
            <w:tcW w:w="2155" w:type="dxa"/>
          </w:tcPr>
          <w:p w14:paraId="3F4DF70B" w14:textId="77777777" w:rsidR="00CD74B2" w:rsidRPr="00BF2B4F" w:rsidRDefault="00CD74B2" w:rsidP="002549D2">
            <w:pPr>
              <w:tabs>
                <w:tab w:val="left" w:pos="720"/>
                <w:tab w:val="left" w:pos="1080"/>
              </w:tabs>
              <w:spacing w:after="0"/>
              <w:rPr>
                <w:sz w:val="20"/>
              </w:rPr>
            </w:pPr>
            <w:r w:rsidRPr="00A53BCE">
              <w:rPr>
                <w:sz w:val="20"/>
              </w:rPr>
              <w:t>Shpresa Kotaji</w:t>
            </w:r>
          </w:p>
        </w:tc>
        <w:tc>
          <w:tcPr>
            <w:tcW w:w="2880" w:type="dxa"/>
          </w:tcPr>
          <w:p w14:paraId="2D0B391D" w14:textId="77777777" w:rsidR="00CD74B2" w:rsidRPr="00BF2B4F" w:rsidRDefault="00CD74B2" w:rsidP="002549D2">
            <w:pPr>
              <w:tabs>
                <w:tab w:val="left" w:pos="720"/>
                <w:tab w:val="left" w:pos="1080"/>
              </w:tabs>
              <w:spacing w:after="0"/>
              <w:rPr>
                <w:sz w:val="20"/>
              </w:rPr>
            </w:pPr>
            <w:r w:rsidRPr="00A53BCE">
              <w:rPr>
                <w:sz w:val="20"/>
              </w:rPr>
              <w:t>Huntsman</w:t>
            </w:r>
          </w:p>
        </w:tc>
        <w:tc>
          <w:tcPr>
            <w:tcW w:w="2250" w:type="dxa"/>
          </w:tcPr>
          <w:p w14:paraId="229AD864" w14:textId="77777777" w:rsidR="00CD74B2" w:rsidRPr="00BF2B4F" w:rsidRDefault="00CD74B2" w:rsidP="002549D2">
            <w:pPr>
              <w:tabs>
                <w:tab w:val="left" w:pos="720"/>
                <w:tab w:val="left" w:pos="1080"/>
              </w:tabs>
              <w:spacing w:after="0"/>
              <w:rPr>
                <w:sz w:val="20"/>
              </w:rPr>
            </w:pPr>
            <w:r w:rsidRPr="00A53BCE">
              <w:rPr>
                <w:sz w:val="20"/>
              </w:rPr>
              <w:t>Belgium</w:t>
            </w:r>
          </w:p>
        </w:tc>
        <w:tc>
          <w:tcPr>
            <w:tcW w:w="2008" w:type="dxa"/>
          </w:tcPr>
          <w:p w14:paraId="296C396A" w14:textId="77777777" w:rsidR="00CD74B2" w:rsidRPr="00BF2B4F" w:rsidRDefault="00CD74B2" w:rsidP="002549D2">
            <w:pPr>
              <w:tabs>
                <w:tab w:val="left" w:pos="720"/>
                <w:tab w:val="left" w:pos="1080"/>
              </w:tabs>
              <w:spacing w:after="0"/>
              <w:rPr>
                <w:sz w:val="20"/>
              </w:rPr>
            </w:pPr>
            <w:r w:rsidRPr="00A53BCE">
              <w:rPr>
                <w:sz w:val="20"/>
              </w:rPr>
              <w:t>2023</w:t>
            </w:r>
          </w:p>
        </w:tc>
      </w:tr>
      <w:tr w:rsidR="00CD74B2" w:rsidRPr="00BF2B4F" w14:paraId="69CCAFA8" w14:textId="77777777" w:rsidTr="002549D2">
        <w:tc>
          <w:tcPr>
            <w:tcW w:w="2155" w:type="dxa"/>
          </w:tcPr>
          <w:p w14:paraId="287817EC" w14:textId="77777777" w:rsidR="00CD74B2" w:rsidRPr="00BF2B4F" w:rsidRDefault="00CD74B2" w:rsidP="002549D2">
            <w:pPr>
              <w:tabs>
                <w:tab w:val="left" w:pos="720"/>
                <w:tab w:val="left" w:pos="1080"/>
              </w:tabs>
              <w:spacing w:after="0"/>
              <w:rPr>
                <w:sz w:val="20"/>
              </w:rPr>
            </w:pPr>
            <w:r w:rsidRPr="00A53BCE">
              <w:rPr>
                <w:sz w:val="20"/>
              </w:rPr>
              <w:t>Simon Lee</w:t>
            </w:r>
          </w:p>
        </w:tc>
        <w:tc>
          <w:tcPr>
            <w:tcW w:w="2880" w:type="dxa"/>
          </w:tcPr>
          <w:p w14:paraId="223A9247" w14:textId="77777777" w:rsidR="00CD74B2" w:rsidRPr="00BF2B4F" w:rsidRDefault="00CD74B2" w:rsidP="002549D2">
            <w:pPr>
              <w:tabs>
                <w:tab w:val="left" w:pos="720"/>
                <w:tab w:val="left" w:pos="1080"/>
              </w:tabs>
              <w:spacing w:after="0"/>
              <w:rPr>
                <w:sz w:val="20"/>
              </w:rPr>
            </w:pPr>
            <w:r w:rsidRPr="00A53BCE">
              <w:rPr>
                <w:sz w:val="20"/>
              </w:rPr>
              <w:t>Independent Expert</w:t>
            </w:r>
          </w:p>
        </w:tc>
        <w:tc>
          <w:tcPr>
            <w:tcW w:w="2250" w:type="dxa"/>
          </w:tcPr>
          <w:p w14:paraId="3C0A6398" w14:textId="77777777" w:rsidR="00CD74B2" w:rsidRPr="00BF2B4F" w:rsidRDefault="00CD74B2" w:rsidP="002549D2">
            <w:pPr>
              <w:tabs>
                <w:tab w:val="left" w:pos="720"/>
                <w:tab w:val="left" w:pos="1080"/>
              </w:tabs>
              <w:spacing w:after="0"/>
              <w:rPr>
                <w:sz w:val="20"/>
              </w:rPr>
            </w:pPr>
            <w:r w:rsidRPr="00A53BCE">
              <w:rPr>
                <w:sz w:val="20"/>
              </w:rPr>
              <w:t>US</w:t>
            </w:r>
          </w:p>
        </w:tc>
        <w:tc>
          <w:tcPr>
            <w:tcW w:w="2008" w:type="dxa"/>
          </w:tcPr>
          <w:p w14:paraId="759B81BA" w14:textId="77777777" w:rsidR="00CD74B2" w:rsidRPr="00BF2B4F" w:rsidRDefault="00CD74B2" w:rsidP="002549D2">
            <w:pPr>
              <w:tabs>
                <w:tab w:val="left" w:pos="720"/>
                <w:tab w:val="left" w:pos="1080"/>
              </w:tabs>
              <w:spacing w:after="0"/>
              <w:rPr>
                <w:sz w:val="20"/>
              </w:rPr>
            </w:pPr>
            <w:r w:rsidRPr="00A53BCE">
              <w:rPr>
                <w:sz w:val="20"/>
              </w:rPr>
              <w:t>2023</w:t>
            </w:r>
          </w:p>
        </w:tc>
      </w:tr>
      <w:tr w:rsidR="00CD74B2" w:rsidRPr="00BF2B4F" w14:paraId="1DC1379E" w14:textId="77777777" w:rsidTr="002549D2">
        <w:tc>
          <w:tcPr>
            <w:tcW w:w="2155" w:type="dxa"/>
          </w:tcPr>
          <w:p w14:paraId="6C7BC03B" w14:textId="77777777" w:rsidR="00CD74B2" w:rsidRPr="00BF2B4F" w:rsidRDefault="00CD74B2" w:rsidP="002549D2">
            <w:pPr>
              <w:tabs>
                <w:tab w:val="left" w:pos="720"/>
                <w:tab w:val="left" w:pos="1080"/>
              </w:tabs>
              <w:spacing w:after="0"/>
              <w:rPr>
                <w:sz w:val="20"/>
              </w:rPr>
            </w:pPr>
            <w:r w:rsidRPr="00A53BCE">
              <w:rPr>
                <w:sz w:val="20"/>
              </w:rPr>
              <w:t>Yehia Lotfi</w:t>
            </w:r>
          </w:p>
        </w:tc>
        <w:tc>
          <w:tcPr>
            <w:tcW w:w="2880" w:type="dxa"/>
          </w:tcPr>
          <w:p w14:paraId="628A8F78" w14:textId="77777777" w:rsidR="00CD74B2" w:rsidRPr="00BF2B4F" w:rsidRDefault="00CD74B2" w:rsidP="002549D2">
            <w:pPr>
              <w:tabs>
                <w:tab w:val="left" w:pos="720"/>
                <w:tab w:val="left" w:pos="1080"/>
              </w:tabs>
              <w:spacing w:after="0"/>
              <w:rPr>
                <w:sz w:val="20"/>
              </w:rPr>
            </w:pPr>
            <w:r w:rsidRPr="00A53BCE">
              <w:rPr>
                <w:sz w:val="20"/>
              </w:rPr>
              <w:t>Technocom</w:t>
            </w:r>
          </w:p>
        </w:tc>
        <w:tc>
          <w:tcPr>
            <w:tcW w:w="2250" w:type="dxa"/>
          </w:tcPr>
          <w:p w14:paraId="78AEC821" w14:textId="77777777" w:rsidR="00CD74B2" w:rsidRPr="00BF2B4F" w:rsidRDefault="00CD74B2" w:rsidP="002549D2">
            <w:pPr>
              <w:tabs>
                <w:tab w:val="left" w:pos="720"/>
                <w:tab w:val="left" w:pos="1080"/>
              </w:tabs>
              <w:spacing w:after="0"/>
              <w:rPr>
                <w:sz w:val="20"/>
              </w:rPr>
            </w:pPr>
            <w:r w:rsidRPr="00A53BCE">
              <w:rPr>
                <w:sz w:val="20"/>
              </w:rPr>
              <w:t>Egypt</w:t>
            </w:r>
          </w:p>
        </w:tc>
        <w:tc>
          <w:tcPr>
            <w:tcW w:w="2008" w:type="dxa"/>
          </w:tcPr>
          <w:p w14:paraId="64409C83" w14:textId="77777777" w:rsidR="00CD74B2" w:rsidRPr="00BF2B4F" w:rsidRDefault="00CD74B2" w:rsidP="002549D2">
            <w:pPr>
              <w:tabs>
                <w:tab w:val="left" w:pos="720"/>
                <w:tab w:val="left" w:pos="1080"/>
              </w:tabs>
              <w:spacing w:after="0"/>
              <w:rPr>
                <w:sz w:val="20"/>
              </w:rPr>
            </w:pPr>
            <w:r w:rsidRPr="00A53BCE">
              <w:rPr>
                <w:sz w:val="20"/>
              </w:rPr>
              <w:t>2024</w:t>
            </w:r>
          </w:p>
        </w:tc>
      </w:tr>
      <w:tr w:rsidR="00CD74B2" w:rsidRPr="00BF2B4F" w14:paraId="132EB1A3" w14:textId="77777777" w:rsidTr="002549D2">
        <w:tc>
          <w:tcPr>
            <w:tcW w:w="2155" w:type="dxa"/>
          </w:tcPr>
          <w:p w14:paraId="187F5CB3" w14:textId="77777777" w:rsidR="00CD74B2" w:rsidRPr="00BF2B4F" w:rsidRDefault="00CD74B2" w:rsidP="002549D2">
            <w:pPr>
              <w:tabs>
                <w:tab w:val="left" w:pos="720"/>
                <w:tab w:val="left" w:pos="1080"/>
              </w:tabs>
              <w:spacing w:after="0"/>
              <w:rPr>
                <w:sz w:val="20"/>
              </w:rPr>
            </w:pPr>
            <w:r w:rsidRPr="00A53BCE">
              <w:rPr>
                <w:sz w:val="20"/>
              </w:rPr>
              <w:t>Smita Mohanty</w:t>
            </w:r>
          </w:p>
        </w:tc>
        <w:tc>
          <w:tcPr>
            <w:tcW w:w="2880" w:type="dxa"/>
          </w:tcPr>
          <w:p w14:paraId="6914109F" w14:textId="77777777" w:rsidR="00CD74B2" w:rsidRPr="00BF2B4F" w:rsidRDefault="00CD74B2" w:rsidP="002549D2">
            <w:pPr>
              <w:tabs>
                <w:tab w:val="left" w:pos="720"/>
                <w:tab w:val="left" w:pos="1080"/>
              </w:tabs>
              <w:spacing w:after="0"/>
              <w:rPr>
                <w:sz w:val="20"/>
              </w:rPr>
            </w:pPr>
            <w:proofErr w:type="gramStart"/>
            <w:r w:rsidRPr="00A53BCE">
              <w:rPr>
                <w:sz w:val="20"/>
              </w:rPr>
              <w:t>CIPET :</w:t>
            </w:r>
            <w:proofErr w:type="gramEnd"/>
            <w:r w:rsidRPr="00A53BCE">
              <w:rPr>
                <w:sz w:val="20"/>
              </w:rPr>
              <w:t xml:space="preserve"> School for Advanced Research in Polymers</w:t>
            </w:r>
          </w:p>
        </w:tc>
        <w:tc>
          <w:tcPr>
            <w:tcW w:w="2250" w:type="dxa"/>
          </w:tcPr>
          <w:p w14:paraId="41CE9C8C" w14:textId="77777777" w:rsidR="00CD74B2" w:rsidRPr="00BF2B4F" w:rsidRDefault="00CD74B2" w:rsidP="002549D2">
            <w:pPr>
              <w:tabs>
                <w:tab w:val="left" w:pos="720"/>
                <w:tab w:val="left" w:pos="1080"/>
              </w:tabs>
              <w:spacing w:after="0"/>
              <w:rPr>
                <w:sz w:val="20"/>
              </w:rPr>
            </w:pPr>
            <w:r w:rsidRPr="00A53BCE">
              <w:rPr>
                <w:sz w:val="20"/>
              </w:rPr>
              <w:t>India</w:t>
            </w:r>
          </w:p>
        </w:tc>
        <w:tc>
          <w:tcPr>
            <w:tcW w:w="2008" w:type="dxa"/>
          </w:tcPr>
          <w:p w14:paraId="2E587935" w14:textId="77777777" w:rsidR="00CD74B2" w:rsidRPr="00BF2B4F" w:rsidRDefault="00CD74B2" w:rsidP="002549D2">
            <w:pPr>
              <w:tabs>
                <w:tab w:val="left" w:pos="720"/>
                <w:tab w:val="left" w:pos="1080"/>
              </w:tabs>
              <w:spacing w:after="0"/>
              <w:rPr>
                <w:sz w:val="20"/>
              </w:rPr>
            </w:pPr>
            <w:r w:rsidRPr="00A53BCE">
              <w:rPr>
                <w:sz w:val="20"/>
              </w:rPr>
              <w:t>2024</w:t>
            </w:r>
          </w:p>
        </w:tc>
      </w:tr>
      <w:tr w:rsidR="00CD74B2" w:rsidRPr="00F24FF8" w14:paraId="09A6366F" w14:textId="77777777" w:rsidTr="002549D2">
        <w:tc>
          <w:tcPr>
            <w:tcW w:w="2155" w:type="dxa"/>
          </w:tcPr>
          <w:p w14:paraId="0161635B" w14:textId="77777777" w:rsidR="00CD74B2" w:rsidRPr="00F24FF8" w:rsidRDefault="00CD74B2" w:rsidP="002549D2">
            <w:pPr>
              <w:tabs>
                <w:tab w:val="left" w:pos="720"/>
                <w:tab w:val="left" w:pos="1080"/>
              </w:tabs>
              <w:spacing w:after="0"/>
              <w:rPr>
                <w:sz w:val="20"/>
              </w:rPr>
            </w:pPr>
            <w:r w:rsidRPr="00A53BCE">
              <w:rPr>
                <w:sz w:val="20"/>
              </w:rPr>
              <w:t>Miguel Quintero</w:t>
            </w:r>
          </w:p>
        </w:tc>
        <w:tc>
          <w:tcPr>
            <w:tcW w:w="2880" w:type="dxa"/>
          </w:tcPr>
          <w:p w14:paraId="102D42D3" w14:textId="77777777" w:rsidR="00CD74B2" w:rsidRPr="00F24FF8" w:rsidRDefault="00CD74B2" w:rsidP="002549D2">
            <w:pPr>
              <w:tabs>
                <w:tab w:val="left" w:pos="720"/>
                <w:tab w:val="left" w:pos="1080"/>
              </w:tabs>
              <w:spacing w:after="0"/>
              <w:rPr>
                <w:sz w:val="20"/>
              </w:rPr>
            </w:pPr>
            <w:r w:rsidRPr="00A53BCE">
              <w:rPr>
                <w:sz w:val="20"/>
              </w:rPr>
              <w:t>Independent Expert</w:t>
            </w:r>
          </w:p>
        </w:tc>
        <w:tc>
          <w:tcPr>
            <w:tcW w:w="2250" w:type="dxa"/>
          </w:tcPr>
          <w:p w14:paraId="336944F0" w14:textId="77777777" w:rsidR="00CD74B2" w:rsidRPr="00F24FF8" w:rsidRDefault="00CD74B2" w:rsidP="002549D2">
            <w:pPr>
              <w:tabs>
                <w:tab w:val="left" w:pos="720"/>
                <w:tab w:val="left" w:pos="1080"/>
              </w:tabs>
              <w:spacing w:after="0"/>
              <w:rPr>
                <w:sz w:val="20"/>
              </w:rPr>
            </w:pPr>
            <w:r w:rsidRPr="00A53BCE">
              <w:rPr>
                <w:sz w:val="20"/>
              </w:rPr>
              <w:t>Colombia</w:t>
            </w:r>
          </w:p>
        </w:tc>
        <w:tc>
          <w:tcPr>
            <w:tcW w:w="2008" w:type="dxa"/>
          </w:tcPr>
          <w:p w14:paraId="68867793" w14:textId="77777777" w:rsidR="00CD74B2" w:rsidRPr="00F24FF8" w:rsidRDefault="00CD74B2" w:rsidP="002549D2">
            <w:pPr>
              <w:tabs>
                <w:tab w:val="left" w:pos="720"/>
                <w:tab w:val="left" w:pos="1080"/>
              </w:tabs>
              <w:spacing w:after="0"/>
              <w:rPr>
                <w:sz w:val="20"/>
              </w:rPr>
            </w:pPr>
            <w:r w:rsidRPr="00A53BCE">
              <w:rPr>
                <w:sz w:val="20"/>
              </w:rPr>
              <w:t>2025</w:t>
            </w:r>
          </w:p>
        </w:tc>
      </w:tr>
      <w:tr w:rsidR="00CD74B2" w:rsidRPr="00F24FF8" w14:paraId="13F265F7" w14:textId="77777777" w:rsidTr="002549D2">
        <w:tc>
          <w:tcPr>
            <w:tcW w:w="2155" w:type="dxa"/>
          </w:tcPr>
          <w:p w14:paraId="4882EB08" w14:textId="77777777" w:rsidR="00CD74B2" w:rsidRPr="00F24FF8" w:rsidRDefault="00CD74B2" w:rsidP="002549D2">
            <w:pPr>
              <w:tabs>
                <w:tab w:val="left" w:pos="720"/>
                <w:tab w:val="left" w:pos="1080"/>
              </w:tabs>
              <w:spacing w:after="0"/>
              <w:rPr>
                <w:sz w:val="20"/>
              </w:rPr>
            </w:pPr>
            <w:r w:rsidRPr="00A53BCE">
              <w:rPr>
                <w:sz w:val="20"/>
              </w:rPr>
              <w:t>Sascha Rulhoff</w:t>
            </w:r>
          </w:p>
        </w:tc>
        <w:tc>
          <w:tcPr>
            <w:tcW w:w="2880" w:type="dxa"/>
          </w:tcPr>
          <w:p w14:paraId="617F8046" w14:textId="77777777" w:rsidR="00CD74B2" w:rsidRPr="00F24FF8" w:rsidRDefault="00CD74B2" w:rsidP="002549D2">
            <w:pPr>
              <w:tabs>
                <w:tab w:val="left" w:pos="720"/>
                <w:tab w:val="left" w:pos="1080"/>
              </w:tabs>
              <w:spacing w:after="0"/>
              <w:rPr>
                <w:sz w:val="20"/>
              </w:rPr>
            </w:pPr>
            <w:r w:rsidRPr="00A53BCE">
              <w:rPr>
                <w:sz w:val="20"/>
              </w:rPr>
              <w:t>Haltermann</w:t>
            </w:r>
          </w:p>
        </w:tc>
        <w:tc>
          <w:tcPr>
            <w:tcW w:w="2250" w:type="dxa"/>
          </w:tcPr>
          <w:p w14:paraId="7368EC9F" w14:textId="77777777" w:rsidR="00CD74B2" w:rsidRPr="00F24FF8" w:rsidRDefault="00CD74B2" w:rsidP="002549D2">
            <w:pPr>
              <w:tabs>
                <w:tab w:val="left" w:pos="720"/>
                <w:tab w:val="left" w:pos="1080"/>
              </w:tabs>
              <w:spacing w:after="0"/>
              <w:rPr>
                <w:sz w:val="20"/>
              </w:rPr>
            </w:pPr>
            <w:r w:rsidRPr="00A53BCE">
              <w:rPr>
                <w:sz w:val="20"/>
              </w:rPr>
              <w:t>Germany</w:t>
            </w:r>
          </w:p>
        </w:tc>
        <w:tc>
          <w:tcPr>
            <w:tcW w:w="2008" w:type="dxa"/>
          </w:tcPr>
          <w:p w14:paraId="1B4A7EE2" w14:textId="77777777" w:rsidR="00CD74B2" w:rsidRPr="00F24FF8" w:rsidRDefault="00CD74B2" w:rsidP="002549D2">
            <w:pPr>
              <w:tabs>
                <w:tab w:val="left" w:pos="720"/>
                <w:tab w:val="left" w:pos="1080"/>
              </w:tabs>
              <w:spacing w:after="0"/>
              <w:rPr>
                <w:sz w:val="20"/>
              </w:rPr>
            </w:pPr>
            <w:r w:rsidRPr="00A53BCE">
              <w:rPr>
                <w:sz w:val="20"/>
              </w:rPr>
              <w:t>2026</w:t>
            </w:r>
          </w:p>
        </w:tc>
      </w:tr>
      <w:tr w:rsidR="00CD74B2" w:rsidRPr="00F24FF8" w14:paraId="3451E70F" w14:textId="77777777" w:rsidTr="002549D2">
        <w:tc>
          <w:tcPr>
            <w:tcW w:w="2155" w:type="dxa"/>
          </w:tcPr>
          <w:p w14:paraId="553E819B" w14:textId="77777777" w:rsidR="00CD74B2" w:rsidRPr="00F24FF8" w:rsidRDefault="00CD74B2" w:rsidP="002549D2">
            <w:pPr>
              <w:tabs>
                <w:tab w:val="left" w:pos="720"/>
                <w:tab w:val="left" w:pos="1080"/>
              </w:tabs>
              <w:spacing w:after="0"/>
              <w:rPr>
                <w:sz w:val="20"/>
              </w:rPr>
            </w:pPr>
            <w:r w:rsidRPr="00A53BCE">
              <w:rPr>
                <w:sz w:val="20"/>
              </w:rPr>
              <w:t>Enshan Sheng</w:t>
            </w:r>
          </w:p>
        </w:tc>
        <w:tc>
          <w:tcPr>
            <w:tcW w:w="2880" w:type="dxa"/>
          </w:tcPr>
          <w:p w14:paraId="59FEFF15" w14:textId="77777777" w:rsidR="00CD74B2" w:rsidRPr="00F24FF8" w:rsidRDefault="00CD74B2" w:rsidP="002549D2">
            <w:pPr>
              <w:tabs>
                <w:tab w:val="left" w:pos="720"/>
                <w:tab w:val="left" w:pos="1080"/>
              </w:tabs>
              <w:spacing w:after="0"/>
              <w:rPr>
                <w:sz w:val="20"/>
              </w:rPr>
            </w:pPr>
            <w:r w:rsidRPr="00A53BCE">
              <w:rPr>
                <w:sz w:val="20"/>
              </w:rPr>
              <w:t>Huntsman</w:t>
            </w:r>
          </w:p>
        </w:tc>
        <w:tc>
          <w:tcPr>
            <w:tcW w:w="2250" w:type="dxa"/>
          </w:tcPr>
          <w:p w14:paraId="268CB86C" w14:textId="77777777" w:rsidR="00CD74B2" w:rsidRPr="00F24FF8" w:rsidRDefault="00CD74B2" w:rsidP="002549D2">
            <w:pPr>
              <w:tabs>
                <w:tab w:val="left" w:pos="720"/>
                <w:tab w:val="left" w:pos="1080"/>
              </w:tabs>
              <w:spacing w:after="0"/>
              <w:rPr>
                <w:sz w:val="20"/>
              </w:rPr>
            </w:pPr>
            <w:r w:rsidRPr="00A53BCE">
              <w:rPr>
                <w:sz w:val="20"/>
              </w:rPr>
              <w:t>China</w:t>
            </w:r>
          </w:p>
        </w:tc>
        <w:tc>
          <w:tcPr>
            <w:tcW w:w="2008" w:type="dxa"/>
          </w:tcPr>
          <w:p w14:paraId="7F8BE15F" w14:textId="77777777" w:rsidR="00CD74B2" w:rsidRPr="00F24FF8" w:rsidRDefault="00CD74B2" w:rsidP="002549D2">
            <w:pPr>
              <w:tabs>
                <w:tab w:val="left" w:pos="720"/>
                <w:tab w:val="left" w:pos="1080"/>
              </w:tabs>
              <w:spacing w:after="0"/>
              <w:rPr>
                <w:sz w:val="20"/>
              </w:rPr>
            </w:pPr>
            <w:r w:rsidRPr="00A53BCE">
              <w:rPr>
                <w:sz w:val="20"/>
              </w:rPr>
              <w:t>2026</w:t>
            </w:r>
          </w:p>
        </w:tc>
      </w:tr>
      <w:tr w:rsidR="00CD74B2" w:rsidRPr="00F24FF8" w14:paraId="53CF2275" w14:textId="77777777" w:rsidTr="002549D2">
        <w:tc>
          <w:tcPr>
            <w:tcW w:w="2155" w:type="dxa"/>
          </w:tcPr>
          <w:p w14:paraId="4519F381" w14:textId="77777777" w:rsidR="00CD74B2" w:rsidRPr="00F24FF8" w:rsidRDefault="00CD74B2" w:rsidP="002549D2">
            <w:pPr>
              <w:tabs>
                <w:tab w:val="left" w:pos="720"/>
                <w:tab w:val="left" w:pos="1080"/>
              </w:tabs>
              <w:spacing w:after="0"/>
              <w:rPr>
                <w:sz w:val="20"/>
              </w:rPr>
            </w:pPr>
            <w:r w:rsidRPr="00A53BCE">
              <w:rPr>
                <w:sz w:val="20"/>
              </w:rPr>
              <w:t>Koichi Wada</w:t>
            </w:r>
          </w:p>
        </w:tc>
        <w:tc>
          <w:tcPr>
            <w:tcW w:w="2880" w:type="dxa"/>
          </w:tcPr>
          <w:p w14:paraId="0F9F7987" w14:textId="77777777" w:rsidR="00CD74B2" w:rsidRPr="00F24FF8" w:rsidRDefault="00CD74B2" w:rsidP="002549D2">
            <w:pPr>
              <w:tabs>
                <w:tab w:val="left" w:pos="720"/>
                <w:tab w:val="left" w:pos="1080"/>
              </w:tabs>
              <w:spacing w:after="0"/>
              <w:rPr>
                <w:sz w:val="20"/>
              </w:rPr>
            </w:pPr>
            <w:r w:rsidRPr="00A53BCE">
              <w:rPr>
                <w:sz w:val="20"/>
              </w:rPr>
              <w:t>Japan Urethane Industry Institute</w:t>
            </w:r>
          </w:p>
        </w:tc>
        <w:tc>
          <w:tcPr>
            <w:tcW w:w="2250" w:type="dxa"/>
          </w:tcPr>
          <w:p w14:paraId="7405E577" w14:textId="77777777" w:rsidR="00CD74B2" w:rsidRPr="00F24FF8" w:rsidRDefault="00CD74B2" w:rsidP="002549D2">
            <w:pPr>
              <w:tabs>
                <w:tab w:val="left" w:pos="720"/>
                <w:tab w:val="left" w:pos="1080"/>
              </w:tabs>
              <w:spacing w:after="0"/>
              <w:rPr>
                <w:sz w:val="20"/>
              </w:rPr>
            </w:pPr>
            <w:r w:rsidRPr="00A53BCE">
              <w:rPr>
                <w:sz w:val="20"/>
              </w:rPr>
              <w:t>Japan</w:t>
            </w:r>
          </w:p>
        </w:tc>
        <w:tc>
          <w:tcPr>
            <w:tcW w:w="2008" w:type="dxa"/>
          </w:tcPr>
          <w:p w14:paraId="2140F3A1" w14:textId="77777777" w:rsidR="00CD74B2" w:rsidRPr="00F24FF8" w:rsidRDefault="00CD74B2" w:rsidP="002549D2">
            <w:pPr>
              <w:tabs>
                <w:tab w:val="left" w:pos="720"/>
                <w:tab w:val="left" w:pos="1080"/>
              </w:tabs>
              <w:spacing w:after="0"/>
              <w:rPr>
                <w:sz w:val="20"/>
              </w:rPr>
            </w:pPr>
            <w:r w:rsidRPr="00A53BCE">
              <w:rPr>
                <w:sz w:val="20"/>
              </w:rPr>
              <w:t>2024</w:t>
            </w:r>
          </w:p>
        </w:tc>
      </w:tr>
      <w:tr w:rsidR="00CD74B2" w:rsidRPr="00F24FF8" w14:paraId="5EB97251" w14:textId="77777777" w:rsidTr="002549D2">
        <w:tc>
          <w:tcPr>
            <w:tcW w:w="2155" w:type="dxa"/>
          </w:tcPr>
          <w:p w14:paraId="4C69BA78" w14:textId="77777777" w:rsidR="00CD74B2" w:rsidRPr="00FD4EE9" w:rsidRDefault="00CD74B2" w:rsidP="002549D2">
            <w:pPr>
              <w:tabs>
                <w:tab w:val="left" w:pos="720"/>
                <w:tab w:val="left" w:pos="1080"/>
              </w:tabs>
              <w:spacing w:after="0"/>
              <w:rPr>
                <w:sz w:val="20"/>
              </w:rPr>
            </w:pPr>
            <w:r w:rsidRPr="00A53BCE">
              <w:rPr>
                <w:sz w:val="20"/>
              </w:rPr>
              <w:t>Dave Williams</w:t>
            </w:r>
          </w:p>
        </w:tc>
        <w:tc>
          <w:tcPr>
            <w:tcW w:w="2880" w:type="dxa"/>
          </w:tcPr>
          <w:p w14:paraId="0F2370E1" w14:textId="77777777" w:rsidR="00CD74B2" w:rsidRPr="00FD4EE9" w:rsidRDefault="00CD74B2" w:rsidP="002549D2">
            <w:pPr>
              <w:tabs>
                <w:tab w:val="left" w:pos="720"/>
                <w:tab w:val="left" w:pos="1080"/>
              </w:tabs>
              <w:spacing w:after="0"/>
              <w:rPr>
                <w:sz w:val="20"/>
              </w:rPr>
            </w:pPr>
            <w:r w:rsidRPr="00A53BCE">
              <w:rPr>
                <w:sz w:val="20"/>
              </w:rPr>
              <w:t>Honeywell</w:t>
            </w:r>
          </w:p>
        </w:tc>
        <w:tc>
          <w:tcPr>
            <w:tcW w:w="2250" w:type="dxa"/>
          </w:tcPr>
          <w:p w14:paraId="5DAE0EB3" w14:textId="77777777" w:rsidR="00CD74B2" w:rsidRDefault="00CD74B2" w:rsidP="002549D2">
            <w:pPr>
              <w:tabs>
                <w:tab w:val="left" w:pos="720"/>
                <w:tab w:val="left" w:pos="1080"/>
              </w:tabs>
              <w:spacing w:after="0"/>
              <w:rPr>
                <w:sz w:val="20"/>
              </w:rPr>
            </w:pPr>
            <w:r w:rsidRPr="00A53BCE">
              <w:rPr>
                <w:sz w:val="20"/>
              </w:rPr>
              <w:t>US</w:t>
            </w:r>
          </w:p>
        </w:tc>
        <w:tc>
          <w:tcPr>
            <w:tcW w:w="2008" w:type="dxa"/>
          </w:tcPr>
          <w:p w14:paraId="7976D43F" w14:textId="77777777" w:rsidR="00CD74B2" w:rsidRPr="00FD4EE9" w:rsidRDefault="00CD74B2" w:rsidP="002549D2">
            <w:pPr>
              <w:tabs>
                <w:tab w:val="left" w:pos="720"/>
                <w:tab w:val="left" w:pos="1080"/>
              </w:tabs>
              <w:spacing w:after="0"/>
              <w:rPr>
                <w:sz w:val="20"/>
              </w:rPr>
            </w:pPr>
            <w:r w:rsidRPr="00A53BCE">
              <w:rPr>
                <w:sz w:val="20"/>
              </w:rPr>
              <w:t>2023</w:t>
            </w:r>
          </w:p>
        </w:tc>
      </w:tr>
      <w:tr w:rsidR="00CD74B2" w:rsidRPr="00F24FF8" w14:paraId="4429225E" w14:textId="77777777" w:rsidTr="002549D2">
        <w:tc>
          <w:tcPr>
            <w:tcW w:w="2155" w:type="dxa"/>
          </w:tcPr>
          <w:p w14:paraId="0B6369F7" w14:textId="77777777" w:rsidR="00CD74B2" w:rsidRDefault="00CD74B2" w:rsidP="002549D2">
            <w:pPr>
              <w:tabs>
                <w:tab w:val="left" w:pos="720"/>
                <w:tab w:val="left" w:pos="1080"/>
              </w:tabs>
              <w:spacing w:after="0"/>
              <w:rPr>
                <w:sz w:val="20"/>
              </w:rPr>
            </w:pPr>
            <w:r w:rsidRPr="00A53BCE">
              <w:rPr>
                <w:sz w:val="20"/>
              </w:rPr>
              <w:t>Ernest Wysong</w:t>
            </w:r>
          </w:p>
        </w:tc>
        <w:tc>
          <w:tcPr>
            <w:tcW w:w="2880" w:type="dxa"/>
          </w:tcPr>
          <w:p w14:paraId="7FE4E8B7" w14:textId="77777777" w:rsidR="00CD74B2" w:rsidRDefault="00CD74B2" w:rsidP="002549D2">
            <w:pPr>
              <w:tabs>
                <w:tab w:val="left" w:pos="720"/>
                <w:tab w:val="left" w:pos="1080"/>
              </w:tabs>
              <w:spacing w:after="0"/>
              <w:rPr>
                <w:sz w:val="20"/>
              </w:rPr>
            </w:pPr>
            <w:r w:rsidRPr="00A53BCE">
              <w:rPr>
                <w:sz w:val="20"/>
              </w:rPr>
              <w:t>Natural Polymers</w:t>
            </w:r>
          </w:p>
        </w:tc>
        <w:tc>
          <w:tcPr>
            <w:tcW w:w="2250" w:type="dxa"/>
          </w:tcPr>
          <w:p w14:paraId="0BC0B955" w14:textId="77777777" w:rsidR="00CD74B2" w:rsidRDefault="00CD74B2" w:rsidP="002549D2">
            <w:pPr>
              <w:tabs>
                <w:tab w:val="left" w:pos="720"/>
                <w:tab w:val="left" w:pos="1080"/>
              </w:tabs>
              <w:spacing w:after="0"/>
              <w:rPr>
                <w:sz w:val="20"/>
              </w:rPr>
            </w:pPr>
            <w:r w:rsidRPr="00A53BCE">
              <w:rPr>
                <w:sz w:val="20"/>
              </w:rPr>
              <w:t>US</w:t>
            </w:r>
          </w:p>
        </w:tc>
        <w:tc>
          <w:tcPr>
            <w:tcW w:w="2008" w:type="dxa"/>
          </w:tcPr>
          <w:p w14:paraId="7B92A74D" w14:textId="77777777" w:rsidR="00CD74B2" w:rsidRDefault="00CD74B2" w:rsidP="002549D2">
            <w:pPr>
              <w:tabs>
                <w:tab w:val="left" w:pos="720"/>
                <w:tab w:val="left" w:pos="1080"/>
              </w:tabs>
              <w:spacing w:after="0"/>
              <w:rPr>
                <w:sz w:val="20"/>
              </w:rPr>
            </w:pPr>
            <w:r w:rsidRPr="00A53BCE">
              <w:rPr>
                <w:sz w:val="20"/>
              </w:rPr>
              <w:t>2024</w:t>
            </w:r>
          </w:p>
        </w:tc>
      </w:tr>
    </w:tbl>
    <w:p w14:paraId="7918517A" w14:textId="77777777" w:rsidR="00CD74B2" w:rsidRPr="00A53BCE" w:rsidRDefault="00CD74B2" w:rsidP="00CD74B2">
      <w:pPr>
        <w:tabs>
          <w:tab w:val="left" w:pos="720"/>
          <w:tab w:val="left" w:pos="1080"/>
        </w:tabs>
        <w:spacing w:after="0"/>
        <w:rPr>
          <w:sz w:val="20"/>
        </w:rPr>
      </w:pPr>
    </w:p>
    <w:p w14:paraId="2F569E55" w14:textId="483EC9F1" w:rsidR="00AF4B87" w:rsidRPr="00BE2C76" w:rsidRDefault="00BE2C76" w:rsidP="00EA7839">
      <w:pPr>
        <w:rPr>
          <w:rStyle w:val="Heading2Char"/>
        </w:rPr>
      </w:pPr>
      <w:r>
        <w:rPr>
          <w:rStyle w:val="Heading2Char"/>
        </w:rPr>
        <w:br/>
      </w:r>
      <w:r w:rsidR="001B3AC0" w:rsidRPr="00BE2C76">
        <w:rPr>
          <w:rStyle w:val="Heading2Char"/>
        </w:rPr>
        <w:t>3.</w:t>
      </w:r>
      <w:r w:rsidR="001B3AC0" w:rsidRPr="00BE2C76">
        <w:rPr>
          <w:rStyle w:val="Heading2Char"/>
        </w:rPr>
        <w:tab/>
      </w:r>
      <w:r w:rsidR="00AF4B87" w:rsidRPr="00BE2C76">
        <w:rPr>
          <w:rStyle w:val="Heading2Char"/>
        </w:rPr>
        <w:t>TEAP Halons Technical Options Committee (HTOC)</w:t>
      </w:r>
      <w:bookmarkEnd w:id="698"/>
      <w:bookmarkEnd w:id="699"/>
      <w:bookmarkEnd w:id="700"/>
    </w:p>
    <w:p w14:paraId="1BB7EB5F" w14:textId="0A44AF4B" w:rsidR="00F4325C" w:rsidRPr="00C964F3" w:rsidRDefault="00F4325C" w:rsidP="005C3D92">
      <w:pPr>
        <w:rPr>
          <w:szCs w:val="22"/>
        </w:rPr>
      </w:pPr>
      <w:r w:rsidRPr="00C964F3">
        <w:t>Following the Kigali Amendment to the Montreal Protocol, the role of the Halons Technical Options Committee (HTOC) has broadened to cover low</w:t>
      </w:r>
      <w:r>
        <w:t>/no</w:t>
      </w:r>
      <w:r w:rsidRPr="00C964F3">
        <w:t xml:space="preserve">-GWP alternatives to halons, HCFCs, and high-GWP HFCs. However, </w:t>
      </w:r>
      <w:r w:rsidRPr="00C964F3">
        <w:rPr>
          <w:szCs w:val="22"/>
        </w:rPr>
        <w:t xml:space="preserve">the Kigali </w:t>
      </w:r>
      <w:r w:rsidR="002C0D7B" w:rsidRPr="002C0D7B">
        <w:rPr>
          <w:szCs w:val="22"/>
        </w:rPr>
        <w:t>A</w:t>
      </w:r>
      <w:r w:rsidRPr="00C964F3">
        <w:rPr>
          <w:szCs w:val="22"/>
        </w:rPr>
        <w:t xml:space="preserve">mendment does not </w:t>
      </w:r>
      <w:r>
        <w:rPr>
          <w:szCs w:val="22"/>
        </w:rPr>
        <w:t xml:space="preserve">necessarily </w:t>
      </w:r>
      <w:r w:rsidRPr="00C964F3">
        <w:rPr>
          <w:szCs w:val="22"/>
        </w:rPr>
        <w:t>bring the need for any additional areas of expertise in</w:t>
      </w:r>
      <w:r>
        <w:rPr>
          <w:szCs w:val="22"/>
        </w:rPr>
        <w:t xml:space="preserve"> </w:t>
      </w:r>
      <w:r w:rsidRPr="00C964F3">
        <w:rPr>
          <w:szCs w:val="22"/>
        </w:rPr>
        <w:t>fire protection because the use</w:t>
      </w:r>
      <w:r>
        <w:rPr>
          <w:szCs w:val="22"/>
        </w:rPr>
        <w:t>s</w:t>
      </w:r>
      <w:r w:rsidRPr="00C964F3">
        <w:rPr>
          <w:szCs w:val="22"/>
        </w:rPr>
        <w:t xml:space="preserve"> remain unchanged</w:t>
      </w:r>
      <w:r>
        <w:rPr>
          <w:szCs w:val="22"/>
        </w:rPr>
        <w:t>, although additional expertise for regional or sub-regional considerations will be needed</w:t>
      </w:r>
      <w:r w:rsidRPr="00C964F3">
        <w:rPr>
          <w:szCs w:val="22"/>
        </w:rPr>
        <w:t>.</w:t>
      </w:r>
      <w:r w:rsidR="005617DE">
        <w:rPr>
          <w:szCs w:val="22"/>
        </w:rPr>
        <w:t xml:space="preserve"> </w:t>
      </w:r>
      <w:r w:rsidRPr="00C964F3">
        <w:rPr>
          <w:szCs w:val="22"/>
        </w:rPr>
        <w:t xml:space="preserve">From a </w:t>
      </w:r>
      <w:r>
        <w:rPr>
          <w:szCs w:val="22"/>
        </w:rPr>
        <w:t xml:space="preserve">fire </w:t>
      </w:r>
      <w:r w:rsidRPr="00C964F3">
        <w:rPr>
          <w:szCs w:val="22"/>
        </w:rPr>
        <w:t>safety standpoint, the HTOC remains concerned that the flammability of refrigerants, foam blowing agents and solvents requires fire protection expertise which almost exclusively resides in the HTOC</w:t>
      </w:r>
      <w:r>
        <w:rPr>
          <w:szCs w:val="22"/>
        </w:rPr>
        <w:t xml:space="preserve"> within the TEAP</w:t>
      </w:r>
      <w:r w:rsidRPr="00C964F3">
        <w:rPr>
          <w:szCs w:val="22"/>
        </w:rPr>
        <w:t>.</w:t>
      </w:r>
      <w:r w:rsidR="005617DE">
        <w:rPr>
          <w:szCs w:val="22"/>
        </w:rPr>
        <w:t xml:space="preserve"> </w:t>
      </w:r>
      <w:r>
        <w:rPr>
          <w:szCs w:val="22"/>
        </w:rPr>
        <w:t>The HTOC remains available to assist in this area.</w:t>
      </w:r>
    </w:p>
    <w:p w14:paraId="79CD6038" w14:textId="77777777" w:rsidR="00F4325C" w:rsidRDefault="00F4325C" w:rsidP="004F0D60">
      <w:pPr>
        <w:rPr>
          <w:szCs w:val="22"/>
        </w:rPr>
      </w:pPr>
      <w:r w:rsidRPr="00C964F3">
        <w:rPr>
          <w:szCs w:val="22"/>
        </w:rPr>
        <w:t xml:space="preserve">Generally speaking, the HTOC maintains expertise in </w:t>
      </w:r>
      <w:r>
        <w:rPr>
          <w:szCs w:val="22"/>
        </w:rPr>
        <w:t xml:space="preserve">the following </w:t>
      </w:r>
      <w:r w:rsidRPr="00C964F3">
        <w:rPr>
          <w:szCs w:val="22"/>
        </w:rPr>
        <w:t xml:space="preserve">five main areas: </w:t>
      </w:r>
    </w:p>
    <w:p w14:paraId="56F133D6" w14:textId="5FAF43CF" w:rsidR="00F4325C" w:rsidRDefault="00F4325C" w:rsidP="004F0D60">
      <w:pPr>
        <w:rPr>
          <w:szCs w:val="22"/>
        </w:rPr>
      </w:pPr>
      <w:r w:rsidRPr="00C964F3">
        <w:rPr>
          <w:szCs w:val="22"/>
        </w:rPr>
        <w:t>1) a fundamental scientific understanding of fire chemistry and the process of combustion and fire extinguishment</w:t>
      </w:r>
      <w:r>
        <w:rPr>
          <w:szCs w:val="22"/>
        </w:rPr>
        <w:t>, and technical and economic expertise in fire protection needs, active and passive methods, system maintenance and personnel training.</w:t>
      </w:r>
      <w:r w:rsidR="005617DE">
        <w:rPr>
          <w:szCs w:val="22"/>
        </w:rPr>
        <w:t xml:space="preserve"> </w:t>
      </w:r>
    </w:p>
    <w:p w14:paraId="7E5E7D5E" w14:textId="77777777" w:rsidR="00F4325C" w:rsidRDefault="00F4325C" w:rsidP="004F0D60">
      <w:pPr>
        <w:rPr>
          <w:szCs w:val="22"/>
        </w:rPr>
      </w:pPr>
      <w:r>
        <w:rPr>
          <w:szCs w:val="22"/>
        </w:rPr>
        <w:lastRenderedPageBreak/>
        <w:t>2</w:t>
      </w:r>
      <w:r w:rsidRPr="00254F80">
        <w:rPr>
          <w:szCs w:val="22"/>
        </w:rPr>
        <w:t>) the use of halons, HCFCs, high</w:t>
      </w:r>
      <w:r>
        <w:rPr>
          <w:szCs w:val="22"/>
        </w:rPr>
        <w:t>-</w:t>
      </w:r>
      <w:r w:rsidRPr="00254F80">
        <w:rPr>
          <w:szCs w:val="22"/>
        </w:rPr>
        <w:t xml:space="preserve">GWP HFCs and their alternatives in fire protection, including emissions and </w:t>
      </w:r>
      <w:r>
        <w:rPr>
          <w:szCs w:val="22"/>
        </w:rPr>
        <w:t>installed amounts (</w:t>
      </w:r>
      <w:r w:rsidRPr="00254F80">
        <w:rPr>
          <w:szCs w:val="22"/>
        </w:rPr>
        <w:t>bank estimates</w:t>
      </w:r>
      <w:r>
        <w:rPr>
          <w:szCs w:val="22"/>
        </w:rPr>
        <w:t>)</w:t>
      </w:r>
      <w:r w:rsidRPr="00254F80">
        <w:rPr>
          <w:szCs w:val="22"/>
        </w:rPr>
        <w:t xml:space="preserve">, </w:t>
      </w:r>
    </w:p>
    <w:p w14:paraId="09FC7D2E" w14:textId="77777777" w:rsidR="00F4325C" w:rsidRDefault="00F4325C" w:rsidP="004F0D60">
      <w:pPr>
        <w:rPr>
          <w:szCs w:val="22"/>
        </w:rPr>
      </w:pPr>
      <w:r>
        <w:rPr>
          <w:szCs w:val="22"/>
        </w:rPr>
        <w:t>3</w:t>
      </w:r>
      <w:r w:rsidRPr="00254F80">
        <w:rPr>
          <w:szCs w:val="22"/>
        </w:rPr>
        <w:t xml:space="preserve">) “banking” i.e., collection, recycling/reclamation, and re-deployment of fire extinguishants including their application standards, purity requirements, and destruction issues, </w:t>
      </w:r>
    </w:p>
    <w:p w14:paraId="365B1545" w14:textId="044F7414" w:rsidR="00F4325C" w:rsidRPr="00C964F3" w:rsidRDefault="00F4325C" w:rsidP="004F0D60">
      <w:pPr>
        <w:rPr>
          <w:szCs w:val="22"/>
        </w:rPr>
      </w:pPr>
      <w:r>
        <w:rPr>
          <w:szCs w:val="22"/>
        </w:rPr>
        <w:t>4</w:t>
      </w:r>
      <w:r w:rsidRPr="00254F80">
        <w:rPr>
          <w:szCs w:val="22"/>
        </w:rPr>
        <w:t xml:space="preserve">) issues impacting current and future use, e.g., continued reliance on halons for existing uses in military, oil and gas, merchant shipping, etc., and for existing/new installations in civil aviation, and phase-down requirements of fire protections uses of high GWP HFCs. </w:t>
      </w:r>
      <w:r>
        <w:rPr>
          <w:szCs w:val="22"/>
        </w:rPr>
        <w:t xml:space="preserve">This includes modelling of remaining quantities </w:t>
      </w:r>
      <w:r w:rsidRPr="00C964F3">
        <w:rPr>
          <w:szCs w:val="22"/>
        </w:rPr>
        <w:t xml:space="preserve">and emissions of halons, </w:t>
      </w:r>
      <w:r>
        <w:rPr>
          <w:szCs w:val="22"/>
        </w:rPr>
        <w:t xml:space="preserve">and growth of </w:t>
      </w:r>
      <w:r w:rsidRPr="00C964F3">
        <w:rPr>
          <w:szCs w:val="22"/>
        </w:rPr>
        <w:t>HCFCs and high-GWP HFCs.</w:t>
      </w:r>
      <w:r w:rsidR="005617DE">
        <w:rPr>
          <w:szCs w:val="22"/>
        </w:rPr>
        <w:t xml:space="preserve"> </w:t>
      </w:r>
    </w:p>
    <w:p w14:paraId="5F4BBD73" w14:textId="77777777" w:rsidR="00F4325C" w:rsidRPr="00C964F3" w:rsidRDefault="00F4325C" w:rsidP="005C3D92">
      <w:pPr>
        <w:pStyle w:val="Style15"/>
        <w:rPr>
          <w:b w:val="0"/>
          <w:sz w:val="22"/>
          <w:szCs w:val="22"/>
        </w:rPr>
      </w:pPr>
      <w:r w:rsidRPr="00C964F3">
        <w:rPr>
          <w:b w:val="0"/>
          <w:sz w:val="22"/>
          <w:szCs w:val="22"/>
        </w:rPr>
        <w:t>5) In addition</w:t>
      </w:r>
      <w:r>
        <w:rPr>
          <w:b w:val="0"/>
          <w:sz w:val="22"/>
          <w:szCs w:val="22"/>
        </w:rPr>
        <w:t>,</w:t>
      </w:r>
      <w:r w:rsidRPr="00C964F3">
        <w:rPr>
          <w:b w:val="0"/>
          <w:sz w:val="22"/>
          <w:szCs w:val="22"/>
        </w:rPr>
        <w:t xml:space="preserve"> the HTOC maintains an understanding of the workings of the Montreal Protocol and how lessons learned in </w:t>
      </w:r>
      <w:r>
        <w:rPr>
          <w:b w:val="0"/>
          <w:sz w:val="22"/>
          <w:szCs w:val="22"/>
        </w:rPr>
        <w:t xml:space="preserve">phasing out production and consumption of </w:t>
      </w:r>
      <w:r w:rsidRPr="00C964F3">
        <w:rPr>
          <w:b w:val="0"/>
          <w:sz w:val="22"/>
          <w:szCs w:val="22"/>
        </w:rPr>
        <w:t>halons</w:t>
      </w:r>
      <w:r>
        <w:rPr>
          <w:b w:val="0"/>
          <w:sz w:val="22"/>
          <w:szCs w:val="22"/>
        </w:rPr>
        <w:t>, for example,</w:t>
      </w:r>
      <w:r w:rsidRPr="00C964F3">
        <w:rPr>
          <w:b w:val="0"/>
          <w:sz w:val="22"/>
          <w:szCs w:val="22"/>
        </w:rPr>
        <w:t xml:space="preserve"> on some applications</w:t>
      </w:r>
      <w:r>
        <w:rPr>
          <w:b w:val="0"/>
          <w:sz w:val="22"/>
          <w:szCs w:val="22"/>
        </w:rPr>
        <w:t xml:space="preserve"> </w:t>
      </w:r>
      <w:r w:rsidRPr="00C964F3">
        <w:rPr>
          <w:b w:val="0"/>
          <w:sz w:val="22"/>
          <w:szCs w:val="22"/>
        </w:rPr>
        <w:t xml:space="preserve">could be reapplied </w:t>
      </w:r>
      <w:r>
        <w:rPr>
          <w:b w:val="0"/>
          <w:sz w:val="22"/>
          <w:szCs w:val="22"/>
        </w:rPr>
        <w:t>in phasing out the production and consumption</w:t>
      </w:r>
      <w:r w:rsidRPr="00C964F3">
        <w:rPr>
          <w:b w:val="0"/>
          <w:sz w:val="22"/>
          <w:szCs w:val="22"/>
        </w:rPr>
        <w:t xml:space="preserve"> </w:t>
      </w:r>
      <w:r>
        <w:rPr>
          <w:b w:val="0"/>
          <w:sz w:val="22"/>
          <w:szCs w:val="22"/>
        </w:rPr>
        <w:t xml:space="preserve">of </w:t>
      </w:r>
      <w:r w:rsidRPr="00C964F3">
        <w:rPr>
          <w:b w:val="0"/>
          <w:sz w:val="22"/>
          <w:szCs w:val="22"/>
        </w:rPr>
        <w:t xml:space="preserve">HCFCs and </w:t>
      </w:r>
      <w:r>
        <w:rPr>
          <w:b w:val="0"/>
          <w:sz w:val="22"/>
          <w:szCs w:val="22"/>
        </w:rPr>
        <w:t>phasing down the high-GWP</w:t>
      </w:r>
      <w:r w:rsidRPr="00C964F3">
        <w:rPr>
          <w:b w:val="0"/>
          <w:sz w:val="22"/>
          <w:szCs w:val="22"/>
        </w:rPr>
        <w:t xml:space="preserve"> HFCs under the Kigali Amendment.</w:t>
      </w:r>
    </w:p>
    <w:p w14:paraId="77AFC642" w14:textId="77777777" w:rsidR="00F4325C" w:rsidRPr="00C964F3" w:rsidRDefault="00F4325C">
      <w:pPr>
        <w:pStyle w:val="Style15"/>
        <w:rPr>
          <w:sz w:val="24"/>
          <w:szCs w:val="24"/>
        </w:rPr>
      </w:pPr>
    </w:p>
    <w:p w14:paraId="2D55B7E1" w14:textId="5A1896A9" w:rsidR="00F4325C" w:rsidRDefault="00F4325C" w:rsidP="004F0D60">
      <w:pPr>
        <w:pStyle w:val="Style15"/>
        <w:rPr>
          <w:b w:val="0"/>
          <w:sz w:val="22"/>
          <w:szCs w:val="22"/>
        </w:rPr>
      </w:pPr>
      <w:r w:rsidRPr="00254F80">
        <w:rPr>
          <w:b w:val="0"/>
          <w:sz w:val="22"/>
          <w:szCs w:val="22"/>
        </w:rPr>
        <w:t xml:space="preserve">Within the </w:t>
      </w:r>
      <w:r>
        <w:rPr>
          <w:b w:val="0"/>
          <w:sz w:val="22"/>
          <w:szCs w:val="22"/>
        </w:rPr>
        <w:t>five</w:t>
      </w:r>
      <w:r w:rsidRPr="00254F80">
        <w:rPr>
          <w:b w:val="0"/>
          <w:sz w:val="22"/>
          <w:szCs w:val="22"/>
        </w:rPr>
        <w:t xml:space="preserve"> main areas, the expertise is further divided into sectoral expertise and regional expertise.</w:t>
      </w:r>
      <w:r w:rsidR="005617DE">
        <w:rPr>
          <w:b w:val="0"/>
          <w:sz w:val="22"/>
          <w:szCs w:val="22"/>
        </w:rPr>
        <w:t xml:space="preserve"> </w:t>
      </w:r>
      <w:r w:rsidRPr="00254F80">
        <w:rPr>
          <w:b w:val="0"/>
          <w:sz w:val="22"/>
          <w:szCs w:val="22"/>
        </w:rPr>
        <w:t xml:space="preserve">From a sectoral perspective, the HTOC has experts on fire protection requirements for </w:t>
      </w:r>
      <w:r>
        <w:rPr>
          <w:b w:val="0"/>
          <w:sz w:val="22"/>
          <w:szCs w:val="22"/>
        </w:rPr>
        <w:t xml:space="preserve">on-going </w:t>
      </w:r>
      <w:r w:rsidRPr="00254F80">
        <w:rPr>
          <w:b w:val="0"/>
          <w:sz w:val="22"/>
          <w:szCs w:val="22"/>
        </w:rPr>
        <w:t>uses of halons</w:t>
      </w:r>
      <w:r>
        <w:rPr>
          <w:b w:val="0"/>
          <w:sz w:val="22"/>
          <w:szCs w:val="22"/>
        </w:rPr>
        <w:t xml:space="preserve">, </w:t>
      </w:r>
      <w:r w:rsidRPr="00254F80">
        <w:rPr>
          <w:b w:val="0"/>
          <w:sz w:val="22"/>
          <w:szCs w:val="22"/>
        </w:rPr>
        <w:t>HCFCs, high</w:t>
      </w:r>
      <w:r>
        <w:rPr>
          <w:b w:val="0"/>
          <w:sz w:val="22"/>
          <w:szCs w:val="22"/>
        </w:rPr>
        <w:t>-</w:t>
      </w:r>
      <w:r w:rsidRPr="00254F80">
        <w:rPr>
          <w:b w:val="0"/>
          <w:sz w:val="22"/>
          <w:szCs w:val="22"/>
        </w:rPr>
        <w:t xml:space="preserve">GWP HFCs and their alternatives within civil aviation, military, telecommunications, oil and gas, power generation, merchant shipping, explosion protection, etc. </w:t>
      </w:r>
      <w:r>
        <w:rPr>
          <w:b w:val="0"/>
          <w:sz w:val="22"/>
          <w:szCs w:val="22"/>
        </w:rPr>
        <w:t xml:space="preserve">The HTOC also maintains expertise in banking and recycling of </w:t>
      </w:r>
      <w:r w:rsidRPr="00254F80">
        <w:rPr>
          <w:b w:val="0"/>
          <w:sz w:val="22"/>
          <w:szCs w:val="22"/>
        </w:rPr>
        <w:t>halons, HCFCs, high GWP HFCs and their alternatives</w:t>
      </w:r>
      <w:r>
        <w:rPr>
          <w:b w:val="0"/>
          <w:sz w:val="22"/>
          <w:szCs w:val="22"/>
        </w:rPr>
        <w:t>.</w:t>
      </w:r>
    </w:p>
    <w:p w14:paraId="4C7C0DC7" w14:textId="77777777" w:rsidR="00F4325C" w:rsidRDefault="00F4325C" w:rsidP="004F0D60">
      <w:pPr>
        <w:pStyle w:val="Style15"/>
        <w:rPr>
          <w:b w:val="0"/>
          <w:sz w:val="22"/>
          <w:szCs w:val="22"/>
        </w:rPr>
      </w:pPr>
    </w:p>
    <w:p w14:paraId="12FCC367" w14:textId="15317EBC" w:rsidR="00646834" w:rsidRPr="00254F80" w:rsidRDefault="00F4325C" w:rsidP="004F0D60">
      <w:pPr>
        <w:pStyle w:val="Style15"/>
        <w:rPr>
          <w:b w:val="0"/>
          <w:sz w:val="22"/>
          <w:szCs w:val="22"/>
        </w:rPr>
      </w:pPr>
      <w:r w:rsidRPr="00254F80">
        <w:rPr>
          <w:b w:val="0"/>
          <w:sz w:val="22"/>
          <w:szCs w:val="22"/>
        </w:rPr>
        <w:t>From a regional standpoint, the HTOC has expertise covering North America, Eastern and Western Europe, Australia</w:t>
      </w:r>
      <w:r w:rsidR="002C0D7B" w:rsidRPr="002C0D7B">
        <w:rPr>
          <w:b w:val="0"/>
          <w:sz w:val="22"/>
          <w:szCs w:val="22"/>
        </w:rPr>
        <w:t>,</w:t>
      </w:r>
      <w:r w:rsidRPr="00254F80">
        <w:rPr>
          <w:b w:val="0"/>
          <w:sz w:val="22"/>
          <w:szCs w:val="22"/>
        </w:rPr>
        <w:t xml:space="preserve"> and Japan, with some limited expertise in Anglophone North Africa (Egypt), the Middle East (</w:t>
      </w:r>
      <w:r w:rsidRPr="008C7598">
        <w:rPr>
          <w:b w:val="0"/>
          <w:sz w:val="22"/>
          <w:szCs w:val="22"/>
        </w:rPr>
        <w:t>Kuwait), South America (Brazil), Asia (India and World Bank expertise on halon production phase-out in China).</w:t>
      </w:r>
      <w:r w:rsidR="005617DE">
        <w:rPr>
          <w:b w:val="0"/>
          <w:sz w:val="22"/>
          <w:szCs w:val="22"/>
        </w:rPr>
        <w:t xml:space="preserve"> </w:t>
      </w:r>
      <w:r w:rsidRPr="008C7598">
        <w:rPr>
          <w:b w:val="0"/>
          <w:sz w:val="22"/>
          <w:szCs w:val="22"/>
        </w:rPr>
        <w:t>As noted in the matrix of expertise needed, the HTOC is continuing to look for additional experts to promote A5/non-A5 and regional balance while also being mindful of gender balance.</w:t>
      </w:r>
    </w:p>
    <w:p w14:paraId="092A39BA" w14:textId="77777777" w:rsidR="009E1AF4" w:rsidRDefault="009E1AF4" w:rsidP="005C3D92">
      <w:pPr>
        <w:pStyle w:val="Style15"/>
      </w:pPr>
    </w:p>
    <w:p w14:paraId="2C71B5D3" w14:textId="3C7DB61C" w:rsidR="008A212A" w:rsidRPr="003C63EA" w:rsidRDefault="008A212A" w:rsidP="003C63EA">
      <w:pPr>
        <w:pStyle w:val="Style15"/>
        <w:tabs>
          <w:tab w:val="clear" w:pos="720"/>
          <w:tab w:val="clear" w:pos="1080"/>
          <w:tab w:val="left" w:pos="900"/>
        </w:tabs>
        <w:rPr>
          <w:i/>
          <w:iCs/>
          <w:sz w:val="22"/>
          <w:szCs w:val="22"/>
          <w:lang w:val="en-US"/>
        </w:rPr>
      </w:pPr>
      <w:r w:rsidRPr="003C63EA">
        <w:rPr>
          <w:i/>
          <w:iCs/>
          <w:sz w:val="22"/>
          <w:szCs w:val="22"/>
          <w:lang w:val="en-US"/>
        </w:rPr>
        <w:t>Table 3</w:t>
      </w:r>
      <w:r w:rsidR="003C63EA">
        <w:rPr>
          <w:i/>
          <w:iCs/>
          <w:sz w:val="22"/>
          <w:szCs w:val="22"/>
          <w:lang w:val="en-US"/>
        </w:rPr>
        <w:t>:</w:t>
      </w:r>
      <w:r w:rsidR="003C63EA">
        <w:rPr>
          <w:i/>
          <w:iCs/>
          <w:sz w:val="22"/>
          <w:szCs w:val="22"/>
          <w:lang w:val="en-US"/>
        </w:rPr>
        <w:tab/>
      </w:r>
      <w:r w:rsidRPr="00794ABE">
        <w:rPr>
          <w:i/>
          <w:iCs/>
          <w:sz w:val="22"/>
          <w:szCs w:val="22"/>
          <w:lang w:val="en-US"/>
        </w:rPr>
        <w:t xml:space="preserve">HTOC Membership at </w:t>
      </w:r>
      <w:r w:rsidR="00794ABE" w:rsidRPr="00794ABE">
        <w:rPr>
          <w:i/>
          <w:iCs/>
          <w:sz w:val="22"/>
          <w:szCs w:val="22"/>
          <w:lang w:val="en-US"/>
        </w:rPr>
        <w:t>May 2022</w:t>
      </w:r>
    </w:p>
    <w:p w14:paraId="7025263A" w14:textId="77777777" w:rsidR="00794ABE" w:rsidRPr="008A212A" w:rsidRDefault="00794ABE" w:rsidP="00794ABE">
      <w:pPr>
        <w:pStyle w:val="Style15"/>
      </w:pPr>
      <w:bookmarkStart w:id="701" w:name="_Toc9109618"/>
      <w:bookmarkStart w:id="702" w:name="_Toc40696117"/>
      <w:bookmarkStart w:id="703" w:name="_Toc514151696"/>
    </w:p>
    <w:tbl>
      <w:tblPr>
        <w:tblStyle w:val="TableGrid"/>
        <w:tblW w:w="9293" w:type="dxa"/>
        <w:tblLayout w:type="fixed"/>
        <w:tblLook w:val="04A0" w:firstRow="1" w:lastRow="0" w:firstColumn="1" w:lastColumn="0" w:noHBand="0" w:noVBand="1"/>
      </w:tblPr>
      <w:tblGrid>
        <w:gridCol w:w="1922"/>
        <w:gridCol w:w="3685"/>
        <w:gridCol w:w="1985"/>
        <w:gridCol w:w="1701"/>
      </w:tblGrid>
      <w:tr w:rsidR="00794ABE" w:rsidRPr="00BF2B4F" w14:paraId="6B992675" w14:textId="77777777" w:rsidTr="00992301">
        <w:tc>
          <w:tcPr>
            <w:tcW w:w="1922" w:type="dxa"/>
            <w:shd w:val="clear" w:color="auto" w:fill="BDD6EE" w:themeFill="accent1" w:themeFillTint="66"/>
          </w:tcPr>
          <w:p w14:paraId="5C387707" w14:textId="77777777" w:rsidR="00794ABE" w:rsidRPr="00BF2B4F" w:rsidRDefault="00794ABE" w:rsidP="00992301">
            <w:pPr>
              <w:tabs>
                <w:tab w:val="left" w:pos="720"/>
                <w:tab w:val="left" w:pos="1080"/>
              </w:tabs>
              <w:spacing w:after="0"/>
              <w:rPr>
                <w:b/>
                <w:sz w:val="20"/>
              </w:rPr>
            </w:pPr>
            <w:r w:rsidRPr="00BF2B4F">
              <w:rPr>
                <w:b/>
                <w:sz w:val="20"/>
              </w:rPr>
              <w:t>Co-chairs</w:t>
            </w:r>
          </w:p>
        </w:tc>
        <w:tc>
          <w:tcPr>
            <w:tcW w:w="3685" w:type="dxa"/>
            <w:shd w:val="clear" w:color="auto" w:fill="BDD6EE" w:themeFill="accent1" w:themeFillTint="66"/>
          </w:tcPr>
          <w:p w14:paraId="7D3B4066" w14:textId="77777777" w:rsidR="00794ABE" w:rsidRPr="00BF2B4F" w:rsidRDefault="00794ABE" w:rsidP="00992301">
            <w:pPr>
              <w:tabs>
                <w:tab w:val="left" w:pos="720"/>
                <w:tab w:val="left" w:pos="1080"/>
              </w:tabs>
              <w:spacing w:after="0"/>
              <w:rPr>
                <w:b/>
                <w:sz w:val="20"/>
              </w:rPr>
            </w:pPr>
            <w:r w:rsidRPr="00BF2B4F">
              <w:rPr>
                <w:b/>
                <w:sz w:val="20"/>
              </w:rPr>
              <w:t>Affiliation</w:t>
            </w:r>
          </w:p>
        </w:tc>
        <w:tc>
          <w:tcPr>
            <w:tcW w:w="1985" w:type="dxa"/>
            <w:shd w:val="clear" w:color="auto" w:fill="BDD6EE" w:themeFill="accent1" w:themeFillTint="66"/>
          </w:tcPr>
          <w:p w14:paraId="652288BB" w14:textId="77777777" w:rsidR="00794ABE" w:rsidRPr="00BF2B4F" w:rsidRDefault="00794ABE" w:rsidP="00992301">
            <w:pPr>
              <w:tabs>
                <w:tab w:val="left" w:pos="720"/>
                <w:tab w:val="left" w:pos="1080"/>
              </w:tabs>
              <w:spacing w:after="0"/>
              <w:rPr>
                <w:b/>
                <w:sz w:val="20"/>
              </w:rPr>
            </w:pPr>
            <w:r w:rsidRPr="00BF2B4F">
              <w:rPr>
                <w:b/>
                <w:sz w:val="20"/>
              </w:rPr>
              <w:t>Country</w:t>
            </w:r>
          </w:p>
        </w:tc>
        <w:tc>
          <w:tcPr>
            <w:tcW w:w="1701" w:type="dxa"/>
            <w:shd w:val="clear" w:color="auto" w:fill="BDD6EE" w:themeFill="accent1" w:themeFillTint="66"/>
          </w:tcPr>
          <w:p w14:paraId="78E45B8D" w14:textId="77777777" w:rsidR="00794ABE" w:rsidRPr="00BF2B4F" w:rsidRDefault="00794ABE" w:rsidP="00992301">
            <w:pPr>
              <w:tabs>
                <w:tab w:val="left" w:pos="720"/>
                <w:tab w:val="left" w:pos="1080"/>
              </w:tabs>
              <w:spacing w:after="0"/>
              <w:rPr>
                <w:b/>
                <w:sz w:val="20"/>
              </w:rPr>
            </w:pPr>
            <w:r>
              <w:rPr>
                <w:b/>
                <w:sz w:val="20"/>
              </w:rPr>
              <w:t>Appointed through</w:t>
            </w:r>
          </w:p>
        </w:tc>
      </w:tr>
      <w:tr w:rsidR="00794ABE" w:rsidRPr="00BF2B4F" w14:paraId="72877C30" w14:textId="77777777" w:rsidTr="00992301">
        <w:tc>
          <w:tcPr>
            <w:tcW w:w="1922" w:type="dxa"/>
          </w:tcPr>
          <w:p w14:paraId="6D65489E" w14:textId="77777777" w:rsidR="00794ABE" w:rsidRPr="00BF2B4F" w:rsidRDefault="00794ABE" w:rsidP="00992301">
            <w:pPr>
              <w:tabs>
                <w:tab w:val="left" w:pos="720"/>
                <w:tab w:val="left" w:pos="1080"/>
              </w:tabs>
              <w:spacing w:after="0"/>
              <w:rPr>
                <w:sz w:val="20"/>
              </w:rPr>
            </w:pPr>
            <w:r w:rsidRPr="00F24FF8">
              <w:rPr>
                <w:sz w:val="20"/>
              </w:rPr>
              <w:t>Adam Chattaway</w:t>
            </w:r>
          </w:p>
        </w:tc>
        <w:tc>
          <w:tcPr>
            <w:tcW w:w="3685" w:type="dxa"/>
          </w:tcPr>
          <w:p w14:paraId="619FC7D0" w14:textId="77777777" w:rsidR="00794ABE" w:rsidRPr="00CE68E7" w:rsidRDefault="00794ABE" w:rsidP="00992301">
            <w:pPr>
              <w:tabs>
                <w:tab w:val="left" w:pos="720"/>
                <w:tab w:val="left" w:pos="1080"/>
              </w:tabs>
              <w:spacing w:after="0"/>
              <w:rPr>
                <w:sz w:val="20"/>
              </w:rPr>
            </w:pPr>
            <w:r>
              <w:rPr>
                <w:sz w:val="20"/>
              </w:rPr>
              <w:t>Collins</w:t>
            </w:r>
            <w:r w:rsidRPr="00F24FF8">
              <w:rPr>
                <w:sz w:val="20"/>
              </w:rPr>
              <w:t xml:space="preserve"> Aerospace </w:t>
            </w:r>
          </w:p>
        </w:tc>
        <w:tc>
          <w:tcPr>
            <w:tcW w:w="1985" w:type="dxa"/>
          </w:tcPr>
          <w:p w14:paraId="49C15E7D" w14:textId="77777777" w:rsidR="00794ABE" w:rsidRPr="00BF2B4F" w:rsidRDefault="00794ABE" w:rsidP="00992301">
            <w:pPr>
              <w:tabs>
                <w:tab w:val="left" w:pos="720"/>
                <w:tab w:val="left" w:pos="1080"/>
              </w:tabs>
              <w:spacing w:after="0"/>
              <w:rPr>
                <w:sz w:val="20"/>
              </w:rPr>
            </w:pPr>
            <w:r w:rsidRPr="00F24FF8">
              <w:rPr>
                <w:sz w:val="20"/>
              </w:rPr>
              <w:t>UK</w:t>
            </w:r>
          </w:p>
        </w:tc>
        <w:tc>
          <w:tcPr>
            <w:tcW w:w="1701" w:type="dxa"/>
          </w:tcPr>
          <w:p w14:paraId="1A52B8C7" w14:textId="77777777" w:rsidR="00794ABE" w:rsidRPr="00BF2B4F" w:rsidRDefault="00794ABE" w:rsidP="00992301">
            <w:pPr>
              <w:tabs>
                <w:tab w:val="left" w:pos="720"/>
                <w:tab w:val="left" w:pos="1080"/>
              </w:tabs>
              <w:spacing w:after="0"/>
              <w:rPr>
                <w:sz w:val="20"/>
              </w:rPr>
            </w:pPr>
            <w:r w:rsidRPr="00F24FF8">
              <w:rPr>
                <w:sz w:val="20"/>
              </w:rPr>
              <w:t>202</w:t>
            </w:r>
            <w:r>
              <w:rPr>
                <w:sz w:val="20"/>
              </w:rPr>
              <w:t>4</w:t>
            </w:r>
          </w:p>
        </w:tc>
      </w:tr>
      <w:tr w:rsidR="00794ABE" w:rsidRPr="00BF2B4F" w14:paraId="609E8C66" w14:textId="77777777" w:rsidTr="00992301">
        <w:tc>
          <w:tcPr>
            <w:tcW w:w="1922" w:type="dxa"/>
          </w:tcPr>
          <w:p w14:paraId="52B42BBB" w14:textId="77777777" w:rsidR="00794ABE" w:rsidRPr="00BF2B4F" w:rsidRDefault="00794ABE" w:rsidP="00992301">
            <w:pPr>
              <w:tabs>
                <w:tab w:val="left" w:pos="720"/>
                <w:tab w:val="left" w:pos="1080"/>
              </w:tabs>
              <w:spacing w:after="0"/>
              <w:rPr>
                <w:sz w:val="20"/>
              </w:rPr>
            </w:pPr>
            <w:r w:rsidRPr="00F24FF8">
              <w:rPr>
                <w:sz w:val="20"/>
              </w:rPr>
              <w:t>Sergey N. Kopylov</w:t>
            </w:r>
          </w:p>
        </w:tc>
        <w:tc>
          <w:tcPr>
            <w:tcW w:w="3685" w:type="dxa"/>
          </w:tcPr>
          <w:p w14:paraId="64FE8D28" w14:textId="77777777" w:rsidR="00794ABE" w:rsidRPr="00BF2B4F" w:rsidRDefault="00794ABE" w:rsidP="00992301">
            <w:pPr>
              <w:tabs>
                <w:tab w:val="left" w:pos="720"/>
                <w:tab w:val="left" w:pos="1080"/>
              </w:tabs>
              <w:spacing w:after="0"/>
              <w:rPr>
                <w:sz w:val="20"/>
              </w:rPr>
            </w:pPr>
            <w:r w:rsidRPr="00F24FF8">
              <w:rPr>
                <w:sz w:val="20"/>
              </w:rPr>
              <w:t>Russian Res. Institute for Fire Protection</w:t>
            </w:r>
          </w:p>
        </w:tc>
        <w:tc>
          <w:tcPr>
            <w:tcW w:w="1985" w:type="dxa"/>
          </w:tcPr>
          <w:p w14:paraId="147A2AC6" w14:textId="77777777" w:rsidR="00794ABE" w:rsidRPr="00BF2B4F" w:rsidRDefault="00794ABE" w:rsidP="00992301">
            <w:pPr>
              <w:tabs>
                <w:tab w:val="left" w:pos="720"/>
                <w:tab w:val="left" w:pos="1080"/>
              </w:tabs>
              <w:spacing w:after="0"/>
              <w:rPr>
                <w:sz w:val="20"/>
              </w:rPr>
            </w:pPr>
            <w:r w:rsidRPr="00F24FF8">
              <w:rPr>
                <w:sz w:val="20"/>
              </w:rPr>
              <w:t>Russian Fed.</w:t>
            </w:r>
          </w:p>
        </w:tc>
        <w:tc>
          <w:tcPr>
            <w:tcW w:w="1701" w:type="dxa"/>
          </w:tcPr>
          <w:p w14:paraId="2DC7AF58" w14:textId="77777777" w:rsidR="00794ABE" w:rsidRPr="00BF2B4F" w:rsidRDefault="00794ABE" w:rsidP="00992301">
            <w:pPr>
              <w:tabs>
                <w:tab w:val="left" w:pos="720"/>
                <w:tab w:val="left" w:pos="1080"/>
              </w:tabs>
              <w:spacing w:after="0"/>
              <w:rPr>
                <w:sz w:val="20"/>
              </w:rPr>
            </w:pPr>
            <w:r w:rsidRPr="00F24FF8">
              <w:rPr>
                <w:sz w:val="20"/>
              </w:rPr>
              <w:t>202</w:t>
            </w:r>
            <w:r>
              <w:rPr>
                <w:sz w:val="20"/>
              </w:rPr>
              <w:t>5</w:t>
            </w:r>
          </w:p>
        </w:tc>
      </w:tr>
      <w:tr w:rsidR="00794ABE" w:rsidRPr="00BF2B4F" w14:paraId="7F94C7FF" w14:textId="77777777" w:rsidTr="00992301">
        <w:tc>
          <w:tcPr>
            <w:tcW w:w="1922" w:type="dxa"/>
          </w:tcPr>
          <w:p w14:paraId="3D7CFF32" w14:textId="77777777" w:rsidR="00794ABE" w:rsidRPr="00BF2B4F" w:rsidRDefault="00794ABE" w:rsidP="00992301">
            <w:pPr>
              <w:tabs>
                <w:tab w:val="left" w:pos="720"/>
                <w:tab w:val="left" w:pos="1080"/>
              </w:tabs>
              <w:spacing w:after="0"/>
              <w:rPr>
                <w:sz w:val="20"/>
              </w:rPr>
            </w:pPr>
            <w:r w:rsidRPr="00F24FF8">
              <w:rPr>
                <w:sz w:val="20"/>
              </w:rPr>
              <w:t>Daniel P. Verdonik</w:t>
            </w:r>
          </w:p>
        </w:tc>
        <w:tc>
          <w:tcPr>
            <w:tcW w:w="3685" w:type="dxa"/>
          </w:tcPr>
          <w:p w14:paraId="7F56E858" w14:textId="77777777" w:rsidR="00794ABE" w:rsidRPr="00BF2B4F" w:rsidRDefault="00794ABE" w:rsidP="00992301">
            <w:pPr>
              <w:tabs>
                <w:tab w:val="left" w:pos="720"/>
                <w:tab w:val="left" w:pos="1080"/>
              </w:tabs>
              <w:spacing w:after="0"/>
              <w:rPr>
                <w:sz w:val="20"/>
              </w:rPr>
            </w:pPr>
            <w:r w:rsidRPr="00F24FF8">
              <w:rPr>
                <w:sz w:val="20"/>
              </w:rPr>
              <w:t>J</w:t>
            </w:r>
            <w:r>
              <w:rPr>
                <w:sz w:val="20"/>
              </w:rPr>
              <w:t>ensen Hughes</w:t>
            </w:r>
            <w:r w:rsidRPr="00F24FF8">
              <w:rPr>
                <w:sz w:val="20"/>
              </w:rPr>
              <w:t>, Inc.</w:t>
            </w:r>
          </w:p>
        </w:tc>
        <w:tc>
          <w:tcPr>
            <w:tcW w:w="1985" w:type="dxa"/>
          </w:tcPr>
          <w:p w14:paraId="441C673D" w14:textId="77777777" w:rsidR="00794ABE" w:rsidRPr="00BF2B4F" w:rsidRDefault="00794ABE" w:rsidP="00992301">
            <w:pPr>
              <w:tabs>
                <w:tab w:val="left" w:pos="720"/>
                <w:tab w:val="left" w:pos="1080"/>
              </w:tabs>
              <w:spacing w:after="0"/>
              <w:rPr>
                <w:sz w:val="20"/>
              </w:rPr>
            </w:pPr>
            <w:r w:rsidRPr="00F24FF8">
              <w:rPr>
                <w:sz w:val="20"/>
              </w:rPr>
              <w:t>USA</w:t>
            </w:r>
          </w:p>
        </w:tc>
        <w:tc>
          <w:tcPr>
            <w:tcW w:w="1701" w:type="dxa"/>
          </w:tcPr>
          <w:p w14:paraId="10B15EF6" w14:textId="77777777" w:rsidR="00794ABE" w:rsidRDefault="00794ABE" w:rsidP="00992301">
            <w:pPr>
              <w:tabs>
                <w:tab w:val="left" w:pos="720"/>
                <w:tab w:val="left" w:pos="1080"/>
              </w:tabs>
              <w:spacing w:after="0"/>
              <w:rPr>
                <w:sz w:val="20"/>
              </w:rPr>
            </w:pPr>
            <w:r w:rsidRPr="00F24FF8">
              <w:rPr>
                <w:sz w:val="20"/>
              </w:rPr>
              <w:t>202</w:t>
            </w:r>
            <w:r>
              <w:rPr>
                <w:sz w:val="20"/>
              </w:rPr>
              <w:t>4</w:t>
            </w:r>
          </w:p>
        </w:tc>
      </w:tr>
      <w:tr w:rsidR="00794ABE" w:rsidRPr="00BF2B4F" w14:paraId="15E604C1" w14:textId="77777777" w:rsidTr="00992301">
        <w:tc>
          <w:tcPr>
            <w:tcW w:w="1922" w:type="dxa"/>
            <w:shd w:val="clear" w:color="auto" w:fill="BDD6EE" w:themeFill="accent1" w:themeFillTint="66"/>
          </w:tcPr>
          <w:p w14:paraId="09C99087" w14:textId="77777777" w:rsidR="00794ABE" w:rsidRPr="00BF2B4F" w:rsidRDefault="00794ABE" w:rsidP="00992301">
            <w:pPr>
              <w:tabs>
                <w:tab w:val="left" w:pos="720"/>
                <w:tab w:val="left" w:pos="1080"/>
              </w:tabs>
              <w:spacing w:after="0"/>
              <w:rPr>
                <w:b/>
                <w:sz w:val="20"/>
              </w:rPr>
            </w:pPr>
            <w:r w:rsidRPr="00BF2B4F">
              <w:rPr>
                <w:b/>
                <w:sz w:val="20"/>
              </w:rPr>
              <w:t>Members</w:t>
            </w:r>
          </w:p>
        </w:tc>
        <w:tc>
          <w:tcPr>
            <w:tcW w:w="3685" w:type="dxa"/>
            <w:shd w:val="clear" w:color="auto" w:fill="BDD6EE" w:themeFill="accent1" w:themeFillTint="66"/>
          </w:tcPr>
          <w:p w14:paraId="14BA4D82" w14:textId="77777777" w:rsidR="00794ABE" w:rsidRPr="00BF2B4F" w:rsidRDefault="00794ABE" w:rsidP="00992301">
            <w:pPr>
              <w:tabs>
                <w:tab w:val="left" w:pos="720"/>
                <w:tab w:val="left" w:pos="1080"/>
              </w:tabs>
              <w:spacing w:after="0"/>
              <w:rPr>
                <w:b/>
                <w:sz w:val="20"/>
              </w:rPr>
            </w:pPr>
            <w:r w:rsidRPr="00BF2B4F">
              <w:rPr>
                <w:b/>
                <w:sz w:val="20"/>
              </w:rPr>
              <w:t>Affiliation</w:t>
            </w:r>
          </w:p>
        </w:tc>
        <w:tc>
          <w:tcPr>
            <w:tcW w:w="1985" w:type="dxa"/>
            <w:shd w:val="clear" w:color="auto" w:fill="BDD6EE" w:themeFill="accent1" w:themeFillTint="66"/>
          </w:tcPr>
          <w:p w14:paraId="4A3C2C1F" w14:textId="77777777" w:rsidR="00794ABE" w:rsidRPr="00BF2B4F" w:rsidRDefault="00794ABE" w:rsidP="00992301">
            <w:pPr>
              <w:tabs>
                <w:tab w:val="left" w:pos="720"/>
                <w:tab w:val="left" w:pos="1080"/>
              </w:tabs>
              <w:spacing w:after="0"/>
              <w:rPr>
                <w:b/>
                <w:sz w:val="20"/>
              </w:rPr>
            </w:pPr>
            <w:r w:rsidRPr="00BF2B4F">
              <w:rPr>
                <w:b/>
                <w:sz w:val="20"/>
              </w:rPr>
              <w:t>Country</w:t>
            </w:r>
          </w:p>
        </w:tc>
        <w:tc>
          <w:tcPr>
            <w:tcW w:w="1701" w:type="dxa"/>
            <w:shd w:val="clear" w:color="auto" w:fill="BDD6EE" w:themeFill="accent1" w:themeFillTint="66"/>
          </w:tcPr>
          <w:p w14:paraId="01758E70" w14:textId="77777777" w:rsidR="00794ABE" w:rsidRPr="00BF2B4F" w:rsidRDefault="00794ABE" w:rsidP="00992301">
            <w:pPr>
              <w:tabs>
                <w:tab w:val="left" w:pos="720"/>
                <w:tab w:val="left" w:pos="1080"/>
              </w:tabs>
              <w:spacing w:after="0"/>
              <w:rPr>
                <w:b/>
                <w:sz w:val="20"/>
              </w:rPr>
            </w:pPr>
            <w:r>
              <w:rPr>
                <w:b/>
                <w:sz w:val="20"/>
              </w:rPr>
              <w:t>Appointed through</w:t>
            </w:r>
          </w:p>
        </w:tc>
      </w:tr>
      <w:tr w:rsidR="00794ABE" w:rsidRPr="00BF2B4F" w14:paraId="35FEECC3" w14:textId="77777777" w:rsidTr="00992301">
        <w:tc>
          <w:tcPr>
            <w:tcW w:w="1922" w:type="dxa"/>
          </w:tcPr>
          <w:p w14:paraId="34511E15" w14:textId="77777777" w:rsidR="00794ABE" w:rsidRPr="00F24FF8" w:rsidRDefault="00794ABE" w:rsidP="00992301">
            <w:pPr>
              <w:tabs>
                <w:tab w:val="left" w:pos="720"/>
                <w:tab w:val="left" w:pos="1080"/>
              </w:tabs>
              <w:spacing w:after="0"/>
              <w:rPr>
                <w:sz w:val="20"/>
              </w:rPr>
            </w:pPr>
            <w:r>
              <w:rPr>
                <w:sz w:val="20"/>
              </w:rPr>
              <w:t>Mohammed Jane Alam</w:t>
            </w:r>
          </w:p>
        </w:tc>
        <w:tc>
          <w:tcPr>
            <w:tcW w:w="3685" w:type="dxa"/>
          </w:tcPr>
          <w:p w14:paraId="26FBD2ED" w14:textId="77777777" w:rsidR="00794ABE" w:rsidRDefault="00794ABE" w:rsidP="00992301">
            <w:pPr>
              <w:tabs>
                <w:tab w:val="left" w:pos="720"/>
                <w:tab w:val="left" w:pos="1080"/>
              </w:tabs>
              <w:spacing w:after="0"/>
              <w:rPr>
                <w:sz w:val="20"/>
              </w:rPr>
            </w:pPr>
            <w:r>
              <w:rPr>
                <w:sz w:val="20"/>
              </w:rPr>
              <w:t>J</w:t>
            </w:r>
            <w:r w:rsidRPr="00DB7975">
              <w:rPr>
                <w:sz w:val="20"/>
              </w:rPr>
              <w:t xml:space="preserve">ahanabad </w:t>
            </w:r>
            <w:r>
              <w:rPr>
                <w:sz w:val="20"/>
              </w:rPr>
              <w:t>T</w:t>
            </w:r>
            <w:r w:rsidRPr="00DB7975">
              <w:rPr>
                <w:sz w:val="20"/>
              </w:rPr>
              <w:t>rading</w:t>
            </w:r>
          </w:p>
        </w:tc>
        <w:tc>
          <w:tcPr>
            <w:tcW w:w="1985" w:type="dxa"/>
          </w:tcPr>
          <w:p w14:paraId="25D78E47" w14:textId="77777777" w:rsidR="00794ABE" w:rsidRPr="00F24FF8" w:rsidRDefault="00794ABE" w:rsidP="00992301">
            <w:pPr>
              <w:tabs>
                <w:tab w:val="left" w:pos="720"/>
                <w:tab w:val="left" w:pos="1080"/>
              </w:tabs>
              <w:spacing w:after="0"/>
              <w:rPr>
                <w:sz w:val="20"/>
              </w:rPr>
            </w:pPr>
            <w:r>
              <w:rPr>
                <w:sz w:val="20"/>
              </w:rPr>
              <w:t>Bangldesh</w:t>
            </w:r>
          </w:p>
        </w:tc>
        <w:tc>
          <w:tcPr>
            <w:tcW w:w="1701" w:type="dxa"/>
          </w:tcPr>
          <w:p w14:paraId="5979F027" w14:textId="77777777" w:rsidR="00794ABE" w:rsidRDefault="00794ABE" w:rsidP="00992301">
            <w:pPr>
              <w:tabs>
                <w:tab w:val="left" w:pos="720"/>
                <w:tab w:val="left" w:pos="1080"/>
              </w:tabs>
              <w:spacing w:after="0"/>
              <w:rPr>
                <w:sz w:val="20"/>
              </w:rPr>
            </w:pPr>
            <w:r>
              <w:rPr>
                <w:sz w:val="20"/>
              </w:rPr>
              <w:t>2024</w:t>
            </w:r>
          </w:p>
        </w:tc>
      </w:tr>
      <w:tr w:rsidR="00794ABE" w:rsidRPr="00BF2B4F" w14:paraId="404B959E" w14:textId="77777777" w:rsidTr="00992301">
        <w:tc>
          <w:tcPr>
            <w:tcW w:w="1922" w:type="dxa"/>
          </w:tcPr>
          <w:p w14:paraId="0FCDB5E2" w14:textId="77777777" w:rsidR="00794ABE" w:rsidRPr="00BF2B4F" w:rsidRDefault="00794ABE" w:rsidP="00992301">
            <w:pPr>
              <w:tabs>
                <w:tab w:val="left" w:pos="720"/>
                <w:tab w:val="left" w:pos="1080"/>
              </w:tabs>
              <w:spacing w:after="0"/>
              <w:rPr>
                <w:sz w:val="20"/>
              </w:rPr>
            </w:pPr>
            <w:r w:rsidRPr="00F24FF8">
              <w:rPr>
                <w:sz w:val="20"/>
              </w:rPr>
              <w:t>Jamal Alfuzaie</w:t>
            </w:r>
          </w:p>
        </w:tc>
        <w:tc>
          <w:tcPr>
            <w:tcW w:w="3685" w:type="dxa"/>
          </w:tcPr>
          <w:p w14:paraId="61C745B0" w14:textId="77777777" w:rsidR="00794ABE" w:rsidRPr="00BF2B4F" w:rsidRDefault="00794ABE" w:rsidP="00992301">
            <w:pPr>
              <w:tabs>
                <w:tab w:val="left" w:pos="720"/>
                <w:tab w:val="left" w:pos="1080"/>
              </w:tabs>
              <w:spacing w:after="0"/>
              <w:rPr>
                <w:sz w:val="20"/>
              </w:rPr>
            </w:pPr>
            <w:r>
              <w:rPr>
                <w:sz w:val="20"/>
              </w:rPr>
              <w:t>Independent Expert</w:t>
            </w:r>
          </w:p>
        </w:tc>
        <w:tc>
          <w:tcPr>
            <w:tcW w:w="1985" w:type="dxa"/>
          </w:tcPr>
          <w:p w14:paraId="34C95FAF" w14:textId="77777777" w:rsidR="00794ABE" w:rsidRPr="00BF2B4F" w:rsidRDefault="00794ABE" w:rsidP="00992301">
            <w:pPr>
              <w:tabs>
                <w:tab w:val="left" w:pos="720"/>
                <w:tab w:val="left" w:pos="1080"/>
              </w:tabs>
              <w:spacing w:after="0"/>
              <w:rPr>
                <w:sz w:val="20"/>
              </w:rPr>
            </w:pPr>
            <w:r w:rsidRPr="00F24FF8">
              <w:rPr>
                <w:sz w:val="20"/>
              </w:rPr>
              <w:t>Kuwait</w:t>
            </w:r>
          </w:p>
        </w:tc>
        <w:tc>
          <w:tcPr>
            <w:tcW w:w="1701" w:type="dxa"/>
          </w:tcPr>
          <w:p w14:paraId="2C6881E2" w14:textId="77777777" w:rsidR="00794ABE" w:rsidRPr="00BF2B4F" w:rsidRDefault="00794ABE" w:rsidP="00992301">
            <w:pPr>
              <w:tabs>
                <w:tab w:val="left" w:pos="720"/>
                <w:tab w:val="left" w:pos="1080"/>
              </w:tabs>
              <w:spacing w:after="0"/>
              <w:rPr>
                <w:sz w:val="20"/>
              </w:rPr>
            </w:pPr>
            <w:r>
              <w:rPr>
                <w:sz w:val="20"/>
              </w:rPr>
              <w:t>2022*</w:t>
            </w:r>
          </w:p>
        </w:tc>
      </w:tr>
      <w:tr w:rsidR="00794ABE" w:rsidRPr="00BF2B4F" w14:paraId="5D1C2E46" w14:textId="77777777" w:rsidTr="00992301">
        <w:tc>
          <w:tcPr>
            <w:tcW w:w="1922" w:type="dxa"/>
          </w:tcPr>
          <w:p w14:paraId="2EB7920F" w14:textId="77777777" w:rsidR="00794ABE" w:rsidRPr="00BF2B4F" w:rsidRDefault="00794ABE" w:rsidP="00992301">
            <w:pPr>
              <w:tabs>
                <w:tab w:val="left" w:pos="720"/>
                <w:tab w:val="left" w:pos="1080"/>
              </w:tabs>
              <w:spacing w:after="0"/>
              <w:rPr>
                <w:sz w:val="20"/>
              </w:rPr>
            </w:pPr>
            <w:r w:rsidRPr="00F24FF8">
              <w:rPr>
                <w:sz w:val="20"/>
              </w:rPr>
              <w:t>Johan Åqvist</w:t>
            </w:r>
          </w:p>
        </w:tc>
        <w:tc>
          <w:tcPr>
            <w:tcW w:w="3685" w:type="dxa"/>
          </w:tcPr>
          <w:p w14:paraId="536B241D" w14:textId="77777777" w:rsidR="00794ABE" w:rsidRPr="00BF2B4F" w:rsidRDefault="00794ABE" w:rsidP="00992301">
            <w:pPr>
              <w:tabs>
                <w:tab w:val="left" w:pos="720"/>
                <w:tab w:val="left" w:pos="1080"/>
              </w:tabs>
              <w:spacing w:after="0"/>
              <w:rPr>
                <w:sz w:val="20"/>
              </w:rPr>
            </w:pPr>
            <w:r w:rsidRPr="00F24FF8">
              <w:rPr>
                <w:sz w:val="20"/>
              </w:rPr>
              <w:t>FMV</w:t>
            </w:r>
          </w:p>
        </w:tc>
        <w:tc>
          <w:tcPr>
            <w:tcW w:w="1985" w:type="dxa"/>
          </w:tcPr>
          <w:p w14:paraId="50553E22" w14:textId="77777777" w:rsidR="00794ABE" w:rsidRPr="00BF2B4F" w:rsidRDefault="00794ABE" w:rsidP="00992301">
            <w:pPr>
              <w:tabs>
                <w:tab w:val="left" w:pos="720"/>
                <w:tab w:val="left" w:pos="1080"/>
              </w:tabs>
              <w:spacing w:after="0"/>
              <w:rPr>
                <w:sz w:val="20"/>
              </w:rPr>
            </w:pPr>
            <w:r w:rsidRPr="00F24FF8">
              <w:rPr>
                <w:sz w:val="20"/>
              </w:rPr>
              <w:t>Sweden</w:t>
            </w:r>
          </w:p>
        </w:tc>
        <w:tc>
          <w:tcPr>
            <w:tcW w:w="1701" w:type="dxa"/>
          </w:tcPr>
          <w:p w14:paraId="713D70C5" w14:textId="77777777" w:rsidR="00794ABE" w:rsidRPr="00BF2B4F" w:rsidRDefault="00794ABE" w:rsidP="00992301">
            <w:pPr>
              <w:tabs>
                <w:tab w:val="left" w:pos="720"/>
                <w:tab w:val="left" w:pos="1080"/>
              </w:tabs>
              <w:spacing w:after="0"/>
              <w:rPr>
                <w:sz w:val="20"/>
              </w:rPr>
            </w:pPr>
            <w:r>
              <w:rPr>
                <w:sz w:val="20"/>
              </w:rPr>
              <w:t>2023</w:t>
            </w:r>
          </w:p>
        </w:tc>
      </w:tr>
      <w:tr w:rsidR="00794ABE" w:rsidRPr="00BF2B4F" w14:paraId="178B1D1C" w14:textId="77777777" w:rsidTr="00992301">
        <w:tc>
          <w:tcPr>
            <w:tcW w:w="1922" w:type="dxa"/>
          </w:tcPr>
          <w:p w14:paraId="1D282540" w14:textId="77777777" w:rsidR="00794ABE" w:rsidRPr="00BF2B4F" w:rsidRDefault="00794ABE" w:rsidP="00992301">
            <w:pPr>
              <w:tabs>
                <w:tab w:val="left" w:pos="720"/>
                <w:tab w:val="left" w:pos="1080"/>
              </w:tabs>
              <w:spacing w:after="0"/>
              <w:rPr>
                <w:sz w:val="20"/>
              </w:rPr>
            </w:pPr>
            <w:r w:rsidRPr="00F24FF8">
              <w:rPr>
                <w:sz w:val="20"/>
              </w:rPr>
              <w:t>Youri Auroque</w:t>
            </w:r>
          </w:p>
        </w:tc>
        <w:tc>
          <w:tcPr>
            <w:tcW w:w="3685" w:type="dxa"/>
          </w:tcPr>
          <w:p w14:paraId="2829B85B" w14:textId="77777777" w:rsidR="00794ABE" w:rsidRPr="00BF2B4F" w:rsidRDefault="00794ABE" w:rsidP="00992301">
            <w:pPr>
              <w:tabs>
                <w:tab w:val="left" w:pos="720"/>
                <w:tab w:val="left" w:pos="1080"/>
              </w:tabs>
              <w:spacing w:after="0"/>
              <w:rPr>
                <w:sz w:val="20"/>
              </w:rPr>
            </w:pPr>
            <w:r w:rsidRPr="00F24FF8">
              <w:rPr>
                <w:sz w:val="20"/>
              </w:rPr>
              <w:t>European Aviation Safety Agency</w:t>
            </w:r>
          </w:p>
        </w:tc>
        <w:tc>
          <w:tcPr>
            <w:tcW w:w="1985" w:type="dxa"/>
          </w:tcPr>
          <w:p w14:paraId="6392460F" w14:textId="77777777" w:rsidR="00794ABE" w:rsidRPr="00BF2B4F" w:rsidRDefault="00794ABE" w:rsidP="00992301">
            <w:pPr>
              <w:tabs>
                <w:tab w:val="left" w:pos="720"/>
                <w:tab w:val="left" w:pos="1080"/>
              </w:tabs>
              <w:spacing w:after="0"/>
              <w:rPr>
                <w:sz w:val="20"/>
              </w:rPr>
            </w:pPr>
            <w:r w:rsidRPr="00F24FF8">
              <w:rPr>
                <w:sz w:val="20"/>
              </w:rPr>
              <w:t>France</w:t>
            </w:r>
          </w:p>
        </w:tc>
        <w:tc>
          <w:tcPr>
            <w:tcW w:w="1701" w:type="dxa"/>
          </w:tcPr>
          <w:p w14:paraId="7D96A6D4" w14:textId="77777777" w:rsidR="00794ABE" w:rsidRPr="00BF2B4F" w:rsidRDefault="00794ABE" w:rsidP="00992301">
            <w:pPr>
              <w:tabs>
                <w:tab w:val="left" w:pos="720"/>
                <w:tab w:val="left" w:pos="1080"/>
              </w:tabs>
              <w:spacing w:after="0"/>
              <w:rPr>
                <w:sz w:val="20"/>
              </w:rPr>
            </w:pPr>
            <w:r>
              <w:rPr>
                <w:sz w:val="20"/>
              </w:rPr>
              <w:t>2023</w:t>
            </w:r>
          </w:p>
        </w:tc>
      </w:tr>
      <w:tr w:rsidR="00794ABE" w:rsidRPr="00BF2B4F" w14:paraId="6EA536DD" w14:textId="77777777" w:rsidTr="00992301">
        <w:tc>
          <w:tcPr>
            <w:tcW w:w="1922" w:type="dxa"/>
          </w:tcPr>
          <w:p w14:paraId="4EE88C05" w14:textId="77777777" w:rsidR="00794ABE" w:rsidRPr="00BF2B4F" w:rsidRDefault="00794ABE" w:rsidP="00992301">
            <w:pPr>
              <w:tabs>
                <w:tab w:val="left" w:pos="720"/>
                <w:tab w:val="left" w:pos="1080"/>
              </w:tabs>
              <w:spacing w:after="0"/>
              <w:rPr>
                <w:sz w:val="20"/>
              </w:rPr>
            </w:pPr>
            <w:r w:rsidRPr="00F24FF8">
              <w:rPr>
                <w:sz w:val="20"/>
              </w:rPr>
              <w:t>Michelle M. Collins</w:t>
            </w:r>
          </w:p>
        </w:tc>
        <w:tc>
          <w:tcPr>
            <w:tcW w:w="3685" w:type="dxa"/>
          </w:tcPr>
          <w:p w14:paraId="4A507548" w14:textId="77777777" w:rsidR="00794ABE" w:rsidRPr="00BF2B4F" w:rsidRDefault="00794ABE" w:rsidP="00992301">
            <w:pPr>
              <w:tabs>
                <w:tab w:val="left" w:pos="720"/>
                <w:tab w:val="left" w:pos="1080"/>
              </w:tabs>
              <w:spacing w:after="0"/>
              <w:rPr>
                <w:sz w:val="20"/>
              </w:rPr>
            </w:pPr>
            <w:r>
              <w:rPr>
                <w:sz w:val="20"/>
              </w:rPr>
              <w:t>Independent Expert</w:t>
            </w:r>
            <w:r w:rsidRPr="00F24FF8">
              <w:rPr>
                <w:sz w:val="20"/>
              </w:rPr>
              <w:t xml:space="preserve"> - EECO International</w:t>
            </w:r>
          </w:p>
        </w:tc>
        <w:tc>
          <w:tcPr>
            <w:tcW w:w="1985" w:type="dxa"/>
          </w:tcPr>
          <w:p w14:paraId="0BB0205A" w14:textId="77777777" w:rsidR="00794ABE" w:rsidRPr="00BF2B4F" w:rsidRDefault="00794ABE" w:rsidP="00992301">
            <w:pPr>
              <w:tabs>
                <w:tab w:val="left" w:pos="720"/>
                <w:tab w:val="left" w:pos="1080"/>
              </w:tabs>
              <w:spacing w:after="0"/>
              <w:rPr>
                <w:sz w:val="20"/>
              </w:rPr>
            </w:pPr>
            <w:r w:rsidRPr="00F24FF8">
              <w:rPr>
                <w:sz w:val="20"/>
              </w:rPr>
              <w:t>USA</w:t>
            </w:r>
          </w:p>
        </w:tc>
        <w:tc>
          <w:tcPr>
            <w:tcW w:w="1701" w:type="dxa"/>
          </w:tcPr>
          <w:p w14:paraId="7ED5E453" w14:textId="77777777" w:rsidR="00794ABE" w:rsidRPr="00BF2B4F" w:rsidRDefault="00794ABE" w:rsidP="00992301">
            <w:pPr>
              <w:tabs>
                <w:tab w:val="left" w:pos="720"/>
                <w:tab w:val="left" w:pos="1080"/>
              </w:tabs>
              <w:spacing w:after="0"/>
              <w:rPr>
                <w:sz w:val="20"/>
              </w:rPr>
            </w:pPr>
            <w:r>
              <w:rPr>
                <w:sz w:val="20"/>
              </w:rPr>
              <w:t>2022*</w:t>
            </w:r>
          </w:p>
        </w:tc>
      </w:tr>
      <w:tr w:rsidR="00794ABE" w:rsidRPr="00BF2B4F" w14:paraId="5D74ED67" w14:textId="77777777" w:rsidTr="00992301">
        <w:tc>
          <w:tcPr>
            <w:tcW w:w="1922" w:type="dxa"/>
          </w:tcPr>
          <w:p w14:paraId="5336C015" w14:textId="77777777" w:rsidR="00794ABE" w:rsidRPr="00BF2B4F" w:rsidRDefault="00794ABE" w:rsidP="00992301">
            <w:pPr>
              <w:tabs>
                <w:tab w:val="left" w:pos="720"/>
                <w:tab w:val="left" w:pos="1080"/>
              </w:tabs>
              <w:spacing w:after="0"/>
              <w:rPr>
                <w:sz w:val="20"/>
              </w:rPr>
            </w:pPr>
            <w:r w:rsidRPr="00F24FF8">
              <w:rPr>
                <w:sz w:val="20"/>
              </w:rPr>
              <w:t>Khaled Effat</w:t>
            </w:r>
          </w:p>
        </w:tc>
        <w:tc>
          <w:tcPr>
            <w:tcW w:w="3685" w:type="dxa"/>
          </w:tcPr>
          <w:p w14:paraId="7673D2F2" w14:textId="77777777" w:rsidR="00794ABE" w:rsidRPr="00BF2B4F" w:rsidRDefault="00794ABE" w:rsidP="00992301">
            <w:pPr>
              <w:tabs>
                <w:tab w:val="left" w:pos="720"/>
                <w:tab w:val="left" w:pos="1080"/>
              </w:tabs>
              <w:spacing w:after="0"/>
              <w:rPr>
                <w:sz w:val="20"/>
              </w:rPr>
            </w:pPr>
            <w:r w:rsidRPr="00F24FF8">
              <w:rPr>
                <w:sz w:val="20"/>
              </w:rPr>
              <w:t>Modern Systems Engineering</w:t>
            </w:r>
          </w:p>
        </w:tc>
        <w:tc>
          <w:tcPr>
            <w:tcW w:w="1985" w:type="dxa"/>
          </w:tcPr>
          <w:p w14:paraId="54708EA4" w14:textId="77777777" w:rsidR="00794ABE" w:rsidRPr="00BF2B4F" w:rsidRDefault="00794ABE" w:rsidP="00992301">
            <w:pPr>
              <w:tabs>
                <w:tab w:val="left" w:pos="720"/>
                <w:tab w:val="left" w:pos="1080"/>
              </w:tabs>
              <w:spacing w:after="0"/>
              <w:rPr>
                <w:sz w:val="20"/>
              </w:rPr>
            </w:pPr>
            <w:r w:rsidRPr="00F24FF8">
              <w:rPr>
                <w:sz w:val="20"/>
              </w:rPr>
              <w:t>Egypt</w:t>
            </w:r>
          </w:p>
        </w:tc>
        <w:tc>
          <w:tcPr>
            <w:tcW w:w="1701" w:type="dxa"/>
          </w:tcPr>
          <w:p w14:paraId="7D1D05D0" w14:textId="77777777" w:rsidR="00794ABE" w:rsidRPr="00BF2B4F" w:rsidRDefault="00794ABE" w:rsidP="00992301">
            <w:pPr>
              <w:tabs>
                <w:tab w:val="left" w:pos="720"/>
                <w:tab w:val="left" w:pos="1080"/>
              </w:tabs>
              <w:spacing w:after="0"/>
              <w:rPr>
                <w:sz w:val="20"/>
              </w:rPr>
            </w:pPr>
            <w:r w:rsidRPr="00F24FF8">
              <w:rPr>
                <w:sz w:val="20"/>
              </w:rPr>
              <w:t>202</w:t>
            </w:r>
            <w:r>
              <w:rPr>
                <w:sz w:val="20"/>
              </w:rPr>
              <w:t>5</w:t>
            </w:r>
          </w:p>
        </w:tc>
      </w:tr>
      <w:tr w:rsidR="00794ABE" w:rsidRPr="00BF2B4F" w14:paraId="70E0015F" w14:textId="77777777" w:rsidTr="00992301">
        <w:tc>
          <w:tcPr>
            <w:tcW w:w="1922" w:type="dxa"/>
          </w:tcPr>
          <w:p w14:paraId="69C47789" w14:textId="77777777" w:rsidR="00794ABE" w:rsidRPr="00BF2B4F" w:rsidRDefault="00794ABE" w:rsidP="00992301">
            <w:pPr>
              <w:tabs>
                <w:tab w:val="left" w:pos="720"/>
                <w:tab w:val="left" w:pos="1080"/>
              </w:tabs>
              <w:spacing w:after="0"/>
              <w:rPr>
                <w:sz w:val="20"/>
              </w:rPr>
            </w:pPr>
            <w:r w:rsidRPr="00F24FF8">
              <w:rPr>
                <w:sz w:val="20"/>
              </w:rPr>
              <w:t>Carlos Grandi</w:t>
            </w:r>
          </w:p>
        </w:tc>
        <w:tc>
          <w:tcPr>
            <w:tcW w:w="3685" w:type="dxa"/>
          </w:tcPr>
          <w:p w14:paraId="312AAAEC" w14:textId="77777777" w:rsidR="00794ABE" w:rsidRPr="00BF2B4F" w:rsidRDefault="00794ABE" w:rsidP="00992301">
            <w:pPr>
              <w:tabs>
                <w:tab w:val="left" w:pos="720"/>
                <w:tab w:val="left" w:pos="1080"/>
              </w:tabs>
              <w:spacing w:after="0"/>
              <w:rPr>
                <w:sz w:val="20"/>
              </w:rPr>
            </w:pPr>
            <w:r>
              <w:rPr>
                <w:sz w:val="20"/>
              </w:rPr>
              <w:t>Independent Expert</w:t>
            </w:r>
          </w:p>
        </w:tc>
        <w:tc>
          <w:tcPr>
            <w:tcW w:w="1985" w:type="dxa"/>
          </w:tcPr>
          <w:p w14:paraId="4CEBE5A4" w14:textId="77777777" w:rsidR="00794ABE" w:rsidRPr="00BF2B4F" w:rsidRDefault="00794ABE" w:rsidP="00992301">
            <w:pPr>
              <w:tabs>
                <w:tab w:val="left" w:pos="720"/>
                <w:tab w:val="left" w:pos="1080"/>
              </w:tabs>
              <w:spacing w:after="0"/>
              <w:rPr>
                <w:sz w:val="20"/>
              </w:rPr>
            </w:pPr>
            <w:r w:rsidRPr="00F24FF8">
              <w:rPr>
                <w:sz w:val="20"/>
              </w:rPr>
              <w:t>Brazil</w:t>
            </w:r>
          </w:p>
        </w:tc>
        <w:tc>
          <w:tcPr>
            <w:tcW w:w="1701" w:type="dxa"/>
          </w:tcPr>
          <w:p w14:paraId="10D5B07A" w14:textId="77777777" w:rsidR="00794ABE" w:rsidRPr="00BF2B4F" w:rsidRDefault="00794ABE" w:rsidP="00992301">
            <w:pPr>
              <w:tabs>
                <w:tab w:val="left" w:pos="720"/>
                <w:tab w:val="left" w:pos="1080"/>
              </w:tabs>
              <w:spacing w:after="0"/>
              <w:rPr>
                <w:sz w:val="20"/>
              </w:rPr>
            </w:pPr>
            <w:r w:rsidRPr="00F24FF8">
              <w:rPr>
                <w:sz w:val="20"/>
              </w:rPr>
              <w:t>202</w:t>
            </w:r>
            <w:r>
              <w:rPr>
                <w:sz w:val="20"/>
              </w:rPr>
              <w:t>2*</w:t>
            </w:r>
          </w:p>
        </w:tc>
      </w:tr>
      <w:tr w:rsidR="00794ABE" w:rsidRPr="00BF2B4F" w14:paraId="581EF653" w14:textId="77777777" w:rsidTr="00992301">
        <w:tc>
          <w:tcPr>
            <w:tcW w:w="1922" w:type="dxa"/>
          </w:tcPr>
          <w:p w14:paraId="5CA19D89" w14:textId="77777777" w:rsidR="00794ABE" w:rsidRPr="00BF2B4F" w:rsidRDefault="00794ABE" w:rsidP="00992301">
            <w:pPr>
              <w:tabs>
                <w:tab w:val="left" w:pos="720"/>
                <w:tab w:val="left" w:pos="1080"/>
              </w:tabs>
              <w:spacing w:after="0"/>
              <w:rPr>
                <w:sz w:val="20"/>
              </w:rPr>
            </w:pPr>
            <w:r w:rsidRPr="00F24FF8">
              <w:rPr>
                <w:sz w:val="20"/>
              </w:rPr>
              <w:t>Laura Green</w:t>
            </w:r>
          </w:p>
        </w:tc>
        <w:tc>
          <w:tcPr>
            <w:tcW w:w="3685" w:type="dxa"/>
          </w:tcPr>
          <w:p w14:paraId="3F256CB5" w14:textId="77777777" w:rsidR="00794ABE" w:rsidRPr="00BF2B4F" w:rsidRDefault="00794ABE" w:rsidP="00992301">
            <w:pPr>
              <w:tabs>
                <w:tab w:val="left" w:pos="720"/>
                <w:tab w:val="left" w:pos="1080"/>
              </w:tabs>
              <w:spacing w:after="0"/>
              <w:rPr>
                <w:sz w:val="20"/>
              </w:rPr>
            </w:pPr>
            <w:r w:rsidRPr="00F24FF8">
              <w:rPr>
                <w:sz w:val="20"/>
              </w:rPr>
              <w:t>Hilcorp Alaska, LLC</w:t>
            </w:r>
          </w:p>
        </w:tc>
        <w:tc>
          <w:tcPr>
            <w:tcW w:w="1985" w:type="dxa"/>
          </w:tcPr>
          <w:p w14:paraId="19C830BA" w14:textId="77777777" w:rsidR="00794ABE" w:rsidRPr="00BF2B4F" w:rsidRDefault="00794ABE" w:rsidP="00992301">
            <w:pPr>
              <w:tabs>
                <w:tab w:val="left" w:pos="720"/>
                <w:tab w:val="left" w:pos="1080"/>
              </w:tabs>
              <w:spacing w:after="0"/>
              <w:rPr>
                <w:sz w:val="20"/>
              </w:rPr>
            </w:pPr>
            <w:r w:rsidRPr="00F24FF8">
              <w:rPr>
                <w:sz w:val="20"/>
              </w:rPr>
              <w:t>USA</w:t>
            </w:r>
          </w:p>
        </w:tc>
        <w:tc>
          <w:tcPr>
            <w:tcW w:w="1701" w:type="dxa"/>
          </w:tcPr>
          <w:p w14:paraId="3002024C" w14:textId="77777777" w:rsidR="00794ABE" w:rsidRPr="00BF2B4F" w:rsidRDefault="00794ABE" w:rsidP="00992301">
            <w:pPr>
              <w:tabs>
                <w:tab w:val="left" w:pos="720"/>
                <w:tab w:val="left" w:pos="1080"/>
              </w:tabs>
              <w:spacing w:after="0"/>
              <w:rPr>
                <w:sz w:val="20"/>
              </w:rPr>
            </w:pPr>
            <w:r w:rsidRPr="00F24FF8">
              <w:rPr>
                <w:sz w:val="20"/>
              </w:rPr>
              <w:t>202</w:t>
            </w:r>
            <w:r>
              <w:rPr>
                <w:sz w:val="20"/>
              </w:rPr>
              <w:t>4</w:t>
            </w:r>
          </w:p>
        </w:tc>
      </w:tr>
      <w:tr w:rsidR="00794ABE" w:rsidRPr="00BF2B4F" w14:paraId="54EB92DF" w14:textId="77777777" w:rsidTr="00992301">
        <w:tc>
          <w:tcPr>
            <w:tcW w:w="1922" w:type="dxa"/>
          </w:tcPr>
          <w:p w14:paraId="36DCAA64" w14:textId="77777777" w:rsidR="00794ABE" w:rsidRPr="00BF2B4F" w:rsidRDefault="00794ABE" w:rsidP="00992301">
            <w:pPr>
              <w:tabs>
                <w:tab w:val="left" w:pos="720"/>
                <w:tab w:val="left" w:pos="1080"/>
              </w:tabs>
              <w:spacing w:after="0"/>
              <w:rPr>
                <w:sz w:val="20"/>
              </w:rPr>
            </w:pPr>
            <w:r w:rsidRPr="00F24FF8">
              <w:rPr>
                <w:sz w:val="20"/>
              </w:rPr>
              <w:t>Elvira Nigido</w:t>
            </w:r>
          </w:p>
        </w:tc>
        <w:tc>
          <w:tcPr>
            <w:tcW w:w="3685" w:type="dxa"/>
          </w:tcPr>
          <w:p w14:paraId="4A8188CE" w14:textId="77777777" w:rsidR="00794ABE" w:rsidRPr="00BF2B4F" w:rsidRDefault="00794ABE" w:rsidP="00992301">
            <w:pPr>
              <w:tabs>
                <w:tab w:val="left" w:pos="720"/>
                <w:tab w:val="left" w:pos="1080"/>
              </w:tabs>
              <w:spacing w:after="0"/>
              <w:rPr>
                <w:sz w:val="20"/>
              </w:rPr>
            </w:pPr>
            <w:r w:rsidRPr="00F24FF8">
              <w:rPr>
                <w:sz w:val="20"/>
              </w:rPr>
              <w:t>A-Gas Australia</w:t>
            </w:r>
          </w:p>
        </w:tc>
        <w:tc>
          <w:tcPr>
            <w:tcW w:w="1985" w:type="dxa"/>
          </w:tcPr>
          <w:p w14:paraId="666A35CD" w14:textId="77777777" w:rsidR="00794ABE" w:rsidRPr="00BF2B4F" w:rsidRDefault="00794ABE" w:rsidP="00992301">
            <w:pPr>
              <w:tabs>
                <w:tab w:val="left" w:pos="720"/>
                <w:tab w:val="left" w:pos="1080"/>
              </w:tabs>
              <w:spacing w:after="0"/>
              <w:rPr>
                <w:sz w:val="20"/>
              </w:rPr>
            </w:pPr>
            <w:r w:rsidRPr="00F24FF8">
              <w:rPr>
                <w:sz w:val="20"/>
              </w:rPr>
              <w:t>Australia</w:t>
            </w:r>
          </w:p>
        </w:tc>
        <w:tc>
          <w:tcPr>
            <w:tcW w:w="1701" w:type="dxa"/>
          </w:tcPr>
          <w:p w14:paraId="139EFA0D" w14:textId="77777777" w:rsidR="00794ABE" w:rsidRPr="00BF2B4F" w:rsidRDefault="00794ABE" w:rsidP="00992301">
            <w:pPr>
              <w:tabs>
                <w:tab w:val="left" w:pos="720"/>
                <w:tab w:val="left" w:pos="1080"/>
              </w:tabs>
              <w:spacing w:after="0"/>
              <w:rPr>
                <w:sz w:val="20"/>
              </w:rPr>
            </w:pPr>
            <w:r w:rsidRPr="00F24FF8">
              <w:rPr>
                <w:sz w:val="20"/>
              </w:rPr>
              <w:t>202</w:t>
            </w:r>
            <w:r>
              <w:rPr>
                <w:sz w:val="20"/>
              </w:rPr>
              <w:t>4</w:t>
            </w:r>
          </w:p>
        </w:tc>
      </w:tr>
      <w:tr w:rsidR="00794ABE" w:rsidRPr="00BF2B4F" w14:paraId="29C524CE" w14:textId="77777777" w:rsidTr="00992301">
        <w:tc>
          <w:tcPr>
            <w:tcW w:w="1922" w:type="dxa"/>
          </w:tcPr>
          <w:p w14:paraId="6C6E6028" w14:textId="77777777" w:rsidR="00794ABE" w:rsidRPr="00BF2B4F" w:rsidRDefault="00794ABE" w:rsidP="00992301">
            <w:pPr>
              <w:tabs>
                <w:tab w:val="left" w:pos="720"/>
                <w:tab w:val="left" w:pos="1080"/>
              </w:tabs>
              <w:spacing w:after="0"/>
              <w:rPr>
                <w:sz w:val="20"/>
              </w:rPr>
            </w:pPr>
            <w:r w:rsidRPr="00F24FF8">
              <w:rPr>
                <w:sz w:val="20"/>
              </w:rPr>
              <w:t>Emma Palumbo</w:t>
            </w:r>
          </w:p>
        </w:tc>
        <w:tc>
          <w:tcPr>
            <w:tcW w:w="3685" w:type="dxa"/>
          </w:tcPr>
          <w:p w14:paraId="616BD4FE" w14:textId="77777777" w:rsidR="00794ABE" w:rsidRPr="00BF2B4F" w:rsidRDefault="00794ABE" w:rsidP="00992301">
            <w:pPr>
              <w:tabs>
                <w:tab w:val="left" w:pos="720"/>
                <w:tab w:val="left" w:pos="1080"/>
              </w:tabs>
              <w:spacing w:after="0"/>
              <w:rPr>
                <w:sz w:val="20"/>
              </w:rPr>
            </w:pPr>
            <w:r w:rsidRPr="00F24FF8">
              <w:rPr>
                <w:sz w:val="20"/>
              </w:rPr>
              <w:t>Safety Hi-tech srl</w:t>
            </w:r>
          </w:p>
        </w:tc>
        <w:tc>
          <w:tcPr>
            <w:tcW w:w="1985" w:type="dxa"/>
          </w:tcPr>
          <w:p w14:paraId="00D6F4DC" w14:textId="77777777" w:rsidR="00794ABE" w:rsidRPr="00BF2B4F" w:rsidRDefault="00794ABE" w:rsidP="00992301">
            <w:pPr>
              <w:tabs>
                <w:tab w:val="left" w:pos="720"/>
                <w:tab w:val="left" w:pos="1080"/>
              </w:tabs>
              <w:spacing w:after="0"/>
              <w:rPr>
                <w:sz w:val="20"/>
              </w:rPr>
            </w:pPr>
            <w:r w:rsidRPr="00F24FF8">
              <w:rPr>
                <w:sz w:val="20"/>
              </w:rPr>
              <w:t>Italy</w:t>
            </w:r>
          </w:p>
        </w:tc>
        <w:tc>
          <w:tcPr>
            <w:tcW w:w="1701" w:type="dxa"/>
          </w:tcPr>
          <w:p w14:paraId="517C5491" w14:textId="77777777" w:rsidR="00794ABE" w:rsidRPr="00BF2B4F" w:rsidRDefault="00794ABE" w:rsidP="00992301">
            <w:pPr>
              <w:tabs>
                <w:tab w:val="left" w:pos="720"/>
                <w:tab w:val="left" w:pos="1080"/>
              </w:tabs>
              <w:spacing w:after="0"/>
              <w:rPr>
                <w:sz w:val="20"/>
              </w:rPr>
            </w:pPr>
            <w:r>
              <w:rPr>
                <w:sz w:val="20"/>
              </w:rPr>
              <w:t>2022*</w:t>
            </w:r>
          </w:p>
        </w:tc>
      </w:tr>
      <w:tr w:rsidR="00794ABE" w:rsidRPr="00BF2B4F" w14:paraId="4C302B52" w14:textId="77777777" w:rsidTr="00992301">
        <w:tc>
          <w:tcPr>
            <w:tcW w:w="1922" w:type="dxa"/>
          </w:tcPr>
          <w:p w14:paraId="0B21C7E2" w14:textId="77777777" w:rsidR="00794ABE" w:rsidRPr="00BF2B4F" w:rsidRDefault="00794ABE" w:rsidP="00992301">
            <w:pPr>
              <w:tabs>
                <w:tab w:val="left" w:pos="720"/>
                <w:tab w:val="left" w:pos="1080"/>
              </w:tabs>
              <w:spacing w:after="0"/>
              <w:rPr>
                <w:sz w:val="20"/>
              </w:rPr>
            </w:pPr>
            <w:r w:rsidRPr="00F24FF8">
              <w:rPr>
                <w:sz w:val="20"/>
              </w:rPr>
              <w:t>Erik Pedersen</w:t>
            </w:r>
          </w:p>
        </w:tc>
        <w:tc>
          <w:tcPr>
            <w:tcW w:w="3685" w:type="dxa"/>
          </w:tcPr>
          <w:p w14:paraId="29FDE2CC" w14:textId="77777777" w:rsidR="00794ABE" w:rsidRPr="00BF2B4F" w:rsidRDefault="00794ABE" w:rsidP="00992301">
            <w:pPr>
              <w:tabs>
                <w:tab w:val="left" w:pos="720"/>
                <w:tab w:val="left" w:pos="1080"/>
              </w:tabs>
              <w:spacing w:after="0"/>
              <w:rPr>
                <w:sz w:val="20"/>
              </w:rPr>
            </w:pPr>
            <w:r>
              <w:rPr>
                <w:sz w:val="20"/>
              </w:rPr>
              <w:t>Independent Expert</w:t>
            </w:r>
          </w:p>
        </w:tc>
        <w:tc>
          <w:tcPr>
            <w:tcW w:w="1985" w:type="dxa"/>
          </w:tcPr>
          <w:p w14:paraId="0BF280B5" w14:textId="77777777" w:rsidR="00794ABE" w:rsidRPr="00BF2B4F" w:rsidRDefault="00794ABE" w:rsidP="00992301">
            <w:pPr>
              <w:tabs>
                <w:tab w:val="left" w:pos="720"/>
                <w:tab w:val="left" w:pos="1080"/>
              </w:tabs>
              <w:spacing w:after="0"/>
              <w:rPr>
                <w:sz w:val="20"/>
              </w:rPr>
            </w:pPr>
            <w:r w:rsidRPr="00F24FF8">
              <w:rPr>
                <w:sz w:val="20"/>
              </w:rPr>
              <w:t>Denmark</w:t>
            </w:r>
          </w:p>
        </w:tc>
        <w:tc>
          <w:tcPr>
            <w:tcW w:w="1701" w:type="dxa"/>
          </w:tcPr>
          <w:p w14:paraId="71405600" w14:textId="77777777" w:rsidR="00794ABE" w:rsidRPr="00BF2B4F" w:rsidRDefault="00794ABE" w:rsidP="00992301">
            <w:pPr>
              <w:tabs>
                <w:tab w:val="left" w:pos="720"/>
                <w:tab w:val="left" w:pos="1080"/>
              </w:tabs>
              <w:spacing w:after="0"/>
              <w:rPr>
                <w:sz w:val="20"/>
              </w:rPr>
            </w:pPr>
            <w:r w:rsidRPr="00F24FF8">
              <w:rPr>
                <w:sz w:val="20"/>
              </w:rPr>
              <w:t>202</w:t>
            </w:r>
            <w:r>
              <w:rPr>
                <w:sz w:val="20"/>
              </w:rPr>
              <w:t>4</w:t>
            </w:r>
          </w:p>
        </w:tc>
      </w:tr>
      <w:tr w:rsidR="00794ABE" w:rsidRPr="00BF2B4F" w14:paraId="6D8F89DF" w14:textId="77777777" w:rsidTr="00992301">
        <w:tc>
          <w:tcPr>
            <w:tcW w:w="1922" w:type="dxa"/>
          </w:tcPr>
          <w:p w14:paraId="6EFAC33A" w14:textId="77777777" w:rsidR="00794ABE" w:rsidRPr="00BF2B4F" w:rsidRDefault="00794ABE" w:rsidP="00992301">
            <w:pPr>
              <w:tabs>
                <w:tab w:val="left" w:pos="720"/>
                <w:tab w:val="left" w:pos="1080"/>
              </w:tabs>
              <w:spacing w:after="0"/>
              <w:rPr>
                <w:sz w:val="20"/>
              </w:rPr>
            </w:pPr>
            <w:r w:rsidRPr="00F24FF8">
              <w:rPr>
                <w:sz w:val="20"/>
              </w:rPr>
              <w:t>R.P. Singh</w:t>
            </w:r>
          </w:p>
        </w:tc>
        <w:tc>
          <w:tcPr>
            <w:tcW w:w="3685" w:type="dxa"/>
          </w:tcPr>
          <w:p w14:paraId="25206B21" w14:textId="77777777" w:rsidR="00794ABE" w:rsidRPr="00BF2B4F" w:rsidRDefault="00794ABE" w:rsidP="00992301">
            <w:pPr>
              <w:tabs>
                <w:tab w:val="left" w:pos="720"/>
                <w:tab w:val="left" w:pos="1080"/>
              </w:tabs>
              <w:spacing w:after="0"/>
              <w:rPr>
                <w:sz w:val="20"/>
              </w:rPr>
            </w:pPr>
            <w:r w:rsidRPr="00F24FF8">
              <w:rPr>
                <w:sz w:val="20"/>
              </w:rPr>
              <w:t>CFEES, DRDO</w:t>
            </w:r>
          </w:p>
        </w:tc>
        <w:tc>
          <w:tcPr>
            <w:tcW w:w="1985" w:type="dxa"/>
          </w:tcPr>
          <w:p w14:paraId="67BA898F" w14:textId="77777777" w:rsidR="00794ABE" w:rsidRPr="00BF2B4F" w:rsidRDefault="00794ABE" w:rsidP="00992301">
            <w:pPr>
              <w:tabs>
                <w:tab w:val="left" w:pos="720"/>
                <w:tab w:val="left" w:pos="1080"/>
              </w:tabs>
              <w:spacing w:after="0"/>
              <w:rPr>
                <w:sz w:val="20"/>
              </w:rPr>
            </w:pPr>
            <w:r w:rsidRPr="00F24FF8">
              <w:rPr>
                <w:sz w:val="20"/>
              </w:rPr>
              <w:t>India</w:t>
            </w:r>
          </w:p>
        </w:tc>
        <w:tc>
          <w:tcPr>
            <w:tcW w:w="1701" w:type="dxa"/>
          </w:tcPr>
          <w:p w14:paraId="7A3C121B" w14:textId="77777777" w:rsidR="00794ABE" w:rsidRPr="00BF2B4F" w:rsidRDefault="00794ABE" w:rsidP="00992301">
            <w:pPr>
              <w:tabs>
                <w:tab w:val="left" w:pos="720"/>
                <w:tab w:val="left" w:pos="1080"/>
              </w:tabs>
              <w:spacing w:after="0"/>
              <w:rPr>
                <w:sz w:val="20"/>
              </w:rPr>
            </w:pPr>
            <w:r w:rsidRPr="00F24FF8">
              <w:rPr>
                <w:sz w:val="20"/>
              </w:rPr>
              <w:t>202</w:t>
            </w:r>
            <w:r>
              <w:rPr>
                <w:sz w:val="20"/>
              </w:rPr>
              <w:t>4</w:t>
            </w:r>
          </w:p>
        </w:tc>
      </w:tr>
      <w:tr w:rsidR="00794ABE" w:rsidRPr="00BF2B4F" w14:paraId="2FB4DA83" w14:textId="77777777" w:rsidTr="00992301">
        <w:tc>
          <w:tcPr>
            <w:tcW w:w="1922" w:type="dxa"/>
          </w:tcPr>
          <w:p w14:paraId="36A917CA" w14:textId="77777777" w:rsidR="00794ABE" w:rsidRPr="00BF2B4F" w:rsidRDefault="00794ABE" w:rsidP="00992301">
            <w:pPr>
              <w:tabs>
                <w:tab w:val="left" w:pos="720"/>
                <w:tab w:val="left" w:pos="1080"/>
              </w:tabs>
              <w:spacing w:after="0"/>
              <w:rPr>
                <w:sz w:val="20"/>
              </w:rPr>
            </w:pPr>
            <w:r w:rsidRPr="00F24FF8">
              <w:rPr>
                <w:sz w:val="20"/>
              </w:rPr>
              <w:t>Donald Thomson</w:t>
            </w:r>
          </w:p>
        </w:tc>
        <w:tc>
          <w:tcPr>
            <w:tcW w:w="3685" w:type="dxa"/>
          </w:tcPr>
          <w:p w14:paraId="100269E4" w14:textId="77777777" w:rsidR="00794ABE" w:rsidRPr="00BF2B4F" w:rsidRDefault="00794ABE" w:rsidP="00992301">
            <w:pPr>
              <w:tabs>
                <w:tab w:val="left" w:pos="720"/>
                <w:tab w:val="left" w:pos="1080"/>
              </w:tabs>
              <w:spacing w:after="0"/>
              <w:rPr>
                <w:sz w:val="20"/>
              </w:rPr>
            </w:pPr>
            <w:r w:rsidRPr="00F24FF8">
              <w:rPr>
                <w:sz w:val="20"/>
              </w:rPr>
              <w:t>MOPIA</w:t>
            </w:r>
          </w:p>
        </w:tc>
        <w:tc>
          <w:tcPr>
            <w:tcW w:w="1985" w:type="dxa"/>
          </w:tcPr>
          <w:p w14:paraId="47A50A92" w14:textId="77777777" w:rsidR="00794ABE" w:rsidRPr="00BF2B4F" w:rsidRDefault="00794ABE" w:rsidP="00992301">
            <w:pPr>
              <w:tabs>
                <w:tab w:val="left" w:pos="720"/>
                <w:tab w:val="left" w:pos="1080"/>
              </w:tabs>
              <w:spacing w:after="0"/>
              <w:rPr>
                <w:sz w:val="20"/>
              </w:rPr>
            </w:pPr>
            <w:r w:rsidRPr="00F24FF8">
              <w:rPr>
                <w:sz w:val="20"/>
              </w:rPr>
              <w:t>Canada</w:t>
            </w:r>
          </w:p>
        </w:tc>
        <w:tc>
          <w:tcPr>
            <w:tcW w:w="1701" w:type="dxa"/>
          </w:tcPr>
          <w:p w14:paraId="21936C77" w14:textId="77777777" w:rsidR="00794ABE" w:rsidRPr="00BF2B4F" w:rsidRDefault="00794ABE" w:rsidP="00992301">
            <w:pPr>
              <w:tabs>
                <w:tab w:val="left" w:pos="720"/>
                <w:tab w:val="left" w:pos="1080"/>
              </w:tabs>
              <w:spacing w:after="0"/>
              <w:rPr>
                <w:sz w:val="20"/>
              </w:rPr>
            </w:pPr>
            <w:r w:rsidRPr="00F24FF8">
              <w:rPr>
                <w:sz w:val="20"/>
              </w:rPr>
              <w:t>202</w:t>
            </w:r>
            <w:r>
              <w:rPr>
                <w:sz w:val="20"/>
              </w:rPr>
              <w:t>2*</w:t>
            </w:r>
          </w:p>
        </w:tc>
      </w:tr>
      <w:tr w:rsidR="00794ABE" w:rsidRPr="00BF2B4F" w14:paraId="3C6F0A59" w14:textId="77777777" w:rsidTr="00992301">
        <w:tc>
          <w:tcPr>
            <w:tcW w:w="1922" w:type="dxa"/>
          </w:tcPr>
          <w:p w14:paraId="482F9FCB" w14:textId="77777777" w:rsidR="00794ABE" w:rsidRPr="00BF2B4F" w:rsidRDefault="00794ABE" w:rsidP="00992301">
            <w:pPr>
              <w:tabs>
                <w:tab w:val="left" w:pos="720"/>
                <w:tab w:val="left" w:pos="1080"/>
              </w:tabs>
              <w:spacing w:after="0"/>
              <w:rPr>
                <w:sz w:val="20"/>
              </w:rPr>
            </w:pPr>
            <w:r w:rsidRPr="00F24FF8">
              <w:rPr>
                <w:sz w:val="20"/>
              </w:rPr>
              <w:t>Mitsuru Yagi</w:t>
            </w:r>
          </w:p>
        </w:tc>
        <w:tc>
          <w:tcPr>
            <w:tcW w:w="3685" w:type="dxa"/>
          </w:tcPr>
          <w:p w14:paraId="6611FE2B" w14:textId="77777777" w:rsidR="00794ABE" w:rsidRPr="00BF2B4F" w:rsidRDefault="00794ABE" w:rsidP="00992301">
            <w:pPr>
              <w:tabs>
                <w:tab w:val="left" w:pos="720"/>
                <w:tab w:val="left" w:pos="1080"/>
              </w:tabs>
              <w:spacing w:after="0"/>
              <w:rPr>
                <w:sz w:val="20"/>
              </w:rPr>
            </w:pPr>
            <w:r w:rsidRPr="00F24FF8">
              <w:rPr>
                <w:sz w:val="20"/>
              </w:rPr>
              <w:t>Nohmi Bosai Ltd &amp; Fire and Environment Prot. Network</w:t>
            </w:r>
          </w:p>
        </w:tc>
        <w:tc>
          <w:tcPr>
            <w:tcW w:w="1985" w:type="dxa"/>
          </w:tcPr>
          <w:p w14:paraId="5B50A624" w14:textId="77777777" w:rsidR="00794ABE" w:rsidRPr="00BF2B4F" w:rsidRDefault="00794ABE" w:rsidP="00992301">
            <w:pPr>
              <w:tabs>
                <w:tab w:val="left" w:pos="720"/>
                <w:tab w:val="left" w:pos="1080"/>
              </w:tabs>
              <w:spacing w:after="0"/>
              <w:rPr>
                <w:sz w:val="20"/>
              </w:rPr>
            </w:pPr>
            <w:r w:rsidRPr="00F24FF8">
              <w:rPr>
                <w:sz w:val="20"/>
              </w:rPr>
              <w:t>Japan</w:t>
            </w:r>
          </w:p>
        </w:tc>
        <w:tc>
          <w:tcPr>
            <w:tcW w:w="1701" w:type="dxa"/>
          </w:tcPr>
          <w:p w14:paraId="400289D8" w14:textId="77777777" w:rsidR="00794ABE" w:rsidRPr="00BF2B4F" w:rsidRDefault="00794ABE" w:rsidP="00992301">
            <w:pPr>
              <w:tabs>
                <w:tab w:val="left" w:pos="720"/>
                <w:tab w:val="left" w:pos="1080"/>
              </w:tabs>
              <w:spacing w:after="0"/>
              <w:rPr>
                <w:sz w:val="20"/>
              </w:rPr>
            </w:pPr>
            <w:r w:rsidRPr="00F24FF8">
              <w:rPr>
                <w:sz w:val="20"/>
              </w:rPr>
              <w:t>202</w:t>
            </w:r>
            <w:r>
              <w:rPr>
                <w:sz w:val="20"/>
              </w:rPr>
              <w:t>4</w:t>
            </w:r>
          </w:p>
        </w:tc>
      </w:tr>
      <w:tr w:rsidR="00794ABE" w:rsidRPr="00BF2B4F" w14:paraId="4255F4F0" w14:textId="77777777" w:rsidTr="00992301">
        <w:tc>
          <w:tcPr>
            <w:tcW w:w="1922" w:type="dxa"/>
            <w:shd w:val="clear" w:color="auto" w:fill="BDD6EE" w:themeFill="accent1" w:themeFillTint="66"/>
          </w:tcPr>
          <w:p w14:paraId="0AECBADF" w14:textId="77777777" w:rsidR="00794ABE" w:rsidRPr="00151F80" w:rsidRDefault="00794ABE" w:rsidP="00992301">
            <w:pPr>
              <w:tabs>
                <w:tab w:val="left" w:pos="720"/>
                <w:tab w:val="left" w:pos="1080"/>
              </w:tabs>
              <w:spacing w:after="0"/>
              <w:rPr>
                <w:b/>
                <w:sz w:val="20"/>
              </w:rPr>
            </w:pPr>
            <w:bookmarkStart w:id="704" w:name="_Hlk10121326"/>
            <w:r w:rsidRPr="00151F80">
              <w:rPr>
                <w:b/>
                <w:sz w:val="20"/>
              </w:rPr>
              <w:lastRenderedPageBreak/>
              <w:t>Consulting Experts</w:t>
            </w:r>
          </w:p>
        </w:tc>
        <w:tc>
          <w:tcPr>
            <w:tcW w:w="3685" w:type="dxa"/>
            <w:shd w:val="clear" w:color="auto" w:fill="BDD6EE" w:themeFill="accent1" w:themeFillTint="66"/>
          </w:tcPr>
          <w:p w14:paraId="36C9BBE1" w14:textId="77777777" w:rsidR="00794ABE" w:rsidRPr="00151F80" w:rsidRDefault="00794ABE" w:rsidP="00992301">
            <w:pPr>
              <w:tabs>
                <w:tab w:val="left" w:pos="720"/>
                <w:tab w:val="left" w:pos="1080"/>
              </w:tabs>
              <w:spacing w:after="0"/>
              <w:rPr>
                <w:b/>
                <w:sz w:val="20"/>
              </w:rPr>
            </w:pPr>
            <w:r w:rsidRPr="00151F80">
              <w:rPr>
                <w:b/>
                <w:sz w:val="20"/>
              </w:rPr>
              <w:t>Affiliation</w:t>
            </w:r>
          </w:p>
        </w:tc>
        <w:tc>
          <w:tcPr>
            <w:tcW w:w="1985" w:type="dxa"/>
            <w:shd w:val="clear" w:color="auto" w:fill="BDD6EE" w:themeFill="accent1" w:themeFillTint="66"/>
          </w:tcPr>
          <w:p w14:paraId="7439696C" w14:textId="77777777" w:rsidR="00794ABE" w:rsidRPr="00151F80" w:rsidRDefault="00794ABE" w:rsidP="00992301">
            <w:pPr>
              <w:tabs>
                <w:tab w:val="left" w:pos="720"/>
                <w:tab w:val="left" w:pos="1080"/>
              </w:tabs>
              <w:spacing w:after="0"/>
              <w:rPr>
                <w:b/>
                <w:sz w:val="20"/>
              </w:rPr>
            </w:pPr>
            <w:r w:rsidRPr="00151F80">
              <w:rPr>
                <w:b/>
                <w:sz w:val="20"/>
              </w:rPr>
              <w:t>Country</w:t>
            </w:r>
          </w:p>
        </w:tc>
        <w:tc>
          <w:tcPr>
            <w:tcW w:w="1701" w:type="dxa"/>
            <w:shd w:val="clear" w:color="auto" w:fill="BDD6EE" w:themeFill="accent1" w:themeFillTint="66"/>
          </w:tcPr>
          <w:p w14:paraId="598E4766" w14:textId="77777777" w:rsidR="00794ABE" w:rsidRPr="00151F80" w:rsidRDefault="00794ABE" w:rsidP="00992301">
            <w:pPr>
              <w:tabs>
                <w:tab w:val="left" w:pos="720"/>
                <w:tab w:val="left" w:pos="1080"/>
              </w:tabs>
              <w:spacing w:after="0"/>
              <w:rPr>
                <w:b/>
                <w:sz w:val="20"/>
              </w:rPr>
            </w:pPr>
            <w:r w:rsidRPr="00151F80">
              <w:rPr>
                <w:b/>
                <w:sz w:val="20"/>
              </w:rPr>
              <w:t>One-year renewable terms</w:t>
            </w:r>
          </w:p>
        </w:tc>
      </w:tr>
      <w:bookmarkEnd w:id="704"/>
      <w:tr w:rsidR="00794ABE" w:rsidRPr="00BF2B4F" w14:paraId="3C16591B" w14:textId="77777777" w:rsidTr="00992301">
        <w:tc>
          <w:tcPr>
            <w:tcW w:w="1922" w:type="dxa"/>
            <w:shd w:val="clear" w:color="auto" w:fill="auto"/>
          </w:tcPr>
          <w:p w14:paraId="76A26FB4" w14:textId="77777777" w:rsidR="00794ABE" w:rsidRPr="00151F80" w:rsidRDefault="00794ABE" w:rsidP="00992301">
            <w:pPr>
              <w:tabs>
                <w:tab w:val="left" w:pos="720"/>
                <w:tab w:val="left" w:pos="1080"/>
              </w:tabs>
              <w:spacing w:after="0"/>
              <w:rPr>
                <w:b/>
                <w:sz w:val="20"/>
              </w:rPr>
            </w:pPr>
            <w:r>
              <w:rPr>
                <w:sz w:val="20"/>
              </w:rPr>
              <w:t>Clare Bowens</w:t>
            </w:r>
          </w:p>
        </w:tc>
        <w:tc>
          <w:tcPr>
            <w:tcW w:w="3685" w:type="dxa"/>
            <w:shd w:val="clear" w:color="auto" w:fill="auto"/>
          </w:tcPr>
          <w:p w14:paraId="50A44865" w14:textId="77777777" w:rsidR="00794ABE" w:rsidRPr="00151F80" w:rsidRDefault="00794ABE" w:rsidP="00992301">
            <w:pPr>
              <w:tabs>
                <w:tab w:val="left" w:pos="720"/>
                <w:tab w:val="left" w:pos="1080"/>
              </w:tabs>
              <w:spacing w:after="0"/>
              <w:rPr>
                <w:b/>
                <w:sz w:val="20"/>
              </w:rPr>
            </w:pPr>
            <w:r>
              <w:rPr>
                <w:sz w:val="20"/>
              </w:rPr>
              <w:t>Meridian Technical Services</w:t>
            </w:r>
          </w:p>
        </w:tc>
        <w:tc>
          <w:tcPr>
            <w:tcW w:w="1985" w:type="dxa"/>
            <w:shd w:val="clear" w:color="auto" w:fill="auto"/>
          </w:tcPr>
          <w:p w14:paraId="497A3C35" w14:textId="77777777" w:rsidR="00794ABE" w:rsidRPr="00151F80" w:rsidRDefault="00794ABE" w:rsidP="00992301">
            <w:pPr>
              <w:tabs>
                <w:tab w:val="left" w:pos="720"/>
                <w:tab w:val="left" w:pos="1080"/>
              </w:tabs>
              <w:spacing w:after="0"/>
              <w:rPr>
                <w:b/>
                <w:sz w:val="20"/>
              </w:rPr>
            </w:pPr>
            <w:r>
              <w:rPr>
                <w:sz w:val="20"/>
              </w:rPr>
              <w:t>UK</w:t>
            </w:r>
          </w:p>
        </w:tc>
        <w:tc>
          <w:tcPr>
            <w:tcW w:w="1701" w:type="dxa"/>
            <w:shd w:val="clear" w:color="auto" w:fill="BFBFBF" w:themeFill="background1" w:themeFillShade="BF"/>
          </w:tcPr>
          <w:p w14:paraId="71649E35" w14:textId="77777777" w:rsidR="00794ABE" w:rsidRPr="00A72F67" w:rsidRDefault="00794ABE" w:rsidP="00992301">
            <w:pPr>
              <w:tabs>
                <w:tab w:val="left" w:pos="720"/>
                <w:tab w:val="left" w:pos="1080"/>
              </w:tabs>
              <w:spacing w:after="0"/>
              <w:rPr>
                <w:bCs/>
                <w:sz w:val="20"/>
                <w:highlight w:val="yellow"/>
              </w:rPr>
            </w:pPr>
          </w:p>
        </w:tc>
      </w:tr>
      <w:tr w:rsidR="00794ABE" w:rsidRPr="00BF2B4F" w14:paraId="4C356FA2" w14:textId="77777777" w:rsidTr="00992301">
        <w:tc>
          <w:tcPr>
            <w:tcW w:w="1922" w:type="dxa"/>
          </w:tcPr>
          <w:p w14:paraId="40653268" w14:textId="77777777" w:rsidR="00794ABE" w:rsidRPr="000F4AA2" w:rsidRDefault="00794ABE" w:rsidP="00992301">
            <w:pPr>
              <w:tabs>
                <w:tab w:val="left" w:pos="720"/>
                <w:tab w:val="left" w:pos="1080"/>
              </w:tabs>
              <w:spacing w:after="0"/>
              <w:rPr>
                <w:sz w:val="20"/>
              </w:rPr>
            </w:pPr>
            <w:r w:rsidRPr="00D23986">
              <w:rPr>
                <w:sz w:val="20"/>
              </w:rPr>
              <w:t>Thomas Cortina</w:t>
            </w:r>
          </w:p>
        </w:tc>
        <w:tc>
          <w:tcPr>
            <w:tcW w:w="3685" w:type="dxa"/>
          </w:tcPr>
          <w:p w14:paraId="054B9235" w14:textId="77777777" w:rsidR="00794ABE" w:rsidRPr="000F4AA2" w:rsidRDefault="00794ABE" w:rsidP="00992301">
            <w:pPr>
              <w:tabs>
                <w:tab w:val="left" w:pos="720"/>
                <w:tab w:val="left" w:pos="1080"/>
              </w:tabs>
              <w:spacing w:after="0"/>
              <w:rPr>
                <w:sz w:val="20"/>
              </w:rPr>
            </w:pPr>
            <w:r w:rsidRPr="00D23986">
              <w:rPr>
                <w:sz w:val="20"/>
              </w:rPr>
              <w:t>Halon Alternatives Research Corporation</w:t>
            </w:r>
          </w:p>
        </w:tc>
        <w:tc>
          <w:tcPr>
            <w:tcW w:w="1985" w:type="dxa"/>
          </w:tcPr>
          <w:p w14:paraId="3F34A73D" w14:textId="77777777" w:rsidR="00794ABE" w:rsidRPr="000F4AA2" w:rsidRDefault="00794ABE" w:rsidP="00992301">
            <w:pPr>
              <w:tabs>
                <w:tab w:val="left" w:pos="720"/>
                <w:tab w:val="left" w:pos="1080"/>
              </w:tabs>
              <w:spacing w:after="0"/>
              <w:rPr>
                <w:sz w:val="20"/>
              </w:rPr>
            </w:pPr>
            <w:r w:rsidRPr="00D23986">
              <w:rPr>
                <w:sz w:val="20"/>
              </w:rPr>
              <w:t>USA</w:t>
            </w:r>
          </w:p>
        </w:tc>
        <w:tc>
          <w:tcPr>
            <w:tcW w:w="1701" w:type="dxa"/>
            <w:shd w:val="clear" w:color="auto" w:fill="BFBFBF" w:themeFill="background1" w:themeFillShade="BF"/>
          </w:tcPr>
          <w:p w14:paraId="62009A89" w14:textId="77777777" w:rsidR="00794ABE" w:rsidRPr="000B6010" w:rsidRDefault="00794ABE" w:rsidP="00992301">
            <w:pPr>
              <w:tabs>
                <w:tab w:val="left" w:pos="720"/>
                <w:tab w:val="left" w:pos="1080"/>
              </w:tabs>
              <w:spacing w:after="0"/>
              <w:rPr>
                <w:bCs/>
                <w:sz w:val="20"/>
              </w:rPr>
            </w:pPr>
          </w:p>
        </w:tc>
      </w:tr>
      <w:tr w:rsidR="00794ABE" w:rsidRPr="00BF2B4F" w14:paraId="498EAB6F" w14:textId="77777777" w:rsidTr="00992301">
        <w:tc>
          <w:tcPr>
            <w:tcW w:w="1922" w:type="dxa"/>
          </w:tcPr>
          <w:p w14:paraId="390868FA" w14:textId="77777777" w:rsidR="00794ABE" w:rsidRPr="00D23986" w:rsidRDefault="00794ABE" w:rsidP="00992301">
            <w:pPr>
              <w:tabs>
                <w:tab w:val="left" w:pos="720"/>
                <w:tab w:val="left" w:pos="1080"/>
              </w:tabs>
              <w:spacing w:after="0"/>
              <w:rPr>
                <w:sz w:val="20"/>
              </w:rPr>
            </w:pPr>
            <w:r>
              <w:rPr>
                <w:sz w:val="20"/>
              </w:rPr>
              <w:t>Joshua R. Fritsch</w:t>
            </w:r>
          </w:p>
        </w:tc>
        <w:tc>
          <w:tcPr>
            <w:tcW w:w="3685" w:type="dxa"/>
          </w:tcPr>
          <w:p w14:paraId="12B01178" w14:textId="77777777" w:rsidR="00794ABE" w:rsidRPr="00D23986" w:rsidRDefault="00794ABE" w:rsidP="00992301">
            <w:pPr>
              <w:tabs>
                <w:tab w:val="left" w:pos="720"/>
                <w:tab w:val="left" w:pos="1080"/>
              </w:tabs>
              <w:spacing w:after="0"/>
              <w:rPr>
                <w:sz w:val="20"/>
              </w:rPr>
            </w:pPr>
            <w:r w:rsidRPr="00D23986">
              <w:rPr>
                <w:sz w:val="20"/>
              </w:rPr>
              <w:t>United States Army</w:t>
            </w:r>
          </w:p>
        </w:tc>
        <w:tc>
          <w:tcPr>
            <w:tcW w:w="1985" w:type="dxa"/>
          </w:tcPr>
          <w:p w14:paraId="079AE97C" w14:textId="77777777" w:rsidR="00794ABE" w:rsidRPr="00D23986" w:rsidRDefault="00794ABE" w:rsidP="00992301">
            <w:pPr>
              <w:tabs>
                <w:tab w:val="left" w:pos="720"/>
                <w:tab w:val="left" w:pos="1080"/>
              </w:tabs>
              <w:spacing w:after="0"/>
              <w:rPr>
                <w:sz w:val="20"/>
              </w:rPr>
            </w:pPr>
            <w:r>
              <w:rPr>
                <w:sz w:val="20"/>
              </w:rPr>
              <w:t>USA</w:t>
            </w:r>
          </w:p>
        </w:tc>
        <w:tc>
          <w:tcPr>
            <w:tcW w:w="1701" w:type="dxa"/>
            <w:shd w:val="clear" w:color="auto" w:fill="BFBFBF" w:themeFill="background1" w:themeFillShade="BF"/>
          </w:tcPr>
          <w:p w14:paraId="5CFBF90F" w14:textId="77777777" w:rsidR="00794ABE" w:rsidRPr="000B6010" w:rsidRDefault="00794ABE" w:rsidP="00992301">
            <w:pPr>
              <w:tabs>
                <w:tab w:val="left" w:pos="720"/>
                <w:tab w:val="left" w:pos="1080"/>
              </w:tabs>
              <w:spacing w:after="0"/>
              <w:rPr>
                <w:bCs/>
                <w:sz w:val="20"/>
              </w:rPr>
            </w:pPr>
          </w:p>
        </w:tc>
      </w:tr>
      <w:tr w:rsidR="00794ABE" w:rsidRPr="000B6010" w14:paraId="2C3CD74D" w14:textId="77777777" w:rsidTr="00992301">
        <w:tc>
          <w:tcPr>
            <w:tcW w:w="1922" w:type="dxa"/>
          </w:tcPr>
          <w:p w14:paraId="0153AC40" w14:textId="77777777" w:rsidR="00794ABE" w:rsidRPr="000F4AA2" w:rsidRDefault="00794ABE" w:rsidP="00992301">
            <w:pPr>
              <w:tabs>
                <w:tab w:val="left" w:pos="720"/>
                <w:tab w:val="left" w:pos="1080"/>
              </w:tabs>
              <w:spacing w:after="0"/>
              <w:rPr>
                <w:sz w:val="20"/>
              </w:rPr>
            </w:pPr>
            <w:r w:rsidRPr="00D23986">
              <w:rPr>
                <w:sz w:val="20"/>
              </w:rPr>
              <w:t>Matsuo Ishiyama</w:t>
            </w:r>
          </w:p>
        </w:tc>
        <w:tc>
          <w:tcPr>
            <w:tcW w:w="3685" w:type="dxa"/>
          </w:tcPr>
          <w:p w14:paraId="0203CE73" w14:textId="77777777" w:rsidR="00794ABE" w:rsidRPr="000F4AA2" w:rsidRDefault="00794ABE" w:rsidP="00992301">
            <w:pPr>
              <w:tabs>
                <w:tab w:val="left" w:pos="720"/>
                <w:tab w:val="left" w:pos="1080"/>
              </w:tabs>
              <w:spacing w:after="0"/>
              <w:rPr>
                <w:sz w:val="20"/>
              </w:rPr>
            </w:pPr>
            <w:r w:rsidRPr="00D23986">
              <w:rPr>
                <w:sz w:val="20"/>
              </w:rPr>
              <w:t>Nohmi Bosai Ltd &amp; Fire and Environment Prot. Network</w:t>
            </w:r>
          </w:p>
        </w:tc>
        <w:tc>
          <w:tcPr>
            <w:tcW w:w="1985" w:type="dxa"/>
          </w:tcPr>
          <w:p w14:paraId="6713B1EC" w14:textId="77777777" w:rsidR="00794ABE" w:rsidRPr="000B6010" w:rsidRDefault="00794ABE" w:rsidP="00992301">
            <w:pPr>
              <w:tabs>
                <w:tab w:val="left" w:pos="720"/>
                <w:tab w:val="left" w:pos="1080"/>
              </w:tabs>
              <w:spacing w:after="0"/>
              <w:rPr>
                <w:sz w:val="20"/>
              </w:rPr>
            </w:pPr>
            <w:r w:rsidRPr="000B6010">
              <w:rPr>
                <w:sz w:val="20"/>
              </w:rPr>
              <w:t>Japan</w:t>
            </w:r>
          </w:p>
        </w:tc>
        <w:tc>
          <w:tcPr>
            <w:tcW w:w="1701" w:type="dxa"/>
            <w:shd w:val="clear" w:color="auto" w:fill="BFBFBF" w:themeFill="background1" w:themeFillShade="BF"/>
          </w:tcPr>
          <w:p w14:paraId="799D8D26" w14:textId="77777777" w:rsidR="00794ABE" w:rsidRPr="000B6010" w:rsidRDefault="00794ABE" w:rsidP="00992301">
            <w:pPr>
              <w:tabs>
                <w:tab w:val="left" w:pos="720"/>
                <w:tab w:val="left" w:pos="1080"/>
              </w:tabs>
              <w:spacing w:after="0"/>
              <w:rPr>
                <w:bCs/>
                <w:sz w:val="20"/>
              </w:rPr>
            </w:pPr>
          </w:p>
        </w:tc>
      </w:tr>
      <w:tr w:rsidR="00794ABE" w:rsidRPr="000B6010" w14:paraId="6AA44176" w14:textId="77777777" w:rsidTr="00992301">
        <w:tc>
          <w:tcPr>
            <w:tcW w:w="1922" w:type="dxa"/>
          </w:tcPr>
          <w:p w14:paraId="351C7F69" w14:textId="77777777" w:rsidR="00794ABE" w:rsidRPr="000F4AA2" w:rsidRDefault="00794ABE" w:rsidP="00992301">
            <w:pPr>
              <w:tabs>
                <w:tab w:val="left" w:pos="720"/>
                <w:tab w:val="left" w:pos="1080"/>
              </w:tabs>
              <w:spacing w:after="0"/>
              <w:rPr>
                <w:sz w:val="20"/>
              </w:rPr>
            </w:pPr>
            <w:r w:rsidRPr="00D23986">
              <w:rPr>
                <w:sz w:val="20"/>
              </w:rPr>
              <w:t>Nikolai Kopylov</w:t>
            </w:r>
          </w:p>
        </w:tc>
        <w:tc>
          <w:tcPr>
            <w:tcW w:w="3685" w:type="dxa"/>
          </w:tcPr>
          <w:p w14:paraId="2150C234" w14:textId="77777777" w:rsidR="00794ABE" w:rsidRPr="000F4AA2" w:rsidRDefault="00794ABE" w:rsidP="00992301">
            <w:pPr>
              <w:tabs>
                <w:tab w:val="left" w:pos="720"/>
                <w:tab w:val="left" w:pos="1080"/>
              </w:tabs>
              <w:spacing w:after="0"/>
              <w:rPr>
                <w:sz w:val="20"/>
              </w:rPr>
            </w:pPr>
            <w:r w:rsidRPr="00D23986">
              <w:rPr>
                <w:sz w:val="20"/>
              </w:rPr>
              <w:t>Russian Res. Institute for Fire Protection</w:t>
            </w:r>
          </w:p>
        </w:tc>
        <w:tc>
          <w:tcPr>
            <w:tcW w:w="1985" w:type="dxa"/>
          </w:tcPr>
          <w:p w14:paraId="3236FD50" w14:textId="77777777" w:rsidR="00794ABE" w:rsidRPr="000B6010" w:rsidRDefault="00794ABE" w:rsidP="00992301">
            <w:pPr>
              <w:tabs>
                <w:tab w:val="left" w:pos="720"/>
                <w:tab w:val="left" w:pos="1080"/>
              </w:tabs>
              <w:spacing w:after="0"/>
              <w:rPr>
                <w:sz w:val="20"/>
              </w:rPr>
            </w:pPr>
            <w:r w:rsidRPr="000B6010">
              <w:rPr>
                <w:sz w:val="20"/>
              </w:rPr>
              <w:t>Russian Fed.</w:t>
            </w:r>
          </w:p>
        </w:tc>
        <w:tc>
          <w:tcPr>
            <w:tcW w:w="1701" w:type="dxa"/>
            <w:shd w:val="clear" w:color="auto" w:fill="BFBFBF" w:themeFill="background1" w:themeFillShade="BF"/>
          </w:tcPr>
          <w:p w14:paraId="02A0B74A" w14:textId="77777777" w:rsidR="00794ABE" w:rsidRPr="000B6010" w:rsidRDefault="00794ABE" w:rsidP="00992301">
            <w:pPr>
              <w:tabs>
                <w:tab w:val="left" w:pos="720"/>
                <w:tab w:val="left" w:pos="1080"/>
              </w:tabs>
              <w:spacing w:after="0"/>
              <w:rPr>
                <w:bCs/>
                <w:sz w:val="20"/>
              </w:rPr>
            </w:pPr>
          </w:p>
        </w:tc>
      </w:tr>
      <w:tr w:rsidR="00794ABE" w:rsidRPr="000B6010" w14:paraId="7AA93229" w14:textId="77777777" w:rsidTr="00992301">
        <w:tc>
          <w:tcPr>
            <w:tcW w:w="1922" w:type="dxa"/>
          </w:tcPr>
          <w:p w14:paraId="3A7032D2" w14:textId="77777777" w:rsidR="00794ABE" w:rsidRPr="000F4AA2" w:rsidRDefault="00794ABE" w:rsidP="00992301">
            <w:pPr>
              <w:tabs>
                <w:tab w:val="left" w:pos="720"/>
                <w:tab w:val="left" w:pos="1080"/>
              </w:tabs>
              <w:spacing w:after="0"/>
              <w:rPr>
                <w:sz w:val="20"/>
              </w:rPr>
            </w:pPr>
            <w:r w:rsidRPr="00D23986">
              <w:rPr>
                <w:sz w:val="20"/>
              </w:rPr>
              <w:t>Steve McCormick</w:t>
            </w:r>
          </w:p>
        </w:tc>
        <w:tc>
          <w:tcPr>
            <w:tcW w:w="3685" w:type="dxa"/>
          </w:tcPr>
          <w:p w14:paraId="7D5A82CB" w14:textId="77777777" w:rsidR="00794ABE" w:rsidRPr="000F4AA2" w:rsidRDefault="00794ABE" w:rsidP="00992301">
            <w:pPr>
              <w:tabs>
                <w:tab w:val="left" w:pos="720"/>
                <w:tab w:val="left" w:pos="1080"/>
              </w:tabs>
              <w:spacing w:after="0"/>
              <w:rPr>
                <w:sz w:val="20"/>
              </w:rPr>
            </w:pPr>
            <w:r w:rsidRPr="00D23986">
              <w:rPr>
                <w:sz w:val="20"/>
              </w:rPr>
              <w:t>United States Army</w:t>
            </w:r>
            <w:r>
              <w:rPr>
                <w:sz w:val="20"/>
              </w:rPr>
              <w:t xml:space="preserve"> (alternate)</w:t>
            </w:r>
          </w:p>
        </w:tc>
        <w:tc>
          <w:tcPr>
            <w:tcW w:w="1985" w:type="dxa"/>
          </w:tcPr>
          <w:p w14:paraId="1458A427" w14:textId="77777777" w:rsidR="00794ABE" w:rsidRPr="000B6010" w:rsidRDefault="00794ABE" w:rsidP="00992301">
            <w:pPr>
              <w:tabs>
                <w:tab w:val="left" w:pos="720"/>
                <w:tab w:val="left" w:pos="1080"/>
              </w:tabs>
              <w:spacing w:after="0"/>
              <w:rPr>
                <w:sz w:val="20"/>
              </w:rPr>
            </w:pPr>
            <w:r w:rsidRPr="000B6010">
              <w:rPr>
                <w:sz w:val="20"/>
              </w:rPr>
              <w:t>USA</w:t>
            </w:r>
          </w:p>
        </w:tc>
        <w:tc>
          <w:tcPr>
            <w:tcW w:w="1701" w:type="dxa"/>
            <w:shd w:val="clear" w:color="auto" w:fill="BFBFBF" w:themeFill="background1" w:themeFillShade="BF"/>
          </w:tcPr>
          <w:p w14:paraId="279E3021" w14:textId="77777777" w:rsidR="00794ABE" w:rsidRPr="000B6010" w:rsidRDefault="00794ABE" w:rsidP="00992301">
            <w:pPr>
              <w:tabs>
                <w:tab w:val="left" w:pos="720"/>
                <w:tab w:val="left" w:pos="1080"/>
              </w:tabs>
              <w:spacing w:after="0"/>
              <w:rPr>
                <w:bCs/>
                <w:sz w:val="20"/>
              </w:rPr>
            </w:pPr>
          </w:p>
        </w:tc>
      </w:tr>
      <w:tr w:rsidR="00794ABE" w:rsidRPr="000B6010" w14:paraId="39D4A18B" w14:textId="77777777" w:rsidTr="00992301">
        <w:tc>
          <w:tcPr>
            <w:tcW w:w="1922" w:type="dxa"/>
          </w:tcPr>
          <w:p w14:paraId="47F6365F" w14:textId="77777777" w:rsidR="00794ABE" w:rsidRPr="000F4AA2" w:rsidRDefault="00794ABE" w:rsidP="00992301">
            <w:pPr>
              <w:tabs>
                <w:tab w:val="left" w:pos="720"/>
                <w:tab w:val="left" w:pos="1080"/>
              </w:tabs>
              <w:spacing w:after="0"/>
              <w:rPr>
                <w:sz w:val="20"/>
              </w:rPr>
            </w:pPr>
            <w:r w:rsidRPr="00D23986">
              <w:rPr>
                <w:sz w:val="20"/>
              </w:rPr>
              <w:t>John G. Owens</w:t>
            </w:r>
          </w:p>
        </w:tc>
        <w:tc>
          <w:tcPr>
            <w:tcW w:w="3685" w:type="dxa"/>
          </w:tcPr>
          <w:p w14:paraId="4B90AE82" w14:textId="77777777" w:rsidR="00794ABE" w:rsidRPr="000F4AA2" w:rsidRDefault="00794ABE" w:rsidP="00992301">
            <w:pPr>
              <w:tabs>
                <w:tab w:val="left" w:pos="720"/>
                <w:tab w:val="left" w:pos="1080"/>
              </w:tabs>
              <w:spacing w:after="0"/>
              <w:rPr>
                <w:sz w:val="20"/>
              </w:rPr>
            </w:pPr>
            <w:r w:rsidRPr="00D23986">
              <w:rPr>
                <w:sz w:val="20"/>
              </w:rPr>
              <w:t>3M Company</w:t>
            </w:r>
          </w:p>
        </w:tc>
        <w:tc>
          <w:tcPr>
            <w:tcW w:w="1985" w:type="dxa"/>
          </w:tcPr>
          <w:p w14:paraId="08837C75" w14:textId="77777777" w:rsidR="00794ABE" w:rsidRPr="000B6010" w:rsidRDefault="00794ABE" w:rsidP="00992301">
            <w:pPr>
              <w:tabs>
                <w:tab w:val="left" w:pos="720"/>
                <w:tab w:val="left" w:pos="1080"/>
              </w:tabs>
              <w:spacing w:after="0"/>
              <w:rPr>
                <w:sz w:val="20"/>
              </w:rPr>
            </w:pPr>
            <w:r w:rsidRPr="000B6010">
              <w:rPr>
                <w:sz w:val="20"/>
              </w:rPr>
              <w:t>USA</w:t>
            </w:r>
          </w:p>
        </w:tc>
        <w:tc>
          <w:tcPr>
            <w:tcW w:w="1701" w:type="dxa"/>
            <w:shd w:val="clear" w:color="auto" w:fill="BFBFBF" w:themeFill="background1" w:themeFillShade="BF"/>
          </w:tcPr>
          <w:p w14:paraId="374A5611" w14:textId="77777777" w:rsidR="00794ABE" w:rsidRPr="000B6010" w:rsidRDefault="00794ABE" w:rsidP="00992301">
            <w:pPr>
              <w:tabs>
                <w:tab w:val="left" w:pos="720"/>
                <w:tab w:val="left" w:pos="1080"/>
              </w:tabs>
              <w:spacing w:after="0"/>
              <w:rPr>
                <w:bCs/>
                <w:sz w:val="20"/>
              </w:rPr>
            </w:pPr>
          </w:p>
        </w:tc>
      </w:tr>
      <w:tr w:rsidR="00794ABE" w:rsidRPr="000B6010" w14:paraId="3936FCAB" w14:textId="77777777" w:rsidTr="00992301">
        <w:tc>
          <w:tcPr>
            <w:tcW w:w="1922" w:type="dxa"/>
          </w:tcPr>
          <w:p w14:paraId="2D462365" w14:textId="77777777" w:rsidR="00794ABE" w:rsidRPr="000F4AA2" w:rsidRDefault="00794ABE" w:rsidP="00992301">
            <w:pPr>
              <w:tabs>
                <w:tab w:val="left" w:pos="720"/>
                <w:tab w:val="left" w:pos="1080"/>
              </w:tabs>
              <w:spacing w:after="0"/>
              <w:rPr>
                <w:sz w:val="20"/>
              </w:rPr>
            </w:pPr>
            <w:r w:rsidRPr="00D23986">
              <w:rPr>
                <w:sz w:val="20"/>
              </w:rPr>
              <w:t>John J. O’Sullivan</w:t>
            </w:r>
          </w:p>
        </w:tc>
        <w:tc>
          <w:tcPr>
            <w:tcW w:w="3685" w:type="dxa"/>
          </w:tcPr>
          <w:p w14:paraId="76C8A19F" w14:textId="77777777" w:rsidR="00794ABE" w:rsidRPr="000F4AA2" w:rsidRDefault="00794ABE" w:rsidP="00992301">
            <w:pPr>
              <w:tabs>
                <w:tab w:val="left" w:pos="720"/>
                <w:tab w:val="left" w:pos="1080"/>
              </w:tabs>
              <w:spacing w:after="0"/>
              <w:rPr>
                <w:sz w:val="20"/>
              </w:rPr>
            </w:pPr>
            <w:r w:rsidRPr="00D23986">
              <w:rPr>
                <w:sz w:val="20"/>
              </w:rPr>
              <w:t>Bureau Veriitas</w:t>
            </w:r>
          </w:p>
        </w:tc>
        <w:tc>
          <w:tcPr>
            <w:tcW w:w="1985" w:type="dxa"/>
          </w:tcPr>
          <w:p w14:paraId="09ED38FE" w14:textId="77777777" w:rsidR="00794ABE" w:rsidRPr="000B6010" w:rsidRDefault="00794ABE" w:rsidP="00992301">
            <w:pPr>
              <w:tabs>
                <w:tab w:val="left" w:pos="720"/>
                <w:tab w:val="left" w:pos="1080"/>
              </w:tabs>
              <w:spacing w:after="0"/>
              <w:rPr>
                <w:sz w:val="20"/>
              </w:rPr>
            </w:pPr>
            <w:r w:rsidRPr="000B6010">
              <w:rPr>
                <w:sz w:val="20"/>
              </w:rPr>
              <w:t>UK</w:t>
            </w:r>
          </w:p>
        </w:tc>
        <w:tc>
          <w:tcPr>
            <w:tcW w:w="1701" w:type="dxa"/>
            <w:shd w:val="clear" w:color="auto" w:fill="BFBFBF" w:themeFill="background1" w:themeFillShade="BF"/>
          </w:tcPr>
          <w:p w14:paraId="6CB00EDC" w14:textId="77777777" w:rsidR="00794ABE" w:rsidRPr="000B6010" w:rsidRDefault="00794ABE" w:rsidP="00992301">
            <w:pPr>
              <w:tabs>
                <w:tab w:val="left" w:pos="720"/>
                <w:tab w:val="left" w:pos="1080"/>
              </w:tabs>
              <w:spacing w:after="0"/>
              <w:rPr>
                <w:bCs/>
                <w:sz w:val="20"/>
              </w:rPr>
            </w:pPr>
          </w:p>
        </w:tc>
      </w:tr>
      <w:tr w:rsidR="00794ABE" w:rsidRPr="000B6010" w14:paraId="25A2522B" w14:textId="77777777" w:rsidTr="00992301">
        <w:tc>
          <w:tcPr>
            <w:tcW w:w="1922" w:type="dxa"/>
          </w:tcPr>
          <w:p w14:paraId="0D87F195" w14:textId="77777777" w:rsidR="00794ABE" w:rsidRPr="000F4AA2" w:rsidRDefault="00794ABE" w:rsidP="00992301">
            <w:pPr>
              <w:tabs>
                <w:tab w:val="left" w:pos="720"/>
                <w:tab w:val="left" w:pos="1080"/>
              </w:tabs>
              <w:spacing w:after="0"/>
              <w:rPr>
                <w:sz w:val="20"/>
              </w:rPr>
            </w:pPr>
            <w:r w:rsidRPr="00D23986">
              <w:rPr>
                <w:sz w:val="20"/>
              </w:rPr>
              <w:t>Mark L. Robin</w:t>
            </w:r>
          </w:p>
        </w:tc>
        <w:tc>
          <w:tcPr>
            <w:tcW w:w="3685" w:type="dxa"/>
          </w:tcPr>
          <w:p w14:paraId="334BA337" w14:textId="77777777" w:rsidR="00794ABE" w:rsidRPr="000F4AA2" w:rsidRDefault="00794ABE" w:rsidP="00992301">
            <w:pPr>
              <w:tabs>
                <w:tab w:val="left" w:pos="720"/>
                <w:tab w:val="left" w:pos="1080"/>
              </w:tabs>
              <w:spacing w:after="0"/>
              <w:rPr>
                <w:sz w:val="20"/>
              </w:rPr>
            </w:pPr>
            <w:r w:rsidRPr="00D23986">
              <w:rPr>
                <w:sz w:val="20"/>
              </w:rPr>
              <w:t>Chemours</w:t>
            </w:r>
          </w:p>
        </w:tc>
        <w:tc>
          <w:tcPr>
            <w:tcW w:w="1985" w:type="dxa"/>
          </w:tcPr>
          <w:p w14:paraId="77C156C2" w14:textId="77777777" w:rsidR="00794ABE" w:rsidRPr="000B6010" w:rsidRDefault="00794ABE" w:rsidP="00992301">
            <w:pPr>
              <w:tabs>
                <w:tab w:val="left" w:pos="720"/>
                <w:tab w:val="left" w:pos="1080"/>
              </w:tabs>
              <w:spacing w:after="0"/>
              <w:rPr>
                <w:sz w:val="20"/>
              </w:rPr>
            </w:pPr>
            <w:r w:rsidRPr="000B6010">
              <w:rPr>
                <w:sz w:val="20"/>
              </w:rPr>
              <w:t>USA</w:t>
            </w:r>
          </w:p>
        </w:tc>
        <w:tc>
          <w:tcPr>
            <w:tcW w:w="1701" w:type="dxa"/>
            <w:shd w:val="clear" w:color="auto" w:fill="BFBFBF" w:themeFill="background1" w:themeFillShade="BF"/>
          </w:tcPr>
          <w:p w14:paraId="4F2A5240" w14:textId="77777777" w:rsidR="00794ABE" w:rsidRPr="000B6010" w:rsidRDefault="00794ABE" w:rsidP="00992301">
            <w:pPr>
              <w:tabs>
                <w:tab w:val="left" w:pos="720"/>
                <w:tab w:val="left" w:pos="1080"/>
              </w:tabs>
              <w:spacing w:after="0"/>
              <w:rPr>
                <w:bCs/>
                <w:sz w:val="20"/>
              </w:rPr>
            </w:pPr>
          </w:p>
        </w:tc>
      </w:tr>
      <w:tr w:rsidR="00794ABE" w:rsidRPr="000B6010" w14:paraId="739C0C7B" w14:textId="77777777" w:rsidTr="00992301">
        <w:tc>
          <w:tcPr>
            <w:tcW w:w="1922" w:type="dxa"/>
          </w:tcPr>
          <w:p w14:paraId="5F370B32" w14:textId="77777777" w:rsidR="00794ABE" w:rsidRPr="000F4AA2" w:rsidRDefault="00794ABE" w:rsidP="00992301">
            <w:pPr>
              <w:tabs>
                <w:tab w:val="left" w:pos="720"/>
                <w:tab w:val="left" w:pos="1080"/>
              </w:tabs>
              <w:spacing w:after="0"/>
              <w:rPr>
                <w:sz w:val="20"/>
              </w:rPr>
            </w:pPr>
            <w:r w:rsidRPr="00D23986">
              <w:rPr>
                <w:sz w:val="20"/>
              </w:rPr>
              <w:t>Joseph A. Senecal</w:t>
            </w:r>
          </w:p>
        </w:tc>
        <w:tc>
          <w:tcPr>
            <w:tcW w:w="3685" w:type="dxa"/>
          </w:tcPr>
          <w:p w14:paraId="5DB55341" w14:textId="77777777" w:rsidR="00794ABE" w:rsidRPr="000F4AA2" w:rsidRDefault="00794ABE" w:rsidP="00992301">
            <w:pPr>
              <w:tabs>
                <w:tab w:val="left" w:pos="720"/>
                <w:tab w:val="left" w:pos="1080"/>
              </w:tabs>
              <w:spacing w:after="0"/>
              <w:rPr>
                <w:sz w:val="20"/>
              </w:rPr>
            </w:pPr>
            <w:r>
              <w:rPr>
                <w:sz w:val="20"/>
              </w:rPr>
              <w:t>FireMetrics LLC</w:t>
            </w:r>
          </w:p>
        </w:tc>
        <w:tc>
          <w:tcPr>
            <w:tcW w:w="1985" w:type="dxa"/>
          </w:tcPr>
          <w:p w14:paraId="1047D981" w14:textId="77777777" w:rsidR="00794ABE" w:rsidRPr="000B6010" w:rsidRDefault="00794ABE" w:rsidP="00992301">
            <w:pPr>
              <w:tabs>
                <w:tab w:val="left" w:pos="720"/>
                <w:tab w:val="left" w:pos="1080"/>
              </w:tabs>
              <w:spacing w:after="0"/>
              <w:rPr>
                <w:sz w:val="20"/>
              </w:rPr>
            </w:pPr>
            <w:r w:rsidRPr="000B6010">
              <w:rPr>
                <w:sz w:val="20"/>
              </w:rPr>
              <w:t>USA</w:t>
            </w:r>
          </w:p>
        </w:tc>
        <w:tc>
          <w:tcPr>
            <w:tcW w:w="1701" w:type="dxa"/>
            <w:shd w:val="clear" w:color="auto" w:fill="BFBFBF" w:themeFill="background1" w:themeFillShade="BF"/>
          </w:tcPr>
          <w:p w14:paraId="2F6FEB21" w14:textId="77777777" w:rsidR="00794ABE" w:rsidRPr="000B6010" w:rsidRDefault="00794ABE" w:rsidP="00992301">
            <w:pPr>
              <w:tabs>
                <w:tab w:val="left" w:pos="720"/>
                <w:tab w:val="left" w:pos="1080"/>
              </w:tabs>
              <w:spacing w:after="0"/>
              <w:rPr>
                <w:sz w:val="20"/>
              </w:rPr>
            </w:pPr>
          </w:p>
        </w:tc>
      </w:tr>
      <w:tr w:rsidR="00794ABE" w:rsidRPr="000B6010" w14:paraId="7DFFC25C" w14:textId="77777777" w:rsidTr="00992301">
        <w:tc>
          <w:tcPr>
            <w:tcW w:w="1922" w:type="dxa"/>
          </w:tcPr>
          <w:p w14:paraId="4497AD11" w14:textId="77777777" w:rsidR="00794ABE" w:rsidRPr="00D23986" w:rsidRDefault="00794ABE" w:rsidP="00992301">
            <w:pPr>
              <w:tabs>
                <w:tab w:val="left" w:pos="720"/>
                <w:tab w:val="left" w:pos="1080"/>
              </w:tabs>
              <w:spacing w:after="0"/>
              <w:rPr>
                <w:sz w:val="20"/>
              </w:rPr>
            </w:pPr>
            <w:r>
              <w:rPr>
                <w:sz w:val="20"/>
              </w:rPr>
              <w:t>Sidney de Brito Teixeiraa</w:t>
            </w:r>
          </w:p>
        </w:tc>
        <w:tc>
          <w:tcPr>
            <w:tcW w:w="3685" w:type="dxa"/>
          </w:tcPr>
          <w:p w14:paraId="09D72BB0" w14:textId="77777777" w:rsidR="00794ABE" w:rsidRDefault="00794ABE" w:rsidP="00992301">
            <w:pPr>
              <w:tabs>
                <w:tab w:val="left" w:pos="720"/>
                <w:tab w:val="left" w:pos="1080"/>
              </w:tabs>
              <w:spacing w:after="0"/>
              <w:rPr>
                <w:sz w:val="20"/>
              </w:rPr>
            </w:pPr>
            <w:r>
              <w:rPr>
                <w:sz w:val="20"/>
              </w:rPr>
              <w:t>Embraer</w:t>
            </w:r>
          </w:p>
        </w:tc>
        <w:tc>
          <w:tcPr>
            <w:tcW w:w="1985" w:type="dxa"/>
          </w:tcPr>
          <w:p w14:paraId="1EB3AF7E" w14:textId="77777777" w:rsidR="00794ABE" w:rsidRPr="000B6010" w:rsidRDefault="00794ABE" w:rsidP="00992301">
            <w:pPr>
              <w:tabs>
                <w:tab w:val="left" w:pos="720"/>
                <w:tab w:val="left" w:pos="1080"/>
              </w:tabs>
              <w:spacing w:after="0"/>
              <w:rPr>
                <w:sz w:val="20"/>
              </w:rPr>
            </w:pPr>
            <w:r>
              <w:rPr>
                <w:sz w:val="20"/>
              </w:rPr>
              <w:t>Brazil</w:t>
            </w:r>
          </w:p>
        </w:tc>
        <w:tc>
          <w:tcPr>
            <w:tcW w:w="1701" w:type="dxa"/>
            <w:shd w:val="clear" w:color="auto" w:fill="BFBFBF" w:themeFill="background1" w:themeFillShade="BF"/>
          </w:tcPr>
          <w:p w14:paraId="6E604339" w14:textId="77777777" w:rsidR="00794ABE" w:rsidRPr="000B6010" w:rsidRDefault="00794ABE" w:rsidP="00992301">
            <w:pPr>
              <w:tabs>
                <w:tab w:val="left" w:pos="720"/>
                <w:tab w:val="left" w:pos="1080"/>
              </w:tabs>
              <w:spacing w:after="0"/>
              <w:rPr>
                <w:sz w:val="20"/>
              </w:rPr>
            </w:pPr>
          </w:p>
        </w:tc>
      </w:tr>
    </w:tbl>
    <w:p w14:paraId="57D04FE9" w14:textId="43C57B70" w:rsidR="00794ABE" w:rsidRPr="008331BC" w:rsidRDefault="00794ABE" w:rsidP="00794ABE">
      <w:pPr>
        <w:rPr>
          <w:i/>
          <w:sz w:val="20"/>
        </w:rPr>
      </w:pPr>
      <w:r>
        <w:rPr>
          <w:i/>
          <w:sz w:val="20"/>
        </w:rPr>
        <w:t xml:space="preserve">* </w:t>
      </w:r>
      <w:r w:rsidRPr="009504AB">
        <w:rPr>
          <w:i/>
          <w:sz w:val="20"/>
        </w:rPr>
        <w:t>Indicates members whose terms expire</w:t>
      </w:r>
      <w:r>
        <w:rPr>
          <w:i/>
          <w:sz w:val="20"/>
        </w:rPr>
        <w:t xml:space="preserve"> </w:t>
      </w:r>
      <w:r w:rsidRPr="00D23986">
        <w:rPr>
          <w:i/>
          <w:sz w:val="20"/>
        </w:rPr>
        <w:t>at the end of the current year</w:t>
      </w:r>
    </w:p>
    <w:p w14:paraId="10206902" w14:textId="02F85B74" w:rsidR="008A212A" w:rsidRPr="00BE2C76" w:rsidRDefault="005B3245" w:rsidP="00EA7839">
      <w:pPr>
        <w:rPr>
          <w:rStyle w:val="Heading2Char"/>
        </w:rPr>
      </w:pPr>
      <w:r w:rsidRPr="00BE2C76">
        <w:rPr>
          <w:rStyle w:val="Heading2Char"/>
        </w:rPr>
        <w:t>4.</w:t>
      </w:r>
      <w:r w:rsidRPr="00BE2C76">
        <w:rPr>
          <w:rStyle w:val="Heading2Char"/>
        </w:rPr>
        <w:tab/>
      </w:r>
      <w:bookmarkStart w:id="705" w:name="_Toc514151697"/>
      <w:r w:rsidR="008A212A" w:rsidRPr="00BE2C76">
        <w:rPr>
          <w:rStyle w:val="Heading2Char"/>
        </w:rPr>
        <w:t>TEAP Methyl Bromide Technical Options Committee (MBTOC)</w:t>
      </w:r>
      <w:bookmarkEnd w:id="701"/>
      <w:bookmarkEnd w:id="702"/>
      <w:bookmarkEnd w:id="705"/>
    </w:p>
    <w:p w14:paraId="46692AAC" w14:textId="66C8713A" w:rsidR="008A212A" w:rsidRDefault="008A212A" w:rsidP="0051468B">
      <w:pPr>
        <w:spacing w:after="120"/>
      </w:pPr>
      <w:r>
        <w:t>The Methyl Bromide Technical Options Committee brings together expertise on controlled and exempted (QPS) uses of methyl bromide and their technically and economically feasible alternatives. Members are experts on the control and management of soilborne pests and pathogens attacking various crops where methyl bromide is used</w:t>
      </w:r>
      <w:r w:rsidR="001B06EB">
        <w:t xml:space="preserve"> (currently under the Critical Use exemption)</w:t>
      </w:r>
      <w:r>
        <w:t xml:space="preserve"> or was used in the past; pest control in a variety of stored commodities and structures; and alternatives for controlling quarantine pests and pathogens. Members have research, regulatory and commercial experience.</w:t>
      </w:r>
      <w:r w:rsidR="005617DE">
        <w:t xml:space="preserve"> </w:t>
      </w:r>
    </w:p>
    <w:p w14:paraId="309425B9" w14:textId="3E5F0778" w:rsidR="008A212A" w:rsidRPr="003C63EA" w:rsidRDefault="008A212A" w:rsidP="003C63EA">
      <w:pPr>
        <w:pStyle w:val="Style15"/>
        <w:tabs>
          <w:tab w:val="clear" w:pos="720"/>
          <w:tab w:val="clear" w:pos="1080"/>
          <w:tab w:val="left" w:pos="900"/>
        </w:tabs>
        <w:rPr>
          <w:i/>
          <w:iCs/>
          <w:sz w:val="22"/>
          <w:szCs w:val="22"/>
          <w:lang w:val="en-US"/>
        </w:rPr>
      </w:pPr>
      <w:r w:rsidRPr="003C63EA">
        <w:rPr>
          <w:i/>
          <w:iCs/>
          <w:sz w:val="22"/>
          <w:szCs w:val="22"/>
          <w:lang w:val="en-US"/>
        </w:rPr>
        <w:t>Table 4</w:t>
      </w:r>
      <w:r w:rsidR="003C63EA">
        <w:rPr>
          <w:i/>
          <w:iCs/>
          <w:sz w:val="22"/>
          <w:szCs w:val="22"/>
          <w:lang w:val="en-US"/>
        </w:rPr>
        <w:t>:</w:t>
      </w:r>
      <w:r w:rsidR="003C63EA">
        <w:rPr>
          <w:i/>
          <w:iCs/>
          <w:sz w:val="22"/>
          <w:szCs w:val="22"/>
          <w:lang w:val="en-US"/>
        </w:rPr>
        <w:tab/>
      </w:r>
      <w:r w:rsidRPr="003C63EA">
        <w:rPr>
          <w:i/>
          <w:iCs/>
          <w:sz w:val="22"/>
          <w:szCs w:val="22"/>
          <w:lang w:val="en-US"/>
        </w:rPr>
        <w:t xml:space="preserve">MBTOC Membership at </w:t>
      </w:r>
      <w:r w:rsidR="00BC7AA9">
        <w:rPr>
          <w:i/>
          <w:iCs/>
          <w:sz w:val="22"/>
          <w:szCs w:val="22"/>
          <w:lang w:val="en-US"/>
        </w:rPr>
        <w:t>May</w:t>
      </w:r>
      <w:r w:rsidR="001B3AC0">
        <w:rPr>
          <w:i/>
          <w:iCs/>
          <w:sz w:val="22"/>
          <w:szCs w:val="22"/>
          <w:lang w:val="en-US"/>
        </w:rPr>
        <w:t xml:space="preserve"> 202</w:t>
      </w:r>
      <w:r w:rsidR="00F34790">
        <w:rPr>
          <w:i/>
          <w:iCs/>
          <w:sz w:val="22"/>
          <w:szCs w:val="22"/>
          <w:lang w:val="en-US"/>
        </w:rPr>
        <w:t>2</w:t>
      </w:r>
    </w:p>
    <w:p w14:paraId="4EAA202F" w14:textId="77777777" w:rsidR="008A212A" w:rsidRPr="008A212A" w:rsidRDefault="008A212A" w:rsidP="008A212A">
      <w:pPr>
        <w:pStyle w:val="Style15"/>
      </w:pPr>
    </w:p>
    <w:tbl>
      <w:tblPr>
        <w:tblStyle w:val="TableGrid"/>
        <w:tblW w:w="9293" w:type="dxa"/>
        <w:tblLayout w:type="fixed"/>
        <w:tblLook w:val="04A0" w:firstRow="1" w:lastRow="0" w:firstColumn="1" w:lastColumn="0" w:noHBand="0" w:noVBand="1"/>
      </w:tblPr>
      <w:tblGrid>
        <w:gridCol w:w="1922"/>
        <w:gridCol w:w="3685"/>
        <w:gridCol w:w="1985"/>
        <w:gridCol w:w="1701"/>
      </w:tblGrid>
      <w:tr w:rsidR="008A212A" w:rsidRPr="00BF2B4F" w14:paraId="66898A2F" w14:textId="77777777" w:rsidTr="00DB0747">
        <w:tc>
          <w:tcPr>
            <w:tcW w:w="1922" w:type="dxa"/>
            <w:shd w:val="clear" w:color="auto" w:fill="BDD6EE" w:themeFill="accent1" w:themeFillTint="66"/>
          </w:tcPr>
          <w:p w14:paraId="4B96E41F" w14:textId="77777777" w:rsidR="008A212A" w:rsidRPr="00BF2B4F" w:rsidRDefault="008A212A" w:rsidP="00DB0747">
            <w:pPr>
              <w:tabs>
                <w:tab w:val="left" w:pos="720"/>
                <w:tab w:val="left" w:pos="1080"/>
              </w:tabs>
              <w:spacing w:after="0"/>
              <w:rPr>
                <w:b/>
                <w:sz w:val="20"/>
              </w:rPr>
            </w:pPr>
            <w:r w:rsidRPr="00BF2B4F">
              <w:rPr>
                <w:b/>
                <w:sz w:val="20"/>
              </w:rPr>
              <w:t>Co-chairs</w:t>
            </w:r>
          </w:p>
        </w:tc>
        <w:tc>
          <w:tcPr>
            <w:tcW w:w="3685" w:type="dxa"/>
            <w:shd w:val="clear" w:color="auto" w:fill="BDD6EE" w:themeFill="accent1" w:themeFillTint="66"/>
          </w:tcPr>
          <w:p w14:paraId="76BA58B8" w14:textId="77777777" w:rsidR="008A212A" w:rsidRPr="00BF2B4F" w:rsidRDefault="008A212A" w:rsidP="00DB0747">
            <w:pPr>
              <w:tabs>
                <w:tab w:val="left" w:pos="720"/>
                <w:tab w:val="left" w:pos="1080"/>
              </w:tabs>
              <w:spacing w:after="0"/>
              <w:rPr>
                <w:b/>
                <w:sz w:val="20"/>
              </w:rPr>
            </w:pPr>
            <w:r w:rsidRPr="00BF2B4F">
              <w:rPr>
                <w:b/>
                <w:sz w:val="20"/>
              </w:rPr>
              <w:t>Affiliation</w:t>
            </w:r>
          </w:p>
        </w:tc>
        <w:tc>
          <w:tcPr>
            <w:tcW w:w="1985" w:type="dxa"/>
            <w:shd w:val="clear" w:color="auto" w:fill="BDD6EE" w:themeFill="accent1" w:themeFillTint="66"/>
          </w:tcPr>
          <w:p w14:paraId="65EA746A" w14:textId="77777777" w:rsidR="008A212A" w:rsidRPr="00BF2B4F" w:rsidRDefault="008A212A" w:rsidP="00DB0747">
            <w:pPr>
              <w:tabs>
                <w:tab w:val="left" w:pos="720"/>
                <w:tab w:val="left" w:pos="1080"/>
              </w:tabs>
              <w:spacing w:after="0"/>
              <w:rPr>
                <w:b/>
                <w:sz w:val="20"/>
              </w:rPr>
            </w:pPr>
            <w:r w:rsidRPr="00BF2B4F">
              <w:rPr>
                <w:b/>
                <w:sz w:val="20"/>
              </w:rPr>
              <w:t>Country</w:t>
            </w:r>
          </w:p>
        </w:tc>
        <w:tc>
          <w:tcPr>
            <w:tcW w:w="1701" w:type="dxa"/>
            <w:shd w:val="clear" w:color="auto" w:fill="BDD6EE" w:themeFill="accent1" w:themeFillTint="66"/>
          </w:tcPr>
          <w:p w14:paraId="6E810429" w14:textId="77777777" w:rsidR="008A212A" w:rsidRPr="00BF2B4F" w:rsidRDefault="008A212A" w:rsidP="00DB0747">
            <w:pPr>
              <w:tabs>
                <w:tab w:val="left" w:pos="720"/>
                <w:tab w:val="left" w:pos="1080"/>
              </w:tabs>
              <w:spacing w:after="0"/>
              <w:rPr>
                <w:b/>
                <w:sz w:val="20"/>
              </w:rPr>
            </w:pPr>
            <w:r>
              <w:rPr>
                <w:b/>
                <w:sz w:val="20"/>
              </w:rPr>
              <w:t>Appointed through</w:t>
            </w:r>
          </w:p>
        </w:tc>
      </w:tr>
      <w:tr w:rsidR="008A212A" w:rsidRPr="00BF2B4F" w14:paraId="77AFEAA3" w14:textId="77777777" w:rsidTr="00DB0747">
        <w:tc>
          <w:tcPr>
            <w:tcW w:w="1922" w:type="dxa"/>
          </w:tcPr>
          <w:p w14:paraId="45871F7D" w14:textId="77777777" w:rsidR="008A212A" w:rsidRPr="00BF2B4F" w:rsidRDefault="008A212A" w:rsidP="00DB0747">
            <w:pPr>
              <w:tabs>
                <w:tab w:val="left" w:pos="720"/>
                <w:tab w:val="left" w:pos="1080"/>
              </w:tabs>
              <w:spacing w:after="0"/>
              <w:rPr>
                <w:sz w:val="20"/>
              </w:rPr>
            </w:pPr>
            <w:r w:rsidRPr="00D23986">
              <w:rPr>
                <w:sz w:val="20"/>
              </w:rPr>
              <w:t>Marta Pizano</w:t>
            </w:r>
          </w:p>
        </w:tc>
        <w:tc>
          <w:tcPr>
            <w:tcW w:w="3685" w:type="dxa"/>
          </w:tcPr>
          <w:p w14:paraId="6BCFE642" w14:textId="77777777" w:rsidR="008A212A" w:rsidRPr="00BF2B4F" w:rsidRDefault="008A212A" w:rsidP="00DB0747">
            <w:pPr>
              <w:tabs>
                <w:tab w:val="left" w:pos="720"/>
                <w:tab w:val="left" w:pos="1080"/>
              </w:tabs>
              <w:spacing w:after="0"/>
              <w:rPr>
                <w:sz w:val="20"/>
              </w:rPr>
            </w:pPr>
            <w:r>
              <w:rPr>
                <w:sz w:val="20"/>
              </w:rPr>
              <w:t>Independent Expert</w:t>
            </w:r>
          </w:p>
        </w:tc>
        <w:tc>
          <w:tcPr>
            <w:tcW w:w="1985" w:type="dxa"/>
          </w:tcPr>
          <w:p w14:paraId="21C168BD" w14:textId="77777777" w:rsidR="008A212A" w:rsidRPr="00BF2B4F" w:rsidRDefault="008A212A" w:rsidP="00DB0747">
            <w:pPr>
              <w:tabs>
                <w:tab w:val="left" w:pos="720"/>
                <w:tab w:val="left" w:pos="1080"/>
              </w:tabs>
              <w:spacing w:after="0"/>
              <w:rPr>
                <w:sz w:val="20"/>
              </w:rPr>
            </w:pPr>
            <w:r w:rsidRPr="00D23986">
              <w:rPr>
                <w:sz w:val="20"/>
              </w:rPr>
              <w:t>Colombia</w:t>
            </w:r>
          </w:p>
        </w:tc>
        <w:tc>
          <w:tcPr>
            <w:tcW w:w="1701" w:type="dxa"/>
          </w:tcPr>
          <w:p w14:paraId="13DBF0C1" w14:textId="3290D652" w:rsidR="008A212A" w:rsidRPr="00BF2B4F" w:rsidRDefault="008A212A" w:rsidP="00DB0747">
            <w:pPr>
              <w:tabs>
                <w:tab w:val="left" w:pos="720"/>
                <w:tab w:val="left" w:pos="1080"/>
              </w:tabs>
              <w:spacing w:after="0"/>
              <w:rPr>
                <w:sz w:val="20"/>
              </w:rPr>
            </w:pPr>
            <w:r w:rsidRPr="00D23986">
              <w:rPr>
                <w:sz w:val="20"/>
              </w:rPr>
              <w:t>202</w:t>
            </w:r>
            <w:r w:rsidR="002D3492">
              <w:rPr>
                <w:sz w:val="20"/>
              </w:rPr>
              <w:t>5</w:t>
            </w:r>
          </w:p>
        </w:tc>
      </w:tr>
      <w:tr w:rsidR="008A212A" w:rsidRPr="00BF2B4F" w14:paraId="52BA70F7" w14:textId="77777777" w:rsidTr="00DB0747">
        <w:tc>
          <w:tcPr>
            <w:tcW w:w="1922" w:type="dxa"/>
          </w:tcPr>
          <w:p w14:paraId="32C956D8" w14:textId="77777777" w:rsidR="008A212A" w:rsidRPr="00BF2B4F" w:rsidRDefault="008A212A" w:rsidP="00DB0747">
            <w:pPr>
              <w:tabs>
                <w:tab w:val="left" w:pos="720"/>
                <w:tab w:val="left" w:pos="1080"/>
              </w:tabs>
              <w:spacing w:after="0"/>
              <w:rPr>
                <w:sz w:val="20"/>
              </w:rPr>
            </w:pPr>
            <w:r w:rsidRPr="00D23986">
              <w:rPr>
                <w:sz w:val="20"/>
              </w:rPr>
              <w:t>Ian Porter</w:t>
            </w:r>
          </w:p>
        </w:tc>
        <w:tc>
          <w:tcPr>
            <w:tcW w:w="3685" w:type="dxa"/>
          </w:tcPr>
          <w:p w14:paraId="71155809" w14:textId="77777777" w:rsidR="008A212A" w:rsidRPr="00BF2B4F" w:rsidRDefault="008A212A" w:rsidP="00DB0747">
            <w:pPr>
              <w:tabs>
                <w:tab w:val="left" w:pos="720"/>
                <w:tab w:val="left" w:pos="1080"/>
              </w:tabs>
              <w:spacing w:after="0"/>
              <w:rPr>
                <w:sz w:val="20"/>
              </w:rPr>
            </w:pPr>
            <w:r w:rsidRPr="00D23986">
              <w:rPr>
                <w:sz w:val="20"/>
              </w:rPr>
              <w:t>La Trobe University</w:t>
            </w:r>
          </w:p>
        </w:tc>
        <w:tc>
          <w:tcPr>
            <w:tcW w:w="1985" w:type="dxa"/>
          </w:tcPr>
          <w:p w14:paraId="5ADF3A9E" w14:textId="77777777" w:rsidR="008A212A" w:rsidRPr="00BF2B4F" w:rsidRDefault="008A212A" w:rsidP="00DB0747">
            <w:pPr>
              <w:tabs>
                <w:tab w:val="left" w:pos="720"/>
                <w:tab w:val="left" w:pos="1080"/>
              </w:tabs>
              <w:spacing w:after="0"/>
              <w:rPr>
                <w:sz w:val="20"/>
              </w:rPr>
            </w:pPr>
            <w:r w:rsidRPr="00D23986">
              <w:rPr>
                <w:sz w:val="20"/>
              </w:rPr>
              <w:t>Australia</w:t>
            </w:r>
          </w:p>
        </w:tc>
        <w:tc>
          <w:tcPr>
            <w:tcW w:w="1701" w:type="dxa"/>
          </w:tcPr>
          <w:p w14:paraId="40D8A839" w14:textId="7AD287C9" w:rsidR="008A212A" w:rsidRPr="00BF2B4F" w:rsidRDefault="008A212A" w:rsidP="00DB0747">
            <w:pPr>
              <w:tabs>
                <w:tab w:val="left" w:pos="720"/>
                <w:tab w:val="left" w:pos="1080"/>
              </w:tabs>
              <w:spacing w:after="0"/>
              <w:rPr>
                <w:sz w:val="20"/>
              </w:rPr>
            </w:pPr>
            <w:r w:rsidRPr="00D23986">
              <w:rPr>
                <w:sz w:val="20"/>
              </w:rPr>
              <w:t>202</w:t>
            </w:r>
            <w:r w:rsidR="002D3492">
              <w:rPr>
                <w:sz w:val="20"/>
              </w:rPr>
              <w:t>5</w:t>
            </w:r>
          </w:p>
        </w:tc>
      </w:tr>
      <w:tr w:rsidR="008A212A" w:rsidRPr="00BF2B4F" w14:paraId="5E62AE18" w14:textId="77777777" w:rsidTr="00DB0747">
        <w:tc>
          <w:tcPr>
            <w:tcW w:w="1922" w:type="dxa"/>
            <w:shd w:val="clear" w:color="auto" w:fill="BDD6EE" w:themeFill="accent1" w:themeFillTint="66"/>
          </w:tcPr>
          <w:p w14:paraId="558CA0E6" w14:textId="77777777" w:rsidR="008A212A" w:rsidRPr="00BF2B4F" w:rsidRDefault="008A212A" w:rsidP="00DB0747">
            <w:pPr>
              <w:tabs>
                <w:tab w:val="left" w:pos="720"/>
                <w:tab w:val="left" w:pos="1080"/>
              </w:tabs>
              <w:spacing w:after="0"/>
              <w:rPr>
                <w:b/>
                <w:sz w:val="20"/>
              </w:rPr>
            </w:pPr>
            <w:r w:rsidRPr="00BF2B4F">
              <w:rPr>
                <w:b/>
                <w:sz w:val="20"/>
              </w:rPr>
              <w:t>Members</w:t>
            </w:r>
          </w:p>
        </w:tc>
        <w:tc>
          <w:tcPr>
            <w:tcW w:w="3685" w:type="dxa"/>
            <w:shd w:val="clear" w:color="auto" w:fill="BDD6EE" w:themeFill="accent1" w:themeFillTint="66"/>
          </w:tcPr>
          <w:p w14:paraId="0F058A59" w14:textId="77777777" w:rsidR="008A212A" w:rsidRPr="00BF2B4F" w:rsidRDefault="008A212A" w:rsidP="00DB0747">
            <w:pPr>
              <w:tabs>
                <w:tab w:val="left" w:pos="720"/>
                <w:tab w:val="left" w:pos="1080"/>
              </w:tabs>
              <w:spacing w:after="0"/>
              <w:rPr>
                <w:b/>
                <w:sz w:val="20"/>
              </w:rPr>
            </w:pPr>
            <w:r w:rsidRPr="00BF2B4F">
              <w:rPr>
                <w:b/>
                <w:sz w:val="20"/>
              </w:rPr>
              <w:t>Affiliation</w:t>
            </w:r>
          </w:p>
        </w:tc>
        <w:tc>
          <w:tcPr>
            <w:tcW w:w="1985" w:type="dxa"/>
            <w:shd w:val="clear" w:color="auto" w:fill="BDD6EE" w:themeFill="accent1" w:themeFillTint="66"/>
          </w:tcPr>
          <w:p w14:paraId="6299364C" w14:textId="77777777" w:rsidR="008A212A" w:rsidRPr="00BF2B4F" w:rsidRDefault="008A212A" w:rsidP="00DB0747">
            <w:pPr>
              <w:tabs>
                <w:tab w:val="left" w:pos="720"/>
                <w:tab w:val="left" w:pos="1080"/>
              </w:tabs>
              <w:spacing w:after="0"/>
              <w:rPr>
                <w:b/>
                <w:sz w:val="20"/>
              </w:rPr>
            </w:pPr>
            <w:r w:rsidRPr="00BF2B4F">
              <w:rPr>
                <w:b/>
                <w:sz w:val="20"/>
              </w:rPr>
              <w:t>Country</w:t>
            </w:r>
          </w:p>
        </w:tc>
        <w:tc>
          <w:tcPr>
            <w:tcW w:w="1701" w:type="dxa"/>
            <w:shd w:val="clear" w:color="auto" w:fill="BDD6EE" w:themeFill="accent1" w:themeFillTint="66"/>
          </w:tcPr>
          <w:p w14:paraId="2AC4E3C4" w14:textId="1C1F1C94" w:rsidR="008A212A" w:rsidRPr="00BF2B4F" w:rsidRDefault="00455567" w:rsidP="00DB0747">
            <w:pPr>
              <w:tabs>
                <w:tab w:val="left" w:pos="720"/>
                <w:tab w:val="left" w:pos="1080"/>
              </w:tabs>
              <w:spacing w:after="0"/>
              <w:rPr>
                <w:b/>
                <w:sz w:val="20"/>
              </w:rPr>
            </w:pPr>
            <w:r>
              <w:rPr>
                <w:b/>
                <w:sz w:val="20"/>
              </w:rPr>
              <w:t>Appointed through</w:t>
            </w:r>
          </w:p>
        </w:tc>
      </w:tr>
      <w:tr w:rsidR="008A212A" w:rsidRPr="00BF2B4F" w14:paraId="5018379F" w14:textId="77777777" w:rsidTr="00DB0747">
        <w:tc>
          <w:tcPr>
            <w:tcW w:w="1922" w:type="dxa"/>
          </w:tcPr>
          <w:p w14:paraId="0ABDAB09" w14:textId="77777777" w:rsidR="008A212A" w:rsidRPr="00BF2B4F" w:rsidRDefault="008A212A" w:rsidP="00DB0747">
            <w:pPr>
              <w:tabs>
                <w:tab w:val="left" w:pos="720"/>
                <w:tab w:val="left" w:pos="1080"/>
              </w:tabs>
              <w:spacing w:after="0"/>
              <w:rPr>
                <w:sz w:val="20"/>
              </w:rPr>
            </w:pPr>
            <w:r w:rsidRPr="00D23986">
              <w:rPr>
                <w:sz w:val="20"/>
              </w:rPr>
              <w:t>Jonathan Banks</w:t>
            </w:r>
          </w:p>
        </w:tc>
        <w:tc>
          <w:tcPr>
            <w:tcW w:w="3685" w:type="dxa"/>
          </w:tcPr>
          <w:p w14:paraId="2957235B" w14:textId="77777777" w:rsidR="008A212A" w:rsidRPr="00BF2B4F" w:rsidRDefault="008A212A" w:rsidP="00DB0747">
            <w:pPr>
              <w:tabs>
                <w:tab w:val="left" w:pos="720"/>
                <w:tab w:val="left" w:pos="1080"/>
              </w:tabs>
              <w:spacing w:after="0"/>
              <w:rPr>
                <w:sz w:val="20"/>
              </w:rPr>
            </w:pPr>
            <w:r>
              <w:rPr>
                <w:sz w:val="20"/>
              </w:rPr>
              <w:t>Independent Expert</w:t>
            </w:r>
          </w:p>
        </w:tc>
        <w:tc>
          <w:tcPr>
            <w:tcW w:w="1985" w:type="dxa"/>
          </w:tcPr>
          <w:p w14:paraId="0EF41E8C" w14:textId="77777777" w:rsidR="008A212A" w:rsidRPr="00BF2B4F" w:rsidRDefault="008A212A" w:rsidP="00DB0747">
            <w:pPr>
              <w:tabs>
                <w:tab w:val="left" w:pos="720"/>
                <w:tab w:val="left" w:pos="1080"/>
              </w:tabs>
              <w:spacing w:after="0"/>
              <w:rPr>
                <w:sz w:val="20"/>
              </w:rPr>
            </w:pPr>
            <w:r w:rsidRPr="00D23986">
              <w:rPr>
                <w:sz w:val="20"/>
              </w:rPr>
              <w:t>Australia</w:t>
            </w:r>
          </w:p>
        </w:tc>
        <w:tc>
          <w:tcPr>
            <w:tcW w:w="1701" w:type="dxa"/>
          </w:tcPr>
          <w:p w14:paraId="46449516" w14:textId="43278802" w:rsidR="008A212A" w:rsidRPr="00BF2B4F" w:rsidRDefault="008A212A" w:rsidP="00DB0747">
            <w:pPr>
              <w:tabs>
                <w:tab w:val="left" w:pos="720"/>
                <w:tab w:val="left" w:pos="1080"/>
              </w:tabs>
              <w:spacing w:after="0"/>
              <w:rPr>
                <w:sz w:val="20"/>
              </w:rPr>
            </w:pPr>
            <w:r w:rsidRPr="00D23986">
              <w:rPr>
                <w:sz w:val="20"/>
              </w:rPr>
              <w:t>20</w:t>
            </w:r>
            <w:r>
              <w:rPr>
                <w:sz w:val="20"/>
              </w:rPr>
              <w:t>22</w:t>
            </w:r>
            <w:r w:rsidR="002D3492">
              <w:rPr>
                <w:sz w:val="20"/>
              </w:rPr>
              <w:t>*</w:t>
            </w:r>
          </w:p>
        </w:tc>
      </w:tr>
      <w:tr w:rsidR="008A212A" w:rsidRPr="00BF2B4F" w14:paraId="2888E631" w14:textId="77777777" w:rsidTr="00DB0747">
        <w:tc>
          <w:tcPr>
            <w:tcW w:w="1922" w:type="dxa"/>
          </w:tcPr>
          <w:p w14:paraId="4C1AA54E" w14:textId="77777777" w:rsidR="008A212A" w:rsidRPr="00BF2B4F" w:rsidRDefault="008A212A" w:rsidP="00DB0747">
            <w:pPr>
              <w:tabs>
                <w:tab w:val="left" w:pos="720"/>
                <w:tab w:val="left" w:pos="1080"/>
              </w:tabs>
              <w:spacing w:after="0"/>
              <w:rPr>
                <w:sz w:val="20"/>
              </w:rPr>
            </w:pPr>
            <w:r w:rsidRPr="00D23986">
              <w:rPr>
                <w:sz w:val="20"/>
              </w:rPr>
              <w:t>Mohamed Besri</w:t>
            </w:r>
          </w:p>
        </w:tc>
        <w:tc>
          <w:tcPr>
            <w:tcW w:w="3685" w:type="dxa"/>
          </w:tcPr>
          <w:p w14:paraId="3544734F" w14:textId="77777777" w:rsidR="008A212A" w:rsidRPr="0020075A" w:rsidRDefault="008A212A" w:rsidP="00DB0747">
            <w:pPr>
              <w:tabs>
                <w:tab w:val="left" w:pos="720"/>
                <w:tab w:val="left" w:pos="1080"/>
              </w:tabs>
              <w:spacing w:after="0"/>
              <w:rPr>
                <w:sz w:val="20"/>
                <w:lang w:val="es-ES"/>
              </w:rPr>
            </w:pPr>
            <w:r w:rsidRPr="00840CE5">
              <w:rPr>
                <w:sz w:val="20"/>
                <w:lang w:val="es-ES"/>
              </w:rPr>
              <w:t>Institut Agronomique et Vétérinaire Hassan II</w:t>
            </w:r>
          </w:p>
        </w:tc>
        <w:tc>
          <w:tcPr>
            <w:tcW w:w="1985" w:type="dxa"/>
          </w:tcPr>
          <w:p w14:paraId="1E086C9A" w14:textId="77777777" w:rsidR="008A212A" w:rsidRPr="00BF2B4F" w:rsidRDefault="008A212A" w:rsidP="00DB0747">
            <w:pPr>
              <w:tabs>
                <w:tab w:val="left" w:pos="720"/>
                <w:tab w:val="left" w:pos="1080"/>
              </w:tabs>
              <w:spacing w:after="0"/>
              <w:rPr>
                <w:sz w:val="20"/>
              </w:rPr>
            </w:pPr>
            <w:r w:rsidRPr="00D23986">
              <w:rPr>
                <w:sz w:val="20"/>
              </w:rPr>
              <w:t>Morocco</w:t>
            </w:r>
          </w:p>
        </w:tc>
        <w:tc>
          <w:tcPr>
            <w:tcW w:w="1701" w:type="dxa"/>
          </w:tcPr>
          <w:p w14:paraId="443B0DB0" w14:textId="758D273F" w:rsidR="008A212A" w:rsidRPr="00BF2B4F" w:rsidRDefault="008A212A" w:rsidP="00DB0747">
            <w:pPr>
              <w:tabs>
                <w:tab w:val="left" w:pos="720"/>
                <w:tab w:val="left" w:pos="1080"/>
              </w:tabs>
              <w:spacing w:after="0"/>
              <w:rPr>
                <w:sz w:val="20"/>
              </w:rPr>
            </w:pPr>
            <w:r w:rsidRPr="00D23986">
              <w:rPr>
                <w:sz w:val="20"/>
              </w:rPr>
              <w:t>202</w:t>
            </w:r>
            <w:r w:rsidR="002D3492">
              <w:rPr>
                <w:sz w:val="20"/>
              </w:rPr>
              <w:t>5</w:t>
            </w:r>
          </w:p>
        </w:tc>
      </w:tr>
      <w:tr w:rsidR="008A212A" w:rsidRPr="00BF2B4F" w14:paraId="7D94F2F3" w14:textId="77777777" w:rsidTr="00DB0747">
        <w:tc>
          <w:tcPr>
            <w:tcW w:w="1922" w:type="dxa"/>
          </w:tcPr>
          <w:p w14:paraId="26F3A3B2" w14:textId="77777777" w:rsidR="008A212A" w:rsidRPr="00BF2B4F" w:rsidRDefault="008A212A" w:rsidP="00DB0747">
            <w:pPr>
              <w:tabs>
                <w:tab w:val="left" w:pos="720"/>
                <w:tab w:val="left" w:pos="1080"/>
              </w:tabs>
              <w:spacing w:after="0"/>
              <w:rPr>
                <w:sz w:val="20"/>
              </w:rPr>
            </w:pPr>
            <w:r w:rsidRPr="00D23986">
              <w:rPr>
                <w:sz w:val="20"/>
              </w:rPr>
              <w:t>Fred Bergwerff</w:t>
            </w:r>
          </w:p>
        </w:tc>
        <w:tc>
          <w:tcPr>
            <w:tcW w:w="3685" w:type="dxa"/>
          </w:tcPr>
          <w:p w14:paraId="6BDB987C" w14:textId="77777777" w:rsidR="008A212A" w:rsidRPr="00BF2B4F" w:rsidRDefault="008A212A" w:rsidP="00DB0747">
            <w:pPr>
              <w:tabs>
                <w:tab w:val="left" w:pos="720"/>
                <w:tab w:val="left" w:pos="1080"/>
              </w:tabs>
              <w:spacing w:after="0"/>
              <w:rPr>
                <w:sz w:val="20"/>
              </w:rPr>
            </w:pPr>
            <w:r w:rsidRPr="00D23986">
              <w:rPr>
                <w:sz w:val="20"/>
              </w:rPr>
              <w:t xml:space="preserve">Oxylow BV </w:t>
            </w:r>
          </w:p>
        </w:tc>
        <w:tc>
          <w:tcPr>
            <w:tcW w:w="1985" w:type="dxa"/>
          </w:tcPr>
          <w:p w14:paraId="6275CF6C" w14:textId="77777777" w:rsidR="008A212A" w:rsidRPr="00BF2B4F" w:rsidRDefault="008A212A" w:rsidP="00DB0747">
            <w:pPr>
              <w:tabs>
                <w:tab w:val="left" w:pos="720"/>
                <w:tab w:val="left" w:pos="1080"/>
              </w:tabs>
              <w:spacing w:after="0"/>
              <w:rPr>
                <w:sz w:val="20"/>
              </w:rPr>
            </w:pPr>
            <w:r w:rsidRPr="00D23986">
              <w:rPr>
                <w:sz w:val="20"/>
              </w:rPr>
              <w:t>Netherlands</w:t>
            </w:r>
          </w:p>
        </w:tc>
        <w:tc>
          <w:tcPr>
            <w:tcW w:w="1701" w:type="dxa"/>
          </w:tcPr>
          <w:p w14:paraId="5CA33E2C" w14:textId="44A01B1B" w:rsidR="008A212A" w:rsidRPr="00BF2B4F" w:rsidRDefault="008A212A" w:rsidP="00DB0747">
            <w:pPr>
              <w:tabs>
                <w:tab w:val="left" w:pos="720"/>
                <w:tab w:val="left" w:pos="1080"/>
              </w:tabs>
              <w:spacing w:after="0"/>
              <w:rPr>
                <w:sz w:val="20"/>
              </w:rPr>
            </w:pPr>
            <w:r w:rsidRPr="00D23986">
              <w:rPr>
                <w:sz w:val="20"/>
              </w:rPr>
              <w:t>20</w:t>
            </w:r>
            <w:r>
              <w:rPr>
                <w:sz w:val="20"/>
              </w:rPr>
              <w:t>2</w:t>
            </w:r>
            <w:r w:rsidR="002D3492">
              <w:rPr>
                <w:sz w:val="20"/>
              </w:rPr>
              <w:t>5</w:t>
            </w:r>
          </w:p>
        </w:tc>
      </w:tr>
      <w:tr w:rsidR="008A212A" w:rsidRPr="00BF2B4F" w14:paraId="2C03AAB4" w14:textId="77777777" w:rsidTr="00DB0747">
        <w:tc>
          <w:tcPr>
            <w:tcW w:w="1922" w:type="dxa"/>
          </w:tcPr>
          <w:p w14:paraId="563953BB" w14:textId="77777777" w:rsidR="008A212A" w:rsidRPr="00BF2B4F" w:rsidRDefault="008A212A" w:rsidP="00DB0747">
            <w:pPr>
              <w:tabs>
                <w:tab w:val="left" w:pos="720"/>
                <w:tab w:val="left" w:pos="1080"/>
              </w:tabs>
              <w:spacing w:after="0"/>
              <w:rPr>
                <w:sz w:val="20"/>
              </w:rPr>
            </w:pPr>
            <w:r w:rsidRPr="00D23986">
              <w:rPr>
                <w:sz w:val="20"/>
              </w:rPr>
              <w:t xml:space="preserve">Aocheng Cao </w:t>
            </w:r>
          </w:p>
        </w:tc>
        <w:tc>
          <w:tcPr>
            <w:tcW w:w="3685" w:type="dxa"/>
          </w:tcPr>
          <w:p w14:paraId="704E05B9" w14:textId="77777777" w:rsidR="008A212A" w:rsidRPr="00BF2B4F" w:rsidRDefault="008A212A" w:rsidP="00DB0747">
            <w:pPr>
              <w:tabs>
                <w:tab w:val="left" w:pos="720"/>
                <w:tab w:val="left" w:pos="1080"/>
              </w:tabs>
              <w:spacing w:after="0"/>
              <w:rPr>
                <w:sz w:val="20"/>
              </w:rPr>
            </w:pPr>
            <w:r w:rsidRPr="00D23986">
              <w:rPr>
                <w:sz w:val="20"/>
              </w:rPr>
              <w:t>Chinese Academy of Agricultural Sciences</w:t>
            </w:r>
          </w:p>
        </w:tc>
        <w:tc>
          <w:tcPr>
            <w:tcW w:w="1985" w:type="dxa"/>
          </w:tcPr>
          <w:p w14:paraId="7C3E6D69" w14:textId="77777777" w:rsidR="008A212A" w:rsidRPr="00BF2B4F" w:rsidRDefault="008A212A" w:rsidP="00DB0747">
            <w:pPr>
              <w:tabs>
                <w:tab w:val="left" w:pos="720"/>
                <w:tab w:val="left" w:pos="1080"/>
              </w:tabs>
              <w:spacing w:after="0"/>
              <w:rPr>
                <w:sz w:val="20"/>
              </w:rPr>
            </w:pPr>
            <w:r w:rsidRPr="00D23986">
              <w:rPr>
                <w:sz w:val="20"/>
              </w:rPr>
              <w:t>China</w:t>
            </w:r>
          </w:p>
        </w:tc>
        <w:tc>
          <w:tcPr>
            <w:tcW w:w="1701" w:type="dxa"/>
          </w:tcPr>
          <w:p w14:paraId="01F841DF" w14:textId="4D3CB399" w:rsidR="008A212A" w:rsidRPr="00BF2B4F" w:rsidRDefault="008A212A" w:rsidP="00DB0747">
            <w:pPr>
              <w:tabs>
                <w:tab w:val="left" w:pos="720"/>
                <w:tab w:val="left" w:pos="1080"/>
              </w:tabs>
              <w:spacing w:after="0"/>
              <w:rPr>
                <w:spacing w:val="-2"/>
                <w:sz w:val="20"/>
              </w:rPr>
            </w:pPr>
            <w:r w:rsidRPr="00D23986">
              <w:rPr>
                <w:sz w:val="20"/>
              </w:rPr>
              <w:t>20</w:t>
            </w:r>
            <w:r>
              <w:rPr>
                <w:sz w:val="20"/>
              </w:rPr>
              <w:t>22</w:t>
            </w:r>
            <w:r w:rsidR="002D3492">
              <w:rPr>
                <w:sz w:val="20"/>
              </w:rPr>
              <w:t>*</w:t>
            </w:r>
          </w:p>
        </w:tc>
      </w:tr>
      <w:tr w:rsidR="008A212A" w:rsidRPr="00BF2B4F" w14:paraId="2182D6CF" w14:textId="77777777" w:rsidTr="00DB0747">
        <w:tc>
          <w:tcPr>
            <w:tcW w:w="1922" w:type="dxa"/>
          </w:tcPr>
          <w:p w14:paraId="23B8990E" w14:textId="7535CC71" w:rsidR="008A212A" w:rsidRPr="00BF2B4F" w:rsidRDefault="00C30961" w:rsidP="00DB0747">
            <w:pPr>
              <w:tabs>
                <w:tab w:val="left" w:pos="720"/>
                <w:tab w:val="left" w:pos="1080"/>
              </w:tabs>
              <w:spacing w:after="0"/>
              <w:rPr>
                <w:sz w:val="20"/>
              </w:rPr>
            </w:pPr>
            <w:r>
              <w:rPr>
                <w:sz w:val="20"/>
              </w:rPr>
              <w:t>Ayze Ozdem</w:t>
            </w:r>
          </w:p>
        </w:tc>
        <w:tc>
          <w:tcPr>
            <w:tcW w:w="3685" w:type="dxa"/>
          </w:tcPr>
          <w:p w14:paraId="7BD47A82" w14:textId="77777777" w:rsidR="008A212A" w:rsidRPr="00BF2B4F" w:rsidRDefault="008A212A" w:rsidP="00DB0747">
            <w:pPr>
              <w:tabs>
                <w:tab w:val="left" w:pos="720"/>
                <w:tab w:val="left" w:pos="1080"/>
              </w:tabs>
              <w:spacing w:after="0"/>
              <w:rPr>
                <w:sz w:val="20"/>
              </w:rPr>
            </w:pPr>
            <w:r w:rsidRPr="00D23986">
              <w:rPr>
                <w:sz w:val="20"/>
              </w:rPr>
              <w:t>Plant Protection Central Research Institute</w:t>
            </w:r>
          </w:p>
        </w:tc>
        <w:tc>
          <w:tcPr>
            <w:tcW w:w="1985" w:type="dxa"/>
          </w:tcPr>
          <w:p w14:paraId="216CD7EC" w14:textId="77777777" w:rsidR="008A212A" w:rsidRPr="00BF2B4F" w:rsidRDefault="008A212A" w:rsidP="00DB0747">
            <w:pPr>
              <w:tabs>
                <w:tab w:val="left" w:pos="720"/>
                <w:tab w:val="left" w:pos="1080"/>
              </w:tabs>
              <w:spacing w:after="0"/>
              <w:rPr>
                <w:sz w:val="20"/>
              </w:rPr>
            </w:pPr>
            <w:r w:rsidRPr="00D23986">
              <w:rPr>
                <w:sz w:val="20"/>
              </w:rPr>
              <w:t>Turkey</w:t>
            </w:r>
          </w:p>
        </w:tc>
        <w:tc>
          <w:tcPr>
            <w:tcW w:w="1701" w:type="dxa"/>
          </w:tcPr>
          <w:p w14:paraId="67A4349A" w14:textId="2CC2D7CA" w:rsidR="008A212A" w:rsidRPr="00BF2B4F" w:rsidRDefault="00C30961" w:rsidP="00DB0747">
            <w:pPr>
              <w:tabs>
                <w:tab w:val="left" w:pos="720"/>
                <w:tab w:val="left" w:pos="1080"/>
              </w:tabs>
              <w:spacing w:after="0"/>
              <w:rPr>
                <w:sz w:val="20"/>
              </w:rPr>
            </w:pPr>
            <w:r>
              <w:rPr>
                <w:sz w:val="20"/>
              </w:rPr>
              <w:t>202</w:t>
            </w:r>
            <w:r w:rsidR="008331BC">
              <w:rPr>
                <w:sz w:val="20"/>
              </w:rPr>
              <w:t>2</w:t>
            </w:r>
            <w:r w:rsidR="002D3492">
              <w:rPr>
                <w:sz w:val="20"/>
              </w:rPr>
              <w:t>*</w:t>
            </w:r>
          </w:p>
        </w:tc>
      </w:tr>
      <w:tr w:rsidR="008A212A" w:rsidRPr="00BF2B4F" w14:paraId="07E94AD2" w14:textId="77777777" w:rsidTr="00DB0747">
        <w:tc>
          <w:tcPr>
            <w:tcW w:w="1922" w:type="dxa"/>
          </w:tcPr>
          <w:p w14:paraId="33777507" w14:textId="77777777" w:rsidR="008A212A" w:rsidRPr="00BF2B4F" w:rsidRDefault="008A212A" w:rsidP="00DB0747">
            <w:pPr>
              <w:tabs>
                <w:tab w:val="left" w:pos="720"/>
                <w:tab w:val="left" w:pos="1080"/>
              </w:tabs>
              <w:spacing w:after="0"/>
              <w:rPr>
                <w:sz w:val="20"/>
              </w:rPr>
            </w:pPr>
            <w:r w:rsidRPr="00D23986">
              <w:rPr>
                <w:sz w:val="20"/>
              </w:rPr>
              <w:t>Ken Glassey</w:t>
            </w:r>
          </w:p>
        </w:tc>
        <w:tc>
          <w:tcPr>
            <w:tcW w:w="3685" w:type="dxa"/>
          </w:tcPr>
          <w:p w14:paraId="08D15F5E" w14:textId="77777777" w:rsidR="008A212A" w:rsidRPr="00BF2B4F" w:rsidRDefault="008A212A" w:rsidP="00DB0747">
            <w:pPr>
              <w:tabs>
                <w:tab w:val="left" w:pos="720"/>
                <w:tab w:val="left" w:pos="1080"/>
              </w:tabs>
              <w:spacing w:after="0"/>
              <w:rPr>
                <w:sz w:val="20"/>
              </w:rPr>
            </w:pPr>
            <w:r w:rsidRPr="00D23986">
              <w:rPr>
                <w:sz w:val="20"/>
              </w:rPr>
              <w:t>MAFF – NZ</w:t>
            </w:r>
          </w:p>
        </w:tc>
        <w:tc>
          <w:tcPr>
            <w:tcW w:w="1985" w:type="dxa"/>
          </w:tcPr>
          <w:p w14:paraId="63445A1C" w14:textId="77777777" w:rsidR="008A212A" w:rsidRPr="00BF2B4F" w:rsidRDefault="008A212A" w:rsidP="00DB0747">
            <w:pPr>
              <w:tabs>
                <w:tab w:val="left" w:pos="720"/>
                <w:tab w:val="left" w:pos="1080"/>
              </w:tabs>
              <w:spacing w:after="0"/>
              <w:rPr>
                <w:sz w:val="20"/>
              </w:rPr>
            </w:pPr>
            <w:r w:rsidRPr="00D23986">
              <w:rPr>
                <w:sz w:val="20"/>
              </w:rPr>
              <w:t>New Zealand</w:t>
            </w:r>
          </w:p>
        </w:tc>
        <w:tc>
          <w:tcPr>
            <w:tcW w:w="1701" w:type="dxa"/>
          </w:tcPr>
          <w:p w14:paraId="5041D084" w14:textId="49DD26BD" w:rsidR="008A212A" w:rsidRPr="00BF2B4F" w:rsidRDefault="008A212A" w:rsidP="00DB0747">
            <w:pPr>
              <w:tabs>
                <w:tab w:val="left" w:pos="720"/>
                <w:tab w:val="left" w:pos="1080"/>
              </w:tabs>
              <w:spacing w:after="0"/>
              <w:rPr>
                <w:sz w:val="20"/>
              </w:rPr>
            </w:pPr>
            <w:r w:rsidRPr="00D23986">
              <w:rPr>
                <w:sz w:val="20"/>
              </w:rPr>
              <w:t>20</w:t>
            </w:r>
            <w:r>
              <w:rPr>
                <w:sz w:val="20"/>
              </w:rPr>
              <w:t>22</w:t>
            </w:r>
            <w:r w:rsidR="002D3492">
              <w:rPr>
                <w:sz w:val="20"/>
              </w:rPr>
              <w:t>*</w:t>
            </w:r>
          </w:p>
        </w:tc>
      </w:tr>
      <w:tr w:rsidR="008A212A" w:rsidRPr="00BF2B4F" w14:paraId="49356CB0" w14:textId="77777777" w:rsidTr="00DB0747">
        <w:tc>
          <w:tcPr>
            <w:tcW w:w="1922" w:type="dxa"/>
          </w:tcPr>
          <w:p w14:paraId="1BE81F3A" w14:textId="77777777" w:rsidR="008A212A" w:rsidRPr="00BF2B4F" w:rsidRDefault="008A212A" w:rsidP="00DB0747">
            <w:pPr>
              <w:tabs>
                <w:tab w:val="left" w:pos="720"/>
                <w:tab w:val="left" w:pos="1080"/>
              </w:tabs>
              <w:spacing w:after="0"/>
              <w:rPr>
                <w:sz w:val="20"/>
              </w:rPr>
            </w:pPr>
            <w:r w:rsidRPr="00D23986">
              <w:rPr>
                <w:sz w:val="20"/>
              </w:rPr>
              <w:t>Eduardo Gonzalez</w:t>
            </w:r>
          </w:p>
        </w:tc>
        <w:tc>
          <w:tcPr>
            <w:tcW w:w="3685" w:type="dxa"/>
          </w:tcPr>
          <w:p w14:paraId="3302ABBE" w14:textId="77777777" w:rsidR="008A212A" w:rsidRPr="00BF2B4F" w:rsidRDefault="008A212A" w:rsidP="00DB0747">
            <w:pPr>
              <w:tabs>
                <w:tab w:val="left" w:pos="720"/>
                <w:tab w:val="left" w:pos="1080"/>
              </w:tabs>
              <w:spacing w:after="0"/>
              <w:rPr>
                <w:sz w:val="20"/>
              </w:rPr>
            </w:pPr>
            <w:r w:rsidRPr="00D23986">
              <w:rPr>
                <w:sz w:val="20"/>
              </w:rPr>
              <w:t>Fumigator</w:t>
            </w:r>
          </w:p>
        </w:tc>
        <w:tc>
          <w:tcPr>
            <w:tcW w:w="1985" w:type="dxa"/>
          </w:tcPr>
          <w:p w14:paraId="0883704B" w14:textId="77777777" w:rsidR="008A212A" w:rsidRPr="00BF2B4F" w:rsidRDefault="008A212A" w:rsidP="00DB0747">
            <w:pPr>
              <w:tabs>
                <w:tab w:val="left" w:pos="720"/>
                <w:tab w:val="left" w:pos="1080"/>
              </w:tabs>
              <w:spacing w:after="0"/>
              <w:rPr>
                <w:sz w:val="20"/>
              </w:rPr>
            </w:pPr>
            <w:r w:rsidRPr="00D23986">
              <w:rPr>
                <w:sz w:val="20"/>
              </w:rPr>
              <w:t>Philippines</w:t>
            </w:r>
          </w:p>
        </w:tc>
        <w:tc>
          <w:tcPr>
            <w:tcW w:w="1701" w:type="dxa"/>
          </w:tcPr>
          <w:p w14:paraId="35779FAC" w14:textId="44241001" w:rsidR="008A212A" w:rsidRPr="00BF2B4F" w:rsidRDefault="008A212A" w:rsidP="00DB0747">
            <w:pPr>
              <w:tabs>
                <w:tab w:val="left" w:pos="720"/>
                <w:tab w:val="left" w:pos="1080"/>
              </w:tabs>
              <w:spacing w:after="0"/>
              <w:rPr>
                <w:sz w:val="20"/>
              </w:rPr>
            </w:pPr>
            <w:r w:rsidRPr="00D23986">
              <w:rPr>
                <w:sz w:val="20"/>
              </w:rPr>
              <w:t>20</w:t>
            </w:r>
            <w:r>
              <w:rPr>
                <w:sz w:val="20"/>
              </w:rPr>
              <w:t>22</w:t>
            </w:r>
            <w:r w:rsidR="002D3492">
              <w:rPr>
                <w:sz w:val="20"/>
              </w:rPr>
              <w:t>*</w:t>
            </w:r>
          </w:p>
        </w:tc>
      </w:tr>
      <w:tr w:rsidR="008A212A" w:rsidRPr="00BF2B4F" w14:paraId="09CEFDF7" w14:textId="77777777" w:rsidTr="00DB0747">
        <w:tc>
          <w:tcPr>
            <w:tcW w:w="1922" w:type="dxa"/>
          </w:tcPr>
          <w:p w14:paraId="09FDFEBD" w14:textId="77777777" w:rsidR="008A212A" w:rsidRPr="00BF2B4F" w:rsidRDefault="008A212A" w:rsidP="00DB0747">
            <w:pPr>
              <w:tabs>
                <w:tab w:val="left" w:pos="720"/>
                <w:tab w:val="left" w:pos="1080"/>
              </w:tabs>
              <w:spacing w:after="0"/>
              <w:rPr>
                <w:sz w:val="20"/>
              </w:rPr>
            </w:pPr>
            <w:r w:rsidRPr="00D23986">
              <w:rPr>
                <w:sz w:val="20"/>
              </w:rPr>
              <w:t>Takashi Misumi</w:t>
            </w:r>
          </w:p>
        </w:tc>
        <w:tc>
          <w:tcPr>
            <w:tcW w:w="3685" w:type="dxa"/>
          </w:tcPr>
          <w:p w14:paraId="70223F78" w14:textId="77777777" w:rsidR="008A212A" w:rsidRPr="00BF2B4F" w:rsidRDefault="008A212A" w:rsidP="00DB0747">
            <w:pPr>
              <w:tabs>
                <w:tab w:val="left" w:pos="720"/>
                <w:tab w:val="left" w:pos="1080"/>
              </w:tabs>
              <w:spacing w:after="0"/>
              <w:rPr>
                <w:sz w:val="20"/>
              </w:rPr>
            </w:pPr>
            <w:r w:rsidRPr="00D23986">
              <w:rPr>
                <w:sz w:val="20"/>
              </w:rPr>
              <w:t>MAFF – Japan</w:t>
            </w:r>
          </w:p>
        </w:tc>
        <w:tc>
          <w:tcPr>
            <w:tcW w:w="1985" w:type="dxa"/>
          </w:tcPr>
          <w:p w14:paraId="6CE9E23E" w14:textId="77777777" w:rsidR="008A212A" w:rsidRPr="00BF2B4F" w:rsidRDefault="008A212A" w:rsidP="00DB0747">
            <w:pPr>
              <w:tabs>
                <w:tab w:val="left" w:pos="720"/>
                <w:tab w:val="left" w:pos="1080"/>
              </w:tabs>
              <w:spacing w:after="0"/>
              <w:rPr>
                <w:sz w:val="20"/>
              </w:rPr>
            </w:pPr>
            <w:r w:rsidRPr="00D23986">
              <w:rPr>
                <w:sz w:val="20"/>
              </w:rPr>
              <w:t>Japan</w:t>
            </w:r>
          </w:p>
        </w:tc>
        <w:tc>
          <w:tcPr>
            <w:tcW w:w="1701" w:type="dxa"/>
          </w:tcPr>
          <w:p w14:paraId="639943E8" w14:textId="3686CD0E" w:rsidR="008A212A" w:rsidRPr="00BF2B4F" w:rsidRDefault="008A212A" w:rsidP="00DB0747">
            <w:pPr>
              <w:tabs>
                <w:tab w:val="left" w:pos="720"/>
                <w:tab w:val="left" w:pos="1080"/>
              </w:tabs>
              <w:spacing w:after="0"/>
              <w:rPr>
                <w:sz w:val="20"/>
              </w:rPr>
            </w:pPr>
            <w:r w:rsidRPr="00D23986">
              <w:rPr>
                <w:sz w:val="20"/>
              </w:rPr>
              <w:t>20</w:t>
            </w:r>
            <w:r>
              <w:rPr>
                <w:sz w:val="20"/>
              </w:rPr>
              <w:t>22</w:t>
            </w:r>
            <w:r w:rsidR="002D3492">
              <w:rPr>
                <w:sz w:val="20"/>
              </w:rPr>
              <w:t>*</w:t>
            </w:r>
          </w:p>
        </w:tc>
      </w:tr>
      <w:tr w:rsidR="008A212A" w:rsidRPr="00BF2B4F" w14:paraId="472C7DAA" w14:textId="77777777" w:rsidTr="00DB0747">
        <w:tc>
          <w:tcPr>
            <w:tcW w:w="1922" w:type="dxa"/>
          </w:tcPr>
          <w:p w14:paraId="64F1A8AC" w14:textId="77777777" w:rsidR="008A212A" w:rsidRPr="00BF2B4F" w:rsidRDefault="008A212A" w:rsidP="00DB0747">
            <w:pPr>
              <w:tabs>
                <w:tab w:val="left" w:pos="720"/>
                <w:tab w:val="left" w:pos="1080"/>
              </w:tabs>
              <w:spacing w:after="0"/>
              <w:rPr>
                <w:sz w:val="20"/>
              </w:rPr>
            </w:pPr>
            <w:r w:rsidRPr="00D23986">
              <w:rPr>
                <w:sz w:val="20"/>
              </w:rPr>
              <w:t>Christoph Reichmuth</w:t>
            </w:r>
          </w:p>
        </w:tc>
        <w:tc>
          <w:tcPr>
            <w:tcW w:w="3685" w:type="dxa"/>
          </w:tcPr>
          <w:p w14:paraId="25E0B450" w14:textId="77777777" w:rsidR="008A212A" w:rsidRPr="00BF2B4F" w:rsidRDefault="008A212A" w:rsidP="00DB0747">
            <w:pPr>
              <w:tabs>
                <w:tab w:val="left" w:pos="720"/>
                <w:tab w:val="left" w:pos="1080"/>
              </w:tabs>
              <w:spacing w:after="0"/>
              <w:rPr>
                <w:sz w:val="20"/>
              </w:rPr>
            </w:pPr>
            <w:r w:rsidRPr="00D23986">
              <w:rPr>
                <w:sz w:val="20"/>
              </w:rPr>
              <w:t>Honorary Professor</w:t>
            </w:r>
            <w:r>
              <w:rPr>
                <w:sz w:val="20"/>
              </w:rPr>
              <w:t xml:space="preserve"> – Humboldt University</w:t>
            </w:r>
          </w:p>
        </w:tc>
        <w:tc>
          <w:tcPr>
            <w:tcW w:w="1985" w:type="dxa"/>
          </w:tcPr>
          <w:p w14:paraId="38723522" w14:textId="77777777" w:rsidR="008A212A" w:rsidRPr="00BF2B4F" w:rsidRDefault="008A212A" w:rsidP="00DB0747">
            <w:pPr>
              <w:tabs>
                <w:tab w:val="left" w:pos="720"/>
                <w:tab w:val="left" w:pos="1080"/>
              </w:tabs>
              <w:spacing w:after="0"/>
              <w:rPr>
                <w:sz w:val="20"/>
              </w:rPr>
            </w:pPr>
            <w:r w:rsidRPr="00D23986">
              <w:rPr>
                <w:sz w:val="20"/>
              </w:rPr>
              <w:t>Germany</w:t>
            </w:r>
          </w:p>
        </w:tc>
        <w:tc>
          <w:tcPr>
            <w:tcW w:w="1701" w:type="dxa"/>
          </w:tcPr>
          <w:p w14:paraId="106D2B8D" w14:textId="6C7571FE" w:rsidR="008A212A" w:rsidRPr="00BF2B4F" w:rsidRDefault="008A212A" w:rsidP="00DB0747">
            <w:pPr>
              <w:tabs>
                <w:tab w:val="left" w:pos="720"/>
                <w:tab w:val="left" w:pos="1080"/>
              </w:tabs>
              <w:spacing w:after="0"/>
              <w:rPr>
                <w:sz w:val="20"/>
              </w:rPr>
            </w:pPr>
            <w:r w:rsidRPr="00D23986">
              <w:rPr>
                <w:sz w:val="20"/>
              </w:rPr>
              <w:t>20</w:t>
            </w:r>
            <w:r>
              <w:rPr>
                <w:sz w:val="20"/>
              </w:rPr>
              <w:t>22</w:t>
            </w:r>
            <w:r w:rsidR="002D3492">
              <w:rPr>
                <w:sz w:val="20"/>
              </w:rPr>
              <w:t>*</w:t>
            </w:r>
          </w:p>
        </w:tc>
      </w:tr>
      <w:tr w:rsidR="008A212A" w:rsidRPr="00BF2B4F" w14:paraId="1A454847" w14:textId="77777777" w:rsidTr="00DB0747">
        <w:tc>
          <w:tcPr>
            <w:tcW w:w="1922" w:type="dxa"/>
          </w:tcPr>
          <w:p w14:paraId="10DDBA81" w14:textId="77777777" w:rsidR="008A212A" w:rsidRPr="00BF2B4F" w:rsidRDefault="008A212A" w:rsidP="00DB0747">
            <w:pPr>
              <w:tabs>
                <w:tab w:val="left" w:pos="720"/>
                <w:tab w:val="left" w:pos="1080"/>
              </w:tabs>
              <w:spacing w:after="0"/>
              <w:rPr>
                <w:sz w:val="20"/>
              </w:rPr>
            </w:pPr>
            <w:r w:rsidRPr="00D23986">
              <w:rPr>
                <w:sz w:val="20"/>
              </w:rPr>
              <w:t>Jordi Riudavets</w:t>
            </w:r>
          </w:p>
        </w:tc>
        <w:tc>
          <w:tcPr>
            <w:tcW w:w="3685" w:type="dxa"/>
          </w:tcPr>
          <w:p w14:paraId="25488EE0" w14:textId="77777777" w:rsidR="008A212A" w:rsidRPr="00BF2B4F" w:rsidRDefault="008A212A" w:rsidP="00DB0747">
            <w:pPr>
              <w:tabs>
                <w:tab w:val="left" w:pos="720"/>
                <w:tab w:val="left" w:pos="1080"/>
              </w:tabs>
              <w:spacing w:after="0"/>
              <w:rPr>
                <w:sz w:val="20"/>
              </w:rPr>
            </w:pPr>
            <w:r w:rsidRPr="00D23986">
              <w:rPr>
                <w:sz w:val="20"/>
              </w:rPr>
              <w:t>IRTA – Department of Plant Protection</w:t>
            </w:r>
          </w:p>
        </w:tc>
        <w:tc>
          <w:tcPr>
            <w:tcW w:w="1985" w:type="dxa"/>
          </w:tcPr>
          <w:p w14:paraId="6B9E0110" w14:textId="77777777" w:rsidR="008A212A" w:rsidRPr="00BF2B4F" w:rsidRDefault="008A212A" w:rsidP="00DB0747">
            <w:pPr>
              <w:tabs>
                <w:tab w:val="left" w:pos="720"/>
                <w:tab w:val="left" w:pos="1080"/>
              </w:tabs>
              <w:spacing w:after="0"/>
              <w:rPr>
                <w:sz w:val="20"/>
              </w:rPr>
            </w:pPr>
            <w:r w:rsidRPr="00D23986">
              <w:rPr>
                <w:sz w:val="20"/>
              </w:rPr>
              <w:t>Spain</w:t>
            </w:r>
          </w:p>
        </w:tc>
        <w:tc>
          <w:tcPr>
            <w:tcW w:w="1701" w:type="dxa"/>
          </w:tcPr>
          <w:p w14:paraId="279BACEA" w14:textId="70A30A4B" w:rsidR="008A212A" w:rsidRPr="00BF2B4F" w:rsidRDefault="008A212A" w:rsidP="00DB0747">
            <w:pPr>
              <w:tabs>
                <w:tab w:val="left" w:pos="720"/>
                <w:tab w:val="left" w:pos="1080"/>
              </w:tabs>
              <w:spacing w:after="0"/>
              <w:rPr>
                <w:sz w:val="20"/>
              </w:rPr>
            </w:pPr>
            <w:r w:rsidRPr="00D23986">
              <w:rPr>
                <w:sz w:val="20"/>
              </w:rPr>
              <w:t>20</w:t>
            </w:r>
            <w:r w:rsidR="00C30961">
              <w:rPr>
                <w:sz w:val="20"/>
              </w:rPr>
              <w:t>22</w:t>
            </w:r>
            <w:r w:rsidR="002D3492">
              <w:rPr>
                <w:sz w:val="20"/>
              </w:rPr>
              <w:t>*</w:t>
            </w:r>
          </w:p>
        </w:tc>
      </w:tr>
      <w:tr w:rsidR="008A212A" w:rsidRPr="00BF2B4F" w14:paraId="32F02FD5" w14:textId="77777777" w:rsidTr="00DB0747">
        <w:tc>
          <w:tcPr>
            <w:tcW w:w="1922" w:type="dxa"/>
          </w:tcPr>
          <w:p w14:paraId="6EF29944" w14:textId="77777777" w:rsidR="008A212A" w:rsidRPr="00BF2B4F" w:rsidRDefault="008A212A" w:rsidP="00DB0747">
            <w:pPr>
              <w:tabs>
                <w:tab w:val="left" w:pos="720"/>
                <w:tab w:val="left" w:pos="1080"/>
              </w:tabs>
              <w:spacing w:after="0"/>
              <w:rPr>
                <w:sz w:val="20"/>
              </w:rPr>
            </w:pPr>
            <w:r w:rsidRPr="00D23986">
              <w:rPr>
                <w:sz w:val="20"/>
              </w:rPr>
              <w:t>Akio Tateya</w:t>
            </w:r>
          </w:p>
        </w:tc>
        <w:tc>
          <w:tcPr>
            <w:tcW w:w="3685" w:type="dxa"/>
          </w:tcPr>
          <w:p w14:paraId="6BEEBEDC" w14:textId="77777777" w:rsidR="008A212A" w:rsidRPr="00BF2B4F" w:rsidRDefault="008A212A" w:rsidP="00DB0747">
            <w:pPr>
              <w:tabs>
                <w:tab w:val="left" w:pos="720"/>
                <w:tab w:val="left" w:pos="1080"/>
              </w:tabs>
              <w:spacing w:after="0"/>
              <w:rPr>
                <w:sz w:val="20"/>
              </w:rPr>
            </w:pPr>
            <w:r w:rsidRPr="00D23986">
              <w:rPr>
                <w:sz w:val="20"/>
              </w:rPr>
              <w:t xml:space="preserve">Technical Adviser, Syngenta </w:t>
            </w:r>
          </w:p>
        </w:tc>
        <w:tc>
          <w:tcPr>
            <w:tcW w:w="1985" w:type="dxa"/>
          </w:tcPr>
          <w:p w14:paraId="411CF32F" w14:textId="77777777" w:rsidR="008A212A" w:rsidRPr="00BF2B4F" w:rsidRDefault="008A212A" w:rsidP="00DB0747">
            <w:pPr>
              <w:tabs>
                <w:tab w:val="left" w:pos="720"/>
                <w:tab w:val="left" w:pos="1080"/>
              </w:tabs>
              <w:spacing w:after="0"/>
              <w:rPr>
                <w:sz w:val="20"/>
              </w:rPr>
            </w:pPr>
            <w:r w:rsidRPr="00D23986">
              <w:rPr>
                <w:sz w:val="20"/>
              </w:rPr>
              <w:t>Japan</w:t>
            </w:r>
          </w:p>
        </w:tc>
        <w:tc>
          <w:tcPr>
            <w:tcW w:w="1701" w:type="dxa"/>
          </w:tcPr>
          <w:p w14:paraId="0EAA3642" w14:textId="39CEC42D" w:rsidR="008A212A" w:rsidRPr="00BF2B4F" w:rsidRDefault="008A212A" w:rsidP="00DB0747">
            <w:pPr>
              <w:tabs>
                <w:tab w:val="left" w:pos="720"/>
                <w:tab w:val="left" w:pos="1080"/>
              </w:tabs>
              <w:spacing w:after="0"/>
              <w:rPr>
                <w:sz w:val="20"/>
              </w:rPr>
            </w:pPr>
            <w:r w:rsidRPr="00D23986">
              <w:rPr>
                <w:sz w:val="20"/>
              </w:rPr>
              <w:t>20</w:t>
            </w:r>
            <w:r>
              <w:rPr>
                <w:sz w:val="20"/>
              </w:rPr>
              <w:t>22</w:t>
            </w:r>
            <w:r w:rsidR="002D3492">
              <w:rPr>
                <w:sz w:val="20"/>
              </w:rPr>
              <w:t>*</w:t>
            </w:r>
          </w:p>
        </w:tc>
      </w:tr>
      <w:tr w:rsidR="008A212A" w:rsidRPr="00BF2B4F" w14:paraId="7FE11E67" w14:textId="77777777" w:rsidTr="00DB0747">
        <w:tc>
          <w:tcPr>
            <w:tcW w:w="1922" w:type="dxa"/>
          </w:tcPr>
          <w:p w14:paraId="4367DE83" w14:textId="77777777" w:rsidR="008A212A" w:rsidRPr="00BF2B4F" w:rsidRDefault="008A212A" w:rsidP="00DB0747">
            <w:pPr>
              <w:tabs>
                <w:tab w:val="left" w:pos="720"/>
                <w:tab w:val="left" w:pos="1080"/>
              </w:tabs>
              <w:spacing w:after="0"/>
              <w:rPr>
                <w:sz w:val="20"/>
              </w:rPr>
            </w:pPr>
            <w:r w:rsidRPr="00D23986">
              <w:rPr>
                <w:sz w:val="20"/>
              </w:rPr>
              <w:t>Alejandro Valeiro</w:t>
            </w:r>
          </w:p>
        </w:tc>
        <w:tc>
          <w:tcPr>
            <w:tcW w:w="3685" w:type="dxa"/>
          </w:tcPr>
          <w:p w14:paraId="02D02328" w14:textId="77777777" w:rsidR="008A212A" w:rsidRPr="00BF2B4F" w:rsidRDefault="008A212A" w:rsidP="00DB0747">
            <w:pPr>
              <w:tabs>
                <w:tab w:val="left" w:pos="720"/>
                <w:tab w:val="left" w:pos="1080"/>
              </w:tabs>
              <w:spacing w:after="0"/>
              <w:rPr>
                <w:sz w:val="20"/>
              </w:rPr>
            </w:pPr>
            <w:r w:rsidRPr="00D23986">
              <w:rPr>
                <w:sz w:val="20"/>
              </w:rPr>
              <w:t>Nat. Institute for Ag. Technology</w:t>
            </w:r>
          </w:p>
        </w:tc>
        <w:tc>
          <w:tcPr>
            <w:tcW w:w="1985" w:type="dxa"/>
          </w:tcPr>
          <w:p w14:paraId="05E167AA" w14:textId="77777777" w:rsidR="008A212A" w:rsidRPr="00BF2B4F" w:rsidRDefault="008A212A" w:rsidP="00DB0747">
            <w:pPr>
              <w:tabs>
                <w:tab w:val="left" w:pos="720"/>
                <w:tab w:val="left" w:pos="1080"/>
              </w:tabs>
              <w:spacing w:after="0"/>
              <w:rPr>
                <w:sz w:val="20"/>
              </w:rPr>
            </w:pPr>
            <w:r w:rsidRPr="00D23986">
              <w:rPr>
                <w:sz w:val="20"/>
              </w:rPr>
              <w:t>Argentina</w:t>
            </w:r>
          </w:p>
        </w:tc>
        <w:tc>
          <w:tcPr>
            <w:tcW w:w="1701" w:type="dxa"/>
          </w:tcPr>
          <w:p w14:paraId="335285BB" w14:textId="4C48BF99" w:rsidR="008A212A" w:rsidRPr="00BF2B4F" w:rsidRDefault="008A212A" w:rsidP="00DB0747">
            <w:pPr>
              <w:tabs>
                <w:tab w:val="left" w:pos="720"/>
                <w:tab w:val="left" w:pos="1080"/>
              </w:tabs>
              <w:spacing w:after="0"/>
              <w:rPr>
                <w:sz w:val="20"/>
              </w:rPr>
            </w:pPr>
            <w:r w:rsidRPr="00D23986">
              <w:rPr>
                <w:sz w:val="20"/>
              </w:rPr>
              <w:t>20</w:t>
            </w:r>
            <w:r>
              <w:rPr>
                <w:sz w:val="20"/>
              </w:rPr>
              <w:t>22</w:t>
            </w:r>
            <w:r w:rsidR="002D3492">
              <w:rPr>
                <w:sz w:val="20"/>
              </w:rPr>
              <w:t>*</w:t>
            </w:r>
          </w:p>
        </w:tc>
      </w:tr>
      <w:tr w:rsidR="008A212A" w:rsidRPr="00BF2B4F" w14:paraId="2B1160C8" w14:textId="77777777" w:rsidTr="00DB0747">
        <w:tc>
          <w:tcPr>
            <w:tcW w:w="1922" w:type="dxa"/>
          </w:tcPr>
          <w:p w14:paraId="7A58514F" w14:textId="77777777" w:rsidR="008A212A" w:rsidRPr="00BF2B4F" w:rsidRDefault="008A212A" w:rsidP="00DB0747">
            <w:pPr>
              <w:tabs>
                <w:tab w:val="left" w:pos="720"/>
                <w:tab w:val="left" w:pos="1080"/>
              </w:tabs>
              <w:spacing w:after="0"/>
              <w:rPr>
                <w:sz w:val="20"/>
              </w:rPr>
            </w:pPr>
            <w:r w:rsidRPr="00D23986">
              <w:rPr>
                <w:sz w:val="20"/>
              </w:rPr>
              <w:t>Nick Vink</w:t>
            </w:r>
          </w:p>
        </w:tc>
        <w:tc>
          <w:tcPr>
            <w:tcW w:w="3685" w:type="dxa"/>
          </w:tcPr>
          <w:p w14:paraId="29343DE9" w14:textId="77777777" w:rsidR="008A212A" w:rsidRPr="00BF2B4F" w:rsidRDefault="008A212A" w:rsidP="00DB0747">
            <w:pPr>
              <w:tabs>
                <w:tab w:val="left" w:pos="720"/>
                <w:tab w:val="left" w:pos="1080"/>
              </w:tabs>
              <w:spacing w:after="0"/>
              <w:rPr>
                <w:sz w:val="20"/>
              </w:rPr>
            </w:pPr>
            <w:r w:rsidRPr="00D23986">
              <w:rPr>
                <w:sz w:val="20"/>
              </w:rPr>
              <w:t>University of Stellenbosch</w:t>
            </w:r>
          </w:p>
        </w:tc>
        <w:tc>
          <w:tcPr>
            <w:tcW w:w="1985" w:type="dxa"/>
          </w:tcPr>
          <w:p w14:paraId="5437D103" w14:textId="77777777" w:rsidR="008A212A" w:rsidRPr="00BF2B4F" w:rsidRDefault="008A212A" w:rsidP="00DB0747">
            <w:pPr>
              <w:tabs>
                <w:tab w:val="left" w:pos="720"/>
                <w:tab w:val="left" w:pos="1080"/>
              </w:tabs>
              <w:spacing w:after="0"/>
              <w:rPr>
                <w:sz w:val="20"/>
              </w:rPr>
            </w:pPr>
            <w:r w:rsidRPr="00D23986">
              <w:rPr>
                <w:sz w:val="20"/>
              </w:rPr>
              <w:t>South Africa</w:t>
            </w:r>
          </w:p>
        </w:tc>
        <w:tc>
          <w:tcPr>
            <w:tcW w:w="1701" w:type="dxa"/>
          </w:tcPr>
          <w:p w14:paraId="7C5A30DC" w14:textId="1DEB34D7" w:rsidR="008A212A" w:rsidRPr="00BF2B4F" w:rsidRDefault="008A212A" w:rsidP="00DB0747">
            <w:pPr>
              <w:tabs>
                <w:tab w:val="left" w:pos="720"/>
                <w:tab w:val="left" w:pos="1080"/>
              </w:tabs>
              <w:spacing w:after="0"/>
              <w:rPr>
                <w:sz w:val="20"/>
              </w:rPr>
            </w:pPr>
            <w:r w:rsidRPr="00D23986">
              <w:rPr>
                <w:sz w:val="20"/>
              </w:rPr>
              <w:t>20</w:t>
            </w:r>
            <w:r>
              <w:rPr>
                <w:sz w:val="20"/>
              </w:rPr>
              <w:t>22</w:t>
            </w:r>
            <w:r w:rsidR="002D3492">
              <w:rPr>
                <w:sz w:val="20"/>
              </w:rPr>
              <w:t>*</w:t>
            </w:r>
          </w:p>
        </w:tc>
      </w:tr>
      <w:tr w:rsidR="00C30961" w:rsidRPr="00BF2B4F" w14:paraId="62F48F14" w14:textId="77777777" w:rsidTr="00DB0747">
        <w:tc>
          <w:tcPr>
            <w:tcW w:w="1922" w:type="dxa"/>
          </w:tcPr>
          <w:p w14:paraId="709751F6" w14:textId="0EBAD768" w:rsidR="00C30961" w:rsidRPr="00D23986" w:rsidRDefault="00C30961" w:rsidP="00DB0747">
            <w:pPr>
              <w:tabs>
                <w:tab w:val="left" w:pos="720"/>
                <w:tab w:val="left" w:pos="1080"/>
              </w:tabs>
              <w:spacing w:after="0"/>
              <w:rPr>
                <w:sz w:val="20"/>
              </w:rPr>
            </w:pPr>
            <w:r>
              <w:rPr>
                <w:sz w:val="20"/>
              </w:rPr>
              <w:t>Tim Widmer</w:t>
            </w:r>
          </w:p>
        </w:tc>
        <w:tc>
          <w:tcPr>
            <w:tcW w:w="3685" w:type="dxa"/>
          </w:tcPr>
          <w:p w14:paraId="783034B0" w14:textId="07534901" w:rsidR="00C30961" w:rsidRPr="00D23986" w:rsidRDefault="00C30961" w:rsidP="00DB0747">
            <w:pPr>
              <w:tabs>
                <w:tab w:val="left" w:pos="720"/>
                <w:tab w:val="left" w:pos="1080"/>
              </w:tabs>
              <w:spacing w:after="0"/>
              <w:rPr>
                <w:sz w:val="20"/>
              </w:rPr>
            </w:pPr>
            <w:r>
              <w:rPr>
                <w:sz w:val="20"/>
              </w:rPr>
              <w:t>USDA</w:t>
            </w:r>
          </w:p>
        </w:tc>
        <w:tc>
          <w:tcPr>
            <w:tcW w:w="1985" w:type="dxa"/>
          </w:tcPr>
          <w:p w14:paraId="6C623A8C" w14:textId="0B1DB25E" w:rsidR="00C30961" w:rsidRPr="00D23986" w:rsidRDefault="00C30961" w:rsidP="00DB0747">
            <w:pPr>
              <w:tabs>
                <w:tab w:val="left" w:pos="720"/>
                <w:tab w:val="left" w:pos="1080"/>
              </w:tabs>
              <w:spacing w:after="0"/>
              <w:rPr>
                <w:sz w:val="20"/>
              </w:rPr>
            </w:pPr>
            <w:r>
              <w:rPr>
                <w:sz w:val="20"/>
              </w:rPr>
              <w:t>US</w:t>
            </w:r>
          </w:p>
        </w:tc>
        <w:tc>
          <w:tcPr>
            <w:tcW w:w="1701" w:type="dxa"/>
          </w:tcPr>
          <w:p w14:paraId="0F6CFB62" w14:textId="26D26BEC" w:rsidR="00C30961" w:rsidRPr="00D23986" w:rsidRDefault="00C30961" w:rsidP="00DB0747">
            <w:pPr>
              <w:tabs>
                <w:tab w:val="left" w:pos="720"/>
                <w:tab w:val="left" w:pos="1080"/>
              </w:tabs>
              <w:spacing w:after="0"/>
              <w:rPr>
                <w:sz w:val="20"/>
              </w:rPr>
            </w:pPr>
            <w:r>
              <w:rPr>
                <w:sz w:val="20"/>
              </w:rPr>
              <w:t>2023</w:t>
            </w:r>
          </w:p>
        </w:tc>
      </w:tr>
    </w:tbl>
    <w:p w14:paraId="10BDB794" w14:textId="26FF052A" w:rsidR="004A2613" w:rsidRPr="007A77BA" w:rsidRDefault="008A212A" w:rsidP="007A77BA">
      <w:pPr>
        <w:rPr>
          <w:i/>
          <w:sz w:val="20"/>
        </w:rPr>
      </w:pPr>
      <w:r w:rsidRPr="00D23986">
        <w:rPr>
          <w:i/>
          <w:sz w:val="20"/>
        </w:rPr>
        <w:t>* Indicates members whose terms expire at the end of the current year</w:t>
      </w:r>
      <w:bookmarkStart w:id="706" w:name="_Toc9109619"/>
    </w:p>
    <w:p w14:paraId="2B89A22A" w14:textId="50FECD82" w:rsidR="00D243B1" w:rsidRPr="00BE2C76" w:rsidRDefault="008A212A" w:rsidP="00821BBC">
      <w:pPr>
        <w:keepNext/>
        <w:keepLines/>
        <w:ind w:left="709" w:hanging="709"/>
        <w:rPr>
          <w:rStyle w:val="Heading2Char"/>
        </w:rPr>
      </w:pPr>
      <w:bookmarkStart w:id="707" w:name="_Toc40696118"/>
      <w:r w:rsidRPr="00BE2C76">
        <w:rPr>
          <w:rStyle w:val="Heading2Char"/>
        </w:rPr>
        <w:lastRenderedPageBreak/>
        <w:t>5.</w:t>
      </w:r>
      <w:r w:rsidRPr="00BE2C76">
        <w:rPr>
          <w:rStyle w:val="Heading2Char"/>
        </w:rPr>
        <w:tab/>
      </w:r>
      <w:r w:rsidR="00D243B1" w:rsidRPr="00BE2C76">
        <w:rPr>
          <w:rStyle w:val="Heading2Char"/>
        </w:rPr>
        <w:t xml:space="preserve">TEAP Medical </w:t>
      </w:r>
      <w:r w:rsidR="004A3A81" w:rsidRPr="00BE2C76">
        <w:rPr>
          <w:rStyle w:val="Heading2Char"/>
        </w:rPr>
        <w:t>and Chemical</w:t>
      </w:r>
      <w:r w:rsidR="0040537B" w:rsidRPr="00BE2C76">
        <w:rPr>
          <w:rStyle w:val="Heading2Char"/>
        </w:rPr>
        <w:t>s</w:t>
      </w:r>
      <w:r w:rsidR="004A3A81" w:rsidRPr="00BE2C76">
        <w:rPr>
          <w:rStyle w:val="Heading2Char"/>
        </w:rPr>
        <w:t xml:space="preserve"> </w:t>
      </w:r>
      <w:r w:rsidR="00D243B1" w:rsidRPr="00BE2C76">
        <w:rPr>
          <w:rStyle w:val="Heading2Char"/>
        </w:rPr>
        <w:t>Technical Options Committee (M</w:t>
      </w:r>
      <w:r w:rsidR="00BE5ED3" w:rsidRPr="00BE2C76">
        <w:rPr>
          <w:rStyle w:val="Heading2Char"/>
        </w:rPr>
        <w:t>C</w:t>
      </w:r>
      <w:r w:rsidR="00D243B1" w:rsidRPr="00BE2C76">
        <w:rPr>
          <w:rStyle w:val="Heading2Char"/>
        </w:rPr>
        <w:t>TOC)</w:t>
      </w:r>
      <w:bookmarkEnd w:id="703"/>
      <w:bookmarkEnd w:id="706"/>
      <w:bookmarkEnd w:id="707"/>
    </w:p>
    <w:p w14:paraId="1B968778" w14:textId="77777777" w:rsidR="001D166E" w:rsidRDefault="001D166E" w:rsidP="00821BBC">
      <w:pPr>
        <w:keepNext/>
        <w:keepLines/>
      </w:pPr>
      <w:bookmarkStart w:id="708" w:name="_Toc514151698"/>
      <w:bookmarkStart w:id="709" w:name="_Toc9109620"/>
      <w:bookmarkStart w:id="710" w:name="_Toc40696119"/>
      <w:r>
        <w:t xml:space="preserve">The Medical and Chemicals Technical Options Committee brings together expertise on metered dose inhalers and their alternatives, aerosols, sterilants, production and feedstock </w:t>
      </w:r>
      <w:proofErr w:type="gramStart"/>
      <w:r>
        <w:t>uses</w:t>
      </w:r>
      <w:proofErr w:type="gramEnd"/>
      <w:r>
        <w:t xml:space="preserve"> of controlled substances, solvent and process agent applications, HFC semiconductor etchants, chemical substances of interest because of their ozone depletion or greenhouse warming potentials, laboratory and analytical uses, and destruction and end-of-life management of controlled substances. Members are experts in asthma and chronic obstructive pulmonary disease and their treatment, pharmaceutical manufacturing and marketing, aerosols manufacturing and markets, hospital and industrial sterilisation of medical equipment, chemicals manufacturing and markets, laboratory and analytical procedures, and destruction technologies and end-of-life waste management. Members have academic, research, clinical, regulatory, laboratory, industrial, business, consulting, and commercial experience. </w:t>
      </w:r>
    </w:p>
    <w:p w14:paraId="3A2DFD4F" w14:textId="77777777" w:rsidR="001D166E" w:rsidRPr="003C63EA" w:rsidRDefault="001D166E" w:rsidP="001D166E">
      <w:pPr>
        <w:pStyle w:val="Style15"/>
        <w:tabs>
          <w:tab w:val="clear" w:pos="720"/>
          <w:tab w:val="clear" w:pos="1080"/>
          <w:tab w:val="left" w:pos="900"/>
        </w:tabs>
        <w:spacing w:after="120"/>
        <w:rPr>
          <w:i/>
          <w:iCs/>
          <w:sz w:val="22"/>
          <w:szCs w:val="22"/>
          <w:lang w:val="en-US"/>
        </w:rPr>
      </w:pPr>
      <w:r w:rsidRPr="00E54B7B">
        <w:rPr>
          <w:i/>
          <w:iCs/>
          <w:sz w:val="22"/>
          <w:szCs w:val="22"/>
          <w:lang w:val="en-US"/>
        </w:rPr>
        <w:t>Table 5:</w:t>
      </w:r>
      <w:r w:rsidRPr="00E54B7B">
        <w:rPr>
          <w:i/>
          <w:iCs/>
          <w:sz w:val="22"/>
          <w:szCs w:val="22"/>
          <w:lang w:val="en-US"/>
        </w:rPr>
        <w:tab/>
        <w:t>MCTOC Membership as of May 2022</w:t>
      </w:r>
      <w:r w:rsidRPr="003C63EA">
        <w:rPr>
          <w:i/>
          <w:iCs/>
          <w:sz w:val="22"/>
          <w:szCs w:val="22"/>
          <w:lang w:val="en-US"/>
        </w:rPr>
        <w:t xml:space="preserve"> </w:t>
      </w:r>
    </w:p>
    <w:tbl>
      <w:tblPr>
        <w:tblStyle w:val="TableGrid"/>
        <w:tblW w:w="9322" w:type="dxa"/>
        <w:tblLook w:val="04A0" w:firstRow="1" w:lastRow="0" w:firstColumn="1" w:lastColumn="0" w:noHBand="0" w:noVBand="1"/>
      </w:tblPr>
      <w:tblGrid>
        <w:gridCol w:w="2130"/>
        <w:gridCol w:w="4499"/>
        <w:gridCol w:w="1417"/>
        <w:gridCol w:w="1276"/>
      </w:tblGrid>
      <w:tr w:rsidR="001D166E" w:rsidRPr="00A11826" w14:paraId="35591CFB" w14:textId="77777777" w:rsidTr="00D00FB8">
        <w:tc>
          <w:tcPr>
            <w:tcW w:w="2130" w:type="dxa"/>
            <w:shd w:val="clear" w:color="auto" w:fill="9CC2E5" w:themeFill="accent1" w:themeFillTint="99"/>
          </w:tcPr>
          <w:p w14:paraId="115B9E56" w14:textId="77777777" w:rsidR="001D166E" w:rsidRPr="00415C42" w:rsidRDefault="001D166E" w:rsidP="00D00FB8">
            <w:pPr>
              <w:spacing w:after="0"/>
              <w:rPr>
                <w:b/>
                <w:sz w:val="20"/>
                <w:szCs w:val="20"/>
              </w:rPr>
            </w:pPr>
            <w:r w:rsidRPr="00415C42">
              <w:rPr>
                <w:b/>
                <w:sz w:val="20"/>
                <w:szCs w:val="20"/>
              </w:rPr>
              <w:t>Co-chairs</w:t>
            </w:r>
          </w:p>
        </w:tc>
        <w:tc>
          <w:tcPr>
            <w:tcW w:w="4499" w:type="dxa"/>
            <w:shd w:val="clear" w:color="auto" w:fill="9CC2E5" w:themeFill="accent1" w:themeFillTint="99"/>
          </w:tcPr>
          <w:p w14:paraId="02D60C88" w14:textId="77777777" w:rsidR="001D166E" w:rsidRPr="00415C42" w:rsidRDefault="001D166E" w:rsidP="00D00FB8">
            <w:pPr>
              <w:spacing w:after="0"/>
              <w:rPr>
                <w:b/>
                <w:sz w:val="20"/>
                <w:szCs w:val="20"/>
              </w:rPr>
            </w:pPr>
            <w:r w:rsidRPr="00415C42">
              <w:rPr>
                <w:b/>
                <w:sz w:val="20"/>
                <w:szCs w:val="20"/>
              </w:rPr>
              <w:t>Affiliation</w:t>
            </w:r>
          </w:p>
        </w:tc>
        <w:tc>
          <w:tcPr>
            <w:tcW w:w="1417" w:type="dxa"/>
            <w:shd w:val="clear" w:color="auto" w:fill="9CC2E5" w:themeFill="accent1" w:themeFillTint="99"/>
          </w:tcPr>
          <w:p w14:paraId="68AB753A" w14:textId="77777777" w:rsidR="001D166E" w:rsidRPr="00415C42" w:rsidRDefault="001D166E" w:rsidP="00D00FB8">
            <w:pPr>
              <w:spacing w:after="0"/>
              <w:rPr>
                <w:b/>
                <w:sz w:val="20"/>
                <w:szCs w:val="20"/>
              </w:rPr>
            </w:pPr>
            <w:r w:rsidRPr="00415C42">
              <w:rPr>
                <w:b/>
                <w:sz w:val="20"/>
                <w:szCs w:val="20"/>
              </w:rPr>
              <w:t>Country</w:t>
            </w:r>
          </w:p>
        </w:tc>
        <w:tc>
          <w:tcPr>
            <w:tcW w:w="1276" w:type="dxa"/>
            <w:shd w:val="clear" w:color="auto" w:fill="9CC2E5" w:themeFill="accent1" w:themeFillTint="99"/>
          </w:tcPr>
          <w:p w14:paraId="14BD1847" w14:textId="77777777" w:rsidR="001D166E" w:rsidRPr="00415C42" w:rsidRDefault="001D166E" w:rsidP="00D00FB8">
            <w:pPr>
              <w:spacing w:after="0"/>
              <w:rPr>
                <w:b/>
                <w:sz w:val="20"/>
                <w:szCs w:val="20"/>
              </w:rPr>
            </w:pPr>
            <w:r w:rsidRPr="00415C42">
              <w:rPr>
                <w:b/>
                <w:sz w:val="20"/>
                <w:szCs w:val="20"/>
              </w:rPr>
              <w:t>Appointed through</w:t>
            </w:r>
          </w:p>
        </w:tc>
      </w:tr>
      <w:tr w:rsidR="001D166E" w:rsidRPr="00A11826" w14:paraId="4F0597C3" w14:textId="77777777" w:rsidTr="00D00FB8">
        <w:tc>
          <w:tcPr>
            <w:tcW w:w="2130" w:type="dxa"/>
          </w:tcPr>
          <w:p w14:paraId="36B9A413" w14:textId="77777777" w:rsidR="001D166E" w:rsidRPr="00A11826" w:rsidRDefault="001D166E" w:rsidP="00D00FB8">
            <w:pPr>
              <w:spacing w:after="0"/>
              <w:rPr>
                <w:sz w:val="20"/>
                <w:szCs w:val="20"/>
              </w:rPr>
            </w:pPr>
            <w:r w:rsidRPr="00A11826">
              <w:rPr>
                <w:sz w:val="20"/>
                <w:szCs w:val="20"/>
              </w:rPr>
              <w:t>Kei-ichi Ohnishi</w:t>
            </w:r>
          </w:p>
        </w:tc>
        <w:tc>
          <w:tcPr>
            <w:tcW w:w="4499" w:type="dxa"/>
          </w:tcPr>
          <w:p w14:paraId="0AD82D0B" w14:textId="77777777" w:rsidR="001D166E" w:rsidRPr="00A11826" w:rsidRDefault="001D166E" w:rsidP="00D00FB8">
            <w:pPr>
              <w:spacing w:after="0"/>
              <w:rPr>
                <w:sz w:val="20"/>
                <w:szCs w:val="20"/>
              </w:rPr>
            </w:pPr>
            <w:r w:rsidRPr="00A11826">
              <w:rPr>
                <w:sz w:val="20"/>
                <w:szCs w:val="20"/>
              </w:rPr>
              <w:t xml:space="preserve">AGC Inc. </w:t>
            </w:r>
          </w:p>
        </w:tc>
        <w:tc>
          <w:tcPr>
            <w:tcW w:w="1417" w:type="dxa"/>
          </w:tcPr>
          <w:p w14:paraId="2244C50E" w14:textId="77777777" w:rsidR="001D166E" w:rsidRPr="00A11826" w:rsidRDefault="001D166E" w:rsidP="00D00FB8">
            <w:pPr>
              <w:spacing w:after="0"/>
              <w:rPr>
                <w:sz w:val="20"/>
                <w:szCs w:val="20"/>
              </w:rPr>
            </w:pPr>
            <w:r w:rsidRPr="00A11826">
              <w:rPr>
                <w:sz w:val="20"/>
                <w:szCs w:val="20"/>
              </w:rPr>
              <w:t>Japan</w:t>
            </w:r>
          </w:p>
        </w:tc>
        <w:tc>
          <w:tcPr>
            <w:tcW w:w="1276" w:type="dxa"/>
          </w:tcPr>
          <w:p w14:paraId="43487D8E" w14:textId="77777777" w:rsidR="001D166E" w:rsidRPr="00A11826" w:rsidRDefault="001D166E" w:rsidP="00D00FB8">
            <w:pPr>
              <w:spacing w:after="0"/>
              <w:rPr>
                <w:sz w:val="20"/>
                <w:szCs w:val="20"/>
              </w:rPr>
            </w:pPr>
            <w:r w:rsidRPr="00A11826">
              <w:rPr>
                <w:sz w:val="20"/>
                <w:szCs w:val="20"/>
              </w:rPr>
              <w:t>20</w:t>
            </w:r>
            <w:r>
              <w:rPr>
                <w:sz w:val="20"/>
                <w:szCs w:val="20"/>
              </w:rPr>
              <w:t>23</w:t>
            </w:r>
          </w:p>
        </w:tc>
      </w:tr>
      <w:tr w:rsidR="001D166E" w:rsidRPr="00A11826" w14:paraId="3155AD43" w14:textId="77777777" w:rsidTr="00D00FB8">
        <w:tc>
          <w:tcPr>
            <w:tcW w:w="2130" w:type="dxa"/>
          </w:tcPr>
          <w:p w14:paraId="249BF240" w14:textId="77777777" w:rsidR="001D166E" w:rsidRPr="00A11826" w:rsidRDefault="001D166E" w:rsidP="00D00FB8">
            <w:pPr>
              <w:spacing w:after="0"/>
              <w:rPr>
                <w:sz w:val="20"/>
                <w:szCs w:val="20"/>
              </w:rPr>
            </w:pPr>
            <w:r w:rsidRPr="00A11826">
              <w:rPr>
                <w:sz w:val="20"/>
                <w:szCs w:val="20"/>
              </w:rPr>
              <w:t>Helen Tope</w:t>
            </w:r>
          </w:p>
        </w:tc>
        <w:tc>
          <w:tcPr>
            <w:tcW w:w="4499" w:type="dxa"/>
          </w:tcPr>
          <w:p w14:paraId="0DA955FF" w14:textId="77777777" w:rsidR="001D166E" w:rsidRPr="00A11826" w:rsidRDefault="001D166E" w:rsidP="00D00FB8">
            <w:pPr>
              <w:spacing w:after="0"/>
              <w:rPr>
                <w:sz w:val="20"/>
                <w:szCs w:val="20"/>
              </w:rPr>
            </w:pPr>
            <w:r>
              <w:rPr>
                <w:sz w:val="20"/>
                <w:szCs w:val="20"/>
              </w:rPr>
              <w:t>Planet Futures</w:t>
            </w:r>
          </w:p>
        </w:tc>
        <w:tc>
          <w:tcPr>
            <w:tcW w:w="1417" w:type="dxa"/>
          </w:tcPr>
          <w:p w14:paraId="3454DBD3" w14:textId="77777777" w:rsidR="001D166E" w:rsidRPr="00A11826" w:rsidRDefault="001D166E" w:rsidP="00D00FB8">
            <w:pPr>
              <w:spacing w:after="0"/>
              <w:rPr>
                <w:sz w:val="20"/>
                <w:szCs w:val="20"/>
              </w:rPr>
            </w:pPr>
            <w:r w:rsidRPr="00A11826">
              <w:rPr>
                <w:sz w:val="20"/>
                <w:szCs w:val="20"/>
              </w:rPr>
              <w:t>Australia</w:t>
            </w:r>
          </w:p>
        </w:tc>
        <w:tc>
          <w:tcPr>
            <w:tcW w:w="1276" w:type="dxa"/>
          </w:tcPr>
          <w:p w14:paraId="3681EC5E" w14:textId="77777777" w:rsidR="001D166E" w:rsidRPr="00A11826" w:rsidRDefault="001D166E" w:rsidP="00D00FB8">
            <w:pPr>
              <w:spacing w:after="0"/>
              <w:rPr>
                <w:sz w:val="20"/>
                <w:szCs w:val="20"/>
              </w:rPr>
            </w:pPr>
            <w:r>
              <w:rPr>
                <w:sz w:val="20"/>
                <w:szCs w:val="20"/>
              </w:rPr>
              <w:t>2025</w:t>
            </w:r>
          </w:p>
        </w:tc>
      </w:tr>
      <w:tr w:rsidR="001D166E" w:rsidRPr="00A11826" w14:paraId="65BA6BA3" w14:textId="77777777" w:rsidTr="00D00FB8">
        <w:tc>
          <w:tcPr>
            <w:tcW w:w="2130" w:type="dxa"/>
          </w:tcPr>
          <w:p w14:paraId="3EE4B862" w14:textId="77777777" w:rsidR="001D166E" w:rsidRPr="00A11826" w:rsidRDefault="001D166E" w:rsidP="00D00FB8">
            <w:pPr>
              <w:spacing w:after="0"/>
              <w:rPr>
                <w:sz w:val="20"/>
                <w:szCs w:val="20"/>
              </w:rPr>
            </w:pPr>
            <w:r w:rsidRPr="00A11826">
              <w:rPr>
                <w:sz w:val="20"/>
                <w:szCs w:val="20"/>
              </w:rPr>
              <w:t>Jianjun Zhang</w:t>
            </w:r>
          </w:p>
        </w:tc>
        <w:tc>
          <w:tcPr>
            <w:tcW w:w="4499" w:type="dxa"/>
          </w:tcPr>
          <w:p w14:paraId="678267A8" w14:textId="77777777" w:rsidR="001D166E" w:rsidRPr="00A11826" w:rsidRDefault="001D166E" w:rsidP="00D00FB8">
            <w:pPr>
              <w:spacing w:after="0"/>
              <w:rPr>
                <w:sz w:val="20"/>
                <w:szCs w:val="20"/>
              </w:rPr>
            </w:pPr>
            <w:r w:rsidRPr="00A11826">
              <w:rPr>
                <w:sz w:val="20"/>
                <w:szCs w:val="20"/>
              </w:rPr>
              <w:t>Zhejiang Chemical Industry Research Institute</w:t>
            </w:r>
          </w:p>
        </w:tc>
        <w:tc>
          <w:tcPr>
            <w:tcW w:w="1417" w:type="dxa"/>
          </w:tcPr>
          <w:p w14:paraId="10CF92FE" w14:textId="77777777" w:rsidR="001D166E" w:rsidRPr="00A11826" w:rsidRDefault="001D166E" w:rsidP="00D00FB8">
            <w:pPr>
              <w:spacing w:after="0"/>
              <w:rPr>
                <w:sz w:val="20"/>
                <w:szCs w:val="20"/>
              </w:rPr>
            </w:pPr>
            <w:r w:rsidRPr="00A11826">
              <w:rPr>
                <w:sz w:val="20"/>
                <w:szCs w:val="20"/>
              </w:rPr>
              <w:t>China</w:t>
            </w:r>
          </w:p>
        </w:tc>
        <w:tc>
          <w:tcPr>
            <w:tcW w:w="1276" w:type="dxa"/>
          </w:tcPr>
          <w:p w14:paraId="0646D086" w14:textId="77777777" w:rsidR="001D166E" w:rsidRPr="00A11826" w:rsidRDefault="001D166E" w:rsidP="00D00FB8">
            <w:pPr>
              <w:spacing w:after="0"/>
              <w:rPr>
                <w:sz w:val="20"/>
                <w:szCs w:val="20"/>
              </w:rPr>
            </w:pPr>
            <w:r w:rsidRPr="00A11826">
              <w:rPr>
                <w:sz w:val="20"/>
                <w:szCs w:val="20"/>
              </w:rPr>
              <w:t>20</w:t>
            </w:r>
            <w:r>
              <w:rPr>
                <w:sz w:val="20"/>
                <w:szCs w:val="20"/>
              </w:rPr>
              <w:t>23</w:t>
            </w:r>
          </w:p>
        </w:tc>
      </w:tr>
      <w:tr w:rsidR="001D166E" w:rsidRPr="00A11826" w14:paraId="7EA8E5B5" w14:textId="77777777" w:rsidTr="00D00FB8">
        <w:tc>
          <w:tcPr>
            <w:tcW w:w="2130" w:type="dxa"/>
            <w:shd w:val="clear" w:color="auto" w:fill="9CC2E5" w:themeFill="accent1" w:themeFillTint="99"/>
          </w:tcPr>
          <w:p w14:paraId="3BC02694" w14:textId="77777777" w:rsidR="001D166E" w:rsidRPr="00415C42" w:rsidRDefault="001D166E" w:rsidP="00D00FB8">
            <w:pPr>
              <w:spacing w:after="0"/>
              <w:rPr>
                <w:b/>
                <w:sz w:val="20"/>
                <w:szCs w:val="20"/>
              </w:rPr>
            </w:pPr>
            <w:r w:rsidRPr="00415C42">
              <w:rPr>
                <w:b/>
                <w:sz w:val="20"/>
                <w:szCs w:val="20"/>
              </w:rPr>
              <w:t>Members</w:t>
            </w:r>
          </w:p>
        </w:tc>
        <w:tc>
          <w:tcPr>
            <w:tcW w:w="4499" w:type="dxa"/>
            <w:shd w:val="clear" w:color="auto" w:fill="9CC2E5" w:themeFill="accent1" w:themeFillTint="99"/>
          </w:tcPr>
          <w:p w14:paraId="5594D7DA" w14:textId="77777777" w:rsidR="001D166E" w:rsidRPr="00415C42" w:rsidRDefault="001D166E" w:rsidP="00D00FB8">
            <w:pPr>
              <w:spacing w:after="0"/>
              <w:rPr>
                <w:b/>
                <w:sz w:val="20"/>
                <w:szCs w:val="20"/>
              </w:rPr>
            </w:pPr>
            <w:r w:rsidRPr="00415C42">
              <w:rPr>
                <w:b/>
                <w:sz w:val="20"/>
                <w:szCs w:val="20"/>
              </w:rPr>
              <w:t>Affiliation</w:t>
            </w:r>
          </w:p>
        </w:tc>
        <w:tc>
          <w:tcPr>
            <w:tcW w:w="1417" w:type="dxa"/>
            <w:shd w:val="clear" w:color="auto" w:fill="9CC2E5" w:themeFill="accent1" w:themeFillTint="99"/>
          </w:tcPr>
          <w:p w14:paraId="4A29A91A" w14:textId="77777777" w:rsidR="001D166E" w:rsidRPr="00415C42" w:rsidRDefault="001D166E" w:rsidP="00D00FB8">
            <w:pPr>
              <w:spacing w:after="0"/>
              <w:rPr>
                <w:b/>
                <w:sz w:val="20"/>
                <w:szCs w:val="20"/>
              </w:rPr>
            </w:pPr>
            <w:r w:rsidRPr="00415C42">
              <w:rPr>
                <w:b/>
                <w:sz w:val="20"/>
                <w:szCs w:val="20"/>
              </w:rPr>
              <w:t>Country</w:t>
            </w:r>
          </w:p>
        </w:tc>
        <w:tc>
          <w:tcPr>
            <w:tcW w:w="1276" w:type="dxa"/>
            <w:shd w:val="clear" w:color="auto" w:fill="9CC2E5" w:themeFill="accent1" w:themeFillTint="99"/>
          </w:tcPr>
          <w:p w14:paraId="3B491B4B" w14:textId="77777777" w:rsidR="001D166E" w:rsidRPr="00415C42" w:rsidRDefault="001D166E" w:rsidP="00D00FB8">
            <w:pPr>
              <w:spacing w:after="0"/>
              <w:rPr>
                <w:b/>
                <w:sz w:val="20"/>
                <w:szCs w:val="20"/>
              </w:rPr>
            </w:pPr>
            <w:r w:rsidRPr="00415C42">
              <w:rPr>
                <w:b/>
                <w:sz w:val="20"/>
                <w:szCs w:val="20"/>
              </w:rPr>
              <w:t>Appointed through</w:t>
            </w:r>
          </w:p>
        </w:tc>
      </w:tr>
      <w:tr w:rsidR="001D166E" w:rsidRPr="00A11826" w14:paraId="3AF2210B" w14:textId="77777777" w:rsidTr="00D00FB8">
        <w:tc>
          <w:tcPr>
            <w:tcW w:w="2130" w:type="dxa"/>
          </w:tcPr>
          <w:p w14:paraId="30814C50" w14:textId="77777777" w:rsidR="001D166E" w:rsidRPr="00A11826" w:rsidRDefault="001D166E" w:rsidP="00D00FB8">
            <w:pPr>
              <w:spacing w:after="0"/>
              <w:rPr>
                <w:sz w:val="20"/>
                <w:szCs w:val="20"/>
              </w:rPr>
            </w:pPr>
            <w:r w:rsidRPr="00A11826">
              <w:rPr>
                <w:sz w:val="20"/>
                <w:szCs w:val="20"/>
              </w:rPr>
              <w:t>Emmanuel Addo-Yobo</w:t>
            </w:r>
          </w:p>
        </w:tc>
        <w:tc>
          <w:tcPr>
            <w:tcW w:w="4499" w:type="dxa"/>
          </w:tcPr>
          <w:p w14:paraId="6B5960C4" w14:textId="77777777" w:rsidR="001D166E" w:rsidRPr="00A11826" w:rsidRDefault="001D166E" w:rsidP="00D00FB8">
            <w:pPr>
              <w:spacing w:after="0"/>
              <w:rPr>
                <w:sz w:val="20"/>
                <w:szCs w:val="20"/>
              </w:rPr>
            </w:pPr>
            <w:r w:rsidRPr="00A11826">
              <w:rPr>
                <w:sz w:val="20"/>
                <w:szCs w:val="20"/>
              </w:rPr>
              <w:t>Kwame Nkrumah University of Science and Technology</w:t>
            </w:r>
          </w:p>
        </w:tc>
        <w:tc>
          <w:tcPr>
            <w:tcW w:w="1417" w:type="dxa"/>
          </w:tcPr>
          <w:p w14:paraId="5EE238E3" w14:textId="77777777" w:rsidR="001D166E" w:rsidRPr="00A11826" w:rsidRDefault="001D166E" w:rsidP="00D00FB8">
            <w:pPr>
              <w:spacing w:after="0"/>
              <w:rPr>
                <w:sz w:val="20"/>
                <w:szCs w:val="20"/>
              </w:rPr>
            </w:pPr>
            <w:r w:rsidRPr="00A11826">
              <w:rPr>
                <w:sz w:val="20"/>
                <w:szCs w:val="20"/>
              </w:rPr>
              <w:t>Ghana</w:t>
            </w:r>
          </w:p>
        </w:tc>
        <w:tc>
          <w:tcPr>
            <w:tcW w:w="1276" w:type="dxa"/>
          </w:tcPr>
          <w:p w14:paraId="27AD35B5"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4DBCB4A0" w14:textId="77777777" w:rsidTr="00D00FB8">
        <w:tc>
          <w:tcPr>
            <w:tcW w:w="2130" w:type="dxa"/>
          </w:tcPr>
          <w:p w14:paraId="75EA76FD" w14:textId="77777777" w:rsidR="001D166E" w:rsidRPr="00A11826" w:rsidRDefault="001D166E" w:rsidP="00D00FB8">
            <w:pPr>
              <w:spacing w:after="0"/>
              <w:rPr>
                <w:sz w:val="20"/>
                <w:szCs w:val="20"/>
              </w:rPr>
            </w:pPr>
            <w:r w:rsidRPr="00A11826">
              <w:rPr>
                <w:sz w:val="20"/>
                <w:szCs w:val="20"/>
              </w:rPr>
              <w:t>Fatima Al-Shatti</w:t>
            </w:r>
          </w:p>
        </w:tc>
        <w:tc>
          <w:tcPr>
            <w:tcW w:w="4499" w:type="dxa"/>
          </w:tcPr>
          <w:p w14:paraId="3EE3B980" w14:textId="77777777" w:rsidR="001D166E" w:rsidRPr="00A11826" w:rsidRDefault="001D166E" w:rsidP="00D00FB8">
            <w:pPr>
              <w:spacing w:after="0"/>
              <w:rPr>
                <w:sz w:val="20"/>
                <w:szCs w:val="20"/>
              </w:rPr>
            </w:pPr>
            <w:r w:rsidRPr="00A11826">
              <w:rPr>
                <w:sz w:val="20"/>
                <w:szCs w:val="20"/>
              </w:rPr>
              <w:t>Consultant to the International Ozone Committee of the Kuwait Environmental Protection Authority</w:t>
            </w:r>
          </w:p>
        </w:tc>
        <w:tc>
          <w:tcPr>
            <w:tcW w:w="1417" w:type="dxa"/>
          </w:tcPr>
          <w:p w14:paraId="41504B6D" w14:textId="77777777" w:rsidR="001D166E" w:rsidRPr="00A11826" w:rsidRDefault="001D166E" w:rsidP="00D00FB8">
            <w:pPr>
              <w:spacing w:after="0"/>
              <w:rPr>
                <w:sz w:val="20"/>
                <w:szCs w:val="20"/>
              </w:rPr>
            </w:pPr>
            <w:r w:rsidRPr="00A11826">
              <w:rPr>
                <w:sz w:val="20"/>
                <w:szCs w:val="20"/>
              </w:rPr>
              <w:t>Kuwait</w:t>
            </w:r>
          </w:p>
        </w:tc>
        <w:tc>
          <w:tcPr>
            <w:tcW w:w="1276" w:type="dxa"/>
          </w:tcPr>
          <w:p w14:paraId="406A6BF7"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32760C16" w14:textId="77777777" w:rsidTr="00D00FB8">
        <w:tc>
          <w:tcPr>
            <w:tcW w:w="2130" w:type="dxa"/>
          </w:tcPr>
          <w:p w14:paraId="5B6A4C6B" w14:textId="77777777" w:rsidR="001D166E" w:rsidRPr="00A11826" w:rsidRDefault="001D166E" w:rsidP="00D00FB8">
            <w:pPr>
              <w:spacing w:after="0"/>
              <w:rPr>
                <w:sz w:val="20"/>
                <w:szCs w:val="20"/>
              </w:rPr>
            </w:pPr>
            <w:r w:rsidRPr="00A11826">
              <w:rPr>
                <w:sz w:val="20"/>
                <w:szCs w:val="20"/>
              </w:rPr>
              <w:t>Paul Atkins</w:t>
            </w:r>
          </w:p>
        </w:tc>
        <w:tc>
          <w:tcPr>
            <w:tcW w:w="4499" w:type="dxa"/>
          </w:tcPr>
          <w:p w14:paraId="18028D19" w14:textId="77777777" w:rsidR="001D166E" w:rsidRPr="00A11826" w:rsidRDefault="001D166E" w:rsidP="00D00FB8">
            <w:pPr>
              <w:spacing w:after="0"/>
              <w:rPr>
                <w:sz w:val="20"/>
                <w:szCs w:val="20"/>
              </w:rPr>
            </w:pPr>
            <w:r w:rsidRPr="00275F3B">
              <w:rPr>
                <w:sz w:val="20"/>
                <w:szCs w:val="20"/>
              </w:rPr>
              <w:t>Inhaled Delivery Solutions</w:t>
            </w:r>
          </w:p>
        </w:tc>
        <w:tc>
          <w:tcPr>
            <w:tcW w:w="1417" w:type="dxa"/>
          </w:tcPr>
          <w:p w14:paraId="34EBC4F6" w14:textId="77777777" w:rsidR="001D166E" w:rsidRPr="00A11826" w:rsidRDefault="001D166E" w:rsidP="00D00FB8">
            <w:pPr>
              <w:spacing w:after="0"/>
              <w:rPr>
                <w:sz w:val="20"/>
                <w:szCs w:val="20"/>
              </w:rPr>
            </w:pPr>
            <w:r w:rsidRPr="00A11826">
              <w:rPr>
                <w:sz w:val="20"/>
                <w:szCs w:val="20"/>
              </w:rPr>
              <w:t>USA</w:t>
            </w:r>
          </w:p>
        </w:tc>
        <w:tc>
          <w:tcPr>
            <w:tcW w:w="1276" w:type="dxa"/>
          </w:tcPr>
          <w:p w14:paraId="53EFD2C7"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5C0531D9" w14:textId="77777777" w:rsidTr="00D00FB8">
        <w:tc>
          <w:tcPr>
            <w:tcW w:w="2130" w:type="dxa"/>
          </w:tcPr>
          <w:p w14:paraId="75BA8221" w14:textId="77777777" w:rsidR="001D166E" w:rsidRPr="00A11826" w:rsidRDefault="001D166E" w:rsidP="00D00FB8">
            <w:pPr>
              <w:spacing w:after="0"/>
              <w:rPr>
                <w:sz w:val="20"/>
                <w:szCs w:val="20"/>
              </w:rPr>
            </w:pPr>
            <w:r w:rsidRPr="00A11826">
              <w:rPr>
                <w:sz w:val="20"/>
                <w:szCs w:val="20"/>
              </w:rPr>
              <w:t>Bill Auriemma</w:t>
            </w:r>
          </w:p>
        </w:tc>
        <w:tc>
          <w:tcPr>
            <w:tcW w:w="4499" w:type="dxa"/>
          </w:tcPr>
          <w:p w14:paraId="0F1F1989" w14:textId="77777777" w:rsidR="001D166E" w:rsidRPr="00A11826" w:rsidRDefault="001D166E" w:rsidP="00D00FB8">
            <w:pPr>
              <w:spacing w:after="0"/>
              <w:rPr>
                <w:sz w:val="20"/>
                <w:szCs w:val="20"/>
              </w:rPr>
            </w:pPr>
            <w:r w:rsidRPr="00A11826">
              <w:rPr>
                <w:sz w:val="20"/>
                <w:szCs w:val="20"/>
              </w:rPr>
              <w:t>Diversified CPC International</w:t>
            </w:r>
          </w:p>
        </w:tc>
        <w:tc>
          <w:tcPr>
            <w:tcW w:w="1417" w:type="dxa"/>
          </w:tcPr>
          <w:p w14:paraId="372365D3" w14:textId="77777777" w:rsidR="001D166E" w:rsidRPr="00A11826" w:rsidRDefault="001D166E" w:rsidP="00D00FB8">
            <w:pPr>
              <w:spacing w:after="0"/>
              <w:rPr>
                <w:sz w:val="20"/>
                <w:szCs w:val="20"/>
              </w:rPr>
            </w:pPr>
            <w:r w:rsidRPr="00A11826">
              <w:rPr>
                <w:sz w:val="20"/>
                <w:szCs w:val="20"/>
              </w:rPr>
              <w:t>USA</w:t>
            </w:r>
          </w:p>
        </w:tc>
        <w:tc>
          <w:tcPr>
            <w:tcW w:w="1276" w:type="dxa"/>
          </w:tcPr>
          <w:p w14:paraId="64062D50" w14:textId="77777777" w:rsidR="001D166E" w:rsidRPr="00A11826" w:rsidRDefault="001D166E" w:rsidP="00D00FB8">
            <w:pPr>
              <w:spacing w:after="0"/>
              <w:rPr>
                <w:sz w:val="20"/>
                <w:szCs w:val="20"/>
              </w:rPr>
            </w:pPr>
            <w:r>
              <w:rPr>
                <w:sz w:val="20"/>
                <w:szCs w:val="20"/>
              </w:rPr>
              <w:t>2025</w:t>
            </w:r>
          </w:p>
        </w:tc>
      </w:tr>
      <w:tr w:rsidR="001D166E" w:rsidRPr="00A11826" w14:paraId="6DBBBD6D" w14:textId="77777777" w:rsidTr="00D00FB8">
        <w:tc>
          <w:tcPr>
            <w:tcW w:w="2130" w:type="dxa"/>
          </w:tcPr>
          <w:p w14:paraId="4E563F3A" w14:textId="77777777" w:rsidR="001D166E" w:rsidRPr="00A11826" w:rsidRDefault="001D166E" w:rsidP="00D00FB8">
            <w:pPr>
              <w:spacing w:after="0"/>
              <w:rPr>
                <w:sz w:val="20"/>
                <w:szCs w:val="20"/>
              </w:rPr>
            </w:pPr>
            <w:r w:rsidRPr="00A11826">
              <w:rPr>
                <w:sz w:val="20"/>
                <w:szCs w:val="20"/>
              </w:rPr>
              <w:t>Olga Blinova</w:t>
            </w:r>
          </w:p>
        </w:tc>
        <w:tc>
          <w:tcPr>
            <w:tcW w:w="4499" w:type="dxa"/>
          </w:tcPr>
          <w:p w14:paraId="5DC47567" w14:textId="77777777" w:rsidR="001D166E" w:rsidRPr="00A11826" w:rsidRDefault="001D166E" w:rsidP="00D00FB8">
            <w:pPr>
              <w:spacing w:after="0"/>
              <w:rPr>
                <w:sz w:val="20"/>
                <w:szCs w:val="20"/>
              </w:rPr>
            </w:pPr>
            <w:r w:rsidRPr="00541424">
              <w:rPr>
                <w:sz w:val="20"/>
                <w:szCs w:val="20"/>
              </w:rPr>
              <w:t>St.</w:t>
            </w:r>
            <w:r>
              <w:rPr>
                <w:sz w:val="20"/>
                <w:szCs w:val="20"/>
              </w:rPr>
              <w:t xml:space="preserve"> </w:t>
            </w:r>
            <w:r w:rsidRPr="00541424">
              <w:rPr>
                <w:sz w:val="20"/>
                <w:szCs w:val="20"/>
              </w:rPr>
              <w:t>Petersburg Pasteur Institute</w:t>
            </w:r>
          </w:p>
        </w:tc>
        <w:tc>
          <w:tcPr>
            <w:tcW w:w="1417" w:type="dxa"/>
          </w:tcPr>
          <w:p w14:paraId="54D8C862" w14:textId="77777777" w:rsidR="001D166E" w:rsidRPr="00A11826" w:rsidRDefault="001D166E" w:rsidP="00D00FB8">
            <w:pPr>
              <w:spacing w:after="0"/>
              <w:rPr>
                <w:sz w:val="20"/>
                <w:szCs w:val="20"/>
              </w:rPr>
            </w:pPr>
            <w:r w:rsidRPr="00A11826">
              <w:rPr>
                <w:sz w:val="20"/>
                <w:szCs w:val="20"/>
              </w:rPr>
              <w:t>Russia</w:t>
            </w:r>
          </w:p>
        </w:tc>
        <w:tc>
          <w:tcPr>
            <w:tcW w:w="1276" w:type="dxa"/>
          </w:tcPr>
          <w:p w14:paraId="1B8C3AE2"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17E78FF3" w14:textId="77777777" w:rsidTr="00D00FB8">
        <w:tc>
          <w:tcPr>
            <w:tcW w:w="2130" w:type="dxa"/>
          </w:tcPr>
          <w:p w14:paraId="565EE9D2" w14:textId="77777777" w:rsidR="001D166E" w:rsidRPr="00A11826" w:rsidRDefault="001D166E" w:rsidP="00D00FB8">
            <w:pPr>
              <w:spacing w:after="0"/>
              <w:rPr>
                <w:sz w:val="20"/>
                <w:szCs w:val="20"/>
              </w:rPr>
            </w:pPr>
            <w:r w:rsidRPr="00A11826">
              <w:rPr>
                <w:sz w:val="20"/>
                <w:szCs w:val="20"/>
              </w:rPr>
              <w:t>Steve Burns</w:t>
            </w:r>
          </w:p>
        </w:tc>
        <w:tc>
          <w:tcPr>
            <w:tcW w:w="4499" w:type="dxa"/>
          </w:tcPr>
          <w:p w14:paraId="123CF46F" w14:textId="77777777" w:rsidR="001D166E" w:rsidRPr="00A11826" w:rsidRDefault="001D166E" w:rsidP="00D00FB8">
            <w:pPr>
              <w:spacing w:after="0"/>
              <w:rPr>
                <w:sz w:val="20"/>
                <w:szCs w:val="20"/>
              </w:rPr>
            </w:pPr>
            <w:r w:rsidRPr="00A11826">
              <w:rPr>
                <w:sz w:val="20"/>
                <w:szCs w:val="20"/>
              </w:rPr>
              <w:t>AstraZeneca</w:t>
            </w:r>
          </w:p>
        </w:tc>
        <w:tc>
          <w:tcPr>
            <w:tcW w:w="1417" w:type="dxa"/>
          </w:tcPr>
          <w:p w14:paraId="477A0351" w14:textId="77777777" w:rsidR="001D166E" w:rsidRPr="00A11826" w:rsidRDefault="001D166E" w:rsidP="00D00FB8">
            <w:pPr>
              <w:spacing w:after="0"/>
              <w:rPr>
                <w:sz w:val="20"/>
                <w:szCs w:val="20"/>
              </w:rPr>
            </w:pPr>
            <w:r w:rsidRPr="00A11826">
              <w:rPr>
                <w:sz w:val="20"/>
                <w:szCs w:val="20"/>
              </w:rPr>
              <w:t>UK</w:t>
            </w:r>
          </w:p>
        </w:tc>
        <w:tc>
          <w:tcPr>
            <w:tcW w:w="1276" w:type="dxa"/>
          </w:tcPr>
          <w:p w14:paraId="2EDE0EB9" w14:textId="77777777" w:rsidR="001D166E" w:rsidRPr="00A11826" w:rsidRDefault="001D166E" w:rsidP="00D00FB8">
            <w:pPr>
              <w:spacing w:after="0"/>
              <w:rPr>
                <w:sz w:val="20"/>
                <w:szCs w:val="20"/>
              </w:rPr>
            </w:pPr>
            <w:r>
              <w:rPr>
                <w:sz w:val="20"/>
                <w:szCs w:val="20"/>
              </w:rPr>
              <w:t>2025</w:t>
            </w:r>
          </w:p>
        </w:tc>
      </w:tr>
      <w:tr w:rsidR="001D166E" w:rsidRPr="00A11826" w14:paraId="534EB775" w14:textId="77777777" w:rsidTr="00D00FB8">
        <w:tc>
          <w:tcPr>
            <w:tcW w:w="2130" w:type="dxa"/>
          </w:tcPr>
          <w:p w14:paraId="298A0E5B" w14:textId="77777777" w:rsidR="001D166E" w:rsidRPr="00A11826" w:rsidRDefault="001D166E" w:rsidP="00D00FB8">
            <w:pPr>
              <w:spacing w:after="0"/>
              <w:rPr>
                <w:sz w:val="20"/>
                <w:szCs w:val="20"/>
              </w:rPr>
            </w:pPr>
            <w:r w:rsidRPr="00A11826">
              <w:rPr>
                <w:sz w:val="20"/>
                <w:szCs w:val="20"/>
              </w:rPr>
              <w:t>Nick Campbell</w:t>
            </w:r>
          </w:p>
        </w:tc>
        <w:tc>
          <w:tcPr>
            <w:tcW w:w="4499" w:type="dxa"/>
          </w:tcPr>
          <w:p w14:paraId="305591ED" w14:textId="77777777" w:rsidR="001D166E" w:rsidRPr="00A11826" w:rsidRDefault="001D166E" w:rsidP="00D00FB8">
            <w:pPr>
              <w:spacing w:after="0"/>
              <w:rPr>
                <w:sz w:val="20"/>
                <w:szCs w:val="20"/>
              </w:rPr>
            </w:pPr>
            <w:r w:rsidRPr="00A11826">
              <w:rPr>
                <w:sz w:val="20"/>
                <w:szCs w:val="20"/>
              </w:rPr>
              <w:t>Arkema</w:t>
            </w:r>
          </w:p>
        </w:tc>
        <w:tc>
          <w:tcPr>
            <w:tcW w:w="1417" w:type="dxa"/>
          </w:tcPr>
          <w:p w14:paraId="5DCBF4E8" w14:textId="77777777" w:rsidR="001D166E" w:rsidRPr="00A11826" w:rsidRDefault="001D166E" w:rsidP="00D00FB8">
            <w:pPr>
              <w:spacing w:after="0"/>
              <w:rPr>
                <w:sz w:val="20"/>
                <w:szCs w:val="20"/>
              </w:rPr>
            </w:pPr>
            <w:r w:rsidRPr="00A11826">
              <w:rPr>
                <w:sz w:val="20"/>
                <w:szCs w:val="20"/>
              </w:rPr>
              <w:t>France</w:t>
            </w:r>
          </w:p>
        </w:tc>
        <w:tc>
          <w:tcPr>
            <w:tcW w:w="1276" w:type="dxa"/>
          </w:tcPr>
          <w:p w14:paraId="747F50E1"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3DAD6312" w14:textId="77777777" w:rsidTr="00D00FB8">
        <w:tc>
          <w:tcPr>
            <w:tcW w:w="2130" w:type="dxa"/>
          </w:tcPr>
          <w:p w14:paraId="0DE0D6C1" w14:textId="77777777" w:rsidR="001D166E" w:rsidRPr="00A11826" w:rsidRDefault="001D166E" w:rsidP="00D00FB8">
            <w:pPr>
              <w:spacing w:after="0"/>
              <w:rPr>
                <w:sz w:val="20"/>
              </w:rPr>
            </w:pPr>
            <w:r>
              <w:rPr>
                <w:sz w:val="20"/>
              </w:rPr>
              <w:t>Andrea Casazza</w:t>
            </w:r>
          </w:p>
        </w:tc>
        <w:tc>
          <w:tcPr>
            <w:tcW w:w="4499" w:type="dxa"/>
          </w:tcPr>
          <w:p w14:paraId="059B5606" w14:textId="77777777" w:rsidR="001D166E" w:rsidRPr="00A11826" w:rsidRDefault="001D166E" w:rsidP="00D00FB8">
            <w:pPr>
              <w:spacing w:after="0"/>
              <w:rPr>
                <w:sz w:val="20"/>
              </w:rPr>
            </w:pPr>
            <w:r w:rsidRPr="00541424">
              <w:rPr>
                <w:sz w:val="20"/>
              </w:rPr>
              <w:t>Chiesi Farmaceutici</w:t>
            </w:r>
          </w:p>
        </w:tc>
        <w:tc>
          <w:tcPr>
            <w:tcW w:w="1417" w:type="dxa"/>
          </w:tcPr>
          <w:p w14:paraId="333FE897" w14:textId="77777777" w:rsidR="001D166E" w:rsidRPr="00A11826" w:rsidRDefault="001D166E" w:rsidP="00D00FB8">
            <w:pPr>
              <w:spacing w:after="0"/>
              <w:rPr>
                <w:sz w:val="20"/>
              </w:rPr>
            </w:pPr>
            <w:r>
              <w:rPr>
                <w:sz w:val="20"/>
              </w:rPr>
              <w:t>Italy</w:t>
            </w:r>
          </w:p>
        </w:tc>
        <w:tc>
          <w:tcPr>
            <w:tcW w:w="1276" w:type="dxa"/>
          </w:tcPr>
          <w:p w14:paraId="35CABC7A" w14:textId="77777777" w:rsidR="001D166E" w:rsidRPr="00A11826" w:rsidRDefault="001D166E" w:rsidP="00D00FB8">
            <w:pPr>
              <w:spacing w:after="0"/>
              <w:rPr>
                <w:sz w:val="20"/>
              </w:rPr>
            </w:pPr>
            <w:r>
              <w:rPr>
                <w:sz w:val="20"/>
              </w:rPr>
              <w:t>2024</w:t>
            </w:r>
          </w:p>
        </w:tc>
      </w:tr>
      <w:tr w:rsidR="001D166E" w:rsidRPr="00A11826" w14:paraId="41905ECF" w14:textId="77777777" w:rsidTr="00D00FB8">
        <w:tc>
          <w:tcPr>
            <w:tcW w:w="2130" w:type="dxa"/>
          </w:tcPr>
          <w:p w14:paraId="3FBE7FB5" w14:textId="77777777" w:rsidR="001D166E" w:rsidRPr="00A11826" w:rsidRDefault="001D166E" w:rsidP="00D00FB8">
            <w:pPr>
              <w:spacing w:after="0"/>
              <w:rPr>
                <w:sz w:val="20"/>
                <w:szCs w:val="20"/>
              </w:rPr>
            </w:pPr>
            <w:r w:rsidRPr="00A11826">
              <w:rPr>
                <w:sz w:val="20"/>
                <w:szCs w:val="20"/>
              </w:rPr>
              <w:t>Nee Sun (Robert) Choong Kwet Yive</w:t>
            </w:r>
          </w:p>
        </w:tc>
        <w:tc>
          <w:tcPr>
            <w:tcW w:w="4499" w:type="dxa"/>
          </w:tcPr>
          <w:p w14:paraId="0A361840" w14:textId="77777777" w:rsidR="001D166E" w:rsidRPr="00A11826" w:rsidRDefault="001D166E" w:rsidP="00D00FB8">
            <w:pPr>
              <w:spacing w:after="0"/>
              <w:rPr>
                <w:sz w:val="20"/>
                <w:szCs w:val="20"/>
              </w:rPr>
            </w:pPr>
            <w:r w:rsidRPr="00A11826">
              <w:rPr>
                <w:sz w:val="20"/>
                <w:szCs w:val="20"/>
              </w:rPr>
              <w:t>University of Mauritius</w:t>
            </w:r>
          </w:p>
        </w:tc>
        <w:tc>
          <w:tcPr>
            <w:tcW w:w="1417" w:type="dxa"/>
          </w:tcPr>
          <w:p w14:paraId="584D0C64" w14:textId="77777777" w:rsidR="001D166E" w:rsidRPr="00A11826" w:rsidRDefault="001D166E" w:rsidP="00D00FB8">
            <w:pPr>
              <w:spacing w:after="0"/>
              <w:rPr>
                <w:sz w:val="20"/>
                <w:szCs w:val="20"/>
              </w:rPr>
            </w:pPr>
            <w:r w:rsidRPr="00A11826">
              <w:rPr>
                <w:sz w:val="20"/>
                <w:szCs w:val="20"/>
              </w:rPr>
              <w:t>Mauritius</w:t>
            </w:r>
          </w:p>
        </w:tc>
        <w:tc>
          <w:tcPr>
            <w:tcW w:w="1276" w:type="dxa"/>
          </w:tcPr>
          <w:p w14:paraId="1EE13A90"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55FEEFBE" w14:textId="77777777" w:rsidTr="00D00FB8">
        <w:tc>
          <w:tcPr>
            <w:tcW w:w="2130" w:type="dxa"/>
          </w:tcPr>
          <w:p w14:paraId="5A920363" w14:textId="77777777" w:rsidR="001D166E" w:rsidRPr="00A11826" w:rsidRDefault="001D166E" w:rsidP="00D00FB8">
            <w:pPr>
              <w:spacing w:after="0"/>
              <w:rPr>
                <w:sz w:val="20"/>
                <w:szCs w:val="20"/>
              </w:rPr>
            </w:pPr>
            <w:r w:rsidRPr="00A11826">
              <w:rPr>
                <w:sz w:val="20"/>
                <w:szCs w:val="20"/>
              </w:rPr>
              <w:t>Rick Cooke</w:t>
            </w:r>
          </w:p>
        </w:tc>
        <w:tc>
          <w:tcPr>
            <w:tcW w:w="4499" w:type="dxa"/>
          </w:tcPr>
          <w:p w14:paraId="2E98E527" w14:textId="77777777" w:rsidR="001D166E" w:rsidRPr="00A11826" w:rsidRDefault="001D166E" w:rsidP="00D00FB8">
            <w:pPr>
              <w:spacing w:after="0"/>
              <w:rPr>
                <w:sz w:val="20"/>
                <w:szCs w:val="20"/>
              </w:rPr>
            </w:pPr>
            <w:r w:rsidRPr="00A11826">
              <w:rPr>
                <w:sz w:val="20"/>
                <w:szCs w:val="20"/>
              </w:rPr>
              <w:t>Man-West Environmental Group Ltd.</w:t>
            </w:r>
          </w:p>
        </w:tc>
        <w:tc>
          <w:tcPr>
            <w:tcW w:w="1417" w:type="dxa"/>
          </w:tcPr>
          <w:p w14:paraId="3A9BCA22" w14:textId="77777777" w:rsidR="001D166E" w:rsidRPr="00A11826" w:rsidRDefault="001D166E" w:rsidP="00D00FB8">
            <w:pPr>
              <w:spacing w:after="0"/>
              <w:rPr>
                <w:sz w:val="20"/>
                <w:szCs w:val="20"/>
              </w:rPr>
            </w:pPr>
            <w:r w:rsidRPr="00A11826">
              <w:rPr>
                <w:sz w:val="20"/>
                <w:szCs w:val="20"/>
              </w:rPr>
              <w:t>Canada</w:t>
            </w:r>
          </w:p>
        </w:tc>
        <w:tc>
          <w:tcPr>
            <w:tcW w:w="1276" w:type="dxa"/>
          </w:tcPr>
          <w:p w14:paraId="05A64057" w14:textId="77777777" w:rsidR="001D166E" w:rsidRPr="00A11826" w:rsidRDefault="001D166E" w:rsidP="00D00FB8">
            <w:pPr>
              <w:spacing w:after="0"/>
              <w:rPr>
                <w:sz w:val="20"/>
                <w:szCs w:val="20"/>
              </w:rPr>
            </w:pPr>
            <w:r>
              <w:rPr>
                <w:sz w:val="20"/>
                <w:szCs w:val="20"/>
              </w:rPr>
              <w:t>2025</w:t>
            </w:r>
          </w:p>
        </w:tc>
      </w:tr>
      <w:tr w:rsidR="001D166E" w:rsidRPr="00A11826" w14:paraId="3E73281A" w14:textId="77777777" w:rsidTr="00D00FB8">
        <w:tc>
          <w:tcPr>
            <w:tcW w:w="2130" w:type="dxa"/>
          </w:tcPr>
          <w:p w14:paraId="30403752" w14:textId="77777777" w:rsidR="001D166E" w:rsidRPr="00A11826" w:rsidRDefault="001D166E" w:rsidP="00D00FB8">
            <w:pPr>
              <w:spacing w:after="0"/>
              <w:rPr>
                <w:sz w:val="20"/>
                <w:szCs w:val="20"/>
              </w:rPr>
            </w:pPr>
            <w:r w:rsidRPr="00A11826">
              <w:rPr>
                <w:sz w:val="20"/>
                <w:szCs w:val="20"/>
              </w:rPr>
              <w:t>Maureen George</w:t>
            </w:r>
          </w:p>
        </w:tc>
        <w:tc>
          <w:tcPr>
            <w:tcW w:w="4499" w:type="dxa"/>
          </w:tcPr>
          <w:p w14:paraId="2A9722D3" w14:textId="77777777" w:rsidR="001D166E" w:rsidRPr="00A11826" w:rsidRDefault="001D166E" w:rsidP="00D00FB8">
            <w:pPr>
              <w:spacing w:after="0"/>
              <w:rPr>
                <w:sz w:val="20"/>
                <w:szCs w:val="20"/>
              </w:rPr>
            </w:pPr>
            <w:r w:rsidRPr="00A11826">
              <w:rPr>
                <w:sz w:val="20"/>
                <w:szCs w:val="20"/>
              </w:rPr>
              <w:t>Columbia University School of Nursing</w:t>
            </w:r>
          </w:p>
        </w:tc>
        <w:tc>
          <w:tcPr>
            <w:tcW w:w="1417" w:type="dxa"/>
          </w:tcPr>
          <w:p w14:paraId="031FD0EC" w14:textId="77777777" w:rsidR="001D166E" w:rsidRPr="00A11826" w:rsidRDefault="001D166E" w:rsidP="00D00FB8">
            <w:pPr>
              <w:spacing w:after="0"/>
              <w:rPr>
                <w:sz w:val="20"/>
                <w:szCs w:val="20"/>
              </w:rPr>
            </w:pPr>
            <w:r w:rsidRPr="00A11826">
              <w:rPr>
                <w:sz w:val="20"/>
                <w:szCs w:val="20"/>
              </w:rPr>
              <w:t>USA</w:t>
            </w:r>
          </w:p>
        </w:tc>
        <w:tc>
          <w:tcPr>
            <w:tcW w:w="1276" w:type="dxa"/>
          </w:tcPr>
          <w:p w14:paraId="769EA028" w14:textId="77777777" w:rsidR="001D166E" w:rsidRPr="00A11826" w:rsidRDefault="001D166E" w:rsidP="00D00FB8">
            <w:pPr>
              <w:spacing w:after="0"/>
              <w:rPr>
                <w:sz w:val="20"/>
                <w:szCs w:val="20"/>
              </w:rPr>
            </w:pPr>
            <w:r>
              <w:rPr>
                <w:sz w:val="20"/>
                <w:szCs w:val="20"/>
              </w:rPr>
              <w:t>2025</w:t>
            </w:r>
          </w:p>
        </w:tc>
      </w:tr>
      <w:tr w:rsidR="001D166E" w:rsidRPr="00A11826" w14:paraId="2BBB4202" w14:textId="77777777" w:rsidTr="00D00FB8">
        <w:tc>
          <w:tcPr>
            <w:tcW w:w="2130" w:type="dxa"/>
          </w:tcPr>
          <w:p w14:paraId="62D64AE1" w14:textId="77777777" w:rsidR="001D166E" w:rsidRPr="00A11826" w:rsidRDefault="001D166E" w:rsidP="00D00FB8">
            <w:pPr>
              <w:spacing w:after="0"/>
              <w:rPr>
                <w:sz w:val="20"/>
                <w:szCs w:val="20"/>
              </w:rPr>
            </w:pPr>
            <w:r w:rsidRPr="00A11826">
              <w:rPr>
                <w:sz w:val="20"/>
                <w:szCs w:val="20"/>
              </w:rPr>
              <w:t>Kathleen Hoffmann</w:t>
            </w:r>
          </w:p>
        </w:tc>
        <w:tc>
          <w:tcPr>
            <w:tcW w:w="4499" w:type="dxa"/>
          </w:tcPr>
          <w:p w14:paraId="520386FC" w14:textId="77777777" w:rsidR="001D166E" w:rsidRPr="00A11826" w:rsidRDefault="001D166E" w:rsidP="00D00FB8">
            <w:pPr>
              <w:spacing w:after="0"/>
              <w:rPr>
                <w:sz w:val="20"/>
                <w:szCs w:val="20"/>
              </w:rPr>
            </w:pPr>
            <w:r w:rsidRPr="00541424">
              <w:rPr>
                <w:sz w:val="20"/>
                <w:szCs w:val="20"/>
              </w:rPr>
              <w:t>Sotera Health Company</w:t>
            </w:r>
          </w:p>
        </w:tc>
        <w:tc>
          <w:tcPr>
            <w:tcW w:w="1417" w:type="dxa"/>
          </w:tcPr>
          <w:p w14:paraId="6C5E44F1" w14:textId="77777777" w:rsidR="001D166E" w:rsidRPr="00A11826" w:rsidRDefault="001D166E" w:rsidP="00D00FB8">
            <w:pPr>
              <w:spacing w:after="0"/>
              <w:rPr>
                <w:sz w:val="20"/>
                <w:szCs w:val="20"/>
              </w:rPr>
            </w:pPr>
            <w:r w:rsidRPr="00A11826">
              <w:rPr>
                <w:sz w:val="20"/>
                <w:szCs w:val="20"/>
              </w:rPr>
              <w:t>USA</w:t>
            </w:r>
          </w:p>
        </w:tc>
        <w:tc>
          <w:tcPr>
            <w:tcW w:w="1276" w:type="dxa"/>
          </w:tcPr>
          <w:p w14:paraId="7787B1C1" w14:textId="77777777" w:rsidR="001D166E" w:rsidRPr="00A11826" w:rsidRDefault="001D166E" w:rsidP="00D00FB8">
            <w:pPr>
              <w:spacing w:after="0"/>
              <w:rPr>
                <w:sz w:val="20"/>
                <w:szCs w:val="20"/>
              </w:rPr>
            </w:pPr>
            <w:r w:rsidRPr="00A11826">
              <w:rPr>
                <w:sz w:val="20"/>
                <w:szCs w:val="20"/>
              </w:rPr>
              <w:t>202</w:t>
            </w:r>
            <w:r>
              <w:rPr>
                <w:sz w:val="20"/>
                <w:szCs w:val="20"/>
              </w:rPr>
              <w:t>4</w:t>
            </w:r>
          </w:p>
        </w:tc>
      </w:tr>
      <w:tr w:rsidR="001D166E" w:rsidRPr="00A11826" w14:paraId="32CCA983" w14:textId="77777777" w:rsidTr="00D00FB8">
        <w:tc>
          <w:tcPr>
            <w:tcW w:w="2130" w:type="dxa"/>
          </w:tcPr>
          <w:p w14:paraId="49E01B2C" w14:textId="77777777" w:rsidR="001D166E" w:rsidRPr="00A11826" w:rsidRDefault="001D166E" w:rsidP="00D00FB8">
            <w:pPr>
              <w:spacing w:after="0"/>
              <w:rPr>
                <w:sz w:val="20"/>
                <w:szCs w:val="20"/>
              </w:rPr>
            </w:pPr>
            <w:r w:rsidRPr="00A11826">
              <w:rPr>
                <w:sz w:val="20"/>
                <w:szCs w:val="20"/>
              </w:rPr>
              <w:t>Jianxin Hu</w:t>
            </w:r>
          </w:p>
        </w:tc>
        <w:tc>
          <w:tcPr>
            <w:tcW w:w="4499" w:type="dxa"/>
          </w:tcPr>
          <w:p w14:paraId="357F35A9" w14:textId="77777777" w:rsidR="001D166E" w:rsidRPr="00A11826" w:rsidRDefault="001D166E" w:rsidP="00D00FB8">
            <w:pPr>
              <w:spacing w:after="0"/>
              <w:rPr>
                <w:sz w:val="20"/>
                <w:szCs w:val="20"/>
              </w:rPr>
            </w:pPr>
            <w:r w:rsidRPr="00A11826">
              <w:rPr>
                <w:sz w:val="20"/>
                <w:szCs w:val="20"/>
              </w:rPr>
              <w:t>College of Environmental Sciences &amp; Engineering, Peking University</w:t>
            </w:r>
          </w:p>
        </w:tc>
        <w:tc>
          <w:tcPr>
            <w:tcW w:w="1417" w:type="dxa"/>
          </w:tcPr>
          <w:p w14:paraId="6C3A6397" w14:textId="77777777" w:rsidR="001D166E" w:rsidRPr="00A11826" w:rsidRDefault="001D166E" w:rsidP="00D00FB8">
            <w:pPr>
              <w:spacing w:after="0"/>
              <w:rPr>
                <w:sz w:val="20"/>
                <w:szCs w:val="20"/>
              </w:rPr>
            </w:pPr>
            <w:r w:rsidRPr="00A11826">
              <w:rPr>
                <w:sz w:val="20"/>
                <w:szCs w:val="20"/>
              </w:rPr>
              <w:t>China</w:t>
            </w:r>
          </w:p>
        </w:tc>
        <w:tc>
          <w:tcPr>
            <w:tcW w:w="1276" w:type="dxa"/>
          </w:tcPr>
          <w:p w14:paraId="170B97D6"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48543B23" w14:textId="77777777" w:rsidTr="00D00FB8">
        <w:tc>
          <w:tcPr>
            <w:tcW w:w="2130" w:type="dxa"/>
          </w:tcPr>
          <w:p w14:paraId="708FC5FA" w14:textId="77777777" w:rsidR="001D166E" w:rsidRPr="00A11826" w:rsidRDefault="001D166E" w:rsidP="00D00FB8">
            <w:pPr>
              <w:spacing w:after="0"/>
              <w:rPr>
                <w:sz w:val="20"/>
                <w:szCs w:val="20"/>
              </w:rPr>
            </w:pPr>
            <w:r w:rsidRPr="00A11826">
              <w:rPr>
                <w:sz w:val="20"/>
                <w:szCs w:val="20"/>
              </w:rPr>
              <w:t>Ryan Hulse</w:t>
            </w:r>
          </w:p>
        </w:tc>
        <w:tc>
          <w:tcPr>
            <w:tcW w:w="4499" w:type="dxa"/>
          </w:tcPr>
          <w:p w14:paraId="56AAFB49" w14:textId="77777777" w:rsidR="001D166E" w:rsidRPr="00A11826" w:rsidRDefault="001D166E" w:rsidP="00D00FB8">
            <w:pPr>
              <w:spacing w:after="0"/>
              <w:rPr>
                <w:sz w:val="20"/>
                <w:szCs w:val="20"/>
              </w:rPr>
            </w:pPr>
            <w:r w:rsidRPr="00A11826">
              <w:rPr>
                <w:sz w:val="20"/>
                <w:szCs w:val="20"/>
              </w:rPr>
              <w:t>Honeywell</w:t>
            </w:r>
          </w:p>
        </w:tc>
        <w:tc>
          <w:tcPr>
            <w:tcW w:w="1417" w:type="dxa"/>
          </w:tcPr>
          <w:p w14:paraId="7876F5E9" w14:textId="77777777" w:rsidR="001D166E" w:rsidRPr="00A11826" w:rsidRDefault="001D166E" w:rsidP="00D00FB8">
            <w:pPr>
              <w:spacing w:after="0"/>
              <w:rPr>
                <w:sz w:val="20"/>
                <w:szCs w:val="20"/>
              </w:rPr>
            </w:pPr>
            <w:r w:rsidRPr="00A11826">
              <w:rPr>
                <w:sz w:val="20"/>
                <w:szCs w:val="20"/>
              </w:rPr>
              <w:t>USA</w:t>
            </w:r>
          </w:p>
        </w:tc>
        <w:tc>
          <w:tcPr>
            <w:tcW w:w="1276" w:type="dxa"/>
          </w:tcPr>
          <w:p w14:paraId="06C4D60C" w14:textId="77777777" w:rsidR="001D166E" w:rsidRPr="00A11826" w:rsidRDefault="001D166E" w:rsidP="00D00FB8">
            <w:pPr>
              <w:spacing w:after="0"/>
              <w:rPr>
                <w:sz w:val="20"/>
                <w:szCs w:val="20"/>
              </w:rPr>
            </w:pPr>
            <w:r w:rsidRPr="00A11826">
              <w:rPr>
                <w:sz w:val="20"/>
                <w:szCs w:val="20"/>
              </w:rPr>
              <w:t>202</w:t>
            </w:r>
            <w:r>
              <w:rPr>
                <w:sz w:val="20"/>
                <w:szCs w:val="20"/>
              </w:rPr>
              <w:t>4</w:t>
            </w:r>
          </w:p>
        </w:tc>
      </w:tr>
      <w:tr w:rsidR="001D166E" w:rsidRPr="00A11826" w14:paraId="5FD4F37D" w14:textId="77777777" w:rsidTr="00D00FB8">
        <w:tc>
          <w:tcPr>
            <w:tcW w:w="2130" w:type="dxa"/>
          </w:tcPr>
          <w:p w14:paraId="626D9111" w14:textId="77777777" w:rsidR="001D166E" w:rsidRDefault="001D166E" w:rsidP="00D00FB8">
            <w:pPr>
              <w:spacing w:after="0"/>
              <w:rPr>
                <w:sz w:val="20"/>
              </w:rPr>
            </w:pPr>
            <w:r>
              <w:rPr>
                <w:sz w:val="20"/>
              </w:rPr>
              <w:t>Fang Jin</w:t>
            </w:r>
          </w:p>
        </w:tc>
        <w:tc>
          <w:tcPr>
            <w:tcW w:w="4499" w:type="dxa"/>
          </w:tcPr>
          <w:p w14:paraId="206333D6" w14:textId="77777777" w:rsidR="001D166E" w:rsidRPr="0056720F" w:rsidRDefault="001D166E" w:rsidP="00D00FB8">
            <w:pPr>
              <w:spacing w:after="0"/>
              <w:rPr>
                <w:sz w:val="20"/>
              </w:rPr>
            </w:pPr>
            <w:r w:rsidRPr="00541424">
              <w:rPr>
                <w:sz w:val="20"/>
              </w:rPr>
              <w:t>Guangzhou Medical University</w:t>
            </w:r>
          </w:p>
        </w:tc>
        <w:tc>
          <w:tcPr>
            <w:tcW w:w="1417" w:type="dxa"/>
          </w:tcPr>
          <w:p w14:paraId="18C8597C" w14:textId="77777777" w:rsidR="001D166E" w:rsidRPr="0056720F" w:rsidRDefault="001D166E" w:rsidP="00D00FB8">
            <w:pPr>
              <w:spacing w:after="0"/>
              <w:rPr>
                <w:sz w:val="20"/>
              </w:rPr>
            </w:pPr>
            <w:r>
              <w:rPr>
                <w:sz w:val="20"/>
              </w:rPr>
              <w:t>China</w:t>
            </w:r>
          </w:p>
        </w:tc>
        <w:tc>
          <w:tcPr>
            <w:tcW w:w="1276" w:type="dxa"/>
          </w:tcPr>
          <w:p w14:paraId="591D9B20" w14:textId="77777777" w:rsidR="001D166E" w:rsidRPr="0056720F" w:rsidRDefault="001D166E" w:rsidP="00D00FB8">
            <w:pPr>
              <w:spacing w:after="0"/>
              <w:rPr>
                <w:sz w:val="20"/>
              </w:rPr>
            </w:pPr>
            <w:r>
              <w:rPr>
                <w:sz w:val="20"/>
              </w:rPr>
              <w:t>2024</w:t>
            </w:r>
          </w:p>
        </w:tc>
      </w:tr>
      <w:tr w:rsidR="001D166E" w:rsidRPr="00A11826" w14:paraId="2BBA458A" w14:textId="77777777" w:rsidTr="00D00FB8">
        <w:tc>
          <w:tcPr>
            <w:tcW w:w="2130" w:type="dxa"/>
          </w:tcPr>
          <w:p w14:paraId="078DEC96" w14:textId="77777777" w:rsidR="001D166E" w:rsidRPr="00A11826" w:rsidRDefault="001D166E" w:rsidP="00D00FB8">
            <w:pPr>
              <w:spacing w:after="0"/>
              <w:rPr>
                <w:sz w:val="20"/>
              </w:rPr>
            </w:pPr>
            <w:r>
              <w:rPr>
                <w:sz w:val="20"/>
              </w:rPr>
              <w:t>Rabinder Kaul</w:t>
            </w:r>
          </w:p>
        </w:tc>
        <w:tc>
          <w:tcPr>
            <w:tcW w:w="4499" w:type="dxa"/>
          </w:tcPr>
          <w:p w14:paraId="6AB9F8BA" w14:textId="77777777" w:rsidR="001D166E" w:rsidRPr="00A11826" w:rsidRDefault="001D166E" w:rsidP="00D00FB8">
            <w:pPr>
              <w:spacing w:after="0"/>
              <w:rPr>
                <w:sz w:val="20"/>
              </w:rPr>
            </w:pPr>
            <w:r w:rsidRPr="0056720F">
              <w:rPr>
                <w:sz w:val="20"/>
              </w:rPr>
              <w:t>SRF Limited</w:t>
            </w:r>
          </w:p>
        </w:tc>
        <w:tc>
          <w:tcPr>
            <w:tcW w:w="1417" w:type="dxa"/>
          </w:tcPr>
          <w:p w14:paraId="7B87E749" w14:textId="77777777" w:rsidR="001D166E" w:rsidRPr="00A11826" w:rsidRDefault="001D166E" w:rsidP="00D00FB8">
            <w:pPr>
              <w:spacing w:after="0"/>
              <w:rPr>
                <w:sz w:val="20"/>
              </w:rPr>
            </w:pPr>
            <w:r w:rsidRPr="0056720F">
              <w:rPr>
                <w:sz w:val="20"/>
              </w:rPr>
              <w:t>India</w:t>
            </w:r>
          </w:p>
        </w:tc>
        <w:tc>
          <w:tcPr>
            <w:tcW w:w="1276" w:type="dxa"/>
          </w:tcPr>
          <w:p w14:paraId="27C0D50E" w14:textId="77777777" w:rsidR="001D166E" w:rsidRPr="00A11826" w:rsidRDefault="001D166E" w:rsidP="00D00FB8">
            <w:pPr>
              <w:spacing w:after="0"/>
              <w:rPr>
                <w:sz w:val="20"/>
              </w:rPr>
            </w:pPr>
            <w:r w:rsidRPr="0056720F">
              <w:rPr>
                <w:sz w:val="20"/>
              </w:rPr>
              <w:t>2023</w:t>
            </w:r>
          </w:p>
        </w:tc>
      </w:tr>
      <w:tr w:rsidR="001D166E" w:rsidRPr="00A11826" w14:paraId="19E18561" w14:textId="77777777" w:rsidTr="00D00FB8">
        <w:tc>
          <w:tcPr>
            <w:tcW w:w="2130" w:type="dxa"/>
          </w:tcPr>
          <w:p w14:paraId="240A959A" w14:textId="77777777" w:rsidR="001D166E" w:rsidRPr="00A11826" w:rsidRDefault="001D166E" w:rsidP="00D00FB8">
            <w:pPr>
              <w:spacing w:after="0"/>
              <w:rPr>
                <w:sz w:val="20"/>
                <w:szCs w:val="20"/>
              </w:rPr>
            </w:pPr>
            <w:r w:rsidRPr="00A11826">
              <w:rPr>
                <w:sz w:val="20"/>
                <w:szCs w:val="20"/>
              </w:rPr>
              <w:t>Javaid Khan</w:t>
            </w:r>
          </w:p>
        </w:tc>
        <w:tc>
          <w:tcPr>
            <w:tcW w:w="4499" w:type="dxa"/>
          </w:tcPr>
          <w:p w14:paraId="4519FFF3" w14:textId="77777777" w:rsidR="001D166E" w:rsidRPr="00A11826" w:rsidRDefault="001D166E" w:rsidP="00D00FB8">
            <w:pPr>
              <w:spacing w:after="0"/>
              <w:rPr>
                <w:sz w:val="20"/>
                <w:szCs w:val="20"/>
              </w:rPr>
            </w:pPr>
            <w:r w:rsidRPr="00A11826">
              <w:rPr>
                <w:sz w:val="20"/>
                <w:szCs w:val="20"/>
              </w:rPr>
              <w:t>The Aga Khan University</w:t>
            </w:r>
          </w:p>
        </w:tc>
        <w:tc>
          <w:tcPr>
            <w:tcW w:w="1417" w:type="dxa"/>
          </w:tcPr>
          <w:p w14:paraId="117CE04D" w14:textId="77777777" w:rsidR="001D166E" w:rsidRPr="00A11826" w:rsidRDefault="001D166E" w:rsidP="00D00FB8">
            <w:pPr>
              <w:spacing w:after="0"/>
              <w:rPr>
                <w:sz w:val="20"/>
                <w:szCs w:val="20"/>
              </w:rPr>
            </w:pPr>
            <w:r w:rsidRPr="00A11826">
              <w:rPr>
                <w:sz w:val="20"/>
                <w:szCs w:val="20"/>
              </w:rPr>
              <w:t>Pakistan</w:t>
            </w:r>
          </w:p>
        </w:tc>
        <w:tc>
          <w:tcPr>
            <w:tcW w:w="1276" w:type="dxa"/>
          </w:tcPr>
          <w:p w14:paraId="7EB5A756"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6CBD6F62" w14:textId="77777777" w:rsidTr="00D00FB8">
        <w:tc>
          <w:tcPr>
            <w:tcW w:w="2130" w:type="dxa"/>
          </w:tcPr>
          <w:p w14:paraId="7BC6ACE2" w14:textId="77777777" w:rsidR="001D166E" w:rsidRPr="00A11826" w:rsidRDefault="001D166E" w:rsidP="00D00FB8">
            <w:pPr>
              <w:spacing w:after="0"/>
              <w:rPr>
                <w:sz w:val="20"/>
                <w:szCs w:val="20"/>
              </w:rPr>
            </w:pPr>
            <w:r w:rsidRPr="00A11826">
              <w:rPr>
                <w:sz w:val="20"/>
                <w:szCs w:val="20"/>
              </w:rPr>
              <w:t>Andrew Lindley</w:t>
            </w:r>
          </w:p>
        </w:tc>
        <w:tc>
          <w:tcPr>
            <w:tcW w:w="4499" w:type="dxa"/>
          </w:tcPr>
          <w:p w14:paraId="0FE3415B" w14:textId="77777777" w:rsidR="001D166E" w:rsidRPr="00A11826" w:rsidRDefault="001D166E" w:rsidP="00D00FB8">
            <w:pPr>
              <w:spacing w:after="0"/>
              <w:rPr>
                <w:sz w:val="20"/>
                <w:szCs w:val="20"/>
              </w:rPr>
            </w:pPr>
            <w:r w:rsidRPr="00A11826">
              <w:rPr>
                <w:sz w:val="20"/>
                <w:szCs w:val="20"/>
              </w:rPr>
              <w:t xml:space="preserve">Independent consultant to </w:t>
            </w:r>
            <w:r>
              <w:rPr>
                <w:sz w:val="20"/>
                <w:szCs w:val="20"/>
              </w:rPr>
              <w:t>Koura</w:t>
            </w:r>
            <w:r w:rsidRPr="00A11826">
              <w:rPr>
                <w:sz w:val="20"/>
                <w:szCs w:val="20"/>
              </w:rPr>
              <w:t xml:space="preserve"> and European Fluorocarbon Technical Committee (EFCTC)</w:t>
            </w:r>
          </w:p>
        </w:tc>
        <w:tc>
          <w:tcPr>
            <w:tcW w:w="1417" w:type="dxa"/>
          </w:tcPr>
          <w:p w14:paraId="1C4EFF3A" w14:textId="77777777" w:rsidR="001D166E" w:rsidRPr="00A11826" w:rsidRDefault="001D166E" w:rsidP="00D00FB8">
            <w:pPr>
              <w:spacing w:after="0"/>
              <w:rPr>
                <w:sz w:val="20"/>
                <w:szCs w:val="20"/>
              </w:rPr>
            </w:pPr>
            <w:r w:rsidRPr="00A11826">
              <w:rPr>
                <w:sz w:val="20"/>
                <w:szCs w:val="20"/>
              </w:rPr>
              <w:t>UK</w:t>
            </w:r>
          </w:p>
        </w:tc>
        <w:tc>
          <w:tcPr>
            <w:tcW w:w="1276" w:type="dxa"/>
          </w:tcPr>
          <w:p w14:paraId="1DA20C45" w14:textId="77777777" w:rsidR="001D166E" w:rsidRPr="00A11826" w:rsidRDefault="001D166E" w:rsidP="00D00FB8">
            <w:pPr>
              <w:spacing w:after="0"/>
              <w:rPr>
                <w:sz w:val="20"/>
                <w:szCs w:val="20"/>
              </w:rPr>
            </w:pPr>
            <w:r w:rsidRPr="00A11826">
              <w:rPr>
                <w:sz w:val="20"/>
                <w:szCs w:val="20"/>
              </w:rPr>
              <w:t>202</w:t>
            </w:r>
            <w:r>
              <w:rPr>
                <w:sz w:val="20"/>
                <w:szCs w:val="20"/>
              </w:rPr>
              <w:t>4</w:t>
            </w:r>
          </w:p>
        </w:tc>
      </w:tr>
      <w:tr w:rsidR="001D166E" w:rsidRPr="00A11826" w14:paraId="7C9ECEB8" w14:textId="77777777" w:rsidTr="00D00FB8">
        <w:tc>
          <w:tcPr>
            <w:tcW w:w="2130" w:type="dxa"/>
          </w:tcPr>
          <w:p w14:paraId="3A66E4E8" w14:textId="77777777" w:rsidR="001D166E" w:rsidRPr="00A11826" w:rsidRDefault="001D166E" w:rsidP="00D00FB8">
            <w:pPr>
              <w:spacing w:after="0"/>
              <w:rPr>
                <w:sz w:val="20"/>
                <w:szCs w:val="20"/>
              </w:rPr>
            </w:pPr>
            <w:r w:rsidRPr="00A11826">
              <w:rPr>
                <w:sz w:val="20"/>
                <w:szCs w:val="20"/>
              </w:rPr>
              <w:t>Gerald McDonnell</w:t>
            </w:r>
          </w:p>
        </w:tc>
        <w:tc>
          <w:tcPr>
            <w:tcW w:w="4499" w:type="dxa"/>
          </w:tcPr>
          <w:p w14:paraId="18687E1D" w14:textId="77777777" w:rsidR="001D166E" w:rsidRPr="00A11826" w:rsidRDefault="001D166E" w:rsidP="00D00FB8">
            <w:pPr>
              <w:spacing w:after="0"/>
              <w:rPr>
                <w:sz w:val="20"/>
                <w:szCs w:val="20"/>
              </w:rPr>
            </w:pPr>
            <w:r w:rsidRPr="00A11826">
              <w:rPr>
                <w:sz w:val="20"/>
                <w:szCs w:val="20"/>
              </w:rPr>
              <w:t>DePuy Synthes, Johnson &amp; Johnson</w:t>
            </w:r>
          </w:p>
        </w:tc>
        <w:tc>
          <w:tcPr>
            <w:tcW w:w="1417" w:type="dxa"/>
          </w:tcPr>
          <w:p w14:paraId="7BBACC3D" w14:textId="77777777" w:rsidR="001D166E" w:rsidRPr="00A11826" w:rsidRDefault="001D166E" w:rsidP="00D00FB8">
            <w:pPr>
              <w:spacing w:after="0"/>
              <w:rPr>
                <w:sz w:val="20"/>
                <w:szCs w:val="20"/>
              </w:rPr>
            </w:pPr>
            <w:r w:rsidRPr="00A11826">
              <w:rPr>
                <w:sz w:val="20"/>
                <w:szCs w:val="20"/>
              </w:rPr>
              <w:t>Ireland</w:t>
            </w:r>
          </w:p>
        </w:tc>
        <w:tc>
          <w:tcPr>
            <w:tcW w:w="1276" w:type="dxa"/>
          </w:tcPr>
          <w:p w14:paraId="483A38B8"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4687FE5F" w14:textId="77777777" w:rsidTr="00D00FB8">
        <w:tc>
          <w:tcPr>
            <w:tcW w:w="2130" w:type="dxa"/>
          </w:tcPr>
          <w:p w14:paraId="736D6DEA" w14:textId="77777777" w:rsidR="001D166E" w:rsidRPr="00A11826" w:rsidRDefault="001D166E" w:rsidP="00D00FB8">
            <w:pPr>
              <w:spacing w:after="0"/>
              <w:rPr>
                <w:sz w:val="20"/>
                <w:szCs w:val="20"/>
              </w:rPr>
            </w:pPr>
            <w:r w:rsidRPr="00A11826">
              <w:rPr>
                <w:sz w:val="20"/>
                <w:szCs w:val="20"/>
              </w:rPr>
              <w:t>Robert Meyer</w:t>
            </w:r>
          </w:p>
        </w:tc>
        <w:tc>
          <w:tcPr>
            <w:tcW w:w="4499" w:type="dxa"/>
          </w:tcPr>
          <w:p w14:paraId="481E9AA0" w14:textId="77777777" w:rsidR="001D166E" w:rsidRPr="00A11826" w:rsidRDefault="001D166E" w:rsidP="00D00FB8">
            <w:pPr>
              <w:spacing w:after="0"/>
              <w:rPr>
                <w:sz w:val="20"/>
                <w:szCs w:val="20"/>
              </w:rPr>
            </w:pPr>
            <w:r>
              <w:rPr>
                <w:sz w:val="20"/>
                <w:szCs w:val="20"/>
              </w:rPr>
              <w:t xml:space="preserve">Consultant, </w:t>
            </w:r>
            <w:r w:rsidRPr="00A11826">
              <w:rPr>
                <w:sz w:val="20"/>
                <w:szCs w:val="20"/>
              </w:rPr>
              <w:t>Greenleaf Health</w:t>
            </w:r>
          </w:p>
        </w:tc>
        <w:tc>
          <w:tcPr>
            <w:tcW w:w="1417" w:type="dxa"/>
          </w:tcPr>
          <w:p w14:paraId="591EC643" w14:textId="77777777" w:rsidR="001D166E" w:rsidRPr="00A11826" w:rsidRDefault="001D166E" w:rsidP="00D00FB8">
            <w:pPr>
              <w:spacing w:after="0"/>
              <w:rPr>
                <w:sz w:val="20"/>
                <w:szCs w:val="20"/>
              </w:rPr>
            </w:pPr>
            <w:r w:rsidRPr="00A11826">
              <w:rPr>
                <w:sz w:val="20"/>
                <w:szCs w:val="20"/>
              </w:rPr>
              <w:t>USA</w:t>
            </w:r>
          </w:p>
        </w:tc>
        <w:tc>
          <w:tcPr>
            <w:tcW w:w="1276" w:type="dxa"/>
          </w:tcPr>
          <w:p w14:paraId="0CA8E5E3"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5F4C575C" w14:textId="77777777" w:rsidTr="00D00FB8">
        <w:tc>
          <w:tcPr>
            <w:tcW w:w="2130" w:type="dxa"/>
          </w:tcPr>
          <w:p w14:paraId="6A36523C" w14:textId="77777777" w:rsidR="001D166E" w:rsidRPr="00A11826" w:rsidRDefault="001D166E" w:rsidP="00D00FB8">
            <w:pPr>
              <w:spacing w:after="0"/>
              <w:rPr>
                <w:sz w:val="20"/>
              </w:rPr>
            </w:pPr>
            <w:r>
              <w:rPr>
                <w:sz w:val="20"/>
              </w:rPr>
              <w:t xml:space="preserve">B. </w:t>
            </w:r>
            <w:r w:rsidRPr="0056720F">
              <w:rPr>
                <w:sz w:val="20"/>
              </w:rPr>
              <w:t>Narsaiah</w:t>
            </w:r>
          </w:p>
        </w:tc>
        <w:tc>
          <w:tcPr>
            <w:tcW w:w="4499" w:type="dxa"/>
          </w:tcPr>
          <w:p w14:paraId="40FDABD4" w14:textId="77777777" w:rsidR="001D166E" w:rsidRPr="00A11826" w:rsidRDefault="001D166E" w:rsidP="00D00FB8">
            <w:pPr>
              <w:spacing w:after="0"/>
              <w:rPr>
                <w:sz w:val="20"/>
              </w:rPr>
            </w:pPr>
            <w:r w:rsidRPr="0056720F">
              <w:rPr>
                <w:sz w:val="20"/>
              </w:rPr>
              <w:t>CSIR-Indian Institute of Chemical Technology</w:t>
            </w:r>
            <w:r>
              <w:rPr>
                <w:sz w:val="20"/>
              </w:rPr>
              <w:t xml:space="preserve"> (Retired)</w:t>
            </w:r>
          </w:p>
        </w:tc>
        <w:tc>
          <w:tcPr>
            <w:tcW w:w="1417" w:type="dxa"/>
          </w:tcPr>
          <w:p w14:paraId="5EB5AA4C" w14:textId="77777777" w:rsidR="001D166E" w:rsidRPr="00A11826" w:rsidRDefault="001D166E" w:rsidP="00D00FB8">
            <w:pPr>
              <w:spacing w:after="0"/>
              <w:rPr>
                <w:sz w:val="20"/>
              </w:rPr>
            </w:pPr>
            <w:r w:rsidRPr="0056720F">
              <w:rPr>
                <w:sz w:val="20"/>
              </w:rPr>
              <w:t>India</w:t>
            </w:r>
          </w:p>
        </w:tc>
        <w:tc>
          <w:tcPr>
            <w:tcW w:w="1276" w:type="dxa"/>
          </w:tcPr>
          <w:p w14:paraId="7A530DFB" w14:textId="77777777" w:rsidR="001D166E" w:rsidRPr="00A11826" w:rsidRDefault="001D166E" w:rsidP="00D00FB8">
            <w:pPr>
              <w:spacing w:after="0"/>
              <w:rPr>
                <w:sz w:val="20"/>
              </w:rPr>
            </w:pPr>
            <w:r>
              <w:rPr>
                <w:sz w:val="20"/>
              </w:rPr>
              <w:t>2023</w:t>
            </w:r>
          </w:p>
        </w:tc>
      </w:tr>
      <w:tr w:rsidR="001D166E" w:rsidRPr="00A11826" w14:paraId="2DF413E8" w14:textId="77777777" w:rsidTr="00D00FB8">
        <w:tc>
          <w:tcPr>
            <w:tcW w:w="2130" w:type="dxa"/>
          </w:tcPr>
          <w:p w14:paraId="0EC043F5" w14:textId="77777777" w:rsidR="001D166E" w:rsidRPr="00A11826" w:rsidRDefault="001D166E" w:rsidP="00D00FB8">
            <w:pPr>
              <w:spacing w:after="0"/>
              <w:rPr>
                <w:sz w:val="20"/>
                <w:szCs w:val="20"/>
              </w:rPr>
            </w:pPr>
            <w:r w:rsidRPr="00A11826">
              <w:rPr>
                <w:sz w:val="20"/>
                <w:szCs w:val="20"/>
              </w:rPr>
              <w:t>Timothy J. Noakes</w:t>
            </w:r>
          </w:p>
        </w:tc>
        <w:tc>
          <w:tcPr>
            <w:tcW w:w="4499" w:type="dxa"/>
          </w:tcPr>
          <w:p w14:paraId="00FBD830" w14:textId="77777777" w:rsidR="001D166E" w:rsidRPr="00A11826" w:rsidRDefault="001D166E" w:rsidP="00D00FB8">
            <w:pPr>
              <w:spacing w:after="0"/>
              <w:rPr>
                <w:sz w:val="20"/>
                <w:szCs w:val="20"/>
              </w:rPr>
            </w:pPr>
            <w:r>
              <w:rPr>
                <w:sz w:val="20"/>
                <w:szCs w:val="20"/>
              </w:rPr>
              <w:t>Koura</w:t>
            </w:r>
          </w:p>
        </w:tc>
        <w:tc>
          <w:tcPr>
            <w:tcW w:w="1417" w:type="dxa"/>
          </w:tcPr>
          <w:p w14:paraId="58A1562B" w14:textId="77777777" w:rsidR="001D166E" w:rsidRPr="00A11826" w:rsidRDefault="001D166E" w:rsidP="00D00FB8">
            <w:pPr>
              <w:spacing w:after="0"/>
              <w:rPr>
                <w:sz w:val="20"/>
                <w:szCs w:val="20"/>
              </w:rPr>
            </w:pPr>
            <w:r w:rsidRPr="00A11826">
              <w:rPr>
                <w:sz w:val="20"/>
                <w:szCs w:val="20"/>
              </w:rPr>
              <w:t>UK</w:t>
            </w:r>
          </w:p>
        </w:tc>
        <w:tc>
          <w:tcPr>
            <w:tcW w:w="1276" w:type="dxa"/>
          </w:tcPr>
          <w:p w14:paraId="40739A52"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3B771414" w14:textId="77777777" w:rsidTr="00D00FB8">
        <w:tc>
          <w:tcPr>
            <w:tcW w:w="2130" w:type="dxa"/>
          </w:tcPr>
          <w:p w14:paraId="07AC7623" w14:textId="77777777" w:rsidR="001D166E" w:rsidRPr="00A11826" w:rsidRDefault="001D166E" w:rsidP="00D00FB8">
            <w:pPr>
              <w:spacing w:after="0"/>
              <w:rPr>
                <w:sz w:val="20"/>
                <w:szCs w:val="20"/>
              </w:rPr>
            </w:pPr>
            <w:r w:rsidRPr="00A11826">
              <w:rPr>
                <w:sz w:val="20"/>
                <w:szCs w:val="20"/>
              </w:rPr>
              <w:t>John G. Owens</w:t>
            </w:r>
          </w:p>
        </w:tc>
        <w:tc>
          <w:tcPr>
            <w:tcW w:w="4499" w:type="dxa"/>
          </w:tcPr>
          <w:p w14:paraId="7E3CE1CC" w14:textId="77777777" w:rsidR="001D166E" w:rsidRPr="00A11826" w:rsidRDefault="001D166E" w:rsidP="00D00FB8">
            <w:pPr>
              <w:spacing w:after="0"/>
              <w:rPr>
                <w:sz w:val="20"/>
                <w:szCs w:val="20"/>
              </w:rPr>
            </w:pPr>
            <w:r w:rsidRPr="00A11826">
              <w:rPr>
                <w:sz w:val="20"/>
                <w:szCs w:val="20"/>
              </w:rPr>
              <w:t>3M</w:t>
            </w:r>
          </w:p>
        </w:tc>
        <w:tc>
          <w:tcPr>
            <w:tcW w:w="1417" w:type="dxa"/>
          </w:tcPr>
          <w:p w14:paraId="00AF3B16" w14:textId="77777777" w:rsidR="001D166E" w:rsidRPr="00A11826" w:rsidRDefault="001D166E" w:rsidP="00D00FB8">
            <w:pPr>
              <w:spacing w:after="0"/>
              <w:rPr>
                <w:sz w:val="20"/>
                <w:szCs w:val="20"/>
              </w:rPr>
            </w:pPr>
            <w:r w:rsidRPr="00A11826">
              <w:rPr>
                <w:sz w:val="20"/>
                <w:szCs w:val="20"/>
              </w:rPr>
              <w:t>USA</w:t>
            </w:r>
          </w:p>
        </w:tc>
        <w:tc>
          <w:tcPr>
            <w:tcW w:w="1276" w:type="dxa"/>
          </w:tcPr>
          <w:p w14:paraId="5D7A64BA" w14:textId="77777777" w:rsidR="001D166E" w:rsidRPr="00A11826" w:rsidRDefault="001D166E" w:rsidP="00D00FB8">
            <w:pPr>
              <w:spacing w:after="0"/>
              <w:rPr>
                <w:sz w:val="20"/>
                <w:szCs w:val="20"/>
              </w:rPr>
            </w:pPr>
            <w:r w:rsidRPr="00A11826">
              <w:rPr>
                <w:sz w:val="20"/>
                <w:szCs w:val="20"/>
              </w:rPr>
              <w:t>202</w:t>
            </w:r>
            <w:r>
              <w:rPr>
                <w:sz w:val="20"/>
                <w:szCs w:val="20"/>
              </w:rPr>
              <w:t>4</w:t>
            </w:r>
          </w:p>
        </w:tc>
      </w:tr>
      <w:tr w:rsidR="001D166E" w:rsidRPr="00A11826" w14:paraId="40787557" w14:textId="77777777" w:rsidTr="00D00FB8">
        <w:tc>
          <w:tcPr>
            <w:tcW w:w="2130" w:type="dxa"/>
          </w:tcPr>
          <w:p w14:paraId="624A26C5" w14:textId="77777777" w:rsidR="001D166E" w:rsidRPr="00A11826" w:rsidRDefault="001D166E" w:rsidP="00D00FB8">
            <w:pPr>
              <w:spacing w:after="0"/>
              <w:rPr>
                <w:sz w:val="20"/>
                <w:szCs w:val="20"/>
              </w:rPr>
            </w:pPr>
            <w:r w:rsidRPr="00A11826">
              <w:rPr>
                <w:sz w:val="20"/>
                <w:szCs w:val="20"/>
              </w:rPr>
              <w:t xml:space="preserve">Jose Pons </w:t>
            </w:r>
          </w:p>
        </w:tc>
        <w:tc>
          <w:tcPr>
            <w:tcW w:w="4499" w:type="dxa"/>
          </w:tcPr>
          <w:p w14:paraId="51BE35CC" w14:textId="77777777" w:rsidR="001D166E" w:rsidRPr="00A11826" w:rsidRDefault="001D166E" w:rsidP="00D00FB8">
            <w:pPr>
              <w:spacing w:after="0"/>
              <w:rPr>
                <w:sz w:val="20"/>
                <w:szCs w:val="20"/>
              </w:rPr>
            </w:pPr>
            <w:r w:rsidRPr="00A11826">
              <w:rPr>
                <w:sz w:val="20"/>
                <w:szCs w:val="20"/>
              </w:rPr>
              <w:t xml:space="preserve">Spray Quimica </w:t>
            </w:r>
          </w:p>
        </w:tc>
        <w:tc>
          <w:tcPr>
            <w:tcW w:w="1417" w:type="dxa"/>
          </w:tcPr>
          <w:p w14:paraId="0922B1F9" w14:textId="77777777" w:rsidR="001D166E" w:rsidRPr="00A11826" w:rsidRDefault="001D166E" w:rsidP="00D00FB8">
            <w:pPr>
              <w:spacing w:after="0"/>
              <w:rPr>
                <w:sz w:val="20"/>
                <w:szCs w:val="20"/>
              </w:rPr>
            </w:pPr>
            <w:r w:rsidRPr="00A11826">
              <w:rPr>
                <w:sz w:val="20"/>
                <w:szCs w:val="20"/>
              </w:rPr>
              <w:t>Venezuela</w:t>
            </w:r>
          </w:p>
        </w:tc>
        <w:tc>
          <w:tcPr>
            <w:tcW w:w="1276" w:type="dxa"/>
          </w:tcPr>
          <w:p w14:paraId="13124F4A" w14:textId="77777777" w:rsidR="001D166E" w:rsidRPr="00A11826" w:rsidRDefault="001D166E" w:rsidP="00D00FB8">
            <w:pPr>
              <w:spacing w:after="0"/>
              <w:rPr>
                <w:sz w:val="20"/>
                <w:szCs w:val="20"/>
              </w:rPr>
            </w:pPr>
            <w:r w:rsidRPr="00A11826">
              <w:rPr>
                <w:sz w:val="20"/>
                <w:szCs w:val="20"/>
              </w:rPr>
              <w:t>20</w:t>
            </w:r>
            <w:r>
              <w:rPr>
                <w:sz w:val="20"/>
                <w:szCs w:val="20"/>
              </w:rPr>
              <w:t>23</w:t>
            </w:r>
          </w:p>
        </w:tc>
      </w:tr>
      <w:tr w:rsidR="001D166E" w:rsidRPr="00A11826" w14:paraId="56C19C30" w14:textId="77777777" w:rsidTr="00D00FB8">
        <w:tc>
          <w:tcPr>
            <w:tcW w:w="2130" w:type="dxa"/>
          </w:tcPr>
          <w:p w14:paraId="683A71EE" w14:textId="77777777" w:rsidR="001D166E" w:rsidRPr="00A11826" w:rsidRDefault="001D166E" w:rsidP="00D00FB8">
            <w:pPr>
              <w:spacing w:after="0"/>
              <w:rPr>
                <w:sz w:val="20"/>
                <w:szCs w:val="20"/>
              </w:rPr>
            </w:pPr>
            <w:r w:rsidRPr="00A11826">
              <w:rPr>
                <w:sz w:val="20"/>
                <w:szCs w:val="20"/>
              </w:rPr>
              <w:t>John Pritchard</w:t>
            </w:r>
          </w:p>
        </w:tc>
        <w:tc>
          <w:tcPr>
            <w:tcW w:w="4499" w:type="dxa"/>
          </w:tcPr>
          <w:p w14:paraId="2531A3CF" w14:textId="77777777" w:rsidR="001D166E" w:rsidRPr="00A11826" w:rsidRDefault="001D166E" w:rsidP="00D00FB8">
            <w:pPr>
              <w:spacing w:after="0"/>
              <w:rPr>
                <w:sz w:val="20"/>
                <w:szCs w:val="20"/>
              </w:rPr>
            </w:pPr>
            <w:r w:rsidRPr="00A11826">
              <w:rPr>
                <w:sz w:val="20"/>
                <w:szCs w:val="20"/>
              </w:rPr>
              <w:t>Independent Consultant, Inspiring Strategies</w:t>
            </w:r>
          </w:p>
        </w:tc>
        <w:tc>
          <w:tcPr>
            <w:tcW w:w="1417" w:type="dxa"/>
          </w:tcPr>
          <w:p w14:paraId="7C6608B3" w14:textId="77777777" w:rsidR="001D166E" w:rsidRPr="00A11826" w:rsidRDefault="001D166E" w:rsidP="00D00FB8">
            <w:pPr>
              <w:spacing w:after="0"/>
              <w:rPr>
                <w:sz w:val="20"/>
                <w:szCs w:val="20"/>
              </w:rPr>
            </w:pPr>
            <w:r w:rsidRPr="00A11826">
              <w:rPr>
                <w:sz w:val="20"/>
                <w:szCs w:val="20"/>
              </w:rPr>
              <w:t>UK</w:t>
            </w:r>
          </w:p>
        </w:tc>
        <w:tc>
          <w:tcPr>
            <w:tcW w:w="1276" w:type="dxa"/>
          </w:tcPr>
          <w:p w14:paraId="7168A652"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03D7AD49" w14:textId="77777777" w:rsidTr="00D00FB8">
        <w:tc>
          <w:tcPr>
            <w:tcW w:w="2130" w:type="dxa"/>
          </w:tcPr>
          <w:p w14:paraId="5C91B5C7" w14:textId="77777777" w:rsidR="001D166E" w:rsidRPr="00A11826" w:rsidRDefault="001D166E" w:rsidP="00D00FB8">
            <w:pPr>
              <w:spacing w:after="0"/>
              <w:rPr>
                <w:sz w:val="20"/>
                <w:szCs w:val="20"/>
              </w:rPr>
            </w:pPr>
            <w:r w:rsidRPr="00A11826">
              <w:rPr>
                <w:sz w:val="20"/>
                <w:szCs w:val="20"/>
              </w:rPr>
              <w:t>Rabbur Reza</w:t>
            </w:r>
          </w:p>
        </w:tc>
        <w:tc>
          <w:tcPr>
            <w:tcW w:w="4499" w:type="dxa"/>
          </w:tcPr>
          <w:p w14:paraId="5CF7730D" w14:textId="77777777" w:rsidR="001D166E" w:rsidRPr="00A11826" w:rsidRDefault="001D166E" w:rsidP="00D00FB8">
            <w:pPr>
              <w:spacing w:after="0"/>
              <w:rPr>
                <w:sz w:val="20"/>
                <w:szCs w:val="20"/>
              </w:rPr>
            </w:pPr>
            <w:r w:rsidRPr="00A11826">
              <w:rPr>
                <w:sz w:val="20"/>
                <w:szCs w:val="20"/>
              </w:rPr>
              <w:t>Beximco Pharmaceuticals</w:t>
            </w:r>
          </w:p>
        </w:tc>
        <w:tc>
          <w:tcPr>
            <w:tcW w:w="1417" w:type="dxa"/>
          </w:tcPr>
          <w:p w14:paraId="1C0598CF" w14:textId="77777777" w:rsidR="001D166E" w:rsidRPr="00A11826" w:rsidRDefault="001D166E" w:rsidP="00D00FB8">
            <w:pPr>
              <w:spacing w:after="0"/>
              <w:rPr>
                <w:sz w:val="20"/>
                <w:szCs w:val="20"/>
              </w:rPr>
            </w:pPr>
            <w:r w:rsidRPr="00A11826">
              <w:rPr>
                <w:sz w:val="20"/>
                <w:szCs w:val="20"/>
              </w:rPr>
              <w:t>Bangladesh</w:t>
            </w:r>
          </w:p>
        </w:tc>
        <w:tc>
          <w:tcPr>
            <w:tcW w:w="1276" w:type="dxa"/>
          </w:tcPr>
          <w:p w14:paraId="1DC403EF"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3D3800D6" w14:textId="77777777" w:rsidTr="00D00FB8">
        <w:tc>
          <w:tcPr>
            <w:tcW w:w="2130" w:type="dxa"/>
          </w:tcPr>
          <w:p w14:paraId="041F8B9C" w14:textId="77777777" w:rsidR="001D166E" w:rsidRPr="00A11826" w:rsidRDefault="001D166E" w:rsidP="00D00FB8">
            <w:pPr>
              <w:spacing w:after="0"/>
              <w:rPr>
                <w:sz w:val="20"/>
              </w:rPr>
            </w:pPr>
            <w:r>
              <w:rPr>
                <w:sz w:val="20"/>
              </w:rPr>
              <w:t>Christian Sekomo</w:t>
            </w:r>
          </w:p>
        </w:tc>
        <w:tc>
          <w:tcPr>
            <w:tcW w:w="4499" w:type="dxa"/>
          </w:tcPr>
          <w:p w14:paraId="493B9B17" w14:textId="77777777" w:rsidR="001D166E" w:rsidRPr="00A11826" w:rsidRDefault="001D166E" w:rsidP="00D00FB8">
            <w:pPr>
              <w:spacing w:after="0"/>
              <w:rPr>
                <w:sz w:val="20"/>
              </w:rPr>
            </w:pPr>
            <w:r w:rsidRPr="0056720F">
              <w:rPr>
                <w:sz w:val="20"/>
              </w:rPr>
              <w:t>University of Rwanda</w:t>
            </w:r>
          </w:p>
        </w:tc>
        <w:tc>
          <w:tcPr>
            <w:tcW w:w="1417" w:type="dxa"/>
          </w:tcPr>
          <w:p w14:paraId="0EB99CC5" w14:textId="77777777" w:rsidR="001D166E" w:rsidRPr="00A11826" w:rsidRDefault="001D166E" w:rsidP="00D00FB8">
            <w:pPr>
              <w:spacing w:after="0"/>
              <w:rPr>
                <w:sz w:val="20"/>
              </w:rPr>
            </w:pPr>
            <w:r>
              <w:rPr>
                <w:sz w:val="20"/>
              </w:rPr>
              <w:t>Rwanda</w:t>
            </w:r>
          </w:p>
        </w:tc>
        <w:tc>
          <w:tcPr>
            <w:tcW w:w="1276" w:type="dxa"/>
          </w:tcPr>
          <w:p w14:paraId="01BFFC20" w14:textId="77777777" w:rsidR="001D166E" w:rsidRPr="00A11826" w:rsidRDefault="001D166E" w:rsidP="00D00FB8">
            <w:pPr>
              <w:spacing w:after="0"/>
              <w:rPr>
                <w:sz w:val="20"/>
              </w:rPr>
            </w:pPr>
            <w:r>
              <w:rPr>
                <w:sz w:val="20"/>
              </w:rPr>
              <w:t>2023</w:t>
            </w:r>
          </w:p>
        </w:tc>
      </w:tr>
      <w:tr w:rsidR="001D166E" w:rsidRPr="00A11826" w14:paraId="0DDBB438" w14:textId="77777777" w:rsidTr="00D00FB8">
        <w:tc>
          <w:tcPr>
            <w:tcW w:w="2130" w:type="dxa"/>
          </w:tcPr>
          <w:p w14:paraId="2884E7D7" w14:textId="77777777" w:rsidR="001D166E" w:rsidRPr="00A11826" w:rsidRDefault="001D166E" w:rsidP="00D00FB8">
            <w:pPr>
              <w:spacing w:after="0"/>
              <w:rPr>
                <w:sz w:val="20"/>
              </w:rPr>
            </w:pPr>
            <w:r>
              <w:rPr>
                <w:sz w:val="20"/>
              </w:rPr>
              <w:t>David Sherry</w:t>
            </w:r>
          </w:p>
        </w:tc>
        <w:tc>
          <w:tcPr>
            <w:tcW w:w="4499" w:type="dxa"/>
          </w:tcPr>
          <w:p w14:paraId="0DBEE246" w14:textId="77777777" w:rsidR="001D166E" w:rsidRPr="00A11826" w:rsidRDefault="001D166E" w:rsidP="00D00FB8">
            <w:pPr>
              <w:spacing w:after="0"/>
              <w:rPr>
                <w:sz w:val="20"/>
              </w:rPr>
            </w:pPr>
            <w:r w:rsidRPr="008E4217">
              <w:rPr>
                <w:sz w:val="20"/>
              </w:rPr>
              <w:t>Nolan Sherry &amp; Associates Ltd.</w:t>
            </w:r>
          </w:p>
        </w:tc>
        <w:tc>
          <w:tcPr>
            <w:tcW w:w="1417" w:type="dxa"/>
          </w:tcPr>
          <w:p w14:paraId="6EFB4FA0" w14:textId="77777777" w:rsidR="001D166E" w:rsidRPr="00A11826" w:rsidRDefault="001D166E" w:rsidP="00D00FB8">
            <w:pPr>
              <w:spacing w:after="0"/>
              <w:rPr>
                <w:sz w:val="20"/>
              </w:rPr>
            </w:pPr>
            <w:r>
              <w:rPr>
                <w:sz w:val="20"/>
              </w:rPr>
              <w:t>UK</w:t>
            </w:r>
          </w:p>
        </w:tc>
        <w:tc>
          <w:tcPr>
            <w:tcW w:w="1276" w:type="dxa"/>
          </w:tcPr>
          <w:p w14:paraId="3A2A8FCE" w14:textId="77777777" w:rsidR="001D166E" w:rsidRPr="00A11826" w:rsidRDefault="001D166E" w:rsidP="00D00FB8">
            <w:pPr>
              <w:spacing w:after="0"/>
              <w:rPr>
                <w:sz w:val="20"/>
              </w:rPr>
            </w:pPr>
            <w:r>
              <w:rPr>
                <w:sz w:val="20"/>
              </w:rPr>
              <w:t>2023</w:t>
            </w:r>
          </w:p>
        </w:tc>
      </w:tr>
      <w:tr w:rsidR="001D166E" w:rsidRPr="00A11826" w14:paraId="5DF27B3D" w14:textId="77777777" w:rsidTr="00D00FB8">
        <w:tc>
          <w:tcPr>
            <w:tcW w:w="2130" w:type="dxa"/>
          </w:tcPr>
          <w:p w14:paraId="409D8EC7" w14:textId="77777777" w:rsidR="001D166E" w:rsidRPr="00A11826" w:rsidRDefault="001D166E" w:rsidP="00D00FB8">
            <w:pPr>
              <w:spacing w:after="0"/>
              <w:rPr>
                <w:sz w:val="20"/>
              </w:rPr>
            </w:pPr>
            <w:r>
              <w:rPr>
                <w:sz w:val="20"/>
              </w:rPr>
              <w:t>Peter Sleigh</w:t>
            </w:r>
          </w:p>
        </w:tc>
        <w:tc>
          <w:tcPr>
            <w:tcW w:w="4499" w:type="dxa"/>
          </w:tcPr>
          <w:p w14:paraId="777B383D" w14:textId="77777777" w:rsidR="001D166E" w:rsidRPr="00A11826" w:rsidRDefault="001D166E" w:rsidP="00D00FB8">
            <w:pPr>
              <w:spacing w:after="0"/>
              <w:rPr>
                <w:sz w:val="20"/>
              </w:rPr>
            </w:pPr>
            <w:r>
              <w:rPr>
                <w:sz w:val="20"/>
              </w:rPr>
              <w:t>Koura</w:t>
            </w:r>
          </w:p>
        </w:tc>
        <w:tc>
          <w:tcPr>
            <w:tcW w:w="1417" w:type="dxa"/>
          </w:tcPr>
          <w:p w14:paraId="4D297518" w14:textId="77777777" w:rsidR="001D166E" w:rsidRPr="00A11826" w:rsidRDefault="001D166E" w:rsidP="00D00FB8">
            <w:pPr>
              <w:spacing w:after="0"/>
              <w:rPr>
                <w:sz w:val="20"/>
              </w:rPr>
            </w:pPr>
            <w:r>
              <w:rPr>
                <w:sz w:val="20"/>
              </w:rPr>
              <w:t>UK</w:t>
            </w:r>
          </w:p>
        </w:tc>
        <w:tc>
          <w:tcPr>
            <w:tcW w:w="1276" w:type="dxa"/>
          </w:tcPr>
          <w:p w14:paraId="4A7DFA27" w14:textId="77777777" w:rsidR="001D166E" w:rsidRPr="00A11826" w:rsidRDefault="001D166E" w:rsidP="00D00FB8">
            <w:pPr>
              <w:spacing w:after="0"/>
              <w:rPr>
                <w:sz w:val="20"/>
              </w:rPr>
            </w:pPr>
            <w:r>
              <w:rPr>
                <w:sz w:val="20"/>
              </w:rPr>
              <w:t>2023</w:t>
            </w:r>
          </w:p>
        </w:tc>
      </w:tr>
      <w:tr w:rsidR="001D166E" w:rsidRPr="00A11826" w14:paraId="14710ECE" w14:textId="77777777" w:rsidTr="00D00FB8">
        <w:tc>
          <w:tcPr>
            <w:tcW w:w="2130" w:type="dxa"/>
          </w:tcPr>
          <w:p w14:paraId="3A6EC188" w14:textId="77777777" w:rsidR="001D166E" w:rsidRPr="00A11826" w:rsidRDefault="001D166E" w:rsidP="00D00FB8">
            <w:pPr>
              <w:spacing w:after="0"/>
              <w:rPr>
                <w:sz w:val="20"/>
                <w:szCs w:val="20"/>
              </w:rPr>
            </w:pPr>
            <w:r w:rsidRPr="00A11826">
              <w:rPr>
                <w:sz w:val="20"/>
                <w:szCs w:val="20"/>
              </w:rPr>
              <w:lastRenderedPageBreak/>
              <w:t>Jørgen Vestbo</w:t>
            </w:r>
          </w:p>
        </w:tc>
        <w:tc>
          <w:tcPr>
            <w:tcW w:w="4499" w:type="dxa"/>
          </w:tcPr>
          <w:p w14:paraId="4603473D" w14:textId="77777777" w:rsidR="001D166E" w:rsidRPr="00A11826" w:rsidRDefault="001D166E" w:rsidP="00D00FB8">
            <w:pPr>
              <w:spacing w:after="0"/>
              <w:rPr>
                <w:sz w:val="20"/>
                <w:szCs w:val="20"/>
              </w:rPr>
            </w:pPr>
            <w:r w:rsidRPr="00A11826">
              <w:rPr>
                <w:sz w:val="20"/>
                <w:szCs w:val="20"/>
              </w:rPr>
              <w:t>Manchester University NHS Foundation Trust</w:t>
            </w:r>
            <w:r>
              <w:rPr>
                <w:sz w:val="20"/>
                <w:szCs w:val="20"/>
              </w:rPr>
              <w:t xml:space="preserve"> and</w:t>
            </w:r>
            <w:r w:rsidRPr="00F87BDE">
              <w:rPr>
                <w:sz w:val="20"/>
                <w:szCs w:val="20"/>
              </w:rPr>
              <w:t xml:space="preserve"> Allergi- og Lungeklinikken, Vanløse</w:t>
            </w:r>
          </w:p>
        </w:tc>
        <w:tc>
          <w:tcPr>
            <w:tcW w:w="1417" w:type="dxa"/>
          </w:tcPr>
          <w:p w14:paraId="06D0B7EB" w14:textId="77777777" w:rsidR="001D166E" w:rsidRPr="00A11826" w:rsidRDefault="001D166E" w:rsidP="00D00FB8">
            <w:pPr>
              <w:spacing w:after="0"/>
              <w:rPr>
                <w:sz w:val="20"/>
                <w:szCs w:val="20"/>
              </w:rPr>
            </w:pPr>
            <w:r w:rsidRPr="00A11826">
              <w:rPr>
                <w:sz w:val="20"/>
                <w:szCs w:val="20"/>
              </w:rPr>
              <w:t>Denmark</w:t>
            </w:r>
            <w:r w:rsidRPr="00A11826">
              <w:rPr>
                <w:sz w:val="20"/>
                <w:szCs w:val="20"/>
              </w:rPr>
              <w:tab/>
            </w:r>
          </w:p>
        </w:tc>
        <w:tc>
          <w:tcPr>
            <w:tcW w:w="1276" w:type="dxa"/>
          </w:tcPr>
          <w:p w14:paraId="102C7429" w14:textId="77777777" w:rsidR="001D166E" w:rsidRPr="00A11826" w:rsidRDefault="001D166E" w:rsidP="00D00FB8">
            <w:pPr>
              <w:spacing w:after="0"/>
              <w:rPr>
                <w:sz w:val="20"/>
                <w:szCs w:val="20"/>
              </w:rPr>
            </w:pPr>
            <w:r>
              <w:rPr>
                <w:sz w:val="20"/>
                <w:szCs w:val="20"/>
              </w:rPr>
              <w:t>2025</w:t>
            </w:r>
          </w:p>
        </w:tc>
      </w:tr>
      <w:tr w:rsidR="001D166E" w:rsidRPr="00A11826" w14:paraId="7D21A7EF" w14:textId="77777777" w:rsidTr="00D00FB8">
        <w:tc>
          <w:tcPr>
            <w:tcW w:w="2130" w:type="dxa"/>
          </w:tcPr>
          <w:p w14:paraId="5051BA5E" w14:textId="77777777" w:rsidR="001D166E" w:rsidRPr="00A11826" w:rsidRDefault="001D166E" w:rsidP="00D00FB8">
            <w:pPr>
              <w:spacing w:after="0"/>
              <w:rPr>
                <w:sz w:val="20"/>
                <w:szCs w:val="20"/>
              </w:rPr>
            </w:pPr>
            <w:r w:rsidRPr="00A11826">
              <w:rPr>
                <w:sz w:val="20"/>
                <w:szCs w:val="20"/>
              </w:rPr>
              <w:t>Kristine Whorlow</w:t>
            </w:r>
          </w:p>
        </w:tc>
        <w:tc>
          <w:tcPr>
            <w:tcW w:w="4499" w:type="dxa"/>
          </w:tcPr>
          <w:p w14:paraId="6A679791" w14:textId="77777777" w:rsidR="001D166E" w:rsidRPr="00A11826" w:rsidRDefault="001D166E" w:rsidP="00D00FB8">
            <w:pPr>
              <w:spacing w:after="0"/>
              <w:rPr>
                <w:sz w:val="20"/>
                <w:szCs w:val="20"/>
              </w:rPr>
            </w:pPr>
            <w:r w:rsidRPr="00A11826">
              <w:rPr>
                <w:sz w:val="20"/>
                <w:szCs w:val="20"/>
              </w:rPr>
              <w:t>Non-Executive Director</w:t>
            </w:r>
          </w:p>
        </w:tc>
        <w:tc>
          <w:tcPr>
            <w:tcW w:w="1417" w:type="dxa"/>
          </w:tcPr>
          <w:p w14:paraId="232E7357" w14:textId="77777777" w:rsidR="001D166E" w:rsidRPr="00A11826" w:rsidRDefault="001D166E" w:rsidP="00D00FB8">
            <w:pPr>
              <w:spacing w:after="0"/>
              <w:rPr>
                <w:sz w:val="20"/>
                <w:szCs w:val="20"/>
              </w:rPr>
            </w:pPr>
            <w:r w:rsidRPr="00A11826">
              <w:rPr>
                <w:sz w:val="20"/>
                <w:szCs w:val="20"/>
              </w:rPr>
              <w:t>Australia</w:t>
            </w:r>
            <w:r w:rsidRPr="00A11826">
              <w:rPr>
                <w:sz w:val="20"/>
                <w:szCs w:val="20"/>
              </w:rPr>
              <w:tab/>
            </w:r>
          </w:p>
        </w:tc>
        <w:tc>
          <w:tcPr>
            <w:tcW w:w="1276" w:type="dxa"/>
          </w:tcPr>
          <w:p w14:paraId="480B8607"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6E9A9241" w14:textId="77777777" w:rsidTr="00D00FB8">
        <w:tc>
          <w:tcPr>
            <w:tcW w:w="2130" w:type="dxa"/>
          </w:tcPr>
          <w:p w14:paraId="0F348386" w14:textId="77777777" w:rsidR="001D166E" w:rsidRDefault="001D166E" w:rsidP="00D00FB8">
            <w:pPr>
              <w:spacing w:after="0"/>
              <w:rPr>
                <w:sz w:val="20"/>
              </w:rPr>
            </w:pPr>
            <w:r>
              <w:rPr>
                <w:sz w:val="20"/>
              </w:rPr>
              <w:t>Alex Wilkinson</w:t>
            </w:r>
          </w:p>
        </w:tc>
        <w:tc>
          <w:tcPr>
            <w:tcW w:w="4499" w:type="dxa"/>
          </w:tcPr>
          <w:p w14:paraId="6CA65D5B" w14:textId="77777777" w:rsidR="001D166E" w:rsidRPr="00541424" w:rsidRDefault="001D166E" w:rsidP="00D00FB8">
            <w:pPr>
              <w:spacing w:after="0"/>
              <w:rPr>
                <w:sz w:val="20"/>
              </w:rPr>
            </w:pPr>
            <w:r w:rsidRPr="00E54B7B">
              <w:rPr>
                <w:sz w:val="20"/>
              </w:rPr>
              <w:t>East and North Hertfordshire NHS Trust</w:t>
            </w:r>
          </w:p>
        </w:tc>
        <w:tc>
          <w:tcPr>
            <w:tcW w:w="1417" w:type="dxa"/>
          </w:tcPr>
          <w:p w14:paraId="4558564F" w14:textId="77777777" w:rsidR="001D166E" w:rsidRDefault="001D166E" w:rsidP="00D00FB8">
            <w:pPr>
              <w:spacing w:after="0"/>
              <w:rPr>
                <w:sz w:val="20"/>
              </w:rPr>
            </w:pPr>
            <w:r>
              <w:rPr>
                <w:sz w:val="20"/>
              </w:rPr>
              <w:t>UK</w:t>
            </w:r>
          </w:p>
        </w:tc>
        <w:tc>
          <w:tcPr>
            <w:tcW w:w="1276" w:type="dxa"/>
          </w:tcPr>
          <w:p w14:paraId="68F3DE0D" w14:textId="77777777" w:rsidR="001D166E" w:rsidRDefault="001D166E" w:rsidP="00D00FB8">
            <w:pPr>
              <w:spacing w:after="0"/>
              <w:rPr>
                <w:sz w:val="20"/>
              </w:rPr>
            </w:pPr>
            <w:r>
              <w:rPr>
                <w:sz w:val="20"/>
              </w:rPr>
              <w:t>2025</w:t>
            </w:r>
          </w:p>
        </w:tc>
      </w:tr>
      <w:tr w:rsidR="001D166E" w:rsidRPr="00A11826" w14:paraId="409EA1F2" w14:textId="77777777" w:rsidTr="00D00FB8">
        <w:tc>
          <w:tcPr>
            <w:tcW w:w="2130" w:type="dxa"/>
          </w:tcPr>
          <w:p w14:paraId="3AE9B948" w14:textId="77777777" w:rsidR="001D166E" w:rsidRPr="00A11826" w:rsidRDefault="001D166E" w:rsidP="00D00FB8">
            <w:pPr>
              <w:spacing w:after="0"/>
              <w:rPr>
                <w:sz w:val="20"/>
              </w:rPr>
            </w:pPr>
            <w:r>
              <w:rPr>
                <w:sz w:val="20"/>
              </w:rPr>
              <w:t>Gerallt Williams</w:t>
            </w:r>
          </w:p>
        </w:tc>
        <w:tc>
          <w:tcPr>
            <w:tcW w:w="4499" w:type="dxa"/>
          </w:tcPr>
          <w:p w14:paraId="3375C7C3" w14:textId="77777777" w:rsidR="001D166E" w:rsidRPr="00A11826" w:rsidRDefault="001D166E" w:rsidP="00D00FB8">
            <w:pPr>
              <w:spacing w:after="0"/>
              <w:rPr>
                <w:sz w:val="20"/>
              </w:rPr>
            </w:pPr>
            <w:r w:rsidRPr="00541424">
              <w:rPr>
                <w:sz w:val="20"/>
              </w:rPr>
              <w:t>Aptar Pharma</w:t>
            </w:r>
          </w:p>
        </w:tc>
        <w:tc>
          <w:tcPr>
            <w:tcW w:w="1417" w:type="dxa"/>
          </w:tcPr>
          <w:p w14:paraId="487D5E0E" w14:textId="77777777" w:rsidR="001D166E" w:rsidRPr="00A11826" w:rsidRDefault="001D166E" w:rsidP="00D00FB8">
            <w:pPr>
              <w:spacing w:after="0"/>
              <w:rPr>
                <w:sz w:val="20"/>
              </w:rPr>
            </w:pPr>
            <w:r>
              <w:rPr>
                <w:sz w:val="20"/>
              </w:rPr>
              <w:t>UK</w:t>
            </w:r>
          </w:p>
        </w:tc>
        <w:tc>
          <w:tcPr>
            <w:tcW w:w="1276" w:type="dxa"/>
          </w:tcPr>
          <w:p w14:paraId="0C8E0D3D" w14:textId="77777777" w:rsidR="001D166E" w:rsidRPr="00A11826" w:rsidRDefault="001D166E" w:rsidP="00D00FB8">
            <w:pPr>
              <w:spacing w:after="0"/>
              <w:rPr>
                <w:sz w:val="20"/>
              </w:rPr>
            </w:pPr>
            <w:r>
              <w:rPr>
                <w:sz w:val="20"/>
              </w:rPr>
              <w:t>2024</w:t>
            </w:r>
          </w:p>
        </w:tc>
      </w:tr>
      <w:tr w:rsidR="001D166E" w:rsidRPr="00A11826" w14:paraId="286FEF4C" w14:textId="77777777" w:rsidTr="00D00FB8">
        <w:tc>
          <w:tcPr>
            <w:tcW w:w="2130" w:type="dxa"/>
          </w:tcPr>
          <w:p w14:paraId="20B79104" w14:textId="77777777" w:rsidR="001D166E" w:rsidRPr="00A11826" w:rsidRDefault="001D166E" w:rsidP="00D00FB8">
            <w:pPr>
              <w:spacing w:after="0"/>
              <w:rPr>
                <w:sz w:val="20"/>
                <w:szCs w:val="20"/>
              </w:rPr>
            </w:pPr>
            <w:r w:rsidRPr="00A11826">
              <w:rPr>
                <w:sz w:val="20"/>
                <w:szCs w:val="20"/>
              </w:rPr>
              <w:t>Ashley Woodcock</w:t>
            </w:r>
          </w:p>
        </w:tc>
        <w:tc>
          <w:tcPr>
            <w:tcW w:w="4499" w:type="dxa"/>
          </w:tcPr>
          <w:p w14:paraId="3D430099" w14:textId="77777777" w:rsidR="001D166E" w:rsidRPr="00A11826" w:rsidRDefault="001D166E" w:rsidP="00D00FB8">
            <w:pPr>
              <w:spacing w:after="0"/>
              <w:rPr>
                <w:sz w:val="20"/>
                <w:szCs w:val="20"/>
              </w:rPr>
            </w:pPr>
            <w:r w:rsidRPr="00A11826">
              <w:rPr>
                <w:sz w:val="20"/>
                <w:szCs w:val="20"/>
              </w:rPr>
              <w:t>Manchester University NHS Foundation Trust</w:t>
            </w:r>
          </w:p>
        </w:tc>
        <w:tc>
          <w:tcPr>
            <w:tcW w:w="1417" w:type="dxa"/>
          </w:tcPr>
          <w:p w14:paraId="4E7AC59F" w14:textId="77777777" w:rsidR="001D166E" w:rsidRPr="00A11826" w:rsidRDefault="001D166E" w:rsidP="00D00FB8">
            <w:pPr>
              <w:spacing w:after="0"/>
              <w:rPr>
                <w:sz w:val="20"/>
                <w:szCs w:val="20"/>
              </w:rPr>
            </w:pPr>
            <w:r w:rsidRPr="00A11826">
              <w:rPr>
                <w:sz w:val="20"/>
                <w:szCs w:val="20"/>
              </w:rPr>
              <w:t>UK</w:t>
            </w:r>
          </w:p>
        </w:tc>
        <w:tc>
          <w:tcPr>
            <w:tcW w:w="1276" w:type="dxa"/>
          </w:tcPr>
          <w:p w14:paraId="56FC4F02" w14:textId="77777777" w:rsidR="001D166E" w:rsidRPr="00A11826" w:rsidRDefault="001D166E" w:rsidP="00D00FB8">
            <w:pPr>
              <w:spacing w:after="0"/>
              <w:rPr>
                <w:sz w:val="20"/>
                <w:szCs w:val="20"/>
              </w:rPr>
            </w:pPr>
            <w:r w:rsidRPr="00A11826">
              <w:rPr>
                <w:sz w:val="20"/>
                <w:szCs w:val="20"/>
              </w:rPr>
              <w:t>20</w:t>
            </w:r>
            <w:r>
              <w:rPr>
                <w:sz w:val="20"/>
                <w:szCs w:val="20"/>
              </w:rPr>
              <w:t>23</w:t>
            </w:r>
          </w:p>
        </w:tc>
      </w:tr>
      <w:tr w:rsidR="001D166E" w:rsidRPr="00A11826" w14:paraId="2614A71D" w14:textId="77777777" w:rsidTr="00D00FB8">
        <w:tc>
          <w:tcPr>
            <w:tcW w:w="2130" w:type="dxa"/>
          </w:tcPr>
          <w:p w14:paraId="693BFBD7" w14:textId="77777777" w:rsidR="001D166E" w:rsidRPr="00A11826" w:rsidRDefault="001D166E" w:rsidP="00D00FB8">
            <w:pPr>
              <w:spacing w:after="0"/>
              <w:rPr>
                <w:sz w:val="20"/>
                <w:szCs w:val="20"/>
              </w:rPr>
            </w:pPr>
            <w:r w:rsidRPr="00A11826">
              <w:rPr>
                <w:sz w:val="20"/>
                <w:szCs w:val="20"/>
              </w:rPr>
              <w:t>Lifei Zhang</w:t>
            </w:r>
          </w:p>
        </w:tc>
        <w:tc>
          <w:tcPr>
            <w:tcW w:w="4499" w:type="dxa"/>
          </w:tcPr>
          <w:p w14:paraId="3D396104" w14:textId="77777777" w:rsidR="001D166E" w:rsidRPr="00A11826" w:rsidRDefault="001D166E" w:rsidP="00D00FB8">
            <w:pPr>
              <w:spacing w:after="0"/>
              <w:rPr>
                <w:sz w:val="20"/>
                <w:szCs w:val="20"/>
              </w:rPr>
            </w:pPr>
            <w:r w:rsidRPr="00A11826">
              <w:rPr>
                <w:sz w:val="20"/>
                <w:szCs w:val="20"/>
              </w:rPr>
              <w:t>National Research Center for Environmental Analysis and Measurement</w:t>
            </w:r>
          </w:p>
        </w:tc>
        <w:tc>
          <w:tcPr>
            <w:tcW w:w="1417" w:type="dxa"/>
          </w:tcPr>
          <w:p w14:paraId="5D4B9E3C" w14:textId="77777777" w:rsidR="001D166E" w:rsidRPr="00A11826" w:rsidRDefault="001D166E" w:rsidP="00D00FB8">
            <w:pPr>
              <w:spacing w:after="0"/>
              <w:rPr>
                <w:sz w:val="20"/>
                <w:szCs w:val="20"/>
              </w:rPr>
            </w:pPr>
            <w:r w:rsidRPr="00A11826">
              <w:rPr>
                <w:sz w:val="20"/>
                <w:szCs w:val="20"/>
              </w:rPr>
              <w:t>China</w:t>
            </w:r>
          </w:p>
        </w:tc>
        <w:tc>
          <w:tcPr>
            <w:tcW w:w="1276" w:type="dxa"/>
          </w:tcPr>
          <w:p w14:paraId="39023E16" w14:textId="77777777" w:rsidR="001D166E" w:rsidRPr="00A11826" w:rsidRDefault="001D166E" w:rsidP="00D00FB8">
            <w:pPr>
              <w:spacing w:after="0"/>
              <w:rPr>
                <w:sz w:val="20"/>
                <w:szCs w:val="20"/>
              </w:rPr>
            </w:pPr>
            <w:r w:rsidRPr="00A11826">
              <w:rPr>
                <w:sz w:val="20"/>
                <w:szCs w:val="20"/>
              </w:rPr>
              <w:t>2022</w:t>
            </w:r>
            <w:r>
              <w:rPr>
                <w:sz w:val="20"/>
                <w:szCs w:val="20"/>
              </w:rPr>
              <w:t>*</w:t>
            </w:r>
          </w:p>
        </w:tc>
      </w:tr>
      <w:tr w:rsidR="001D166E" w:rsidRPr="00A11826" w14:paraId="5D02CA4D" w14:textId="77777777" w:rsidTr="00D00FB8">
        <w:tc>
          <w:tcPr>
            <w:tcW w:w="2130" w:type="dxa"/>
            <w:shd w:val="clear" w:color="auto" w:fill="9CC2E5" w:themeFill="accent1" w:themeFillTint="99"/>
          </w:tcPr>
          <w:p w14:paraId="015BC434" w14:textId="77777777" w:rsidR="001D166E" w:rsidRPr="00A11826" w:rsidRDefault="001D166E" w:rsidP="00D00FB8">
            <w:pPr>
              <w:spacing w:after="0"/>
              <w:rPr>
                <w:sz w:val="20"/>
                <w:szCs w:val="20"/>
              </w:rPr>
            </w:pPr>
            <w:r w:rsidRPr="00A11826">
              <w:rPr>
                <w:sz w:val="20"/>
                <w:szCs w:val="20"/>
              </w:rPr>
              <w:t>Consulting Experts</w:t>
            </w:r>
          </w:p>
        </w:tc>
        <w:tc>
          <w:tcPr>
            <w:tcW w:w="4499" w:type="dxa"/>
            <w:shd w:val="clear" w:color="auto" w:fill="9CC2E5" w:themeFill="accent1" w:themeFillTint="99"/>
          </w:tcPr>
          <w:p w14:paraId="3882A900" w14:textId="77777777" w:rsidR="001D166E" w:rsidRPr="00A11826" w:rsidRDefault="001D166E" w:rsidP="00D00FB8">
            <w:pPr>
              <w:spacing w:after="0"/>
              <w:rPr>
                <w:sz w:val="20"/>
                <w:szCs w:val="20"/>
              </w:rPr>
            </w:pPr>
            <w:r w:rsidRPr="00A11826">
              <w:rPr>
                <w:sz w:val="20"/>
                <w:szCs w:val="20"/>
              </w:rPr>
              <w:t>Affiliation</w:t>
            </w:r>
          </w:p>
        </w:tc>
        <w:tc>
          <w:tcPr>
            <w:tcW w:w="1417" w:type="dxa"/>
            <w:shd w:val="clear" w:color="auto" w:fill="9CC2E5" w:themeFill="accent1" w:themeFillTint="99"/>
          </w:tcPr>
          <w:p w14:paraId="079A41FE" w14:textId="77777777" w:rsidR="001D166E" w:rsidRPr="00A11826" w:rsidRDefault="001D166E" w:rsidP="00D00FB8">
            <w:pPr>
              <w:spacing w:after="0"/>
              <w:rPr>
                <w:sz w:val="20"/>
                <w:szCs w:val="20"/>
              </w:rPr>
            </w:pPr>
            <w:r w:rsidRPr="00A11826">
              <w:rPr>
                <w:sz w:val="20"/>
                <w:szCs w:val="20"/>
              </w:rPr>
              <w:t>Country</w:t>
            </w:r>
          </w:p>
        </w:tc>
        <w:tc>
          <w:tcPr>
            <w:tcW w:w="1276" w:type="dxa"/>
            <w:shd w:val="clear" w:color="auto" w:fill="9CC2E5" w:themeFill="accent1" w:themeFillTint="99"/>
          </w:tcPr>
          <w:p w14:paraId="43E255CF" w14:textId="77777777" w:rsidR="001D166E" w:rsidRPr="00A11826" w:rsidRDefault="001D166E" w:rsidP="00D00FB8">
            <w:pPr>
              <w:spacing w:after="0"/>
              <w:rPr>
                <w:sz w:val="20"/>
                <w:szCs w:val="20"/>
              </w:rPr>
            </w:pPr>
            <w:r w:rsidRPr="00A11826">
              <w:rPr>
                <w:sz w:val="20"/>
                <w:szCs w:val="20"/>
              </w:rPr>
              <w:t>One-year renewable terms</w:t>
            </w:r>
          </w:p>
        </w:tc>
      </w:tr>
      <w:tr w:rsidR="001D166E" w:rsidRPr="00A11826" w14:paraId="4D74E472" w14:textId="77777777" w:rsidTr="00D00FB8">
        <w:tc>
          <w:tcPr>
            <w:tcW w:w="2130" w:type="dxa"/>
          </w:tcPr>
          <w:p w14:paraId="4F17DF96" w14:textId="77777777" w:rsidR="001D166E" w:rsidRPr="00A11826" w:rsidRDefault="001D166E" w:rsidP="00D00FB8">
            <w:pPr>
              <w:spacing w:after="0"/>
              <w:rPr>
                <w:sz w:val="20"/>
                <w:szCs w:val="20"/>
              </w:rPr>
            </w:pPr>
            <w:r w:rsidRPr="00A11826">
              <w:rPr>
                <w:sz w:val="20"/>
                <w:szCs w:val="20"/>
              </w:rPr>
              <w:t>Hideo Mori</w:t>
            </w:r>
          </w:p>
        </w:tc>
        <w:tc>
          <w:tcPr>
            <w:tcW w:w="4499" w:type="dxa"/>
          </w:tcPr>
          <w:p w14:paraId="61E961BF" w14:textId="77777777" w:rsidR="001D166E" w:rsidRPr="00A11826" w:rsidRDefault="001D166E" w:rsidP="00D00FB8">
            <w:pPr>
              <w:spacing w:after="0"/>
              <w:rPr>
                <w:sz w:val="20"/>
                <w:szCs w:val="20"/>
              </w:rPr>
            </w:pPr>
            <w:r w:rsidRPr="00A11826">
              <w:rPr>
                <w:sz w:val="20"/>
                <w:szCs w:val="20"/>
              </w:rPr>
              <w:t>Tokushima Regional Energy</w:t>
            </w:r>
          </w:p>
        </w:tc>
        <w:tc>
          <w:tcPr>
            <w:tcW w:w="1417" w:type="dxa"/>
          </w:tcPr>
          <w:p w14:paraId="5157B793" w14:textId="77777777" w:rsidR="001D166E" w:rsidRPr="00A11826" w:rsidRDefault="001D166E" w:rsidP="00D00FB8">
            <w:pPr>
              <w:spacing w:after="0"/>
              <w:rPr>
                <w:sz w:val="20"/>
                <w:szCs w:val="20"/>
              </w:rPr>
            </w:pPr>
            <w:r w:rsidRPr="00A11826">
              <w:rPr>
                <w:sz w:val="20"/>
                <w:szCs w:val="20"/>
              </w:rPr>
              <w:t>Japan</w:t>
            </w:r>
          </w:p>
        </w:tc>
        <w:tc>
          <w:tcPr>
            <w:tcW w:w="1276" w:type="dxa"/>
          </w:tcPr>
          <w:p w14:paraId="2D2A5E6A" w14:textId="77777777" w:rsidR="001D166E" w:rsidRPr="00A11826" w:rsidRDefault="001D166E" w:rsidP="00D00FB8">
            <w:pPr>
              <w:spacing w:after="0"/>
              <w:rPr>
                <w:sz w:val="20"/>
                <w:szCs w:val="20"/>
              </w:rPr>
            </w:pPr>
          </w:p>
        </w:tc>
      </w:tr>
      <w:tr w:rsidR="001D166E" w:rsidRPr="00A11826" w14:paraId="45782EC8" w14:textId="77777777" w:rsidTr="00D00FB8">
        <w:tc>
          <w:tcPr>
            <w:tcW w:w="2130" w:type="dxa"/>
          </w:tcPr>
          <w:p w14:paraId="186CBE63" w14:textId="77777777" w:rsidR="001D166E" w:rsidRPr="00A11826" w:rsidRDefault="001D166E" w:rsidP="00D00FB8">
            <w:pPr>
              <w:spacing w:after="0"/>
              <w:rPr>
                <w:sz w:val="20"/>
                <w:szCs w:val="20"/>
              </w:rPr>
            </w:pPr>
            <w:r w:rsidRPr="00A11826">
              <w:rPr>
                <w:sz w:val="20"/>
                <w:szCs w:val="20"/>
              </w:rPr>
              <w:t>Yizhong You</w:t>
            </w:r>
          </w:p>
        </w:tc>
        <w:tc>
          <w:tcPr>
            <w:tcW w:w="4499" w:type="dxa"/>
          </w:tcPr>
          <w:p w14:paraId="1ED08EB2" w14:textId="77777777" w:rsidR="001D166E" w:rsidRPr="00A11826" w:rsidRDefault="001D166E" w:rsidP="00D00FB8">
            <w:pPr>
              <w:spacing w:after="0"/>
              <w:rPr>
                <w:sz w:val="20"/>
                <w:szCs w:val="20"/>
              </w:rPr>
            </w:pPr>
            <w:r w:rsidRPr="00A11826">
              <w:rPr>
                <w:sz w:val="20"/>
                <w:szCs w:val="20"/>
              </w:rPr>
              <w:t>Journal of Aerosol Communication</w:t>
            </w:r>
          </w:p>
        </w:tc>
        <w:tc>
          <w:tcPr>
            <w:tcW w:w="1417" w:type="dxa"/>
          </w:tcPr>
          <w:p w14:paraId="41FEF504" w14:textId="77777777" w:rsidR="001D166E" w:rsidRPr="00A11826" w:rsidRDefault="001D166E" w:rsidP="00D00FB8">
            <w:pPr>
              <w:spacing w:after="0"/>
              <w:rPr>
                <w:sz w:val="20"/>
                <w:szCs w:val="20"/>
              </w:rPr>
            </w:pPr>
            <w:r w:rsidRPr="00A11826">
              <w:rPr>
                <w:sz w:val="20"/>
                <w:szCs w:val="20"/>
              </w:rPr>
              <w:t>China</w:t>
            </w:r>
          </w:p>
        </w:tc>
        <w:tc>
          <w:tcPr>
            <w:tcW w:w="1276" w:type="dxa"/>
          </w:tcPr>
          <w:p w14:paraId="6D0A76B0" w14:textId="77777777" w:rsidR="001D166E" w:rsidRPr="00A11826" w:rsidRDefault="001D166E" w:rsidP="00D00FB8">
            <w:pPr>
              <w:spacing w:after="0"/>
              <w:rPr>
                <w:sz w:val="20"/>
                <w:szCs w:val="20"/>
              </w:rPr>
            </w:pPr>
          </w:p>
        </w:tc>
      </w:tr>
    </w:tbl>
    <w:p w14:paraId="2EA7776A" w14:textId="77777777" w:rsidR="001D166E" w:rsidRPr="00521E02" w:rsidRDefault="001D166E" w:rsidP="001D166E">
      <w:pPr>
        <w:spacing w:before="120" w:after="120"/>
        <w:rPr>
          <w:bCs/>
          <w:i/>
          <w:sz w:val="20"/>
        </w:rPr>
      </w:pPr>
      <w:r w:rsidRPr="007A77BA">
        <w:rPr>
          <w:bCs/>
          <w:i/>
          <w:sz w:val="20"/>
        </w:rPr>
        <w:t>* Indicates members whose terms expire at the end of the current year</w:t>
      </w:r>
      <w:r>
        <w:rPr>
          <w:bCs/>
          <w:i/>
          <w:sz w:val="20"/>
        </w:rPr>
        <w:br/>
      </w:r>
    </w:p>
    <w:p w14:paraId="4C66424F" w14:textId="77777777" w:rsidR="004A3A81" w:rsidRPr="00BE2C76" w:rsidRDefault="005B3245" w:rsidP="00821BBC">
      <w:pPr>
        <w:ind w:left="709" w:hanging="709"/>
        <w:rPr>
          <w:rStyle w:val="Heading2Char"/>
        </w:rPr>
      </w:pPr>
      <w:r w:rsidRPr="00BE2C76">
        <w:rPr>
          <w:rStyle w:val="Heading2Char"/>
        </w:rPr>
        <w:t>6.</w:t>
      </w:r>
      <w:r w:rsidRPr="00BE2C76">
        <w:rPr>
          <w:rStyle w:val="Heading2Char"/>
        </w:rPr>
        <w:tab/>
      </w:r>
      <w:r w:rsidR="00863544" w:rsidRPr="00BE2C76">
        <w:rPr>
          <w:rStyle w:val="Heading2Char"/>
        </w:rPr>
        <w:t xml:space="preserve">TEAP </w:t>
      </w:r>
      <w:r w:rsidR="004A3A81" w:rsidRPr="00BE2C76">
        <w:rPr>
          <w:rStyle w:val="Heading2Char"/>
        </w:rPr>
        <w:t>Refrigeration, Air Conditioning and Heat Pumps Technical Options Committee</w:t>
      </w:r>
      <w:r w:rsidR="00863544" w:rsidRPr="00BE2C76">
        <w:rPr>
          <w:rStyle w:val="Heading2Char"/>
        </w:rPr>
        <w:t xml:space="preserve"> (RTOC)</w:t>
      </w:r>
      <w:bookmarkEnd w:id="708"/>
      <w:bookmarkEnd w:id="709"/>
      <w:bookmarkEnd w:id="710"/>
      <w:r w:rsidR="004A3A81" w:rsidRPr="00BE2C76">
        <w:rPr>
          <w:rStyle w:val="Heading2Char"/>
        </w:rPr>
        <w:t xml:space="preserve"> </w:t>
      </w:r>
    </w:p>
    <w:p w14:paraId="1BAF0B07" w14:textId="60BF7B67" w:rsidR="00550028" w:rsidRPr="00B710A8" w:rsidRDefault="00550028" w:rsidP="00B710A8">
      <w:pPr>
        <w:rPr>
          <w:color w:val="auto"/>
        </w:rPr>
      </w:pPr>
      <w:bookmarkStart w:id="711" w:name="_Toc295406185"/>
      <w:bookmarkStart w:id="712" w:name="_Toc514151699"/>
      <w:bookmarkStart w:id="713" w:name="_Toc9109622"/>
      <w:r w:rsidRPr="007A77BA">
        <w:rPr>
          <w:color w:val="auto"/>
        </w:rPr>
        <w:t xml:space="preserve">The RTOC brings together expertise on Refrigeration, Air Conditioning and Heat Pumps (RACHP) sectors. Members are experts of: Refrigerants, Domestic refrigeration, Commercial refrigeration, Industrial refrigeration and heat pump systems, Transport refrigeration, Air-to-air conditioners and heat pumps, Water and space heating heat pumps, Chillers, Vehicle air conditioning, Energy efficiency and sustainability applied to refrigeration systems, Not-in-kind technologies, High-Ambient-Temperatures applications, Modelling of RACHP Systems. Members have research, industry activities regulatory and commercial experience. </w:t>
      </w:r>
    </w:p>
    <w:p w14:paraId="2546C3F7" w14:textId="65BB20A0" w:rsidR="00550028" w:rsidRPr="003C63EA" w:rsidRDefault="00550028" w:rsidP="00550028">
      <w:pPr>
        <w:pStyle w:val="Style15"/>
        <w:tabs>
          <w:tab w:val="clear" w:pos="720"/>
          <w:tab w:val="clear" w:pos="1080"/>
          <w:tab w:val="left" w:pos="900"/>
        </w:tabs>
        <w:spacing w:after="120"/>
        <w:rPr>
          <w:i/>
          <w:iCs/>
          <w:sz w:val="22"/>
          <w:szCs w:val="22"/>
          <w:lang w:val="en-US"/>
        </w:rPr>
      </w:pPr>
      <w:r w:rsidRPr="003C63EA">
        <w:rPr>
          <w:i/>
          <w:iCs/>
          <w:sz w:val="22"/>
          <w:szCs w:val="22"/>
          <w:lang w:val="en-US"/>
        </w:rPr>
        <w:t>Table 6</w:t>
      </w:r>
      <w:r>
        <w:rPr>
          <w:i/>
          <w:iCs/>
          <w:sz w:val="22"/>
          <w:szCs w:val="22"/>
          <w:lang w:val="en-US"/>
        </w:rPr>
        <w:t>:</w:t>
      </w:r>
      <w:r>
        <w:rPr>
          <w:i/>
          <w:iCs/>
          <w:sz w:val="22"/>
          <w:szCs w:val="22"/>
          <w:lang w:val="en-US"/>
        </w:rPr>
        <w:tab/>
      </w:r>
      <w:r w:rsidRPr="000E7C16">
        <w:rPr>
          <w:i/>
          <w:iCs/>
          <w:sz w:val="22"/>
          <w:szCs w:val="22"/>
          <w:lang w:val="en-US"/>
        </w:rPr>
        <w:t xml:space="preserve">RTOC Membership </w:t>
      </w:r>
      <w:r w:rsidR="000E7C16">
        <w:rPr>
          <w:i/>
          <w:iCs/>
          <w:sz w:val="22"/>
          <w:szCs w:val="22"/>
          <w:lang w:val="en-US"/>
        </w:rPr>
        <w:t>a</w:t>
      </w:r>
      <w:r w:rsidRPr="000E7C16">
        <w:rPr>
          <w:i/>
          <w:iCs/>
          <w:sz w:val="22"/>
          <w:szCs w:val="22"/>
          <w:lang w:val="en-US"/>
        </w:rPr>
        <w:t xml:space="preserve">t </w:t>
      </w:r>
      <w:r w:rsidR="000E7C16">
        <w:rPr>
          <w:i/>
          <w:iCs/>
          <w:sz w:val="22"/>
          <w:szCs w:val="22"/>
          <w:lang w:val="en-US"/>
        </w:rPr>
        <w:t>May 2022</w:t>
      </w:r>
    </w:p>
    <w:tbl>
      <w:tblPr>
        <w:tblStyle w:val="TableGrid"/>
        <w:tblW w:w="8095" w:type="dxa"/>
        <w:tblLayout w:type="fixed"/>
        <w:tblLook w:val="04A0" w:firstRow="1" w:lastRow="0" w:firstColumn="1" w:lastColumn="0" w:noHBand="0" w:noVBand="1"/>
      </w:tblPr>
      <w:tblGrid>
        <w:gridCol w:w="421"/>
        <w:gridCol w:w="2211"/>
        <w:gridCol w:w="3061"/>
        <w:gridCol w:w="1247"/>
        <w:gridCol w:w="1155"/>
      </w:tblGrid>
      <w:tr w:rsidR="00550028" w:rsidRPr="008C218B" w14:paraId="673AF8BD" w14:textId="77777777" w:rsidTr="00550028">
        <w:trPr>
          <w:trHeight w:val="255"/>
        </w:trPr>
        <w:tc>
          <w:tcPr>
            <w:tcW w:w="421" w:type="dxa"/>
            <w:shd w:val="clear" w:color="auto" w:fill="BDD6EE" w:themeFill="accent1" w:themeFillTint="66"/>
            <w:vAlign w:val="center"/>
          </w:tcPr>
          <w:p w14:paraId="26D8ABF4" w14:textId="77777777" w:rsidR="00550028" w:rsidRPr="008C218B" w:rsidRDefault="00550028" w:rsidP="00550028">
            <w:pPr>
              <w:autoSpaceDE w:val="0"/>
              <w:autoSpaceDN w:val="0"/>
              <w:adjustRightInd w:val="0"/>
              <w:spacing w:after="0"/>
              <w:jc w:val="center"/>
              <w:rPr>
                <w:b/>
                <w:bCs/>
                <w:color w:val="auto"/>
                <w:sz w:val="20"/>
              </w:rPr>
            </w:pPr>
          </w:p>
        </w:tc>
        <w:tc>
          <w:tcPr>
            <w:tcW w:w="2211" w:type="dxa"/>
            <w:shd w:val="clear" w:color="auto" w:fill="BDD6EE" w:themeFill="accent1" w:themeFillTint="66"/>
            <w:vAlign w:val="center"/>
          </w:tcPr>
          <w:p w14:paraId="61498595" w14:textId="77777777" w:rsidR="00550028" w:rsidRPr="008C218B" w:rsidRDefault="00550028" w:rsidP="00550028">
            <w:pPr>
              <w:autoSpaceDE w:val="0"/>
              <w:autoSpaceDN w:val="0"/>
              <w:adjustRightInd w:val="0"/>
              <w:spacing w:after="0"/>
              <w:rPr>
                <w:b/>
                <w:bCs/>
                <w:color w:val="auto"/>
                <w:sz w:val="20"/>
              </w:rPr>
            </w:pPr>
            <w:r w:rsidRPr="008C218B">
              <w:rPr>
                <w:b/>
                <w:bCs/>
                <w:color w:val="auto"/>
                <w:sz w:val="20"/>
              </w:rPr>
              <w:t>Co-chairs</w:t>
            </w:r>
          </w:p>
        </w:tc>
        <w:tc>
          <w:tcPr>
            <w:tcW w:w="3061" w:type="dxa"/>
            <w:shd w:val="clear" w:color="auto" w:fill="BDD6EE" w:themeFill="accent1" w:themeFillTint="66"/>
            <w:vAlign w:val="center"/>
          </w:tcPr>
          <w:p w14:paraId="5C968C14" w14:textId="77777777" w:rsidR="00550028" w:rsidRPr="008C218B" w:rsidRDefault="00550028" w:rsidP="00550028">
            <w:pPr>
              <w:spacing w:after="0"/>
              <w:rPr>
                <w:b/>
                <w:bCs/>
                <w:color w:val="auto"/>
                <w:sz w:val="20"/>
              </w:rPr>
            </w:pPr>
            <w:r w:rsidRPr="008C218B">
              <w:rPr>
                <w:b/>
                <w:bCs/>
                <w:color w:val="auto"/>
                <w:sz w:val="20"/>
              </w:rPr>
              <w:t>Affiliation</w:t>
            </w:r>
          </w:p>
        </w:tc>
        <w:tc>
          <w:tcPr>
            <w:tcW w:w="1247" w:type="dxa"/>
            <w:shd w:val="clear" w:color="auto" w:fill="BDD6EE" w:themeFill="accent1" w:themeFillTint="66"/>
            <w:vAlign w:val="center"/>
          </w:tcPr>
          <w:p w14:paraId="1688CB23" w14:textId="77777777" w:rsidR="00550028" w:rsidRPr="008C218B" w:rsidRDefault="00550028" w:rsidP="00550028">
            <w:pPr>
              <w:autoSpaceDE w:val="0"/>
              <w:autoSpaceDN w:val="0"/>
              <w:adjustRightInd w:val="0"/>
              <w:spacing w:after="0"/>
              <w:rPr>
                <w:b/>
                <w:bCs/>
                <w:color w:val="auto"/>
                <w:sz w:val="20"/>
              </w:rPr>
            </w:pPr>
            <w:r w:rsidRPr="008C218B">
              <w:rPr>
                <w:b/>
                <w:bCs/>
                <w:color w:val="auto"/>
                <w:sz w:val="20"/>
              </w:rPr>
              <w:t>Party</w:t>
            </w:r>
          </w:p>
        </w:tc>
        <w:tc>
          <w:tcPr>
            <w:tcW w:w="1155" w:type="dxa"/>
            <w:shd w:val="clear" w:color="auto" w:fill="BDD6EE" w:themeFill="accent1" w:themeFillTint="66"/>
            <w:vAlign w:val="center"/>
          </w:tcPr>
          <w:p w14:paraId="18E5B876" w14:textId="77777777" w:rsidR="00550028" w:rsidRPr="008C218B" w:rsidRDefault="00550028" w:rsidP="00550028">
            <w:pPr>
              <w:autoSpaceDE w:val="0"/>
              <w:autoSpaceDN w:val="0"/>
              <w:adjustRightInd w:val="0"/>
              <w:spacing w:after="0"/>
              <w:rPr>
                <w:b/>
                <w:bCs/>
                <w:color w:val="auto"/>
                <w:sz w:val="20"/>
              </w:rPr>
            </w:pPr>
            <w:r w:rsidRPr="008C218B">
              <w:rPr>
                <w:b/>
                <w:bCs/>
                <w:color w:val="auto"/>
                <w:sz w:val="20"/>
              </w:rPr>
              <w:t>Appointed</w:t>
            </w:r>
          </w:p>
          <w:p w14:paraId="3FE249EE" w14:textId="77777777" w:rsidR="00550028" w:rsidRPr="008C218B" w:rsidRDefault="00550028" w:rsidP="00550028">
            <w:pPr>
              <w:autoSpaceDE w:val="0"/>
              <w:autoSpaceDN w:val="0"/>
              <w:adjustRightInd w:val="0"/>
              <w:spacing w:after="0"/>
              <w:rPr>
                <w:b/>
                <w:bCs/>
                <w:color w:val="auto"/>
                <w:sz w:val="20"/>
              </w:rPr>
            </w:pPr>
            <w:r w:rsidRPr="008C218B">
              <w:rPr>
                <w:b/>
                <w:bCs/>
                <w:color w:val="auto"/>
                <w:sz w:val="20"/>
              </w:rPr>
              <w:t>through</w:t>
            </w:r>
          </w:p>
        </w:tc>
      </w:tr>
      <w:tr w:rsidR="00550028" w:rsidRPr="007A77BA" w14:paraId="283C9EB5" w14:textId="77777777" w:rsidTr="00550028">
        <w:trPr>
          <w:trHeight w:val="255"/>
        </w:trPr>
        <w:tc>
          <w:tcPr>
            <w:tcW w:w="421" w:type="dxa"/>
            <w:shd w:val="clear" w:color="auto" w:fill="auto"/>
            <w:vAlign w:val="center"/>
          </w:tcPr>
          <w:p w14:paraId="5C655D39"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w:t>
            </w:r>
          </w:p>
        </w:tc>
        <w:tc>
          <w:tcPr>
            <w:tcW w:w="2211" w:type="dxa"/>
            <w:shd w:val="clear" w:color="auto" w:fill="auto"/>
            <w:vAlign w:val="center"/>
          </w:tcPr>
          <w:p w14:paraId="37B6497F" w14:textId="77777777" w:rsidR="00550028" w:rsidRPr="007A77BA" w:rsidRDefault="00550028" w:rsidP="00550028">
            <w:pPr>
              <w:autoSpaceDE w:val="0"/>
              <w:autoSpaceDN w:val="0"/>
              <w:adjustRightInd w:val="0"/>
              <w:spacing w:after="0"/>
              <w:rPr>
                <w:color w:val="auto"/>
                <w:sz w:val="20"/>
              </w:rPr>
            </w:pPr>
            <w:r w:rsidRPr="007A77BA">
              <w:rPr>
                <w:color w:val="auto"/>
                <w:sz w:val="20"/>
              </w:rPr>
              <w:t>Abdelaziz, Omar</w:t>
            </w:r>
          </w:p>
        </w:tc>
        <w:tc>
          <w:tcPr>
            <w:tcW w:w="3061" w:type="dxa"/>
            <w:shd w:val="clear" w:color="auto" w:fill="auto"/>
            <w:vAlign w:val="center"/>
          </w:tcPr>
          <w:p w14:paraId="672E554A" w14:textId="77777777" w:rsidR="00550028" w:rsidRPr="007A77BA" w:rsidRDefault="00550028" w:rsidP="00550028">
            <w:pPr>
              <w:spacing w:after="0"/>
              <w:rPr>
                <w:color w:val="auto"/>
                <w:sz w:val="20"/>
              </w:rPr>
            </w:pPr>
            <w:r>
              <w:rPr>
                <w:color w:val="auto"/>
                <w:sz w:val="20"/>
              </w:rPr>
              <w:t>American University in Cairo</w:t>
            </w:r>
            <w:r w:rsidRPr="007A77BA">
              <w:rPr>
                <w:color w:val="auto"/>
                <w:sz w:val="20"/>
              </w:rPr>
              <w:t>.</w:t>
            </w:r>
          </w:p>
        </w:tc>
        <w:tc>
          <w:tcPr>
            <w:tcW w:w="1247" w:type="dxa"/>
            <w:shd w:val="clear" w:color="auto" w:fill="auto"/>
            <w:vAlign w:val="center"/>
          </w:tcPr>
          <w:p w14:paraId="778AF503" w14:textId="77777777" w:rsidR="00550028" w:rsidRPr="007A77BA" w:rsidRDefault="00550028" w:rsidP="00550028">
            <w:pPr>
              <w:autoSpaceDE w:val="0"/>
              <w:autoSpaceDN w:val="0"/>
              <w:adjustRightInd w:val="0"/>
              <w:spacing w:after="0"/>
              <w:rPr>
                <w:color w:val="auto"/>
                <w:sz w:val="20"/>
              </w:rPr>
            </w:pPr>
            <w:r w:rsidRPr="007A77BA">
              <w:rPr>
                <w:color w:val="auto"/>
                <w:sz w:val="20"/>
              </w:rPr>
              <w:t>Egypt</w:t>
            </w:r>
          </w:p>
        </w:tc>
        <w:tc>
          <w:tcPr>
            <w:tcW w:w="1155" w:type="dxa"/>
            <w:shd w:val="clear" w:color="auto" w:fill="auto"/>
            <w:vAlign w:val="center"/>
          </w:tcPr>
          <w:p w14:paraId="28E65AF8"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2023</w:t>
            </w:r>
          </w:p>
        </w:tc>
      </w:tr>
      <w:tr w:rsidR="00550028" w:rsidRPr="007A77BA" w14:paraId="5B9D4CB4" w14:textId="77777777" w:rsidTr="00550028">
        <w:trPr>
          <w:trHeight w:val="255"/>
        </w:trPr>
        <w:tc>
          <w:tcPr>
            <w:tcW w:w="421" w:type="dxa"/>
            <w:shd w:val="clear" w:color="auto" w:fill="auto"/>
            <w:vAlign w:val="center"/>
          </w:tcPr>
          <w:p w14:paraId="38A14B96"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w:t>
            </w:r>
          </w:p>
        </w:tc>
        <w:tc>
          <w:tcPr>
            <w:tcW w:w="2211" w:type="dxa"/>
            <w:shd w:val="clear" w:color="auto" w:fill="auto"/>
            <w:vAlign w:val="center"/>
          </w:tcPr>
          <w:p w14:paraId="1EDD9E6C"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Peixoto, Roberto de A. </w:t>
            </w:r>
          </w:p>
        </w:tc>
        <w:tc>
          <w:tcPr>
            <w:tcW w:w="3061" w:type="dxa"/>
            <w:shd w:val="clear" w:color="auto" w:fill="auto"/>
            <w:vAlign w:val="center"/>
          </w:tcPr>
          <w:p w14:paraId="37136269" w14:textId="77777777" w:rsidR="00550028" w:rsidRPr="007A77BA" w:rsidRDefault="00550028" w:rsidP="00550028">
            <w:pPr>
              <w:autoSpaceDE w:val="0"/>
              <w:autoSpaceDN w:val="0"/>
              <w:adjustRightInd w:val="0"/>
              <w:spacing w:after="0"/>
              <w:rPr>
                <w:color w:val="auto"/>
                <w:sz w:val="20"/>
                <w:lang w:val="pt-BR"/>
              </w:rPr>
            </w:pPr>
            <w:r w:rsidRPr="007A77BA">
              <w:rPr>
                <w:color w:val="auto"/>
                <w:sz w:val="20"/>
                <w:lang w:val="pt-BR"/>
              </w:rPr>
              <w:t>Maua Institute, IMT, Sao Paulo</w:t>
            </w:r>
          </w:p>
        </w:tc>
        <w:tc>
          <w:tcPr>
            <w:tcW w:w="1247" w:type="dxa"/>
            <w:shd w:val="clear" w:color="auto" w:fill="auto"/>
            <w:vAlign w:val="center"/>
          </w:tcPr>
          <w:p w14:paraId="7DB3336D" w14:textId="77777777" w:rsidR="00550028" w:rsidRPr="007A77BA" w:rsidRDefault="00550028" w:rsidP="00550028">
            <w:pPr>
              <w:autoSpaceDE w:val="0"/>
              <w:autoSpaceDN w:val="0"/>
              <w:adjustRightInd w:val="0"/>
              <w:spacing w:after="0"/>
              <w:rPr>
                <w:color w:val="auto"/>
                <w:sz w:val="20"/>
              </w:rPr>
            </w:pPr>
            <w:r w:rsidRPr="007A77BA">
              <w:rPr>
                <w:color w:val="auto"/>
                <w:sz w:val="20"/>
              </w:rPr>
              <w:t>Brazil</w:t>
            </w:r>
          </w:p>
        </w:tc>
        <w:tc>
          <w:tcPr>
            <w:tcW w:w="1155" w:type="dxa"/>
            <w:shd w:val="clear" w:color="auto" w:fill="auto"/>
            <w:vAlign w:val="center"/>
          </w:tcPr>
          <w:p w14:paraId="5EC8E245" w14:textId="77777777"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w:t>
            </w:r>
            <w:r>
              <w:rPr>
                <w:rStyle w:val="Hyperlink"/>
                <w:color w:val="auto"/>
                <w:sz w:val="20"/>
                <w:u w:val="none"/>
              </w:rPr>
              <w:t>3</w:t>
            </w:r>
          </w:p>
        </w:tc>
      </w:tr>
      <w:tr w:rsidR="00550028" w:rsidRPr="007A77BA" w14:paraId="3F88BC7B" w14:textId="77777777" w:rsidTr="00550028">
        <w:trPr>
          <w:trHeight w:val="255"/>
        </w:trPr>
        <w:tc>
          <w:tcPr>
            <w:tcW w:w="421" w:type="dxa"/>
            <w:shd w:val="clear" w:color="auto" w:fill="auto"/>
            <w:vAlign w:val="center"/>
          </w:tcPr>
          <w:p w14:paraId="3C9474DA"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w:t>
            </w:r>
          </w:p>
        </w:tc>
        <w:tc>
          <w:tcPr>
            <w:tcW w:w="2211" w:type="dxa"/>
            <w:shd w:val="clear" w:color="auto" w:fill="auto"/>
            <w:vAlign w:val="center"/>
          </w:tcPr>
          <w:p w14:paraId="26539268" w14:textId="77777777" w:rsidR="00550028" w:rsidRPr="007A77BA" w:rsidRDefault="00550028" w:rsidP="00550028">
            <w:pPr>
              <w:autoSpaceDE w:val="0"/>
              <w:autoSpaceDN w:val="0"/>
              <w:adjustRightInd w:val="0"/>
              <w:spacing w:after="0"/>
              <w:rPr>
                <w:color w:val="auto"/>
                <w:sz w:val="20"/>
              </w:rPr>
            </w:pPr>
            <w:r w:rsidRPr="007A77BA">
              <w:rPr>
                <w:color w:val="auto"/>
                <w:sz w:val="20"/>
              </w:rPr>
              <w:t>Polonara, Fabio</w:t>
            </w:r>
          </w:p>
        </w:tc>
        <w:tc>
          <w:tcPr>
            <w:tcW w:w="3061" w:type="dxa"/>
            <w:shd w:val="clear" w:color="auto" w:fill="auto"/>
            <w:vAlign w:val="center"/>
          </w:tcPr>
          <w:p w14:paraId="6F2476FF" w14:textId="77777777" w:rsidR="00550028" w:rsidRPr="007A77BA" w:rsidRDefault="00550028" w:rsidP="00550028">
            <w:pPr>
              <w:autoSpaceDE w:val="0"/>
              <w:autoSpaceDN w:val="0"/>
              <w:adjustRightInd w:val="0"/>
              <w:spacing w:after="0"/>
              <w:rPr>
                <w:color w:val="auto"/>
                <w:sz w:val="20"/>
              </w:rPr>
            </w:pPr>
            <w:r w:rsidRPr="007A77BA">
              <w:rPr>
                <w:color w:val="auto"/>
                <w:sz w:val="20"/>
              </w:rPr>
              <w:t>Univ. Politecnica Marche, Ancona</w:t>
            </w:r>
          </w:p>
        </w:tc>
        <w:tc>
          <w:tcPr>
            <w:tcW w:w="1247" w:type="dxa"/>
            <w:shd w:val="clear" w:color="auto" w:fill="auto"/>
            <w:vAlign w:val="center"/>
          </w:tcPr>
          <w:p w14:paraId="64F5FEF5" w14:textId="77777777" w:rsidR="00550028" w:rsidRPr="007A77BA" w:rsidRDefault="00550028" w:rsidP="00550028">
            <w:pPr>
              <w:autoSpaceDE w:val="0"/>
              <w:autoSpaceDN w:val="0"/>
              <w:adjustRightInd w:val="0"/>
              <w:spacing w:after="0"/>
              <w:rPr>
                <w:color w:val="auto"/>
                <w:sz w:val="20"/>
              </w:rPr>
            </w:pPr>
            <w:r w:rsidRPr="007A77BA">
              <w:rPr>
                <w:color w:val="auto"/>
                <w:sz w:val="20"/>
              </w:rPr>
              <w:t>Italy</w:t>
            </w:r>
          </w:p>
        </w:tc>
        <w:tc>
          <w:tcPr>
            <w:tcW w:w="1155" w:type="dxa"/>
            <w:shd w:val="clear" w:color="auto" w:fill="auto"/>
            <w:vAlign w:val="center"/>
          </w:tcPr>
          <w:p w14:paraId="4C42F39D" w14:textId="77777777"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p>
        </w:tc>
      </w:tr>
      <w:tr w:rsidR="00550028" w:rsidRPr="008C218B" w14:paraId="2DCAD4A3" w14:textId="77777777" w:rsidTr="00550028">
        <w:trPr>
          <w:trHeight w:val="255"/>
        </w:trPr>
        <w:tc>
          <w:tcPr>
            <w:tcW w:w="421" w:type="dxa"/>
            <w:shd w:val="clear" w:color="auto" w:fill="BDD6EE" w:themeFill="accent1" w:themeFillTint="66"/>
            <w:vAlign w:val="center"/>
          </w:tcPr>
          <w:p w14:paraId="7BB38A7B" w14:textId="77777777" w:rsidR="00550028" w:rsidRPr="008C218B" w:rsidRDefault="00550028" w:rsidP="00550028">
            <w:pPr>
              <w:autoSpaceDE w:val="0"/>
              <w:autoSpaceDN w:val="0"/>
              <w:adjustRightInd w:val="0"/>
              <w:spacing w:after="0"/>
              <w:jc w:val="center"/>
              <w:rPr>
                <w:b/>
                <w:bCs/>
                <w:color w:val="auto"/>
                <w:sz w:val="20"/>
              </w:rPr>
            </w:pPr>
          </w:p>
        </w:tc>
        <w:tc>
          <w:tcPr>
            <w:tcW w:w="2211" w:type="dxa"/>
            <w:shd w:val="clear" w:color="auto" w:fill="BDD6EE" w:themeFill="accent1" w:themeFillTint="66"/>
            <w:vAlign w:val="center"/>
          </w:tcPr>
          <w:p w14:paraId="31D47BAF" w14:textId="77777777" w:rsidR="00550028" w:rsidRPr="008C218B" w:rsidRDefault="00550028" w:rsidP="00550028">
            <w:pPr>
              <w:autoSpaceDE w:val="0"/>
              <w:autoSpaceDN w:val="0"/>
              <w:adjustRightInd w:val="0"/>
              <w:spacing w:after="0"/>
              <w:rPr>
                <w:b/>
                <w:bCs/>
                <w:color w:val="auto"/>
                <w:sz w:val="20"/>
              </w:rPr>
            </w:pPr>
            <w:r w:rsidRPr="008C218B">
              <w:rPr>
                <w:b/>
                <w:bCs/>
                <w:color w:val="auto"/>
                <w:sz w:val="20"/>
              </w:rPr>
              <w:t>Members</w:t>
            </w:r>
          </w:p>
        </w:tc>
        <w:tc>
          <w:tcPr>
            <w:tcW w:w="3061" w:type="dxa"/>
            <w:shd w:val="clear" w:color="auto" w:fill="BDD6EE" w:themeFill="accent1" w:themeFillTint="66"/>
            <w:vAlign w:val="center"/>
          </w:tcPr>
          <w:p w14:paraId="3F99AABC" w14:textId="77777777" w:rsidR="00550028" w:rsidRPr="008C218B" w:rsidRDefault="00550028" w:rsidP="00550028">
            <w:pPr>
              <w:spacing w:after="0"/>
              <w:rPr>
                <w:b/>
                <w:bCs/>
                <w:color w:val="auto"/>
                <w:sz w:val="20"/>
              </w:rPr>
            </w:pPr>
            <w:r w:rsidRPr="008C218B">
              <w:rPr>
                <w:b/>
                <w:bCs/>
                <w:color w:val="auto"/>
                <w:sz w:val="20"/>
              </w:rPr>
              <w:t>Affiliation</w:t>
            </w:r>
          </w:p>
        </w:tc>
        <w:tc>
          <w:tcPr>
            <w:tcW w:w="1247" w:type="dxa"/>
            <w:shd w:val="clear" w:color="auto" w:fill="BDD6EE" w:themeFill="accent1" w:themeFillTint="66"/>
            <w:vAlign w:val="center"/>
          </w:tcPr>
          <w:p w14:paraId="0537D70D" w14:textId="77777777" w:rsidR="00550028" w:rsidRPr="008C218B" w:rsidRDefault="00550028" w:rsidP="00550028">
            <w:pPr>
              <w:autoSpaceDE w:val="0"/>
              <w:autoSpaceDN w:val="0"/>
              <w:adjustRightInd w:val="0"/>
              <w:spacing w:after="0"/>
              <w:rPr>
                <w:b/>
                <w:bCs/>
                <w:color w:val="auto"/>
                <w:sz w:val="20"/>
              </w:rPr>
            </w:pPr>
            <w:r w:rsidRPr="008C218B">
              <w:rPr>
                <w:b/>
                <w:bCs/>
                <w:color w:val="auto"/>
                <w:sz w:val="20"/>
              </w:rPr>
              <w:t>Party</w:t>
            </w:r>
          </w:p>
        </w:tc>
        <w:tc>
          <w:tcPr>
            <w:tcW w:w="1155" w:type="dxa"/>
            <w:shd w:val="clear" w:color="auto" w:fill="BDD6EE" w:themeFill="accent1" w:themeFillTint="66"/>
            <w:vAlign w:val="center"/>
          </w:tcPr>
          <w:p w14:paraId="4A41BEA7" w14:textId="77777777" w:rsidR="00550028" w:rsidRPr="008C218B" w:rsidRDefault="00550028" w:rsidP="00550028">
            <w:pPr>
              <w:autoSpaceDE w:val="0"/>
              <w:autoSpaceDN w:val="0"/>
              <w:adjustRightInd w:val="0"/>
              <w:spacing w:after="0"/>
              <w:rPr>
                <w:b/>
                <w:bCs/>
                <w:color w:val="auto"/>
                <w:sz w:val="20"/>
              </w:rPr>
            </w:pPr>
            <w:r w:rsidRPr="008C218B">
              <w:rPr>
                <w:b/>
                <w:bCs/>
                <w:color w:val="auto"/>
                <w:sz w:val="20"/>
              </w:rPr>
              <w:t>Appointed</w:t>
            </w:r>
          </w:p>
          <w:p w14:paraId="573BD798" w14:textId="77777777" w:rsidR="00550028" w:rsidRPr="008C218B" w:rsidRDefault="00550028" w:rsidP="00550028">
            <w:pPr>
              <w:autoSpaceDE w:val="0"/>
              <w:autoSpaceDN w:val="0"/>
              <w:adjustRightInd w:val="0"/>
              <w:spacing w:after="0"/>
              <w:rPr>
                <w:b/>
                <w:bCs/>
                <w:color w:val="auto"/>
                <w:sz w:val="20"/>
              </w:rPr>
            </w:pPr>
            <w:r w:rsidRPr="008C218B">
              <w:rPr>
                <w:b/>
                <w:bCs/>
                <w:color w:val="auto"/>
                <w:sz w:val="20"/>
              </w:rPr>
              <w:t>through</w:t>
            </w:r>
          </w:p>
        </w:tc>
      </w:tr>
      <w:tr w:rsidR="00550028" w:rsidRPr="007A77BA" w14:paraId="37CCC860" w14:textId="77777777" w:rsidTr="00550028">
        <w:trPr>
          <w:trHeight w:val="255"/>
        </w:trPr>
        <w:tc>
          <w:tcPr>
            <w:tcW w:w="421" w:type="dxa"/>
            <w:shd w:val="clear" w:color="auto" w:fill="auto"/>
            <w:vAlign w:val="center"/>
          </w:tcPr>
          <w:p w14:paraId="594C32B3"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4</w:t>
            </w:r>
          </w:p>
        </w:tc>
        <w:tc>
          <w:tcPr>
            <w:tcW w:w="2211" w:type="dxa"/>
            <w:shd w:val="clear" w:color="auto" w:fill="auto"/>
            <w:vAlign w:val="center"/>
          </w:tcPr>
          <w:p w14:paraId="5B41F3CA" w14:textId="77777777" w:rsidR="00550028" w:rsidRPr="007A77BA" w:rsidRDefault="00550028" w:rsidP="00550028">
            <w:pPr>
              <w:autoSpaceDE w:val="0"/>
              <w:autoSpaceDN w:val="0"/>
              <w:adjustRightInd w:val="0"/>
              <w:spacing w:after="0"/>
              <w:rPr>
                <w:color w:val="auto"/>
                <w:sz w:val="20"/>
              </w:rPr>
            </w:pPr>
            <w:r w:rsidRPr="007A77BA">
              <w:rPr>
                <w:color w:val="auto"/>
                <w:sz w:val="20"/>
              </w:rPr>
              <w:t>Maria C. Britto Bacellar</w:t>
            </w:r>
          </w:p>
        </w:tc>
        <w:tc>
          <w:tcPr>
            <w:tcW w:w="3061" w:type="dxa"/>
            <w:shd w:val="clear" w:color="auto" w:fill="auto"/>
            <w:vAlign w:val="center"/>
          </w:tcPr>
          <w:p w14:paraId="0C326267" w14:textId="77777777" w:rsidR="00550028" w:rsidRPr="007A77BA" w:rsidRDefault="00550028" w:rsidP="00550028">
            <w:pPr>
              <w:autoSpaceDE w:val="0"/>
              <w:autoSpaceDN w:val="0"/>
              <w:adjustRightInd w:val="0"/>
              <w:spacing w:after="0"/>
              <w:rPr>
                <w:rStyle w:val="Hyperlink"/>
                <w:color w:val="auto"/>
                <w:sz w:val="20"/>
              </w:rPr>
            </w:pPr>
            <w:r w:rsidRPr="007A77BA">
              <w:rPr>
                <w:rStyle w:val="Hyperlink"/>
                <w:color w:val="auto"/>
                <w:sz w:val="20"/>
              </w:rPr>
              <w:t>Johnson Controls, JCI</w:t>
            </w:r>
          </w:p>
        </w:tc>
        <w:tc>
          <w:tcPr>
            <w:tcW w:w="1247" w:type="dxa"/>
            <w:shd w:val="clear" w:color="auto" w:fill="auto"/>
            <w:vAlign w:val="center"/>
          </w:tcPr>
          <w:p w14:paraId="03F5D0FA" w14:textId="77777777" w:rsidR="00550028" w:rsidRPr="007A77BA" w:rsidRDefault="00550028" w:rsidP="00550028">
            <w:pPr>
              <w:autoSpaceDE w:val="0"/>
              <w:autoSpaceDN w:val="0"/>
              <w:adjustRightInd w:val="0"/>
              <w:spacing w:after="0"/>
              <w:rPr>
                <w:color w:val="auto"/>
                <w:sz w:val="20"/>
              </w:rPr>
            </w:pPr>
            <w:r w:rsidRPr="007A77BA">
              <w:rPr>
                <w:color w:val="auto"/>
                <w:sz w:val="20"/>
              </w:rPr>
              <w:t>Brazil</w:t>
            </w:r>
          </w:p>
        </w:tc>
        <w:tc>
          <w:tcPr>
            <w:tcW w:w="1155" w:type="dxa"/>
            <w:shd w:val="clear" w:color="auto" w:fill="auto"/>
            <w:vAlign w:val="center"/>
          </w:tcPr>
          <w:p w14:paraId="085ECC35" w14:textId="56DF7E4E"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2021</w:t>
            </w:r>
            <w:r w:rsidR="000E7C16">
              <w:rPr>
                <w:rStyle w:val="Hyperlink"/>
                <w:color w:val="auto"/>
                <w:sz w:val="20"/>
                <w:u w:val="none"/>
              </w:rPr>
              <w:t>*</w:t>
            </w:r>
          </w:p>
        </w:tc>
      </w:tr>
      <w:tr w:rsidR="00550028" w:rsidRPr="007A77BA" w14:paraId="2AD55A43" w14:textId="77777777" w:rsidTr="00550028">
        <w:trPr>
          <w:trHeight w:val="255"/>
        </w:trPr>
        <w:tc>
          <w:tcPr>
            <w:tcW w:w="421" w:type="dxa"/>
            <w:shd w:val="clear" w:color="auto" w:fill="auto"/>
            <w:vAlign w:val="center"/>
          </w:tcPr>
          <w:p w14:paraId="462FCA6A"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5</w:t>
            </w:r>
          </w:p>
        </w:tc>
        <w:tc>
          <w:tcPr>
            <w:tcW w:w="2211" w:type="dxa"/>
            <w:shd w:val="clear" w:color="auto" w:fill="auto"/>
            <w:vAlign w:val="center"/>
          </w:tcPr>
          <w:p w14:paraId="32751F8C" w14:textId="77777777" w:rsidR="00550028" w:rsidRPr="007A77BA" w:rsidRDefault="00550028" w:rsidP="00550028">
            <w:pPr>
              <w:autoSpaceDE w:val="0"/>
              <w:autoSpaceDN w:val="0"/>
              <w:adjustRightInd w:val="0"/>
              <w:spacing w:after="0"/>
              <w:rPr>
                <w:color w:val="auto"/>
                <w:sz w:val="20"/>
              </w:rPr>
            </w:pPr>
            <w:r w:rsidRPr="007A77BA">
              <w:rPr>
                <w:color w:val="auto"/>
                <w:sz w:val="20"/>
              </w:rPr>
              <w:t>Bhambure, Jitendra</w:t>
            </w:r>
          </w:p>
        </w:tc>
        <w:tc>
          <w:tcPr>
            <w:tcW w:w="3061" w:type="dxa"/>
            <w:shd w:val="clear" w:color="auto" w:fill="auto"/>
            <w:vAlign w:val="center"/>
          </w:tcPr>
          <w:p w14:paraId="52480BEF" w14:textId="77777777" w:rsidR="00550028" w:rsidRPr="007A77BA" w:rsidRDefault="00550028" w:rsidP="00550028">
            <w:pPr>
              <w:autoSpaceDE w:val="0"/>
              <w:autoSpaceDN w:val="0"/>
              <w:adjustRightInd w:val="0"/>
              <w:spacing w:after="0"/>
              <w:rPr>
                <w:color w:val="auto"/>
                <w:sz w:val="20"/>
              </w:rPr>
            </w:pPr>
            <w:r w:rsidRPr="007A77BA">
              <w:rPr>
                <w:color w:val="auto"/>
                <w:sz w:val="20"/>
              </w:rPr>
              <w:t>Independent expert</w:t>
            </w:r>
          </w:p>
        </w:tc>
        <w:tc>
          <w:tcPr>
            <w:tcW w:w="1247" w:type="dxa"/>
            <w:shd w:val="clear" w:color="auto" w:fill="auto"/>
            <w:vAlign w:val="center"/>
          </w:tcPr>
          <w:p w14:paraId="30FEB401" w14:textId="77777777" w:rsidR="00550028" w:rsidRPr="007A77BA" w:rsidRDefault="00550028" w:rsidP="00550028">
            <w:pPr>
              <w:autoSpaceDE w:val="0"/>
              <w:autoSpaceDN w:val="0"/>
              <w:adjustRightInd w:val="0"/>
              <w:spacing w:after="0"/>
              <w:rPr>
                <w:color w:val="auto"/>
                <w:sz w:val="20"/>
              </w:rPr>
            </w:pPr>
            <w:r w:rsidRPr="007A77BA">
              <w:rPr>
                <w:color w:val="auto"/>
                <w:sz w:val="20"/>
              </w:rPr>
              <w:t>India</w:t>
            </w:r>
          </w:p>
        </w:tc>
        <w:tc>
          <w:tcPr>
            <w:tcW w:w="1155" w:type="dxa"/>
            <w:shd w:val="clear" w:color="auto" w:fill="auto"/>
            <w:vAlign w:val="center"/>
          </w:tcPr>
          <w:p w14:paraId="364C5E95" w14:textId="7898CB69"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5188C870" w14:textId="77777777" w:rsidTr="00550028">
        <w:trPr>
          <w:trHeight w:val="255"/>
        </w:trPr>
        <w:tc>
          <w:tcPr>
            <w:tcW w:w="421" w:type="dxa"/>
            <w:shd w:val="clear" w:color="auto" w:fill="auto"/>
            <w:vAlign w:val="center"/>
          </w:tcPr>
          <w:p w14:paraId="55F497E7"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6</w:t>
            </w:r>
          </w:p>
        </w:tc>
        <w:tc>
          <w:tcPr>
            <w:tcW w:w="2211" w:type="dxa"/>
            <w:shd w:val="clear" w:color="auto" w:fill="auto"/>
            <w:vAlign w:val="center"/>
          </w:tcPr>
          <w:p w14:paraId="23745169"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Calm, James M. </w:t>
            </w:r>
          </w:p>
        </w:tc>
        <w:tc>
          <w:tcPr>
            <w:tcW w:w="3061" w:type="dxa"/>
            <w:shd w:val="clear" w:color="auto" w:fill="auto"/>
            <w:vAlign w:val="center"/>
          </w:tcPr>
          <w:p w14:paraId="4063F07A" w14:textId="77777777" w:rsidR="00550028" w:rsidRPr="007A77BA" w:rsidRDefault="00550028" w:rsidP="00550028">
            <w:pPr>
              <w:autoSpaceDE w:val="0"/>
              <w:autoSpaceDN w:val="0"/>
              <w:adjustRightInd w:val="0"/>
              <w:spacing w:after="0"/>
              <w:rPr>
                <w:color w:val="auto"/>
                <w:sz w:val="20"/>
              </w:rPr>
            </w:pPr>
            <w:r w:rsidRPr="007A77BA">
              <w:rPr>
                <w:color w:val="auto"/>
                <w:sz w:val="20"/>
              </w:rPr>
              <w:t>Engineering Consultant</w:t>
            </w:r>
          </w:p>
        </w:tc>
        <w:tc>
          <w:tcPr>
            <w:tcW w:w="1247" w:type="dxa"/>
            <w:shd w:val="clear" w:color="auto" w:fill="auto"/>
            <w:vAlign w:val="center"/>
          </w:tcPr>
          <w:p w14:paraId="550D4F29" w14:textId="77777777" w:rsidR="00550028" w:rsidRPr="007A77BA" w:rsidRDefault="00550028" w:rsidP="00550028">
            <w:pPr>
              <w:autoSpaceDE w:val="0"/>
              <w:autoSpaceDN w:val="0"/>
              <w:adjustRightInd w:val="0"/>
              <w:spacing w:after="0"/>
              <w:rPr>
                <w:color w:val="auto"/>
                <w:sz w:val="20"/>
              </w:rPr>
            </w:pPr>
            <w:r w:rsidRPr="007A77BA">
              <w:rPr>
                <w:color w:val="auto"/>
                <w:sz w:val="20"/>
              </w:rPr>
              <w:t>USA</w:t>
            </w:r>
          </w:p>
        </w:tc>
        <w:tc>
          <w:tcPr>
            <w:tcW w:w="1155" w:type="dxa"/>
            <w:shd w:val="clear" w:color="auto" w:fill="auto"/>
            <w:vAlign w:val="center"/>
          </w:tcPr>
          <w:p w14:paraId="7AA2C5BC" w14:textId="18C062D9"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29E16348" w14:textId="77777777" w:rsidTr="00550028">
        <w:trPr>
          <w:trHeight w:val="255"/>
        </w:trPr>
        <w:tc>
          <w:tcPr>
            <w:tcW w:w="421" w:type="dxa"/>
            <w:shd w:val="clear" w:color="auto" w:fill="auto"/>
            <w:vAlign w:val="center"/>
          </w:tcPr>
          <w:p w14:paraId="077E565E"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7</w:t>
            </w:r>
          </w:p>
        </w:tc>
        <w:tc>
          <w:tcPr>
            <w:tcW w:w="2211" w:type="dxa"/>
            <w:shd w:val="clear" w:color="auto" w:fill="auto"/>
            <w:vAlign w:val="center"/>
          </w:tcPr>
          <w:p w14:paraId="14C41A49"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Cermák, Radim </w:t>
            </w:r>
          </w:p>
        </w:tc>
        <w:tc>
          <w:tcPr>
            <w:tcW w:w="3061" w:type="dxa"/>
            <w:shd w:val="clear" w:color="auto" w:fill="auto"/>
            <w:vAlign w:val="center"/>
          </w:tcPr>
          <w:p w14:paraId="42311698" w14:textId="77777777" w:rsidR="00550028" w:rsidRPr="007A77BA" w:rsidRDefault="00550028" w:rsidP="00550028">
            <w:pPr>
              <w:autoSpaceDE w:val="0"/>
              <w:autoSpaceDN w:val="0"/>
              <w:adjustRightInd w:val="0"/>
              <w:spacing w:after="0"/>
              <w:rPr>
                <w:color w:val="auto"/>
                <w:sz w:val="20"/>
              </w:rPr>
            </w:pPr>
            <w:r w:rsidRPr="007A77BA">
              <w:rPr>
                <w:color w:val="auto"/>
                <w:sz w:val="20"/>
              </w:rPr>
              <w:t>Ingersoll Rand</w:t>
            </w:r>
          </w:p>
        </w:tc>
        <w:tc>
          <w:tcPr>
            <w:tcW w:w="1247" w:type="dxa"/>
            <w:shd w:val="clear" w:color="auto" w:fill="auto"/>
            <w:vAlign w:val="center"/>
          </w:tcPr>
          <w:p w14:paraId="703CA845" w14:textId="77777777" w:rsidR="00550028" w:rsidRPr="007A77BA" w:rsidRDefault="00550028" w:rsidP="00550028">
            <w:pPr>
              <w:autoSpaceDE w:val="0"/>
              <w:autoSpaceDN w:val="0"/>
              <w:adjustRightInd w:val="0"/>
              <w:spacing w:after="0"/>
              <w:rPr>
                <w:color w:val="auto"/>
                <w:sz w:val="20"/>
              </w:rPr>
            </w:pPr>
            <w:r w:rsidRPr="007A77BA">
              <w:rPr>
                <w:color w:val="auto"/>
                <w:sz w:val="20"/>
              </w:rPr>
              <w:t>Czech Rep.</w:t>
            </w:r>
          </w:p>
        </w:tc>
        <w:tc>
          <w:tcPr>
            <w:tcW w:w="1155" w:type="dxa"/>
            <w:shd w:val="clear" w:color="auto" w:fill="auto"/>
            <w:vAlign w:val="center"/>
          </w:tcPr>
          <w:p w14:paraId="62106436" w14:textId="279CE14C"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774DB525" w14:textId="77777777" w:rsidTr="00550028">
        <w:trPr>
          <w:trHeight w:val="255"/>
        </w:trPr>
        <w:tc>
          <w:tcPr>
            <w:tcW w:w="421" w:type="dxa"/>
            <w:shd w:val="clear" w:color="auto" w:fill="auto"/>
            <w:vAlign w:val="center"/>
          </w:tcPr>
          <w:p w14:paraId="46AA77B4"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8</w:t>
            </w:r>
          </w:p>
        </w:tc>
        <w:tc>
          <w:tcPr>
            <w:tcW w:w="2211" w:type="dxa"/>
            <w:shd w:val="clear" w:color="auto" w:fill="auto"/>
            <w:vAlign w:val="center"/>
          </w:tcPr>
          <w:p w14:paraId="14BF1739"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Chen, Guangming </w:t>
            </w:r>
          </w:p>
        </w:tc>
        <w:tc>
          <w:tcPr>
            <w:tcW w:w="3061" w:type="dxa"/>
            <w:shd w:val="clear" w:color="auto" w:fill="auto"/>
            <w:vAlign w:val="center"/>
          </w:tcPr>
          <w:p w14:paraId="01EAAF97" w14:textId="77777777" w:rsidR="00550028" w:rsidRPr="007A77BA" w:rsidRDefault="00550028" w:rsidP="00550028">
            <w:pPr>
              <w:autoSpaceDE w:val="0"/>
              <w:autoSpaceDN w:val="0"/>
              <w:adjustRightInd w:val="0"/>
              <w:spacing w:after="0"/>
              <w:rPr>
                <w:color w:val="auto"/>
                <w:sz w:val="20"/>
              </w:rPr>
            </w:pPr>
            <w:r w:rsidRPr="007A77BA">
              <w:rPr>
                <w:color w:val="auto"/>
                <w:spacing w:val="-2"/>
                <w:sz w:val="20"/>
              </w:rPr>
              <w:t>Zhejiang University, Hangzhou</w:t>
            </w:r>
          </w:p>
        </w:tc>
        <w:tc>
          <w:tcPr>
            <w:tcW w:w="1247" w:type="dxa"/>
            <w:shd w:val="clear" w:color="auto" w:fill="auto"/>
            <w:vAlign w:val="center"/>
          </w:tcPr>
          <w:p w14:paraId="235EEB14" w14:textId="77777777" w:rsidR="00550028" w:rsidRPr="007A77BA" w:rsidRDefault="00550028" w:rsidP="00550028">
            <w:pPr>
              <w:autoSpaceDE w:val="0"/>
              <w:autoSpaceDN w:val="0"/>
              <w:adjustRightInd w:val="0"/>
              <w:spacing w:after="0"/>
              <w:rPr>
                <w:color w:val="auto"/>
                <w:spacing w:val="-2"/>
                <w:sz w:val="20"/>
              </w:rPr>
            </w:pPr>
            <w:r w:rsidRPr="007A77BA">
              <w:rPr>
                <w:color w:val="auto"/>
                <w:spacing w:val="-2"/>
                <w:sz w:val="20"/>
              </w:rPr>
              <w:t>PR China</w:t>
            </w:r>
          </w:p>
        </w:tc>
        <w:tc>
          <w:tcPr>
            <w:tcW w:w="1155" w:type="dxa"/>
            <w:shd w:val="clear" w:color="auto" w:fill="auto"/>
            <w:vAlign w:val="center"/>
          </w:tcPr>
          <w:p w14:paraId="0B6D3317" w14:textId="487BD881"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5D6B71C3" w14:textId="77777777" w:rsidTr="00550028">
        <w:trPr>
          <w:trHeight w:val="255"/>
        </w:trPr>
        <w:tc>
          <w:tcPr>
            <w:tcW w:w="421" w:type="dxa"/>
            <w:shd w:val="clear" w:color="auto" w:fill="auto"/>
            <w:vAlign w:val="center"/>
          </w:tcPr>
          <w:p w14:paraId="7B2B4AB1"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9</w:t>
            </w:r>
          </w:p>
        </w:tc>
        <w:tc>
          <w:tcPr>
            <w:tcW w:w="2211" w:type="dxa"/>
            <w:shd w:val="clear" w:color="auto" w:fill="auto"/>
            <w:vAlign w:val="center"/>
          </w:tcPr>
          <w:p w14:paraId="46DD6B0D"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Colbourne, Daniel </w:t>
            </w:r>
          </w:p>
        </w:tc>
        <w:tc>
          <w:tcPr>
            <w:tcW w:w="3061" w:type="dxa"/>
            <w:shd w:val="clear" w:color="auto" w:fill="auto"/>
            <w:vAlign w:val="center"/>
          </w:tcPr>
          <w:p w14:paraId="3760AA37" w14:textId="77777777" w:rsidR="00550028" w:rsidRPr="007A77BA" w:rsidRDefault="00550028" w:rsidP="00550028">
            <w:pPr>
              <w:autoSpaceDE w:val="0"/>
              <w:autoSpaceDN w:val="0"/>
              <w:adjustRightInd w:val="0"/>
              <w:spacing w:after="0"/>
              <w:rPr>
                <w:color w:val="auto"/>
                <w:sz w:val="20"/>
              </w:rPr>
            </w:pPr>
            <w:r w:rsidRPr="007A77BA">
              <w:rPr>
                <w:color w:val="auto"/>
                <w:sz w:val="20"/>
              </w:rPr>
              <w:t>Re-phridge Consultancy</w:t>
            </w:r>
          </w:p>
        </w:tc>
        <w:tc>
          <w:tcPr>
            <w:tcW w:w="1247" w:type="dxa"/>
            <w:shd w:val="clear" w:color="auto" w:fill="auto"/>
            <w:vAlign w:val="center"/>
          </w:tcPr>
          <w:p w14:paraId="126EC751" w14:textId="77777777" w:rsidR="00550028" w:rsidRPr="007A77BA" w:rsidRDefault="00550028" w:rsidP="00550028">
            <w:pPr>
              <w:autoSpaceDE w:val="0"/>
              <w:autoSpaceDN w:val="0"/>
              <w:adjustRightInd w:val="0"/>
              <w:spacing w:after="0"/>
              <w:rPr>
                <w:color w:val="auto"/>
                <w:sz w:val="20"/>
              </w:rPr>
            </w:pPr>
            <w:r w:rsidRPr="007A77BA">
              <w:rPr>
                <w:color w:val="auto"/>
                <w:sz w:val="20"/>
              </w:rPr>
              <w:t>UK</w:t>
            </w:r>
          </w:p>
        </w:tc>
        <w:tc>
          <w:tcPr>
            <w:tcW w:w="1155" w:type="dxa"/>
            <w:shd w:val="clear" w:color="auto" w:fill="auto"/>
            <w:vAlign w:val="center"/>
          </w:tcPr>
          <w:p w14:paraId="3EE11EE8" w14:textId="522DBA08"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33EB396F" w14:textId="77777777" w:rsidTr="00550028">
        <w:trPr>
          <w:trHeight w:val="255"/>
        </w:trPr>
        <w:tc>
          <w:tcPr>
            <w:tcW w:w="421" w:type="dxa"/>
            <w:shd w:val="clear" w:color="auto" w:fill="auto"/>
            <w:vAlign w:val="center"/>
          </w:tcPr>
          <w:p w14:paraId="7DF82A9D"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10</w:t>
            </w:r>
          </w:p>
        </w:tc>
        <w:tc>
          <w:tcPr>
            <w:tcW w:w="2211" w:type="dxa"/>
            <w:shd w:val="clear" w:color="auto" w:fill="auto"/>
            <w:vAlign w:val="center"/>
          </w:tcPr>
          <w:p w14:paraId="3487D501"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De Vos, Richard </w:t>
            </w:r>
          </w:p>
        </w:tc>
        <w:tc>
          <w:tcPr>
            <w:tcW w:w="3061" w:type="dxa"/>
            <w:shd w:val="clear" w:color="auto" w:fill="auto"/>
            <w:vAlign w:val="center"/>
          </w:tcPr>
          <w:p w14:paraId="5A034687" w14:textId="77777777" w:rsidR="00550028" w:rsidRPr="007A77BA" w:rsidRDefault="00550028" w:rsidP="00550028">
            <w:pPr>
              <w:spacing w:after="0"/>
              <w:rPr>
                <w:color w:val="auto"/>
                <w:sz w:val="20"/>
              </w:rPr>
            </w:pPr>
            <w:r w:rsidRPr="007A77BA">
              <w:rPr>
                <w:color w:val="auto"/>
                <w:sz w:val="20"/>
              </w:rPr>
              <w:t>GE Appliances</w:t>
            </w:r>
          </w:p>
        </w:tc>
        <w:tc>
          <w:tcPr>
            <w:tcW w:w="1247" w:type="dxa"/>
            <w:shd w:val="clear" w:color="auto" w:fill="auto"/>
            <w:vAlign w:val="center"/>
          </w:tcPr>
          <w:p w14:paraId="4AB5879A" w14:textId="77777777" w:rsidR="00550028" w:rsidRPr="007A77BA" w:rsidRDefault="00550028" w:rsidP="00550028">
            <w:pPr>
              <w:autoSpaceDE w:val="0"/>
              <w:autoSpaceDN w:val="0"/>
              <w:adjustRightInd w:val="0"/>
              <w:spacing w:after="0"/>
              <w:rPr>
                <w:color w:val="auto"/>
                <w:sz w:val="20"/>
              </w:rPr>
            </w:pPr>
            <w:r w:rsidRPr="007A77BA">
              <w:rPr>
                <w:color w:val="auto"/>
                <w:sz w:val="20"/>
              </w:rPr>
              <w:t>USA</w:t>
            </w:r>
          </w:p>
        </w:tc>
        <w:tc>
          <w:tcPr>
            <w:tcW w:w="1155" w:type="dxa"/>
            <w:shd w:val="clear" w:color="auto" w:fill="auto"/>
            <w:vAlign w:val="center"/>
          </w:tcPr>
          <w:p w14:paraId="312001A1" w14:textId="3F46B7B2"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6E0F51D1" w14:textId="77777777" w:rsidTr="00550028">
        <w:trPr>
          <w:trHeight w:val="255"/>
        </w:trPr>
        <w:tc>
          <w:tcPr>
            <w:tcW w:w="421" w:type="dxa"/>
            <w:shd w:val="clear" w:color="auto" w:fill="auto"/>
            <w:vAlign w:val="center"/>
          </w:tcPr>
          <w:p w14:paraId="620716C9"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11</w:t>
            </w:r>
          </w:p>
        </w:tc>
        <w:tc>
          <w:tcPr>
            <w:tcW w:w="2211" w:type="dxa"/>
            <w:shd w:val="clear" w:color="auto" w:fill="auto"/>
            <w:vAlign w:val="center"/>
          </w:tcPr>
          <w:p w14:paraId="45021774"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Devotta, Sukumar </w:t>
            </w:r>
          </w:p>
        </w:tc>
        <w:tc>
          <w:tcPr>
            <w:tcW w:w="3061" w:type="dxa"/>
            <w:shd w:val="clear" w:color="auto" w:fill="auto"/>
            <w:vAlign w:val="center"/>
          </w:tcPr>
          <w:p w14:paraId="7C4A8F55" w14:textId="77777777" w:rsidR="00550028" w:rsidRPr="007A77BA" w:rsidRDefault="00550028" w:rsidP="00550028">
            <w:pPr>
              <w:autoSpaceDE w:val="0"/>
              <w:autoSpaceDN w:val="0"/>
              <w:adjustRightInd w:val="0"/>
              <w:spacing w:after="0"/>
              <w:rPr>
                <w:color w:val="auto"/>
                <w:sz w:val="20"/>
              </w:rPr>
            </w:pPr>
            <w:r w:rsidRPr="007A77BA">
              <w:rPr>
                <w:color w:val="auto"/>
                <w:sz w:val="20"/>
              </w:rPr>
              <w:t>Independent Consultant</w:t>
            </w:r>
          </w:p>
        </w:tc>
        <w:tc>
          <w:tcPr>
            <w:tcW w:w="1247" w:type="dxa"/>
            <w:shd w:val="clear" w:color="auto" w:fill="auto"/>
            <w:vAlign w:val="center"/>
          </w:tcPr>
          <w:p w14:paraId="5369BA0C" w14:textId="77777777" w:rsidR="00550028" w:rsidRPr="007A77BA" w:rsidRDefault="00550028" w:rsidP="00550028">
            <w:pPr>
              <w:autoSpaceDE w:val="0"/>
              <w:autoSpaceDN w:val="0"/>
              <w:adjustRightInd w:val="0"/>
              <w:spacing w:after="0"/>
              <w:rPr>
                <w:color w:val="auto"/>
                <w:sz w:val="20"/>
              </w:rPr>
            </w:pPr>
            <w:r w:rsidRPr="007A77BA">
              <w:rPr>
                <w:color w:val="auto"/>
                <w:sz w:val="20"/>
              </w:rPr>
              <w:t>India</w:t>
            </w:r>
          </w:p>
        </w:tc>
        <w:tc>
          <w:tcPr>
            <w:tcW w:w="1155" w:type="dxa"/>
            <w:shd w:val="clear" w:color="auto" w:fill="auto"/>
            <w:vAlign w:val="center"/>
          </w:tcPr>
          <w:p w14:paraId="1A13361A" w14:textId="17020BFF" w:rsidR="00550028" w:rsidRPr="007A77BA" w:rsidRDefault="00550028" w:rsidP="00550028">
            <w:pPr>
              <w:autoSpaceDE w:val="0"/>
              <w:autoSpaceDN w:val="0"/>
              <w:adjustRightInd w:val="0"/>
              <w:spacing w:after="0"/>
              <w:jc w:val="center"/>
              <w:rPr>
                <w:color w:val="auto"/>
                <w:sz w:val="20"/>
              </w:rPr>
            </w:pPr>
            <w:r w:rsidRPr="007A77BA">
              <w:rPr>
                <w:color w:val="auto"/>
                <w:sz w:val="20"/>
              </w:rPr>
              <w:t>2022</w:t>
            </w:r>
            <w:r w:rsidR="006E4DC0">
              <w:rPr>
                <w:color w:val="auto"/>
                <w:sz w:val="20"/>
              </w:rPr>
              <w:t>*</w:t>
            </w:r>
          </w:p>
        </w:tc>
      </w:tr>
      <w:tr w:rsidR="00550028" w:rsidRPr="007A77BA" w14:paraId="0145741E" w14:textId="77777777" w:rsidTr="00550028">
        <w:trPr>
          <w:trHeight w:val="255"/>
        </w:trPr>
        <w:tc>
          <w:tcPr>
            <w:tcW w:w="421" w:type="dxa"/>
            <w:shd w:val="clear" w:color="auto" w:fill="auto"/>
            <w:vAlign w:val="center"/>
          </w:tcPr>
          <w:p w14:paraId="5CC2BEFA"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12</w:t>
            </w:r>
          </w:p>
        </w:tc>
        <w:tc>
          <w:tcPr>
            <w:tcW w:w="2211" w:type="dxa"/>
            <w:shd w:val="clear" w:color="auto" w:fill="auto"/>
            <w:vAlign w:val="center"/>
          </w:tcPr>
          <w:p w14:paraId="362566FF"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Dieryckx, Martin </w:t>
            </w:r>
          </w:p>
        </w:tc>
        <w:tc>
          <w:tcPr>
            <w:tcW w:w="3061" w:type="dxa"/>
            <w:shd w:val="clear" w:color="auto" w:fill="auto"/>
            <w:vAlign w:val="center"/>
          </w:tcPr>
          <w:p w14:paraId="53ED06DF" w14:textId="77777777" w:rsidR="00550028" w:rsidRPr="007A77BA" w:rsidRDefault="00550028" w:rsidP="00550028">
            <w:pPr>
              <w:autoSpaceDE w:val="0"/>
              <w:autoSpaceDN w:val="0"/>
              <w:adjustRightInd w:val="0"/>
              <w:spacing w:after="0"/>
              <w:rPr>
                <w:color w:val="auto"/>
                <w:sz w:val="20"/>
              </w:rPr>
            </w:pPr>
            <w:r w:rsidRPr="007A77BA">
              <w:rPr>
                <w:color w:val="auto"/>
                <w:sz w:val="20"/>
              </w:rPr>
              <w:t>Daikin Europe N.V,</w:t>
            </w:r>
          </w:p>
        </w:tc>
        <w:tc>
          <w:tcPr>
            <w:tcW w:w="1247" w:type="dxa"/>
            <w:shd w:val="clear" w:color="auto" w:fill="auto"/>
            <w:vAlign w:val="center"/>
          </w:tcPr>
          <w:p w14:paraId="472D88BB" w14:textId="77777777" w:rsidR="00550028" w:rsidRPr="007A77BA" w:rsidRDefault="00550028" w:rsidP="00550028">
            <w:pPr>
              <w:autoSpaceDE w:val="0"/>
              <w:autoSpaceDN w:val="0"/>
              <w:adjustRightInd w:val="0"/>
              <w:spacing w:after="0"/>
              <w:rPr>
                <w:color w:val="auto"/>
                <w:sz w:val="20"/>
              </w:rPr>
            </w:pPr>
            <w:r w:rsidRPr="007A77BA">
              <w:rPr>
                <w:color w:val="auto"/>
                <w:sz w:val="20"/>
              </w:rPr>
              <w:t>Belgium</w:t>
            </w:r>
          </w:p>
        </w:tc>
        <w:tc>
          <w:tcPr>
            <w:tcW w:w="1155" w:type="dxa"/>
            <w:shd w:val="clear" w:color="auto" w:fill="auto"/>
            <w:vAlign w:val="center"/>
          </w:tcPr>
          <w:p w14:paraId="38E3411B" w14:textId="4492F16E"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20E3FB84" w14:textId="77777777" w:rsidTr="00550028">
        <w:trPr>
          <w:trHeight w:val="255"/>
        </w:trPr>
        <w:tc>
          <w:tcPr>
            <w:tcW w:w="421" w:type="dxa"/>
            <w:shd w:val="clear" w:color="auto" w:fill="auto"/>
            <w:vAlign w:val="center"/>
          </w:tcPr>
          <w:p w14:paraId="60844510"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13</w:t>
            </w:r>
          </w:p>
        </w:tc>
        <w:tc>
          <w:tcPr>
            <w:tcW w:w="2211" w:type="dxa"/>
            <w:shd w:val="clear" w:color="auto" w:fill="auto"/>
            <w:vAlign w:val="center"/>
          </w:tcPr>
          <w:p w14:paraId="4D5A706C"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Dorman, Dennis </w:t>
            </w:r>
          </w:p>
        </w:tc>
        <w:tc>
          <w:tcPr>
            <w:tcW w:w="3061" w:type="dxa"/>
            <w:shd w:val="clear" w:color="auto" w:fill="auto"/>
            <w:vAlign w:val="center"/>
          </w:tcPr>
          <w:p w14:paraId="2197BCF9" w14:textId="77777777" w:rsidR="00550028" w:rsidRPr="007A77BA" w:rsidRDefault="00550028" w:rsidP="00550028">
            <w:pPr>
              <w:autoSpaceDE w:val="0"/>
              <w:autoSpaceDN w:val="0"/>
              <w:adjustRightInd w:val="0"/>
              <w:spacing w:after="0"/>
              <w:rPr>
                <w:color w:val="auto"/>
                <w:sz w:val="20"/>
              </w:rPr>
            </w:pPr>
            <w:r w:rsidRPr="007A77BA">
              <w:rPr>
                <w:color w:val="auto"/>
                <w:sz w:val="20"/>
              </w:rPr>
              <w:t>Trane Co.</w:t>
            </w:r>
          </w:p>
        </w:tc>
        <w:tc>
          <w:tcPr>
            <w:tcW w:w="1247" w:type="dxa"/>
            <w:shd w:val="clear" w:color="auto" w:fill="auto"/>
            <w:vAlign w:val="center"/>
          </w:tcPr>
          <w:p w14:paraId="553958D9" w14:textId="77777777" w:rsidR="00550028" w:rsidRPr="007A77BA" w:rsidRDefault="00550028" w:rsidP="00550028">
            <w:pPr>
              <w:autoSpaceDE w:val="0"/>
              <w:autoSpaceDN w:val="0"/>
              <w:adjustRightInd w:val="0"/>
              <w:spacing w:after="0"/>
              <w:rPr>
                <w:color w:val="auto"/>
                <w:sz w:val="20"/>
              </w:rPr>
            </w:pPr>
            <w:r w:rsidRPr="007A77BA">
              <w:rPr>
                <w:color w:val="auto"/>
                <w:sz w:val="20"/>
              </w:rPr>
              <w:t>USA</w:t>
            </w:r>
          </w:p>
        </w:tc>
        <w:tc>
          <w:tcPr>
            <w:tcW w:w="1155" w:type="dxa"/>
            <w:shd w:val="clear" w:color="auto" w:fill="auto"/>
            <w:vAlign w:val="center"/>
          </w:tcPr>
          <w:p w14:paraId="1412661C" w14:textId="5444E0DA"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70CD83AC" w14:textId="77777777" w:rsidTr="00550028">
        <w:trPr>
          <w:trHeight w:val="255"/>
        </w:trPr>
        <w:tc>
          <w:tcPr>
            <w:tcW w:w="421" w:type="dxa"/>
            <w:shd w:val="clear" w:color="auto" w:fill="auto"/>
            <w:vAlign w:val="center"/>
          </w:tcPr>
          <w:p w14:paraId="6534CB65"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14</w:t>
            </w:r>
          </w:p>
        </w:tc>
        <w:tc>
          <w:tcPr>
            <w:tcW w:w="2211" w:type="dxa"/>
            <w:shd w:val="clear" w:color="auto" w:fill="auto"/>
            <w:vAlign w:val="center"/>
          </w:tcPr>
          <w:p w14:paraId="356BD6BB"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Elassaad, Bassam </w:t>
            </w:r>
          </w:p>
        </w:tc>
        <w:tc>
          <w:tcPr>
            <w:tcW w:w="3061" w:type="dxa"/>
            <w:shd w:val="clear" w:color="auto" w:fill="auto"/>
            <w:vAlign w:val="center"/>
          </w:tcPr>
          <w:p w14:paraId="05199323"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Independent Expert </w:t>
            </w:r>
          </w:p>
        </w:tc>
        <w:tc>
          <w:tcPr>
            <w:tcW w:w="1247" w:type="dxa"/>
            <w:shd w:val="clear" w:color="auto" w:fill="auto"/>
            <w:vAlign w:val="center"/>
          </w:tcPr>
          <w:p w14:paraId="412E58F7" w14:textId="77777777" w:rsidR="00550028" w:rsidRPr="007A77BA" w:rsidRDefault="00550028" w:rsidP="00550028">
            <w:pPr>
              <w:autoSpaceDE w:val="0"/>
              <w:autoSpaceDN w:val="0"/>
              <w:adjustRightInd w:val="0"/>
              <w:spacing w:after="0"/>
              <w:rPr>
                <w:color w:val="auto"/>
                <w:sz w:val="20"/>
              </w:rPr>
            </w:pPr>
            <w:r w:rsidRPr="007A77BA">
              <w:rPr>
                <w:color w:val="auto"/>
                <w:sz w:val="20"/>
              </w:rPr>
              <w:t>Lebanon</w:t>
            </w:r>
          </w:p>
        </w:tc>
        <w:tc>
          <w:tcPr>
            <w:tcW w:w="1155" w:type="dxa"/>
            <w:shd w:val="clear" w:color="auto" w:fill="auto"/>
            <w:vAlign w:val="center"/>
          </w:tcPr>
          <w:p w14:paraId="2A17DEDD" w14:textId="6F9EF356"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36083A16" w14:textId="77777777" w:rsidTr="00550028">
        <w:trPr>
          <w:trHeight w:val="255"/>
        </w:trPr>
        <w:tc>
          <w:tcPr>
            <w:tcW w:w="421" w:type="dxa"/>
            <w:shd w:val="clear" w:color="auto" w:fill="auto"/>
            <w:vAlign w:val="center"/>
          </w:tcPr>
          <w:p w14:paraId="174150F4"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15</w:t>
            </w:r>
          </w:p>
        </w:tc>
        <w:tc>
          <w:tcPr>
            <w:tcW w:w="2211" w:type="dxa"/>
            <w:shd w:val="clear" w:color="auto" w:fill="auto"/>
            <w:vAlign w:val="center"/>
          </w:tcPr>
          <w:p w14:paraId="3FCB50AC" w14:textId="77777777" w:rsidR="00550028" w:rsidRPr="007A77BA" w:rsidRDefault="00550028" w:rsidP="00550028">
            <w:pPr>
              <w:autoSpaceDE w:val="0"/>
              <w:autoSpaceDN w:val="0"/>
              <w:adjustRightInd w:val="0"/>
              <w:spacing w:after="0"/>
              <w:rPr>
                <w:color w:val="auto"/>
                <w:sz w:val="20"/>
              </w:rPr>
            </w:pPr>
            <w:r w:rsidRPr="007A77BA">
              <w:rPr>
                <w:color w:val="auto"/>
                <w:sz w:val="20"/>
              </w:rPr>
              <w:t>Gluckman Ray</w:t>
            </w:r>
          </w:p>
        </w:tc>
        <w:tc>
          <w:tcPr>
            <w:tcW w:w="3061" w:type="dxa"/>
            <w:shd w:val="clear" w:color="auto" w:fill="auto"/>
            <w:vAlign w:val="center"/>
          </w:tcPr>
          <w:p w14:paraId="75E29A84" w14:textId="77777777" w:rsidR="00550028" w:rsidRPr="007A77BA" w:rsidRDefault="00550028" w:rsidP="00550028">
            <w:pPr>
              <w:autoSpaceDE w:val="0"/>
              <w:autoSpaceDN w:val="0"/>
              <w:adjustRightInd w:val="0"/>
              <w:spacing w:after="0"/>
              <w:rPr>
                <w:color w:val="auto"/>
                <w:sz w:val="20"/>
              </w:rPr>
            </w:pPr>
            <w:r w:rsidRPr="007A77BA">
              <w:rPr>
                <w:color w:val="auto"/>
                <w:sz w:val="20"/>
              </w:rPr>
              <w:t>Gluckman Consulting</w:t>
            </w:r>
          </w:p>
        </w:tc>
        <w:tc>
          <w:tcPr>
            <w:tcW w:w="1247" w:type="dxa"/>
            <w:shd w:val="clear" w:color="auto" w:fill="auto"/>
            <w:vAlign w:val="center"/>
          </w:tcPr>
          <w:p w14:paraId="114EB776" w14:textId="77777777" w:rsidR="00550028" w:rsidRPr="007A77BA" w:rsidRDefault="00550028" w:rsidP="00550028">
            <w:pPr>
              <w:autoSpaceDE w:val="0"/>
              <w:autoSpaceDN w:val="0"/>
              <w:adjustRightInd w:val="0"/>
              <w:spacing w:after="0"/>
              <w:rPr>
                <w:color w:val="auto"/>
                <w:sz w:val="20"/>
              </w:rPr>
            </w:pPr>
            <w:r w:rsidRPr="007A77BA">
              <w:rPr>
                <w:color w:val="auto"/>
                <w:sz w:val="20"/>
              </w:rPr>
              <w:t>UK</w:t>
            </w:r>
          </w:p>
        </w:tc>
        <w:tc>
          <w:tcPr>
            <w:tcW w:w="1155" w:type="dxa"/>
            <w:shd w:val="clear" w:color="auto" w:fill="auto"/>
            <w:vAlign w:val="center"/>
          </w:tcPr>
          <w:p w14:paraId="13E0E6F0" w14:textId="602837AC"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w:t>
            </w:r>
            <w:r>
              <w:rPr>
                <w:rStyle w:val="Hyperlink"/>
                <w:color w:val="auto"/>
                <w:sz w:val="20"/>
                <w:u w:val="none"/>
              </w:rPr>
              <w:t>2</w:t>
            </w:r>
            <w:r w:rsidR="006E4DC0">
              <w:rPr>
                <w:rStyle w:val="Hyperlink"/>
                <w:color w:val="auto"/>
                <w:sz w:val="20"/>
                <w:u w:val="none"/>
              </w:rPr>
              <w:t>*</w:t>
            </w:r>
          </w:p>
        </w:tc>
      </w:tr>
      <w:tr w:rsidR="00550028" w:rsidRPr="007A77BA" w14:paraId="2B86F3C9" w14:textId="77777777" w:rsidTr="00550028">
        <w:trPr>
          <w:trHeight w:val="255"/>
        </w:trPr>
        <w:tc>
          <w:tcPr>
            <w:tcW w:w="421" w:type="dxa"/>
            <w:shd w:val="clear" w:color="auto" w:fill="auto"/>
            <w:vAlign w:val="center"/>
          </w:tcPr>
          <w:p w14:paraId="74A940F8"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16</w:t>
            </w:r>
          </w:p>
        </w:tc>
        <w:tc>
          <w:tcPr>
            <w:tcW w:w="2211" w:type="dxa"/>
            <w:shd w:val="clear" w:color="auto" w:fill="auto"/>
            <w:vAlign w:val="center"/>
          </w:tcPr>
          <w:p w14:paraId="1C2E6847"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Godwin, Dave </w:t>
            </w:r>
          </w:p>
        </w:tc>
        <w:tc>
          <w:tcPr>
            <w:tcW w:w="3061" w:type="dxa"/>
            <w:shd w:val="clear" w:color="auto" w:fill="auto"/>
            <w:vAlign w:val="center"/>
          </w:tcPr>
          <w:p w14:paraId="3B631AC6" w14:textId="77777777" w:rsidR="00550028" w:rsidRPr="007A77BA" w:rsidRDefault="00550028" w:rsidP="00550028">
            <w:pPr>
              <w:autoSpaceDE w:val="0"/>
              <w:autoSpaceDN w:val="0"/>
              <w:adjustRightInd w:val="0"/>
              <w:spacing w:after="0"/>
              <w:rPr>
                <w:color w:val="auto"/>
                <w:sz w:val="20"/>
              </w:rPr>
            </w:pPr>
            <w:r w:rsidRPr="007A77BA">
              <w:rPr>
                <w:color w:val="auto"/>
                <w:sz w:val="20"/>
              </w:rPr>
              <w:t>U.S. EPA</w:t>
            </w:r>
          </w:p>
        </w:tc>
        <w:tc>
          <w:tcPr>
            <w:tcW w:w="1247" w:type="dxa"/>
            <w:shd w:val="clear" w:color="auto" w:fill="auto"/>
            <w:vAlign w:val="center"/>
          </w:tcPr>
          <w:p w14:paraId="6406F37F" w14:textId="77777777" w:rsidR="00550028" w:rsidRPr="007A77BA" w:rsidRDefault="00550028" w:rsidP="00550028">
            <w:pPr>
              <w:autoSpaceDE w:val="0"/>
              <w:autoSpaceDN w:val="0"/>
              <w:adjustRightInd w:val="0"/>
              <w:spacing w:after="0"/>
              <w:rPr>
                <w:color w:val="auto"/>
                <w:sz w:val="20"/>
              </w:rPr>
            </w:pPr>
            <w:r w:rsidRPr="007A77BA">
              <w:rPr>
                <w:color w:val="auto"/>
                <w:sz w:val="20"/>
              </w:rPr>
              <w:t>USA</w:t>
            </w:r>
          </w:p>
        </w:tc>
        <w:tc>
          <w:tcPr>
            <w:tcW w:w="1155" w:type="dxa"/>
            <w:shd w:val="clear" w:color="auto" w:fill="auto"/>
            <w:vAlign w:val="center"/>
          </w:tcPr>
          <w:p w14:paraId="79B8399B" w14:textId="3FEA171E"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3E27AF24" w14:textId="77777777" w:rsidTr="00550028">
        <w:trPr>
          <w:trHeight w:val="255"/>
        </w:trPr>
        <w:tc>
          <w:tcPr>
            <w:tcW w:w="421" w:type="dxa"/>
            <w:shd w:val="clear" w:color="auto" w:fill="auto"/>
            <w:vAlign w:val="center"/>
          </w:tcPr>
          <w:p w14:paraId="73431EE3"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17</w:t>
            </w:r>
          </w:p>
        </w:tc>
        <w:tc>
          <w:tcPr>
            <w:tcW w:w="2211" w:type="dxa"/>
            <w:shd w:val="clear" w:color="auto" w:fill="auto"/>
            <w:vAlign w:val="center"/>
          </w:tcPr>
          <w:p w14:paraId="7104E57F"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Grozdek, Marino </w:t>
            </w:r>
          </w:p>
        </w:tc>
        <w:tc>
          <w:tcPr>
            <w:tcW w:w="3061" w:type="dxa"/>
            <w:shd w:val="clear" w:color="auto" w:fill="auto"/>
            <w:vAlign w:val="center"/>
          </w:tcPr>
          <w:p w14:paraId="63E51CDD" w14:textId="77777777" w:rsidR="00550028" w:rsidRPr="007A77BA" w:rsidRDefault="00550028" w:rsidP="00550028">
            <w:pPr>
              <w:autoSpaceDE w:val="0"/>
              <w:autoSpaceDN w:val="0"/>
              <w:adjustRightInd w:val="0"/>
              <w:spacing w:after="0"/>
              <w:rPr>
                <w:color w:val="auto"/>
                <w:sz w:val="20"/>
              </w:rPr>
            </w:pPr>
            <w:r w:rsidRPr="007A77BA">
              <w:rPr>
                <w:color w:val="auto"/>
                <w:sz w:val="20"/>
              </w:rPr>
              <w:t>University of Zagreb</w:t>
            </w:r>
          </w:p>
        </w:tc>
        <w:tc>
          <w:tcPr>
            <w:tcW w:w="1247" w:type="dxa"/>
            <w:shd w:val="clear" w:color="auto" w:fill="auto"/>
            <w:vAlign w:val="center"/>
          </w:tcPr>
          <w:p w14:paraId="6791417E" w14:textId="77777777" w:rsidR="00550028" w:rsidRPr="007A77BA" w:rsidRDefault="00550028" w:rsidP="00550028">
            <w:pPr>
              <w:autoSpaceDE w:val="0"/>
              <w:autoSpaceDN w:val="0"/>
              <w:adjustRightInd w:val="0"/>
              <w:spacing w:after="0"/>
              <w:rPr>
                <w:color w:val="auto"/>
                <w:sz w:val="20"/>
              </w:rPr>
            </w:pPr>
            <w:r w:rsidRPr="007A77BA">
              <w:rPr>
                <w:color w:val="auto"/>
                <w:sz w:val="20"/>
              </w:rPr>
              <w:t>Croatia</w:t>
            </w:r>
          </w:p>
        </w:tc>
        <w:tc>
          <w:tcPr>
            <w:tcW w:w="1155" w:type="dxa"/>
            <w:shd w:val="clear" w:color="auto" w:fill="auto"/>
            <w:vAlign w:val="center"/>
          </w:tcPr>
          <w:p w14:paraId="4A8A7E9A" w14:textId="1285A175"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442D5D4C" w14:textId="77777777" w:rsidTr="00550028">
        <w:trPr>
          <w:trHeight w:val="255"/>
        </w:trPr>
        <w:tc>
          <w:tcPr>
            <w:tcW w:w="421" w:type="dxa"/>
            <w:shd w:val="clear" w:color="auto" w:fill="auto"/>
            <w:vAlign w:val="center"/>
          </w:tcPr>
          <w:p w14:paraId="1376BFB6"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18</w:t>
            </w:r>
          </w:p>
        </w:tc>
        <w:tc>
          <w:tcPr>
            <w:tcW w:w="2211" w:type="dxa"/>
            <w:shd w:val="clear" w:color="auto" w:fill="auto"/>
            <w:vAlign w:val="center"/>
          </w:tcPr>
          <w:p w14:paraId="4DA57578"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Hamed, Samir </w:t>
            </w:r>
          </w:p>
        </w:tc>
        <w:tc>
          <w:tcPr>
            <w:tcW w:w="3061" w:type="dxa"/>
            <w:shd w:val="clear" w:color="auto" w:fill="auto"/>
            <w:vAlign w:val="center"/>
          </w:tcPr>
          <w:p w14:paraId="5F9859F4" w14:textId="77777777" w:rsidR="00550028" w:rsidRPr="007A77BA" w:rsidRDefault="00550028" w:rsidP="00550028">
            <w:pPr>
              <w:autoSpaceDE w:val="0"/>
              <w:autoSpaceDN w:val="0"/>
              <w:adjustRightInd w:val="0"/>
              <w:spacing w:after="0"/>
              <w:rPr>
                <w:color w:val="auto"/>
                <w:sz w:val="20"/>
              </w:rPr>
            </w:pPr>
            <w:r w:rsidRPr="007A77BA">
              <w:rPr>
                <w:color w:val="auto"/>
                <w:sz w:val="20"/>
              </w:rPr>
              <w:t>Petra Industries</w:t>
            </w:r>
          </w:p>
        </w:tc>
        <w:tc>
          <w:tcPr>
            <w:tcW w:w="1247" w:type="dxa"/>
            <w:shd w:val="clear" w:color="auto" w:fill="auto"/>
            <w:vAlign w:val="center"/>
          </w:tcPr>
          <w:p w14:paraId="72BFCBEA" w14:textId="77777777" w:rsidR="00550028" w:rsidRPr="007A77BA" w:rsidRDefault="00550028" w:rsidP="00550028">
            <w:pPr>
              <w:autoSpaceDE w:val="0"/>
              <w:autoSpaceDN w:val="0"/>
              <w:adjustRightInd w:val="0"/>
              <w:spacing w:after="0"/>
              <w:rPr>
                <w:color w:val="auto"/>
                <w:sz w:val="20"/>
              </w:rPr>
            </w:pPr>
            <w:r w:rsidRPr="007A77BA">
              <w:rPr>
                <w:color w:val="auto"/>
                <w:sz w:val="20"/>
              </w:rPr>
              <w:t>Jordan</w:t>
            </w:r>
          </w:p>
        </w:tc>
        <w:tc>
          <w:tcPr>
            <w:tcW w:w="1155" w:type="dxa"/>
            <w:shd w:val="clear" w:color="auto" w:fill="auto"/>
            <w:vAlign w:val="center"/>
          </w:tcPr>
          <w:p w14:paraId="42FECDE3" w14:textId="2B8FCAE4"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2531FB5F" w14:textId="77777777" w:rsidTr="00550028">
        <w:trPr>
          <w:trHeight w:val="255"/>
        </w:trPr>
        <w:tc>
          <w:tcPr>
            <w:tcW w:w="421" w:type="dxa"/>
            <w:shd w:val="clear" w:color="auto" w:fill="auto"/>
            <w:vAlign w:val="center"/>
          </w:tcPr>
          <w:p w14:paraId="1B6112AA"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19</w:t>
            </w:r>
          </w:p>
        </w:tc>
        <w:tc>
          <w:tcPr>
            <w:tcW w:w="2211" w:type="dxa"/>
            <w:shd w:val="clear" w:color="auto" w:fill="auto"/>
            <w:vAlign w:val="center"/>
          </w:tcPr>
          <w:p w14:paraId="7615C65E" w14:textId="0A98532C" w:rsidR="00550028" w:rsidRPr="007A77BA" w:rsidRDefault="00550028" w:rsidP="00550028">
            <w:pPr>
              <w:autoSpaceDE w:val="0"/>
              <w:autoSpaceDN w:val="0"/>
              <w:adjustRightInd w:val="0"/>
              <w:spacing w:after="0"/>
              <w:rPr>
                <w:color w:val="auto"/>
                <w:sz w:val="20"/>
              </w:rPr>
            </w:pPr>
            <w:r w:rsidRPr="007A77BA">
              <w:rPr>
                <w:color w:val="auto"/>
                <w:sz w:val="20"/>
              </w:rPr>
              <w:t>Herlianika Herlin</w:t>
            </w:r>
            <w:r w:rsidR="005617DE">
              <w:rPr>
                <w:color w:val="auto"/>
                <w:sz w:val="20"/>
              </w:rPr>
              <w:t xml:space="preserve"> </w:t>
            </w:r>
          </w:p>
        </w:tc>
        <w:tc>
          <w:tcPr>
            <w:tcW w:w="3061" w:type="dxa"/>
            <w:shd w:val="clear" w:color="auto" w:fill="auto"/>
            <w:vAlign w:val="center"/>
          </w:tcPr>
          <w:p w14:paraId="3C67F058" w14:textId="77777777" w:rsidR="00550028" w:rsidRPr="007A77BA" w:rsidRDefault="00550028" w:rsidP="00550028">
            <w:pPr>
              <w:autoSpaceDE w:val="0"/>
              <w:autoSpaceDN w:val="0"/>
              <w:adjustRightInd w:val="0"/>
              <w:spacing w:after="0"/>
              <w:rPr>
                <w:color w:val="auto"/>
                <w:sz w:val="20"/>
              </w:rPr>
            </w:pPr>
            <w:r w:rsidRPr="007A77BA">
              <w:rPr>
                <w:color w:val="auto"/>
                <w:sz w:val="20"/>
              </w:rPr>
              <w:t>PTAWH</w:t>
            </w:r>
          </w:p>
        </w:tc>
        <w:tc>
          <w:tcPr>
            <w:tcW w:w="1247" w:type="dxa"/>
            <w:shd w:val="clear" w:color="auto" w:fill="auto"/>
            <w:vAlign w:val="center"/>
          </w:tcPr>
          <w:p w14:paraId="7A7C44E5" w14:textId="77777777" w:rsidR="00550028" w:rsidRPr="007A77BA" w:rsidRDefault="00550028" w:rsidP="00550028">
            <w:pPr>
              <w:autoSpaceDE w:val="0"/>
              <w:autoSpaceDN w:val="0"/>
              <w:adjustRightInd w:val="0"/>
              <w:spacing w:after="0"/>
              <w:rPr>
                <w:color w:val="auto"/>
                <w:sz w:val="20"/>
              </w:rPr>
            </w:pPr>
            <w:r w:rsidRPr="007A77BA">
              <w:rPr>
                <w:color w:val="auto"/>
                <w:sz w:val="20"/>
              </w:rPr>
              <w:t>Indonesia</w:t>
            </w:r>
          </w:p>
        </w:tc>
        <w:tc>
          <w:tcPr>
            <w:tcW w:w="1155" w:type="dxa"/>
            <w:shd w:val="clear" w:color="auto" w:fill="auto"/>
            <w:vAlign w:val="center"/>
          </w:tcPr>
          <w:p w14:paraId="0C6BF8BC" w14:textId="56FD4A8E"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2021</w:t>
            </w:r>
            <w:r w:rsidR="000E7C16">
              <w:rPr>
                <w:rStyle w:val="Hyperlink"/>
                <w:color w:val="auto"/>
                <w:sz w:val="20"/>
                <w:u w:val="none"/>
              </w:rPr>
              <w:t>*</w:t>
            </w:r>
          </w:p>
        </w:tc>
      </w:tr>
      <w:tr w:rsidR="00550028" w:rsidRPr="007A77BA" w14:paraId="7CC721FE" w14:textId="77777777" w:rsidTr="00550028">
        <w:trPr>
          <w:trHeight w:val="255"/>
        </w:trPr>
        <w:tc>
          <w:tcPr>
            <w:tcW w:w="421" w:type="dxa"/>
            <w:shd w:val="clear" w:color="auto" w:fill="auto"/>
            <w:vAlign w:val="center"/>
          </w:tcPr>
          <w:p w14:paraId="09853266"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20</w:t>
            </w:r>
          </w:p>
        </w:tc>
        <w:tc>
          <w:tcPr>
            <w:tcW w:w="2211" w:type="dxa"/>
            <w:shd w:val="clear" w:color="auto" w:fill="auto"/>
            <w:vAlign w:val="center"/>
          </w:tcPr>
          <w:p w14:paraId="55EB2016"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Janssen, Martien </w:t>
            </w:r>
          </w:p>
        </w:tc>
        <w:tc>
          <w:tcPr>
            <w:tcW w:w="3061" w:type="dxa"/>
            <w:shd w:val="clear" w:color="auto" w:fill="auto"/>
            <w:vAlign w:val="center"/>
          </w:tcPr>
          <w:p w14:paraId="383ACC33" w14:textId="77777777" w:rsidR="00550028" w:rsidRPr="007A77BA" w:rsidRDefault="00550028" w:rsidP="00550028">
            <w:pPr>
              <w:autoSpaceDE w:val="0"/>
              <w:autoSpaceDN w:val="0"/>
              <w:adjustRightInd w:val="0"/>
              <w:spacing w:after="0"/>
              <w:rPr>
                <w:color w:val="auto"/>
                <w:sz w:val="20"/>
              </w:rPr>
            </w:pPr>
            <w:r w:rsidRPr="007A77BA">
              <w:rPr>
                <w:color w:val="auto"/>
                <w:sz w:val="20"/>
              </w:rPr>
              <w:t>Re/genT B.V.</w:t>
            </w:r>
          </w:p>
        </w:tc>
        <w:tc>
          <w:tcPr>
            <w:tcW w:w="1247" w:type="dxa"/>
            <w:shd w:val="clear" w:color="auto" w:fill="auto"/>
            <w:vAlign w:val="center"/>
          </w:tcPr>
          <w:p w14:paraId="42B8A30F" w14:textId="77777777" w:rsidR="00550028" w:rsidRPr="007A77BA" w:rsidRDefault="00550028" w:rsidP="00550028">
            <w:pPr>
              <w:autoSpaceDE w:val="0"/>
              <w:autoSpaceDN w:val="0"/>
              <w:adjustRightInd w:val="0"/>
              <w:spacing w:after="0"/>
              <w:rPr>
                <w:color w:val="auto"/>
                <w:spacing w:val="-4"/>
                <w:sz w:val="20"/>
              </w:rPr>
            </w:pPr>
            <w:r w:rsidRPr="007A77BA">
              <w:rPr>
                <w:color w:val="auto"/>
                <w:spacing w:val="-4"/>
                <w:sz w:val="20"/>
              </w:rPr>
              <w:t>The Netherl.</w:t>
            </w:r>
          </w:p>
        </w:tc>
        <w:tc>
          <w:tcPr>
            <w:tcW w:w="1155" w:type="dxa"/>
            <w:shd w:val="clear" w:color="auto" w:fill="auto"/>
            <w:vAlign w:val="center"/>
          </w:tcPr>
          <w:p w14:paraId="40544AD2" w14:textId="466747F2"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40759A4B" w14:textId="77777777" w:rsidTr="00550028">
        <w:trPr>
          <w:trHeight w:val="255"/>
        </w:trPr>
        <w:tc>
          <w:tcPr>
            <w:tcW w:w="421" w:type="dxa"/>
            <w:shd w:val="clear" w:color="auto" w:fill="auto"/>
            <w:vAlign w:val="center"/>
          </w:tcPr>
          <w:p w14:paraId="7E7006F4"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21</w:t>
            </w:r>
          </w:p>
        </w:tc>
        <w:tc>
          <w:tcPr>
            <w:tcW w:w="2211" w:type="dxa"/>
            <w:shd w:val="clear" w:color="auto" w:fill="auto"/>
            <w:vAlign w:val="center"/>
          </w:tcPr>
          <w:p w14:paraId="2AC7BE3F"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König, Holger </w:t>
            </w:r>
          </w:p>
        </w:tc>
        <w:tc>
          <w:tcPr>
            <w:tcW w:w="3061" w:type="dxa"/>
            <w:shd w:val="clear" w:color="auto" w:fill="auto"/>
            <w:vAlign w:val="center"/>
          </w:tcPr>
          <w:p w14:paraId="4BDA3740" w14:textId="77777777" w:rsidR="00550028" w:rsidRPr="007A77BA" w:rsidRDefault="00550028" w:rsidP="00550028">
            <w:pPr>
              <w:autoSpaceDE w:val="0"/>
              <w:autoSpaceDN w:val="0"/>
              <w:adjustRightInd w:val="0"/>
              <w:spacing w:after="0"/>
              <w:rPr>
                <w:color w:val="auto"/>
                <w:sz w:val="20"/>
              </w:rPr>
            </w:pPr>
            <w:r w:rsidRPr="007A77BA">
              <w:rPr>
                <w:color w:val="auto"/>
                <w:sz w:val="20"/>
              </w:rPr>
              <w:t>ref-tech consultancy</w:t>
            </w:r>
          </w:p>
        </w:tc>
        <w:tc>
          <w:tcPr>
            <w:tcW w:w="1247" w:type="dxa"/>
            <w:shd w:val="clear" w:color="auto" w:fill="auto"/>
            <w:vAlign w:val="center"/>
          </w:tcPr>
          <w:p w14:paraId="0D866D37" w14:textId="77777777" w:rsidR="00550028" w:rsidRPr="007A77BA" w:rsidRDefault="00550028" w:rsidP="00550028">
            <w:pPr>
              <w:autoSpaceDE w:val="0"/>
              <w:autoSpaceDN w:val="0"/>
              <w:adjustRightInd w:val="0"/>
              <w:spacing w:after="0"/>
              <w:rPr>
                <w:color w:val="auto"/>
                <w:sz w:val="20"/>
              </w:rPr>
            </w:pPr>
            <w:r w:rsidRPr="007A77BA">
              <w:rPr>
                <w:color w:val="auto"/>
                <w:sz w:val="20"/>
              </w:rPr>
              <w:t>Germany</w:t>
            </w:r>
          </w:p>
        </w:tc>
        <w:tc>
          <w:tcPr>
            <w:tcW w:w="1155" w:type="dxa"/>
            <w:shd w:val="clear" w:color="auto" w:fill="auto"/>
            <w:vAlign w:val="center"/>
          </w:tcPr>
          <w:p w14:paraId="79189E16" w14:textId="033FF4D2"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2BD13E43" w14:textId="77777777" w:rsidTr="00550028">
        <w:trPr>
          <w:trHeight w:val="255"/>
        </w:trPr>
        <w:tc>
          <w:tcPr>
            <w:tcW w:w="421" w:type="dxa"/>
            <w:shd w:val="clear" w:color="auto" w:fill="auto"/>
            <w:vAlign w:val="center"/>
          </w:tcPr>
          <w:p w14:paraId="7AAD0316"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22</w:t>
            </w:r>
          </w:p>
        </w:tc>
        <w:tc>
          <w:tcPr>
            <w:tcW w:w="2211" w:type="dxa"/>
            <w:shd w:val="clear" w:color="auto" w:fill="auto"/>
            <w:vAlign w:val="center"/>
          </w:tcPr>
          <w:p w14:paraId="5A5C6D02"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Kauffeld, Michael </w:t>
            </w:r>
          </w:p>
        </w:tc>
        <w:tc>
          <w:tcPr>
            <w:tcW w:w="3061" w:type="dxa"/>
            <w:shd w:val="clear" w:color="auto" w:fill="auto"/>
            <w:vAlign w:val="center"/>
          </w:tcPr>
          <w:p w14:paraId="26CED60C" w14:textId="77777777" w:rsidR="00550028" w:rsidRPr="007A77BA" w:rsidRDefault="00550028" w:rsidP="00550028">
            <w:pPr>
              <w:autoSpaceDE w:val="0"/>
              <w:autoSpaceDN w:val="0"/>
              <w:adjustRightInd w:val="0"/>
              <w:spacing w:after="0"/>
              <w:rPr>
                <w:color w:val="auto"/>
                <w:sz w:val="20"/>
              </w:rPr>
            </w:pPr>
            <w:r w:rsidRPr="007A77BA">
              <w:rPr>
                <w:color w:val="auto"/>
                <w:sz w:val="20"/>
              </w:rPr>
              <w:t>Fachhochschule, Karlsruhe</w:t>
            </w:r>
          </w:p>
        </w:tc>
        <w:tc>
          <w:tcPr>
            <w:tcW w:w="1247" w:type="dxa"/>
            <w:shd w:val="clear" w:color="auto" w:fill="auto"/>
            <w:vAlign w:val="center"/>
          </w:tcPr>
          <w:p w14:paraId="67F6488C" w14:textId="77777777" w:rsidR="00550028" w:rsidRPr="007A77BA" w:rsidRDefault="00550028" w:rsidP="00550028">
            <w:pPr>
              <w:autoSpaceDE w:val="0"/>
              <w:autoSpaceDN w:val="0"/>
              <w:adjustRightInd w:val="0"/>
              <w:spacing w:after="0"/>
              <w:rPr>
                <w:color w:val="auto"/>
                <w:sz w:val="20"/>
              </w:rPr>
            </w:pPr>
            <w:r w:rsidRPr="007A77BA">
              <w:rPr>
                <w:color w:val="auto"/>
                <w:sz w:val="20"/>
              </w:rPr>
              <w:t>Germany</w:t>
            </w:r>
          </w:p>
        </w:tc>
        <w:tc>
          <w:tcPr>
            <w:tcW w:w="1155" w:type="dxa"/>
            <w:shd w:val="clear" w:color="auto" w:fill="auto"/>
            <w:vAlign w:val="center"/>
          </w:tcPr>
          <w:p w14:paraId="6E4A19EB" w14:textId="479FD0F7"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07A4FEFF" w14:textId="77777777" w:rsidTr="00550028">
        <w:trPr>
          <w:trHeight w:val="255"/>
        </w:trPr>
        <w:tc>
          <w:tcPr>
            <w:tcW w:w="421" w:type="dxa"/>
            <w:shd w:val="clear" w:color="auto" w:fill="auto"/>
            <w:vAlign w:val="center"/>
          </w:tcPr>
          <w:p w14:paraId="154E6DC7"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23</w:t>
            </w:r>
          </w:p>
        </w:tc>
        <w:tc>
          <w:tcPr>
            <w:tcW w:w="2211" w:type="dxa"/>
            <w:shd w:val="clear" w:color="auto" w:fill="auto"/>
            <w:vAlign w:val="center"/>
          </w:tcPr>
          <w:p w14:paraId="7CD6322C" w14:textId="77777777" w:rsidR="00550028" w:rsidRPr="007A77BA" w:rsidRDefault="00550028" w:rsidP="00550028">
            <w:pPr>
              <w:autoSpaceDE w:val="0"/>
              <w:autoSpaceDN w:val="0"/>
              <w:adjustRightInd w:val="0"/>
              <w:spacing w:after="0"/>
              <w:rPr>
                <w:color w:val="auto"/>
                <w:sz w:val="20"/>
              </w:rPr>
            </w:pPr>
            <w:r w:rsidRPr="007A77BA">
              <w:rPr>
                <w:color w:val="auto"/>
                <w:sz w:val="20"/>
              </w:rPr>
              <w:t>Koban, Mary E.</w:t>
            </w:r>
          </w:p>
        </w:tc>
        <w:tc>
          <w:tcPr>
            <w:tcW w:w="3061" w:type="dxa"/>
            <w:shd w:val="clear" w:color="auto" w:fill="auto"/>
            <w:vAlign w:val="center"/>
          </w:tcPr>
          <w:p w14:paraId="404FBBBE" w14:textId="77777777" w:rsidR="00550028" w:rsidRPr="007A77BA" w:rsidRDefault="00550028" w:rsidP="00550028">
            <w:pPr>
              <w:shd w:val="clear" w:color="auto" w:fill="FFFFFF"/>
              <w:spacing w:after="0"/>
              <w:rPr>
                <w:color w:val="auto"/>
                <w:sz w:val="20"/>
              </w:rPr>
            </w:pPr>
            <w:r w:rsidRPr="007A77BA">
              <w:rPr>
                <w:color w:val="auto"/>
                <w:sz w:val="20"/>
              </w:rPr>
              <w:t>Chemours Co</w:t>
            </w:r>
          </w:p>
        </w:tc>
        <w:tc>
          <w:tcPr>
            <w:tcW w:w="1247" w:type="dxa"/>
            <w:shd w:val="clear" w:color="auto" w:fill="auto"/>
            <w:vAlign w:val="center"/>
          </w:tcPr>
          <w:p w14:paraId="4DE2484E" w14:textId="77777777" w:rsidR="00550028" w:rsidRPr="007A77BA" w:rsidRDefault="00550028" w:rsidP="00550028">
            <w:pPr>
              <w:autoSpaceDE w:val="0"/>
              <w:autoSpaceDN w:val="0"/>
              <w:adjustRightInd w:val="0"/>
              <w:spacing w:after="0"/>
              <w:rPr>
                <w:color w:val="auto"/>
                <w:sz w:val="20"/>
              </w:rPr>
            </w:pPr>
            <w:r w:rsidRPr="007A77BA">
              <w:rPr>
                <w:color w:val="auto"/>
                <w:sz w:val="20"/>
              </w:rPr>
              <w:t>USA</w:t>
            </w:r>
          </w:p>
        </w:tc>
        <w:tc>
          <w:tcPr>
            <w:tcW w:w="1155" w:type="dxa"/>
            <w:shd w:val="clear" w:color="auto" w:fill="auto"/>
            <w:vAlign w:val="center"/>
          </w:tcPr>
          <w:p w14:paraId="7CFCC1D5" w14:textId="4E2209B8"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2021</w:t>
            </w:r>
            <w:r w:rsidR="000E7C16">
              <w:rPr>
                <w:rStyle w:val="Hyperlink"/>
                <w:color w:val="auto"/>
                <w:sz w:val="20"/>
                <w:u w:val="none"/>
              </w:rPr>
              <w:t>*</w:t>
            </w:r>
          </w:p>
        </w:tc>
      </w:tr>
      <w:tr w:rsidR="00550028" w:rsidRPr="007A77BA" w14:paraId="71591DEE" w14:textId="77777777" w:rsidTr="00550028">
        <w:trPr>
          <w:trHeight w:val="255"/>
        </w:trPr>
        <w:tc>
          <w:tcPr>
            <w:tcW w:w="421" w:type="dxa"/>
            <w:shd w:val="clear" w:color="auto" w:fill="auto"/>
            <w:vAlign w:val="center"/>
          </w:tcPr>
          <w:p w14:paraId="5FD71E6E"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lastRenderedPageBreak/>
              <w:t>24</w:t>
            </w:r>
          </w:p>
        </w:tc>
        <w:tc>
          <w:tcPr>
            <w:tcW w:w="2211" w:type="dxa"/>
            <w:shd w:val="clear" w:color="auto" w:fill="auto"/>
            <w:vAlign w:val="center"/>
          </w:tcPr>
          <w:p w14:paraId="5AB738BA"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Köhler, Jürgen </w:t>
            </w:r>
          </w:p>
        </w:tc>
        <w:tc>
          <w:tcPr>
            <w:tcW w:w="3061" w:type="dxa"/>
            <w:shd w:val="clear" w:color="auto" w:fill="auto"/>
            <w:vAlign w:val="center"/>
          </w:tcPr>
          <w:p w14:paraId="42081E72" w14:textId="77777777" w:rsidR="00550028" w:rsidRPr="007A77BA" w:rsidRDefault="00550028" w:rsidP="00550028">
            <w:pPr>
              <w:autoSpaceDE w:val="0"/>
              <w:autoSpaceDN w:val="0"/>
              <w:adjustRightInd w:val="0"/>
              <w:spacing w:after="0"/>
              <w:rPr>
                <w:color w:val="auto"/>
                <w:sz w:val="20"/>
              </w:rPr>
            </w:pPr>
            <w:r w:rsidRPr="007A77BA">
              <w:rPr>
                <w:color w:val="auto"/>
                <w:sz w:val="20"/>
              </w:rPr>
              <w:t>University of Braunschweig</w:t>
            </w:r>
          </w:p>
        </w:tc>
        <w:tc>
          <w:tcPr>
            <w:tcW w:w="1247" w:type="dxa"/>
            <w:shd w:val="clear" w:color="auto" w:fill="auto"/>
            <w:vAlign w:val="center"/>
          </w:tcPr>
          <w:p w14:paraId="4C84E450" w14:textId="77777777" w:rsidR="00550028" w:rsidRPr="007A77BA" w:rsidRDefault="00550028" w:rsidP="00550028">
            <w:pPr>
              <w:autoSpaceDE w:val="0"/>
              <w:autoSpaceDN w:val="0"/>
              <w:adjustRightInd w:val="0"/>
              <w:spacing w:after="0"/>
              <w:rPr>
                <w:color w:val="auto"/>
                <w:sz w:val="20"/>
              </w:rPr>
            </w:pPr>
            <w:r w:rsidRPr="007A77BA">
              <w:rPr>
                <w:color w:val="auto"/>
                <w:sz w:val="20"/>
              </w:rPr>
              <w:t>Germany</w:t>
            </w:r>
          </w:p>
        </w:tc>
        <w:tc>
          <w:tcPr>
            <w:tcW w:w="1155" w:type="dxa"/>
            <w:shd w:val="clear" w:color="auto" w:fill="auto"/>
            <w:vAlign w:val="center"/>
          </w:tcPr>
          <w:p w14:paraId="2137B64B" w14:textId="592061CF"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0A1EFB79" w14:textId="77777777" w:rsidTr="00550028">
        <w:trPr>
          <w:trHeight w:val="255"/>
        </w:trPr>
        <w:tc>
          <w:tcPr>
            <w:tcW w:w="421" w:type="dxa"/>
            <w:shd w:val="clear" w:color="auto" w:fill="auto"/>
            <w:vAlign w:val="center"/>
          </w:tcPr>
          <w:p w14:paraId="02DE26A1"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25</w:t>
            </w:r>
          </w:p>
        </w:tc>
        <w:tc>
          <w:tcPr>
            <w:tcW w:w="2211" w:type="dxa"/>
            <w:shd w:val="clear" w:color="auto" w:fill="auto"/>
            <w:vAlign w:val="center"/>
          </w:tcPr>
          <w:p w14:paraId="1F7CA902"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Kuijpers, Lambert </w:t>
            </w:r>
          </w:p>
        </w:tc>
        <w:tc>
          <w:tcPr>
            <w:tcW w:w="3061" w:type="dxa"/>
            <w:shd w:val="clear" w:color="auto" w:fill="auto"/>
            <w:vAlign w:val="center"/>
          </w:tcPr>
          <w:p w14:paraId="0C6C8640" w14:textId="77777777" w:rsidR="00550028" w:rsidRPr="007A77BA" w:rsidRDefault="00550028" w:rsidP="00550028">
            <w:pPr>
              <w:autoSpaceDE w:val="0"/>
              <w:autoSpaceDN w:val="0"/>
              <w:adjustRightInd w:val="0"/>
              <w:spacing w:after="0"/>
              <w:rPr>
                <w:color w:val="auto"/>
                <w:sz w:val="20"/>
              </w:rPr>
            </w:pPr>
            <w:r w:rsidRPr="007A77BA">
              <w:rPr>
                <w:color w:val="auto"/>
                <w:sz w:val="20"/>
              </w:rPr>
              <w:t>A/gent B.V. Consultancy</w:t>
            </w:r>
          </w:p>
        </w:tc>
        <w:tc>
          <w:tcPr>
            <w:tcW w:w="1247" w:type="dxa"/>
            <w:shd w:val="clear" w:color="auto" w:fill="auto"/>
            <w:vAlign w:val="center"/>
          </w:tcPr>
          <w:p w14:paraId="3A670B89" w14:textId="77777777" w:rsidR="00550028" w:rsidRPr="007A77BA" w:rsidRDefault="00550028" w:rsidP="00550028">
            <w:pPr>
              <w:autoSpaceDE w:val="0"/>
              <w:autoSpaceDN w:val="0"/>
              <w:adjustRightInd w:val="0"/>
              <w:spacing w:after="0"/>
              <w:rPr>
                <w:color w:val="auto"/>
                <w:spacing w:val="-4"/>
                <w:sz w:val="20"/>
              </w:rPr>
            </w:pPr>
            <w:r w:rsidRPr="007A77BA">
              <w:rPr>
                <w:color w:val="auto"/>
                <w:spacing w:val="-4"/>
                <w:sz w:val="20"/>
              </w:rPr>
              <w:t>The Netherl.</w:t>
            </w:r>
          </w:p>
        </w:tc>
        <w:tc>
          <w:tcPr>
            <w:tcW w:w="1155" w:type="dxa"/>
            <w:shd w:val="clear" w:color="auto" w:fill="auto"/>
            <w:vAlign w:val="center"/>
          </w:tcPr>
          <w:p w14:paraId="1E3248C9" w14:textId="4A551705"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w:t>
            </w:r>
            <w:r>
              <w:rPr>
                <w:rStyle w:val="Hyperlink"/>
                <w:color w:val="auto"/>
                <w:sz w:val="20"/>
                <w:u w:val="none"/>
              </w:rPr>
              <w:t>2</w:t>
            </w:r>
            <w:r w:rsidR="006E4DC0">
              <w:rPr>
                <w:rStyle w:val="Hyperlink"/>
                <w:color w:val="auto"/>
                <w:sz w:val="20"/>
                <w:u w:val="none"/>
              </w:rPr>
              <w:t>*</w:t>
            </w:r>
          </w:p>
        </w:tc>
      </w:tr>
      <w:tr w:rsidR="00550028" w:rsidRPr="007A77BA" w14:paraId="6C6970A7" w14:textId="77777777" w:rsidTr="00550028">
        <w:trPr>
          <w:trHeight w:val="255"/>
        </w:trPr>
        <w:tc>
          <w:tcPr>
            <w:tcW w:w="421" w:type="dxa"/>
            <w:shd w:val="clear" w:color="auto" w:fill="auto"/>
            <w:vAlign w:val="center"/>
          </w:tcPr>
          <w:p w14:paraId="61A20A20"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26</w:t>
            </w:r>
          </w:p>
        </w:tc>
        <w:tc>
          <w:tcPr>
            <w:tcW w:w="2211" w:type="dxa"/>
            <w:shd w:val="clear" w:color="auto" w:fill="auto"/>
            <w:vAlign w:val="center"/>
          </w:tcPr>
          <w:p w14:paraId="206B5E2B"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Lawton, Richard </w:t>
            </w:r>
          </w:p>
        </w:tc>
        <w:tc>
          <w:tcPr>
            <w:tcW w:w="3061" w:type="dxa"/>
            <w:shd w:val="clear" w:color="auto" w:fill="auto"/>
            <w:vAlign w:val="center"/>
          </w:tcPr>
          <w:p w14:paraId="52086AB7" w14:textId="77777777" w:rsidR="00550028" w:rsidRPr="007A77BA" w:rsidRDefault="00550028" w:rsidP="00550028">
            <w:pPr>
              <w:autoSpaceDE w:val="0"/>
              <w:autoSpaceDN w:val="0"/>
              <w:adjustRightInd w:val="0"/>
              <w:spacing w:after="0"/>
              <w:rPr>
                <w:color w:val="auto"/>
                <w:sz w:val="20"/>
              </w:rPr>
            </w:pPr>
            <w:r w:rsidRPr="007A77BA">
              <w:rPr>
                <w:color w:val="auto"/>
                <w:sz w:val="20"/>
              </w:rPr>
              <w:t>Cambridge Refr. Technology CRT</w:t>
            </w:r>
          </w:p>
        </w:tc>
        <w:tc>
          <w:tcPr>
            <w:tcW w:w="1247" w:type="dxa"/>
            <w:shd w:val="clear" w:color="auto" w:fill="auto"/>
            <w:vAlign w:val="center"/>
          </w:tcPr>
          <w:p w14:paraId="27F2D92E" w14:textId="77777777" w:rsidR="00550028" w:rsidRPr="007A77BA" w:rsidRDefault="00550028" w:rsidP="00550028">
            <w:pPr>
              <w:autoSpaceDE w:val="0"/>
              <w:autoSpaceDN w:val="0"/>
              <w:adjustRightInd w:val="0"/>
              <w:spacing w:after="0"/>
              <w:rPr>
                <w:color w:val="auto"/>
                <w:sz w:val="20"/>
              </w:rPr>
            </w:pPr>
            <w:r w:rsidRPr="007A77BA">
              <w:rPr>
                <w:color w:val="auto"/>
                <w:sz w:val="20"/>
              </w:rPr>
              <w:t>UK</w:t>
            </w:r>
          </w:p>
        </w:tc>
        <w:tc>
          <w:tcPr>
            <w:tcW w:w="1155" w:type="dxa"/>
            <w:shd w:val="clear" w:color="auto" w:fill="auto"/>
            <w:vAlign w:val="center"/>
          </w:tcPr>
          <w:p w14:paraId="2A82865D" w14:textId="3D60E5F8"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6988BFDF" w14:textId="77777777" w:rsidTr="00550028">
        <w:trPr>
          <w:trHeight w:val="255"/>
        </w:trPr>
        <w:tc>
          <w:tcPr>
            <w:tcW w:w="421" w:type="dxa"/>
            <w:shd w:val="clear" w:color="auto" w:fill="auto"/>
            <w:vAlign w:val="center"/>
          </w:tcPr>
          <w:p w14:paraId="2413B2D4"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27</w:t>
            </w:r>
          </w:p>
        </w:tc>
        <w:tc>
          <w:tcPr>
            <w:tcW w:w="2211" w:type="dxa"/>
            <w:shd w:val="clear" w:color="auto" w:fill="auto"/>
            <w:vAlign w:val="center"/>
          </w:tcPr>
          <w:p w14:paraId="22C021BF"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Li, Tingxun </w:t>
            </w:r>
          </w:p>
        </w:tc>
        <w:tc>
          <w:tcPr>
            <w:tcW w:w="3061" w:type="dxa"/>
            <w:shd w:val="clear" w:color="auto" w:fill="auto"/>
            <w:vAlign w:val="center"/>
          </w:tcPr>
          <w:p w14:paraId="3FDB4EBD" w14:textId="77777777" w:rsidR="00550028" w:rsidRPr="007A77BA" w:rsidRDefault="00550028" w:rsidP="00550028">
            <w:pPr>
              <w:autoSpaceDE w:val="0"/>
              <w:autoSpaceDN w:val="0"/>
              <w:adjustRightInd w:val="0"/>
              <w:spacing w:after="0"/>
              <w:rPr>
                <w:color w:val="auto"/>
                <w:spacing w:val="-4"/>
                <w:sz w:val="20"/>
              </w:rPr>
            </w:pPr>
            <w:r w:rsidRPr="007A77BA">
              <w:rPr>
                <w:color w:val="auto"/>
                <w:spacing w:val="-4"/>
                <w:sz w:val="20"/>
              </w:rPr>
              <w:t>Guangzhou San Yat Sen University</w:t>
            </w:r>
          </w:p>
        </w:tc>
        <w:tc>
          <w:tcPr>
            <w:tcW w:w="1247" w:type="dxa"/>
            <w:shd w:val="clear" w:color="auto" w:fill="auto"/>
            <w:vAlign w:val="center"/>
          </w:tcPr>
          <w:p w14:paraId="5B6884E5" w14:textId="77777777" w:rsidR="00550028" w:rsidRPr="007A77BA" w:rsidRDefault="00550028" w:rsidP="00550028">
            <w:pPr>
              <w:autoSpaceDE w:val="0"/>
              <w:autoSpaceDN w:val="0"/>
              <w:adjustRightInd w:val="0"/>
              <w:spacing w:after="0"/>
              <w:rPr>
                <w:color w:val="auto"/>
                <w:sz w:val="20"/>
              </w:rPr>
            </w:pPr>
            <w:r w:rsidRPr="007A77BA">
              <w:rPr>
                <w:color w:val="auto"/>
                <w:sz w:val="20"/>
              </w:rPr>
              <w:t>PR China</w:t>
            </w:r>
          </w:p>
        </w:tc>
        <w:tc>
          <w:tcPr>
            <w:tcW w:w="1155" w:type="dxa"/>
            <w:shd w:val="clear" w:color="auto" w:fill="auto"/>
            <w:vAlign w:val="center"/>
          </w:tcPr>
          <w:p w14:paraId="53BF3608" w14:textId="49633C0D"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03007054" w14:textId="77777777" w:rsidTr="00550028">
        <w:trPr>
          <w:trHeight w:val="255"/>
        </w:trPr>
        <w:tc>
          <w:tcPr>
            <w:tcW w:w="421" w:type="dxa"/>
            <w:shd w:val="clear" w:color="auto" w:fill="auto"/>
            <w:vAlign w:val="center"/>
          </w:tcPr>
          <w:p w14:paraId="3E35CE97"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28</w:t>
            </w:r>
          </w:p>
        </w:tc>
        <w:tc>
          <w:tcPr>
            <w:tcW w:w="2211" w:type="dxa"/>
            <w:shd w:val="clear" w:color="auto" w:fill="auto"/>
            <w:vAlign w:val="center"/>
          </w:tcPr>
          <w:p w14:paraId="31434502" w14:textId="77777777" w:rsidR="00550028" w:rsidRPr="007A77BA" w:rsidRDefault="00550028" w:rsidP="00550028">
            <w:pPr>
              <w:autoSpaceDE w:val="0"/>
              <w:autoSpaceDN w:val="0"/>
              <w:adjustRightInd w:val="0"/>
              <w:spacing w:after="0"/>
              <w:rPr>
                <w:color w:val="auto"/>
                <w:sz w:val="20"/>
              </w:rPr>
            </w:pPr>
            <w:r w:rsidRPr="007A77BA">
              <w:rPr>
                <w:color w:val="auto"/>
                <w:sz w:val="20"/>
              </w:rPr>
              <w:t>Malvicino, Carloandrea</w:t>
            </w:r>
          </w:p>
        </w:tc>
        <w:tc>
          <w:tcPr>
            <w:tcW w:w="3061" w:type="dxa"/>
            <w:shd w:val="clear" w:color="auto" w:fill="auto"/>
            <w:vAlign w:val="center"/>
          </w:tcPr>
          <w:p w14:paraId="7CBB2282" w14:textId="77777777" w:rsidR="00550028" w:rsidRPr="007A77BA" w:rsidRDefault="00550028" w:rsidP="00550028">
            <w:pPr>
              <w:keepLines/>
              <w:spacing w:after="0"/>
              <w:rPr>
                <w:color w:val="auto"/>
                <w:sz w:val="20"/>
              </w:rPr>
            </w:pPr>
            <w:r w:rsidRPr="007A77BA">
              <w:rPr>
                <w:color w:val="auto"/>
                <w:sz w:val="20"/>
              </w:rPr>
              <w:t>FCA (Fiat)</w:t>
            </w:r>
          </w:p>
        </w:tc>
        <w:tc>
          <w:tcPr>
            <w:tcW w:w="1247" w:type="dxa"/>
            <w:shd w:val="clear" w:color="auto" w:fill="auto"/>
            <w:vAlign w:val="center"/>
          </w:tcPr>
          <w:p w14:paraId="3227CBB0" w14:textId="77777777" w:rsidR="00550028" w:rsidRPr="007A77BA" w:rsidRDefault="00550028" w:rsidP="00550028">
            <w:pPr>
              <w:autoSpaceDE w:val="0"/>
              <w:autoSpaceDN w:val="0"/>
              <w:adjustRightInd w:val="0"/>
              <w:spacing w:after="0"/>
              <w:rPr>
                <w:color w:val="auto"/>
                <w:sz w:val="20"/>
              </w:rPr>
            </w:pPr>
            <w:r w:rsidRPr="007A77BA">
              <w:rPr>
                <w:color w:val="auto"/>
                <w:sz w:val="20"/>
              </w:rPr>
              <w:t>Italy</w:t>
            </w:r>
          </w:p>
        </w:tc>
        <w:tc>
          <w:tcPr>
            <w:tcW w:w="1155" w:type="dxa"/>
            <w:shd w:val="clear" w:color="auto" w:fill="auto"/>
            <w:vAlign w:val="center"/>
          </w:tcPr>
          <w:p w14:paraId="3BBDFF85" w14:textId="7F039A35"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7AD1F80E" w14:textId="77777777" w:rsidTr="00550028">
        <w:trPr>
          <w:trHeight w:val="255"/>
        </w:trPr>
        <w:tc>
          <w:tcPr>
            <w:tcW w:w="421" w:type="dxa"/>
            <w:shd w:val="clear" w:color="auto" w:fill="auto"/>
            <w:vAlign w:val="center"/>
          </w:tcPr>
          <w:p w14:paraId="42E20648"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29</w:t>
            </w:r>
          </w:p>
        </w:tc>
        <w:tc>
          <w:tcPr>
            <w:tcW w:w="2211" w:type="dxa"/>
            <w:shd w:val="clear" w:color="auto" w:fill="auto"/>
            <w:vAlign w:val="center"/>
          </w:tcPr>
          <w:p w14:paraId="7417C1BC" w14:textId="77777777" w:rsidR="00550028" w:rsidRPr="007A77BA" w:rsidRDefault="00550028" w:rsidP="00550028">
            <w:pPr>
              <w:autoSpaceDE w:val="0"/>
              <w:autoSpaceDN w:val="0"/>
              <w:adjustRightInd w:val="0"/>
              <w:spacing w:after="0"/>
              <w:rPr>
                <w:color w:val="auto"/>
                <w:sz w:val="20"/>
              </w:rPr>
            </w:pPr>
            <w:r w:rsidRPr="007A77BA">
              <w:rPr>
                <w:color w:val="auto"/>
                <w:sz w:val="20"/>
              </w:rPr>
              <w:t>Mohan Lal D.</w:t>
            </w:r>
          </w:p>
        </w:tc>
        <w:tc>
          <w:tcPr>
            <w:tcW w:w="3061" w:type="dxa"/>
            <w:shd w:val="clear" w:color="auto" w:fill="auto"/>
            <w:vAlign w:val="center"/>
          </w:tcPr>
          <w:p w14:paraId="4E704860" w14:textId="77777777" w:rsidR="00550028" w:rsidRPr="007A77BA" w:rsidRDefault="00550028" w:rsidP="00550028">
            <w:pPr>
              <w:keepLines/>
              <w:spacing w:after="0"/>
              <w:rPr>
                <w:color w:val="auto"/>
                <w:sz w:val="20"/>
                <w:shd w:val="clear" w:color="auto" w:fill="FFFFFF"/>
              </w:rPr>
            </w:pPr>
            <w:r w:rsidRPr="007A77BA">
              <w:rPr>
                <w:color w:val="auto"/>
                <w:sz w:val="20"/>
                <w:shd w:val="clear" w:color="auto" w:fill="FFFFFF"/>
              </w:rPr>
              <w:t>Anna University, Chennai</w:t>
            </w:r>
          </w:p>
        </w:tc>
        <w:tc>
          <w:tcPr>
            <w:tcW w:w="1247" w:type="dxa"/>
            <w:shd w:val="clear" w:color="auto" w:fill="auto"/>
            <w:vAlign w:val="center"/>
          </w:tcPr>
          <w:p w14:paraId="4495671D" w14:textId="77777777" w:rsidR="00550028" w:rsidRPr="007A77BA" w:rsidRDefault="00550028" w:rsidP="00550028">
            <w:pPr>
              <w:autoSpaceDE w:val="0"/>
              <w:autoSpaceDN w:val="0"/>
              <w:adjustRightInd w:val="0"/>
              <w:spacing w:after="0"/>
              <w:rPr>
                <w:color w:val="auto"/>
                <w:sz w:val="20"/>
              </w:rPr>
            </w:pPr>
            <w:r w:rsidRPr="007A77BA">
              <w:rPr>
                <w:color w:val="auto"/>
                <w:sz w:val="20"/>
                <w:shd w:val="clear" w:color="auto" w:fill="FFFFFF"/>
              </w:rPr>
              <w:t>India</w:t>
            </w:r>
          </w:p>
        </w:tc>
        <w:tc>
          <w:tcPr>
            <w:tcW w:w="1155" w:type="dxa"/>
            <w:shd w:val="clear" w:color="auto" w:fill="auto"/>
            <w:vAlign w:val="center"/>
          </w:tcPr>
          <w:p w14:paraId="32A18E04" w14:textId="483FDB24" w:rsidR="00550028" w:rsidRPr="007A77BA" w:rsidRDefault="00550028" w:rsidP="00550028">
            <w:pPr>
              <w:autoSpaceDE w:val="0"/>
              <w:autoSpaceDN w:val="0"/>
              <w:adjustRightInd w:val="0"/>
              <w:spacing w:after="0"/>
              <w:jc w:val="center"/>
              <w:rPr>
                <w:rStyle w:val="Hyperlink"/>
                <w:color w:val="auto"/>
                <w:sz w:val="20"/>
                <w:u w:val="none"/>
                <w:shd w:val="clear" w:color="auto" w:fill="FFFFFF"/>
              </w:rPr>
            </w:pPr>
            <w:r w:rsidRPr="007A77BA">
              <w:rPr>
                <w:rStyle w:val="Hyperlink"/>
                <w:color w:val="auto"/>
                <w:sz w:val="20"/>
                <w:u w:val="none"/>
                <w:shd w:val="clear" w:color="auto" w:fill="FFFFFF"/>
              </w:rPr>
              <w:t>20</w:t>
            </w:r>
            <w:r>
              <w:rPr>
                <w:rStyle w:val="Hyperlink"/>
                <w:color w:val="auto"/>
                <w:sz w:val="20"/>
                <w:u w:val="none"/>
                <w:shd w:val="clear" w:color="auto" w:fill="FFFFFF"/>
              </w:rPr>
              <w:t>22</w:t>
            </w:r>
            <w:r w:rsidR="006E4DC0">
              <w:rPr>
                <w:rStyle w:val="Hyperlink"/>
                <w:color w:val="auto"/>
                <w:sz w:val="20"/>
                <w:u w:val="none"/>
                <w:shd w:val="clear" w:color="auto" w:fill="FFFFFF"/>
              </w:rPr>
              <w:t>*</w:t>
            </w:r>
          </w:p>
        </w:tc>
      </w:tr>
      <w:tr w:rsidR="00550028" w:rsidRPr="007A77BA" w14:paraId="55353D0B" w14:textId="77777777" w:rsidTr="00550028">
        <w:trPr>
          <w:trHeight w:val="255"/>
        </w:trPr>
        <w:tc>
          <w:tcPr>
            <w:tcW w:w="421" w:type="dxa"/>
            <w:shd w:val="clear" w:color="auto" w:fill="auto"/>
            <w:vAlign w:val="center"/>
          </w:tcPr>
          <w:p w14:paraId="642631A9"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30</w:t>
            </w:r>
          </w:p>
        </w:tc>
        <w:tc>
          <w:tcPr>
            <w:tcW w:w="2211" w:type="dxa"/>
            <w:shd w:val="clear" w:color="auto" w:fill="auto"/>
            <w:vAlign w:val="center"/>
          </w:tcPr>
          <w:p w14:paraId="284C14E9" w14:textId="77777777" w:rsidR="00550028" w:rsidRPr="007A77BA" w:rsidRDefault="00550028" w:rsidP="00550028">
            <w:pPr>
              <w:autoSpaceDE w:val="0"/>
              <w:autoSpaceDN w:val="0"/>
              <w:adjustRightInd w:val="0"/>
              <w:spacing w:after="0"/>
              <w:rPr>
                <w:color w:val="auto"/>
                <w:sz w:val="20"/>
              </w:rPr>
            </w:pPr>
            <w:r w:rsidRPr="007A77BA">
              <w:rPr>
                <w:color w:val="auto"/>
                <w:sz w:val="20"/>
              </w:rPr>
              <w:t>Mousa, Maher</w:t>
            </w:r>
          </w:p>
        </w:tc>
        <w:tc>
          <w:tcPr>
            <w:tcW w:w="3061" w:type="dxa"/>
            <w:shd w:val="clear" w:color="auto" w:fill="auto"/>
            <w:vAlign w:val="center"/>
          </w:tcPr>
          <w:p w14:paraId="09CAF36F" w14:textId="77777777" w:rsidR="00550028" w:rsidRPr="007A77BA" w:rsidRDefault="00550028" w:rsidP="00550028">
            <w:pPr>
              <w:autoSpaceDE w:val="0"/>
              <w:autoSpaceDN w:val="0"/>
              <w:adjustRightInd w:val="0"/>
              <w:spacing w:after="0"/>
              <w:rPr>
                <w:color w:val="auto"/>
                <w:sz w:val="20"/>
              </w:rPr>
            </w:pPr>
            <w:r w:rsidRPr="007A77BA">
              <w:rPr>
                <w:color w:val="auto"/>
                <w:sz w:val="20"/>
              </w:rPr>
              <w:t>MHM Consultancy</w:t>
            </w:r>
          </w:p>
        </w:tc>
        <w:tc>
          <w:tcPr>
            <w:tcW w:w="1247" w:type="dxa"/>
            <w:shd w:val="clear" w:color="auto" w:fill="auto"/>
            <w:vAlign w:val="center"/>
          </w:tcPr>
          <w:p w14:paraId="49E9930F" w14:textId="77777777" w:rsidR="00550028" w:rsidRPr="007A77BA" w:rsidRDefault="00550028" w:rsidP="00550028">
            <w:pPr>
              <w:autoSpaceDE w:val="0"/>
              <w:autoSpaceDN w:val="0"/>
              <w:adjustRightInd w:val="0"/>
              <w:spacing w:after="0"/>
              <w:rPr>
                <w:color w:val="auto"/>
                <w:spacing w:val="-2"/>
                <w:sz w:val="20"/>
              </w:rPr>
            </w:pPr>
            <w:r w:rsidRPr="007A77BA">
              <w:rPr>
                <w:color w:val="auto"/>
                <w:spacing w:val="-2"/>
                <w:sz w:val="20"/>
              </w:rPr>
              <w:t>Saudi Arabia</w:t>
            </w:r>
          </w:p>
        </w:tc>
        <w:tc>
          <w:tcPr>
            <w:tcW w:w="1155" w:type="dxa"/>
            <w:shd w:val="clear" w:color="auto" w:fill="auto"/>
            <w:vAlign w:val="center"/>
          </w:tcPr>
          <w:p w14:paraId="20BB86F6" w14:textId="54C6BF88"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w:t>
            </w:r>
            <w:r>
              <w:rPr>
                <w:rStyle w:val="Hyperlink"/>
                <w:color w:val="auto"/>
                <w:sz w:val="20"/>
                <w:u w:val="none"/>
              </w:rPr>
              <w:t>22</w:t>
            </w:r>
            <w:r w:rsidR="006E4DC0">
              <w:rPr>
                <w:rStyle w:val="Hyperlink"/>
                <w:color w:val="auto"/>
                <w:sz w:val="20"/>
                <w:u w:val="none"/>
              </w:rPr>
              <w:t>*</w:t>
            </w:r>
          </w:p>
        </w:tc>
      </w:tr>
      <w:tr w:rsidR="00550028" w:rsidRPr="007A77BA" w14:paraId="00A7F7D7" w14:textId="77777777" w:rsidTr="00550028">
        <w:trPr>
          <w:trHeight w:val="255"/>
        </w:trPr>
        <w:tc>
          <w:tcPr>
            <w:tcW w:w="421" w:type="dxa"/>
            <w:shd w:val="clear" w:color="auto" w:fill="auto"/>
            <w:vAlign w:val="center"/>
          </w:tcPr>
          <w:p w14:paraId="7673B93E"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31</w:t>
            </w:r>
          </w:p>
        </w:tc>
        <w:tc>
          <w:tcPr>
            <w:tcW w:w="2211" w:type="dxa"/>
            <w:shd w:val="clear" w:color="auto" w:fill="auto"/>
            <w:vAlign w:val="center"/>
          </w:tcPr>
          <w:p w14:paraId="50966F17"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Nekså, Petter </w:t>
            </w:r>
          </w:p>
        </w:tc>
        <w:tc>
          <w:tcPr>
            <w:tcW w:w="3061" w:type="dxa"/>
            <w:shd w:val="clear" w:color="auto" w:fill="auto"/>
            <w:vAlign w:val="center"/>
          </w:tcPr>
          <w:p w14:paraId="3630B107" w14:textId="77777777" w:rsidR="00550028" w:rsidRPr="007A77BA" w:rsidRDefault="00550028" w:rsidP="00550028">
            <w:pPr>
              <w:autoSpaceDE w:val="0"/>
              <w:autoSpaceDN w:val="0"/>
              <w:adjustRightInd w:val="0"/>
              <w:spacing w:after="0"/>
              <w:rPr>
                <w:color w:val="auto"/>
                <w:sz w:val="20"/>
              </w:rPr>
            </w:pPr>
            <w:r w:rsidRPr="007A77BA">
              <w:rPr>
                <w:color w:val="auto"/>
                <w:sz w:val="20"/>
              </w:rPr>
              <w:t>SINTEF Energy Research</w:t>
            </w:r>
          </w:p>
        </w:tc>
        <w:tc>
          <w:tcPr>
            <w:tcW w:w="1247" w:type="dxa"/>
            <w:shd w:val="clear" w:color="auto" w:fill="auto"/>
            <w:vAlign w:val="center"/>
          </w:tcPr>
          <w:p w14:paraId="0504340F" w14:textId="77777777" w:rsidR="00550028" w:rsidRPr="007A77BA" w:rsidRDefault="00550028" w:rsidP="00550028">
            <w:pPr>
              <w:autoSpaceDE w:val="0"/>
              <w:autoSpaceDN w:val="0"/>
              <w:adjustRightInd w:val="0"/>
              <w:spacing w:after="0"/>
              <w:rPr>
                <w:color w:val="auto"/>
                <w:sz w:val="20"/>
              </w:rPr>
            </w:pPr>
            <w:r w:rsidRPr="007A77BA">
              <w:rPr>
                <w:color w:val="auto"/>
                <w:sz w:val="20"/>
              </w:rPr>
              <w:t>Norway</w:t>
            </w:r>
          </w:p>
        </w:tc>
        <w:tc>
          <w:tcPr>
            <w:tcW w:w="1155" w:type="dxa"/>
            <w:shd w:val="clear" w:color="auto" w:fill="auto"/>
            <w:vAlign w:val="center"/>
          </w:tcPr>
          <w:p w14:paraId="0D4DE71D" w14:textId="67AE9ADF"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2FFEA822" w14:textId="77777777" w:rsidTr="00550028">
        <w:trPr>
          <w:trHeight w:val="255"/>
        </w:trPr>
        <w:tc>
          <w:tcPr>
            <w:tcW w:w="421" w:type="dxa"/>
            <w:shd w:val="clear" w:color="auto" w:fill="auto"/>
            <w:vAlign w:val="center"/>
          </w:tcPr>
          <w:p w14:paraId="46DB9E57"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32</w:t>
            </w:r>
          </w:p>
        </w:tc>
        <w:tc>
          <w:tcPr>
            <w:tcW w:w="2211" w:type="dxa"/>
            <w:shd w:val="clear" w:color="auto" w:fill="auto"/>
            <w:vAlign w:val="center"/>
          </w:tcPr>
          <w:p w14:paraId="72564206"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Nelson, Horace </w:t>
            </w:r>
          </w:p>
        </w:tc>
        <w:tc>
          <w:tcPr>
            <w:tcW w:w="3061" w:type="dxa"/>
            <w:shd w:val="clear" w:color="auto" w:fill="auto"/>
            <w:vAlign w:val="center"/>
          </w:tcPr>
          <w:p w14:paraId="722FE45A" w14:textId="77777777" w:rsidR="00550028" w:rsidRPr="007A77BA" w:rsidRDefault="00550028" w:rsidP="00550028">
            <w:pPr>
              <w:autoSpaceDE w:val="0"/>
              <w:autoSpaceDN w:val="0"/>
              <w:adjustRightInd w:val="0"/>
              <w:spacing w:after="0"/>
              <w:rPr>
                <w:color w:val="auto"/>
                <w:sz w:val="20"/>
              </w:rPr>
            </w:pPr>
            <w:r w:rsidRPr="007A77BA">
              <w:rPr>
                <w:color w:val="auto"/>
                <w:sz w:val="20"/>
              </w:rPr>
              <w:t>Independent expert</w:t>
            </w:r>
          </w:p>
        </w:tc>
        <w:tc>
          <w:tcPr>
            <w:tcW w:w="1247" w:type="dxa"/>
            <w:shd w:val="clear" w:color="auto" w:fill="auto"/>
            <w:vAlign w:val="center"/>
          </w:tcPr>
          <w:p w14:paraId="32583A6C" w14:textId="77777777" w:rsidR="00550028" w:rsidRPr="007A77BA" w:rsidRDefault="00550028" w:rsidP="00550028">
            <w:pPr>
              <w:autoSpaceDE w:val="0"/>
              <w:autoSpaceDN w:val="0"/>
              <w:adjustRightInd w:val="0"/>
              <w:spacing w:after="0"/>
              <w:rPr>
                <w:color w:val="auto"/>
                <w:sz w:val="20"/>
              </w:rPr>
            </w:pPr>
            <w:r w:rsidRPr="007A77BA">
              <w:rPr>
                <w:color w:val="auto"/>
                <w:sz w:val="20"/>
              </w:rPr>
              <w:t>Jamaica</w:t>
            </w:r>
          </w:p>
        </w:tc>
        <w:tc>
          <w:tcPr>
            <w:tcW w:w="1155" w:type="dxa"/>
            <w:shd w:val="clear" w:color="auto" w:fill="auto"/>
            <w:vAlign w:val="center"/>
          </w:tcPr>
          <w:p w14:paraId="7DC60019" w14:textId="15BA71B6"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64CC9C75" w14:textId="77777777" w:rsidTr="00550028">
        <w:trPr>
          <w:trHeight w:val="255"/>
        </w:trPr>
        <w:tc>
          <w:tcPr>
            <w:tcW w:w="421" w:type="dxa"/>
            <w:shd w:val="clear" w:color="auto" w:fill="auto"/>
            <w:vAlign w:val="center"/>
          </w:tcPr>
          <w:p w14:paraId="5784ED4D"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33</w:t>
            </w:r>
          </w:p>
        </w:tc>
        <w:tc>
          <w:tcPr>
            <w:tcW w:w="2211" w:type="dxa"/>
            <w:shd w:val="clear" w:color="auto" w:fill="auto"/>
            <w:vAlign w:val="center"/>
          </w:tcPr>
          <w:p w14:paraId="219091B8"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Okada, Tetsuji </w:t>
            </w:r>
          </w:p>
        </w:tc>
        <w:tc>
          <w:tcPr>
            <w:tcW w:w="3061" w:type="dxa"/>
            <w:shd w:val="clear" w:color="auto" w:fill="auto"/>
            <w:vAlign w:val="center"/>
          </w:tcPr>
          <w:p w14:paraId="42330527" w14:textId="77777777" w:rsidR="00550028" w:rsidRPr="007A77BA" w:rsidRDefault="00550028" w:rsidP="00550028">
            <w:pPr>
              <w:autoSpaceDE w:val="0"/>
              <w:autoSpaceDN w:val="0"/>
              <w:adjustRightInd w:val="0"/>
              <w:spacing w:after="0"/>
              <w:rPr>
                <w:color w:val="auto"/>
                <w:sz w:val="20"/>
                <w:lang w:val="pt-BR"/>
              </w:rPr>
            </w:pPr>
            <w:r w:rsidRPr="007A77BA">
              <w:rPr>
                <w:color w:val="auto"/>
                <w:sz w:val="20"/>
                <w:lang w:val="pt-BR"/>
              </w:rPr>
              <w:t>JRAIA</w:t>
            </w:r>
          </w:p>
        </w:tc>
        <w:tc>
          <w:tcPr>
            <w:tcW w:w="1247" w:type="dxa"/>
            <w:shd w:val="clear" w:color="auto" w:fill="auto"/>
            <w:vAlign w:val="center"/>
          </w:tcPr>
          <w:p w14:paraId="3A5983AF" w14:textId="77777777" w:rsidR="00550028" w:rsidRPr="007A77BA" w:rsidRDefault="00550028" w:rsidP="00550028">
            <w:pPr>
              <w:autoSpaceDE w:val="0"/>
              <w:autoSpaceDN w:val="0"/>
              <w:adjustRightInd w:val="0"/>
              <w:spacing w:after="0"/>
              <w:rPr>
                <w:color w:val="auto"/>
                <w:sz w:val="20"/>
              </w:rPr>
            </w:pPr>
            <w:r w:rsidRPr="007A77BA">
              <w:rPr>
                <w:color w:val="auto"/>
                <w:sz w:val="20"/>
              </w:rPr>
              <w:t>Japan</w:t>
            </w:r>
          </w:p>
        </w:tc>
        <w:tc>
          <w:tcPr>
            <w:tcW w:w="1155" w:type="dxa"/>
            <w:shd w:val="clear" w:color="auto" w:fill="auto"/>
            <w:vAlign w:val="center"/>
          </w:tcPr>
          <w:p w14:paraId="171D943D" w14:textId="2CA8FD87"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4BD5ECDD" w14:textId="77777777" w:rsidTr="00550028">
        <w:trPr>
          <w:trHeight w:val="255"/>
        </w:trPr>
        <w:tc>
          <w:tcPr>
            <w:tcW w:w="421" w:type="dxa"/>
            <w:shd w:val="clear" w:color="auto" w:fill="auto"/>
            <w:vAlign w:val="center"/>
          </w:tcPr>
          <w:p w14:paraId="189B2C78"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34</w:t>
            </w:r>
          </w:p>
        </w:tc>
        <w:tc>
          <w:tcPr>
            <w:tcW w:w="2211" w:type="dxa"/>
            <w:shd w:val="clear" w:color="auto" w:fill="auto"/>
            <w:vAlign w:val="center"/>
          </w:tcPr>
          <w:p w14:paraId="1405A3A8"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Olama, Alaa M. </w:t>
            </w:r>
          </w:p>
        </w:tc>
        <w:tc>
          <w:tcPr>
            <w:tcW w:w="3061" w:type="dxa"/>
            <w:shd w:val="clear" w:color="auto" w:fill="auto"/>
            <w:vAlign w:val="center"/>
          </w:tcPr>
          <w:p w14:paraId="37641004" w14:textId="77777777" w:rsidR="00550028" w:rsidRPr="007A77BA" w:rsidRDefault="00550028" w:rsidP="00550028">
            <w:pPr>
              <w:autoSpaceDE w:val="0"/>
              <w:autoSpaceDN w:val="0"/>
              <w:adjustRightInd w:val="0"/>
              <w:spacing w:after="0"/>
              <w:rPr>
                <w:color w:val="auto"/>
                <w:sz w:val="20"/>
              </w:rPr>
            </w:pPr>
            <w:r w:rsidRPr="007A77BA">
              <w:rPr>
                <w:color w:val="auto"/>
                <w:sz w:val="20"/>
              </w:rPr>
              <w:t>Consultancy</w:t>
            </w:r>
          </w:p>
        </w:tc>
        <w:tc>
          <w:tcPr>
            <w:tcW w:w="1247" w:type="dxa"/>
            <w:shd w:val="clear" w:color="auto" w:fill="auto"/>
            <w:vAlign w:val="center"/>
          </w:tcPr>
          <w:p w14:paraId="14C734D5" w14:textId="77777777" w:rsidR="00550028" w:rsidRPr="007A77BA" w:rsidRDefault="00550028" w:rsidP="00550028">
            <w:pPr>
              <w:autoSpaceDE w:val="0"/>
              <w:autoSpaceDN w:val="0"/>
              <w:adjustRightInd w:val="0"/>
              <w:spacing w:after="0"/>
              <w:rPr>
                <w:color w:val="auto"/>
                <w:sz w:val="20"/>
              </w:rPr>
            </w:pPr>
            <w:r w:rsidRPr="007A77BA">
              <w:rPr>
                <w:color w:val="auto"/>
                <w:sz w:val="20"/>
              </w:rPr>
              <w:t>Egypt</w:t>
            </w:r>
          </w:p>
        </w:tc>
        <w:tc>
          <w:tcPr>
            <w:tcW w:w="1155" w:type="dxa"/>
            <w:shd w:val="clear" w:color="auto" w:fill="auto"/>
            <w:vAlign w:val="center"/>
          </w:tcPr>
          <w:p w14:paraId="39429EE1" w14:textId="6A12F689"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3C2D1F9D" w14:textId="77777777" w:rsidTr="00550028">
        <w:trPr>
          <w:trHeight w:val="255"/>
        </w:trPr>
        <w:tc>
          <w:tcPr>
            <w:tcW w:w="421" w:type="dxa"/>
            <w:shd w:val="clear" w:color="auto" w:fill="auto"/>
            <w:vAlign w:val="center"/>
          </w:tcPr>
          <w:p w14:paraId="68ECACEE"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35</w:t>
            </w:r>
          </w:p>
        </w:tc>
        <w:tc>
          <w:tcPr>
            <w:tcW w:w="2211" w:type="dxa"/>
            <w:shd w:val="clear" w:color="auto" w:fill="auto"/>
            <w:vAlign w:val="center"/>
          </w:tcPr>
          <w:p w14:paraId="5AB30DB6"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Pachai, Alexander C. </w:t>
            </w:r>
          </w:p>
        </w:tc>
        <w:tc>
          <w:tcPr>
            <w:tcW w:w="3061" w:type="dxa"/>
            <w:shd w:val="clear" w:color="auto" w:fill="auto"/>
            <w:vAlign w:val="center"/>
          </w:tcPr>
          <w:p w14:paraId="2221E47F" w14:textId="77777777" w:rsidR="00550028" w:rsidRPr="007A77BA" w:rsidRDefault="00550028" w:rsidP="00550028">
            <w:pPr>
              <w:autoSpaceDE w:val="0"/>
              <w:autoSpaceDN w:val="0"/>
              <w:adjustRightInd w:val="0"/>
              <w:spacing w:after="0"/>
              <w:rPr>
                <w:color w:val="auto"/>
                <w:sz w:val="20"/>
              </w:rPr>
            </w:pPr>
            <w:r w:rsidRPr="007A77BA">
              <w:rPr>
                <w:color w:val="auto"/>
                <w:sz w:val="20"/>
              </w:rPr>
              <w:t>Johnson Controls, JCI</w:t>
            </w:r>
          </w:p>
        </w:tc>
        <w:tc>
          <w:tcPr>
            <w:tcW w:w="1247" w:type="dxa"/>
            <w:shd w:val="clear" w:color="auto" w:fill="auto"/>
            <w:vAlign w:val="center"/>
          </w:tcPr>
          <w:p w14:paraId="0947ACC3" w14:textId="77777777" w:rsidR="00550028" w:rsidRPr="007A77BA" w:rsidRDefault="00550028" w:rsidP="00550028">
            <w:pPr>
              <w:autoSpaceDE w:val="0"/>
              <w:autoSpaceDN w:val="0"/>
              <w:adjustRightInd w:val="0"/>
              <w:spacing w:after="0"/>
              <w:rPr>
                <w:color w:val="auto"/>
                <w:sz w:val="20"/>
              </w:rPr>
            </w:pPr>
            <w:r w:rsidRPr="007A77BA">
              <w:rPr>
                <w:color w:val="auto"/>
                <w:sz w:val="20"/>
              </w:rPr>
              <w:t>Denmark</w:t>
            </w:r>
          </w:p>
        </w:tc>
        <w:tc>
          <w:tcPr>
            <w:tcW w:w="1155" w:type="dxa"/>
            <w:shd w:val="clear" w:color="auto" w:fill="auto"/>
            <w:vAlign w:val="center"/>
          </w:tcPr>
          <w:p w14:paraId="1DBB7967" w14:textId="7488E572"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1AFC7D56" w14:textId="77777777" w:rsidTr="00550028">
        <w:trPr>
          <w:trHeight w:val="255"/>
        </w:trPr>
        <w:tc>
          <w:tcPr>
            <w:tcW w:w="421" w:type="dxa"/>
            <w:shd w:val="clear" w:color="auto" w:fill="auto"/>
            <w:vAlign w:val="center"/>
          </w:tcPr>
          <w:p w14:paraId="2A22908B"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36</w:t>
            </w:r>
          </w:p>
        </w:tc>
        <w:tc>
          <w:tcPr>
            <w:tcW w:w="2211" w:type="dxa"/>
            <w:shd w:val="clear" w:color="auto" w:fill="auto"/>
            <w:vAlign w:val="center"/>
          </w:tcPr>
          <w:p w14:paraId="0B0FFB6B"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Pedersen, Per Henrik </w:t>
            </w:r>
          </w:p>
        </w:tc>
        <w:tc>
          <w:tcPr>
            <w:tcW w:w="3061" w:type="dxa"/>
            <w:shd w:val="clear" w:color="auto" w:fill="auto"/>
            <w:vAlign w:val="center"/>
          </w:tcPr>
          <w:p w14:paraId="7F2CDFF4" w14:textId="77777777" w:rsidR="00550028" w:rsidRPr="007A77BA" w:rsidRDefault="00550028" w:rsidP="00550028">
            <w:pPr>
              <w:autoSpaceDE w:val="0"/>
              <w:autoSpaceDN w:val="0"/>
              <w:adjustRightInd w:val="0"/>
              <w:spacing w:after="0"/>
              <w:rPr>
                <w:color w:val="auto"/>
                <w:sz w:val="20"/>
              </w:rPr>
            </w:pPr>
            <w:r w:rsidRPr="007A77BA">
              <w:rPr>
                <w:color w:val="auto"/>
                <w:sz w:val="20"/>
              </w:rPr>
              <w:t>DTI, Consultant</w:t>
            </w:r>
          </w:p>
        </w:tc>
        <w:tc>
          <w:tcPr>
            <w:tcW w:w="1247" w:type="dxa"/>
            <w:shd w:val="clear" w:color="auto" w:fill="auto"/>
            <w:vAlign w:val="center"/>
          </w:tcPr>
          <w:p w14:paraId="77989AA9" w14:textId="77777777" w:rsidR="00550028" w:rsidRPr="007A77BA" w:rsidRDefault="00550028" w:rsidP="00550028">
            <w:pPr>
              <w:autoSpaceDE w:val="0"/>
              <w:autoSpaceDN w:val="0"/>
              <w:adjustRightInd w:val="0"/>
              <w:spacing w:after="0"/>
              <w:rPr>
                <w:color w:val="auto"/>
                <w:sz w:val="20"/>
              </w:rPr>
            </w:pPr>
            <w:r w:rsidRPr="007A77BA">
              <w:rPr>
                <w:color w:val="auto"/>
                <w:sz w:val="20"/>
              </w:rPr>
              <w:t>Denmark</w:t>
            </w:r>
          </w:p>
        </w:tc>
        <w:tc>
          <w:tcPr>
            <w:tcW w:w="1155" w:type="dxa"/>
            <w:shd w:val="clear" w:color="auto" w:fill="auto"/>
            <w:vAlign w:val="center"/>
          </w:tcPr>
          <w:p w14:paraId="34722B86" w14:textId="42D73409"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2A0FC8DF" w14:textId="77777777" w:rsidTr="00550028">
        <w:trPr>
          <w:trHeight w:val="255"/>
        </w:trPr>
        <w:tc>
          <w:tcPr>
            <w:tcW w:w="421" w:type="dxa"/>
            <w:shd w:val="clear" w:color="auto" w:fill="auto"/>
            <w:vAlign w:val="center"/>
          </w:tcPr>
          <w:p w14:paraId="636114EC"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37</w:t>
            </w:r>
          </w:p>
        </w:tc>
        <w:tc>
          <w:tcPr>
            <w:tcW w:w="2211" w:type="dxa"/>
            <w:shd w:val="clear" w:color="auto" w:fill="auto"/>
            <w:vAlign w:val="center"/>
          </w:tcPr>
          <w:p w14:paraId="1E6C82EB"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Rajendran, Rajan </w:t>
            </w:r>
          </w:p>
        </w:tc>
        <w:tc>
          <w:tcPr>
            <w:tcW w:w="3061" w:type="dxa"/>
            <w:shd w:val="clear" w:color="auto" w:fill="auto"/>
            <w:vAlign w:val="center"/>
          </w:tcPr>
          <w:p w14:paraId="43E73B66" w14:textId="77777777" w:rsidR="00550028" w:rsidRPr="007A77BA" w:rsidRDefault="00550028" w:rsidP="00550028">
            <w:pPr>
              <w:autoSpaceDE w:val="0"/>
              <w:autoSpaceDN w:val="0"/>
              <w:adjustRightInd w:val="0"/>
              <w:spacing w:after="0"/>
              <w:rPr>
                <w:color w:val="auto"/>
                <w:sz w:val="20"/>
              </w:rPr>
            </w:pPr>
            <w:r w:rsidRPr="007A77BA">
              <w:rPr>
                <w:color w:val="auto"/>
                <w:sz w:val="20"/>
              </w:rPr>
              <w:t>Emerson</w:t>
            </w:r>
          </w:p>
        </w:tc>
        <w:tc>
          <w:tcPr>
            <w:tcW w:w="1247" w:type="dxa"/>
            <w:shd w:val="clear" w:color="auto" w:fill="auto"/>
            <w:vAlign w:val="center"/>
          </w:tcPr>
          <w:p w14:paraId="18DEA394" w14:textId="77777777" w:rsidR="00550028" w:rsidRPr="007A77BA" w:rsidRDefault="00550028" w:rsidP="00550028">
            <w:pPr>
              <w:autoSpaceDE w:val="0"/>
              <w:autoSpaceDN w:val="0"/>
              <w:adjustRightInd w:val="0"/>
              <w:spacing w:after="0"/>
              <w:rPr>
                <w:color w:val="auto"/>
                <w:sz w:val="20"/>
              </w:rPr>
            </w:pPr>
            <w:r w:rsidRPr="007A77BA">
              <w:rPr>
                <w:color w:val="auto"/>
                <w:sz w:val="20"/>
              </w:rPr>
              <w:t>USA</w:t>
            </w:r>
          </w:p>
        </w:tc>
        <w:tc>
          <w:tcPr>
            <w:tcW w:w="1155" w:type="dxa"/>
            <w:shd w:val="clear" w:color="auto" w:fill="auto"/>
            <w:vAlign w:val="center"/>
          </w:tcPr>
          <w:p w14:paraId="30363158" w14:textId="54F40D38"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465E95BB" w14:textId="77777777" w:rsidTr="00550028">
        <w:trPr>
          <w:trHeight w:val="255"/>
        </w:trPr>
        <w:tc>
          <w:tcPr>
            <w:tcW w:w="421" w:type="dxa"/>
            <w:shd w:val="clear" w:color="auto" w:fill="auto"/>
            <w:vAlign w:val="center"/>
          </w:tcPr>
          <w:p w14:paraId="3A99ECED"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38</w:t>
            </w:r>
          </w:p>
        </w:tc>
        <w:tc>
          <w:tcPr>
            <w:tcW w:w="2211" w:type="dxa"/>
            <w:shd w:val="clear" w:color="auto" w:fill="auto"/>
            <w:vAlign w:val="center"/>
          </w:tcPr>
          <w:p w14:paraId="3E2318BD" w14:textId="77777777" w:rsidR="00550028" w:rsidRPr="007A77BA" w:rsidRDefault="00550028" w:rsidP="00550028">
            <w:pPr>
              <w:autoSpaceDE w:val="0"/>
              <w:autoSpaceDN w:val="0"/>
              <w:adjustRightInd w:val="0"/>
              <w:spacing w:after="0"/>
              <w:rPr>
                <w:color w:val="auto"/>
                <w:sz w:val="20"/>
              </w:rPr>
            </w:pPr>
            <w:r w:rsidRPr="007A77BA">
              <w:rPr>
                <w:color w:val="auto"/>
                <w:sz w:val="20"/>
              </w:rPr>
              <w:t>Rochat, Helene</w:t>
            </w:r>
          </w:p>
        </w:tc>
        <w:tc>
          <w:tcPr>
            <w:tcW w:w="3061" w:type="dxa"/>
            <w:shd w:val="clear" w:color="auto" w:fill="auto"/>
            <w:vAlign w:val="center"/>
          </w:tcPr>
          <w:p w14:paraId="6378DFED" w14:textId="77777777" w:rsidR="00550028" w:rsidRPr="007A77BA" w:rsidRDefault="00550028" w:rsidP="00550028">
            <w:pPr>
              <w:autoSpaceDE w:val="0"/>
              <w:autoSpaceDN w:val="0"/>
              <w:adjustRightInd w:val="0"/>
              <w:spacing w:after="0"/>
              <w:rPr>
                <w:color w:val="auto"/>
                <w:sz w:val="20"/>
              </w:rPr>
            </w:pPr>
            <w:r w:rsidRPr="007A77BA">
              <w:rPr>
                <w:color w:val="auto"/>
                <w:sz w:val="20"/>
              </w:rPr>
              <w:t>TopTen</w:t>
            </w:r>
          </w:p>
        </w:tc>
        <w:tc>
          <w:tcPr>
            <w:tcW w:w="1247" w:type="dxa"/>
            <w:shd w:val="clear" w:color="auto" w:fill="auto"/>
            <w:vAlign w:val="center"/>
          </w:tcPr>
          <w:p w14:paraId="2F337C10" w14:textId="77777777" w:rsidR="00550028" w:rsidRPr="007A77BA" w:rsidRDefault="00550028" w:rsidP="00550028">
            <w:pPr>
              <w:autoSpaceDE w:val="0"/>
              <w:autoSpaceDN w:val="0"/>
              <w:adjustRightInd w:val="0"/>
              <w:spacing w:after="0"/>
              <w:rPr>
                <w:color w:val="auto"/>
                <w:sz w:val="20"/>
              </w:rPr>
            </w:pPr>
            <w:r w:rsidRPr="007A77BA">
              <w:rPr>
                <w:color w:val="auto"/>
                <w:sz w:val="20"/>
              </w:rPr>
              <w:t>Switzerland</w:t>
            </w:r>
          </w:p>
        </w:tc>
        <w:tc>
          <w:tcPr>
            <w:tcW w:w="1155" w:type="dxa"/>
            <w:shd w:val="clear" w:color="auto" w:fill="auto"/>
            <w:vAlign w:val="center"/>
          </w:tcPr>
          <w:p w14:paraId="652B3A0B" w14:textId="31ABEFEA"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2DF50E0C" w14:textId="77777777" w:rsidTr="00550028">
        <w:trPr>
          <w:trHeight w:val="255"/>
        </w:trPr>
        <w:tc>
          <w:tcPr>
            <w:tcW w:w="421" w:type="dxa"/>
            <w:shd w:val="clear" w:color="auto" w:fill="auto"/>
            <w:vAlign w:val="center"/>
          </w:tcPr>
          <w:p w14:paraId="35A309B1"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39</w:t>
            </w:r>
          </w:p>
        </w:tc>
        <w:tc>
          <w:tcPr>
            <w:tcW w:w="2211" w:type="dxa"/>
            <w:shd w:val="clear" w:color="auto" w:fill="auto"/>
            <w:vAlign w:val="center"/>
          </w:tcPr>
          <w:p w14:paraId="4AB78E36"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Rusignuolo, Giorgio </w:t>
            </w:r>
          </w:p>
        </w:tc>
        <w:tc>
          <w:tcPr>
            <w:tcW w:w="3061" w:type="dxa"/>
            <w:shd w:val="clear" w:color="auto" w:fill="auto"/>
            <w:vAlign w:val="center"/>
          </w:tcPr>
          <w:p w14:paraId="7ED78F52" w14:textId="77777777" w:rsidR="00550028" w:rsidRPr="007A77BA" w:rsidRDefault="00550028" w:rsidP="00550028">
            <w:pPr>
              <w:autoSpaceDE w:val="0"/>
              <w:autoSpaceDN w:val="0"/>
              <w:adjustRightInd w:val="0"/>
              <w:spacing w:after="0"/>
              <w:rPr>
                <w:color w:val="auto"/>
                <w:sz w:val="20"/>
              </w:rPr>
            </w:pPr>
            <w:r w:rsidRPr="007A77BA">
              <w:rPr>
                <w:color w:val="auto"/>
                <w:sz w:val="20"/>
              </w:rPr>
              <w:t>UTC Carrier</w:t>
            </w:r>
          </w:p>
        </w:tc>
        <w:tc>
          <w:tcPr>
            <w:tcW w:w="1247" w:type="dxa"/>
            <w:shd w:val="clear" w:color="auto" w:fill="auto"/>
            <w:vAlign w:val="center"/>
          </w:tcPr>
          <w:p w14:paraId="2EA23799" w14:textId="77777777" w:rsidR="00550028" w:rsidRPr="007A77BA" w:rsidRDefault="00550028" w:rsidP="00550028">
            <w:pPr>
              <w:autoSpaceDE w:val="0"/>
              <w:autoSpaceDN w:val="0"/>
              <w:adjustRightInd w:val="0"/>
              <w:spacing w:after="0"/>
              <w:rPr>
                <w:color w:val="auto"/>
                <w:sz w:val="20"/>
              </w:rPr>
            </w:pPr>
            <w:r w:rsidRPr="007A77BA">
              <w:rPr>
                <w:color w:val="auto"/>
                <w:sz w:val="20"/>
              </w:rPr>
              <w:t>USA</w:t>
            </w:r>
          </w:p>
        </w:tc>
        <w:tc>
          <w:tcPr>
            <w:tcW w:w="1155" w:type="dxa"/>
            <w:shd w:val="clear" w:color="auto" w:fill="auto"/>
            <w:vAlign w:val="center"/>
          </w:tcPr>
          <w:p w14:paraId="203BB755" w14:textId="2C1FC44B"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0CC67BA6" w14:textId="77777777" w:rsidTr="00550028">
        <w:trPr>
          <w:trHeight w:val="255"/>
        </w:trPr>
        <w:tc>
          <w:tcPr>
            <w:tcW w:w="421" w:type="dxa"/>
            <w:shd w:val="clear" w:color="auto" w:fill="auto"/>
            <w:vAlign w:val="center"/>
          </w:tcPr>
          <w:p w14:paraId="2D28B7DB"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40</w:t>
            </w:r>
          </w:p>
        </w:tc>
        <w:tc>
          <w:tcPr>
            <w:tcW w:w="2211" w:type="dxa"/>
            <w:shd w:val="clear" w:color="auto" w:fill="auto"/>
            <w:vAlign w:val="center"/>
          </w:tcPr>
          <w:p w14:paraId="0E2209B4"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Vonsild, Asbjørn </w:t>
            </w:r>
          </w:p>
        </w:tc>
        <w:tc>
          <w:tcPr>
            <w:tcW w:w="3061" w:type="dxa"/>
            <w:shd w:val="clear" w:color="auto" w:fill="auto"/>
            <w:vAlign w:val="center"/>
          </w:tcPr>
          <w:p w14:paraId="4ADAFA42" w14:textId="77777777" w:rsidR="00550028" w:rsidRPr="007A77BA" w:rsidRDefault="00550028" w:rsidP="00550028">
            <w:pPr>
              <w:autoSpaceDE w:val="0"/>
              <w:autoSpaceDN w:val="0"/>
              <w:adjustRightInd w:val="0"/>
              <w:spacing w:after="0"/>
              <w:rPr>
                <w:color w:val="auto"/>
                <w:sz w:val="20"/>
              </w:rPr>
            </w:pPr>
            <w:r w:rsidRPr="007A77BA">
              <w:rPr>
                <w:color w:val="auto"/>
                <w:sz w:val="20"/>
              </w:rPr>
              <w:t>Vonsild Consulting</w:t>
            </w:r>
          </w:p>
        </w:tc>
        <w:tc>
          <w:tcPr>
            <w:tcW w:w="1247" w:type="dxa"/>
            <w:shd w:val="clear" w:color="auto" w:fill="auto"/>
            <w:vAlign w:val="center"/>
          </w:tcPr>
          <w:p w14:paraId="4DBF94D6" w14:textId="77777777" w:rsidR="00550028" w:rsidRPr="007A77BA" w:rsidRDefault="00550028" w:rsidP="00550028">
            <w:pPr>
              <w:autoSpaceDE w:val="0"/>
              <w:autoSpaceDN w:val="0"/>
              <w:adjustRightInd w:val="0"/>
              <w:spacing w:after="0"/>
              <w:rPr>
                <w:color w:val="auto"/>
                <w:sz w:val="20"/>
              </w:rPr>
            </w:pPr>
            <w:r w:rsidRPr="007A77BA">
              <w:rPr>
                <w:color w:val="auto"/>
                <w:sz w:val="20"/>
              </w:rPr>
              <w:t>Denmark</w:t>
            </w:r>
          </w:p>
        </w:tc>
        <w:tc>
          <w:tcPr>
            <w:tcW w:w="1155" w:type="dxa"/>
            <w:shd w:val="clear" w:color="auto" w:fill="auto"/>
            <w:vAlign w:val="center"/>
          </w:tcPr>
          <w:p w14:paraId="49BDADEF" w14:textId="59BA3461"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2022</w:t>
            </w:r>
            <w:r w:rsidR="006E4DC0">
              <w:rPr>
                <w:rStyle w:val="Hyperlink"/>
                <w:color w:val="auto"/>
                <w:sz w:val="20"/>
                <w:u w:val="none"/>
              </w:rPr>
              <w:t>*</w:t>
            </w:r>
          </w:p>
        </w:tc>
      </w:tr>
      <w:tr w:rsidR="00550028" w:rsidRPr="007A77BA" w14:paraId="23D5B352" w14:textId="77777777" w:rsidTr="00550028">
        <w:trPr>
          <w:trHeight w:val="255"/>
        </w:trPr>
        <w:tc>
          <w:tcPr>
            <w:tcW w:w="421" w:type="dxa"/>
            <w:shd w:val="clear" w:color="auto" w:fill="auto"/>
            <w:vAlign w:val="center"/>
          </w:tcPr>
          <w:p w14:paraId="35825045"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41</w:t>
            </w:r>
          </w:p>
        </w:tc>
        <w:tc>
          <w:tcPr>
            <w:tcW w:w="2211" w:type="dxa"/>
            <w:shd w:val="clear" w:color="auto" w:fill="auto"/>
            <w:vAlign w:val="center"/>
          </w:tcPr>
          <w:p w14:paraId="634E2D0C" w14:textId="77777777" w:rsidR="00550028" w:rsidRPr="007A77BA" w:rsidRDefault="00550028" w:rsidP="00550028">
            <w:pPr>
              <w:autoSpaceDE w:val="0"/>
              <w:autoSpaceDN w:val="0"/>
              <w:adjustRightInd w:val="0"/>
              <w:spacing w:after="0"/>
              <w:rPr>
                <w:color w:val="auto"/>
                <w:sz w:val="20"/>
              </w:rPr>
            </w:pPr>
            <w:r w:rsidRPr="007A77BA">
              <w:rPr>
                <w:color w:val="auto"/>
                <w:sz w:val="20"/>
              </w:rPr>
              <w:t>Yana Motta, Samuel</w:t>
            </w:r>
          </w:p>
        </w:tc>
        <w:tc>
          <w:tcPr>
            <w:tcW w:w="3061" w:type="dxa"/>
            <w:shd w:val="clear" w:color="auto" w:fill="auto"/>
            <w:vAlign w:val="center"/>
          </w:tcPr>
          <w:p w14:paraId="49231839" w14:textId="77777777" w:rsidR="00550028" w:rsidRPr="007A77BA" w:rsidRDefault="00550028" w:rsidP="00550028">
            <w:pPr>
              <w:autoSpaceDE w:val="0"/>
              <w:autoSpaceDN w:val="0"/>
              <w:adjustRightInd w:val="0"/>
              <w:spacing w:after="0"/>
              <w:rPr>
                <w:color w:val="auto"/>
                <w:sz w:val="20"/>
                <w:lang w:eastAsia="it-IT"/>
              </w:rPr>
            </w:pPr>
            <w:r w:rsidRPr="007A77BA">
              <w:rPr>
                <w:color w:val="auto"/>
                <w:sz w:val="20"/>
                <w:lang w:eastAsia="it-IT"/>
              </w:rPr>
              <w:t>Honeywell (USA)</w:t>
            </w:r>
          </w:p>
        </w:tc>
        <w:tc>
          <w:tcPr>
            <w:tcW w:w="1247" w:type="dxa"/>
            <w:shd w:val="clear" w:color="auto" w:fill="auto"/>
            <w:vAlign w:val="center"/>
          </w:tcPr>
          <w:p w14:paraId="62652E01" w14:textId="77777777" w:rsidR="00550028" w:rsidRPr="007A77BA" w:rsidRDefault="00550028" w:rsidP="00550028">
            <w:pPr>
              <w:autoSpaceDE w:val="0"/>
              <w:autoSpaceDN w:val="0"/>
              <w:adjustRightInd w:val="0"/>
              <w:spacing w:after="0"/>
              <w:rPr>
                <w:color w:val="auto"/>
                <w:sz w:val="20"/>
              </w:rPr>
            </w:pPr>
            <w:r w:rsidRPr="007A77BA">
              <w:rPr>
                <w:color w:val="auto"/>
                <w:sz w:val="20"/>
              </w:rPr>
              <w:t xml:space="preserve">Peru </w:t>
            </w:r>
          </w:p>
        </w:tc>
        <w:tc>
          <w:tcPr>
            <w:tcW w:w="1155" w:type="dxa"/>
            <w:shd w:val="clear" w:color="auto" w:fill="auto"/>
            <w:vAlign w:val="center"/>
          </w:tcPr>
          <w:p w14:paraId="5EA2BA66" w14:textId="577863D9" w:rsidR="00550028" w:rsidRPr="007A77BA" w:rsidRDefault="00550028" w:rsidP="00550028">
            <w:pPr>
              <w:autoSpaceDE w:val="0"/>
              <w:autoSpaceDN w:val="0"/>
              <w:adjustRightInd w:val="0"/>
              <w:spacing w:after="0"/>
              <w:jc w:val="center"/>
              <w:rPr>
                <w:rStyle w:val="Hyperlink"/>
                <w:color w:val="auto"/>
                <w:sz w:val="20"/>
                <w:u w:val="none"/>
                <w:lang w:eastAsia="it-IT"/>
              </w:rPr>
            </w:pPr>
            <w:r w:rsidRPr="007A77BA">
              <w:rPr>
                <w:rStyle w:val="Hyperlink"/>
                <w:color w:val="auto"/>
                <w:sz w:val="20"/>
                <w:u w:val="none"/>
                <w:lang w:eastAsia="it-IT"/>
              </w:rPr>
              <w:t>20</w:t>
            </w:r>
            <w:r>
              <w:rPr>
                <w:rStyle w:val="Hyperlink"/>
                <w:color w:val="auto"/>
                <w:sz w:val="20"/>
                <w:u w:val="none"/>
                <w:lang w:eastAsia="it-IT"/>
              </w:rPr>
              <w:t>22</w:t>
            </w:r>
            <w:r w:rsidR="006E4DC0">
              <w:rPr>
                <w:rStyle w:val="Hyperlink"/>
                <w:color w:val="auto"/>
                <w:sz w:val="20"/>
                <w:u w:val="none"/>
                <w:lang w:eastAsia="it-IT"/>
              </w:rPr>
              <w:t>*</w:t>
            </w:r>
          </w:p>
        </w:tc>
      </w:tr>
      <w:tr w:rsidR="00550028" w:rsidRPr="007A77BA" w14:paraId="2CF0FF5E" w14:textId="77777777" w:rsidTr="00550028">
        <w:trPr>
          <w:trHeight w:val="255"/>
        </w:trPr>
        <w:tc>
          <w:tcPr>
            <w:tcW w:w="421" w:type="dxa"/>
            <w:shd w:val="clear" w:color="auto" w:fill="auto"/>
            <w:vAlign w:val="center"/>
          </w:tcPr>
          <w:p w14:paraId="584D2994" w14:textId="77777777" w:rsidR="00550028" w:rsidRPr="007A77BA" w:rsidRDefault="00550028" w:rsidP="00550028">
            <w:pPr>
              <w:autoSpaceDE w:val="0"/>
              <w:autoSpaceDN w:val="0"/>
              <w:adjustRightInd w:val="0"/>
              <w:spacing w:after="0"/>
              <w:jc w:val="center"/>
              <w:rPr>
                <w:color w:val="auto"/>
                <w:sz w:val="20"/>
              </w:rPr>
            </w:pPr>
            <w:r w:rsidRPr="007A77BA">
              <w:rPr>
                <w:color w:val="auto"/>
                <w:sz w:val="20"/>
              </w:rPr>
              <w:t>42</w:t>
            </w:r>
          </w:p>
        </w:tc>
        <w:tc>
          <w:tcPr>
            <w:tcW w:w="2211" w:type="dxa"/>
            <w:shd w:val="clear" w:color="auto" w:fill="auto"/>
            <w:vAlign w:val="center"/>
          </w:tcPr>
          <w:p w14:paraId="2340F5F9" w14:textId="77777777" w:rsidR="00550028" w:rsidRPr="007A77BA" w:rsidRDefault="00550028" w:rsidP="00550028">
            <w:pPr>
              <w:spacing w:after="0"/>
              <w:rPr>
                <w:color w:val="auto"/>
                <w:sz w:val="20"/>
              </w:rPr>
            </w:pPr>
            <w:r w:rsidRPr="007A77BA">
              <w:rPr>
                <w:color w:val="auto"/>
                <w:sz w:val="20"/>
              </w:rPr>
              <w:t>Yamaguchi, Hiroichi</w:t>
            </w:r>
          </w:p>
        </w:tc>
        <w:tc>
          <w:tcPr>
            <w:tcW w:w="3061" w:type="dxa"/>
            <w:shd w:val="clear" w:color="auto" w:fill="auto"/>
            <w:vAlign w:val="center"/>
          </w:tcPr>
          <w:p w14:paraId="0E2917D1" w14:textId="77777777" w:rsidR="00550028" w:rsidRPr="007A77BA" w:rsidRDefault="00550028" w:rsidP="00550028">
            <w:pPr>
              <w:autoSpaceDE w:val="0"/>
              <w:autoSpaceDN w:val="0"/>
              <w:adjustRightInd w:val="0"/>
              <w:spacing w:after="0"/>
              <w:rPr>
                <w:color w:val="auto"/>
                <w:sz w:val="20"/>
              </w:rPr>
            </w:pPr>
            <w:r w:rsidRPr="007A77BA">
              <w:rPr>
                <w:color w:val="auto"/>
                <w:sz w:val="20"/>
              </w:rPr>
              <w:t>Toshiba Carrier Co</w:t>
            </w:r>
          </w:p>
        </w:tc>
        <w:tc>
          <w:tcPr>
            <w:tcW w:w="1247" w:type="dxa"/>
            <w:shd w:val="clear" w:color="auto" w:fill="auto"/>
            <w:vAlign w:val="center"/>
          </w:tcPr>
          <w:p w14:paraId="598375E8" w14:textId="77777777" w:rsidR="00550028" w:rsidRPr="007A77BA" w:rsidRDefault="00550028" w:rsidP="00550028">
            <w:pPr>
              <w:autoSpaceDE w:val="0"/>
              <w:autoSpaceDN w:val="0"/>
              <w:adjustRightInd w:val="0"/>
              <w:spacing w:after="0"/>
              <w:rPr>
                <w:color w:val="auto"/>
                <w:sz w:val="20"/>
              </w:rPr>
            </w:pPr>
            <w:r w:rsidRPr="007A77BA">
              <w:rPr>
                <w:color w:val="auto"/>
                <w:sz w:val="20"/>
              </w:rPr>
              <w:t>Japan</w:t>
            </w:r>
          </w:p>
        </w:tc>
        <w:tc>
          <w:tcPr>
            <w:tcW w:w="1155" w:type="dxa"/>
            <w:shd w:val="clear" w:color="auto" w:fill="auto"/>
            <w:vAlign w:val="center"/>
          </w:tcPr>
          <w:p w14:paraId="234F1BFA" w14:textId="409B6A47" w:rsidR="00550028" w:rsidRPr="007A77BA" w:rsidRDefault="00550028" w:rsidP="00550028">
            <w:pPr>
              <w:autoSpaceDE w:val="0"/>
              <w:autoSpaceDN w:val="0"/>
              <w:adjustRightInd w:val="0"/>
              <w:spacing w:after="0"/>
              <w:jc w:val="center"/>
              <w:rPr>
                <w:rStyle w:val="Hyperlink"/>
                <w:color w:val="auto"/>
                <w:sz w:val="20"/>
                <w:u w:val="none"/>
              </w:rPr>
            </w:pPr>
            <w:r w:rsidRPr="007A77BA">
              <w:rPr>
                <w:rStyle w:val="Hyperlink"/>
                <w:color w:val="auto"/>
                <w:sz w:val="20"/>
                <w:u w:val="none"/>
              </w:rPr>
              <w:t>202</w:t>
            </w:r>
            <w:r>
              <w:rPr>
                <w:rStyle w:val="Hyperlink"/>
                <w:color w:val="auto"/>
                <w:sz w:val="20"/>
                <w:u w:val="none"/>
              </w:rPr>
              <w:t>2</w:t>
            </w:r>
            <w:r w:rsidR="006E4DC0">
              <w:rPr>
                <w:rStyle w:val="Hyperlink"/>
                <w:color w:val="auto"/>
                <w:sz w:val="20"/>
                <w:u w:val="none"/>
              </w:rPr>
              <w:t>*</w:t>
            </w:r>
          </w:p>
        </w:tc>
      </w:tr>
    </w:tbl>
    <w:p w14:paraId="0B295929" w14:textId="041C715B" w:rsidR="00052224" w:rsidRPr="000E7C16" w:rsidRDefault="000E7C16" w:rsidP="00052224">
      <w:pPr>
        <w:pStyle w:val="Style15"/>
        <w:rPr>
          <w:rStyle w:val="Heading1Char2"/>
          <w:rFonts w:ascii="Times New Roman" w:hAnsi="Times New Roman" w:cstheme="majorBidi"/>
          <w:lang w:val="en-US"/>
        </w:rPr>
      </w:pPr>
      <w:r w:rsidRPr="007A77BA">
        <w:rPr>
          <w:bCs/>
          <w:i/>
        </w:rPr>
        <w:t xml:space="preserve">* </w:t>
      </w:r>
      <w:r w:rsidRPr="000E7C16">
        <w:rPr>
          <w:b w:val="0"/>
          <w:bCs/>
          <w:i/>
        </w:rPr>
        <w:t>Indicates members whose terms expire at the end of the current year</w:t>
      </w:r>
      <w:r w:rsidRPr="000E7C16">
        <w:rPr>
          <w:b w:val="0"/>
          <w:i/>
        </w:rPr>
        <w:t xml:space="preserve"> or pending reappointment in view of reorgani</w:t>
      </w:r>
      <w:r w:rsidR="002C0D7B" w:rsidRPr="002C0D7B">
        <w:rPr>
          <w:b w:val="0"/>
          <w:i/>
        </w:rPr>
        <w:t>s</w:t>
      </w:r>
      <w:r w:rsidRPr="000E7C16">
        <w:rPr>
          <w:b w:val="0"/>
          <w:i/>
        </w:rPr>
        <w:t>ation</w:t>
      </w:r>
      <w:r w:rsidR="00052224" w:rsidRPr="000E7C16">
        <w:rPr>
          <w:rStyle w:val="Heading1Char2"/>
          <w:rFonts w:ascii="Times New Roman" w:hAnsi="Times New Roman" w:cstheme="majorBidi"/>
          <w:lang w:val="en-US"/>
        </w:rPr>
        <w:br w:type="page"/>
      </w:r>
    </w:p>
    <w:p w14:paraId="01B3E21E" w14:textId="0B924DB9" w:rsidR="00BC4684" w:rsidRPr="0051175B" w:rsidRDefault="00BC4684" w:rsidP="00BA0312">
      <w:pPr>
        <w:pStyle w:val="Heading1"/>
        <w:rPr>
          <w:bCs/>
        </w:rPr>
      </w:pPr>
      <w:bookmarkStart w:id="714" w:name="_Toc77868944"/>
      <w:bookmarkStart w:id="715" w:name="_Toc78040776"/>
      <w:bookmarkStart w:id="716" w:name="_Toc79066580"/>
      <w:bookmarkStart w:id="717" w:name="_Toc104396748"/>
      <w:bookmarkEnd w:id="711"/>
      <w:bookmarkEnd w:id="712"/>
      <w:bookmarkEnd w:id="713"/>
      <w:r w:rsidRPr="00F350B7">
        <w:rPr>
          <w:rStyle w:val="Heading1Char2"/>
          <w:rFonts w:ascii="Times New Roman" w:hAnsi="Times New Roman"/>
        </w:rPr>
        <w:lastRenderedPageBreak/>
        <w:t xml:space="preserve">Annex </w:t>
      </w:r>
      <w:r w:rsidR="00BA0312">
        <w:rPr>
          <w:rStyle w:val="Heading1Char2"/>
          <w:rFonts w:ascii="Times New Roman" w:hAnsi="Times New Roman"/>
        </w:rPr>
        <w:t>2</w:t>
      </w:r>
      <w:r w:rsidR="00F17242">
        <w:rPr>
          <w:rStyle w:val="Heading1Char2"/>
          <w:rFonts w:ascii="Times New Roman" w:hAnsi="Times New Roman"/>
        </w:rPr>
        <w:t>:</w:t>
      </w:r>
      <w:r w:rsidR="005617DE">
        <w:rPr>
          <w:rStyle w:val="Heading1Char2"/>
          <w:rFonts w:ascii="Times New Roman" w:hAnsi="Times New Roman"/>
        </w:rPr>
        <w:t xml:space="preserve"> </w:t>
      </w:r>
      <w:r w:rsidR="004E6162" w:rsidRPr="00A3527D">
        <w:rPr>
          <w:rStyle w:val="Heading1Char2"/>
          <w:rFonts w:ascii="Times New Roman" w:hAnsi="Times New Roman"/>
        </w:rPr>
        <w:t>Nomination Form</w:t>
      </w:r>
      <w:bookmarkEnd w:id="714"/>
      <w:bookmarkEnd w:id="715"/>
      <w:bookmarkEnd w:id="716"/>
      <w:bookmarkEnd w:id="717"/>
      <w:r w:rsidR="004E6162" w:rsidRPr="00A3527D">
        <w:rPr>
          <w:rStyle w:val="Heading1Char2"/>
          <w:rFonts w:ascii="Times New Roman" w:hAnsi="Times New Roman"/>
        </w:rPr>
        <w:t xml:space="preserve"> </w:t>
      </w:r>
      <w:r w:rsidR="00BA1E77">
        <w:rPr>
          <w:rStyle w:val="Heading1Char2"/>
          <w:rFonts w:ascii="Times New Roman" w:hAnsi="Times New Roman"/>
        </w:rPr>
        <w:br/>
      </w:r>
    </w:p>
    <w:p w14:paraId="6CF6433B" w14:textId="717F6D77" w:rsidR="00BC4684" w:rsidRPr="001B2B75" w:rsidRDefault="00BC4684" w:rsidP="00BC4684">
      <w:pPr>
        <w:jc w:val="center"/>
        <w:rPr>
          <w:b/>
          <w:bCs/>
          <w:szCs w:val="22"/>
        </w:rPr>
      </w:pPr>
      <w:r>
        <w:rPr>
          <w:noProof/>
          <w:lang w:eastAsia="en-GB"/>
        </w:rPr>
        <mc:AlternateContent>
          <mc:Choice Requires="wps">
            <w:drawing>
              <wp:anchor distT="0" distB="0" distL="114300" distR="114300" simplePos="0" relativeHeight="251660288" behindDoc="0" locked="0" layoutInCell="1" allowOverlap="1" wp14:anchorId="0E7A9E8A" wp14:editId="42B62058">
                <wp:simplePos x="0" y="0"/>
                <wp:positionH relativeFrom="column">
                  <wp:posOffset>0</wp:posOffset>
                </wp:positionH>
                <wp:positionV relativeFrom="paragraph">
                  <wp:posOffset>10127</wp:posOffset>
                </wp:positionV>
                <wp:extent cx="5486400" cy="337820"/>
                <wp:effectExtent l="0" t="0" r="0" b="508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337820"/>
                        </a:xfrm>
                        <a:prstGeom prst="rect">
                          <a:avLst/>
                        </a:prstGeom>
                        <a:solidFill>
                          <a:srgbClr val="C0C0C0"/>
                        </a:solidFill>
                        <a:ln w="9525">
                          <a:solidFill>
                            <a:srgbClr val="000000"/>
                          </a:solidFill>
                          <a:miter lim="800000"/>
                          <a:headEnd/>
                          <a:tailEnd/>
                        </a:ln>
                      </wps:spPr>
                      <wps:txbx>
                        <w:txbxContent>
                          <w:p w14:paraId="2921259B" w14:textId="192CDBBE" w:rsidR="00992301" w:rsidRPr="005723E2" w:rsidRDefault="00992301" w:rsidP="005723E2">
                            <w:pPr>
                              <w:jc w:val="center"/>
                              <w:rPr>
                                <w:b/>
                                <w:sz w:val="28"/>
                                <w:szCs w:val="28"/>
                              </w:rPr>
                            </w:pPr>
                            <w:r w:rsidRPr="005723E2">
                              <w:rPr>
                                <w:b/>
                                <w:sz w:val="28"/>
                                <w:szCs w:val="28"/>
                              </w:rPr>
                              <w:t>TEAP: Nomination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E7A9E8A" id="_x0000_t202" coordsize="21600,21600" o:spt="202" path="m,l,21600r21600,l21600,xe">
                <v:stroke joinstyle="miter"/>
                <v:path gradientshapeok="t" o:connecttype="rect"/>
              </v:shapetype>
              <v:shape id="Text Box 2" o:spid="_x0000_s1027" type="#_x0000_t202" style="position:absolute;left:0;text-align:left;margin-left:0;margin-top:.8pt;width:6in;height:2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" fillcolor="silver">
                <v:path arrowok="t"/>
                <v:textbox>
                  <w:txbxContent>
                    <w:p w14:paraId="2921259B" w14:textId="192CDBBE" w:rsidR="00992301" w:rsidRPr="005723E2" w:rsidRDefault="00992301" w:rsidP="005723E2">
                      <w:pPr>
                        <w:jc w:val="center"/>
                        <w:rPr>
                          <w:b/>
                          <w:sz w:val="28"/>
                          <w:szCs w:val="28"/>
                        </w:rPr>
                      </w:pPr>
                      <w:r w:rsidRPr="005723E2">
                        <w:rPr>
                          <w:b/>
                          <w:sz w:val="28"/>
                          <w:szCs w:val="28"/>
                        </w:rPr>
                        <w:t>TEAP: Nomination Form</w:t>
                      </w:r>
                    </w:p>
                  </w:txbxContent>
                </v:textbox>
              </v:shape>
            </w:pict>
          </mc:Fallback>
        </mc:AlternateContent>
      </w:r>
    </w:p>
    <w:p w14:paraId="3E7E2054" w14:textId="77777777" w:rsidR="00BC4684" w:rsidRPr="00F17242" w:rsidRDefault="00BC4684" w:rsidP="00BC4684">
      <w:pPr>
        <w:jc w:val="center"/>
        <w:rPr>
          <w:sz w:val="4"/>
          <w:szCs w:val="2"/>
        </w:rPr>
      </w:pPr>
    </w:p>
    <w:p w14:paraId="07AB04AB" w14:textId="77777777" w:rsidR="00BC4684" w:rsidRPr="00516A67" w:rsidRDefault="00BC4684" w:rsidP="00BC4684">
      <w:pPr>
        <w:rPr>
          <w:szCs w:val="22"/>
        </w:rPr>
      </w:pPr>
      <w:r w:rsidRPr="001B2B75">
        <w:rPr>
          <w:szCs w:val="22"/>
        </w:rPr>
        <w:t>This form is to be completed by:</w:t>
      </w:r>
    </w:p>
    <w:p w14:paraId="6E340C61" w14:textId="2487730F" w:rsidR="00BC4684" w:rsidRDefault="00BC4684" w:rsidP="00BC4684">
      <w:pPr>
        <w:rPr>
          <w:szCs w:val="22"/>
        </w:rPr>
      </w:pPr>
      <w:r>
        <w:rPr>
          <w:szCs w:val="22"/>
        </w:rPr>
        <w:t>Parties nominating e</w:t>
      </w:r>
      <w:r w:rsidRPr="003535BC">
        <w:rPr>
          <w:szCs w:val="22"/>
        </w:rPr>
        <w:t xml:space="preserve">xperts to the TEAP, Technical Options Committees (TOCs), or Temporary Subsidiary Bodies (TSBs) </w:t>
      </w:r>
    </w:p>
    <w:p w14:paraId="6D6E086D" w14:textId="77EB7CB3" w:rsidR="00BC4684" w:rsidRPr="00516A67" w:rsidRDefault="00BC4684" w:rsidP="00BC4684">
      <w:pPr>
        <w:rPr>
          <w:szCs w:val="22"/>
        </w:rPr>
      </w:pPr>
      <w:r>
        <w:rPr>
          <w:szCs w:val="22"/>
        </w:rPr>
        <w:t xml:space="preserve">Please provide a CV detailing the candidate’s </w:t>
      </w:r>
      <w:r w:rsidRPr="001B1B37">
        <w:rPr>
          <w:szCs w:val="22"/>
        </w:rPr>
        <w:t>previous</w:t>
      </w:r>
      <w:r>
        <w:rPr>
          <w:szCs w:val="22"/>
        </w:rPr>
        <w:t>, relevant</w:t>
      </w:r>
      <w:r w:rsidRPr="001B1B37">
        <w:rPr>
          <w:szCs w:val="22"/>
        </w:rPr>
        <w:t xml:space="preserve"> employment beginning with </w:t>
      </w:r>
      <w:r>
        <w:rPr>
          <w:szCs w:val="22"/>
        </w:rPr>
        <w:t xml:space="preserve">the most </w:t>
      </w:r>
      <w:r w:rsidRPr="001B1B37">
        <w:rPr>
          <w:szCs w:val="22"/>
        </w:rPr>
        <w:t>current</w:t>
      </w:r>
      <w:r>
        <w:rPr>
          <w:szCs w:val="22"/>
        </w:rPr>
        <w:t xml:space="preserve"> one</w:t>
      </w:r>
      <w:r w:rsidRPr="001B1B37">
        <w:rPr>
          <w:szCs w:val="22"/>
        </w:rPr>
        <w:t>.</w:t>
      </w:r>
      <w:r>
        <w:rPr>
          <w:szCs w:val="22"/>
        </w:rPr>
        <w:t xml:space="preserve"> Experience and expertise relevant to the Montreal Protocol are particularly important and a list of relevant publications is useful (do not provide copies of publications)</w:t>
      </w:r>
    </w:p>
    <w:tbl>
      <w:tblPr>
        <w:tblW w:w="0" w:type="auto"/>
        <w:tblLook w:val="0000" w:firstRow="0" w:lastRow="0" w:firstColumn="0" w:lastColumn="0" w:noHBand="0" w:noVBand="0"/>
      </w:tblPr>
      <w:tblGrid>
        <w:gridCol w:w="2557"/>
        <w:gridCol w:w="5750"/>
      </w:tblGrid>
      <w:tr w:rsidR="00BC4684" w:rsidRPr="00B06A1A" w14:paraId="47FCF99C" w14:textId="77777777" w:rsidTr="00C86F2A">
        <w:trPr>
          <w:cantSplit/>
          <w:trHeight w:val="989"/>
        </w:trPr>
        <w:tc>
          <w:tcPr>
            <w:tcW w:w="2640" w:type="dxa"/>
            <w:tcBorders>
              <w:top w:val="single" w:sz="4" w:space="0" w:color="auto"/>
              <w:bottom w:val="single" w:sz="4" w:space="0" w:color="auto"/>
            </w:tcBorders>
          </w:tcPr>
          <w:p w14:paraId="314627D9" w14:textId="77777777" w:rsidR="00BC4684" w:rsidRPr="00B06A1A" w:rsidRDefault="00BC4684" w:rsidP="00C86F2A">
            <w:pPr>
              <w:tabs>
                <w:tab w:val="left" w:pos="360"/>
              </w:tabs>
              <w:spacing w:before="120" w:after="120"/>
              <w:ind w:left="360" w:hanging="360"/>
              <w:rPr>
                <w:sz w:val="20"/>
              </w:rPr>
            </w:pPr>
            <w:r>
              <w:rPr>
                <w:sz w:val="20"/>
              </w:rPr>
              <w:t>Position Nominated for:</w:t>
            </w:r>
          </w:p>
        </w:tc>
        <w:tc>
          <w:tcPr>
            <w:tcW w:w="6170" w:type="dxa"/>
            <w:tcBorders>
              <w:top w:val="single" w:sz="4" w:space="0" w:color="auto"/>
              <w:bottom w:val="single" w:sz="4" w:space="0" w:color="auto"/>
            </w:tcBorders>
          </w:tcPr>
          <w:p w14:paraId="6B73792F" w14:textId="77777777" w:rsidR="00BC4684" w:rsidRPr="00B06A1A" w:rsidRDefault="00BC4684" w:rsidP="00C86F2A">
            <w:pPr>
              <w:spacing w:before="120" w:after="120"/>
              <w:rPr>
                <w:sz w:val="20"/>
              </w:rPr>
            </w:pPr>
          </w:p>
        </w:tc>
      </w:tr>
    </w:tbl>
    <w:p w14:paraId="4F00A120" w14:textId="7712DD01" w:rsidR="00BC4684" w:rsidRPr="00F17242" w:rsidRDefault="00BC4684" w:rsidP="00BC4684">
      <w:pPr>
        <w:rPr>
          <w:sz w:val="10"/>
          <w:szCs w:val="8"/>
        </w:rPr>
      </w:pPr>
    </w:p>
    <w:p w14:paraId="66321F17" w14:textId="29B5684D" w:rsidR="00BC4684" w:rsidRPr="00516A67" w:rsidRDefault="006E6D2F" w:rsidP="00BC4684">
      <w:r>
        <w:rPr>
          <w:noProof/>
          <w:lang w:eastAsia="en-GB"/>
        </w:rPr>
        <mc:AlternateContent>
          <mc:Choice Requires="wps">
            <w:drawing>
              <wp:anchor distT="0" distB="0" distL="114300" distR="114300" simplePos="0" relativeHeight="251661312" behindDoc="0" locked="0" layoutInCell="1" allowOverlap="1" wp14:anchorId="33374A98" wp14:editId="522DD311">
                <wp:simplePos x="0" y="0"/>
                <wp:positionH relativeFrom="column">
                  <wp:posOffset>-12065</wp:posOffset>
                </wp:positionH>
                <wp:positionV relativeFrom="paragraph">
                  <wp:posOffset>9525</wp:posOffset>
                </wp:positionV>
                <wp:extent cx="5496560" cy="413385"/>
                <wp:effectExtent l="0" t="0" r="2540" b="571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2B808DE6" w14:textId="77777777" w:rsidR="00992301" w:rsidRPr="007B4C08" w:rsidRDefault="00992301" w:rsidP="00BC4684">
                            <w:pPr>
                              <w:rPr>
                                <w:b/>
                              </w:rPr>
                            </w:pPr>
                            <w:r w:rsidRPr="007B4C08">
                              <w:rPr>
                                <w:b/>
                              </w:rPr>
                              <w:t>Expert Information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374A98" id="Text Box 3" o:spid="_x0000_s1028" type="#_x0000_t202" style="position:absolute;margin-left:-.95pt;margin-top:.75pt;width:432.8pt;height:3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" fillcolor="#d8d8d8">
                <v:path arrowok="t"/>
                <v:textbox style="mso-fit-shape-to-text:t">
                  <w:txbxContent>
                    <w:p w14:paraId="2B808DE6" w14:textId="77777777" w:rsidR="00992301" w:rsidRPr="007B4C08" w:rsidRDefault="00992301" w:rsidP="00BC4684">
                      <w:pPr>
                        <w:rPr>
                          <w:b/>
                        </w:rPr>
                      </w:pPr>
                      <w:r w:rsidRPr="007B4C08">
                        <w:rPr>
                          <w:b/>
                        </w:rPr>
                        <w:t>Expert Information</w:t>
                      </w:r>
                    </w:p>
                  </w:txbxContent>
                </v:textbox>
              </v:shape>
            </w:pict>
          </mc:Fallback>
        </mc:AlternateContent>
      </w:r>
    </w:p>
    <w:p w14:paraId="2BDFA6B9" w14:textId="77777777" w:rsidR="00BC4684" w:rsidRPr="001B2B75" w:rsidRDefault="00BC4684" w:rsidP="00BC4684"/>
    <w:p w14:paraId="67BFC6CC" w14:textId="63059FAB" w:rsidR="00BC4684" w:rsidRPr="00516A67" w:rsidRDefault="00BC4684" w:rsidP="00BC4684">
      <w:pPr>
        <w:rPr>
          <w:sz w:val="20"/>
        </w:rPr>
      </w:pPr>
      <w:r w:rsidRPr="001B2B75">
        <w:rPr>
          <w:sz w:val="20"/>
        </w:rPr>
        <w:t>Please provide full names rather than only acronyms or initials</w:t>
      </w:r>
    </w:p>
    <w:tbl>
      <w:tblPr>
        <w:tblW w:w="0" w:type="auto"/>
        <w:tblLook w:val="0000" w:firstRow="0" w:lastRow="0" w:firstColumn="0" w:lastColumn="0" w:noHBand="0" w:noVBand="0"/>
      </w:tblPr>
      <w:tblGrid>
        <w:gridCol w:w="2916"/>
        <w:gridCol w:w="1365"/>
        <w:gridCol w:w="1558"/>
        <w:gridCol w:w="2468"/>
      </w:tblGrid>
      <w:tr w:rsidR="00BC4684" w:rsidRPr="00B06A1A" w14:paraId="6C38F879" w14:textId="77777777" w:rsidTr="006F448B">
        <w:trPr>
          <w:cantSplit/>
        </w:trPr>
        <w:tc>
          <w:tcPr>
            <w:tcW w:w="2916" w:type="dxa"/>
            <w:tcBorders>
              <w:top w:val="single" w:sz="4" w:space="0" w:color="auto"/>
              <w:bottom w:val="single" w:sz="4" w:space="0" w:color="auto"/>
            </w:tcBorders>
          </w:tcPr>
          <w:p w14:paraId="433A773F" w14:textId="77777777" w:rsidR="00BC4684" w:rsidRPr="00B06A1A" w:rsidRDefault="00BC4684" w:rsidP="00C86F2A">
            <w:pPr>
              <w:tabs>
                <w:tab w:val="left" w:pos="360"/>
              </w:tabs>
              <w:spacing w:before="120" w:after="120"/>
              <w:ind w:left="360" w:hanging="360"/>
              <w:rPr>
                <w:sz w:val="20"/>
              </w:rPr>
            </w:pPr>
            <w:r w:rsidRPr="00B06A1A">
              <w:rPr>
                <w:sz w:val="20"/>
              </w:rPr>
              <w:t>Title:</w:t>
            </w:r>
          </w:p>
        </w:tc>
        <w:tc>
          <w:tcPr>
            <w:tcW w:w="1365" w:type="dxa"/>
            <w:tcBorders>
              <w:top w:val="single" w:sz="4" w:space="0" w:color="auto"/>
              <w:bottom w:val="single" w:sz="4" w:space="0" w:color="auto"/>
            </w:tcBorders>
          </w:tcPr>
          <w:p w14:paraId="34FD7E62" w14:textId="77777777" w:rsidR="00BC4684" w:rsidRPr="00B06A1A" w:rsidRDefault="00BC4684" w:rsidP="00C86F2A">
            <w:pPr>
              <w:spacing w:before="120"/>
              <w:rPr>
                <w:sz w:val="20"/>
              </w:rPr>
            </w:pPr>
            <w:r w:rsidRPr="00B06A1A">
              <w:rPr>
                <w:sz w:val="20"/>
              </w:rPr>
              <w:fldChar w:fldCharType="begin">
                <w:ffData>
                  <w:name w:val="Check3"/>
                  <w:enabled/>
                  <w:calcOnExit w:val="0"/>
                  <w:checkBox>
                    <w:sizeAuto/>
                    <w:default w:val="0"/>
                  </w:checkBox>
                </w:ffData>
              </w:fldChar>
            </w:r>
            <w:r w:rsidRPr="00B06A1A">
              <w:rPr>
                <w:sz w:val="20"/>
              </w:rPr>
              <w:instrText xml:space="preserve"> FORMCHECKBOX </w:instrText>
            </w:r>
            <w:r w:rsidR="00143903">
              <w:rPr>
                <w:sz w:val="20"/>
              </w:rPr>
            </w:r>
            <w:r w:rsidR="00143903">
              <w:rPr>
                <w:sz w:val="20"/>
              </w:rPr>
              <w:fldChar w:fldCharType="separate"/>
            </w:r>
            <w:r w:rsidRPr="00B06A1A">
              <w:rPr>
                <w:sz w:val="20"/>
              </w:rPr>
              <w:fldChar w:fldCharType="end"/>
            </w:r>
            <w:r w:rsidRPr="00B06A1A">
              <w:rPr>
                <w:sz w:val="20"/>
              </w:rPr>
              <w:t xml:space="preserve"> Ms. </w:t>
            </w:r>
          </w:p>
          <w:p w14:paraId="7BE64EEA" w14:textId="77777777" w:rsidR="00BC4684" w:rsidRPr="00B06A1A" w:rsidRDefault="00BC4684" w:rsidP="00C86F2A">
            <w:pPr>
              <w:rPr>
                <w:sz w:val="20"/>
              </w:rPr>
            </w:pPr>
            <w:r w:rsidRPr="00B06A1A">
              <w:rPr>
                <w:sz w:val="20"/>
              </w:rPr>
              <w:fldChar w:fldCharType="begin">
                <w:ffData>
                  <w:name w:val="Check3"/>
                  <w:enabled/>
                  <w:calcOnExit w:val="0"/>
                  <w:checkBox>
                    <w:sizeAuto/>
                    <w:default w:val="0"/>
                  </w:checkBox>
                </w:ffData>
              </w:fldChar>
            </w:r>
            <w:r w:rsidRPr="00B06A1A">
              <w:rPr>
                <w:sz w:val="20"/>
              </w:rPr>
              <w:instrText xml:space="preserve"> FORMCHECKBOX </w:instrText>
            </w:r>
            <w:r w:rsidR="00143903">
              <w:rPr>
                <w:sz w:val="20"/>
              </w:rPr>
            </w:r>
            <w:r w:rsidR="00143903">
              <w:rPr>
                <w:sz w:val="20"/>
              </w:rPr>
              <w:fldChar w:fldCharType="separate"/>
            </w:r>
            <w:r w:rsidRPr="00B06A1A">
              <w:rPr>
                <w:sz w:val="20"/>
              </w:rPr>
              <w:fldChar w:fldCharType="end"/>
            </w:r>
            <w:r w:rsidRPr="00B06A1A">
              <w:rPr>
                <w:sz w:val="20"/>
              </w:rPr>
              <w:t xml:space="preserve"> Professor</w:t>
            </w:r>
          </w:p>
        </w:tc>
        <w:tc>
          <w:tcPr>
            <w:tcW w:w="1558" w:type="dxa"/>
            <w:tcBorders>
              <w:top w:val="single" w:sz="4" w:space="0" w:color="auto"/>
              <w:bottom w:val="single" w:sz="4" w:space="0" w:color="auto"/>
            </w:tcBorders>
          </w:tcPr>
          <w:p w14:paraId="4D6E54A1" w14:textId="77777777" w:rsidR="00BC4684" w:rsidRPr="00B06A1A" w:rsidRDefault="00BC4684" w:rsidP="00C86F2A">
            <w:pPr>
              <w:spacing w:before="120"/>
              <w:rPr>
                <w:sz w:val="20"/>
              </w:rPr>
            </w:pPr>
            <w:r w:rsidRPr="00B06A1A">
              <w:rPr>
                <w:sz w:val="20"/>
              </w:rPr>
              <w:fldChar w:fldCharType="begin">
                <w:ffData>
                  <w:name w:val="Check3"/>
                  <w:enabled/>
                  <w:calcOnExit w:val="0"/>
                  <w:checkBox>
                    <w:sizeAuto/>
                    <w:default w:val="0"/>
                  </w:checkBox>
                </w:ffData>
              </w:fldChar>
            </w:r>
            <w:r w:rsidRPr="00B06A1A">
              <w:rPr>
                <w:sz w:val="20"/>
              </w:rPr>
              <w:instrText xml:space="preserve"> FORMCHECKBOX </w:instrText>
            </w:r>
            <w:r w:rsidR="00143903">
              <w:rPr>
                <w:sz w:val="20"/>
              </w:rPr>
            </w:r>
            <w:r w:rsidR="00143903">
              <w:rPr>
                <w:sz w:val="20"/>
              </w:rPr>
              <w:fldChar w:fldCharType="separate"/>
            </w:r>
            <w:r w:rsidRPr="00B06A1A">
              <w:rPr>
                <w:sz w:val="20"/>
              </w:rPr>
              <w:fldChar w:fldCharType="end"/>
            </w:r>
            <w:r w:rsidRPr="00B06A1A">
              <w:rPr>
                <w:sz w:val="20"/>
              </w:rPr>
              <w:t xml:space="preserve"> Mr.</w:t>
            </w:r>
          </w:p>
          <w:p w14:paraId="1CB17470" w14:textId="77777777" w:rsidR="00BC4684" w:rsidRPr="00B06A1A" w:rsidRDefault="00BC4684" w:rsidP="00C86F2A">
            <w:pPr>
              <w:spacing w:after="120"/>
              <w:rPr>
                <w:sz w:val="20"/>
              </w:rPr>
            </w:pPr>
            <w:r w:rsidRPr="00B06A1A">
              <w:rPr>
                <w:sz w:val="20"/>
              </w:rPr>
              <w:fldChar w:fldCharType="begin">
                <w:ffData>
                  <w:name w:val="Check3"/>
                  <w:enabled/>
                  <w:calcOnExit w:val="0"/>
                  <w:checkBox>
                    <w:sizeAuto/>
                    <w:default w:val="0"/>
                  </w:checkBox>
                </w:ffData>
              </w:fldChar>
            </w:r>
            <w:r w:rsidRPr="00B06A1A">
              <w:rPr>
                <w:sz w:val="20"/>
              </w:rPr>
              <w:instrText xml:space="preserve"> FORMCHECKBOX </w:instrText>
            </w:r>
            <w:r w:rsidR="00143903">
              <w:rPr>
                <w:sz w:val="20"/>
              </w:rPr>
            </w:r>
            <w:r w:rsidR="00143903">
              <w:rPr>
                <w:sz w:val="20"/>
              </w:rPr>
              <w:fldChar w:fldCharType="separate"/>
            </w:r>
            <w:r w:rsidRPr="00B06A1A">
              <w:rPr>
                <w:sz w:val="20"/>
              </w:rPr>
              <w:fldChar w:fldCharType="end"/>
            </w:r>
            <w:r w:rsidRPr="00B06A1A">
              <w:rPr>
                <w:sz w:val="20"/>
              </w:rPr>
              <w:t xml:space="preserve"> Dr</w:t>
            </w:r>
          </w:p>
        </w:tc>
        <w:tc>
          <w:tcPr>
            <w:tcW w:w="2468" w:type="dxa"/>
            <w:tcBorders>
              <w:top w:val="single" w:sz="4" w:space="0" w:color="auto"/>
              <w:bottom w:val="single" w:sz="4" w:space="0" w:color="auto"/>
            </w:tcBorders>
          </w:tcPr>
          <w:p w14:paraId="5ECCBF42" w14:textId="77777777" w:rsidR="00BC4684" w:rsidRPr="00B06A1A" w:rsidRDefault="00BC4684" w:rsidP="00C86F2A">
            <w:pPr>
              <w:spacing w:before="120"/>
              <w:rPr>
                <w:sz w:val="20"/>
              </w:rPr>
            </w:pPr>
            <w:r w:rsidRPr="00B06A1A">
              <w:rPr>
                <w:sz w:val="20"/>
              </w:rPr>
              <w:fldChar w:fldCharType="begin">
                <w:ffData>
                  <w:name w:val="Check3"/>
                  <w:enabled/>
                  <w:calcOnExit w:val="0"/>
                  <w:checkBox>
                    <w:sizeAuto/>
                    <w:default w:val="0"/>
                  </w:checkBox>
                </w:ffData>
              </w:fldChar>
            </w:r>
            <w:r w:rsidRPr="00B06A1A">
              <w:rPr>
                <w:sz w:val="20"/>
              </w:rPr>
              <w:instrText xml:space="preserve"> FORMCHECKBOX </w:instrText>
            </w:r>
            <w:r w:rsidR="00143903">
              <w:rPr>
                <w:sz w:val="20"/>
              </w:rPr>
            </w:r>
            <w:r w:rsidR="00143903">
              <w:rPr>
                <w:sz w:val="20"/>
              </w:rPr>
              <w:fldChar w:fldCharType="separate"/>
            </w:r>
            <w:r w:rsidRPr="00B06A1A">
              <w:rPr>
                <w:sz w:val="20"/>
              </w:rPr>
              <w:fldChar w:fldCharType="end"/>
            </w:r>
            <w:r w:rsidRPr="00B06A1A">
              <w:rPr>
                <w:sz w:val="20"/>
              </w:rPr>
              <w:t xml:space="preserve"> Other: _________</w:t>
            </w:r>
          </w:p>
          <w:p w14:paraId="6FD22742" w14:textId="77777777" w:rsidR="00BC4684" w:rsidRPr="00B06A1A" w:rsidRDefault="00BC4684" w:rsidP="00C86F2A">
            <w:pPr>
              <w:spacing w:before="120"/>
              <w:rPr>
                <w:sz w:val="20"/>
              </w:rPr>
            </w:pPr>
          </w:p>
        </w:tc>
      </w:tr>
      <w:tr w:rsidR="00BC4684" w:rsidRPr="00B06A1A" w14:paraId="4AC069EE" w14:textId="77777777" w:rsidTr="006F448B">
        <w:trPr>
          <w:cantSplit/>
        </w:trPr>
        <w:tc>
          <w:tcPr>
            <w:tcW w:w="2916" w:type="dxa"/>
            <w:tcBorders>
              <w:top w:val="single" w:sz="4" w:space="0" w:color="auto"/>
              <w:bottom w:val="single" w:sz="4" w:space="0" w:color="auto"/>
            </w:tcBorders>
          </w:tcPr>
          <w:p w14:paraId="60A13091" w14:textId="77777777" w:rsidR="00BC4684" w:rsidRPr="00B06A1A" w:rsidRDefault="00BC4684" w:rsidP="00C86F2A">
            <w:pPr>
              <w:tabs>
                <w:tab w:val="left" w:pos="360"/>
              </w:tabs>
              <w:spacing w:before="120" w:after="120"/>
              <w:ind w:left="360" w:hanging="360"/>
              <w:rPr>
                <w:sz w:val="20"/>
              </w:rPr>
            </w:pPr>
            <w:r w:rsidRPr="00B06A1A">
              <w:rPr>
                <w:sz w:val="20"/>
              </w:rPr>
              <w:t>Name (underline family name):</w:t>
            </w:r>
          </w:p>
        </w:tc>
        <w:tc>
          <w:tcPr>
            <w:tcW w:w="5391" w:type="dxa"/>
            <w:gridSpan w:val="3"/>
            <w:tcBorders>
              <w:top w:val="single" w:sz="4" w:space="0" w:color="auto"/>
              <w:bottom w:val="single" w:sz="4" w:space="0" w:color="auto"/>
            </w:tcBorders>
          </w:tcPr>
          <w:p w14:paraId="22D11932" w14:textId="77777777" w:rsidR="00BC4684" w:rsidRPr="00B06A1A" w:rsidRDefault="00BC4684" w:rsidP="00C86F2A">
            <w:pPr>
              <w:spacing w:before="120" w:after="120"/>
              <w:rPr>
                <w:sz w:val="20"/>
              </w:rPr>
            </w:pPr>
          </w:p>
        </w:tc>
      </w:tr>
      <w:tr w:rsidR="00BC4684" w:rsidRPr="00B06A1A" w14:paraId="7DB24C4E" w14:textId="77777777" w:rsidTr="006F448B">
        <w:trPr>
          <w:cantSplit/>
        </w:trPr>
        <w:tc>
          <w:tcPr>
            <w:tcW w:w="2916" w:type="dxa"/>
            <w:tcBorders>
              <w:top w:val="single" w:sz="4" w:space="0" w:color="auto"/>
              <w:bottom w:val="single" w:sz="4" w:space="0" w:color="auto"/>
            </w:tcBorders>
          </w:tcPr>
          <w:p w14:paraId="52ACB656" w14:textId="48667FD2" w:rsidR="00BC4684" w:rsidRPr="00B06A1A" w:rsidRDefault="00BC4684" w:rsidP="00C86F2A">
            <w:pPr>
              <w:tabs>
                <w:tab w:val="left" w:pos="360"/>
              </w:tabs>
              <w:spacing w:before="120" w:after="120"/>
              <w:ind w:left="360" w:hanging="360"/>
              <w:rPr>
                <w:sz w:val="20"/>
              </w:rPr>
            </w:pPr>
            <w:r w:rsidRPr="00B06A1A">
              <w:rPr>
                <w:sz w:val="20"/>
              </w:rPr>
              <w:t xml:space="preserve">Employer / </w:t>
            </w:r>
            <w:r w:rsidR="002C0D7B" w:rsidRPr="002C0D7B">
              <w:rPr>
                <w:sz w:val="20"/>
              </w:rPr>
              <w:t>Organisation</w:t>
            </w:r>
            <w:r w:rsidRPr="00B06A1A">
              <w:rPr>
                <w:sz w:val="20"/>
              </w:rPr>
              <w:t>:</w:t>
            </w:r>
          </w:p>
        </w:tc>
        <w:tc>
          <w:tcPr>
            <w:tcW w:w="5391" w:type="dxa"/>
            <w:gridSpan w:val="3"/>
            <w:tcBorders>
              <w:top w:val="single" w:sz="4" w:space="0" w:color="auto"/>
              <w:bottom w:val="single" w:sz="4" w:space="0" w:color="auto"/>
            </w:tcBorders>
          </w:tcPr>
          <w:p w14:paraId="46DBEA24" w14:textId="77777777" w:rsidR="00BC4684" w:rsidRPr="00B06A1A" w:rsidRDefault="00BC4684" w:rsidP="00C86F2A">
            <w:pPr>
              <w:spacing w:before="120" w:after="120"/>
              <w:rPr>
                <w:sz w:val="20"/>
              </w:rPr>
            </w:pPr>
          </w:p>
        </w:tc>
      </w:tr>
      <w:tr w:rsidR="00BC4684" w:rsidRPr="00B06A1A" w14:paraId="086676C1" w14:textId="77777777" w:rsidTr="006F448B">
        <w:trPr>
          <w:cantSplit/>
        </w:trPr>
        <w:tc>
          <w:tcPr>
            <w:tcW w:w="2916" w:type="dxa"/>
            <w:tcBorders>
              <w:top w:val="single" w:sz="4" w:space="0" w:color="auto"/>
              <w:bottom w:val="single" w:sz="4" w:space="0" w:color="auto"/>
            </w:tcBorders>
          </w:tcPr>
          <w:p w14:paraId="3C263563" w14:textId="77777777" w:rsidR="00BC4684" w:rsidRPr="00B06A1A" w:rsidRDefault="00BC4684" w:rsidP="00C86F2A">
            <w:pPr>
              <w:tabs>
                <w:tab w:val="left" w:pos="360"/>
              </w:tabs>
              <w:spacing w:before="120" w:after="120"/>
              <w:ind w:left="360" w:hanging="360"/>
              <w:rPr>
                <w:sz w:val="20"/>
              </w:rPr>
            </w:pPr>
            <w:r w:rsidRPr="00B06A1A">
              <w:rPr>
                <w:sz w:val="20"/>
              </w:rPr>
              <w:t>Job Title:</w:t>
            </w:r>
          </w:p>
        </w:tc>
        <w:tc>
          <w:tcPr>
            <w:tcW w:w="5391" w:type="dxa"/>
            <w:gridSpan w:val="3"/>
            <w:tcBorders>
              <w:top w:val="single" w:sz="4" w:space="0" w:color="auto"/>
              <w:bottom w:val="single" w:sz="4" w:space="0" w:color="auto"/>
            </w:tcBorders>
          </w:tcPr>
          <w:p w14:paraId="20DAE3EB" w14:textId="77777777" w:rsidR="00BC4684" w:rsidRPr="00B06A1A" w:rsidRDefault="00BC4684" w:rsidP="00C86F2A">
            <w:pPr>
              <w:spacing w:before="120" w:after="120"/>
              <w:rPr>
                <w:sz w:val="20"/>
              </w:rPr>
            </w:pPr>
          </w:p>
        </w:tc>
      </w:tr>
      <w:tr w:rsidR="00BC4684" w:rsidRPr="00B06A1A" w14:paraId="573A1AAE" w14:textId="77777777" w:rsidTr="006F448B">
        <w:trPr>
          <w:cantSplit/>
        </w:trPr>
        <w:tc>
          <w:tcPr>
            <w:tcW w:w="2916" w:type="dxa"/>
            <w:tcBorders>
              <w:top w:val="single" w:sz="4" w:space="0" w:color="auto"/>
              <w:bottom w:val="single" w:sz="4" w:space="0" w:color="auto"/>
            </w:tcBorders>
          </w:tcPr>
          <w:p w14:paraId="2169F0F5" w14:textId="77777777" w:rsidR="00BC4684" w:rsidRPr="00B06A1A" w:rsidRDefault="00BC4684" w:rsidP="00C86F2A">
            <w:pPr>
              <w:tabs>
                <w:tab w:val="left" w:pos="360"/>
              </w:tabs>
              <w:spacing w:before="120" w:after="120"/>
              <w:ind w:left="360" w:hanging="360"/>
              <w:rPr>
                <w:sz w:val="20"/>
              </w:rPr>
            </w:pPr>
            <w:r>
              <w:rPr>
                <w:sz w:val="20"/>
              </w:rPr>
              <w:t>Skype</w:t>
            </w:r>
            <w:r w:rsidRPr="00B06A1A">
              <w:rPr>
                <w:sz w:val="20"/>
              </w:rPr>
              <w:t>:</w:t>
            </w:r>
          </w:p>
        </w:tc>
        <w:tc>
          <w:tcPr>
            <w:tcW w:w="5391" w:type="dxa"/>
            <w:gridSpan w:val="3"/>
            <w:tcBorders>
              <w:top w:val="single" w:sz="4" w:space="0" w:color="auto"/>
              <w:bottom w:val="single" w:sz="4" w:space="0" w:color="auto"/>
            </w:tcBorders>
          </w:tcPr>
          <w:p w14:paraId="784DAEDC" w14:textId="77777777" w:rsidR="00BC4684" w:rsidRPr="00B06A1A" w:rsidRDefault="00BC4684" w:rsidP="00C86F2A">
            <w:pPr>
              <w:spacing w:before="120" w:after="120"/>
              <w:rPr>
                <w:sz w:val="20"/>
              </w:rPr>
            </w:pPr>
          </w:p>
        </w:tc>
      </w:tr>
      <w:tr w:rsidR="00BC4684" w:rsidRPr="00B06A1A" w14:paraId="22010A8E" w14:textId="77777777" w:rsidTr="006F448B">
        <w:trPr>
          <w:cantSplit/>
        </w:trPr>
        <w:tc>
          <w:tcPr>
            <w:tcW w:w="2916" w:type="dxa"/>
            <w:tcBorders>
              <w:top w:val="single" w:sz="4" w:space="0" w:color="auto"/>
              <w:bottom w:val="single" w:sz="4" w:space="0" w:color="auto"/>
            </w:tcBorders>
          </w:tcPr>
          <w:p w14:paraId="6B1E64E4" w14:textId="77777777" w:rsidR="00BC4684" w:rsidRPr="00B06A1A" w:rsidRDefault="00BC4684" w:rsidP="00C86F2A">
            <w:pPr>
              <w:tabs>
                <w:tab w:val="left" w:pos="360"/>
              </w:tabs>
              <w:spacing w:before="120" w:after="120"/>
              <w:ind w:left="360" w:hanging="360"/>
              <w:rPr>
                <w:sz w:val="20"/>
              </w:rPr>
            </w:pPr>
            <w:r w:rsidRPr="00B06A1A">
              <w:rPr>
                <w:sz w:val="20"/>
              </w:rPr>
              <w:t>Email:</w:t>
            </w:r>
          </w:p>
        </w:tc>
        <w:tc>
          <w:tcPr>
            <w:tcW w:w="5391" w:type="dxa"/>
            <w:gridSpan w:val="3"/>
            <w:tcBorders>
              <w:top w:val="single" w:sz="4" w:space="0" w:color="auto"/>
              <w:bottom w:val="single" w:sz="4" w:space="0" w:color="auto"/>
            </w:tcBorders>
          </w:tcPr>
          <w:p w14:paraId="08117D50" w14:textId="77777777" w:rsidR="00BC4684" w:rsidRPr="00B06A1A" w:rsidRDefault="00BC4684" w:rsidP="00C86F2A">
            <w:pPr>
              <w:spacing w:before="120" w:after="120"/>
              <w:rPr>
                <w:sz w:val="20"/>
              </w:rPr>
            </w:pPr>
          </w:p>
        </w:tc>
      </w:tr>
      <w:tr w:rsidR="00BC4684" w:rsidRPr="00B06A1A" w14:paraId="4D45E2BE" w14:textId="77777777" w:rsidTr="006F448B">
        <w:trPr>
          <w:cantSplit/>
        </w:trPr>
        <w:tc>
          <w:tcPr>
            <w:tcW w:w="2916" w:type="dxa"/>
            <w:tcBorders>
              <w:top w:val="single" w:sz="4" w:space="0" w:color="auto"/>
              <w:bottom w:val="single" w:sz="4" w:space="0" w:color="auto"/>
            </w:tcBorders>
          </w:tcPr>
          <w:p w14:paraId="1CFEAEAC" w14:textId="77777777" w:rsidR="00BC4684" w:rsidRPr="00B06A1A" w:rsidRDefault="00BC4684" w:rsidP="00C86F2A">
            <w:pPr>
              <w:tabs>
                <w:tab w:val="left" w:pos="360"/>
              </w:tabs>
              <w:spacing w:before="120" w:after="120"/>
              <w:ind w:left="360" w:hanging="360"/>
              <w:rPr>
                <w:sz w:val="20"/>
              </w:rPr>
            </w:pPr>
            <w:r w:rsidRPr="00B06A1A">
              <w:rPr>
                <w:sz w:val="20"/>
              </w:rPr>
              <w:t>Web Site:</w:t>
            </w:r>
          </w:p>
        </w:tc>
        <w:tc>
          <w:tcPr>
            <w:tcW w:w="5391" w:type="dxa"/>
            <w:gridSpan w:val="3"/>
            <w:tcBorders>
              <w:top w:val="single" w:sz="4" w:space="0" w:color="auto"/>
              <w:bottom w:val="single" w:sz="4" w:space="0" w:color="auto"/>
            </w:tcBorders>
          </w:tcPr>
          <w:p w14:paraId="717FC217" w14:textId="77777777" w:rsidR="00BC4684" w:rsidRPr="00B06A1A" w:rsidRDefault="00BC4684" w:rsidP="00C86F2A">
            <w:pPr>
              <w:spacing w:before="120" w:after="120"/>
              <w:rPr>
                <w:sz w:val="20"/>
              </w:rPr>
            </w:pPr>
          </w:p>
        </w:tc>
      </w:tr>
      <w:tr w:rsidR="00BC4684" w:rsidRPr="00B06A1A" w14:paraId="772A87D4" w14:textId="77777777" w:rsidTr="006F448B">
        <w:trPr>
          <w:cantSplit/>
        </w:trPr>
        <w:tc>
          <w:tcPr>
            <w:tcW w:w="2916" w:type="dxa"/>
            <w:tcBorders>
              <w:top w:val="single" w:sz="4" w:space="0" w:color="auto"/>
              <w:bottom w:val="single" w:sz="4" w:space="0" w:color="auto"/>
            </w:tcBorders>
          </w:tcPr>
          <w:p w14:paraId="0D186C91" w14:textId="77777777" w:rsidR="00BC4684" w:rsidRPr="00B06A1A" w:rsidRDefault="00BC4684" w:rsidP="00C86F2A">
            <w:pPr>
              <w:tabs>
                <w:tab w:val="left" w:pos="360"/>
              </w:tabs>
              <w:spacing w:before="120" w:after="120"/>
              <w:ind w:left="360" w:hanging="360"/>
              <w:rPr>
                <w:sz w:val="20"/>
              </w:rPr>
            </w:pPr>
            <w:r w:rsidRPr="00B06A1A">
              <w:rPr>
                <w:sz w:val="20"/>
              </w:rPr>
              <w:t>Nationality/ies:</w:t>
            </w:r>
          </w:p>
        </w:tc>
        <w:tc>
          <w:tcPr>
            <w:tcW w:w="5391" w:type="dxa"/>
            <w:gridSpan w:val="3"/>
            <w:tcBorders>
              <w:top w:val="single" w:sz="4" w:space="0" w:color="auto"/>
              <w:bottom w:val="single" w:sz="4" w:space="0" w:color="auto"/>
            </w:tcBorders>
          </w:tcPr>
          <w:p w14:paraId="7D09AC79" w14:textId="77777777" w:rsidR="00BC4684" w:rsidRPr="00B06A1A" w:rsidRDefault="00BC4684" w:rsidP="00C86F2A">
            <w:pPr>
              <w:spacing w:before="120" w:after="120"/>
              <w:rPr>
                <w:sz w:val="20"/>
              </w:rPr>
            </w:pPr>
          </w:p>
        </w:tc>
      </w:tr>
    </w:tbl>
    <w:p w14:paraId="7BB9F34D" w14:textId="6E34C3AB" w:rsidR="00BC4684" w:rsidRDefault="00BC4684" w:rsidP="00BC4684">
      <w:pPr>
        <w:rPr>
          <w:bCs/>
          <w:szCs w:val="22"/>
        </w:rPr>
      </w:pPr>
    </w:p>
    <w:p w14:paraId="49566F79" w14:textId="338D05F8" w:rsidR="00BC4684" w:rsidRDefault="00BC4684" w:rsidP="00BC4684">
      <w:pPr>
        <w:pStyle w:val="Style15"/>
      </w:pPr>
    </w:p>
    <w:p w14:paraId="52E0E12B" w14:textId="499FDC13" w:rsidR="00BC4684" w:rsidRPr="005723E2" w:rsidRDefault="00BC4684" w:rsidP="005723E2"/>
    <w:bookmarkStart w:id="718" w:name="_Toc40194930"/>
    <w:bookmarkStart w:id="719" w:name="_Toc40696121"/>
    <w:p w14:paraId="4FFF457C" w14:textId="72644860" w:rsidR="00BC4684" w:rsidRPr="00516A67" w:rsidRDefault="00F17242" w:rsidP="00BC4684">
      <w:pPr>
        <w:rPr>
          <w:b/>
          <w:bCs/>
        </w:rPr>
      </w:pPr>
      <w:r>
        <w:rPr>
          <w:noProof/>
          <w:lang w:eastAsia="en-GB"/>
        </w:rPr>
        <mc:AlternateContent>
          <mc:Choice Requires="wps">
            <w:drawing>
              <wp:anchor distT="0" distB="0" distL="114300" distR="114300" simplePos="0" relativeHeight="251667456" behindDoc="0" locked="0" layoutInCell="1" allowOverlap="1" wp14:anchorId="7B906F0B" wp14:editId="1770E664">
                <wp:simplePos x="0" y="0"/>
                <wp:positionH relativeFrom="column">
                  <wp:posOffset>38100</wp:posOffset>
                </wp:positionH>
                <wp:positionV relativeFrom="paragraph">
                  <wp:posOffset>-150995</wp:posOffset>
                </wp:positionV>
                <wp:extent cx="5496560" cy="413385"/>
                <wp:effectExtent l="0" t="0" r="2540" b="571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428E2B0E" w14:textId="77777777" w:rsidR="00992301" w:rsidRPr="007B4C08" w:rsidRDefault="00992301" w:rsidP="00F17242">
                            <w:pPr>
                              <w:keepNext/>
                              <w:rPr>
                                <w:b/>
                              </w:rPr>
                            </w:pPr>
                            <w:r>
                              <w:rPr>
                                <w:b/>
                              </w:rPr>
                              <w:t xml:space="preserve">Applicant profile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B906F0B" id="Text Box 4" o:spid="_x0000_s1029" type="#_x0000_t202" style="position:absolute;margin-left:3pt;margin-top:-11.9pt;width:432.8pt;height:3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" fillcolor="#d8d8d8">
                <v:path arrowok="t"/>
                <v:textbox style="mso-fit-shape-to-text:t">
                  <w:txbxContent>
                    <w:p w14:paraId="428E2B0E" w14:textId="77777777" w:rsidR="00992301" w:rsidRPr="007B4C08" w:rsidRDefault="00992301" w:rsidP="00F17242">
                      <w:pPr>
                        <w:keepNext/>
                        <w:rPr>
                          <w:b/>
                        </w:rPr>
                      </w:pPr>
                      <w:r>
                        <w:rPr>
                          <w:b/>
                        </w:rPr>
                        <w:t xml:space="preserve">Applicant profile </w:t>
                      </w:r>
                    </w:p>
                  </w:txbxContent>
                </v:textbox>
              </v:shape>
            </w:pict>
          </mc:Fallback>
        </mc:AlternateContent>
      </w:r>
      <w:bookmarkEnd w:id="718"/>
      <w:bookmarkEnd w:id="719"/>
    </w:p>
    <w:tbl>
      <w:tblPr>
        <w:tblpPr w:leftFromText="180" w:rightFromText="180" w:vertAnchor="page" w:horzAnchor="margin" w:tblpY="4241"/>
        <w:tblW w:w="0" w:type="auto"/>
        <w:tblLook w:val="0000" w:firstRow="0" w:lastRow="0" w:firstColumn="0" w:lastColumn="0" w:noHBand="0" w:noVBand="0"/>
      </w:tblPr>
      <w:tblGrid>
        <w:gridCol w:w="2679"/>
        <w:gridCol w:w="5628"/>
      </w:tblGrid>
      <w:tr w:rsidR="00BC4684" w:rsidRPr="00B06A1A" w14:paraId="104BD9D6" w14:textId="77777777" w:rsidTr="00912E2E">
        <w:trPr>
          <w:cantSplit/>
        </w:trPr>
        <w:tc>
          <w:tcPr>
            <w:tcW w:w="2680" w:type="dxa"/>
            <w:tcBorders>
              <w:top w:val="single" w:sz="4" w:space="0" w:color="auto"/>
              <w:bottom w:val="single" w:sz="4" w:space="0" w:color="auto"/>
            </w:tcBorders>
          </w:tcPr>
          <w:p w14:paraId="0F199552" w14:textId="066FC1BD" w:rsidR="00BC4684" w:rsidRPr="00B06A1A" w:rsidRDefault="00BC4684" w:rsidP="00912E2E">
            <w:pPr>
              <w:spacing w:after="0"/>
              <w:rPr>
                <w:sz w:val="20"/>
              </w:rPr>
            </w:pPr>
            <w:r w:rsidRPr="001B1B37">
              <w:rPr>
                <w:bCs/>
                <w:sz w:val="20"/>
              </w:rPr>
              <w:lastRenderedPageBreak/>
              <w:t xml:space="preserve">Please provide a short summary of the applicants’ expertise and skills, as they relate to the position for which he/she is being nominated. </w:t>
            </w:r>
          </w:p>
        </w:tc>
        <w:tc>
          <w:tcPr>
            <w:tcW w:w="5633" w:type="dxa"/>
            <w:tcBorders>
              <w:top w:val="single" w:sz="4" w:space="0" w:color="auto"/>
              <w:bottom w:val="single" w:sz="4" w:space="0" w:color="auto"/>
            </w:tcBorders>
          </w:tcPr>
          <w:p w14:paraId="63821426" w14:textId="77777777" w:rsidR="00BC4684" w:rsidRPr="00B06A1A" w:rsidRDefault="00BC4684" w:rsidP="00912E2E">
            <w:pPr>
              <w:spacing w:before="120" w:after="120"/>
              <w:rPr>
                <w:sz w:val="20"/>
              </w:rPr>
            </w:pPr>
          </w:p>
        </w:tc>
      </w:tr>
    </w:tbl>
    <w:p w14:paraId="036ACD67" w14:textId="2723E935" w:rsidR="00BC4684" w:rsidRPr="00322051" w:rsidRDefault="006E6D2F" w:rsidP="00322051">
      <w:r w:rsidRPr="00322051">
        <w:rPr>
          <w:noProof/>
          <w:lang w:eastAsia="en-GB"/>
        </w:rPr>
        <mc:AlternateContent>
          <mc:Choice Requires="wps">
            <w:drawing>
              <wp:anchor distT="0" distB="0" distL="114300" distR="114300" simplePos="0" relativeHeight="251659264" behindDoc="0" locked="0" layoutInCell="1" allowOverlap="1" wp14:anchorId="154215CF" wp14:editId="356B254E">
                <wp:simplePos x="0" y="0"/>
                <wp:positionH relativeFrom="column">
                  <wp:posOffset>19675</wp:posOffset>
                </wp:positionH>
                <wp:positionV relativeFrom="paragraph">
                  <wp:posOffset>1085870</wp:posOffset>
                </wp:positionV>
                <wp:extent cx="5486400" cy="247650"/>
                <wp:effectExtent l="0" t="0" r="0" b="63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47650"/>
                        </a:xfrm>
                        <a:prstGeom prst="rect">
                          <a:avLst/>
                        </a:prstGeom>
                        <a:solidFill>
                          <a:srgbClr val="C0C0C0">
                            <a:alpha val="50000"/>
                          </a:srgbClr>
                        </a:solidFill>
                        <a:ln w="9525">
                          <a:solidFill>
                            <a:srgbClr val="000000"/>
                          </a:solidFill>
                          <a:miter lim="800000"/>
                          <a:headEnd/>
                          <a:tailEnd/>
                        </a:ln>
                      </wps:spPr>
                      <wps:txbx>
                        <w:txbxContent>
                          <w:p w14:paraId="74F176DE" w14:textId="77777777" w:rsidR="00992301" w:rsidRPr="00474BB7" w:rsidRDefault="00992301" w:rsidP="00BC4684">
                            <w:pPr>
                              <w:rPr>
                                <w:b/>
                                <w:szCs w:val="22"/>
                              </w:rPr>
                            </w:pPr>
                            <w:r w:rsidRPr="00474BB7">
                              <w:rPr>
                                <w:b/>
                                <w:szCs w:val="22"/>
                              </w:rPr>
                              <w:t>Employment History and/or Relevant 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4215CF" id="Text Box 5" o:spid="_x0000_s1030" type="#_x0000_t202" style="position:absolute;margin-left:1.55pt;margin-top:85.5pt;width:6in;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" fillcolor="silver">
                <v:fill opacity="32896f"/>
                <v:path arrowok="t"/>
                <v:textbox>
                  <w:txbxContent>
                    <w:p w14:paraId="74F176DE" w14:textId="77777777" w:rsidR="00992301" w:rsidRPr="00474BB7" w:rsidRDefault="00992301" w:rsidP="00BC4684">
                      <w:pPr>
                        <w:rPr>
                          <w:b/>
                          <w:szCs w:val="22"/>
                        </w:rPr>
                      </w:pPr>
                      <w:r w:rsidRPr="00474BB7">
                        <w:rPr>
                          <w:b/>
                          <w:szCs w:val="22"/>
                        </w:rPr>
                        <w:t>Employment History and/or Relevant Experience</w:t>
                      </w:r>
                    </w:p>
                  </w:txbxContent>
                </v:textbox>
              </v:shape>
            </w:pict>
          </mc:Fallback>
        </mc:AlternateContent>
      </w:r>
    </w:p>
    <w:p w14:paraId="3356A197" w14:textId="2EFB3EFC" w:rsidR="00BC4684" w:rsidRPr="00516A67" w:rsidRDefault="00BC4684" w:rsidP="00BC4684">
      <w:pPr>
        <w:keepNext/>
        <w:outlineLvl w:val="0"/>
        <w:rPr>
          <w:b/>
          <w:bCs/>
        </w:rPr>
      </w:pPr>
    </w:p>
    <w:tbl>
      <w:tblPr>
        <w:tblpPr w:leftFromText="180" w:rightFromText="180" w:tblpY="485"/>
        <w:tblW w:w="0" w:type="auto"/>
        <w:tblBorders>
          <w:bottom w:val="single" w:sz="4" w:space="0" w:color="auto"/>
        </w:tblBorders>
        <w:tblLook w:val="0000" w:firstRow="0" w:lastRow="0" w:firstColumn="0" w:lastColumn="0" w:noHBand="0" w:noVBand="0"/>
      </w:tblPr>
      <w:tblGrid>
        <w:gridCol w:w="2685"/>
        <w:gridCol w:w="5622"/>
      </w:tblGrid>
      <w:tr w:rsidR="00BC4684" w:rsidRPr="00B06A1A" w14:paraId="180850E7" w14:textId="77777777" w:rsidTr="00821BBC">
        <w:trPr>
          <w:cantSplit/>
        </w:trPr>
        <w:tc>
          <w:tcPr>
            <w:tcW w:w="2686" w:type="dxa"/>
          </w:tcPr>
          <w:p w14:paraId="1D81E809" w14:textId="77777777" w:rsidR="00BC4684" w:rsidRPr="00B06A1A" w:rsidRDefault="00BC4684" w:rsidP="00912E2E">
            <w:pPr>
              <w:spacing w:before="120" w:after="120"/>
              <w:rPr>
                <w:sz w:val="20"/>
              </w:rPr>
            </w:pPr>
            <w:r w:rsidRPr="00B06A1A">
              <w:rPr>
                <w:sz w:val="20"/>
              </w:rPr>
              <w:t>Main Countries or Regions Worked or Experience in</w:t>
            </w:r>
            <w:r>
              <w:rPr>
                <w:sz w:val="20"/>
              </w:rPr>
              <w:t xml:space="preserve"> (with relevance to Montreal Protocol)</w:t>
            </w:r>
          </w:p>
        </w:tc>
        <w:tc>
          <w:tcPr>
            <w:tcW w:w="5627" w:type="dxa"/>
          </w:tcPr>
          <w:p w14:paraId="1BAF745E" w14:textId="537E4CE8" w:rsidR="00BC4684" w:rsidRPr="00B06A1A" w:rsidRDefault="00BC4684" w:rsidP="00912E2E">
            <w:pPr>
              <w:spacing w:before="120"/>
              <w:rPr>
                <w:sz w:val="20"/>
              </w:rPr>
            </w:pPr>
          </w:p>
          <w:p w14:paraId="350FFE7C" w14:textId="359819D6" w:rsidR="00BC4684" w:rsidRPr="00B06A1A" w:rsidRDefault="00BC4684" w:rsidP="00912E2E">
            <w:pPr>
              <w:spacing w:before="120"/>
              <w:rPr>
                <w:sz w:val="20"/>
              </w:rPr>
            </w:pPr>
          </w:p>
          <w:p w14:paraId="41A2A7B3" w14:textId="77777777" w:rsidR="00BC4684" w:rsidRPr="00B06A1A" w:rsidRDefault="00BC4684" w:rsidP="00912E2E">
            <w:pPr>
              <w:spacing w:before="120"/>
              <w:rPr>
                <w:sz w:val="20"/>
              </w:rPr>
            </w:pPr>
          </w:p>
        </w:tc>
      </w:tr>
      <w:tr w:rsidR="00474BB7" w:rsidRPr="00B06A1A" w14:paraId="4B809F96" w14:textId="77777777" w:rsidTr="00821BBC">
        <w:trPr>
          <w:cantSplit/>
          <w:trHeight w:val="596"/>
        </w:trPr>
        <w:tc>
          <w:tcPr>
            <w:tcW w:w="2686" w:type="dxa"/>
            <w:tcBorders>
              <w:bottom w:val="single" w:sz="4" w:space="0" w:color="auto"/>
            </w:tcBorders>
          </w:tcPr>
          <w:p w14:paraId="391E9848" w14:textId="77777777" w:rsidR="00474BB7" w:rsidRPr="00B06A1A" w:rsidRDefault="00474BB7" w:rsidP="00912E2E">
            <w:pPr>
              <w:spacing w:before="120" w:after="120"/>
              <w:rPr>
                <w:sz w:val="20"/>
              </w:rPr>
            </w:pPr>
          </w:p>
        </w:tc>
        <w:tc>
          <w:tcPr>
            <w:tcW w:w="5627" w:type="dxa"/>
            <w:tcBorders>
              <w:bottom w:val="single" w:sz="4" w:space="0" w:color="auto"/>
            </w:tcBorders>
          </w:tcPr>
          <w:p w14:paraId="65C4D733" w14:textId="77777777" w:rsidR="00474BB7" w:rsidRPr="00B06A1A" w:rsidRDefault="00474BB7" w:rsidP="00912E2E">
            <w:pPr>
              <w:spacing w:before="120"/>
              <w:rPr>
                <w:sz w:val="20"/>
              </w:rPr>
            </w:pPr>
          </w:p>
        </w:tc>
      </w:tr>
    </w:tbl>
    <w:bookmarkStart w:id="720" w:name="_Toc41806059"/>
    <w:bookmarkStart w:id="721" w:name="_Toc41837854"/>
    <w:p w14:paraId="12145D5A" w14:textId="77AC0D0E" w:rsidR="00BC4684" w:rsidRPr="001B2B75" w:rsidRDefault="00F17242" w:rsidP="00BC4684">
      <w:r>
        <w:rPr>
          <w:noProof/>
          <w:lang w:eastAsia="en-GB"/>
        </w:rPr>
        <mc:AlternateContent>
          <mc:Choice Requires="wps">
            <w:drawing>
              <wp:anchor distT="0" distB="0" distL="114300" distR="114300" simplePos="0" relativeHeight="251662336" behindDoc="0" locked="0" layoutInCell="1" allowOverlap="1" wp14:anchorId="1EB03D05" wp14:editId="681DA2D6">
                <wp:simplePos x="0" y="0"/>
                <wp:positionH relativeFrom="column">
                  <wp:posOffset>8665</wp:posOffset>
                </wp:positionH>
                <wp:positionV relativeFrom="paragraph">
                  <wp:posOffset>711835</wp:posOffset>
                </wp:positionV>
                <wp:extent cx="5496560" cy="413385"/>
                <wp:effectExtent l="0" t="0" r="2540" b="571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79630FF5" w14:textId="77777777" w:rsidR="00992301" w:rsidRPr="007B4C08" w:rsidRDefault="00992301" w:rsidP="00BC4684">
                            <w:pPr>
                              <w:rPr>
                                <w:b/>
                              </w:rPr>
                            </w:pPr>
                            <w:r>
                              <w:rPr>
                                <w:b/>
                              </w:rPr>
                              <w:t>Publications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B03D05" id="Text Box 6" o:spid="_x0000_s1031" type="#_x0000_t202" style="position:absolute;margin-left:.7pt;margin-top:56.05pt;width:432.8pt;height: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" fillcolor="#d8d8d8">
                <v:path arrowok="t"/>
                <v:textbox style="mso-fit-shape-to-text:t">
                  <w:txbxContent>
                    <w:p w14:paraId="79630FF5" w14:textId="77777777" w:rsidR="00992301" w:rsidRPr="007B4C08" w:rsidRDefault="00992301" w:rsidP="00BC4684">
                      <w:pPr>
                        <w:rPr>
                          <w:b/>
                        </w:rPr>
                      </w:pPr>
                      <w:r>
                        <w:rPr>
                          <w:b/>
                        </w:rPr>
                        <w:t>Publications</w:t>
                      </w:r>
                    </w:p>
                  </w:txbxContent>
                </v:textbox>
              </v:shape>
            </w:pict>
          </mc:Fallback>
        </mc:AlternateContent>
      </w:r>
      <w:bookmarkEnd w:id="720"/>
      <w:bookmarkEnd w:id="721"/>
    </w:p>
    <w:p w14:paraId="743D4013" w14:textId="4CDA1374" w:rsidR="00BC4684" w:rsidRPr="00516A67" w:rsidRDefault="00BC4684" w:rsidP="00BC4684"/>
    <w:tbl>
      <w:tblPr>
        <w:tblpPr w:leftFromText="180" w:rightFromText="180" w:vertAnchor="text" w:horzAnchor="margin" w:tblpY="56"/>
        <w:tblW w:w="0" w:type="auto"/>
        <w:tblLook w:val="0000" w:firstRow="0" w:lastRow="0" w:firstColumn="0" w:lastColumn="0" w:noHBand="0" w:noVBand="0"/>
      </w:tblPr>
      <w:tblGrid>
        <w:gridCol w:w="2677"/>
        <w:gridCol w:w="5630"/>
      </w:tblGrid>
      <w:tr w:rsidR="00912E2E" w:rsidRPr="00B06A1A" w14:paraId="0939BD65" w14:textId="77777777" w:rsidTr="00912E2E">
        <w:trPr>
          <w:cantSplit/>
          <w:trHeight w:val="983"/>
        </w:trPr>
        <w:tc>
          <w:tcPr>
            <w:tcW w:w="2678" w:type="dxa"/>
            <w:tcBorders>
              <w:top w:val="single" w:sz="4" w:space="0" w:color="auto"/>
              <w:bottom w:val="single" w:sz="4" w:space="0" w:color="auto"/>
            </w:tcBorders>
          </w:tcPr>
          <w:p w14:paraId="5E0E8C79" w14:textId="77777777" w:rsidR="00912E2E" w:rsidRPr="00B06A1A" w:rsidRDefault="00912E2E" w:rsidP="00912E2E">
            <w:pPr>
              <w:tabs>
                <w:tab w:val="left" w:pos="0"/>
              </w:tabs>
              <w:spacing w:before="120" w:after="120"/>
              <w:rPr>
                <w:sz w:val="20"/>
              </w:rPr>
            </w:pPr>
            <w:r>
              <w:rPr>
                <w:sz w:val="20"/>
              </w:rPr>
              <w:t>P</w:t>
            </w:r>
            <w:r w:rsidRPr="00B06A1A">
              <w:rPr>
                <w:sz w:val="20"/>
              </w:rPr>
              <w:t xml:space="preserve">lease give a list of </w:t>
            </w:r>
            <w:r>
              <w:rPr>
                <w:sz w:val="20"/>
              </w:rPr>
              <w:t xml:space="preserve">relevant </w:t>
            </w:r>
            <w:r w:rsidRPr="00B06A1A">
              <w:rPr>
                <w:sz w:val="20"/>
              </w:rPr>
              <w:t>publications</w:t>
            </w:r>
            <w:r>
              <w:rPr>
                <w:sz w:val="20"/>
              </w:rPr>
              <w:t xml:space="preserve"> (do not attach)</w:t>
            </w:r>
          </w:p>
        </w:tc>
        <w:tc>
          <w:tcPr>
            <w:tcW w:w="5635" w:type="dxa"/>
            <w:tcBorders>
              <w:top w:val="single" w:sz="4" w:space="0" w:color="auto"/>
              <w:bottom w:val="single" w:sz="4" w:space="0" w:color="auto"/>
            </w:tcBorders>
          </w:tcPr>
          <w:p w14:paraId="6F2FE4AE" w14:textId="77777777" w:rsidR="00912E2E" w:rsidRPr="00B06A1A" w:rsidRDefault="00912E2E" w:rsidP="00912E2E">
            <w:pPr>
              <w:spacing w:before="120" w:after="120"/>
              <w:rPr>
                <w:sz w:val="20"/>
              </w:rPr>
            </w:pPr>
            <w:r>
              <w:rPr>
                <w:sz w:val="20"/>
              </w:rPr>
              <w:t>(No need to fill this section if already provided with CV)</w:t>
            </w:r>
          </w:p>
          <w:p w14:paraId="1B64E88A" w14:textId="77777777" w:rsidR="00912E2E" w:rsidRPr="00B06A1A" w:rsidRDefault="00912E2E" w:rsidP="00912E2E">
            <w:pPr>
              <w:spacing w:before="120" w:after="120"/>
              <w:rPr>
                <w:sz w:val="20"/>
              </w:rPr>
            </w:pPr>
          </w:p>
        </w:tc>
      </w:tr>
    </w:tbl>
    <w:p w14:paraId="6CD01F9F" w14:textId="77777777" w:rsidR="00BC4684" w:rsidRDefault="00BC4684" w:rsidP="00BC4684">
      <w:pPr>
        <w:keepNext/>
        <w:outlineLvl w:val="0"/>
        <w:rPr>
          <w:b/>
          <w:bCs/>
        </w:rPr>
      </w:pPr>
    </w:p>
    <w:p w14:paraId="4D8EF006" w14:textId="77777777" w:rsidR="00BC4684" w:rsidRPr="001B2B75" w:rsidRDefault="00BC4684" w:rsidP="00BC4684">
      <w:r>
        <w:rPr>
          <w:noProof/>
          <w:lang w:eastAsia="en-GB"/>
        </w:rPr>
        <mc:AlternateContent>
          <mc:Choice Requires="wps">
            <w:drawing>
              <wp:anchor distT="0" distB="0" distL="114300" distR="114300" simplePos="0" relativeHeight="251663360" behindDoc="0" locked="0" layoutInCell="1" allowOverlap="1" wp14:anchorId="282AA743" wp14:editId="075F8225">
                <wp:simplePos x="0" y="0"/>
                <wp:positionH relativeFrom="column">
                  <wp:posOffset>-15875</wp:posOffset>
                </wp:positionH>
                <wp:positionV relativeFrom="paragraph">
                  <wp:posOffset>42545</wp:posOffset>
                </wp:positionV>
                <wp:extent cx="5496560" cy="875030"/>
                <wp:effectExtent l="0" t="0" r="2540" b="127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875030"/>
                        </a:xfrm>
                        <a:prstGeom prst="rect">
                          <a:avLst/>
                        </a:prstGeom>
                        <a:solidFill>
                          <a:srgbClr val="D8D8D8"/>
                        </a:solidFill>
                        <a:ln w="9525">
                          <a:solidFill>
                            <a:srgbClr val="000000"/>
                          </a:solidFill>
                          <a:miter lim="800000"/>
                          <a:headEnd/>
                          <a:tailEnd/>
                        </a:ln>
                      </wps:spPr>
                      <wps:txbx>
                        <w:txbxContent>
                          <w:p w14:paraId="7B8A6EA4" w14:textId="77777777" w:rsidR="00992301" w:rsidRDefault="00992301" w:rsidP="00BC4684">
                            <w:pPr>
                              <w:rPr>
                                <w:sz w:val="20"/>
                              </w:rPr>
                            </w:pPr>
                            <w:r>
                              <w:rPr>
                                <w:b/>
                              </w:rPr>
                              <w:t>English Proficiency and computer skills</w:t>
                            </w:r>
                          </w:p>
                          <w:p w14:paraId="08C38091" w14:textId="77777777" w:rsidR="00992301" w:rsidRPr="000C4366" w:rsidRDefault="00992301" w:rsidP="00BC4684">
                            <w:pPr>
                              <w:rPr>
                                <w:sz w:val="20"/>
                              </w:rPr>
                            </w:pPr>
                            <w:r w:rsidRPr="00BC2A96">
                              <w:rPr>
                                <w:sz w:val="20"/>
                              </w:rPr>
                              <w:t>All meetings</w:t>
                            </w:r>
                            <w:r>
                              <w:rPr>
                                <w:sz w:val="20"/>
                              </w:rPr>
                              <w:t>, correspondence</w:t>
                            </w:r>
                            <w:r w:rsidRPr="00BC2A96">
                              <w:rPr>
                                <w:sz w:val="20"/>
                              </w:rPr>
                              <w:t xml:space="preserve"> and report writing are conducted in English</w:t>
                            </w:r>
                            <w:r>
                              <w:rPr>
                                <w:sz w:val="20"/>
                              </w:rPr>
                              <w:t xml:space="preserve"> so good command of English is essential. If English is not your mother tongue [native language] please describe briefly your proficiency to speak, read, and write in English.</w:t>
                            </w:r>
                            <w:r w:rsidRPr="000C4366">
                              <w:rPr>
                                <w:szCs w:val="22"/>
                              </w:rPr>
                              <w:t xml:space="preserve"> </w:t>
                            </w:r>
                            <w:r w:rsidRPr="000C4366">
                              <w:rPr>
                                <w:sz w:val="20"/>
                              </w:rPr>
                              <w:t>Basic computer literacy (Word, Excel, Power Point) for drafting and editing products is required and advanced computer skills are an asset</w:t>
                            </w:r>
                            <w:r>
                              <w:rPr>
                                <w:sz w:val="20"/>
                              </w:rPr>
                              <w:t>.</w:t>
                            </w:r>
                          </w:p>
                          <w:p w14:paraId="4F27FF3C" w14:textId="77777777" w:rsidR="00992301" w:rsidRPr="000C4366" w:rsidRDefault="00992301" w:rsidP="00BC4684">
                            <w:pPr>
                              <w:rPr>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82AA743" id="Text Box 8" o:spid="_x0000_s1032" type="#_x0000_t202" style="position:absolute;margin-left:-1.25pt;margin-top:3.35pt;width:432.8pt;height:6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" fillcolor="#d8d8d8">
                <v:path arrowok="t"/>
                <v:textbox>
                  <w:txbxContent>
                    <w:p w14:paraId="7B8A6EA4" w14:textId="77777777" w:rsidR="00992301" w:rsidRDefault="00992301" w:rsidP="00BC4684">
                      <w:pPr>
                        <w:rPr>
                          <w:sz w:val="20"/>
                        </w:rPr>
                      </w:pPr>
                      <w:r>
                        <w:rPr>
                          <w:b/>
                        </w:rPr>
                        <w:t>English Proficiency and computer skills</w:t>
                      </w:r>
                    </w:p>
                    <w:p w14:paraId="08C38091" w14:textId="77777777" w:rsidR="00992301" w:rsidRPr="000C4366" w:rsidRDefault="00992301" w:rsidP="00BC4684">
                      <w:pPr>
                        <w:rPr>
                          <w:sz w:val="20"/>
                        </w:rPr>
                      </w:pPr>
                      <w:r w:rsidRPr="00BC2A96">
                        <w:rPr>
                          <w:sz w:val="20"/>
                        </w:rPr>
                        <w:t>All meetings</w:t>
                      </w:r>
                      <w:r>
                        <w:rPr>
                          <w:sz w:val="20"/>
                        </w:rPr>
                        <w:t>, correspondence</w:t>
                      </w:r>
                      <w:r w:rsidRPr="00BC2A96">
                        <w:rPr>
                          <w:sz w:val="20"/>
                        </w:rPr>
                        <w:t xml:space="preserve"> and report writing are conducted in English</w:t>
                      </w:r>
                      <w:r>
                        <w:rPr>
                          <w:sz w:val="20"/>
                        </w:rPr>
                        <w:t xml:space="preserve"> so good command of English is essential. If English is not your mother tongue [native language] please describe briefly your proficiency to speak, read, and write in English.</w:t>
                      </w:r>
                      <w:r w:rsidRPr="000C4366">
                        <w:rPr>
                          <w:szCs w:val="22"/>
                        </w:rPr>
                        <w:t xml:space="preserve"> </w:t>
                      </w:r>
                      <w:r w:rsidRPr="000C4366">
                        <w:rPr>
                          <w:sz w:val="20"/>
                        </w:rPr>
                        <w:t>Basic computer literacy (Word, Excel, Power Point) for drafting and editing products is required and advanced computer skills are an asset</w:t>
                      </w:r>
                      <w:r>
                        <w:rPr>
                          <w:sz w:val="20"/>
                        </w:rPr>
                        <w:t>.</w:t>
                      </w:r>
                    </w:p>
                    <w:p w14:paraId="4F27FF3C" w14:textId="77777777" w:rsidR="00992301" w:rsidRPr="000C4366" w:rsidRDefault="00992301" w:rsidP="00BC4684">
                      <w:pPr>
                        <w:rPr>
                          <w:b/>
                          <w:sz w:val="20"/>
                        </w:rPr>
                      </w:pPr>
                    </w:p>
                  </w:txbxContent>
                </v:textbox>
              </v:shape>
            </w:pict>
          </mc:Fallback>
        </mc:AlternateContent>
      </w:r>
    </w:p>
    <w:p w14:paraId="7F9AE467" w14:textId="77777777" w:rsidR="00BC4684" w:rsidRPr="00516A67" w:rsidRDefault="00BC4684" w:rsidP="00BC4684">
      <w:pPr>
        <w:keepNext/>
        <w:outlineLvl w:val="0"/>
        <w:rPr>
          <w:b/>
          <w:bCs/>
        </w:rPr>
      </w:pPr>
    </w:p>
    <w:p w14:paraId="74393588" w14:textId="77777777" w:rsidR="00BC4684" w:rsidRPr="00516A67" w:rsidRDefault="00BC4684" w:rsidP="00BC4684">
      <w:pPr>
        <w:keepNext/>
        <w:outlineLvl w:val="0"/>
        <w:rPr>
          <w:b/>
          <w:bCs/>
        </w:rPr>
      </w:pPr>
    </w:p>
    <w:p w14:paraId="51C794D2" w14:textId="77777777" w:rsidR="00BC4684" w:rsidRPr="001B2B75" w:rsidRDefault="00BC4684" w:rsidP="00BC4684"/>
    <w:p w14:paraId="37F4181B" w14:textId="77777777" w:rsidR="00BC4684" w:rsidRPr="001B2B75" w:rsidRDefault="00BC4684" w:rsidP="00BC4684">
      <w:r>
        <w:rPr>
          <w:noProof/>
          <w:lang w:eastAsia="en-GB"/>
        </w:rPr>
        <mc:AlternateContent>
          <mc:Choice Requires="wps">
            <w:drawing>
              <wp:anchor distT="0" distB="0" distL="114300" distR="114300" simplePos="0" relativeHeight="251664384" behindDoc="0" locked="0" layoutInCell="1" allowOverlap="1" wp14:anchorId="76107FE2" wp14:editId="7206F503">
                <wp:simplePos x="0" y="0"/>
                <wp:positionH relativeFrom="column">
                  <wp:posOffset>7620</wp:posOffset>
                </wp:positionH>
                <wp:positionV relativeFrom="paragraph">
                  <wp:posOffset>14605</wp:posOffset>
                </wp:positionV>
                <wp:extent cx="5496560" cy="593725"/>
                <wp:effectExtent l="0" t="0" r="2540" b="317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593725"/>
                        </a:xfrm>
                        <a:prstGeom prst="rect">
                          <a:avLst/>
                        </a:prstGeom>
                        <a:solidFill>
                          <a:srgbClr val="D8D8D8"/>
                        </a:solidFill>
                        <a:ln w="9525">
                          <a:solidFill>
                            <a:srgbClr val="000000"/>
                          </a:solidFill>
                          <a:miter lim="800000"/>
                          <a:headEnd/>
                          <a:tailEnd/>
                        </a:ln>
                      </wps:spPr>
                      <wps:txbx>
                        <w:txbxContent>
                          <w:p w14:paraId="1FD0A392" w14:textId="77777777" w:rsidR="00992301" w:rsidRPr="00BC4684" w:rsidRDefault="00992301" w:rsidP="00BC4684">
                            <w:pPr>
                              <w:rPr>
                                <w:b/>
                                <w:lang w:val="en-US"/>
                              </w:rPr>
                            </w:pPr>
                            <w:r w:rsidRPr="00BC4684">
                              <w:rPr>
                                <w:b/>
                                <w:lang w:val="en-US"/>
                              </w:rPr>
                              <w:t>References</w:t>
                            </w:r>
                          </w:p>
                          <w:p w14:paraId="221FC898" w14:textId="77777777" w:rsidR="00992301" w:rsidRPr="000C4366" w:rsidRDefault="00992301" w:rsidP="00BC4684">
                            <w:pPr>
                              <w:rPr>
                                <w:sz w:val="20"/>
                              </w:rPr>
                            </w:pPr>
                            <w:r w:rsidRPr="000C4366">
                              <w:rPr>
                                <w:sz w:val="20"/>
                              </w:rPr>
                              <w:t>Please provide names of two persons</w:t>
                            </w:r>
                            <w:r>
                              <w:rPr>
                                <w:sz w:val="20"/>
                              </w:rPr>
                              <w:t xml:space="preserve"> who have worked with you on issues relevant to the Montreal Protocol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6107FE2" id="Text Box 9" o:spid="_x0000_s1033" type="#_x0000_t202" style="position:absolute;margin-left:.6pt;margin-top:1.15pt;width:432.8pt;height:4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" fillcolor="#d8d8d8">
                <v:path arrowok="t"/>
                <v:textbox>
                  <w:txbxContent>
                    <w:p w14:paraId="1FD0A392" w14:textId="77777777" w:rsidR="00992301" w:rsidRPr="00BC4684" w:rsidRDefault="00992301" w:rsidP="00BC4684">
                      <w:pPr>
                        <w:rPr>
                          <w:b/>
                          <w:lang w:val="en-US"/>
                        </w:rPr>
                      </w:pPr>
                      <w:r w:rsidRPr="00BC4684">
                        <w:rPr>
                          <w:b/>
                          <w:lang w:val="en-US"/>
                        </w:rPr>
                        <w:t>References</w:t>
                      </w:r>
                    </w:p>
                    <w:p w14:paraId="221FC898" w14:textId="77777777" w:rsidR="00992301" w:rsidRPr="000C4366" w:rsidRDefault="00992301" w:rsidP="00BC4684">
                      <w:pPr>
                        <w:rPr>
                          <w:sz w:val="20"/>
                        </w:rPr>
                      </w:pPr>
                      <w:r w:rsidRPr="000C4366">
                        <w:rPr>
                          <w:sz w:val="20"/>
                        </w:rPr>
                        <w:t>Please provide names of two persons</w:t>
                      </w:r>
                      <w:r>
                        <w:rPr>
                          <w:sz w:val="20"/>
                        </w:rPr>
                        <w:t xml:space="preserve"> who have worked with you on issues relevant to the Montreal Protocol</w:t>
                      </w:r>
                    </w:p>
                  </w:txbxContent>
                </v:textbox>
              </v:shape>
            </w:pict>
          </mc:Fallback>
        </mc:AlternateContent>
      </w:r>
    </w:p>
    <w:p w14:paraId="2A4DA3CB" w14:textId="77777777" w:rsidR="00BC4684" w:rsidRPr="00516A67" w:rsidRDefault="00BC4684" w:rsidP="00BC4684">
      <w:pPr>
        <w:keepNext/>
        <w:outlineLvl w:val="0"/>
        <w:rPr>
          <w:b/>
          <w:bCs/>
        </w:rPr>
      </w:pPr>
    </w:p>
    <w:p w14:paraId="7F91705E" w14:textId="77777777" w:rsidR="00BC4684" w:rsidRDefault="00BC4684" w:rsidP="00BC4684">
      <w:pPr>
        <w:rPr>
          <w:szCs w:val="22"/>
        </w:rPr>
      </w:pPr>
    </w:p>
    <w:p w14:paraId="2199505D" w14:textId="77777777" w:rsidR="00BC4684" w:rsidRPr="00516A67" w:rsidRDefault="00BC4684" w:rsidP="00BC4684">
      <w:pPr>
        <w:rPr>
          <w:szCs w:val="22"/>
        </w:rPr>
      </w:pPr>
      <w:r>
        <w:rPr>
          <w:noProof/>
          <w:lang w:eastAsia="en-GB"/>
        </w:rPr>
        <mc:AlternateContent>
          <mc:Choice Requires="wps">
            <w:drawing>
              <wp:anchor distT="0" distB="0" distL="114300" distR="114300" simplePos="0" relativeHeight="251665408" behindDoc="0" locked="0" layoutInCell="1" allowOverlap="1" wp14:anchorId="0FF2744C" wp14:editId="636432FE">
                <wp:simplePos x="0" y="0"/>
                <wp:positionH relativeFrom="column">
                  <wp:posOffset>20320</wp:posOffset>
                </wp:positionH>
                <wp:positionV relativeFrom="paragraph">
                  <wp:posOffset>64770</wp:posOffset>
                </wp:positionV>
                <wp:extent cx="5496560" cy="413385"/>
                <wp:effectExtent l="0" t="0" r="2540" b="571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38CDA9C8" w14:textId="77777777" w:rsidR="00992301" w:rsidRPr="007B4C08" w:rsidRDefault="00992301" w:rsidP="00BC4684">
                            <w:pPr>
                              <w:rPr>
                                <w:b/>
                              </w:rPr>
                            </w:pPr>
                            <w:r>
                              <w:rPr>
                                <w:b/>
                              </w:rPr>
                              <w:t>Confirmation and Agreement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FF2744C" id="Text Box 11" o:spid="_x0000_s1034" type="#_x0000_t202" style="position:absolute;margin-left:1.6pt;margin-top:5.1pt;width:432.8pt;height:3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" fillcolor="#d8d8d8">
                <v:path arrowok="t"/>
                <v:textbox style="mso-fit-shape-to-text:t">
                  <w:txbxContent>
                    <w:p w14:paraId="38CDA9C8" w14:textId="77777777" w:rsidR="00992301" w:rsidRPr="007B4C08" w:rsidRDefault="00992301" w:rsidP="00BC4684">
                      <w:pPr>
                        <w:rPr>
                          <w:b/>
                        </w:rPr>
                      </w:pPr>
                      <w:r>
                        <w:rPr>
                          <w:b/>
                        </w:rPr>
                        <w:t>Confirmation and Agreement</w:t>
                      </w:r>
                    </w:p>
                  </w:txbxContent>
                </v:textbox>
              </v:shape>
            </w:pict>
          </mc:Fallback>
        </mc:AlternateContent>
      </w:r>
    </w:p>
    <w:p w14:paraId="700FBA2A" w14:textId="77777777" w:rsidR="00BC4684" w:rsidRDefault="00BC4684" w:rsidP="00BC4684">
      <w:pPr>
        <w:rPr>
          <w:szCs w:val="22"/>
        </w:rPr>
      </w:pPr>
      <w:r>
        <w:rPr>
          <w:szCs w:val="22"/>
        </w:rPr>
        <w:t>To be filled by the nominated expert:</w:t>
      </w:r>
    </w:p>
    <w:p w14:paraId="2BDCB5D4" w14:textId="0FDBB4DF" w:rsidR="00BC4684" w:rsidRDefault="00BC4684" w:rsidP="00BC4684">
      <w:r w:rsidRPr="001B2B75">
        <w:rPr>
          <w:szCs w:val="22"/>
        </w:rPr>
        <w:t>I hereby confirm that the above information is correct and agree for review by the TEAP. I have no objection to this information being made publicly available.</w:t>
      </w:r>
      <w:r w:rsidRPr="001B2B75">
        <w:t xml:space="preserve"> I also confirm that, if appointed, I will review and agree to abide by TEAP’s terms of reference, its code of conduct, operational procedures, and relevant decisions of the Parties</w:t>
      </w:r>
      <w:r>
        <w:t xml:space="preserve"> as per Decision XXIV/8: </w:t>
      </w:r>
      <w:hyperlink r:id="rId82" w:history="1">
        <w:r w:rsidR="00BB7E37" w:rsidRPr="00185948">
          <w:rPr>
            <w:rStyle w:val="Hyperlink"/>
          </w:rPr>
          <w:t>https://ozone.unep.org/node/1953</w:t>
        </w:r>
      </w:hyperlink>
      <w:r w:rsidR="00BB7E37">
        <w:t xml:space="preserve"> </w:t>
      </w:r>
    </w:p>
    <w:p w14:paraId="6A5D6D4E" w14:textId="77777777" w:rsidR="00E37F41" w:rsidRPr="00E37F41" w:rsidRDefault="00E37F41" w:rsidP="00E37F41">
      <w:pPr>
        <w:pStyle w:val="Style15"/>
      </w:pPr>
    </w:p>
    <w:p w14:paraId="79A8A9FA" w14:textId="4A9CDE9C" w:rsidR="00BC4684" w:rsidRDefault="00BC4684" w:rsidP="00BC4684">
      <w:pPr>
        <w:tabs>
          <w:tab w:val="right" w:leader="underscore" w:pos="8640"/>
        </w:tabs>
        <w:rPr>
          <w:szCs w:val="22"/>
        </w:rPr>
      </w:pPr>
      <w:r w:rsidRPr="001B2B75">
        <w:rPr>
          <w:szCs w:val="22"/>
        </w:rPr>
        <w:t>Signature:</w:t>
      </w:r>
      <w:r w:rsidR="005617DE">
        <w:rPr>
          <w:szCs w:val="22"/>
        </w:rPr>
        <w:t xml:space="preserve"> </w:t>
      </w:r>
      <w:r w:rsidRPr="001B2B75">
        <w:rPr>
          <w:szCs w:val="22"/>
        </w:rPr>
        <w:t>__________________________________________</w:t>
      </w:r>
      <w:r w:rsidR="005617DE">
        <w:rPr>
          <w:szCs w:val="22"/>
        </w:rPr>
        <w:t xml:space="preserve"> </w:t>
      </w:r>
      <w:r w:rsidRPr="001B2B75">
        <w:rPr>
          <w:szCs w:val="22"/>
        </w:rPr>
        <w:t>Date:</w:t>
      </w:r>
      <w:r w:rsidR="005617DE">
        <w:rPr>
          <w:szCs w:val="22"/>
        </w:rPr>
        <w:t xml:space="preserve"> </w:t>
      </w:r>
      <w:r w:rsidRPr="001B2B75">
        <w:rPr>
          <w:szCs w:val="22"/>
        </w:rPr>
        <w:tab/>
      </w:r>
    </w:p>
    <w:p w14:paraId="17E0F4FA" w14:textId="2C22E740" w:rsidR="006E6D2F" w:rsidRDefault="006E6D2F" w:rsidP="006E6D2F">
      <w:pPr>
        <w:pStyle w:val="Style15"/>
      </w:pPr>
    </w:p>
    <w:p w14:paraId="39440EB0" w14:textId="07C26024" w:rsidR="00BC4684" w:rsidRPr="00516A67" w:rsidRDefault="00BC4684" w:rsidP="00BC4684">
      <w:r>
        <w:rPr>
          <w:noProof/>
          <w:lang w:eastAsia="en-GB"/>
        </w:rPr>
        <mc:AlternateContent>
          <mc:Choice Requires="wps">
            <w:drawing>
              <wp:anchor distT="0" distB="0" distL="114300" distR="114300" simplePos="0" relativeHeight="251666432" behindDoc="0" locked="0" layoutInCell="1" allowOverlap="1" wp14:anchorId="16051AA2" wp14:editId="5CDB82F4">
                <wp:simplePos x="0" y="0"/>
                <wp:positionH relativeFrom="column">
                  <wp:posOffset>9525</wp:posOffset>
                </wp:positionH>
                <wp:positionV relativeFrom="paragraph">
                  <wp:posOffset>43815</wp:posOffset>
                </wp:positionV>
                <wp:extent cx="5496560" cy="413385"/>
                <wp:effectExtent l="0" t="0" r="2540" b="5715"/>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96560" cy="413385"/>
                        </a:xfrm>
                        <a:prstGeom prst="rect">
                          <a:avLst/>
                        </a:prstGeom>
                        <a:solidFill>
                          <a:srgbClr val="D8D8D8"/>
                        </a:solidFill>
                        <a:ln w="9525">
                          <a:solidFill>
                            <a:srgbClr val="000000"/>
                          </a:solidFill>
                          <a:miter lim="800000"/>
                          <a:headEnd/>
                          <a:tailEnd/>
                        </a:ln>
                      </wps:spPr>
                      <wps:txbx>
                        <w:txbxContent>
                          <w:p w14:paraId="572AC212" w14:textId="77777777" w:rsidR="00992301" w:rsidRPr="007B4C08" w:rsidRDefault="00992301" w:rsidP="00BC4684">
                            <w:pPr>
                              <w:rPr>
                                <w:b/>
                              </w:rPr>
                            </w:pPr>
                            <w:r>
                              <w:rPr>
                                <w:b/>
                              </w:rPr>
                              <w:t>Confirmation by Nominating Government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6051AA2" id="Text Box 12" o:spid="_x0000_s1035" type="#_x0000_t202" style="position:absolute;margin-left:.75pt;margin-top:3.45pt;width:432.8pt;height:3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" fillcolor="#d8d8d8">
                <v:path arrowok="t"/>
                <v:textbox style="mso-fit-shape-to-text:t">
                  <w:txbxContent>
                    <w:p w14:paraId="572AC212" w14:textId="77777777" w:rsidR="00992301" w:rsidRPr="007B4C08" w:rsidRDefault="00992301" w:rsidP="00BC4684">
                      <w:pPr>
                        <w:rPr>
                          <w:b/>
                        </w:rPr>
                      </w:pPr>
                      <w:r>
                        <w:rPr>
                          <w:b/>
                        </w:rPr>
                        <w:t>Confirmation by Nominating Government</w:t>
                      </w:r>
                    </w:p>
                  </w:txbxContent>
                </v:textbox>
              </v:shape>
            </w:pict>
          </mc:Fallback>
        </mc:AlternateContent>
      </w:r>
    </w:p>
    <w:p w14:paraId="02F45147" w14:textId="77777777" w:rsidR="00BC4684" w:rsidRPr="001B2B75" w:rsidRDefault="00BC4684" w:rsidP="00BC4684"/>
    <w:p w14:paraId="1A419D8C" w14:textId="435A2A24" w:rsidR="00BC4684" w:rsidRPr="00516A67" w:rsidRDefault="00BC4684" w:rsidP="00BC4684">
      <w:pPr>
        <w:rPr>
          <w:szCs w:val="22"/>
        </w:rPr>
      </w:pPr>
      <w:r w:rsidRPr="001B2B75">
        <w:rPr>
          <w:szCs w:val="22"/>
        </w:rPr>
        <w:t>This section must be completed by the national focal point of the relevant party.</w:t>
      </w:r>
    </w:p>
    <w:p w14:paraId="2AD02ACD" w14:textId="04165111" w:rsidR="00BC4684" w:rsidRPr="00516A67" w:rsidRDefault="00BC4684" w:rsidP="00BC4684">
      <w:pPr>
        <w:tabs>
          <w:tab w:val="right" w:leader="underscore" w:pos="8640"/>
        </w:tabs>
        <w:rPr>
          <w:szCs w:val="22"/>
        </w:rPr>
      </w:pPr>
      <w:r w:rsidRPr="001B2B75">
        <w:rPr>
          <w:szCs w:val="22"/>
        </w:rPr>
        <w:t>Government:</w:t>
      </w:r>
      <w:r w:rsidR="005617DE">
        <w:rPr>
          <w:szCs w:val="22"/>
        </w:rPr>
        <w:t xml:space="preserve"> </w:t>
      </w:r>
      <w:r w:rsidRPr="001B2B75">
        <w:rPr>
          <w:szCs w:val="22"/>
        </w:rPr>
        <w:tab/>
      </w:r>
    </w:p>
    <w:p w14:paraId="7C1408CF" w14:textId="4FE6A527" w:rsidR="00BC4684" w:rsidRPr="00516A67" w:rsidRDefault="00BC4684" w:rsidP="00BC4684">
      <w:pPr>
        <w:tabs>
          <w:tab w:val="right" w:leader="underscore" w:pos="8640"/>
        </w:tabs>
        <w:rPr>
          <w:szCs w:val="22"/>
        </w:rPr>
      </w:pPr>
      <w:r w:rsidRPr="001B2B75">
        <w:rPr>
          <w:szCs w:val="22"/>
        </w:rPr>
        <w:t>Name of Government Representative:</w:t>
      </w:r>
      <w:r w:rsidR="005617DE">
        <w:rPr>
          <w:szCs w:val="22"/>
        </w:rPr>
        <w:t xml:space="preserve"> </w:t>
      </w:r>
      <w:r w:rsidRPr="001B2B75">
        <w:rPr>
          <w:szCs w:val="22"/>
        </w:rPr>
        <w:tab/>
      </w:r>
    </w:p>
    <w:p w14:paraId="04D17E44" w14:textId="5F96CC05" w:rsidR="00BC4684" w:rsidRPr="00516A67" w:rsidRDefault="00BC4684" w:rsidP="00BC4684">
      <w:pPr>
        <w:tabs>
          <w:tab w:val="right" w:leader="underscore" w:pos="8640"/>
        </w:tabs>
        <w:rPr>
          <w:szCs w:val="22"/>
        </w:rPr>
      </w:pPr>
      <w:r w:rsidRPr="001B2B75">
        <w:rPr>
          <w:szCs w:val="22"/>
        </w:rPr>
        <w:t>Signature:</w:t>
      </w:r>
      <w:r w:rsidR="005617DE">
        <w:rPr>
          <w:szCs w:val="22"/>
        </w:rPr>
        <w:t xml:space="preserve"> </w:t>
      </w:r>
      <w:r w:rsidRPr="001B2B75">
        <w:rPr>
          <w:szCs w:val="22"/>
        </w:rPr>
        <w:t>__________________________________________</w:t>
      </w:r>
      <w:r w:rsidR="005617DE">
        <w:rPr>
          <w:szCs w:val="22"/>
        </w:rPr>
        <w:t xml:space="preserve"> </w:t>
      </w:r>
      <w:r w:rsidRPr="001B2B75">
        <w:rPr>
          <w:szCs w:val="22"/>
        </w:rPr>
        <w:t>Date:</w:t>
      </w:r>
      <w:r w:rsidR="005617DE">
        <w:rPr>
          <w:szCs w:val="22"/>
        </w:rPr>
        <w:t xml:space="preserve"> </w:t>
      </w:r>
      <w:r w:rsidRPr="001B2B75">
        <w:rPr>
          <w:szCs w:val="22"/>
        </w:rPr>
        <w:tab/>
      </w:r>
    </w:p>
    <w:p w14:paraId="2683BF65" w14:textId="77777777" w:rsidR="00BC4684" w:rsidRDefault="00BC4684" w:rsidP="00BC4684">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7"/>
      </w:tblGrid>
      <w:tr w:rsidR="00BC4684" w:rsidRPr="00B57A6F" w14:paraId="1A26511A" w14:textId="77777777" w:rsidTr="00C86F2A">
        <w:tc>
          <w:tcPr>
            <w:tcW w:w="9243" w:type="dxa"/>
            <w:shd w:val="clear" w:color="auto" w:fill="auto"/>
          </w:tcPr>
          <w:p w14:paraId="2504F1F4" w14:textId="77777777" w:rsidR="00F17242" w:rsidRDefault="00F17242" w:rsidP="00F17242">
            <w:pPr>
              <w:spacing w:after="0"/>
              <w:rPr>
                <w:b/>
                <w:kern w:val="2"/>
                <w:sz w:val="21"/>
              </w:rPr>
            </w:pPr>
          </w:p>
          <w:p w14:paraId="38351880" w14:textId="53FCD1AE" w:rsidR="00BC4684" w:rsidRPr="00B57A6F" w:rsidRDefault="00BC4684" w:rsidP="00C86F2A">
            <w:pPr>
              <w:rPr>
                <w:b/>
                <w:kern w:val="2"/>
                <w:sz w:val="21"/>
              </w:rPr>
            </w:pPr>
            <w:r w:rsidRPr="00B57A6F">
              <w:rPr>
                <w:b/>
                <w:kern w:val="2"/>
                <w:sz w:val="21"/>
              </w:rPr>
              <w:t>To be completed by the national focal point in the case of nomination by the party:</w:t>
            </w:r>
          </w:p>
          <w:p w14:paraId="7212A9C2" w14:textId="77777777" w:rsidR="00BC4684" w:rsidRPr="000C4F04" w:rsidRDefault="00BC4684" w:rsidP="00C86F2A">
            <w:pPr>
              <w:rPr>
                <w:i/>
                <w:kern w:val="2"/>
                <w:sz w:val="21"/>
                <w:lang w:val="es-ES"/>
              </w:rPr>
            </w:pPr>
            <w:r w:rsidRPr="00B57A6F">
              <w:rPr>
                <w:i/>
                <w:kern w:val="2"/>
                <w:sz w:val="21"/>
              </w:rPr>
              <w:t>Has the matrix of needed expertise of TEAP been consulted?</w:t>
            </w:r>
            <w:r w:rsidRPr="000C4366">
              <w:rPr>
                <w:bCs/>
                <w:sz w:val="20"/>
              </w:rPr>
              <w:t xml:space="preserve"> </w:t>
            </w:r>
            <w:hyperlink r:id="rId83" w:history="1">
              <w:r w:rsidRPr="000C4F04">
                <w:rPr>
                  <w:rStyle w:val="Hyperlink"/>
                  <w:bCs/>
                  <w:sz w:val="20"/>
                  <w:lang w:val="es-ES"/>
                </w:rPr>
                <w:t>https://ozone.unep.org/science/assessment/teap/teap-expertise-required</w:t>
              </w:r>
            </w:hyperlink>
          </w:p>
          <w:p w14:paraId="26A3DEAB" w14:textId="77777777" w:rsidR="00BC4684" w:rsidRPr="000C4F04" w:rsidRDefault="00BC4684" w:rsidP="00C86F2A">
            <w:pPr>
              <w:rPr>
                <w:b/>
                <w:kern w:val="2"/>
                <w:sz w:val="21"/>
                <w:lang w:val="es-ES"/>
              </w:rPr>
            </w:pPr>
          </w:p>
          <w:p w14:paraId="77A1FD44" w14:textId="09AC4142" w:rsidR="00BC4684" w:rsidRPr="000C4F04" w:rsidRDefault="00BC4684" w:rsidP="00C86F2A">
            <w:pPr>
              <w:jc w:val="center"/>
              <w:rPr>
                <w:b/>
                <w:kern w:val="2"/>
                <w:sz w:val="21"/>
                <w:lang w:val="es-ES"/>
              </w:rPr>
            </w:pPr>
            <w:r w:rsidRPr="000C4F04">
              <w:rPr>
                <w:b/>
                <w:kern w:val="2"/>
                <w:sz w:val="21"/>
                <w:lang w:val="es-ES"/>
              </w:rPr>
              <w:t>Yes</w:t>
            </w:r>
            <w:r w:rsidR="005617DE">
              <w:rPr>
                <w:b/>
                <w:kern w:val="2"/>
                <w:sz w:val="21"/>
                <w:lang w:val="es-ES"/>
              </w:rPr>
              <w:t xml:space="preserve"> </w:t>
            </w:r>
            <w:r w:rsidRPr="000C4F04">
              <w:rPr>
                <w:b/>
                <w:kern w:val="2"/>
                <w:sz w:val="21"/>
                <w:lang w:val="es-ES"/>
              </w:rPr>
              <w:t>No</w:t>
            </w:r>
          </w:p>
          <w:p w14:paraId="1C7E0DEB" w14:textId="77777777" w:rsidR="00BC4684" w:rsidRPr="000C4F04" w:rsidRDefault="00BC4684" w:rsidP="00C86F2A">
            <w:pPr>
              <w:jc w:val="center"/>
              <w:rPr>
                <w:b/>
                <w:kern w:val="2"/>
                <w:sz w:val="21"/>
                <w:lang w:val="es-ES"/>
              </w:rPr>
            </w:pPr>
          </w:p>
          <w:p w14:paraId="2AE8BFB9" w14:textId="77777777" w:rsidR="00BC4684" w:rsidRPr="000C4366" w:rsidRDefault="00BC4684" w:rsidP="00C86F2A">
            <w:pPr>
              <w:rPr>
                <w:i/>
                <w:kern w:val="2"/>
                <w:sz w:val="21"/>
              </w:rPr>
            </w:pPr>
            <w:r w:rsidRPr="000C4366">
              <w:rPr>
                <w:i/>
                <w:kern w:val="2"/>
                <w:sz w:val="21"/>
              </w:rPr>
              <w:t>Has TEAP been consulted</w:t>
            </w:r>
            <w:r>
              <w:rPr>
                <w:i/>
                <w:kern w:val="2"/>
                <w:sz w:val="21"/>
              </w:rPr>
              <w:t xml:space="preserve"> on this nomination</w:t>
            </w:r>
            <w:r w:rsidRPr="000C4366">
              <w:rPr>
                <w:i/>
                <w:kern w:val="2"/>
                <w:sz w:val="21"/>
              </w:rPr>
              <w:t>?</w:t>
            </w:r>
          </w:p>
          <w:p w14:paraId="3E0FDD65" w14:textId="355AADE3" w:rsidR="00BC4684" w:rsidRPr="00B57A6F" w:rsidRDefault="005617DE" w:rsidP="00C86F2A">
            <w:pPr>
              <w:rPr>
                <w:b/>
                <w:kern w:val="2"/>
                <w:sz w:val="21"/>
              </w:rPr>
            </w:pPr>
            <w:r>
              <w:rPr>
                <w:b/>
                <w:kern w:val="2"/>
                <w:sz w:val="21"/>
              </w:rPr>
              <w:t xml:space="preserve"> </w:t>
            </w:r>
            <w:r w:rsidR="00BC4684">
              <w:rPr>
                <w:b/>
                <w:kern w:val="2"/>
                <w:sz w:val="21"/>
              </w:rPr>
              <w:t>Yes</w:t>
            </w:r>
            <w:r>
              <w:rPr>
                <w:b/>
                <w:kern w:val="2"/>
                <w:sz w:val="21"/>
              </w:rPr>
              <w:t xml:space="preserve"> </w:t>
            </w:r>
            <w:r w:rsidR="00BC4684">
              <w:rPr>
                <w:b/>
                <w:kern w:val="2"/>
                <w:sz w:val="21"/>
              </w:rPr>
              <w:t>No</w:t>
            </w:r>
          </w:p>
          <w:p w14:paraId="6F798244" w14:textId="596B3818" w:rsidR="00BC4684" w:rsidRPr="00B57A6F" w:rsidRDefault="005617DE" w:rsidP="00C86F2A">
            <w:pPr>
              <w:rPr>
                <w:b/>
                <w:kern w:val="2"/>
                <w:sz w:val="21"/>
              </w:rPr>
            </w:pPr>
            <w:r>
              <w:rPr>
                <w:b/>
                <w:kern w:val="2"/>
                <w:sz w:val="21"/>
              </w:rPr>
              <w:t xml:space="preserve"> </w:t>
            </w:r>
          </w:p>
          <w:p w14:paraId="23875721" w14:textId="77777777" w:rsidR="00BC4684" w:rsidRPr="00B57A6F" w:rsidRDefault="00BC4684" w:rsidP="00C86F2A">
            <w:pPr>
              <w:rPr>
                <w:b/>
                <w:kern w:val="2"/>
                <w:sz w:val="21"/>
              </w:rPr>
            </w:pPr>
          </w:p>
        </w:tc>
      </w:tr>
    </w:tbl>
    <w:p w14:paraId="284DD909" w14:textId="77777777" w:rsidR="00BC4684" w:rsidRPr="00516A67" w:rsidRDefault="00BC4684" w:rsidP="00BC4684">
      <w:pPr>
        <w:rPr>
          <w:b/>
        </w:rPr>
      </w:pPr>
    </w:p>
    <w:p w14:paraId="0F5994C5" w14:textId="00B615F9" w:rsidR="00BC4684" w:rsidRPr="00EE00E3" w:rsidRDefault="00BC4684" w:rsidP="00BC4684">
      <w:pPr>
        <w:rPr>
          <w:b/>
        </w:rPr>
      </w:pPr>
      <w:r>
        <w:rPr>
          <w:b/>
        </w:rPr>
        <w:t xml:space="preserve">PLEASE </w:t>
      </w:r>
      <w:r w:rsidRPr="001B2B75">
        <w:rPr>
          <w:b/>
        </w:rPr>
        <w:t xml:space="preserve">RETURN COMPLETED FORM TO: THE OZONE SECRETARIAT </w:t>
      </w:r>
    </w:p>
    <w:p w14:paraId="5BC1A628" w14:textId="26D62780" w:rsidR="00BC4684" w:rsidRPr="00EE00E3" w:rsidRDefault="00BC4684" w:rsidP="00BC4684">
      <w:pPr>
        <w:rPr>
          <w:b/>
          <w:szCs w:val="22"/>
        </w:rPr>
      </w:pPr>
      <w:r>
        <w:rPr>
          <w:b/>
          <w:szCs w:val="22"/>
        </w:rPr>
        <w:t xml:space="preserve">ADDITIONAL INFORMATION - </w:t>
      </w:r>
      <w:r w:rsidRPr="002814C5">
        <w:rPr>
          <w:b/>
          <w:szCs w:val="22"/>
        </w:rPr>
        <w:t>Expectations for members of TEAP, TOCs and TSBs</w:t>
      </w:r>
    </w:p>
    <w:p w14:paraId="196EDE41" w14:textId="212E9D27" w:rsidR="00BC4684" w:rsidRPr="00EE00E3" w:rsidRDefault="00BC4684" w:rsidP="005723E2">
      <w:pPr>
        <w:jc w:val="both"/>
        <w:rPr>
          <w:szCs w:val="22"/>
        </w:rPr>
      </w:pPr>
      <w:r>
        <w:rPr>
          <w:szCs w:val="22"/>
        </w:rPr>
        <w:t xml:space="preserve">Work done for TEAP, its TOCs and TSBs is on a voluntary basis and does not receive any remuneration [funding for their time]. Members from </w:t>
      </w:r>
      <w:r w:rsidR="0021302E">
        <w:rPr>
          <w:szCs w:val="22"/>
        </w:rPr>
        <w:t>A</w:t>
      </w:r>
      <w:r>
        <w:rPr>
          <w:szCs w:val="22"/>
        </w:rPr>
        <w:t xml:space="preserve"> 5 countries may be funded for their travel (flight) and per diem (UN DSA) only to relevant meetings, based on needed participation and availability of funding. Members are expected to attend meetings, engage in discussions, and devote time to the preparation of reports including finding and reviewing information to respond to the tasks set out by the Parties, drafting and formatting reports or sections of reports, reviewing reports and preparing presentations.</w:t>
      </w:r>
      <w:r w:rsidR="005617DE">
        <w:rPr>
          <w:szCs w:val="22"/>
        </w:rPr>
        <w:t xml:space="preserve"> </w:t>
      </w:r>
      <w:r>
        <w:rPr>
          <w:szCs w:val="22"/>
        </w:rPr>
        <w:t>TOC members attend at least annual meetings of that TOC.</w:t>
      </w:r>
      <w:r w:rsidR="005617DE">
        <w:rPr>
          <w:szCs w:val="22"/>
        </w:rPr>
        <w:t xml:space="preserve"> </w:t>
      </w:r>
      <w:r>
        <w:rPr>
          <w:szCs w:val="22"/>
        </w:rPr>
        <w:t>TOC co-chairs also attend the annual TEAP meeting, and typically two meetings per year of the Montreal Protocol.</w:t>
      </w:r>
      <w:r w:rsidR="005617DE">
        <w:rPr>
          <w:szCs w:val="22"/>
        </w:rPr>
        <w:t xml:space="preserve"> </w:t>
      </w:r>
      <w:r>
        <w:rPr>
          <w:szCs w:val="22"/>
        </w:rPr>
        <w:t>TSB members attend meetings of the TSB and may be asked to attend up to two meetings of the Montreal Protocol, based on needed participation and availability of funding.</w:t>
      </w:r>
    </w:p>
    <w:p w14:paraId="3F003036" w14:textId="578DF773" w:rsidR="00BC4684" w:rsidRPr="00EE00E3" w:rsidRDefault="00BC4684" w:rsidP="002E42C7">
      <w:r w:rsidRPr="002814C5">
        <w:t xml:space="preserve">All meetings, correspondence and report writing are conducted in English so good </w:t>
      </w:r>
      <w:r>
        <w:t xml:space="preserve">ability to read English plus good </w:t>
      </w:r>
      <w:r w:rsidRPr="002814C5">
        <w:t xml:space="preserve">command of </w:t>
      </w:r>
      <w:r>
        <w:t xml:space="preserve">spoken and written </w:t>
      </w:r>
      <w:r w:rsidRPr="002814C5">
        <w:t xml:space="preserve">English </w:t>
      </w:r>
      <w:r>
        <w:t>are</w:t>
      </w:r>
      <w:r w:rsidRPr="002814C5">
        <w:t xml:space="preserve"> essential. </w:t>
      </w:r>
    </w:p>
    <w:p w14:paraId="78AB1073" w14:textId="7C5AD9D4" w:rsidR="00BC4684" w:rsidRDefault="00BC4684" w:rsidP="002E42C7">
      <w:r>
        <w:t xml:space="preserve">Basic computer literacy (Word, Excel, Power Point) for drafting and editing products is required. Advanced computer/ document formatting skills are an asset. </w:t>
      </w:r>
    </w:p>
    <w:p w14:paraId="679FD581" w14:textId="44639F2A" w:rsidR="00BC4684" w:rsidRPr="00EE00E3" w:rsidRDefault="00BC4684" w:rsidP="002E42C7">
      <w:r>
        <w:lastRenderedPageBreak/>
        <w:t>All appointed members of TEAP, TOCs or TSBs should provide a “Declaration of Interest” prior to a meeting and at least once a year. The DOIs are posted at the Ozone Secretariat website.</w:t>
      </w:r>
    </w:p>
    <w:p w14:paraId="04A81B5A" w14:textId="19164901" w:rsidR="00BC4684" w:rsidRPr="005723E2" w:rsidRDefault="00BC4684" w:rsidP="002E42C7">
      <w:pPr>
        <w:rPr>
          <w:bCs/>
        </w:rPr>
      </w:pPr>
      <w:bookmarkStart w:id="722" w:name="_Toc40194931"/>
      <w:bookmarkStart w:id="723" w:name="_Toc40209865"/>
      <w:bookmarkStart w:id="724" w:name="_Toc40696122"/>
      <w:bookmarkStart w:id="725" w:name="_Toc40696782"/>
      <w:bookmarkStart w:id="726" w:name="_Toc40697542"/>
      <w:bookmarkStart w:id="727" w:name="_Toc40765372"/>
      <w:bookmarkStart w:id="728" w:name="_Toc40765593"/>
      <w:bookmarkStart w:id="729" w:name="_Toc41335757"/>
      <w:bookmarkStart w:id="730" w:name="_Toc41660128"/>
      <w:bookmarkStart w:id="731" w:name="_Toc41804762"/>
      <w:bookmarkStart w:id="732" w:name="_Toc41806060"/>
      <w:bookmarkStart w:id="733" w:name="_Toc41837855"/>
      <w:r>
        <w:rPr>
          <w:bCs/>
        </w:rPr>
        <w:t>In submitting a CV to support a nomination, Parties may wish to provide a</w:t>
      </w:r>
      <w:r w:rsidRPr="005E661A">
        <w:rPr>
          <w:bCs/>
        </w:rPr>
        <w:t xml:space="preserve"> short summary of the applicants’ expertise and skills, as they relate to the position for which he/she is being nominated</w:t>
      </w:r>
      <w:r>
        <w:rPr>
          <w:bCs/>
        </w:rPr>
        <w:t>,</w:t>
      </w:r>
      <w:r w:rsidRPr="005E661A">
        <w:rPr>
          <w:bCs/>
        </w:rPr>
        <w:t xml:space="preserve"> including the </w:t>
      </w:r>
      <w:r w:rsidRPr="005E661A">
        <w:t>main countries or regions worked or experience in (with relevance to Montreal Protocol)</w:t>
      </w:r>
      <w:r>
        <w:rPr>
          <w:sz w:val="20"/>
        </w:rPr>
        <w:t>. Also p</w:t>
      </w:r>
      <w:r>
        <w:rPr>
          <w:bCs/>
        </w:rPr>
        <w:t xml:space="preserve">lease indicate if the nomination is in response to a specific category listed in the Matrix of Expertise published by TEAP </w:t>
      </w:r>
      <w:hyperlink r:id="rId84" w:history="1">
        <w:r w:rsidRPr="009B19BB">
          <w:rPr>
            <w:rStyle w:val="Hyperlink"/>
            <w:bCs/>
            <w:szCs w:val="22"/>
          </w:rPr>
          <w:t>https://ozone.unep.org/science/assessment/teap/teap-expertise-required</w:t>
        </w:r>
        <w:bookmarkEnd w:id="722"/>
        <w:bookmarkEnd w:id="723"/>
        <w:bookmarkEnd w:id="724"/>
        <w:bookmarkEnd w:id="725"/>
        <w:bookmarkEnd w:id="726"/>
        <w:bookmarkEnd w:id="727"/>
        <w:bookmarkEnd w:id="728"/>
        <w:bookmarkEnd w:id="729"/>
        <w:bookmarkEnd w:id="730"/>
        <w:bookmarkEnd w:id="731"/>
        <w:bookmarkEnd w:id="732"/>
        <w:bookmarkEnd w:id="733"/>
      </w:hyperlink>
    </w:p>
    <w:p w14:paraId="3E1C1E3F" w14:textId="485D6E38" w:rsidR="00BC4684" w:rsidRPr="00187C6F" w:rsidRDefault="00BC4684" w:rsidP="002E42C7">
      <w:r w:rsidRPr="00187C6F">
        <w:t>Once appointed, members of TEAP, TOCs or TSBs provide a “Declaration of Interest” (DOI) at least once a year and prior to the group’s first meeting. Members provide updated DOIs within 30 days of any changes. The DOIs are posted on the Ozone Secretariat website.</w:t>
      </w:r>
    </w:p>
    <w:p w14:paraId="3B2B7587" w14:textId="4648AC20" w:rsidR="00767B1E" w:rsidRPr="00EE00E3" w:rsidRDefault="00BC4684" w:rsidP="002E42C7">
      <w:pPr>
        <w:rPr>
          <w:rStyle w:val="Heading1Char2"/>
          <w:rFonts w:ascii="Times New Roman" w:hAnsi="Times New Roman"/>
          <w:sz w:val="22"/>
          <w:szCs w:val="22"/>
        </w:rPr>
      </w:pPr>
      <w:r w:rsidRPr="00187C6F">
        <w:t>Members review and agree to abide by TEAP’s terms of reference, its code of conduct, operational procedures, and relevant decisions of the Parties as per Decision XXIV/8:</w:t>
      </w:r>
      <w:r w:rsidR="0019660D" w:rsidRPr="0019660D">
        <w:t xml:space="preserve"> </w:t>
      </w:r>
      <w:hyperlink r:id="rId85" w:history="1">
        <w:r w:rsidR="00BB7E37" w:rsidRPr="00185948">
          <w:rPr>
            <w:rStyle w:val="Hyperlink"/>
          </w:rPr>
          <w:t>https://ozone.unep.org/node/1953</w:t>
        </w:r>
      </w:hyperlink>
      <w:r w:rsidR="00BB7E37">
        <w:t xml:space="preserve"> </w:t>
      </w:r>
      <w:r w:rsidRPr="00187C6F">
        <w:t> </w:t>
      </w:r>
    </w:p>
    <w:sectPr w:rsidR="00767B1E" w:rsidRPr="00EE00E3" w:rsidSect="003C4EB0">
      <w:type w:val="oddPage"/>
      <w:pgSz w:w="11907" w:h="16839" w:code="9"/>
      <w:pgMar w:top="1260" w:right="1800" w:bottom="1526" w:left="1800" w:header="720" w:footer="79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0ACD1" w14:textId="77777777" w:rsidR="00143903" w:rsidRDefault="00143903">
      <w:r>
        <w:separator/>
      </w:r>
    </w:p>
  </w:endnote>
  <w:endnote w:type="continuationSeparator" w:id="0">
    <w:p w14:paraId="1495E522" w14:textId="77777777" w:rsidR="00143903" w:rsidRDefault="00143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UnicodeMS">
    <w:panose1 w:val="020B0604020202020204"/>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20B0604020202020204"/>
    <w:charset w:val="EE"/>
    <w:family w:val="roman"/>
    <w:pitch w:val="variable"/>
    <w:sig w:usb0="00000005" w:usb1="00000000" w:usb2="00000000" w:usb3="00000000" w:csb0="00000002" w:csb1="00000000"/>
  </w:font>
  <w:font w:name="Roman">
    <w:altName w:val="Times New Roman"/>
    <w:panose1 w:val="020B0604020202020204"/>
    <w:charset w:val="FF"/>
    <w:family w:val="roman"/>
    <w:notTrueType/>
    <w:pitch w:val="variable"/>
    <w:sig w:usb0="00000003"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hicago">
    <w:altName w:val="Arial"/>
    <w:panose1 w:val="020B0604020202020204"/>
    <w:charset w:val="00"/>
    <w:family w:val="auto"/>
    <w:pitch w:val="variable"/>
    <w:sig w:usb0="03000000"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Futura">
    <w:panose1 w:val="020B0602020204020303"/>
    <w:charset w:val="00"/>
    <w:family w:val="swiss"/>
    <w:pitch w:val="variable"/>
    <w:sig w:usb0="A00002AF" w:usb1="5000214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lliard">
    <w:altName w:val="Cambria"/>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FrutigerLTStd-Light">
    <w:altName w:val="Times New Roman"/>
    <w:panose1 w:val="020B0604020202020204"/>
    <w:charset w:val="00"/>
    <w:family w:val="auto"/>
    <w:notTrueType/>
    <w:pitch w:val="default"/>
    <w:sig w:usb0="00000003" w:usb1="00000000" w:usb2="00000000" w:usb3="00000000" w:csb0="00000001" w:csb1="00000000"/>
  </w:font>
  <w:font w:name="FrutigerLTStd-Bold">
    <w:altName w:val="Times New Roman"/>
    <w:panose1 w:val="020B06040202020202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Roman">
    <w:panose1 w:val="0000050000000002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OJFKL G+ Melior">
    <w:altName w:val="Times New Roman"/>
    <w:panose1 w:val="020B0604020202020204"/>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Open Sans">
    <w:panose1 w:val="020B0604020202020204"/>
    <w:charset w:val="00"/>
    <w:family w:val="swiss"/>
    <w:pitch w:val="variable"/>
    <w:sig w:usb0="E00002EF" w:usb1="4000205B" w:usb2="00000028" w:usb3="00000000" w:csb0="0000019F" w:csb1="00000000"/>
  </w:font>
  <w:font w:name="CG Times (W1)">
    <w:altName w:val="Times New Roman"/>
    <w:panose1 w:val="020B0604020202020204"/>
    <w:charset w:val="00"/>
    <w:family w:val="roman"/>
    <w:notTrueType/>
    <w:pitch w:val="variable"/>
    <w:sig w:usb0="00000003" w:usb1="00000000" w:usb2="00000000" w:usb3="00000000" w:csb0="00000001" w:csb1="00000000"/>
  </w:font>
  <w:font w:name="AGaramond">
    <w:altName w:val="Cambria"/>
    <w:panose1 w:val="020B0604020202020204"/>
    <w:charset w:val="00"/>
    <w:family w:val="roman"/>
    <w:notTrueType/>
    <w:pitch w:val="default"/>
    <w:sig w:usb0="00000003" w:usb1="00000000" w:usb2="00000000" w:usb3="00000000" w:csb0="00000001" w:csb1="00000000"/>
  </w:font>
  <w:font w:name="Helvetica Neue">
    <w:altName w:val="Sylfaen"/>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Roboto">
    <w:panose1 w:val="020B0604020202020204"/>
    <w:charset w:val="00"/>
    <w:family w:val="auto"/>
    <w:pitch w:val="variable"/>
    <w:sig w:usb0="E00002FF" w:usb1="5000205B" w:usb2="00000020" w:usb3="00000000" w:csb0="0000019F" w:csb1="00000000"/>
  </w:font>
  <w:font w:name="Yu Gothic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nionPro-Capt">
    <w:altName w:val="Batang"/>
    <w:panose1 w:val="020B0604020202020204"/>
    <w:charset w:val="81"/>
    <w:family w:val="roman"/>
    <w:notTrueType/>
    <w:pitch w:val="default"/>
    <w:sig w:usb0="00000001" w:usb1="09060000" w:usb2="00000010" w:usb3="00000000" w:csb0="00080000" w:csb1="00000000"/>
  </w:font>
  <w:font w:name="ZWAdobeF">
    <w:altName w:val="Calibri"/>
    <w:panose1 w:val="020B0604020202020204"/>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DDA52" w14:textId="77777777" w:rsidR="00AC1C09" w:rsidRDefault="00AC1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49B49" w14:textId="77777777" w:rsidR="00992301" w:rsidRDefault="0099230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1B35FE50" w14:textId="270F3E60" w:rsidR="00992301" w:rsidRDefault="00992301">
    <w:pPr>
      <w:pStyle w:val="Footer"/>
      <w:spacing w:after="0"/>
      <w:ind w:right="993" w:firstLine="360"/>
      <w:rPr>
        <w:b/>
        <w:sz w:val="20"/>
      </w:rPr>
    </w:pPr>
    <w:r>
      <w:rPr>
        <w:rStyle w:val="PageNumber"/>
      </w:rPr>
      <w:tab/>
    </w:r>
    <w:r>
      <w:rPr>
        <w:rStyle w:val="PageNumber"/>
        <w:b/>
        <w:sz w:val="20"/>
      </w:rPr>
      <w:t>May 2020 TEAP Progress Report</w:t>
    </w:r>
    <w:r>
      <w:rPr>
        <w:rStyle w:val="PageNumber"/>
        <w:b/>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00F94" w14:textId="77777777" w:rsidR="00992301" w:rsidRDefault="00992301">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7C0CB" w14:textId="77777777" w:rsidR="002C0D7B" w:rsidRDefault="002C0D7B">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100BE359" w14:textId="77777777" w:rsidR="002C0D7B" w:rsidRDefault="002C0D7B">
    <w:pPr>
      <w:pStyle w:val="Footer"/>
      <w:spacing w:after="0"/>
      <w:ind w:right="993" w:firstLine="360"/>
      <w:jc w:val="center"/>
      <w:rPr>
        <w:b/>
        <w:sz w:val="20"/>
      </w:rPr>
    </w:pPr>
    <w:bookmarkStart w:id="75" w:name="OLE_LINK18"/>
    <w:bookmarkStart w:id="76" w:name="OLE_LINK20"/>
    <w:bookmarkStart w:id="77" w:name="_Hlk294606800"/>
    <w:r>
      <w:rPr>
        <w:rStyle w:val="PageNumber"/>
        <w:b/>
        <w:sz w:val="20"/>
      </w:rPr>
      <w:t>2022 TEAP Progress Report</w:t>
    </w:r>
    <w:bookmarkEnd w:id="75"/>
    <w:bookmarkEnd w:id="76"/>
    <w:bookmarkEnd w:id="77"/>
    <w:r>
      <w:rPr>
        <w:rStyle w:val="PageNumber"/>
        <w:b/>
        <w:sz w:val="20"/>
      </w:rPr>
      <w:t xml:space="preserve"> – Volume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5ECAB" w14:textId="77777777" w:rsidR="00992301" w:rsidRDefault="0099230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515476A" w14:textId="77777777" w:rsidR="00992301" w:rsidRDefault="00992301">
    <w:pPr>
      <w:pStyle w:val="Footer"/>
      <w:spacing w:before="120" w:after="120"/>
      <w:ind w:right="360" w:firstLine="360"/>
      <w:jc w:val="center"/>
      <w:rPr>
        <w:sz w:val="20"/>
      </w:rPr>
    </w:pPr>
    <w:r>
      <w:rPr>
        <w:rStyle w:val="PageNumber"/>
        <w:sz w:val="20"/>
      </w:rPr>
      <w:t xml:space="preserve">Page </w:t>
    </w:r>
  </w:p>
  <w:p w14:paraId="4C61B1E8" w14:textId="77777777" w:rsidR="00992301" w:rsidRDefault="0099230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15EF8" w14:textId="77777777" w:rsidR="00992301" w:rsidRDefault="00992301">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12F55219" w14:textId="77777777" w:rsidR="00992301" w:rsidRDefault="00992301">
    <w:pPr>
      <w:pStyle w:val="Footer"/>
      <w:spacing w:before="120" w:after="120"/>
      <w:ind w:right="360" w:firstLine="360"/>
      <w:jc w:val="center"/>
      <w:rPr>
        <w:sz w:val="20"/>
      </w:rPr>
    </w:pPr>
    <w:r>
      <w:rPr>
        <w:rStyle w:val="PageNumber"/>
        <w:sz w:val="20"/>
      </w:rPr>
      <w:t xml:space="preserve">Page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2BDB4C" w14:textId="77777777" w:rsidR="00143903" w:rsidRDefault="00143903">
      <w:r>
        <w:separator/>
      </w:r>
    </w:p>
  </w:footnote>
  <w:footnote w:type="continuationSeparator" w:id="0">
    <w:p w14:paraId="79D5B567" w14:textId="77777777" w:rsidR="00143903" w:rsidRDefault="00143903">
      <w:r>
        <w:continuationSeparator/>
      </w:r>
    </w:p>
  </w:footnote>
  <w:footnote w:id="1">
    <w:p w14:paraId="4A61EB20" w14:textId="3CBF9800" w:rsidR="00B710A8" w:rsidRPr="00742566" w:rsidRDefault="00B710A8" w:rsidP="00B710A8">
      <w:pPr>
        <w:pStyle w:val="FootnoteText"/>
        <w:rPr>
          <w:lang w:val="en-US"/>
        </w:rPr>
      </w:pPr>
      <w:r>
        <w:rPr>
          <w:rStyle w:val="FootnoteReference"/>
        </w:rPr>
        <w:footnoteRef/>
      </w:r>
      <w:r>
        <w:t>The A</w:t>
      </w:r>
      <w:r w:rsidRPr="00742566">
        <w:t>lternative Fluorocarbons Environmental Acceptability Study (AFEAS)</w:t>
      </w:r>
      <w:r>
        <w:t xml:space="preserve"> collected data on a number of CFCs as reported by the producers.</w:t>
      </w:r>
      <w:r w:rsidR="005617DE">
        <w:t xml:space="preserve"> </w:t>
      </w:r>
      <w:r>
        <w:t xml:space="preserve">Data included market uses as well as estimated emissions. The data could be found here. </w:t>
      </w:r>
      <w:hyperlink r:id="rId1" w:history="1">
        <w:r w:rsidRPr="00CC4882">
          <w:rPr>
            <w:rStyle w:val="Hyperlink"/>
          </w:rPr>
          <w:t>https://agage.mit.edu/data/afeas-data</w:t>
        </w:r>
      </w:hyperlink>
      <w:r>
        <w:t xml:space="preserve"> </w:t>
      </w:r>
    </w:p>
  </w:footnote>
  <w:footnote w:id="2">
    <w:p w14:paraId="03CFCC75" w14:textId="77777777" w:rsidR="00C7675C" w:rsidRPr="00CF086F" w:rsidRDefault="00C7675C" w:rsidP="00C7675C">
      <w:pPr>
        <w:pStyle w:val="FootnoteText"/>
        <w:rPr>
          <w:lang w:val="en-US"/>
        </w:rPr>
      </w:pPr>
      <w:r>
        <w:rPr>
          <w:rStyle w:val="FootnoteReference"/>
        </w:rPr>
        <w:footnoteRef/>
      </w:r>
      <w:r>
        <w:t xml:space="preserve"> </w:t>
      </w:r>
      <w:r>
        <w:rPr>
          <w:lang w:val="en-US"/>
        </w:rPr>
        <w:t>The 2006 FTOC Assessment Report can be found at</w:t>
      </w:r>
      <w:hyperlink w:history="1"/>
      <w:r>
        <w:rPr>
          <w:rStyle w:val="Hyperlink"/>
          <w:lang w:val="en-US"/>
        </w:rPr>
        <w:t xml:space="preserve"> </w:t>
      </w:r>
      <w:r w:rsidRPr="00B843E4">
        <w:rPr>
          <w:lang w:val="en-US"/>
        </w:rPr>
        <w:t>https://ozone.unep.org/sites/default/files/2019-05/ftoc_assessment_report06.pdf</w:t>
      </w:r>
      <w:r>
        <w:rPr>
          <w:lang w:val="en-US"/>
        </w:rPr>
        <w:t>.</w:t>
      </w:r>
    </w:p>
  </w:footnote>
  <w:footnote w:id="3">
    <w:p w14:paraId="3E9469AE" w14:textId="77777777" w:rsidR="00992301" w:rsidRPr="00E75B9C" w:rsidRDefault="00992301" w:rsidP="00CA3877">
      <w:pPr>
        <w:pStyle w:val="FootnoteText"/>
        <w:rPr>
          <w:lang w:val="en-US"/>
        </w:rPr>
      </w:pPr>
      <w:r>
        <w:rPr>
          <w:rStyle w:val="FootnoteReference"/>
        </w:rPr>
        <w:footnoteRef/>
      </w:r>
      <w:r>
        <w:t xml:space="preserve"> </w:t>
      </w:r>
      <w:r w:rsidRPr="0061024C">
        <w:rPr>
          <w:szCs w:val="22"/>
          <w:lang w:eastAsia="en-US"/>
        </w:rPr>
        <w:t>Although the cost of hydrochlorofluorocarbons (HCFCs) was approximately 20-30% of the cost of high-GWP HFCs, HCFC price is increasing as they are phased out globally. T</w:t>
      </w:r>
      <w:r w:rsidRPr="0061024C">
        <w:rPr>
          <w:szCs w:val="22"/>
          <w:bdr w:val="none" w:sz="0" w:space="0" w:color="auto" w:frame="1"/>
          <w:lang w:eastAsia="en-US"/>
        </w:rPr>
        <w:t>he low price of some high-GWP HFCs, particularly HFC-365mfc which is banned in some non-A5 parties, is leading to an increase in market share, which is slowing the conversion to low-GWP blowing agents</w:t>
      </w:r>
    </w:p>
  </w:footnote>
  <w:footnote w:id="4">
    <w:p w14:paraId="5EA71844" w14:textId="65AB6BA7" w:rsidR="00992301" w:rsidRPr="008D2D21" w:rsidRDefault="00992301" w:rsidP="00CA3877">
      <w:pPr>
        <w:pStyle w:val="FootnoteText"/>
        <w:rPr>
          <w:lang w:val="en-US"/>
        </w:rPr>
      </w:pPr>
      <w:r>
        <w:rPr>
          <w:rStyle w:val="FootnoteReference"/>
        </w:rPr>
        <w:footnoteRef/>
      </w:r>
      <w:r w:rsidR="005617DE">
        <w:t xml:space="preserve"> </w:t>
      </w:r>
      <w:r>
        <w:t xml:space="preserve">Toxicity of </w:t>
      </w:r>
      <w:r w:rsidRPr="008D2404">
        <w:t>1,2 dichloroethylene is currently being</w:t>
      </w:r>
      <w:r>
        <w:t xml:space="preserve"> review</w:t>
      </w:r>
      <w:r w:rsidRPr="008D2404">
        <w:t xml:space="preserve">ed by at least one party. </w:t>
      </w:r>
      <w:r>
        <w:t>F</w:t>
      </w:r>
      <w:r w:rsidRPr="008D2404">
        <w:t>ield studies related to Indoor Air Quality in SPF installations often shows</w:t>
      </w:r>
      <w:r>
        <w:t xml:space="preserve"> some concentration of 1,2-dichloroethane </w:t>
      </w:r>
      <w:r w:rsidRPr="008D2404">
        <w:t xml:space="preserve">up </w:t>
      </w:r>
      <w:r>
        <w:t xml:space="preserve">to </w:t>
      </w:r>
      <w:r w:rsidRPr="008D2404">
        <w:t xml:space="preserve">months </w:t>
      </w:r>
      <w:r>
        <w:t>or</w:t>
      </w:r>
      <w:r w:rsidRPr="008D2404">
        <w:t xml:space="preserve"> years af</w:t>
      </w:r>
      <w:r>
        <w:t>ter installation</w:t>
      </w:r>
      <w:r w:rsidRPr="008D2404">
        <w:t xml:space="preserve"> due to its higher boiling point and high solubility in foam matrixes. </w:t>
      </w:r>
    </w:p>
  </w:footnote>
  <w:footnote w:id="5">
    <w:p w14:paraId="4923F641" w14:textId="77777777" w:rsidR="00992301" w:rsidRPr="00A71914" w:rsidRDefault="00992301" w:rsidP="00A71914">
      <w:pPr>
        <w:rPr>
          <w:sz w:val="18"/>
          <w:szCs w:val="18"/>
          <w:lang w:eastAsia="en-US"/>
        </w:rPr>
      </w:pPr>
      <w:r>
        <w:rPr>
          <w:rStyle w:val="FootnoteReference"/>
        </w:rPr>
        <w:footnoteRef/>
      </w:r>
      <w:r>
        <w:t xml:space="preserve"> </w:t>
      </w:r>
      <w:r w:rsidRPr="00A71914">
        <w:rPr>
          <w:sz w:val="18"/>
          <w:szCs w:val="18"/>
        </w:rPr>
        <w:t>Household and similar electrical appliances - Safety - Part 2-40: Particular requirements for electrical heat pumps, air-conditioners and dehumidifiers</w:t>
      </w:r>
    </w:p>
    <w:p w14:paraId="03AAFD79" w14:textId="77777777" w:rsidR="00992301" w:rsidRPr="00A71914" w:rsidRDefault="00992301" w:rsidP="00A71914">
      <w:pPr>
        <w:rPr>
          <w:sz w:val="18"/>
          <w:szCs w:val="18"/>
          <w:lang w:val="en-US"/>
        </w:rPr>
      </w:pPr>
    </w:p>
  </w:footnote>
  <w:footnote w:id="6">
    <w:p w14:paraId="1A88BB2D" w14:textId="77777777" w:rsidR="00992301" w:rsidRPr="00E75B9C" w:rsidRDefault="00992301" w:rsidP="00CA3877">
      <w:pPr>
        <w:pStyle w:val="FootnoteText"/>
        <w:rPr>
          <w:lang w:val="en-US"/>
        </w:rPr>
      </w:pPr>
      <w:r>
        <w:rPr>
          <w:rStyle w:val="FootnoteReference"/>
        </w:rPr>
        <w:footnoteRef/>
      </w:r>
      <w:r>
        <w:t xml:space="preserve"> </w:t>
      </w:r>
      <w:r w:rsidRPr="0061024C">
        <w:rPr>
          <w:szCs w:val="22"/>
          <w:lang w:eastAsia="en-US"/>
        </w:rPr>
        <w:t>Although the cost of hydrochlorofluorocarbons (HCFCs) was approximately 20-30% of the cost of high-GWP HFCs, HCFC price is increasing as they are phased out globally. T</w:t>
      </w:r>
      <w:r w:rsidRPr="0061024C">
        <w:rPr>
          <w:szCs w:val="22"/>
          <w:bdr w:val="none" w:sz="0" w:space="0" w:color="auto" w:frame="1"/>
          <w:lang w:eastAsia="en-US"/>
        </w:rPr>
        <w:t>he low price of some high-GWP HFCs, particularly HFC-365mfc which is banned in some non-A5 parties, is leading to an increase in market share, which is slowing the conversion to low-GWP blowing agents</w:t>
      </w:r>
    </w:p>
  </w:footnote>
  <w:footnote w:id="7">
    <w:p w14:paraId="0A8169AB" w14:textId="77777777" w:rsidR="00992301" w:rsidRPr="00C457B6" w:rsidRDefault="00992301" w:rsidP="00CA3877">
      <w:pPr>
        <w:pStyle w:val="FootnoteText"/>
        <w:spacing w:after="0"/>
        <w:rPr>
          <w:lang w:val="en-US"/>
        </w:rPr>
      </w:pPr>
      <w:r>
        <w:rPr>
          <w:rStyle w:val="FootnoteReference"/>
        </w:rPr>
        <w:footnoteRef/>
      </w:r>
      <w:r>
        <w:t xml:space="preserve"> </w:t>
      </w:r>
      <w:r>
        <w:rPr>
          <w:lang w:val="en-US"/>
        </w:rPr>
        <w:t xml:space="preserve">There may be some extra capacity that will be resolved at this time especially where local demand has changed due to building codes or other changes in construction design and overall demand. </w:t>
      </w:r>
    </w:p>
  </w:footnote>
  <w:footnote w:id="8">
    <w:p w14:paraId="21BF8111" w14:textId="77777777" w:rsidR="00992301" w:rsidRPr="001F6F18" w:rsidRDefault="00992301" w:rsidP="00CA3877">
      <w:pPr>
        <w:pStyle w:val="FootnoteText"/>
        <w:spacing w:after="0"/>
        <w:rPr>
          <w:lang w:val="en-US"/>
        </w:rPr>
      </w:pPr>
      <w:r>
        <w:rPr>
          <w:rStyle w:val="FootnoteReference"/>
        </w:rPr>
        <w:footnoteRef/>
      </w:r>
      <w:r>
        <w:t xml:space="preserve"> </w:t>
      </w:r>
      <w:hyperlink r:id="rId2" w:history="1">
        <w:r w:rsidRPr="001F6F18">
          <w:rPr>
            <w:rStyle w:val="Hyperlink"/>
          </w:rPr>
          <w:t>Polymer Foam Market Size, Share &amp; Trends Analysis Report, 2020 - 2027</w:t>
        </w:r>
      </w:hyperlink>
      <w:r>
        <w:t xml:space="preserve"> - Grand View Researxh as viewed 4/3/22</w:t>
      </w:r>
    </w:p>
  </w:footnote>
  <w:footnote w:id="9">
    <w:p w14:paraId="4AC728A4" w14:textId="77777777" w:rsidR="00992301" w:rsidRPr="006822FF" w:rsidRDefault="00992301" w:rsidP="00CA3877">
      <w:pPr>
        <w:pStyle w:val="FootnoteText"/>
        <w:spacing w:after="0"/>
        <w:rPr>
          <w:lang w:val="en-US"/>
        </w:rPr>
      </w:pPr>
      <w:r>
        <w:rPr>
          <w:rStyle w:val="FootnoteReference"/>
        </w:rPr>
        <w:footnoteRef/>
      </w:r>
      <w:r>
        <w:t xml:space="preserve"> </w:t>
      </w:r>
      <w:hyperlink r:id="rId3" w:history="1">
        <w:r>
          <w:rPr>
            <w:rStyle w:val="Hyperlink"/>
          </w:rPr>
          <w:t xml:space="preserve">The Future of High Perfoemance </w:t>
        </w:r>
        <w:r w:rsidRPr="006822FF">
          <w:rPr>
            <w:rStyle w:val="Hyperlink"/>
          </w:rPr>
          <w:t xml:space="preserve">Foams </w:t>
        </w:r>
      </w:hyperlink>
      <w:r>
        <w:t>to 2021 – Smithers as viewed 4/3/22</w:t>
      </w:r>
    </w:p>
  </w:footnote>
  <w:footnote w:id="10">
    <w:p w14:paraId="6FD439AC" w14:textId="77777777" w:rsidR="00B710A8" w:rsidRPr="008D2D21" w:rsidRDefault="00B710A8" w:rsidP="00B710A8">
      <w:pPr>
        <w:pStyle w:val="FootnoteText"/>
        <w:rPr>
          <w:lang w:val="en-US"/>
        </w:rPr>
      </w:pPr>
      <w:r>
        <w:rPr>
          <w:rStyle w:val="FootnoteReference"/>
        </w:rPr>
        <w:footnoteRef/>
      </w:r>
      <w:r>
        <w:t xml:space="preserve"> </w:t>
      </w:r>
      <w:hyperlink r:id="rId4" w:history="1">
        <w:r w:rsidRPr="00120068">
          <w:rPr>
            <w:rStyle w:val="Hyperlink"/>
          </w:rPr>
          <w:t>Cold Chain Market by Application (Fruits &amp; Vegetables, Dairy &amp; Frozen Desserts, Fish, Meat &amp; Seafood, Bakery &amp; Confectionery), Temperature Type (Frozen, Chilled), Type (Refrigerated Transport, Refrigerated Warehousing), Region - Global Forecast to 2025</w:t>
        </w:r>
      </w:hyperlink>
      <w:r>
        <w:t xml:space="preserve"> – Markets and Markets as viewed 4/3/22</w:t>
      </w:r>
    </w:p>
  </w:footnote>
  <w:footnote w:id="11">
    <w:p w14:paraId="3BB567E8" w14:textId="52087E3D" w:rsidR="00B710A8" w:rsidRPr="00C7675C" w:rsidRDefault="00B710A8" w:rsidP="00B710A8">
      <w:pPr>
        <w:pStyle w:val="Style15"/>
        <w:rPr>
          <w:b w:val="0"/>
          <w:bCs/>
          <w:color w:val="auto"/>
          <w:sz w:val="18"/>
          <w:szCs w:val="18"/>
        </w:rPr>
      </w:pPr>
      <w:r w:rsidRPr="00D83E1C">
        <w:rPr>
          <w:rStyle w:val="FootnoteReference"/>
          <w:b w:val="0"/>
          <w:bCs/>
          <w:color w:val="auto"/>
        </w:rPr>
        <w:footnoteRef/>
      </w:r>
      <w:r w:rsidRPr="00D83E1C">
        <w:rPr>
          <w:b w:val="0"/>
          <w:bCs/>
          <w:color w:val="auto"/>
        </w:rPr>
        <w:t xml:space="preserve"> </w:t>
      </w:r>
      <w:r w:rsidRPr="00C7675C">
        <w:rPr>
          <w:b w:val="0"/>
          <w:bCs/>
          <w:color w:val="auto"/>
          <w:sz w:val="18"/>
          <w:szCs w:val="18"/>
        </w:rPr>
        <w:t>Thicker XPS is used decoratively and for roofs where they can be cut around protruding features.</w:t>
      </w:r>
      <w:r w:rsidR="005617DE">
        <w:rPr>
          <w:b w:val="0"/>
          <w:bCs/>
          <w:color w:val="auto"/>
          <w:sz w:val="18"/>
          <w:szCs w:val="18"/>
        </w:rPr>
        <w:t xml:space="preserve"> </w:t>
      </w:r>
      <w:r w:rsidRPr="00C7675C">
        <w:rPr>
          <w:b w:val="0"/>
          <w:bCs/>
          <w:color w:val="auto"/>
          <w:sz w:val="18"/>
          <w:szCs w:val="18"/>
        </w:rPr>
        <w:t xml:space="preserve">Thicker foams also do not allow for moisture intrusion between layers which reduces thermal performance and provide more weight for ballast to prevent wind uplift and may have implications for building structure. </w:t>
      </w:r>
    </w:p>
    <w:p w14:paraId="396002D4" w14:textId="77777777" w:rsidR="00B710A8" w:rsidRPr="00DC0153" w:rsidRDefault="00B710A8" w:rsidP="00B710A8">
      <w:pPr>
        <w:pStyle w:val="Style15"/>
        <w:rPr>
          <w:lang w:val="en-US"/>
        </w:rPr>
      </w:pPr>
      <w:r w:rsidRPr="00C7675C">
        <w:rPr>
          <w:b w:val="0"/>
          <w:bCs/>
          <w:color w:val="auto"/>
          <w:sz w:val="18"/>
          <w:szCs w:val="18"/>
        </w:rPr>
        <w:t xml:space="preserve">Multiple layer XPS foam manufacturing techniques usually require the use of bonding chemicals which may increase thermal conductivity or water transfer. Additionally, those chemicals are likely to make the recycling process of XPS either much more complicated or impossible which is economically undesirable. </w:t>
      </w:r>
      <w:r w:rsidRPr="00C7675C">
        <w:rPr>
          <w:b w:val="0"/>
          <w:bCs/>
          <w:color w:val="auto"/>
          <w:sz w:val="18"/>
          <w:szCs w:val="18"/>
          <w:lang w:eastAsia="en-GB"/>
        </w:rPr>
        <w:t>There are very few manufacturers that can produce this as a monolithic board, leading to the use of multiple layers, which has some disadvantages, or the need by producers to invest in new thermal bonding technology.</w:t>
      </w:r>
      <w:r w:rsidRPr="00D83E1C">
        <w:rPr>
          <w:b w:val="0"/>
          <w:bCs/>
          <w:color w:val="auto"/>
          <w:szCs w:val="22"/>
          <w:lang w:eastAsia="en-GB"/>
        </w:rPr>
        <w:t xml:space="preserve"> </w:t>
      </w:r>
    </w:p>
  </w:footnote>
  <w:footnote w:id="12">
    <w:p w14:paraId="7127F0A3" w14:textId="77777777" w:rsidR="00992301" w:rsidRPr="00FF2507" w:rsidRDefault="00992301" w:rsidP="00CA3877">
      <w:pPr>
        <w:pStyle w:val="Style15"/>
        <w:rPr>
          <w:lang w:val="en-US"/>
        </w:rPr>
      </w:pPr>
      <w:r w:rsidRPr="008D2D21">
        <w:rPr>
          <w:rStyle w:val="FootnoteReference"/>
          <w:color w:val="auto"/>
        </w:rPr>
        <w:footnoteRef/>
      </w:r>
      <w:r w:rsidRPr="008D2D21">
        <w:rPr>
          <w:color w:val="auto"/>
        </w:rPr>
        <w:t xml:space="preserve"> </w:t>
      </w:r>
      <w:r w:rsidRPr="008D2D21">
        <w:rPr>
          <w:b w:val="0"/>
          <w:bCs/>
          <w:color w:val="auto"/>
        </w:rPr>
        <w:t xml:space="preserve">Methylene chloride is a controlled substance in some parties due to its use in processing cocaine. </w:t>
      </w:r>
    </w:p>
  </w:footnote>
  <w:footnote w:id="13">
    <w:p w14:paraId="24479D6B" w14:textId="77777777" w:rsidR="00992301" w:rsidRPr="00C457B6" w:rsidRDefault="00992301" w:rsidP="00CA3877">
      <w:pPr>
        <w:pStyle w:val="FootnoteText"/>
        <w:spacing w:after="0"/>
        <w:rPr>
          <w:lang w:val="en-US"/>
        </w:rPr>
      </w:pPr>
      <w:r>
        <w:rPr>
          <w:rStyle w:val="FootnoteReference"/>
        </w:rPr>
        <w:footnoteRef/>
      </w:r>
      <w:r>
        <w:t xml:space="preserve">Recent papers focus on catalysts for the trimerization reaction. </w:t>
      </w:r>
    </w:p>
  </w:footnote>
  <w:footnote w:id="14">
    <w:p w14:paraId="6A6EE39E" w14:textId="77777777" w:rsidR="00992301" w:rsidRPr="008D2D21" w:rsidRDefault="00992301" w:rsidP="00CA3877">
      <w:pPr>
        <w:pStyle w:val="FootnoteText"/>
        <w:spacing w:after="0"/>
        <w:rPr>
          <w:lang w:val="en-US"/>
        </w:rPr>
      </w:pPr>
      <w:r>
        <w:rPr>
          <w:rStyle w:val="FootnoteReference"/>
        </w:rPr>
        <w:footnoteRef/>
      </w:r>
      <w:r>
        <w:t xml:space="preserve"> </w:t>
      </w:r>
      <w:r>
        <w:rPr>
          <w:lang w:val="en-US"/>
        </w:rPr>
        <w:t xml:space="preserve">Koh et al, </w:t>
      </w:r>
      <w:r w:rsidRPr="00831A8C">
        <w:rPr>
          <w:lang w:val="en-US"/>
        </w:rPr>
        <w:t>Novel Concept to Improve Shelf Life of LP 2K SPF with HFO 1234ze</w:t>
      </w:r>
      <w:r>
        <w:rPr>
          <w:lang w:val="en-US"/>
        </w:rPr>
        <w:t xml:space="preserve"> 2021 Center for Polyurethane Institute Conference; Thomas et al’ </w:t>
      </w:r>
      <w:r w:rsidRPr="00090E3C">
        <w:rPr>
          <w:lang w:val="en-US"/>
        </w:rPr>
        <w:t>Low GWP Two-Component Low Pressure Spray Foam Using CO2 as a Blowing Agent</w:t>
      </w:r>
      <w:r>
        <w:rPr>
          <w:lang w:val="en-US"/>
        </w:rPr>
        <w:t>; 2021 Center for Polyurethane Institute Conference</w:t>
      </w:r>
    </w:p>
  </w:footnote>
  <w:footnote w:id="15">
    <w:p w14:paraId="3B1F04C2" w14:textId="77777777" w:rsidR="00992301" w:rsidRDefault="00992301" w:rsidP="00CA3877">
      <w:pPr>
        <w:pStyle w:val="FootnoteText"/>
        <w:spacing w:after="0"/>
        <w:rPr>
          <w:lang w:val="en-US"/>
        </w:rPr>
      </w:pPr>
      <w:r>
        <w:rPr>
          <w:rStyle w:val="FootnoteReference"/>
        </w:rPr>
        <w:footnoteRef/>
      </w:r>
      <w:r>
        <w:t xml:space="preserve"> </w:t>
      </w:r>
      <w:r>
        <w:rPr>
          <w:szCs w:val="22"/>
        </w:rPr>
        <w:t>Its boiling point is 15</w:t>
      </w:r>
      <w:r>
        <w:rPr>
          <w:szCs w:val="22"/>
          <w:vertAlign w:val="superscript"/>
        </w:rPr>
        <w:t>o</w:t>
      </w:r>
      <w:r>
        <w:rPr>
          <w:szCs w:val="22"/>
        </w:rPr>
        <w:t>C and its molecular weight is 149</w:t>
      </w:r>
    </w:p>
  </w:footnote>
  <w:footnote w:id="16">
    <w:p w14:paraId="0020911B" w14:textId="77777777" w:rsidR="00992301" w:rsidRDefault="00992301" w:rsidP="005917AB">
      <w:pPr>
        <w:pStyle w:val="FootnoteText"/>
        <w:spacing w:after="0"/>
      </w:pPr>
      <w:r>
        <w:rPr>
          <w:rStyle w:val="FootnoteReference"/>
        </w:rPr>
        <w:footnoteRef/>
      </w:r>
      <w:r>
        <w:t xml:space="preserve"> </w:t>
      </w:r>
      <w:hyperlink r:id="rId5" w:history="1">
        <w:r w:rsidRPr="008C543E">
          <w:rPr>
            <w:rStyle w:val="Hyperlink"/>
          </w:rPr>
          <w:t>http://www.multilateralfund.org/Our%20Work/DemonProject/Document%20Library/8311ax5_Thailand.pdf</w:t>
        </w:r>
      </w:hyperlink>
    </w:p>
    <w:p w14:paraId="7C6B73C6" w14:textId="77777777" w:rsidR="00992301" w:rsidRPr="001C16F0" w:rsidRDefault="00992301" w:rsidP="005917AB">
      <w:pPr>
        <w:pStyle w:val="FootnoteText"/>
        <w:rPr>
          <w:lang w:val="en-US"/>
        </w:rPr>
      </w:pPr>
    </w:p>
  </w:footnote>
  <w:footnote w:id="17">
    <w:p w14:paraId="3B9E1C6F" w14:textId="63F396BE" w:rsidR="00992301" w:rsidRPr="00C457B6" w:rsidRDefault="00992301" w:rsidP="00CA3877">
      <w:pPr>
        <w:pStyle w:val="xxxmsonormal"/>
        <w:rPr>
          <w:sz w:val="16"/>
          <w:szCs w:val="16"/>
        </w:rPr>
      </w:pPr>
      <w:r w:rsidRPr="00C457B6">
        <w:rPr>
          <w:rStyle w:val="FootnoteReference"/>
          <w:sz w:val="16"/>
          <w:szCs w:val="16"/>
        </w:rPr>
        <w:footnoteRef/>
      </w:r>
      <w:r w:rsidRPr="00C457B6">
        <w:rPr>
          <w:sz w:val="16"/>
          <w:szCs w:val="16"/>
        </w:rPr>
        <w:t xml:space="preserve"> A new paper on flammability hazards of HFO-1234ze during processing. </w:t>
      </w:r>
      <w:r w:rsidRPr="00C457B6">
        <w:rPr>
          <w:i/>
          <w:iCs/>
          <w:sz w:val="16"/>
          <w:szCs w:val="16"/>
        </w:rPr>
        <w:t>Comprehensive Evaluation of the Flammability and Ignitability of HFO-1234ze</w:t>
      </w:r>
      <w:r w:rsidRPr="00C457B6">
        <w:rPr>
          <w:sz w:val="16"/>
          <w:szCs w:val="16"/>
        </w:rPr>
        <w:t>; R.J. Bellair, L.S. Hood, Process Safety and Environmental Protection, In Press (2019).</w:t>
      </w:r>
      <w:r w:rsidR="005617DE">
        <w:rPr>
          <w:color w:val="000000"/>
          <w:sz w:val="16"/>
          <w:szCs w:val="16"/>
        </w:rPr>
        <w:t xml:space="preserve"> </w:t>
      </w:r>
      <w:hyperlink r:id="rId6" w:history="1">
        <w:r w:rsidRPr="00C457B6">
          <w:rPr>
            <w:rStyle w:val="Hyperlink"/>
            <w:sz w:val="16"/>
            <w:szCs w:val="16"/>
          </w:rPr>
          <w:t>https://www.sciencedirect.com/user/error/ATP-2?pii=S0957582019313734</w:t>
        </w:r>
      </w:hyperlink>
    </w:p>
    <w:p w14:paraId="3BB59AAD" w14:textId="77777777" w:rsidR="00992301" w:rsidRPr="00C457B6" w:rsidRDefault="00992301" w:rsidP="00CA3877">
      <w:pPr>
        <w:pStyle w:val="FootnoteText"/>
        <w:rPr>
          <w:lang w:val="en-US"/>
        </w:rPr>
      </w:pPr>
    </w:p>
  </w:footnote>
  <w:footnote w:id="18">
    <w:p w14:paraId="40FBBC35" w14:textId="77777777" w:rsidR="00992301" w:rsidRPr="00E75B9C" w:rsidRDefault="00992301" w:rsidP="00CA3877">
      <w:pPr>
        <w:pStyle w:val="FootnoteText"/>
        <w:rPr>
          <w:lang w:val="en-US"/>
        </w:rPr>
      </w:pPr>
      <w:r>
        <w:rPr>
          <w:rStyle w:val="FootnoteReference"/>
        </w:rPr>
        <w:footnoteRef/>
      </w:r>
      <w:r>
        <w:t xml:space="preserve"> PCT/CN2017/083948 (WO2017206692 A1) 201610393108.0 (CN107089927A)</w:t>
      </w:r>
    </w:p>
  </w:footnote>
  <w:footnote w:id="19">
    <w:p w14:paraId="7545FF31" w14:textId="77777777" w:rsidR="00992301" w:rsidRDefault="00992301" w:rsidP="00CA3877">
      <w:pPr>
        <w:pStyle w:val="FootnoteText"/>
        <w:ind w:firstLine="422"/>
        <w:rPr>
          <w:iCs/>
        </w:rPr>
      </w:pPr>
      <w:r>
        <w:rPr>
          <w:rStyle w:val="FootnoteReference"/>
          <w:rFonts w:eastAsiaTheme="majorEastAsia"/>
        </w:rPr>
        <w:footnoteRef/>
      </w:r>
      <w:r>
        <w:t xml:space="preserve"> “</w:t>
      </w:r>
      <w:r>
        <w:rPr>
          <w:iCs/>
        </w:rPr>
        <w:t xml:space="preserve">Flightradar24 website ; </w:t>
      </w:r>
      <w:hyperlink r:id="rId7" w:history="1">
        <w:r>
          <w:rPr>
            <w:rStyle w:val="Hyperlink"/>
            <w:rFonts w:eastAsiaTheme="majorEastAsia"/>
            <w:iCs/>
          </w:rPr>
          <w:t>https://www.flightradar24.com/data/statistics</w:t>
        </w:r>
      </w:hyperlink>
      <w:r>
        <w:rPr>
          <w:iCs/>
        </w:rPr>
        <w:t xml:space="preserve"> Retrieved 28th April, 2022</w:t>
      </w:r>
    </w:p>
    <w:p w14:paraId="195BF995" w14:textId="77777777" w:rsidR="00992301" w:rsidRDefault="00992301" w:rsidP="00CA3877">
      <w:pPr>
        <w:pStyle w:val="FootnoteText"/>
      </w:pPr>
    </w:p>
  </w:footnote>
  <w:footnote w:id="20">
    <w:p w14:paraId="76215727" w14:textId="77777777" w:rsidR="00992301" w:rsidRPr="00AD564E" w:rsidRDefault="00992301" w:rsidP="0046583A">
      <w:pPr>
        <w:pStyle w:val="FootnoteText"/>
        <w:rPr>
          <w:lang w:val="en-AU"/>
        </w:rPr>
      </w:pPr>
      <w:r>
        <w:rPr>
          <w:rStyle w:val="FootnoteReference"/>
        </w:rPr>
        <w:footnoteRef/>
      </w:r>
      <w:r>
        <w:t xml:space="preserve"> </w:t>
      </w:r>
      <w:r w:rsidRPr="00E65D00">
        <w:t xml:space="preserve">HFO-1336mzz </w:t>
      </w:r>
      <w:r>
        <w:t>production does not use</w:t>
      </w:r>
      <w:r w:rsidRPr="00E65D00">
        <w:t xml:space="preserve"> CTC.</w:t>
      </w:r>
    </w:p>
  </w:footnote>
  <w:footnote w:id="21">
    <w:p w14:paraId="78197B9C" w14:textId="77777777" w:rsidR="00992301" w:rsidRPr="00303EC9" w:rsidRDefault="00992301" w:rsidP="0046583A">
      <w:pPr>
        <w:pStyle w:val="FootnoteText"/>
        <w:spacing w:after="120"/>
      </w:pPr>
      <w:r>
        <w:rPr>
          <w:rStyle w:val="FootnoteReference"/>
        </w:rPr>
        <w:footnoteRef/>
      </w:r>
      <w:r>
        <w:t xml:space="preserve"> </w:t>
      </w:r>
      <w:r w:rsidRPr="00303EC9">
        <w:t>Montreal Protocol Article 7 para 3.</w:t>
      </w:r>
    </w:p>
  </w:footnote>
  <w:footnote w:id="22">
    <w:p w14:paraId="04A80709" w14:textId="77777777" w:rsidR="00992301" w:rsidRPr="00303EC9" w:rsidRDefault="00992301" w:rsidP="0046583A">
      <w:pPr>
        <w:pStyle w:val="FootnoteText"/>
        <w:spacing w:after="120"/>
      </w:pPr>
      <w:r w:rsidRPr="00303EC9">
        <w:rPr>
          <w:rStyle w:val="FootnoteReference"/>
        </w:rPr>
        <w:footnoteRef/>
      </w:r>
      <w:r w:rsidRPr="00303EC9">
        <w:t xml:space="preserve"> K. M. Stanley, D. Say, J. Mühle, C. M. Harth, P. B. Krummel, D. Young, S. J. O’Doherty, P. K. Salameh, P. G. Simmonds, R. F. Weiss, R. G. Prinn, P. J. Fraser, M. Rigby, Increase in global emissions of HFC-23 despite near-total expected reductions, </w:t>
      </w:r>
      <w:r w:rsidRPr="00303EC9">
        <w:rPr>
          <w:i/>
          <w:iCs/>
        </w:rPr>
        <w:t>Nature Communications</w:t>
      </w:r>
      <w:r w:rsidRPr="00303EC9">
        <w:t xml:space="preserve">, </w:t>
      </w:r>
      <w:r w:rsidRPr="00303EC9">
        <w:rPr>
          <w:b/>
          <w:bCs/>
        </w:rPr>
        <w:t>11</w:t>
      </w:r>
      <w:r w:rsidRPr="00303EC9">
        <w:t xml:space="preserve">, Article number: 397 (2020), </w:t>
      </w:r>
      <w:hyperlink r:id="rId8" w:history="1">
        <w:r w:rsidRPr="00303EC9">
          <w:rPr>
            <w:rStyle w:val="Hyperlink"/>
          </w:rPr>
          <w:t>https://doi.org/10.1038/s41467-019-13899-4</w:t>
        </w:r>
      </w:hyperlink>
      <w:r w:rsidRPr="00303EC9">
        <w:rPr>
          <w:rStyle w:val="Hyperlink"/>
        </w:rPr>
        <w:t>.</w:t>
      </w:r>
    </w:p>
  </w:footnote>
  <w:footnote w:id="23">
    <w:p w14:paraId="3D22A562" w14:textId="77777777" w:rsidR="00992301" w:rsidRPr="00303EC9" w:rsidRDefault="00992301" w:rsidP="0046583A">
      <w:pPr>
        <w:pStyle w:val="FootnoteText"/>
        <w:spacing w:after="120"/>
      </w:pPr>
      <w:r w:rsidRPr="00303EC9">
        <w:rPr>
          <w:rStyle w:val="FootnoteReference"/>
        </w:rPr>
        <w:footnoteRef/>
      </w:r>
      <w:r w:rsidRPr="00303EC9">
        <w:t xml:space="preserve"> See 2021 TEAP Progress Report – Volume 1, section 5.4.</w:t>
      </w:r>
    </w:p>
  </w:footnote>
  <w:footnote w:id="24">
    <w:p w14:paraId="752F7485" w14:textId="77777777" w:rsidR="00992301" w:rsidRPr="00B53C44" w:rsidRDefault="00992301" w:rsidP="0046583A">
      <w:pPr>
        <w:pStyle w:val="FootnoteText"/>
        <w:rPr>
          <w:lang w:val="en-AU"/>
        </w:rPr>
      </w:pPr>
      <w:r>
        <w:rPr>
          <w:rStyle w:val="FootnoteReference"/>
        </w:rPr>
        <w:footnoteRef/>
      </w:r>
      <w:r>
        <w:t xml:space="preserve"> </w:t>
      </w:r>
      <w:r>
        <w:rPr>
          <w:lang w:val="en-AU"/>
        </w:rPr>
        <w:t xml:space="preserve">A correlation is a derived mathematical association between emissions of octafluorocyclobutane </w:t>
      </w:r>
      <w:r>
        <w:rPr>
          <w:rFonts w:hint="eastAsia"/>
        </w:rPr>
        <w:t>(</w:t>
      </w:r>
      <w:r>
        <w:t>PFC-318</w:t>
      </w:r>
      <w:r>
        <w:rPr>
          <w:lang w:val="en-AU"/>
        </w:rPr>
        <w:t>), the high-GWP by-product in the manufacture of TFE and HFP, and HCFC-22 production, used as the feedstock in TFE and HFP production. TFE and HFP are used in fluoropolymer production. A</w:t>
      </w:r>
      <w:r w:rsidRPr="00702EB1">
        <w:rPr>
          <w:lang w:val="en-AU"/>
        </w:rPr>
        <w:t xml:space="preserve">lmost all HCFC-22 </w:t>
      </w:r>
      <w:r>
        <w:rPr>
          <w:lang w:val="en-AU"/>
        </w:rPr>
        <w:t>that is produced and used as feedstock</w:t>
      </w:r>
      <w:r w:rsidRPr="00702EB1">
        <w:rPr>
          <w:lang w:val="en-AU"/>
        </w:rPr>
        <w:t xml:space="preserve"> is pyroly</w:t>
      </w:r>
      <w:r>
        <w:rPr>
          <w:lang w:val="en-AU"/>
        </w:rPr>
        <w:t>s</w:t>
      </w:r>
      <w:r w:rsidRPr="00702EB1">
        <w:rPr>
          <w:lang w:val="en-AU"/>
        </w:rPr>
        <w:t xml:space="preserve">ed to produce TFE and HFP, a process in which </w:t>
      </w:r>
      <w:r>
        <w:rPr>
          <w:lang w:val="en-AU"/>
        </w:rPr>
        <w:t>PFC-318</w:t>
      </w:r>
      <w:r w:rsidRPr="00702EB1">
        <w:rPr>
          <w:lang w:val="en-AU"/>
        </w:rPr>
        <w:t xml:space="preserve"> is a known by-product</w:t>
      </w:r>
      <w:r>
        <w:rPr>
          <w:lang w:val="en-AU"/>
        </w:rPr>
        <w:t>. This process, using HCFC-22</w:t>
      </w:r>
      <w:r w:rsidRPr="00702EB1">
        <w:rPr>
          <w:lang w:val="en-AU"/>
        </w:rPr>
        <w:t xml:space="preserve"> </w:t>
      </w:r>
      <w:r>
        <w:rPr>
          <w:lang w:val="en-AU"/>
        </w:rPr>
        <w:t>as feedstock, results in</w:t>
      </w:r>
      <w:r w:rsidRPr="00702EB1">
        <w:rPr>
          <w:lang w:val="en-AU"/>
        </w:rPr>
        <w:t xml:space="preserve"> a significant </w:t>
      </w:r>
      <w:r>
        <w:rPr>
          <w:lang w:val="en-AU"/>
        </w:rPr>
        <w:t>proportion</w:t>
      </w:r>
      <w:r w:rsidRPr="00702EB1">
        <w:rPr>
          <w:lang w:val="en-AU"/>
        </w:rPr>
        <w:t xml:space="preserve"> of </w:t>
      </w:r>
      <w:r>
        <w:rPr>
          <w:lang w:val="en-AU"/>
        </w:rPr>
        <w:t xml:space="preserve">the </w:t>
      </w:r>
      <w:r w:rsidRPr="00702EB1">
        <w:rPr>
          <w:lang w:val="en-AU"/>
        </w:rPr>
        <w:t xml:space="preserve">global </w:t>
      </w:r>
      <w:r>
        <w:rPr>
          <w:lang w:val="en-AU"/>
        </w:rPr>
        <w:t>PFC-318</w:t>
      </w:r>
      <w:r w:rsidRPr="00702EB1">
        <w:rPr>
          <w:lang w:val="en-AU"/>
        </w:rPr>
        <w:t xml:space="preserve"> emissions</w:t>
      </w:r>
      <w:r>
        <w:rPr>
          <w:lang w:val="en-AU"/>
        </w:rPr>
        <w:t xml:space="preserve">. </w:t>
      </w:r>
    </w:p>
  </w:footnote>
  <w:footnote w:id="25">
    <w:p w14:paraId="3895FCF1" w14:textId="77777777" w:rsidR="00992301" w:rsidRPr="00303EC9" w:rsidRDefault="00992301" w:rsidP="0046583A">
      <w:pPr>
        <w:pStyle w:val="FootnoteText"/>
        <w:spacing w:after="120"/>
      </w:pPr>
      <w:r w:rsidRPr="00303EC9">
        <w:rPr>
          <w:rStyle w:val="FootnoteReference"/>
        </w:rPr>
        <w:footnoteRef/>
      </w:r>
      <w:r w:rsidRPr="00303EC9">
        <w:t xml:space="preserve"> Global emissions of perfluorocyclobutane (PFC-318, c-C4F8) resulting from the use of hydrochlorofluorocarbon-22 (HCFC-22) feedstock to produce polytetrafluoroethylene (PTFE) and related fluorochemicals, J. Mühle et al, Atmos. Chem. Phys., 22, 3371–3378, https://doi.org/10.5194/acp-22-3371-2022, 2022.</w:t>
      </w:r>
    </w:p>
  </w:footnote>
  <w:footnote w:id="26">
    <w:p w14:paraId="6D156F4E" w14:textId="77777777" w:rsidR="00992301" w:rsidRPr="00303EC9" w:rsidRDefault="00992301" w:rsidP="0046583A">
      <w:pPr>
        <w:pStyle w:val="FootnoteText"/>
        <w:spacing w:after="120"/>
      </w:pPr>
      <w:r w:rsidRPr="00303EC9">
        <w:rPr>
          <w:rStyle w:val="FootnoteReference"/>
        </w:rPr>
        <w:footnoteRef/>
      </w:r>
      <w:r w:rsidRPr="00303EC9">
        <w:t xml:space="preserve"> MCTOC will report further on this in its 2022 Assessment Report.</w:t>
      </w:r>
    </w:p>
  </w:footnote>
  <w:footnote w:id="27">
    <w:p w14:paraId="6A5C07A8" w14:textId="77777777" w:rsidR="00992301" w:rsidRPr="00303EC9" w:rsidRDefault="00992301" w:rsidP="0046583A">
      <w:pPr>
        <w:pStyle w:val="FootnoteText"/>
      </w:pPr>
      <w:r w:rsidRPr="00303EC9">
        <w:rPr>
          <w:rStyle w:val="FootnoteReference"/>
        </w:rPr>
        <w:footnoteRef/>
      </w:r>
      <w:r w:rsidRPr="00303EC9">
        <w:t xml:space="preserve"> Decision XXXI/3 TEAP Task Force Report on Unexpected Emissions of Trichlorofluoromethane (CFC-11)</w:t>
      </w:r>
    </w:p>
  </w:footnote>
  <w:footnote w:id="28">
    <w:p w14:paraId="679EAFD7" w14:textId="77777777" w:rsidR="00992301" w:rsidRPr="00303EC9" w:rsidRDefault="00992301" w:rsidP="0046583A">
      <w:pPr>
        <w:pStyle w:val="FootnoteText"/>
        <w:spacing w:after="120"/>
      </w:pPr>
      <w:r w:rsidRPr="00303EC9">
        <w:rPr>
          <w:rStyle w:val="FootnoteReference"/>
        </w:rPr>
        <w:footnoteRef/>
      </w:r>
      <w:r w:rsidRPr="00303EC9">
        <w:t xml:space="preserve"> See 2021 TEAP Progress Report – Volume 1, section 5.3.5.</w:t>
      </w:r>
    </w:p>
  </w:footnote>
  <w:footnote w:id="29">
    <w:p w14:paraId="4DCCB5F4" w14:textId="45B9E95B" w:rsidR="00992301" w:rsidRPr="00303EC9" w:rsidRDefault="00992301" w:rsidP="0046583A">
      <w:pPr>
        <w:spacing w:after="120"/>
        <w:rPr>
          <w:sz w:val="18"/>
          <w:szCs w:val="18"/>
        </w:rPr>
      </w:pPr>
      <w:r w:rsidRPr="00303EC9">
        <w:rPr>
          <w:rStyle w:val="FootnoteReference"/>
          <w:sz w:val="18"/>
          <w:szCs w:val="18"/>
        </w:rPr>
        <w:footnoteRef/>
      </w:r>
      <w:r w:rsidRPr="00303EC9">
        <w:rPr>
          <w:sz w:val="18"/>
          <w:szCs w:val="18"/>
        </w:rPr>
        <w:t xml:space="preserve"> </w:t>
      </w:r>
      <w:r w:rsidRPr="00303EC9">
        <w:rPr>
          <w:rFonts w:eastAsia="Calibri"/>
          <w:color w:val="333333"/>
          <w:sz w:val="18"/>
          <w:szCs w:val="18"/>
          <w:shd w:val="clear" w:color="auto" w:fill="FFFFFF"/>
        </w:rPr>
        <w:t>Martin K. Vollmer,</w:t>
      </w:r>
      <w:r w:rsidR="005617DE">
        <w:rPr>
          <w:rFonts w:eastAsia="Calibri"/>
          <w:color w:val="333333"/>
          <w:sz w:val="18"/>
          <w:szCs w:val="18"/>
          <w:shd w:val="clear" w:color="auto" w:fill="FFFFFF"/>
        </w:rPr>
        <w:t xml:space="preserve"> </w:t>
      </w:r>
      <w:r w:rsidRPr="00303EC9">
        <w:rPr>
          <w:rFonts w:eastAsia="Calibri"/>
          <w:color w:val="333333"/>
          <w:sz w:val="18"/>
          <w:szCs w:val="18"/>
          <w:shd w:val="clear" w:color="auto" w:fill="FFFFFF"/>
        </w:rPr>
        <w:t>Jens Mühle, </w:t>
      </w:r>
      <w:hyperlink r:id="rId9" w:tgtFrame="_blank" w:history="1">
        <w:r w:rsidRPr="00303EC9">
          <w:t> </w:t>
        </w:r>
      </w:hyperlink>
      <w:r w:rsidRPr="00303EC9">
        <w:rPr>
          <w:rFonts w:eastAsia="Calibri"/>
          <w:color w:val="333333"/>
          <w:sz w:val="18"/>
          <w:szCs w:val="18"/>
          <w:shd w:val="clear" w:color="auto" w:fill="FFFFFF"/>
        </w:rPr>
        <w:t>Stephan Henne, Dickon Young, Matthew Rigby, Blagoj Mitrevski,</w:t>
      </w:r>
      <w:r w:rsidR="005617DE">
        <w:rPr>
          <w:rFonts w:eastAsia="Calibri"/>
          <w:color w:val="333333"/>
          <w:sz w:val="18"/>
          <w:szCs w:val="18"/>
          <w:shd w:val="clear" w:color="auto" w:fill="FFFFFF"/>
        </w:rPr>
        <w:t xml:space="preserve"> </w:t>
      </w:r>
      <w:r w:rsidRPr="00303EC9">
        <w:rPr>
          <w:rFonts w:eastAsia="Calibri"/>
          <w:color w:val="333333"/>
          <w:sz w:val="18"/>
          <w:szCs w:val="18"/>
          <w:shd w:val="clear" w:color="auto" w:fill="FFFFFF"/>
        </w:rPr>
        <w:t>Sunyoung Park, Chris R. Lunder, Tae Siek Rhee, Christina M. Harth, Matthias Hill, Ray L. Langenfelds, </w:t>
      </w:r>
      <w:hyperlink r:id="rId10" w:tgtFrame="_blank" w:history="1">
        <w:r w:rsidRPr="00303EC9">
          <w:t> </w:t>
        </w:r>
      </w:hyperlink>
      <w:r w:rsidRPr="00303EC9">
        <w:rPr>
          <w:rFonts w:eastAsia="Calibri"/>
          <w:color w:val="333333"/>
          <w:sz w:val="18"/>
          <w:szCs w:val="18"/>
          <w:shd w:val="clear" w:color="auto" w:fill="FFFFFF"/>
        </w:rPr>
        <w:t>Myriam Guillevic, Paul M. Schlauri, Ove Hermansen, Jgor Arduini, </w:t>
      </w:r>
      <w:hyperlink r:id="rId11" w:tgtFrame="_blank" w:history="1">
        <w:r w:rsidRPr="00303EC9">
          <w:t> </w:t>
        </w:r>
      </w:hyperlink>
      <w:r w:rsidRPr="00303EC9">
        <w:rPr>
          <w:rFonts w:eastAsia="Calibri"/>
          <w:color w:val="333333"/>
          <w:sz w:val="18"/>
          <w:szCs w:val="18"/>
          <w:shd w:val="clear" w:color="auto" w:fill="FFFFFF"/>
        </w:rPr>
        <w:t xml:space="preserve">Ray H. J. Wang, Peter K. Salameh, Michela Maione, Paul B. Krummel, Stefan Reimann, Simon O’Doherty, Peter G. Simmonds, Paul J. Fraser, Ronald G. Prinn, Ray F. Weiss, and L. Paul Steel, Unexpected nascent atmospheric emissions of three ozone-depleting hydrochlorofluorocarbons, PNAS February 2, 2021 118 (5) e2010914118; </w:t>
      </w:r>
      <w:hyperlink r:id="rId12" w:history="1">
        <w:r w:rsidRPr="00303EC9">
          <w:rPr>
            <w:rFonts w:eastAsia="Calibri"/>
            <w:color w:val="0000FF"/>
            <w:sz w:val="18"/>
            <w:szCs w:val="18"/>
            <w:u w:val="single"/>
            <w:shd w:val="clear" w:color="auto" w:fill="FFFFFF"/>
          </w:rPr>
          <w:t>https://doi.org/10.1073/pnas.2010914118</w:t>
        </w:r>
      </w:hyperlink>
    </w:p>
  </w:footnote>
  <w:footnote w:id="30">
    <w:p w14:paraId="416D2C3B" w14:textId="77777777" w:rsidR="00992301" w:rsidRDefault="00992301" w:rsidP="0046583A">
      <w:pPr>
        <w:pStyle w:val="FootnoteText"/>
      </w:pPr>
      <w:r>
        <w:rPr>
          <w:rStyle w:val="FootnoteReference"/>
        </w:rPr>
        <w:footnoteRef/>
      </w:r>
      <w:r>
        <w:t xml:space="preserve"> </w:t>
      </w:r>
      <w:r>
        <w:rPr>
          <w:szCs w:val="22"/>
          <w:lang w:eastAsia="en-US"/>
        </w:rPr>
        <w:t xml:space="preserve">UNEP/OzL.Pro/ExCom/87/58, UNEP/OzL.Pro/ExCom/88/IAP/3, </w:t>
      </w:r>
      <w:r w:rsidRPr="00B526EF">
        <w:rPr>
          <w:szCs w:val="22"/>
          <w:lang w:eastAsia="en-US"/>
        </w:rPr>
        <w:t>UNEP/OzL.Pro/ExCom/87/57</w:t>
      </w:r>
      <w:r>
        <w:rPr>
          <w:szCs w:val="22"/>
          <w:lang w:eastAsia="en-US"/>
        </w:rPr>
        <w:t xml:space="preserve">, </w:t>
      </w:r>
      <w:r w:rsidRPr="00B526EF">
        <w:rPr>
          <w:szCs w:val="22"/>
          <w:lang w:eastAsia="en-US"/>
        </w:rPr>
        <w:t>UNEP/OzL.Pro/ExCom/88/78</w:t>
      </w:r>
      <w:r>
        <w:rPr>
          <w:szCs w:val="22"/>
          <w:lang w:eastAsia="en-US"/>
        </w:rPr>
        <w:t>.</w:t>
      </w:r>
    </w:p>
    <w:p w14:paraId="14469E11" w14:textId="77777777" w:rsidR="00992301" w:rsidRDefault="00992301" w:rsidP="0046583A">
      <w:pPr>
        <w:pStyle w:val="FootnoteText"/>
      </w:pPr>
    </w:p>
  </w:footnote>
  <w:footnote w:id="31">
    <w:p w14:paraId="742AA25A" w14:textId="77777777" w:rsidR="00992301" w:rsidRDefault="00992301" w:rsidP="0046583A">
      <w:pPr>
        <w:pStyle w:val="FootnoteText"/>
      </w:pPr>
      <w:r>
        <w:rPr>
          <w:rStyle w:val="FootnoteReference"/>
        </w:rPr>
        <w:footnoteRef/>
      </w:r>
      <w:r>
        <w:t xml:space="preserve"> This total also includes the EU as an importer, EU Member States report their own production for feedstock use.</w:t>
      </w:r>
    </w:p>
  </w:footnote>
  <w:footnote w:id="32">
    <w:p w14:paraId="22A34F08" w14:textId="77777777" w:rsidR="00992301" w:rsidRDefault="00992301" w:rsidP="0046583A">
      <w:pPr>
        <w:pStyle w:val="FootnoteText"/>
      </w:pPr>
      <w:r>
        <w:rPr>
          <w:rStyle w:val="FootnoteReference"/>
        </w:rPr>
        <w:footnoteRef/>
      </w:r>
      <w:r>
        <w:t xml:space="preserve"> The 2018 feedstock production was stated as </w:t>
      </w:r>
      <w:r>
        <w:rPr>
          <w:lang w:val="en-US"/>
        </w:rPr>
        <w:t>1,364,998</w:t>
      </w:r>
      <w:r>
        <w:rPr>
          <w:b/>
          <w:bCs/>
          <w:lang w:val="en-US"/>
        </w:rPr>
        <w:t xml:space="preserve"> </w:t>
      </w:r>
      <w:r>
        <w:t xml:space="preserve">tonnes in the MCTOC 2019 progress report. Any data changes result from data revisions that can occur for historical years. </w:t>
      </w:r>
    </w:p>
  </w:footnote>
  <w:footnote w:id="33">
    <w:p w14:paraId="6E1BB4F4" w14:textId="77777777" w:rsidR="00992301" w:rsidRDefault="00992301" w:rsidP="0046583A">
      <w:pPr>
        <w:pStyle w:val="FootnoteText"/>
      </w:pPr>
      <w:r>
        <w:rPr>
          <w:rStyle w:val="FootnoteReference"/>
        </w:rPr>
        <w:footnoteRef/>
      </w:r>
      <w:r>
        <w:t xml:space="preserve"> While ODP tonnes are included, it should be noted that presenting production for feedstock use in ODP tonnes does not equate to emissions. From the total amount of ODS produced for feedstock use, only a relatively minor to insignificant quantity will be emitted depending on the abatement technologies and containment measures utilised.</w:t>
      </w:r>
    </w:p>
  </w:footnote>
  <w:footnote w:id="34">
    <w:p w14:paraId="37F9E6AF" w14:textId="77777777" w:rsidR="00992301" w:rsidRDefault="00992301" w:rsidP="0046583A">
      <w:pPr>
        <w:pStyle w:val="FootnoteText"/>
      </w:pPr>
      <w:r>
        <w:rPr>
          <w:rStyle w:val="FootnoteReference"/>
        </w:rPr>
        <w:footnoteRef/>
      </w:r>
      <w:r>
        <w:rPr>
          <w:lang w:val="fr-FR"/>
        </w:rPr>
        <w:t xml:space="preserve"> Annex AI CFCs -11, -12, -113, -114, -115; Annex BII carbon tetrachloride; Annex BIII 1,1,1 trichloroethane; Annex CI HCFCs. </w:t>
      </w:r>
      <w:r>
        <w:t>Annex AII Halons -1211, -1301, -2402; Annex BI CFCs -13, -111, -112, -211, -212, -213, -214, -215, -216, -217; Annex CII HBFCs; Annex CIII bromochloromethane; and Annex EI methyl bromide.</w:t>
      </w:r>
    </w:p>
    <w:p w14:paraId="09138CBD" w14:textId="77777777" w:rsidR="00992301" w:rsidRDefault="00992301" w:rsidP="0046583A"/>
  </w:footnote>
  <w:footnote w:id="35">
    <w:p w14:paraId="4E0AD4E0" w14:textId="77777777" w:rsidR="00992301" w:rsidRDefault="00992301" w:rsidP="0046583A">
      <w:pPr>
        <w:pStyle w:val="FootnoteText"/>
      </w:pPr>
      <w:r>
        <w:rPr>
          <w:rStyle w:val="FootnoteReference"/>
        </w:rPr>
        <w:footnoteRef/>
      </w:r>
      <w:r>
        <w:t xml:space="preserve"> More information on CTC production and its uses as feedstock can be found in the TEAP Task Force Report on Unexpected Emissions of Trichlorofluoromethane (CFC-11) September 2019.</w:t>
      </w:r>
    </w:p>
  </w:footnote>
  <w:footnote w:id="36">
    <w:p w14:paraId="6F6ED6D5" w14:textId="77777777" w:rsidR="00992301" w:rsidRDefault="00992301" w:rsidP="00D678DF">
      <w:pPr>
        <w:pStyle w:val="FootnoteText"/>
      </w:pPr>
      <w:r>
        <w:rPr>
          <w:rStyle w:val="FootnoteReference"/>
        </w:rPr>
        <w:footnoteRef/>
      </w:r>
      <w:r>
        <w:t xml:space="preserve"> The total metric tonnes of ODS reported for feedstock use in 2020 is over 1.4 million tonnes (see table 5.2). The feedstock uses of HFCs have much more limited application than ODS.</w:t>
      </w:r>
    </w:p>
  </w:footnote>
  <w:footnote w:id="37">
    <w:p w14:paraId="4DC1BAB5" w14:textId="77777777" w:rsidR="00992301" w:rsidRDefault="00992301" w:rsidP="0046583A">
      <w:pPr>
        <w:pStyle w:val="FootnoteText"/>
      </w:pPr>
      <w:r>
        <w:rPr>
          <w:rStyle w:val="FootnoteReference"/>
        </w:rPr>
        <w:footnoteRef/>
      </w:r>
      <w:r>
        <w:t xml:space="preserve"> TEAP Report, September 2019, Volume 1 Decision XXX/3 TEAP Task Force Report on Unexpected Emissions of CFC-11 page 69.</w:t>
      </w:r>
    </w:p>
  </w:footnote>
  <w:footnote w:id="38">
    <w:p w14:paraId="1C248A66" w14:textId="77777777" w:rsidR="00992301" w:rsidRDefault="00992301" w:rsidP="0046583A">
      <w:pPr>
        <w:pStyle w:val="FootnoteText"/>
      </w:pPr>
      <w:r>
        <w:rPr>
          <w:rStyle w:val="FootnoteReference"/>
        </w:rPr>
        <w:footnoteRef/>
      </w:r>
      <w:r>
        <w:t xml:space="preserve"> CF</w:t>
      </w:r>
      <w:r>
        <w:rPr>
          <w:vertAlign w:val="subscript"/>
        </w:rPr>
        <w:t>3</w:t>
      </w:r>
      <w:r>
        <w:t xml:space="preserve"> generated from Halon 1301 can be introduced into a wide range of organic molecules by nucleophilic substitution to produce chemicals, including fipronil (insecticide), mefloquine (antimalarial), and DPP-IV inhibitor (antidiabetic).</w:t>
      </w:r>
    </w:p>
  </w:footnote>
  <w:footnote w:id="39">
    <w:p w14:paraId="40DE19F6" w14:textId="77777777" w:rsidR="00992301" w:rsidRDefault="00992301" w:rsidP="0046583A">
      <w:pPr>
        <w:pStyle w:val="FootnoteText"/>
      </w:pPr>
      <w:r>
        <w:rPr>
          <w:rStyle w:val="FootnoteReference"/>
        </w:rPr>
        <w:footnoteRef/>
      </w:r>
      <w:r>
        <w:t xml:space="preserve"> Haodong Tang, Mingming Dang, Yuzhen Li, Lichun Li, Wenfeng Han, Zongjian Liu, Ying Li and Xiaonian Li, Rational design of MgF</w:t>
      </w:r>
      <w:r>
        <w:rPr>
          <w:vertAlign w:val="subscript"/>
        </w:rPr>
        <w:t>2</w:t>
      </w:r>
      <w:r>
        <w:t xml:space="preserve"> catalysts with long-term stability for the dehydrofluorination of 1,1-difluoroethane (HFC-152a), </w:t>
      </w:r>
      <w:r>
        <w:rPr>
          <w:i/>
          <w:iCs/>
        </w:rPr>
        <w:t>RSC Advances</w:t>
      </w:r>
      <w:r>
        <w:t xml:space="preserve">, 2019, </w:t>
      </w:r>
      <w:r>
        <w:rPr>
          <w:b/>
          <w:bCs/>
        </w:rPr>
        <w:t>9</w:t>
      </w:r>
      <w:r>
        <w:t xml:space="preserve">, 23744-23751. </w:t>
      </w:r>
      <w:hyperlink r:id="rId13" w:history="1">
        <w:r>
          <w:rPr>
            <w:rStyle w:val="Hyperlink"/>
          </w:rPr>
          <w:t>https://doi.org/10.1039/C9RA04250D</w:t>
        </w:r>
      </w:hyperlink>
    </w:p>
  </w:footnote>
  <w:footnote w:id="40">
    <w:p w14:paraId="2396C0F8" w14:textId="77777777" w:rsidR="00992301" w:rsidRDefault="00992301" w:rsidP="0046583A">
      <w:pPr>
        <w:pStyle w:val="FootnoteText"/>
      </w:pPr>
      <w:r>
        <w:rPr>
          <w:rStyle w:val="FootnoteReference"/>
        </w:rPr>
        <w:footnoteRef/>
      </w:r>
      <w:r>
        <w:t xml:space="preserve"> </w:t>
      </w:r>
      <w:r w:rsidRPr="0032606A">
        <w:t>2018 TEAP Report, Supplement to the April 2018 Decision XXIX/4 TEAP Task Force Report on Destruction Technologies for Controlled Substances</w:t>
      </w:r>
      <w:r>
        <w:t>.</w:t>
      </w:r>
    </w:p>
  </w:footnote>
  <w:footnote w:id="41">
    <w:p w14:paraId="6975B253" w14:textId="77777777" w:rsidR="00992301" w:rsidRDefault="00992301" w:rsidP="0046583A">
      <w:pPr>
        <w:pStyle w:val="FootnoteText"/>
      </w:pPr>
      <w:r>
        <w:rPr>
          <w:rStyle w:val="FootnoteReference"/>
        </w:rPr>
        <w:footnoteRef/>
      </w:r>
      <w:r>
        <w:t xml:space="preserve"> </w:t>
      </w:r>
      <w:r w:rsidRPr="0032606A">
        <w:t xml:space="preserve">See for example UNEP/OzL.Pro/ExCom/83/44, 11 May 2019, </w:t>
      </w:r>
      <w:r>
        <w:t>Key aspects related to HFC-23 by-product control technologies (Decision 82/85).</w:t>
      </w:r>
    </w:p>
  </w:footnote>
  <w:footnote w:id="42">
    <w:p w14:paraId="6346F7E3" w14:textId="77777777" w:rsidR="00992301" w:rsidRPr="00CD58FA" w:rsidRDefault="00992301" w:rsidP="0046583A">
      <w:pPr>
        <w:pStyle w:val="FootnoteText"/>
      </w:pPr>
      <w:r>
        <w:rPr>
          <w:rStyle w:val="FootnoteReference"/>
        </w:rPr>
        <w:footnoteRef/>
      </w:r>
      <w:r>
        <w:t xml:space="preserve"> </w:t>
      </w:r>
      <w:r w:rsidRPr="0032606A">
        <w:t>K. M. Stanley, D. Say, J. Mühle, C. M. Harth, P. B. Krummel, D. Young, S. J. O’Doherty, P. K. Salameh, P. G. Simmonds, R. F. Weiss, R. G. Prinn, P. J. Fraser</w:t>
      </w:r>
      <w:r>
        <w:t xml:space="preserve">, </w:t>
      </w:r>
      <w:r w:rsidRPr="0032606A">
        <w:t>M. Rigby</w:t>
      </w:r>
      <w:r>
        <w:t xml:space="preserve">, </w:t>
      </w:r>
      <w:r w:rsidRPr="0032606A">
        <w:t xml:space="preserve">Increase in global emissions of HFC-23 despite near-total expected reductions, </w:t>
      </w:r>
      <w:r w:rsidRPr="00313925">
        <w:rPr>
          <w:i/>
          <w:iCs/>
        </w:rPr>
        <w:t>Nature Communications</w:t>
      </w:r>
      <w:r>
        <w:t>,</w:t>
      </w:r>
      <w:r w:rsidRPr="0032606A">
        <w:t xml:space="preserve"> </w:t>
      </w:r>
      <w:r w:rsidRPr="00313925">
        <w:rPr>
          <w:b/>
          <w:bCs/>
        </w:rPr>
        <w:t>11</w:t>
      </w:r>
      <w:r w:rsidRPr="0032606A">
        <w:t xml:space="preserve">, Article number: 397 (2020), </w:t>
      </w:r>
      <w:hyperlink r:id="rId14" w:history="1">
        <w:r w:rsidRPr="00854C76">
          <w:rPr>
            <w:rStyle w:val="Hyperlink"/>
          </w:rPr>
          <w:t>https://doi.org/10.1038/s41467-019-13899-4</w:t>
        </w:r>
      </w:hyperlink>
      <w:r>
        <w:rPr>
          <w:rStyle w:val="Hyperlink"/>
        </w:rPr>
        <w:t>.</w:t>
      </w:r>
    </w:p>
  </w:footnote>
  <w:footnote w:id="43">
    <w:p w14:paraId="34A0A239" w14:textId="77777777" w:rsidR="00992301" w:rsidRDefault="00992301" w:rsidP="0046583A">
      <w:pPr>
        <w:pStyle w:val="FootnoteText"/>
      </w:pPr>
      <w:r>
        <w:rPr>
          <w:rStyle w:val="FootnoteReference"/>
        </w:rPr>
        <w:footnoteRef/>
      </w:r>
      <w:r>
        <w:t xml:space="preserve"> </w:t>
      </w:r>
      <w:r w:rsidRPr="00440354">
        <w:t xml:space="preserve">The </w:t>
      </w:r>
      <w:r>
        <w:t>definition of c</w:t>
      </w:r>
      <w:r w:rsidRPr="00440354">
        <w:t>onversion applies to non-incineration technologies</w:t>
      </w:r>
      <w:r>
        <w:t>,</w:t>
      </w:r>
      <w:r w:rsidRPr="00440354">
        <w:t xml:space="preserve"> and these </w:t>
      </w:r>
      <w:r>
        <w:t>might</w:t>
      </w:r>
      <w:r w:rsidRPr="00440354">
        <w:t xml:space="preserve"> not always produce useful products. </w:t>
      </w:r>
      <w:r>
        <w:t>Incineration</w:t>
      </w:r>
      <w:r w:rsidRPr="00440354">
        <w:t xml:space="preserve"> technologies </w:t>
      </w:r>
      <w:r>
        <w:t>can</w:t>
      </w:r>
      <w:r w:rsidRPr="00440354">
        <w:t xml:space="preserve"> </w:t>
      </w:r>
      <w:r>
        <w:t xml:space="preserve">also </w:t>
      </w:r>
      <w:r w:rsidRPr="00440354">
        <w:t>produce useful products, for example reactor cracking produces technical</w:t>
      </w:r>
      <w:r>
        <w:t>-</w:t>
      </w:r>
      <w:r w:rsidRPr="00440354">
        <w:t>grade quality HF and HCl.</w:t>
      </w:r>
    </w:p>
  </w:footnote>
  <w:footnote w:id="44">
    <w:p w14:paraId="117C279F" w14:textId="77777777" w:rsidR="00992301" w:rsidRDefault="00992301" w:rsidP="0046583A">
      <w:pPr>
        <w:pStyle w:val="FootnoteText"/>
      </w:pPr>
      <w:r>
        <w:rPr>
          <w:rStyle w:val="FootnoteReference"/>
        </w:rPr>
        <w:footnoteRef/>
      </w:r>
      <w:r>
        <w:t xml:space="preserve"> Destruction and Removal Efficiency (DRE) is determined by subtracting from the mass of a chemical fed into a destruction system during a specific period of time the mass of that chemical alone that is released in stack gases and expressing that difference as a percentage of the mass of that chemical fed into the system. If interconversion to other controlled species is possible, it is recommended that analysis is used to measure emissions and that any controlled species is taken into account when determining DRE.</w:t>
      </w:r>
    </w:p>
  </w:footnote>
  <w:footnote w:id="45">
    <w:p w14:paraId="6308BA1A" w14:textId="77777777" w:rsidR="00992301" w:rsidRDefault="00992301" w:rsidP="0046583A">
      <w:pPr>
        <w:pStyle w:val="FootnoteText"/>
      </w:pPr>
      <w:r>
        <w:rPr>
          <w:rStyle w:val="FootnoteReference"/>
        </w:rPr>
        <w:footnoteRef/>
      </w:r>
      <w:r>
        <w:t xml:space="preserve"> Depending on the waste stream, polychlorinated dibenzodioxins (PCDDs), polychlorinated dibenzofurans (PCDFs), polybrominated dibenzodioxins (PBDDs), polybrominated dibenzofurans (PBDFs), polyfluorinated dibenzodioxins (PFDDs), polyfluorinated dibenzofurans (PFDFs). For mixed substance destruction, mixed halogenated dioxins and furans can be formed.</w:t>
      </w:r>
    </w:p>
  </w:footnote>
  <w:footnote w:id="46">
    <w:p w14:paraId="60D87240" w14:textId="77777777" w:rsidR="00992301" w:rsidRDefault="00992301" w:rsidP="0046583A">
      <w:pPr>
        <w:pStyle w:val="FootnoteText"/>
      </w:pPr>
      <w:r>
        <w:rPr>
          <w:rStyle w:val="FootnoteReference"/>
        </w:rPr>
        <w:footnoteRef/>
      </w:r>
      <w:r>
        <w:t xml:space="preserve"> The International Toxic Equivalents (ITEQ) scheme was established by NATO in 1988. More recently the TEFs were re-evaluated by the World Health Organisation and the revised TEQ scheme is generally universally accepted, with the updated TEFs used in the TEQ calculation. Some of the data reviewed by the 2018 TFDT quotes TEQ values. A detailed discussion of ITEQ and TEQ is on page 13 of 2018 TEAP Report, Volume 2: Decision XXIX/4 TEAP Task Force Report on Destruction Technologies for Controlled Substances</w:t>
      </w:r>
    </w:p>
  </w:footnote>
  <w:footnote w:id="47">
    <w:p w14:paraId="6AA3F649" w14:textId="77777777" w:rsidR="00992301" w:rsidRDefault="00992301" w:rsidP="0046583A">
      <w:pPr>
        <w:pStyle w:val="FootnoteText"/>
      </w:pPr>
      <w:r>
        <w:rPr>
          <w:rStyle w:val="FootnoteReference"/>
        </w:rPr>
        <w:footnoteRef/>
      </w:r>
      <w:r>
        <w:t xml:space="preserve"> General technical guidelines on the environmentally sound management of wastes consisting of, containing or contaminated with persistent organic pollutants, UNEP/CHW.14/7/Add.1/Rev.1, Para 161, May 2019, </w:t>
      </w:r>
      <w:hyperlink r:id="rId15" w:history="1">
        <w:r>
          <w:rPr>
            <w:rStyle w:val="Hyperlink"/>
          </w:rPr>
          <w:t>http://www.basel.int/Implementation/TechnicalMatters/DevelopmentofTechnicalGuidelines/TechnicalGuidelines/tabid/8025/Default.aspx</w:t>
        </w:r>
      </w:hyperlink>
      <w:r>
        <w:t xml:space="preserve"> (accessed April 2020).</w:t>
      </w:r>
    </w:p>
  </w:footnote>
  <w:footnote w:id="48">
    <w:p w14:paraId="2F2C4415" w14:textId="77777777" w:rsidR="00992301" w:rsidRDefault="00992301" w:rsidP="0046583A">
      <w:pPr>
        <w:pStyle w:val="FootnoteText"/>
      </w:pPr>
      <w:r>
        <w:rPr>
          <w:rStyle w:val="FootnoteReference"/>
        </w:rPr>
        <w:footnoteRef/>
      </w:r>
      <w:r>
        <w:t xml:space="preserve"> Conversion technologies transform halocarbons under a range of operating conditions, often at lower temperature than incineration, using specific reactants to achieve the conversion of ODS or HFCs (including conversion to saleable products like acids, vinyl monomer etc.).</w:t>
      </w:r>
    </w:p>
  </w:footnote>
  <w:footnote w:id="49">
    <w:p w14:paraId="503CB33E" w14:textId="77777777" w:rsidR="00992301" w:rsidRDefault="00992301" w:rsidP="0046583A">
      <w:pPr>
        <w:pStyle w:val="FootnoteText"/>
      </w:pPr>
      <w:r>
        <w:rPr>
          <w:rStyle w:val="FootnoteReference"/>
        </w:rPr>
        <w:footnoteRef/>
      </w:r>
      <w:r>
        <w:t xml:space="preserve"> The technology must demonstrate destruction on at least a pilot scale or demonstration scale, where the processing capacity is no less than 1.0 kg/hr of the substance to be destroyed, whether ODS/HFC or a suitable surrogate.</w:t>
      </w:r>
    </w:p>
  </w:footnote>
  <w:footnote w:id="50">
    <w:p w14:paraId="43B534A7" w14:textId="77777777" w:rsidR="00992301" w:rsidRDefault="00992301" w:rsidP="0046583A">
      <w:pPr>
        <w:pStyle w:val="FootnoteText"/>
      </w:pPr>
      <w:r>
        <w:rPr>
          <w:rStyle w:val="FootnoteReference"/>
        </w:rPr>
        <w:footnoteRef/>
      </w:r>
      <w:r>
        <w:t xml:space="preserve"> A range is acceptable.</w:t>
      </w:r>
    </w:p>
  </w:footnote>
  <w:footnote w:id="51">
    <w:p w14:paraId="19B1D06C" w14:textId="77777777" w:rsidR="00992301" w:rsidRDefault="00992301" w:rsidP="0046583A">
      <w:pPr>
        <w:pStyle w:val="FootnoteText"/>
      </w:pPr>
      <w:r>
        <w:rPr>
          <w:rStyle w:val="FootnoteReference"/>
        </w:rPr>
        <w:footnoteRef/>
      </w:r>
      <w:r>
        <w:t xml:space="preserve"> The specific dioxins/furans to be tested should be relevant to the halogenated species in the waste feed, e.g., chlorinated PCDD/PCDF for CFCs; fluorinated PFDD/PFDF for HFCs; brominated PBDD/PBDF for halons and methyl bromide; mixed halogenated species for mixed waste feeds. The analytical methods for chlorinated dioxins and furans are well established and widely available. Analytical capability for brominated species is also available. If brominated species analysis is not available, it is recommended that a chlorinated ODS or chlorinated recalcitrant organic substance is used to measure the dioxin/furan emissions. Under the same conditions, fluorinated dioxins/furans are less readily formed, allowing a chlorinated species to be used to establish dioxin/furan emissions if fluorinated species analysis is not available.</w:t>
      </w:r>
    </w:p>
  </w:footnote>
  <w:footnote w:id="52">
    <w:p w14:paraId="55958C56" w14:textId="77777777" w:rsidR="00992301" w:rsidRPr="001A3992" w:rsidRDefault="00992301" w:rsidP="0046583A">
      <w:pPr>
        <w:pStyle w:val="FootnoteText"/>
        <w:rPr>
          <w:lang w:val="en-AU"/>
        </w:rPr>
      </w:pPr>
      <w:r>
        <w:rPr>
          <w:rStyle w:val="FootnoteReference"/>
        </w:rPr>
        <w:footnoteRef/>
      </w:r>
      <w:r>
        <w:t xml:space="preserve"> A range is acceptable.</w:t>
      </w:r>
    </w:p>
  </w:footnote>
  <w:footnote w:id="53">
    <w:p w14:paraId="6535958F" w14:textId="77777777" w:rsidR="00992301" w:rsidRDefault="00992301" w:rsidP="0046583A">
      <w:pPr>
        <w:pStyle w:val="FootnoteText"/>
      </w:pPr>
      <w:r>
        <w:rPr>
          <w:rStyle w:val="FootnoteReference"/>
        </w:rPr>
        <w:footnoteRef/>
      </w:r>
      <w:r>
        <w:t xml:space="preserve"> The specific acid gases to be tested should be relevant to the halogenated species in the waste feed (e.g., HCl/Cl</w:t>
      </w:r>
      <w:r w:rsidRPr="00C52EA0">
        <w:rPr>
          <w:vertAlign w:val="subscript"/>
        </w:rPr>
        <w:t>2</w:t>
      </w:r>
      <w:r>
        <w:t xml:space="preserve"> and HF for CFCs), and mixed halogenated species tested for mixed waste streams.</w:t>
      </w:r>
    </w:p>
  </w:footnote>
  <w:footnote w:id="54">
    <w:p w14:paraId="53B77261" w14:textId="77777777" w:rsidR="00992301" w:rsidRPr="001A3992" w:rsidRDefault="00992301" w:rsidP="0046583A">
      <w:pPr>
        <w:pStyle w:val="FootnoteText"/>
        <w:rPr>
          <w:lang w:val="en-AU"/>
        </w:rPr>
      </w:pPr>
      <w:r>
        <w:rPr>
          <w:rStyle w:val="FootnoteReference"/>
        </w:rPr>
        <w:footnoteRef/>
      </w:r>
      <w:r>
        <w:t xml:space="preserve"> A range is acceptable.</w:t>
      </w:r>
    </w:p>
  </w:footnote>
  <w:footnote w:id="55">
    <w:p w14:paraId="3FABCE80" w14:textId="77777777" w:rsidR="00992301" w:rsidRPr="001A3992" w:rsidRDefault="00992301" w:rsidP="0046583A">
      <w:pPr>
        <w:pStyle w:val="FootnoteText"/>
        <w:rPr>
          <w:lang w:val="en-AU"/>
        </w:rPr>
      </w:pPr>
      <w:r>
        <w:rPr>
          <w:rStyle w:val="FootnoteReference"/>
        </w:rPr>
        <w:footnoteRef/>
      </w:r>
      <w:r>
        <w:t xml:space="preserve"> The specific acid gases to be tested should be relevant to the halogenated species in the waste feed (e.g., HCl/Cl</w:t>
      </w:r>
      <w:r w:rsidRPr="00C52EA0">
        <w:rPr>
          <w:vertAlign w:val="subscript"/>
        </w:rPr>
        <w:t>2</w:t>
      </w:r>
      <w:r>
        <w:t xml:space="preserve"> and HF for CFCs), and mixed halogenated species tested for mixed waste streams.</w:t>
      </w:r>
    </w:p>
  </w:footnote>
  <w:footnote w:id="56">
    <w:p w14:paraId="3D1DE77B" w14:textId="77777777" w:rsidR="00992301" w:rsidRDefault="00992301" w:rsidP="0046583A">
      <w:pPr>
        <w:pStyle w:val="FootnoteText"/>
      </w:pPr>
      <w:r>
        <w:rPr>
          <w:rStyle w:val="FootnoteReference"/>
        </w:rPr>
        <w:footnoteRef/>
      </w:r>
      <w:r>
        <w:t xml:space="preserve"> The 2002 Task Force on Destruction Technologies Report Appendix F: Sampling and Analytical Methods states ‘Note that in determining DREs, it is necessary to test both the input to a destruction technology and the exhaust gas stream.’</w:t>
      </w:r>
    </w:p>
  </w:footnote>
  <w:footnote w:id="57">
    <w:p w14:paraId="3F463180" w14:textId="77777777" w:rsidR="00992301" w:rsidRPr="001A3992" w:rsidRDefault="00992301" w:rsidP="0046583A">
      <w:pPr>
        <w:pStyle w:val="FootnoteText"/>
        <w:rPr>
          <w:lang w:val="en-AU"/>
        </w:rPr>
      </w:pPr>
      <w:r>
        <w:rPr>
          <w:rStyle w:val="FootnoteReference"/>
        </w:rPr>
        <w:footnoteRef/>
      </w:r>
      <w:r>
        <w:t xml:space="preserve"> The specific acid gases to be tested should be relevant to the halogenated species in the waste feed (e.g., HCl/Cl</w:t>
      </w:r>
      <w:r w:rsidRPr="00C52EA0">
        <w:rPr>
          <w:vertAlign w:val="subscript"/>
        </w:rPr>
        <w:t>2</w:t>
      </w:r>
      <w:r>
        <w:t xml:space="preserve"> and HF for CFCs), and mixed halogenated species tested for mixed waste streams.</w:t>
      </w:r>
    </w:p>
  </w:footnote>
  <w:footnote w:id="58">
    <w:p w14:paraId="02E5D0D9" w14:textId="77777777" w:rsidR="00992301" w:rsidRDefault="00992301" w:rsidP="0046583A">
      <w:pPr>
        <w:pStyle w:val="FootnoteText"/>
      </w:pPr>
      <w:r>
        <w:rPr>
          <w:rStyle w:val="FootnoteReference"/>
        </w:rPr>
        <w:footnoteRef/>
      </w:r>
      <w:r>
        <w:t xml:space="preserve"> </w:t>
      </w:r>
      <w:r>
        <w:rPr>
          <w:lang w:val="en-US"/>
        </w:rPr>
        <w:t xml:space="preserve">All concentrations of pollutants in stack gases and </w:t>
      </w:r>
      <w:r w:rsidRPr="006E4F62">
        <w:rPr>
          <w:lang w:val="en-US"/>
        </w:rPr>
        <w:t>stack gas flow</w:t>
      </w:r>
      <w:r>
        <w:rPr>
          <w:lang w:val="en-US"/>
        </w:rPr>
        <w:t xml:space="preserve"> rates are expressed based on dry gas at normal conditions of 0</w:t>
      </w:r>
      <w:r>
        <w:rPr>
          <w:vertAlign w:val="superscript"/>
          <w:lang w:val="en-US"/>
        </w:rPr>
        <w:t>o</w:t>
      </w:r>
      <w:r>
        <w:rPr>
          <w:lang w:val="en-US"/>
        </w:rPr>
        <w:t>C and 101.3 kPa, and with the stack gas corrected to 11% O</w:t>
      </w:r>
      <w:r>
        <w:rPr>
          <w:vertAlign w:val="subscript"/>
          <w:lang w:val="en-US"/>
        </w:rPr>
        <w:t xml:space="preserve">2 </w:t>
      </w:r>
      <w:r>
        <w:rPr>
          <w:lang w:val="en-US"/>
        </w:rPr>
        <w:t>(as referred to by normal cubic metre, Nm</w:t>
      </w:r>
      <w:r>
        <w:rPr>
          <w:vertAlign w:val="superscript"/>
          <w:lang w:val="en-US"/>
        </w:rPr>
        <w:t>3</w:t>
      </w:r>
      <w:r>
        <w:rPr>
          <w:lang w:val="en-US"/>
        </w:rPr>
        <w:t>).</w:t>
      </w:r>
      <w:r>
        <w:rPr>
          <w:rFonts w:ascii="MS Mincho" w:eastAsia="MS Mincho" w:hAnsi="MS Mincho" w:cs="MS Mincho" w:hint="eastAsia"/>
          <w:lang w:val="en-US"/>
        </w:rPr>
        <w:t> </w:t>
      </w:r>
      <w:r>
        <w:rPr>
          <w:rFonts w:eastAsia="MS Mincho"/>
          <w:lang w:val="en-US"/>
        </w:rPr>
        <w:t>Different stack gas conditions may apply in different countries for different technologies and so stack gas may need to be corrected to 11% O</w:t>
      </w:r>
      <w:r w:rsidRPr="00C52EA0">
        <w:rPr>
          <w:rFonts w:eastAsia="MS Mincho"/>
          <w:vertAlign w:val="subscript"/>
          <w:lang w:val="en-US"/>
        </w:rPr>
        <w:t>2</w:t>
      </w:r>
      <w:r>
        <w:rPr>
          <w:rFonts w:eastAsia="MS Mincho"/>
          <w:lang w:val="en-US"/>
        </w:rPr>
        <w:t>.</w:t>
      </w:r>
    </w:p>
  </w:footnote>
  <w:footnote w:id="59">
    <w:p w14:paraId="4589C409" w14:textId="77777777" w:rsidR="00992301" w:rsidRDefault="00992301" w:rsidP="0046583A">
      <w:pPr>
        <w:pStyle w:val="FootnoteText"/>
      </w:pPr>
      <w:r>
        <w:rPr>
          <w:rStyle w:val="FootnoteReference"/>
        </w:rPr>
        <w:footnoteRef/>
      </w:r>
      <w:r>
        <w:t xml:space="preserve"> A mass balance is an application of the conservation of mass to the analysis of physical systems associated with the process, by accounting for material entering and leaving the system and by which mass flows can be identified. This will also help identify if there are any leakages or losses in the system. </w:t>
      </w:r>
    </w:p>
  </w:footnote>
  <w:footnote w:id="60">
    <w:p w14:paraId="513277BF" w14:textId="77777777" w:rsidR="00992301" w:rsidRPr="00DE5FE1" w:rsidRDefault="00992301" w:rsidP="0046583A">
      <w:pPr>
        <w:pStyle w:val="FootnoteText"/>
        <w:rPr>
          <w:lang w:val="en-AU"/>
        </w:rPr>
      </w:pPr>
      <w:r>
        <w:rPr>
          <w:rStyle w:val="FootnoteReference"/>
        </w:rPr>
        <w:footnoteRef/>
      </w:r>
      <w:r>
        <w:t xml:space="preserve"> </w:t>
      </w:r>
      <w:r w:rsidRPr="00DE5FE1">
        <w:t>A</w:t>
      </w:r>
      <w:r>
        <w:t>stra</w:t>
      </w:r>
      <w:r w:rsidRPr="00DE5FE1">
        <w:t>Z</w:t>
      </w:r>
      <w:r>
        <w:t>eneca</w:t>
      </w:r>
      <w:r w:rsidRPr="00DE5FE1">
        <w:t xml:space="preserve"> announcement, January 2022: </w:t>
      </w:r>
      <w:hyperlink r:id="rId16" w:history="1">
        <w:r w:rsidRPr="00DE5FE1">
          <w:rPr>
            <w:rStyle w:val="Hyperlink"/>
          </w:rPr>
          <w:t>https://www.astrazeneca.com/media-centre/press-releases/2022/astrazeneca-progresses-ambition-zero-carbon-programme-with-honeywell-partnership-to-develop-next-generation-respiratory-inhalers.html</w:t>
        </w:r>
      </w:hyperlink>
    </w:p>
  </w:footnote>
  <w:footnote w:id="61">
    <w:p w14:paraId="1828A924" w14:textId="77777777" w:rsidR="00992301" w:rsidRPr="00DE5FE1" w:rsidRDefault="00992301" w:rsidP="0046583A">
      <w:pPr>
        <w:pStyle w:val="FootnoteText"/>
        <w:rPr>
          <w:lang w:val="en-AU"/>
        </w:rPr>
      </w:pPr>
      <w:r w:rsidRPr="00DE5FE1">
        <w:rPr>
          <w:rStyle w:val="FootnoteReference"/>
        </w:rPr>
        <w:footnoteRef/>
      </w:r>
      <w:r w:rsidRPr="00DE5FE1">
        <w:t xml:space="preserve"> Chiesi </w:t>
      </w:r>
      <w:r w:rsidRPr="005E5640">
        <w:t xml:space="preserve">Farmaceutici S.p.A </w:t>
      </w:r>
      <w:r w:rsidRPr="00DE5FE1">
        <w:t xml:space="preserve">announcement, December 2019: </w:t>
      </w:r>
      <w:hyperlink r:id="rId17" w:history="1">
        <w:r w:rsidRPr="00DE5FE1">
          <w:rPr>
            <w:rStyle w:val="Hyperlink"/>
          </w:rPr>
          <w:t>https://www.chiesi.com/en/chiesi-outlines-350-million-investment-and-announces-first-carbon-minimal-pressurised-metered-dose-inhaler-pmdi-for-asthma-and-copd/</w:t>
        </w:r>
      </w:hyperlink>
      <w:r>
        <w:rPr>
          <w:rStyle w:val="Hyperlink"/>
        </w:rPr>
        <w:t xml:space="preserve">; Chiesi announcement, January 2022: </w:t>
      </w:r>
      <w:r w:rsidRPr="00716519">
        <w:rPr>
          <w:rStyle w:val="Hyperlink"/>
        </w:rPr>
        <w:t>https://www.chiesi.com/en/the-way-towards-a-sustainable-and-resilient-healthcare/</w:t>
      </w:r>
      <w:r>
        <w:rPr>
          <w:rStyle w:val="Hyperlink"/>
        </w:rPr>
        <w:t>.</w:t>
      </w:r>
    </w:p>
  </w:footnote>
  <w:footnote w:id="62">
    <w:p w14:paraId="6AED79E1" w14:textId="77777777" w:rsidR="00992301" w:rsidRPr="00DE5FE1" w:rsidRDefault="00992301" w:rsidP="0046583A">
      <w:pPr>
        <w:pStyle w:val="FootnoteText"/>
        <w:rPr>
          <w:lang w:val="en-AU"/>
        </w:rPr>
      </w:pPr>
      <w:r w:rsidRPr="00DE5FE1">
        <w:rPr>
          <w:rStyle w:val="FootnoteReference"/>
        </w:rPr>
        <w:footnoteRef/>
      </w:r>
      <w:r w:rsidRPr="00DE5FE1">
        <w:t xml:space="preserve"> GSK announcement, September 2021: </w:t>
      </w:r>
      <w:hyperlink r:id="rId18" w:history="1">
        <w:r w:rsidRPr="00DE5FE1">
          <w:rPr>
            <w:rStyle w:val="Hyperlink"/>
          </w:rPr>
          <w:t>https://www.gsk.com/en-gb/media/press-releases/gsk-announces-major-renewable-energy-investment-and-low-carbon-inhaler-programme-alongside-life-sciences-sector-race-to-zero-breakthrough-at-nyc-climate-week/</w:t>
        </w:r>
      </w:hyperlink>
    </w:p>
  </w:footnote>
  <w:footnote w:id="63">
    <w:p w14:paraId="3369A899" w14:textId="77777777" w:rsidR="00992301" w:rsidRPr="00AE297B" w:rsidRDefault="00992301" w:rsidP="0046583A">
      <w:pPr>
        <w:pStyle w:val="FootnoteText"/>
        <w:rPr>
          <w:lang w:val="en-AU"/>
        </w:rPr>
      </w:pPr>
      <w:r>
        <w:rPr>
          <w:rStyle w:val="FootnoteReference"/>
        </w:rPr>
        <w:footnoteRef/>
      </w:r>
      <w:r>
        <w:t xml:space="preserve"> </w:t>
      </w:r>
      <w:r w:rsidRPr="007A1589">
        <w:t>Panigone S, Sandri F, Ferri R, Ferri</w:t>
      </w:r>
      <w:r>
        <w:t xml:space="preserve"> R</w:t>
      </w:r>
      <w:r w:rsidRPr="007A1589">
        <w:t>, Volpato</w:t>
      </w:r>
      <w:r>
        <w:t xml:space="preserve"> A</w:t>
      </w:r>
      <w:r w:rsidRPr="007A1589">
        <w:t>, Nudo</w:t>
      </w:r>
      <w:r>
        <w:t xml:space="preserve"> E,</w:t>
      </w:r>
      <w:r w:rsidRPr="007A1589">
        <w:t xml:space="preserve"> Nicolini</w:t>
      </w:r>
      <w:r>
        <w:t xml:space="preserve"> G,</w:t>
      </w:r>
      <w:r w:rsidRPr="007A1589">
        <w:t xml:space="preserve"> Environmental impact of inhalers for respiratory diseases: decreasing the carbon footprint while preserving patient-tailored treatment</w:t>
      </w:r>
      <w:r>
        <w:t>,</w:t>
      </w:r>
      <w:r w:rsidRPr="007A1589">
        <w:t xml:space="preserve"> </w:t>
      </w:r>
      <w:r w:rsidRPr="00AE297B">
        <w:rPr>
          <w:i/>
          <w:iCs/>
        </w:rPr>
        <w:t>BMJ Open Respiratory Research</w:t>
      </w:r>
      <w:r>
        <w:t xml:space="preserve">, </w:t>
      </w:r>
      <w:r w:rsidRPr="007A1589">
        <w:t>2020</w:t>
      </w:r>
      <w:r>
        <w:t>;</w:t>
      </w:r>
      <w:r w:rsidRPr="007A1589">
        <w:t>7:e000571. doi: 10.1136/bmjresp-2020-000571</w:t>
      </w:r>
      <w:r>
        <w:t>.</w:t>
      </w:r>
    </w:p>
  </w:footnote>
  <w:footnote w:id="64">
    <w:p w14:paraId="7775B2CC" w14:textId="77777777" w:rsidR="00992301" w:rsidRPr="00DE5FE1" w:rsidRDefault="00992301" w:rsidP="0046583A">
      <w:pPr>
        <w:pStyle w:val="FootnoteText"/>
        <w:rPr>
          <w:lang w:val="en-AU"/>
        </w:rPr>
      </w:pPr>
      <w:r w:rsidRPr="00DE5FE1">
        <w:rPr>
          <w:rStyle w:val="FootnoteReference"/>
        </w:rPr>
        <w:footnoteRef/>
      </w:r>
      <w:r w:rsidRPr="00DE5FE1">
        <w:t xml:space="preserve"> Kindeva announcement February 2022: </w:t>
      </w:r>
      <w:hyperlink r:id="rId19" w:history="1">
        <w:r w:rsidRPr="00DE5FE1">
          <w:rPr>
            <w:rStyle w:val="Hyperlink"/>
          </w:rPr>
          <w:t>https://www.kindevadd.com/news/kindeva-drug-delivery-to-manufacture-new-greener-inhalers-at-uk-manufacturing-site-to-help-cut-carbon-emissions/</w:t>
        </w:r>
      </w:hyperlink>
      <w:r w:rsidRPr="00DE5FE1">
        <w:t xml:space="preserve"> </w:t>
      </w:r>
    </w:p>
  </w:footnote>
  <w:footnote w:id="65">
    <w:p w14:paraId="7959254E" w14:textId="77777777" w:rsidR="00992301" w:rsidRPr="00DE5FE1" w:rsidRDefault="00992301" w:rsidP="0046583A">
      <w:pPr>
        <w:pStyle w:val="FootnoteText"/>
        <w:rPr>
          <w:lang w:val="en-AU"/>
        </w:rPr>
      </w:pPr>
      <w:r w:rsidRPr="00DE5FE1">
        <w:rPr>
          <w:rStyle w:val="FootnoteReference"/>
        </w:rPr>
        <w:footnoteRef/>
      </w:r>
      <w:r w:rsidRPr="00DE5FE1">
        <w:t xml:space="preserve"> Stuart Corr, Koura UK, HFA-152a as a Sustainable pMDI Propellant, </w:t>
      </w:r>
      <w:r w:rsidRPr="00DE5FE1">
        <w:rPr>
          <w:i/>
          <w:iCs/>
        </w:rPr>
        <w:t>Respiratory Drug Delivery 2020</w:t>
      </w:r>
      <w:r w:rsidRPr="00DE5FE1">
        <w:t>, https://www.zephex.com/wp-content/uploads/2020/07/Corr-2020-1.pdf</w:t>
      </w:r>
    </w:p>
  </w:footnote>
  <w:footnote w:id="66">
    <w:p w14:paraId="6BF9226F" w14:textId="77777777" w:rsidR="00992301" w:rsidRPr="001A5DCB" w:rsidRDefault="00992301" w:rsidP="0046583A">
      <w:pPr>
        <w:pStyle w:val="FootnoteText"/>
        <w:rPr>
          <w:lang w:val="en-AU"/>
        </w:rPr>
      </w:pPr>
      <w:r>
        <w:rPr>
          <w:rStyle w:val="FootnoteReference"/>
        </w:rPr>
        <w:footnoteRef/>
      </w:r>
      <w:r>
        <w:t xml:space="preserve"> </w:t>
      </w:r>
      <w:r w:rsidRPr="001A5DCB">
        <w:t>https://www.astrazeneca.com/content/astraz/media-centre/press-releases/2022/astrazeneca-progresses-ambition-zero-carbon-programme-with-honeywell-partnership-to-develop-next-generation-respiratory-inhalers.html</w:t>
      </w:r>
    </w:p>
  </w:footnote>
  <w:footnote w:id="67">
    <w:p w14:paraId="4FAAFB54" w14:textId="77777777" w:rsidR="00992301" w:rsidRPr="00DE5FE1" w:rsidRDefault="00992301" w:rsidP="0046583A">
      <w:pPr>
        <w:pStyle w:val="FootnoteText"/>
        <w:rPr>
          <w:lang w:val="en-AU"/>
        </w:rPr>
      </w:pPr>
      <w:r w:rsidRPr="00DE5FE1">
        <w:rPr>
          <w:rStyle w:val="FootnoteReference"/>
        </w:rPr>
        <w:footnoteRef/>
      </w:r>
      <w:r w:rsidRPr="00DE5FE1">
        <w:t xml:space="preserve"> Koura opens world’s first HFA 152a medical propellant production facility</w:t>
      </w:r>
      <w:r>
        <w:t xml:space="preserve">, </w:t>
      </w:r>
      <w:hyperlink r:id="rId20" w:history="1">
        <w:r w:rsidRPr="008A7B0B">
          <w:rPr>
            <w:rStyle w:val="Hyperlink"/>
          </w:rPr>
          <w:t>https://www.kouraglobal.com/5899/</w:t>
        </w:r>
      </w:hyperlink>
      <w:r>
        <w:t>, 31 March 2022. Accessed April 2022.</w:t>
      </w:r>
    </w:p>
  </w:footnote>
  <w:footnote w:id="68">
    <w:p w14:paraId="6D789ADB" w14:textId="77777777" w:rsidR="00992301" w:rsidRPr="003B0E74" w:rsidRDefault="00992301" w:rsidP="0046583A">
      <w:pPr>
        <w:pStyle w:val="FootnoteText"/>
        <w:rPr>
          <w:lang w:val="en-AU"/>
        </w:rPr>
      </w:pPr>
      <w:r>
        <w:rPr>
          <w:rStyle w:val="FootnoteReference"/>
        </w:rPr>
        <w:footnoteRef/>
      </w:r>
      <w:r>
        <w:t xml:space="preserve"> </w:t>
      </w:r>
      <w:r w:rsidRPr="008C13C6">
        <w:t>Woodcock A, Beeh KM, Sagara H, Aumônier S, Addo-Yobo E, Khan J, Vestbo J, Tope H</w:t>
      </w:r>
      <w:r>
        <w:t xml:space="preserve">, </w:t>
      </w:r>
      <w:r w:rsidRPr="008C13C6">
        <w:t>The environmental impact of inhaled therapy: making informed treatment choices</w:t>
      </w:r>
      <w:r>
        <w:t>,</w:t>
      </w:r>
      <w:r w:rsidRPr="008C13C6">
        <w:t xml:space="preserve"> </w:t>
      </w:r>
      <w:r w:rsidRPr="003B0E74">
        <w:rPr>
          <w:i/>
          <w:iCs/>
        </w:rPr>
        <w:t>Eur Respir J.</w:t>
      </w:r>
      <w:r>
        <w:t xml:space="preserve">, </w:t>
      </w:r>
      <w:r w:rsidRPr="008C13C6">
        <w:t>2021</w:t>
      </w:r>
      <w:r>
        <w:t>,</w:t>
      </w:r>
      <w:r w:rsidRPr="008C13C6">
        <w:t xml:space="preserve"> Dec 16:2102106. doi: 10.1183/13993003.02106-2021. Epub ahead of print. PMID: 34916263.</w:t>
      </w:r>
    </w:p>
  </w:footnote>
  <w:footnote w:id="69">
    <w:p w14:paraId="79BD99E7" w14:textId="77777777" w:rsidR="00992301" w:rsidRPr="0055779F" w:rsidRDefault="00992301" w:rsidP="005C5E68">
      <w:pPr>
        <w:pStyle w:val="Heading2"/>
        <w:rPr>
          <w:lang w:eastAsia="en-US"/>
        </w:rPr>
      </w:pPr>
      <w:r w:rsidRPr="0055779F">
        <w:rPr>
          <w:rStyle w:val="FootnoteReference"/>
          <w:rFonts w:cs="Times New Roman"/>
          <w:sz w:val="18"/>
          <w:szCs w:val="18"/>
        </w:rPr>
        <w:footnoteRef/>
      </w:r>
      <w:r w:rsidRPr="0055779F">
        <w:t xml:space="preserve"> </w:t>
      </w:r>
      <w:r w:rsidRPr="003C4EB0">
        <w:t>Household and similar electrical appliances - Safety - Part 2-40: Particular requirements for electrical heat pumps, air-conditioners and dehumidifiers</w:t>
      </w:r>
    </w:p>
    <w:p w14:paraId="79C61F90" w14:textId="77777777" w:rsidR="00992301" w:rsidRPr="0089071F" w:rsidRDefault="00992301" w:rsidP="002358C2">
      <w:pPr>
        <w:pStyle w:val="FootnoteText"/>
        <w:rPr>
          <w:lang w:val="en-US"/>
        </w:rPr>
      </w:pPr>
    </w:p>
  </w:footnote>
  <w:footnote w:id="70">
    <w:p w14:paraId="2C18F359" w14:textId="77777777" w:rsidR="00992301" w:rsidRPr="00170575" w:rsidRDefault="00992301" w:rsidP="00F83506">
      <w:pPr>
        <w:pStyle w:val="FootnoteText"/>
      </w:pPr>
      <w:r>
        <w:rPr>
          <w:rStyle w:val="FootnoteReference"/>
        </w:rPr>
        <w:footnoteRef/>
      </w:r>
      <w:r>
        <w:t xml:space="preserve"> </w:t>
      </w:r>
      <w:r w:rsidRPr="00C8433A">
        <w:t>https://ozone.unep.org/science/assessment/teap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3D58D" w14:textId="07292088" w:rsidR="00992301" w:rsidRDefault="00992301">
    <w:pPr>
      <w:pStyle w:val="Header"/>
    </w:pPr>
    <w:r>
      <w:rPr>
        <w:noProof/>
        <w:lang w:eastAsia="en-GB"/>
      </w:rPr>
      <mc:AlternateContent>
        <mc:Choice Requires="wps">
          <w:drawing>
            <wp:anchor distT="0" distB="0" distL="114300" distR="114300" simplePos="0" relativeHeight="251661312" behindDoc="1" locked="0" layoutInCell="0" allowOverlap="1" wp14:anchorId="155482B1" wp14:editId="6626829C">
              <wp:simplePos x="0" y="0"/>
              <wp:positionH relativeFrom="margin">
                <wp:align>center</wp:align>
              </wp:positionH>
              <wp:positionV relativeFrom="margin">
                <wp:align>center</wp:align>
              </wp:positionV>
              <wp:extent cx="6631940" cy="1104900"/>
              <wp:effectExtent l="0" t="0" r="0" b="0"/>
              <wp:wrapNone/>
              <wp:docPr id="2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5F6B0F43"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55482B1" id="_x0000_t202" coordsize="21600,21600" o:spt="202" path="m,l,21600r21600,l21600,xe">
              <v:stroke joinstyle="miter"/>
              <v:path gradientshapeok="t" o:connecttype="rect"/>
            </v:shapetype>
            <v:shape id="WordArt 2" o:spid="_x0000_s1036" type="#_x0000_t202" style="position:absolute;margin-left:0;margin-top:0;width:522.2pt;height:87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" o:allowincell="f" filled="f" stroked="f">
              <v:textbox>
                <w:txbxContent>
                  <w:p w14:paraId="5F6B0F43"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906A" w14:textId="54C64246" w:rsidR="00992301" w:rsidRDefault="0099230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F689E" w14:textId="54E96D24" w:rsidR="00992301" w:rsidRPr="007B7749" w:rsidRDefault="00992301" w:rsidP="00C86F2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E5BD0" w14:textId="25F57640" w:rsidR="00992301" w:rsidRDefault="0099230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19C61" w14:textId="7BD22C5F" w:rsidR="00992301" w:rsidRDefault="00992301">
    <w:pPr>
      <w:pStyle w:val="Header"/>
      <w:jc w:val="right"/>
    </w:pPr>
    <w:r>
      <w:rPr>
        <w:noProof/>
        <w:lang w:eastAsia="en-GB"/>
      </w:rPr>
      <mc:AlternateContent>
        <mc:Choice Requires="wps">
          <w:drawing>
            <wp:anchor distT="0" distB="0" distL="114300" distR="114300" simplePos="0" relativeHeight="251659264" behindDoc="1" locked="0" layoutInCell="0" allowOverlap="1" wp14:anchorId="50BF45E0" wp14:editId="54E88534">
              <wp:simplePos x="0" y="0"/>
              <wp:positionH relativeFrom="margin">
                <wp:align>center</wp:align>
              </wp:positionH>
              <wp:positionV relativeFrom="margin">
                <wp:align>center</wp:align>
              </wp:positionV>
              <wp:extent cx="6631940" cy="1104900"/>
              <wp:effectExtent l="0" t="0" r="0" b="0"/>
              <wp:wrapNone/>
              <wp:docPr id="20"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14EFEF84"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0BF45E0" id="_x0000_t202" coordsize="21600,21600" o:spt="202" path="m,l,21600r21600,l21600,xe">
              <v:stroke joinstyle="miter"/>
              <v:path gradientshapeok="t" o:connecttype="rect"/>
            </v:shapetype>
            <v:shape id="WordArt 17" o:spid="_x0000_s1041" type="#_x0000_t202" style="position:absolute;left:0;text-align:left;margin-left:0;margin-top:0;width:522.2pt;height:87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DCdoP+&#10;2AEAAJADAAAOAAAAAAAAAAAAAAAAAC4CAABkcnMvZTJvRG9jLnhtbFBLAQItABQABgAIAAAAIQB6&#10;Ti0D3QAAAAYBAAAPAAAAAAAAAAAAAAAAADIEAABkcnMvZG93bnJldi54bWxQSwUGAAAAAAQABADz&#10;AAAAPAUAAAAA&#10;" o:allowincell="f" filled="f" stroked="f">
              <v:textbox>
                <w:txbxContent>
                  <w:p w14:paraId="14EFEF84"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r>
      <w:rPr>
        <w:sz w:val="20"/>
        <w:lang w:val="en-US"/>
      </w:rPr>
      <w:t>Annex II: Major Chemical Formulae and Nomenclature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0B607" w14:textId="48FD4560" w:rsidR="00992301" w:rsidRDefault="00992301">
    <w:pPr>
      <w:pStyle w:val="Header"/>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981CC" w14:textId="1A0CE5A2" w:rsidR="00992301" w:rsidRDefault="00992301">
    <w:pPr>
      <w:pStyle w:val="Header"/>
    </w:pPr>
    <w:r>
      <w:rPr>
        <w:noProof/>
        <w:lang w:eastAsia="en-GB"/>
      </w:rPr>
      <mc:AlternateContent>
        <mc:Choice Requires="wps">
          <w:drawing>
            <wp:anchor distT="0" distB="0" distL="114300" distR="114300" simplePos="0" relativeHeight="251658240" behindDoc="1" locked="0" layoutInCell="0" allowOverlap="1" wp14:anchorId="774B0C21" wp14:editId="151D51F1">
              <wp:simplePos x="0" y="0"/>
              <wp:positionH relativeFrom="margin">
                <wp:align>center</wp:align>
              </wp:positionH>
              <wp:positionV relativeFrom="margin">
                <wp:align>center</wp:align>
              </wp:positionV>
              <wp:extent cx="6631940" cy="1104900"/>
              <wp:effectExtent l="0" t="0" r="0" b="0"/>
              <wp:wrapNone/>
              <wp:docPr id="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30FE15B9"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774B0C21" id="_x0000_t202" coordsize="21600,21600" o:spt="202" path="m,l,21600r21600,l21600,xe">
              <v:stroke joinstyle="miter"/>
              <v:path gradientshapeok="t" o:connecttype="rect"/>
            </v:shapetype>
            <v:shape id="WordArt 16" o:spid="_x0000_s1042" type="#_x0000_t202" style="position:absolute;margin-left:0;margin-top:0;width:522.2pt;height:87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" o:allowincell="f" filled="f" stroked="f">
              <v:textbox>
                <w:txbxContent>
                  <w:p w14:paraId="30FE15B9"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9BF7D" w14:textId="478A1714" w:rsidR="00992301" w:rsidRDefault="0099230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B63F5" w14:textId="17A44172" w:rsidR="00992301" w:rsidRPr="00E82F5D" w:rsidRDefault="00992301" w:rsidP="002309E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94245" w14:textId="375B604C" w:rsidR="00992301" w:rsidRDefault="009923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AB16F" w14:textId="4FD1A9DE" w:rsidR="00AC1C09" w:rsidRDefault="00AC1C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7803" w14:textId="588BD2F7" w:rsidR="00AC1C09" w:rsidRDefault="00AC1C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28A93" w14:textId="77777777" w:rsidR="002C0D7B" w:rsidRDefault="002C0D7B">
    <w:pPr>
      <w:pStyle w:val="Header"/>
    </w:pPr>
    <w:r>
      <w:rPr>
        <w:noProof/>
        <w:lang w:eastAsia="en-GB"/>
      </w:rPr>
      <mc:AlternateContent>
        <mc:Choice Requires="wps">
          <w:drawing>
            <wp:anchor distT="0" distB="0" distL="114300" distR="114300" simplePos="0" relativeHeight="251664384" behindDoc="1" locked="0" layoutInCell="0" allowOverlap="1" wp14:anchorId="27DD65D7" wp14:editId="7398A485">
              <wp:simplePos x="0" y="0"/>
              <wp:positionH relativeFrom="margin">
                <wp:align>center</wp:align>
              </wp:positionH>
              <wp:positionV relativeFrom="margin">
                <wp:align>center</wp:align>
              </wp:positionV>
              <wp:extent cx="6631940" cy="1104900"/>
              <wp:effectExtent l="0" t="0" r="0" b="0"/>
              <wp:wrapNone/>
              <wp:docPr id="2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210598CB" w14:textId="77777777" w:rsidR="002C0D7B" w:rsidRDefault="002C0D7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7DD65D7" id="_x0000_t202" coordsize="21600,21600" o:spt="202" path="m,l,21600r21600,l21600,xe">
              <v:stroke joinstyle="miter"/>
              <v:path gradientshapeok="t" o:connecttype="rect"/>
            </v:shapetype>
            <v:shape id="WordArt 8" o:spid="_x0000_s1037" type="#_x0000_t202" style="position:absolute;margin-left:0;margin-top:0;width:522.2pt;height:87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Bv57S6&#10;2AEAAJADAAAOAAAAAAAAAAAAAAAAAC4CAABkcnMvZTJvRG9jLnhtbFBLAQItABQABgAIAAAAIQB6&#10;Ti0D3QAAAAYBAAAPAAAAAAAAAAAAAAAAADIEAABkcnMvZG93bnJldi54bWxQSwUGAAAAAAQABADz&#10;AAAAPAUAAAAA&#10;" o:allowincell="f" filled="f" stroked="f">
              <v:textbox>
                <w:txbxContent>
                  <w:p w14:paraId="210598CB" w14:textId="77777777" w:rsidR="002C0D7B" w:rsidRDefault="002C0D7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35BA8" w14:textId="77777777" w:rsidR="002C0D7B" w:rsidRDefault="002C0D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C8DD2" w14:textId="77777777" w:rsidR="002C0D7B" w:rsidRDefault="002C0D7B">
    <w:pPr>
      <w:pStyle w:val="Header"/>
    </w:pPr>
    <w:r>
      <w:rPr>
        <w:noProof/>
        <w:lang w:eastAsia="en-GB"/>
      </w:rPr>
      <mc:AlternateContent>
        <mc:Choice Requires="wps">
          <w:drawing>
            <wp:anchor distT="0" distB="0" distL="114300" distR="114300" simplePos="0" relativeHeight="251663360" behindDoc="1" locked="0" layoutInCell="0" allowOverlap="1" wp14:anchorId="41EC8418" wp14:editId="29945746">
              <wp:simplePos x="0" y="0"/>
              <wp:positionH relativeFrom="margin">
                <wp:align>center</wp:align>
              </wp:positionH>
              <wp:positionV relativeFrom="margin">
                <wp:align>center</wp:align>
              </wp:positionV>
              <wp:extent cx="6631940" cy="1104900"/>
              <wp:effectExtent l="0" t="0" r="0" b="0"/>
              <wp:wrapNone/>
              <wp:docPr id="23"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6EC35EA3" w14:textId="77777777" w:rsidR="002C0D7B" w:rsidRDefault="002C0D7B"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1EC8418" id="_x0000_t202" coordsize="21600,21600" o:spt="202" path="m,l,21600r21600,l21600,xe">
              <v:stroke joinstyle="miter"/>
              <v:path gradientshapeok="t" o:connecttype="rect"/>
            </v:shapetype>
            <v:shape id="WordArt 7" o:spid="_x0000_s1038" type="#_x0000_t202" style="position:absolute;margin-left:0;margin-top:0;width:522.2pt;height:87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" o:allowincell="f" filled="f" stroked="f">
              <v:textbox>
                <w:txbxContent>
                  <w:p w14:paraId="6EC35EA3" w14:textId="77777777" w:rsidR="002C0D7B" w:rsidRDefault="002C0D7B"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916BF" w14:textId="0439F6FD" w:rsidR="00992301" w:rsidRDefault="00992301">
    <w:pPr>
      <w:pStyle w:val="Header"/>
      <w:jc w:val="right"/>
    </w:pPr>
    <w:r>
      <w:rPr>
        <w:noProof/>
        <w:lang w:eastAsia="en-GB"/>
      </w:rPr>
      <mc:AlternateContent>
        <mc:Choice Requires="wps">
          <w:drawing>
            <wp:anchor distT="0" distB="0" distL="114300" distR="114300" simplePos="0" relativeHeight="251654144" behindDoc="1" locked="0" layoutInCell="0" allowOverlap="1" wp14:anchorId="52FFA53D" wp14:editId="3472F272">
              <wp:simplePos x="0" y="0"/>
              <wp:positionH relativeFrom="margin">
                <wp:align>center</wp:align>
              </wp:positionH>
              <wp:positionV relativeFrom="margin">
                <wp:align>center</wp:align>
              </wp:positionV>
              <wp:extent cx="6631940" cy="1104900"/>
              <wp:effectExtent l="0" t="0" r="0" b="0"/>
              <wp:wrapNone/>
              <wp:docPr id="22"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102528B9"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2FFA53D" id="_x0000_t202" coordsize="21600,21600" o:spt="202" path="m,l,21600r21600,l21600,xe">
              <v:stroke joinstyle="miter"/>
              <v:path gradientshapeok="t" o:connecttype="rect"/>
            </v:shapetype>
            <v:shape id="WordArt 11" o:spid="_x0000_s1039" type="#_x0000_t202" style="position:absolute;left:0;text-align:left;margin-left:0;margin-top:0;width:522.2pt;height:87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D7u3Xl&#10;2AEAAJADAAAOAAAAAAAAAAAAAAAAAC4CAABkcnMvZTJvRG9jLnhtbFBLAQItABQABgAIAAAAIQB6&#10;Ti0D3QAAAAYBAAAPAAAAAAAAAAAAAAAAADIEAABkcnMvZG93bnJldi54bWxQSwUGAAAAAAQABADz&#10;AAAAPAUAAAAA&#10;" o:allowincell="f" filled="f" stroked="f">
              <v:textbox>
                <w:txbxContent>
                  <w:p w14:paraId="102528B9"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r>
      <w:rPr>
        <w:sz w:val="20"/>
      </w:rPr>
      <w:t>Annex II: Major Chemical Formulae and Nomenclature</w:t>
    </w:r>
  </w:p>
  <w:p w14:paraId="2C7A83E4" w14:textId="77777777" w:rsidR="00992301" w:rsidRDefault="0099230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5D227" w14:textId="3EC4FB9C" w:rsidR="00992301" w:rsidRDefault="0099230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5885" w14:textId="19343DF7" w:rsidR="00992301" w:rsidRDefault="00992301">
    <w:pPr>
      <w:pStyle w:val="Header"/>
    </w:pPr>
    <w:r>
      <w:rPr>
        <w:noProof/>
        <w:lang w:eastAsia="en-GB"/>
      </w:rPr>
      <mc:AlternateContent>
        <mc:Choice Requires="wps">
          <w:drawing>
            <wp:anchor distT="0" distB="0" distL="114300" distR="114300" simplePos="0" relativeHeight="251653120" behindDoc="1" locked="0" layoutInCell="0" allowOverlap="1" wp14:anchorId="38CBDEB9" wp14:editId="002C3AD9">
              <wp:simplePos x="0" y="0"/>
              <wp:positionH relativeFrom="margin">
                <wp:align>center</wp:align>
              </wp:positionH>
              <wp:positionV relativeFrom="margin">
                <wp:align>center</wp:align>
              </wp:positionV>
              <wp:extent cx="6631940" cy="1104900"/>
              <wp:effectExtent l="0" t="0" r="0" b="0"/>
              <wp:wrapNone/>
              <wp:docPr id="2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31940" cy="1104900"/>
                      </a:xfrm>
                      <a:prstGeom prst="rect">
                        <a:avLst/>
                      </a:prstGeom>
                    </wps:spPr>
                    <wps:txbx>
                      <w:txbxContent>
                        <w:p w14:paraId="6C5EF192"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8CBDEB9" id="_x0000_t202" coordsize="21600,21600" o:spt="202" path="m,l,21600r21600,l21600,xe">
              <v:stroke joinstyle="miter"/>
              <v:path gradientshapeok="t" o:connecttype="rect"/>
            </v:shapetype>
            <v:shape id="WordArt 10" o:spid="_x0000_s1040" type="#_x0000_t202" style="position:absolute;margin-left:0;margin-top:0;width:522.2pt;height:87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" o:allowincell="f" filled="f" stroked="f">
              <v:textbox>
                <w:txbxContent>
                  <w:p w14:paraId="6C5EF192" w14:textId="77777777" w:rsidR="00992301" w:rsidRDefault="00992301" w:rsidP="007D5FE8">
                    <w:pPr>
                      <w:pStyle w:val="NormalWeb"/>
                      <w:spacing w:before="0" w:after="0"/>
                      <w:jc w:val="center"/>
                      <w:rPr>
                        <w:sz w:val="24"/>
                        <w:szCs w:val="24"/>
                      </w:rPr>
                    </w:pPr>
                    <w:r w:rsidRPr="002B45FD">
                      <w:rPr>
                        <w:color w:val="C0C0C0"/>
                        <w:sz w:val="16"/>
                        <w:szCs w:val="16"/>
                      </w:rPr>
                      <w:t>ADVANCE COPY</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DB8ACA6"/>
    <w:lvl w:ilvl="0">
      <w:start w:val="1"/>
      <w:numFmt w:val="decimal"/>
      <w:pStyle w:val="ListNumber5"/>
      <w:lvlText w:val="%1."/>
      <w:lvlJc w:val="left"/>
      <w:pPr>
        <w:tabs>
          <w:tab w:val="num" w:pos="1492"/>
        </w:tabs>
        <w:ind w:left="1492" w:hanging="360"/>
      </w:pPr>
    </w:lvl>
  </w:abstractNum>
  <w:abstractNum w:abstractNumId="1"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2" w15:restartNumberingAfterBreak="0">
    <w:nsid w:val="02FE0AFE"/>
    <w:multiLevelType w:val="hybridMultilevel"/>
    <w:tmpl w:val="C6BCA4A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03213B4E"/>
    <w:multiLevelType w:val="hybridMultilevel"/>
    <w:tmpl w:val="A20AD7F4"/>
    <w:lvl w:ilvl="0" w:tplc="22B4DCC6">
      <w:start w:val="1"/>
      <w:numFmt w:val="bullet"/>
      <w:pStyle w:val="Bullet"/>
      <w:lvlText w:val="•"/>
      <w:lvlJc w:val="left"/>
      <w:pPr>
        <w:tabs>
          <w:tab w:val="num" w:pos="1437"/>
        </w:tabs>
        <w:ind w:left="1437" w:hanging="360"/>
      </w:pPr>
      <w:rPr>
        <w:rFonts w:ascii="Times New Roman" w:hAnsi="Times New Roman" w:hint="default"/>
      </w:rPr>
    </w:lvl>
    <w:lvl w:ilvl="1" w:tplc="21A8863A" w:tentative="1">
      <w:start w:val="1"/>
      <w:numFmt w:val="bullet"/>
      <w:lvlText w:val="o"/>
      <w:lvlJc w:val="left"/>
      <w:pPr>
        <w:tabs>
          <w:tab w:val="num" w:pos="1440"/>
        </w:tabs>
        <w:ind w:left="1440" w:hanging="360"/>
      </w:pPr>
      <w:rPr>
        <w:rFonts w:ascii="Courier New" w:hAnsi="Courier New" w:hint="default"/>
      </w:rPr>
    </w:lvl>
    <w:lvl w:ilvl="2" w:tplc="CB0C0A2A" w:tentative="1">
      <w:start w:val="1"/>
      <w:numFmt w:val="bullet"/>
      <w:pStyle w:val="SimonUberschrift"/>
      <w:lvlText w:val=""/>
      <w:lvlJc w:val="left"/>
      <w:pPr>
        <w:tabs>
          <w:tab w:val="num" w:pos="2160"/>
        </w:tabs>
        <w:ind w:left="2160" w:hanging="360"/>
      </w:pPr>
      <w:rPr>
        <w:rFonts w:ascii="Wingdings" w:hAnsi="Wingdings" w:hint="default"/>
      </w:rPr>
    </w:lvl>
    <w:lvl w:ilvl="3" w:tplc="545A6888" w:tentative="1">
      <w:start w:val="1"/>
      <w:numFmt w:val="bullet"/>
      <w:lvlText w:val=""/>
      <w:lvlJc w:val="left"/>
      <w:pPr>
        <w:tabs>
          <w:tab w:val="num" w:pos="2880"/>
        </w:tabs>
        <w:ind w:left="2880" w:hanging="360"/>
      </w:pPr>
      <w:rPr>
        <w:rFonts w:ascii="Symbol" w:hAnsi="Symbol" w:hint="default"/>
      </w:rPr>
    </w:lvl>
    <w:lvl w:ilvl="4" w:tplc="918E681E" w:tentative="1">
      <w:start w:val="1"/>
      <w:numFmt w:val="bullet"/>
      <w:lvlText w:val="o"/>
      <w:lvlJc w:val="left"/>
      <w:pPr>
        <w:tabs>
          <w:tab w:val="num" w:pos="3600"/>
        </w:tabs>
        <w:ind w:left="3600" w:hanging="360"/>
      </w:pPr>
      <w:rPr>
        <w:rFonts w:ascii="Courier New" w:hAnsi="Courier New" w:hint="default"/>
      </w:rPr>
    </w:lvl>
    <w:lvl w:ilvl="5" w:tplc="D3AE3642" w:tentative="1">
      <w:start w:val="1"/>
      <w:numFmt w:val="bullet"/>
      <w:lvlText w:val=""/>
      <w:lvlJc w:val="left"/>
      <w:pPr>
        <w:tabs>
          <w:tab w:val="num" w:pos="4320"/>
        </w:tabs>
        <w:ind w:left="4320" w:hanging="360"/>
      </w:pPr>
      <w:rPr>
        <w:rFonts w:ascii="Wingdings" w:hAnsi="Wingdings" w:hint="default"/>
      </w:rPr>
    </w:lvl>
    <w:lvl w:ilvl="6" w:tplc="DE26FADC" w:tentative="1">
      <w:start w:val="1"/>
      <w:numFmt w:val="bullet"/>
      <w:lvlText w:val=""/>
      <w:lvlJc w:val="left"/>
      <w:pPr>
        <w:tabs>
          <w:tab w:val="num" w:pos="5040"/>
        </w:tabs>
        <w:ind w:left="5040" w:hanging="360"/>
      </w:pPr>
      <w:rPr>
        <w:rFonts w:ascii="Symbol" w:hAnsi="Symbol" w:hint="default"/>
      </w:rPr>
    </w:lvl>
    <w:lvl w:ilvl="7" w:tplc="73FE358C" w:tentative="1">
      <w:start w:val="1"/>
      <w:numFmt w:val="bullet"/>
      <w:lvlText w:val="o"/>
      <w:lvlJc w:val="left"/>
      <w:pPr>
        <w:tabs>
          <w:tab w:val="num" w:pos="5760"/>
        </w:tabs>
        <w:ind w:left="5760" w:hanging="360"/>
      </w:pPr>
      <w:rPr>
        <w:rFonts w:ascii="Courier New" w:hAnsi="Courier New" w:hint="default"/>
      </w:rPr>
    </w:lvl>
    <w:lvl w:ilvl="8" w:tplc="AE2C729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965050"/>
    <w:multiLevelType w:val="multilevel"/>
    <w:tmpl w:val="B7E6A91E"/>
    <w:lvl w:ilvl="0">
      <w:start w:val="1"/>
      <w:numFmt w:val="lowerLetter"/>
      <w:pStyle w:val="BulletsinTable"/>
      <w:lvlText w:val="(%1)"/>
      <w:lvlJc w:val="left"/>
      <w:pPr>
        <w:tabs>
          <w:tab w:val="num" w:pos="539"/>
        </w:tabs>
        <w:ind w:left="539" w:hanging="539"/>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4642420"/>
    <w:multiLevelType w:val="hybridMultilevel"/>
    <w:tmpl w:val="24A09A12"/>
    <w:lvl w:ilvl="0" w:tplc="AC2CA7D2">
      <w:start w:val="1"/>
      <w:numFmt w:val="bullet"/>
      <w:pStyle w:val="EndnoteText"/>
      <w:lvlText w:val=""/>
      <w:lvlJc w:val="left"/>
      <w:pPr>
        <w:tabs>
          <w:tab w:val="num" w:pos="720"/>
        </w:tabs>
        <w:ind w:left="720" w:hanging="360"/>
      </w:pPr>
      <w:rPr>
        <w:rFonts w:ascii="Symbol" w:hAnsi="Symbol" w:hint="default"/>
      </w:rPr>
    </w:lvl>
    <w:lvl w:ilvl="1" w:tplc="BC243F5E" w:tentative="1">
      <w:start w:val="1"/>
      <w:numFmt w:val="bullet"/>
      <w:lvlText w:val="o"/>
      <w:lvlJc w:val="left"/>
      <w:pPr>
        <w:tabs>
          <w:tab w:val="num" w:pos="1440"/>
        </w:tabs>
        <w:ind w:left="1440" w:hanging="360"/>
      </w:pPr>
      <w:rPr>
        <w:rFonts w:ascii="Courier New" w:hAnsi="Courier New" w:cs="Consolas" w:hint="default"/>
      </w:rPr>
    </w:lvl>
    <w:lvl w:ilvl="2" w:tplc="7612122C" w:tentative="1">
      <w:start w:val="1"/>
      <w:numFmt w:val="bullet"/>
      <w:lvlText w:val=""/>
      <w:lvlJc w:val="left"/>
      <w:pPr>
        <w:tabs>
          <w:tab w:val="num" w:pos="2160"/>
        </w:tabs>
        <w:ind w:left="2160" w:hanging="360"/>
      </w:pPr>
      <w:rPr>
        <w:rFonts w:ascii="Wingdings" w:hAnsi="Wingdings" w:hint="default"/>
      </w:rPr>
    </w:lvl>
    <w:lvl w:ilvl="3" w:tplc="7618E782" w:tentative="1">
      <w:start w:val="1"/>
      <w:numFmt w:val="bullet"/>
      <w:lvlText w:val=""/>
      <w:lvlJc w:val="left"/>
      <w:pPr>
        <w:tabs>
          <w:tab w:val="num" w:pos="2880"/>
        </w:tabs>
        <w:ind w:left="2880" w:hanging="360"/>
      </w:pPr>
      <w:rPr>
        <w:rFonts w:ascii="Symbol" w:hAnsi="Symbol" w:hint="default"/>
      </w:rPr>
    </w:lvl>
    <w:lvl w:ilvl="4" w:tplc="F236AB18" w:tentative="1">
      <w:start w:val="1"/>
      <w:numFmt w:val="bullet"/>
      <w:lvlText w:val="o"/>
      <w:lvlJc w:val="left"/>
      <w:pPr>
        <w:tabs>
          <w:tab w:val="num" w:pos="3600"/>
        </w:tabs>
        <w:ind w:left="3600" w:hanging="360"/>
      </w:pPr>
      <w:rPr>
        <w:rFonts w:ascii="Courier New" w:hAnsi="Courier New" w:cs="Consolas" w:hint="default"/>
      </w:rPr>
    </w:lvl>
    <w:lvl w:ilvl="5" w:tplc="4FBEA80C" w:tentative="1">
      <w:start w:val="1"/>
      <w:numFmt w:val="bullet"/>
      <w:lvlText w:val=""/>
      <w:lvlJc w:val="left"/>
      <w:pPr>
        <w:tabs>
          <w:tab w:val="num" w:pos="4320"/>
        </w:tabs>
        <w:ind w:left="4320" w:hanging="360"/>
      </w:pPr>
      <w:rPr>
        <w:rFonts w:ascii="Wingdings" w:hAnsi="Wingdings" w:hint="default"/>
      </w:rPr>
    </w:lvl>
    <w:lvl w:ilvl="6" w:tplc="50A066B0" w:tentative="1">
      <w:start w:val="1"/>
      <w:numFmt w:val="bullet"/>
      <w:lvlText w:val=""/>
      <w:lvlJc w:val="left"/>
      <w:pPr>
        <w:tabs>
          <w:tab w:val="num" w:pos="5040"/>
        </w:tabs>
        <w:ind w:left="5040" w:hanging="360"/>
      </w:pPr>
      <w:rPr>
        <w:rFonts w:ascii="Symbol" w:hAnsi="Symbol" w:hint="default"/>
      </w:rPr>
    </w:lvl>
    <w:lvl w:ilvl="7" w:tplc="E3FE081C" w:tentative="1">
      <w:start w:val="1"/>
      <w:numFmt w:val="bullet"/>
      <w:lvlText w:val="o"/>
      <w:lvlJc w:val="left"/>
      <w:pPr>
        <w:tabs>
          <w:tab w:val="num" w:pos="5760"/>
        </w:tabs>
        <w:ind w:left="5760" w:hanging="360"/>
      </w:pPr>
      <w:rPr>
        <w:rFonts w:ascii="Courier New" w:hAnsi="Courier New" w:cs="Consolas" w:hint="default"/>
      </w:rPr>
    </w:lvl>
    <w:lvl w:ilvl="8" w:tplc="97ECA8C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F252BD"/>
    <w:multiLevelType w:val="singleLevel"/>
    <w:tmpl w:val="074C56F8"/>
    <w:lvl w:ilvl="0">
      <w:start w:val="1"/>
      <w:numFmt w:val="decimal"/>
      <w:pStyle w:val="Bibliography1"/>
      <w:lvlText w:val="[%1]"/>
      <w:lvlJc w:val="left"/>
      <w:pPr>
        <w:tabs>
          <w:tab w:val="num" w:pos="360"/>
        </w:tabs>
        <w:ind w:left="360" w:hanging="360"/>
      </w:pPr>
    </w:lvl>
  </w:abstractNum>
  <w:abstractNum w:abstractNumId="7" w15:restartNumberingAfterBreak="0">
    <w:nsid w:val="066629DD"/>
    <w:multiLevelType w:val="multilevel"/>
    <w:tmpl w:val="38BCE3A8"/>
    <w:lvl w:ilvl="0">
      <w:start w:val="1"/>
      <w:numFmt w:val="lowerLetter"/>
      <w:pStyle w:val="IPPSubheadNumber"/>
      <w:lvlText w:val="(%1)"/>
      <w:lvlJc w:val="left"/>
      <w:pPr>
        <w:tabs>
          <w:tab w:val="num" w:pos="3240"/>
        </w:tabs>
        <w:ind w:left="3240" w:hanging="720"/>
      </w:pPr>
      <w:rPr>
        <w:rFonts w:hint="default"/>
      </w:rPr>
    </w:lvl>
    <w:lvl w:ilvl="1">
      <w:start w:val="1"/>
      <w:numFmt w:val="lowerLetter"/>
      <w:lvlText w:val="%2."/>
      <w:lvlJc w:val="left"/>
      <w:pPr>
        <w:tabs>
          <w:tab w:val="num" w:pos="3600"/>
        </w:tabs>
        <w:ind w:left="3600" w:hanging="360"/>
      </w:pPr>
      <w:rPr>
        <w:rFonts w:hint="default"/>
      </w:rPr>
    </w:lvl>
    <w:lvl w:ilvl="2">
      <w:start w:val="1"/>
      <w:numFmt w:val="lowerRoman"/>
      <w:lvlText w:val="%3."/>
      <w:lvlJc w:val="right"/>
      <w:pPr>
        <w:tabs>
          <w:tab w:val="num" w:pos="4320"/>
        </w:tabs>
        <w:ind w:left="4320" w:hanging="180"/>
      </w:pPr>
      <w:rPr>
        <w:rFonts w:hint="default"/>
      </w:rPr>
    </w:lvl>
    <w:lvl w:ilvl="3">
      <w:start w:val="1"/>
      <w:numFmt w:val="decimal"/>
      <w:lvlText w:val="%4."/>
      <w:lvlJc w:val="left"/>
      <w:pPr>
        <w:tabs>
          <w:tab w:val="num" w:pos="5040"/>
        </w:tabs>
        <w:ind w:left="5040" w:hanging="360"/>
      </w:pPr>
      <w:rPr>
        <w:rFonts w:hint="default"/>
      </w:rPr>
    </w:lvl>
    <w:lvl w:ilvl="4">
      <w:start w:val="1"/>
      <w:numFmt w:val="lowerLetter"/>
      <w:lvlText w:val="%5."/>
      <w:lvlJc w:val="left"/>
      <w:pPr>
        <w:tabs>
          <w:tab w:val="num" w:pos="5760"/>
        </w:tabs>
        <w:ind w:left="5760" w:hanging="360"/>
      </w:pPr>
      <w:rPr>
        <w:rFonts w:hint="default"/>
      </w:rPr>
    </w:lvl>
    <w:lvl w:ilvl="5">
      <w:start w:val="1"/>
      <w:numFmt w:val="lowerRoman"/>
      <w:lvlText w:val="%6."/>
      <w:lvlJc w:val="right"/>
      <w:pPr>
        <w:tabs>
          <w:tab w:val="num" w:pos="6480"/>
        </w:tabs>
        <w:ind w:left="6480" w:hanging="180"/>
      </w:pPr>
      <w:rPr>
        <w:rFonts w:hint="default"/>
      </w:rPr>
    </w:lvl>
    <w:lvl w:ilvl="6">
      <w:start w:val="1"/>
      <w:numFmt w:val="decimal"/>
      <w:lvlText w:val="%7."/>
      <w:lvlJc w:val="left"/>
      <w:pPr>
        <w:tabs>
          <w:tab w:val="num" w:pos="7200"/>
        </w:tabs>
        <w:ind w:left="7200" w:hanging="360"/>
      </w:pPr>
      <w:rPr>
        <w:rFonts w:hint="default"/>
      </w:rPr>
    </w:lvl>
    <w:lvl w:ilvl="7">
      <w:start w:val="1"/>
      <w:numFmt w:val="lowerLetter"/>
      <w:lvlText w:val="%8."/>
      <w:lvlJc w:val="left"/>
      <w:pPr>
        <w:tabs>
          <w:tab w:val="num" w:pos="7920"/>
        </w:tabs>
        <w:ind w:left="7920" w:hanging="360"/>
      </w:pPr>
      <w:rPr>
        <w:rFonts w:hint="default"/>
      </w:rPr>
    </w:lvl>
    <w:lvl w:ilvl="8">
      <w:start w:val="1"/>
      <w:numFmt w:val="lowerRoman"/>
      <w:lvlText w:val="%9."/>
      <w:lvlJc w:val="right"/>
      <w:pPr>
        <w:tabs>
          <w:tab w:val="num" w:pos="8640"/>
        </w:tabs>
        <w:ind w:left="8640" w:hanging="180"/>
      </w:pPr>
      <w:rPr>
        <w:rFonts w:hint="default"/>
      </w:rPr>
    </w:lvl>
  </w:abstractNum>
  <w:abstractNum w:abstractNumId="8" w15:restartNumberingAfterBreak="0">
    <w:nsid w:val="067730E7"/>
    <w:multiLevelType w:val="hybridMultilevel"/>
    <w:tmpl w:val="901CFCE4"/>
    <w:lvl w:ilvl="0" w:tplc="EDAEDC90">
      <w:start w:val="1"/>
      <w:numFmt w:val="bullet"/>
      <w:pStyle w:val="IPPHeadSection"/>
      <w:lvlText w:val=""/>
      <w:lvlJc w:val="left"/>
      <w:pPr>
        <w:tabs>
          <w:tab w:val="num" w:pos="720"/>
        </w:tabs>
        <w:ind w:left="720" w:hanging="360"/>
      </w:pPr>
      <w:rPr>
        <w:rFonts w:ascii="Symbol" w:hAnsi="Symbol" w:hint="default"/>
      </w:rPr>
    </w:lvl>
    <w:lvl w:ilvl="1" w:tplc="2B7CB54A" w:tentative="1">
      <w:start w:val="1"/>
      <w:numFmt w:val="bullet"/>
      <w:lvlText w:val="o"/>
      <w:lvlJc w:val="left"/>
      <w:pPr>
        <w:tabs>
          <w:tab w:val="num" w:pos="1440"/>
        </w:tabs>
        <w:ind w:left="1440" w:hanging="360"/>
      </w:pPr>
      <w:rPr>
        <w:rFonts w:ascii="Courier New" w:hAnsi="Courier New" w:cs="Consolas" w:hint="default"/>
      </w:rPr>
    </w:lvl>
    <w:lvl w:ilvl="2" w:tplc="7814FBA4" w:tentative="1">
      <w:start w:val="1"/>
      <w:numFmt w:val="bullet"/>
      <w:lvlText w:val=""/>
      <w:lvlJc w:val="left"/>
      <w:pPr>
        <w:tabs>
          <w:tab w:val="num" w:pos="2160"/>
        </w:tabs>
        <w:ind w:left="2160" w:hanging="360"/>
      </w:pPr>
      <w:rPr>
        <w:rFonts w:ascii="Wingdings" w:hAnsi="Wingdings" w:hint="default"/>
      </w:rPr>
    </w:lvl>
    <w:lvl w:ilvl="3" w:tplc="533CBB36" w:tentative="1">
      <w:start w:val="1"/>
      <w:numFmt w:val="bullet"/>
      <w:lvlText w:val=""/>
      <w:lvlJc w:val="left"/>
      <w:pPr>
        <w:tabs>
          <w:tab w:val="num" w:pos="2880"/>
        </w:tabs>
        <w:ind w:left="2880" w:hanging="360"/>
      </w:pPr>
      <w:rPr>
        <w:rFonts w:ascii="Symbol" w:hAnsi="Symbol" w:hint="default"/>
      </w:rPr>
    </w:lvl>
    <w:lvl w:ilvl="4" w:tplc="7AD231EA" w:tentative="1">
      <w:start w:val="1"/>
      <w:numFmt w:val="bullet"/>
      <w:lvlText w:val="o"/>
      <w:lvlJc w:val="left"/>
      <w:pPr>
        <w:tabs>
          <w:tab w:val="num" w:pos="3600"/>
        </w:tabs>
        <w:ind w:left="3600" w:hanging="360"/>
      </w:pPr>
      <w:rPr>
        <w:rFonts w:ascii="Courier New" w:hAnsi="Courier New" w:cs="Consolas" w:hint="default"/>
      </w:rPr>
    </w:lvl>
    <w:lvl w:ilvl="5" w:tplc="48D0B726" w:tentative="1">
      <w:start w:val="1"/>
      <w:numFmt w:val="bullet"/>
      <w:lvlText w:val=""/>
      <w:lvlJc w:val="left"/>
      <w:pPr>
        <w:tabs>
          <w:tab w:val="num" w:pos="4320"/>
        </w:tabs>
        <w:ind w:left="4320" w:hanging="360"/>
      </w:pPr>
      <w:rPr>
        <w:rFonts w:ascii="Wingdings" w:hAnsi="Wingdings" w:hint="default"/>
      </w:rPr>
    </w:lvl>
    <w:lvl w:ilvl="6" w:tplc="A7F62352" w:tentative="1">
      <w:start w:val="1"/>
      <w:numFmt w:val="bullet"/>
      <w:lvlText w:val=""/>
      <w:lvlJc w:val="left"/>
      <w:pPr>
        <w:tabs>
          <w:tab w:val="num" w:pos="5040"/>
        </w:tabs>
        <w:ind w:left="5040" w:hanging="360"/>
      </w:pPr>
      <w:rPr>
        <w:rFonts w:ascii="Symbol" w:hAnsi="Symbol" w:hint="default"/>
      </w:rPr>
    </w:lvl>
    <w:lvl w:ilvl="7" w:tplc="7BAAA722" w:tentative="1">
      <w:start w:val="1"/>
      <w:numFmt w:val="bullet"/>
      <w:lvlText w:val="o"/>
      <w:lvlJc w:val="left"/>
      <w:pPr>
        <w:tabs>
          <w:tab w:val="num" w:pos="5760"/>
        </w:tabs>
        <w:ind w:left="5760" w:hanging="360"/>
      </w:pPr>
      <w:rPr>
        <w:rFonts w:ascii="Courier New" w:hAnsi="Courier New" w:cs="Consolas" w:hint="default"/>
      </w:rPr>
    </w:lvl>
    <w:lvl w:ilvl="8" w:tplc="66CAAD9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784FB5"/>
    <w:multiLevelType w:val="hybridMultilevel"/>
    <w:tmpl w:val="54CA5C26"/>
    <w:name w:val="WW8Num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6E77306"/>
    <w:multiLevelType w:val="multilevel"/>
    <w:tmpl w:val="F878BC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E68641D"/>
    <w:multiLevelType w:val="hybridMultilevel"/>
    <w:tmpl w:val="F890469C"/>
    <w:lvl w:ilvl="0" w:tplc="2A3691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784EA9"/>
    <w:multiLevelType w:val="hybridMultilevel"/>
    <w:tmpl w:val="9224EA12"/>
    <w:lvl w:ilvl="0" w:tplc="0C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0F54125"/>
    <w:multiLevelType w:val="hybridMultilevel"/>
    <w:tmpl w:val="C1B01A42"/>
    <w:lvl w:ilvl="0" w:tplc="C9E009DC">
      <w:start w:val="1"/>
      <w:numFmt w:val="bullet"/>
      <w:pStyle w:val="BoxSeqList1"/>
      <w:lvlText w:val=""/>
      <w:lvlJc w:val="left"/>
      <w:pPr>
        <w:tabs>
          <w:tab w:val="num" w:pos="720"/>
        </w:tabs>
        <w:ind w:left="720" w:hanging="360"/>
      </w:pPr>
      <w:rPr>
        <w:rFonts w:ascii="Symbol" w:hAnsi="Symbol" w:hint="default"/>
      </w:rPr>
    </w:lvl>
    <w:lvl w:ilvl="1" w:tplc="B0DA4A42" w:tentative="1">
      <w:start w:val="1"/>
      <w:numFmt w:val="bullet"/>
      <w:lvlText w:val="o"/>
      <w:lvlJc w:val="left"/>
      <w:pPr>
        <w:tabs>
          <w:tab w:val="num" w:pos="1440"/>
        </w:tabs>
        <w:ind w:left="1440" w:hanging="360"/>
      </w:pPr>
      <w:rPr>
        <w:rFonts w:ascii="Courier New" w:hAnsi="Courier New" w:cs="Consolas" w:hint="default"/>
      </w:rPr>
    </w:lvl>
    <w:lvl w:ilvl="2" w:tplc="21A88146" w:tentative="1">
      <w:start w:val="1"/>
      <w:numFmt w:val="bullet"/>
      <w:lvlText w:val=""/>
      <w:lvlJc w:val="left"/>
      <w:pPr>
        <w:tabs>
          <w:tab w:val="num" w:pos="2160"/>
        </w:tabs>
        <w:ind w:left="2160" w:hanging="360"/>
      </w:pPr>
      <w:rPr>
        <w:rFonts w:ascii="Wingdings" w:hAnsi="Wingdings" w:hint="default"/>
      </w:rPr>
    </w:lvl>
    <w:lvl w:ilvl="3" w:tplc="C6986F9C" w:tentative="1">
      <w:start w:val="1"/>
      <w:numFmt w:val="bullet"/>
      <w:lvlText w:val=""/>
      <w:lvlJc w:val="left"/>
      <w:pPr>
        <w:tabs>
          <w:tab w:val="num" w:pos="2880"/>
        </w:tabs>
        <w:ind w:left="2880" w:hanging="360"/>
      </w:pPr>
      <w:rPr>
        <w:rFonts w:ascii="Symbol" w:hAnsi="Symbol" w:hint="default"/>
      </w:rPr>
    </w:lvl>
    <w:lvl w:ilvl="4" w:tplc="53345EA6" w:tentative="1">
      <w:start w:val="1"/>
      <w:numFmt w:val="bullet"/>
      <w:lvlText w:val="o"/>
      <w:lvlJc w:val="left"/>
      <w:pPr>
        <w:tabs>
          <w:tab w:val="num" w:pos="3600"/>
        </w:tabs>
        <w:ind w:left="3600" w:hanging="360"/>
      </w:pPr>
      <w:rPr>
        <w:rFonts w:ascii="Courier New" w:hAnsi="Courier New" w:cs="Consolas" w:hint="default"/>
      </w:rPr>
    </w:lvl>
    <w:lvl w:ilvl="5" w:tplc="5F0A9A32" w:tentative="1">
      <w:start w:val="1"/>
      <w:numFmt w:val="bullet"/>
      <w:lvlText w:val=""/>
      <w:lvlJc w:val="left"/>
      <w:pPr>
        <w:tabs>
          <w:tab w:val="num" w:pos="4320"/>
        </w:tabs>
        <w:ind w:left="4320" w:hanging="360"/>
      </w:pPr>
      <w:rPr>
        <w:rFonts w:ascii="Wingdings" w:hAnsi="Wingdings" w:hint="default"/>
      </w:rPr>
    </w:lvl>
    <w:lvl w:ilvl="6" w:tplc="02F27FAE" w:tentative="1">
      <w:start w:val="1"/>
      <w:numFmt w:val="bullet"/>
      <w:lvlText w:val=""/>
      <w:lvlJc w:val="left"/>
      <w:pPr>
        <w:tabs>
          <w:tab w:val="num" w:pos="5040"/>
        </w:tabs>
        <w:ind w:left="5040" w:hanging="360"/>
      </w:pPr>
      <w:rPr>
        <w:rFonts w:ascii="Symbol" w:hAnsi="Symbol" w:hint="default"/>
      </w:rPr>
    </w:lvl>
    <w:lvl w:ilvl="7" w:tplc="D04A314E" w:tentative="1">
      <w:start w:val="1"/>
      <w:numFmt w:val="bullet"/>
      <w:lvlText w:val="o"/>
      <w:lvlJc w:val="left"/>
      <w:pPr>
        <w:tabs>
          <w:tab w:val="num" w:pos="5760"/>
        </w:tabs>
        <w:ind w:left="5760" w:hanging="360"/>
      </w:pPr>
      <w:rPr>
        <w:rFonts w:ascii="Courier New" w:hAnsi="Courier New" w:cs="Consolas" w:hint="default"/>
      </w:rPr>
    </w:lvl>
    <w:lvl w:ilvl="8" w:tplc="F2A072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3AB4B41"/>
    <w:multiLevelType w:val="hybridMultilevel"/>
    <w:tmpl w:val="7E1ECB5E"/>
    <w:lvl w:ilvl="0" w:tplc="04964D0A">
      <w:start w:val="1"/>
      <w:numFmt w:val="lowerLetter"/>
      <w:pStyle w:val="IPPBullet1Last"/>
      <w:lvlText w:val="%1."/>
      <w:lvlJc w:val="left"/>
      <w:pPr>
        <w:ind w:left="1854" w:hanging="360"/>
      </w:pPr>
    </w:lvl>
    <w:lvl w:ilvl="1" w:tplc="E2AEDD66" w:tentative="1">
      <w:start w:val="1"/>
      <w:numFmt w:val="lowerLetter"/>
      <w:lvlText w:val="%2."/>
      <w:lvlJc w:val="left"/>
      <w:pPr>
        <w:ind w:left="2574" w:hanging="360"/>
      </w:pPr>
    </w:lvl>
    <w:lvl w:ilvl="2" w:tplc="40184B22" w:tentative="1">
      <w:start w:val="1"/>
      <w:numFmt w:val="lowerRoman"/>
      <w:lvlText w:val="%3."/>
      <w:lvlJc w:val="right"/>
      <w:pPr>
        <w:ind w:left="3294" w:hanging="180"/>
      </w:pPr>
    </w:lvl>
    <w:lvl w:ilvl="3" w:tplc="EF5A0A42" w:tentative="1">
      <w:start w:val="1"/>
      <w:numFmt w:val="decimal"/>
      <w:lvlText w:val="%4."/>
      <w:lvlJc w:val="left"/>
      <w:pPr>
        <w:ind w:left="4014" w:hanging="360"/>
      </w:pPr>
    </w:lvl>
    <w:lvl w:ilvl="4" w:tplc="FA44BC42" w:tentative="1">
      <w:start w:val="1"/>
      <w:numFmt w:val="lowerLetter"/>
      <w:lvlText w:val="%5."/>
      <w:lvlJc w:val="left"/>
      <w:pPr>
        <w:ind w:left="4734" w:hanging="360"/>
      </w:pPr>
    </w:lvl>
    <w:lvl w:ilvl="5" w:tplc="B17C73C4" w:tentative="1">
      <w:start w:val="1"/>
      <w:numFmt w:val="lowerRoman"/>
      <w:lvlText w:val="%6."/>
      <w:lvlJc w:val="right"/>
      <w:pPr>
        <w:ind w:left="5454" w:hanging="180"/>
      </w:pPr>
    </w:lvl>
    <w:lvl w:ilvl="6" w:tplc="BBD0B7A2" w:tentative="1">
      <w:start w:val="1"/>
      <w:numFmt w:val="decimal"/>
      <w:lvlText w:val="%7."/>
      <w:lvlJc w:val="left"/>
      <w:pPr>
        <w:ind w:left="6174" w:hanging="360"/>
      </w:pPr>
    </w:lvl>
    <w:lvl w:ilvl="7" w:tplc="31C60108" w:tentative="1">
      <w:start w:val="1"/>
      <w:numFmt w:val="lowerLetter"/>
      <w:lvlText w:val="%8."/>
      <w:lvlJc w:val="left"/>
      <w:pPr>
        <w:ind w:left="6894" w:hanging="360"/>
      </w:pPr>
    </w:lvl>
    <w:lvl w:ilvl="8" w:tplc="D3922874" w:tentative="1">
      <w:start w:val="1"/>
      <w:numFmt w:val="lowerRoman"/>
      <w:lvlText w:val="%9."/>
      <w:lvlJc w:val="right"/>
      <w:pPr>
        <w:ind w:left="7614" w:hanging="180"/>
      </w:pPr>
    </w:lvl>
  </w:abstractNum>
  <w:abstractNum w:abstractNumId="15" w15:restartNumberingAfterBreak="0">
    <w:nsid w:val="14703BF0"/>
    <w:multiLevelType w:val="hybridMultilevel"/>
    <w:tmpl w:val="2D58176C"/>
    <w:lvl w:ilvl="0" w:tplc="19D4525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8D73395"/>
    <w:multiLevelType w:val="hybridMultilevel"/>
    <w:tmpl w:val="43D01456"/>
    <w:lvl w:ilvl="0" w:tplc="2A3691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0E1E82"/>
    <w:multiLevelType w:val="hybridMultilevel"/>
    <w:tmpl w:val="274E4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F37907"/>
    <w:multiLevelType w:val="singleLevel"/>
    <w:tmpl w:val="04090001"/>
    <w:lvl w:ilvl="0">
      <w:start w:val="1"/>
      <w:numFmt w:val="bullet"/>
      <w:pStyle w:val="Box"/>
      <w:lvlText w:val=""/>
      <w:lvlJc w:val="left"/>
      <w:pPr>
        <w:tabs>
          <w:tab w:val="num" w:pos="720"/>
        </w:tabs>
        <w:ind w:left="720" w:hanging="360"/>
      </w:pPr>
      <w:rPr>
        <w:rFonts w:ascii="Symbol" w:hAnsi="Symbol" w:hint="default"/>
      </w:rPr>
    </w:lvl>
  </w:abstractNum>
  <w:abstractNum w:abstractNumId="19" w15:restartNumberingAfterBreak="0">
    <w:nsid w:val="1C593D3A"/>
    <w:multiLevelType w:val="hybridMultilevel"/>
    <w:tmpl w:val="46208B1E"/>
    <w:styleLink w:val="EstiloImportado1"/>
    <w:lvl w:ilvl="0" w:tplc="729406AE">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EE320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EEC7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E8D8F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A8B4CA">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02125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88581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CC652E">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66424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1DF27C46"/>
    <w:multiLevelType w:val="hybridMultilevel"/>
    <w:tmpl w:val="D58AC1F4"/>
    <w:lvl w:ilvl="0" w:tplc="41944AB2">
      <w:start w:val="1"/>
      <w:numFmt w:val="bullet"/>
      <w:pStyle w:val="Section3numbered"/>
      <w:lvlText w:val=""/>
      <w:lvlJc w:val="left"/>
      <w:pPr>
        <w:tabs>
          <w:tab w:val="num" w:pos="720"/>
        </w:tabs>
        <w:ind w:left="720" w:hanging="360"/>
      </w:pPr>
      <w:rPr>
        <w:rFonts w:ascii="Symbol" w:hAnsi="Symbol" w:hint="default"/>
      </w:rPr>
    </w:lvl>
    <w:lvl w:ilvl="1" w:tplc="0AC47AFE" w:tentative="1">
      <w:start w:val="1"/>
      <w:numFmt w:val="bullet"/>
      <w:lvlText w:val="o"/>
      <w:lvlJc w:val="left"/>
      <w:pPr>
        <w:tabs>
          <w:tab w:val="num" w:pos="1440"/>
        </w:tabs>
        <w:ind w:left="1440" w:hanging="360"/>
      </w:pPr>
      <w:rPr>
        <w:rFonts w:ascii="Courier New" w:hAnsi="Courier New" w:cs="Consolas" w:hint="default"/>
      </w:rPr>
    </w:lvl>
    <w:lvl w:ilvl="2" w:tplc="FBE0714E" w:tentative="1">
      <w:start w:val="1"/>
      <w:numFmt w:val="bullet"/>
      <w:lvlText w:val=""/>
      <w:lvlJc w:val="left"/>
      <w:pPr>
        <w:tabs>
          <w:tab w:val="num" w:pos="2160"/>
        </w:tabs>
        <w:ind w:left="2160" w:hanging="360"/>
      </w:pPr>
      <w:rPr>
        <w:rFonts w:ascii="Wingdings" w:hAnsi="Wingdings" w:hint="default"/>
      </w:rPr>
    </w:lvl>
    <w:lvl w:ilvl="3" w:tplc="15D621B0" w:tentative="1">
      <w:start w:val="1"/>
      <w:numFmt w:val="bullet"/>
      <w:lvlText w:val=""/>
      <w:lvlJc w:val="left"/>
      <w:pPr>
        <w:tabs>
          <w:tab w:val="num" w:pos="2880"/>
        </w:tabs>
        <w:ind w:left="2880" w:hanging="360"/>
      </w:pPr>
      <w:rPr>
        <w:rFonts w:ascii="Symbol" w:hAnsi="Symbol" w:hint="default"/>
      </w:rPr>
    </w:lvl>
    <w:lvl w:ilvl="4" w:tplc="A844B542" w:tentative="1">
      <w:start w:val="1"/>
      <w:numFmt w:val="bullet"/>
      <w:lvlText w:val="o"/>
      <w:lvlJc w:val="left"/>
      <w:pPr>
        <w:tabs>
          <w:tab w:val="num" w:pos="3600"/>
        </w:tabs>
        <w:ind w:left="3600" w:hanging="360"/>
      </w:pPr>
      <w:rPr>
        <w:rFonts w:ascii="Courier New" w:hAnsi="Courier New" w:cs="Consolas" w:hint="default"/>
      </w:rPr>
    </w:lvl>
    <w:lvl w:ilvl="5" w:tplc="14844F18" w:tentative="1">
      <w:start w:val="1"/>
      <w:numFmt w:val="bullet"/>
      <w:lvlText w:val=""/>
      <w:lvlJc w:val="left"/>
      <w:pPr>
        <w:tabs>
          <w:tab w:val="num" w:pos="4320"/>
        </w:tabs>
        <w:ind w:left="4320" w:hanging="360"/>
      </w:pPr>
      <w:rPr>
        <w:rFonts w:ascii="Wingdings" w:hAnsi="Wingdings" w:hint="default"/>
      </w:rPr>
    </w:lvl>
    <w:lvl w:ilvl="6" w:tplc="BF56D5EE" w:tentative="1">
      <w:start w:val="1"/>
      <w:numFmt w:val="bullet"/>
      <w:lvlText w:val=""/>
      <w:lvlJc w:val="left"/>
      <w:pPr>
        <w:tabs>
          <w:tab w:val="num" w:pos="5040"/>
        </w:tabs>
        <w:ind w:left="5040" w:hanging="360"/>
      </w:pPr>
      <w:rPr>
        <w:rFonts w:ascii="Symbol" w:hAnsi="Symbol" w:hint="default"/>
      </w:rPr>
    </w:lvl>
    <w:lvl w:ilvl="7" w:tplc="8392D59E" w:tentative="1">
      <w:start w:val="1"/>
      <w:numFmt w:val="bullet"/>
      <w:lvlText w:val="o"/>
      <w:lvlJc w:val="left"/>
      <w:pPr>
        <w:tabs>
          <w:tab w:val="num" w:pos="5760"/>
        </w:tabs>
        <w:ind w:left="5760" w:hanging="360"/>
      </w:pPr>
      <w:rPr>
        <w:rFonts w:ascii="Courier New" w:hAnsi="Courier New" w:cs="Consolas" w:hint="default"/>
      </w:rPr>
    </w:lvl>
    <w:lvl w:ilvl="8" w:tplc="A782A3C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EA21A5"/>
    <w:multiLevelType w:val="multilevel"/>
    <w:tmpl w:val="1EF87CA6"/>
    <w:lvl w:ilvl="0">
      <w:start w:val="1"/>
      <w:numFmt w:val="bullet"/>
      <w:pStyle w:val="Bulletsnumberedintable"/>
      <w:lvlText w:val=""/>
      <w:lvlJc w:val="left"/>
      <w:pPr>
        <w:tabs>
          <w:tab w:val="num" w:pos="539"/>
        </w:tabs>
        <w:ind w:left="539" w:hanging="539"/>
      </w:pPr>
      <w:rPr>
        <w:rFonts w:ascii="Symbol" w:hAnsi="Symbol" w:cs="Symbol" w:hint="default"/>
        <w:sz w:val="18"/>
        <w:szCs w:val="18"/>
      </w:rPr>
    </w:lvl>
    <w:lvl w:ilvl="1">
      <w:start w:val="1"/>
      <w:numFmt w:val="bullet"/>
      <w:lvlText w:val=""/>
      <w:lvlJc w:val="left"/>
      <w:pPr>
        <w:tabs>
          <w:tab w:val="num" w:pos="765"/>
        </w:tabs>
        <w:ind w:left="765" w:hanging="198"/>
      </w:pPr>
      <w:rPr>
        <w:rFonts w:ascii="Symbol" w:hAnsi="Symbol" w:cs="Symbol" w:hint="default"/>
        <w:sz w:val="18"/>
        <w:szCs w:val="18"/>
      </w:rPr>
    </w:lvl>
    <w:lvl w:ilvl="2">
      <w:start w:val="1"/>
      <w:numFmt w:val="bullet"/>
      <w:lvlText w:val=""/>
      <w:lvlJc w:val="left"/>
      <w:pPr>
        <w:tabs>
          <w:tab w:val="num" w:pos="2160"/>
        </w:tabs>
        <w:ind w:left="2160" w:hanging="360"/>
      </w:pPr>
      <w:rPr>
        <w:rFonts w:ascii="Wingdings" w:hAnsi="Wingdings" w:cs="ArialUnicodeM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ArialUnicodeMS" w:hint="default"/>
      </w:rPr>
    </w:lvl>
    <w:lvl w:ilvl="5">
      <w:start w:val="1"/>
      <w:numFmt w:val="bullet"/>
      <w:lvlText w:val=""/>
      <w:lvlJc w:val="left"/>
      <w:pPr>
        <w:tabs>
          <w:tab w:val="num" w:pos="4320"/>
        </w:tabs>
        <w:ind w:left="4320" w:hanging="360"/>
      </w:pPr>
      <w:rPr>
        <w:rFonts w:ascii="Wingdings" w:hAnsi="Wingdings" w:cs="ArialUnicodeM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ArialUnicodeMS" w:hint="default"/>
      </w:rPr>
    </w:lvl>
    <w:lvl w:ilvl="8">
      <w:start w:val="1"/>
      <w:numFmt w:val="bullet"/>
      <w:lvlText w:val=""/>
      <w:lvlJc w:val="left"/>
      <w:pPr>
        <w:tabs>
          <w:tab w:val="num" w:pos="6480"/>
        </w:tabs>
        <w:ind w:left="6480" w:hanging="360"/>
      </w:pPr>
      <w:rPr>
        <w:rFonts w:ascii="Wingdings" w:hAnsi="Wingdings" w:cs="ArialUnicodeMS" w:hint="default"/>
      </w:rPr>
    </w:lvl>
  </w:abstractNum>
  <w:abstractNum w:abstractNumId="22" w15:restartNumberingAfterBreak="0">
    <w:nsid w:val="20D82B5E"/>
    <w:multiLevelType w:val="multilevel"/>
    <w:tmpl w:val="F0300B0E"/>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22682942"/>
    <w:multiLevelType w:val="multilevel"/>
    <w:tmpl w:val="C89C9FF0"/>
    <w:lvl w:ilvl="0">
      <w:start w:val="1"/>
      <w:numFmt w:val="decimal"/>
      <w:pStyle w:val="BlankLine"/>
      <w:lvlText w:val="%1."/>
      <w:lvlJc w:val="left"/>
      <w:pPr>
        <w:tabs>
          <w:tab w:val="num" w:pos="360"/>
        </w:tabs>
        <w:ind w:left="360" w:hanging="360"/>
      </w:pPr>
    </w:lvl>
    <w:lvl w:ilvl="1">
      <w:start w:val="1"/>
      <w:numFmt w:val="lowerLetter"/>
      <w:pStyle w:val="SeqListLev1"/>
      <w:lvlText w:val="%2."/>
      <w:lvlJc w:val="left"/>
      <w:pPr>
        <w:tabs>
          <w:tab w:val="num" w:pos="1080"/>
        </w:tabs>
        <w:ind w:left="1080" w:hanging="360"/>
      </w:pPr>
    </w:lvl>
    <w:lvl w:ilvl="2">
      <w:start w:val="1"/>
      <w:numFmt w:val="lowerRoman"/>
      <w:pStyle w:val="SeqListLev2"/>
      <w:lvlText w:val="%3."/>
      <w:lvlJc w:val="right"/>
      <w:pPr>
        <w:tabs>
          <w:tab w:val="num" w:pos="1800"/>
        </w:tabs>
        <w:ind w:left="1800" w:hanging="180"/>
      </w:pPr>
    </w:lvl>
    <w:lvl w:ilvl="3">
      <w:start w:val="1"/>
      <w:numFmt w:val="decimal"/>
      <w:pStyle w:val="SeqListLev3"/>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24DC3E23"/>
    <w:multiLevelType w:val="multilevel"/>
    <w:tmpl w:val="F1E8F132"/>
    <w:lvl w:ilvl="0">
      <w:start w:val="1"/>
      <w:numFmt w:val="bullet"/>
      <w:pStyle w:val="IPPNumberSubhead"/>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282667"/>
    <w:multiLevelType w:val="hybridMultilevel"/>
    <w:tmpl w:val="E8DE27B4"/>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5CD6001"/>
    <w:multiLevelType w:val="hybridMultilevel"/>
    <w:tmpl w:val="18C231E4"/>
    <w:lvl w:ilvl="0" w:tplc="04090001">
      <w:start w:val="1"/>
      <w:numFmt w:val="bullet"/>
      <w:lvlText w:val=""/>
      <w:lvlJc w:val="left"/>
      <w:pPr>
        <w:ind w:left="360" w:hanging="360"/>
      </w:pPr>
      <w:rPr>
        <w:rFonts w:ascii="Symbol" w:hAnsi="Symbol" w:hint="default"/>
      </w:rPr>
    </w:lvl>
    <w:lvl w:ilvl="1" w:tplc="7B0036EC">
      <w:start w:val="1"/>
      <w:numFmt w:val="bullet"/>
      <w:lvlText w:val="o"/>
      <w:lvlJc w:val="left"/>
      <w:pPr>
        <w:ind w:left="1080" w:hanging="360"/>
      </w:pPr>
      <w:rPr>
        <w:rFonts w:ascii="Courier New" w:hAnsi="Courier New"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6571E63"/>
    <w:multiLevelType w:val="hybridMultilevel"/>
    <w:tmpl w:val="D1C4F88C"/>
    <w:lvl w:ilvl="0" w:tplc="04090017">
      <w:start w:val="1"/>
      <w:numFmt w:val="lowerLetter"/>
      <w:lvlText w:val="%1)"/>
      <w:lvlJc w:val="left"/>
      <w:pPr>
        <w:ind w:left="1280" w:hanging="360"/>
      </w:p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28" w15:restartNumberingAfterBreak="0">
    <w:nsid w:val="26E60C83"/>
    <w:multiLevelType w:val="multilevel"/>
    <w:tmpl w:val="AA481282"/>
    <w:lvl w:ilvl="0">
      <w:numFmt w:val="bullet"/>
      <w:pStyle w:val="IPPIndentClose"/>
      <w:lvlText w:val="-"/>
      <w:lvlJc w:val="left"/>
      <w:pPr>
        <w:tabs>
          <w:tab w:val="num" w:pos="720"/>
        </w:tabs>
        <w:ind w:left="720" w:hanging="360"/>
      </w:pPr>
      <w:rPr>
        <w:rFonts w:ascii="Arial" w:eastAsia="Times New Roman" w:hAnsi="Arial" w:cs="Arial" w:hint="default"/>
        <w:b/>
      </w:rPr>
    </w:lvl>
    <w:lvl w:ilvl="1">
      <w:start w:val="1"/>
      <w:numFmt w:val="bullet"/>
      <w:lvlText w:val="o"/>
      <w:lvlJc w:val="left"/>
      <w:pPr>
        <w:tabs>
          <w:tab w:val="num" w:pos="1440"/>
        </w:tabs>
        <w:ind w:left="1440" w:hanging="360"/>
      </w:pPr>
      <w:rPr>
        <w:rFonts w:ascii="Courier New" w:hAnsi="Courier New" w:cs="Consola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nsola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nsolas"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7483E3B"/>
    <w:multiLevelType w:val="multilevel"/>
    <w:tmpl w:val="2CA8847C"/>
    <w:lvl w:ilvl="0">
      <w:start w:val="1"/>
      <w:numFmt w:val="decimal"/>
      <w:pStyle w:val="Thesisheading1"/>
      <w:lvlText w:val="1.%1"/>
      <w:lvlJc w:val="left"/>
      <w:pPr>
        <w:tabs>
          <w:tab w:val="num" w:pos="720"/>
        </w:tabs>
        <w:ind w:left="720" w:hanging="720"/>
      </w:pPr>
      <w:rPr>
        <w:rFonts w:hint="default"/>
      </w:rPr>
    </w:lvl>
    <w:lvl w:ilvl="1">
      <w:start w:val="1"/>
      <w:numFmt w:val="decimal"/>
      <w:lvlText w:val="%1.%2.1"/>
      <w:lvlJc w:val="left"/>
      <w:pPr>
        <w:tabs>
          <w:tab w:val="num" w:pos="720"/>
        </w:tabs>
        <w:ind w:left="720" w:hanging="720"/>
      </w:pPr>
      <w:rPr>
        <w:rFonts w:hint="default"/>
      </w:rPr>
    </w:lvl>
    <w:lvl w:ilvl="2">
      <w:start w:val="1"/>
      <w:numFmt w:val="lowerLetter"/>
      <w:pStyle w:val="Thesisheading4"/>
      <w:lvlText w:val="(%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0" w15:restartNumberingAfterBreak="0">
    <w:nsid w:val="27F77721"/>
    <w:multiLevelType w:val="hybridMultilevel"/>
    <w:tmpl w:val="F6A24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286617E9"/>
    <w:multiLevelType w:val="hybridMultilevel"/>
    <w:tmpl w:val="09F2EEE6"/>
    <w:lvl w:ilvl="0" w:tplc="93942E1E">
      <w:start w:val="1"/>
      <w:numFmt w:val="bullet"/>
      <w:pStyle w:val="IPPBullet1"/>
      <w:lvlText w:val=""/>
      <w:lvlJc w:val="left"/>
      <w:pPr>
        <w:tabs>
          <w:tab w:val="num" w:pos="720"/>
        </w:tabs>
        <w:ind w:left="720" w:hanging="360"/>
      </w:pPr>
      <w:rPr>
        <w:rFonts w:ascii="Symbol" w:hAnsi="Symbol" w:hint="default"/>
      </w:rPr>
    </w:lvl>
    <w:lvl w:ilvl="1" w:tplc="790C445A">
      <w:start w:val="1"/>
      <w:numFmt w:val="bullet"/>
      <w:lvlText w:val="o"/>
      <w:lvlJc w:val="left"/>
      <w:pPr>
        <w:tabs>
          <w:tab w:val="num" w:pos="1440"/>
        </w:tabs>
        <w:ind w:left="1440" w:hanging="360"/>
      </w:pPr>
      <w:rPr>
        <w:rFonts w:ascii="Courier New" w:hAnsi="Courier New" w:cs="Consolas" w:hint="default"/>
      </w:rPr>
    </w:lvl>
    <w:lvl w:ilvl="2" w:tplc="AD42556A">
      <w:start w:val="1"/>
      <w:numFmt w:val="decimal"/>
      <w:lvlText w:val="%3."/>
      <w:lvlJc w:val="left"/>
      <w:pPr>
        <w:tabs>
          <w:tab w:val="num" w:pos="2160"/>
        </w:tabs>
        <w:ind w:left="2160" w:hanging="360"/>
      </w:pPr>
    </w:lvl>
    <w:lvl w:ilvl="3" w:tplc="34FCFE2E">
      <w:start w:val="1"/>
      <w:numFmt w:val="decimal"/>
      <w:lvlText w:val="%4."/>
      <w:lvlJc w:val="left"/>
      <w:pPr>
        <w:tabs>
          <w:tab w:val="num" w:pos="2880"/>
        </w:tabs>
        <w:ind w:left="2880" w:hanging="360"/>
      </w:pPr>
    </w:lvl>
    <w:lvl w:ilvl="4" w:tplc="BC385A72">
      <w:start w:val="1"/>
      <w:numFmt w:val="decimal"/>
      <w:lvlText w:val="%5."/>
      <w:lvlJc w:val="left"/>
      <w:pPr>
        <w:tabs>
          <w:tab w:val="num" w:pos="3600"/>
        </w:tabs>
        <w:ind w:left="3600" w:hanging="360"/>
      </w:pPr>
    </w:lvl>
    <w:lvl w:ilvl="5" w:tplc="22A0BFE4">
      <w:start w:val="1"/>
      <w:numFmt w:val="decimal"/>
      <w:lvlText w:val="%6."/>
      <w:lvlJc w:val="left"/>
      <w:pPr>
        <w:tabs>
          <w:tab w:val="num" w:pos="4320"/>
        </w:tabs>
        <w:ind w:left="4320" w:hanging="360"/>
      </w:pPr>
    </w:lvl>
    <w:lvl w:ilvl="6" w:tplc="14B4819A">
      <w:start w:val="1"/>
      <w:numFmt w:val="decimal"/>
      <w:lvlText w:val="%7."/>
      <w:lvlJc w:val="left"/>
      <w:pPr>
        <w:tabs>
          <w:tab w:val="num" w:pos="5040"/>
        </w:tabs>
        <w:ind w:left="5040" w:hanging="360"/>
      </w:pPr>
    </w:lvl>
    <w:lvl w:ilvl="7" w:tplc="7BCEEECA">
      <w:start w:val="1"/>
      <w:numFmt w:val="decimal"/>
      <w:lvlText w:val="%8."/>
      <w:lvlJc w:val="left"/>
      <w:pPr>
        <w:tabs>
          <w:tab w:val="num" w:pos="5760"/>
        </w:tabs>
        <w:ind w:left="5760" w:hanging="360"/>
      </w:pPr>
    </w:lvl>
    <w:lvl w:ilvl="8" w:tplc="3A6A5B8C">
      <w:start w:val="1"/>
      <w:numFmt w:val="decimal"/>
      <w:lvlText w:val="%9."/>
      <w:lvlJc w:val="left"/>
      <w:pPr>
        <w:tabs>
          <w:tab w:val="num" w:pos="6480"/>
        </w:tabs>
        <w:ind w:left="6480" w:hanging="360"/>
      </w:pPr>
    </w:lvl>
  </w:abstractNum>
  <w:abstractNum w:abstractNumId="32" w15:restartNumberingAfterBreak="0">
    <w:nsid w:val="2869746C"/>
    <w:multiLevelType w:val="hybridMultilevel"/>
    <w:tmpl w:val="235020DA"/>
    <w:lvl w:ilvl="0" w:tplc="AEF8D51C">
      <w:start w:val="1"/>
      <w:numFmt w:val="bullet"/>
      <w:pStyle w:val="BasicParagraph"/>
      <w:lvlText w:val=""/>
      <w:lvlJc w:val="left"/>
      <w:pPr>
        <w:tabs>
          <w:tab w:val="num" w:pos="720"/>
        </w:tabs>
        <w:ind w:left="720" w:hanging="360"/>
      </w:pPr>
      <w:rPr>
        <w:rFonts w:ascii="Symbol" w:hAnsi="Symbol" w:hint="default"/>
      </w:rPr>
    </w:lvl>
    <w:lvl w:ilvl="1" w:tplc="3EF22854" w:tentative="1">
      <w:start w:val="1"/>
      <w:numFmt w:val="bullet"/>
      <w:lvlText w:val="o"/>
      <w:lvlJc w:val="left"/>
      <w:pPr>
        <w:tabs>
          <w:tab w:val="num" w:pos="1440"/>
        </w:tabs>
        <w:ind w:left="1440" w:hanging="360"/>
      </w:pPr>
      <w:rPr>
        <w:rFonts w:ascii="Courier New" w:hAnsi="Courier New" w:cs="Consolas" w:hint="default"/>
      </w:rPr>
    </w:lvl>
    <w:lvl w:ilvl="2" w:tplc="7280F928" w:tentative="1">
      <w:start w:val="1"/>
      <w:numFmt w:val="bullet"/>
      <w:lvlText w:val=""/>
      <w:lvlJc w:val="left"/>
      <w:pPr>
        <w:tabs>
          <w:tab w:val="num" w:pos="2160"/>
        </w:tabs>
        <w:ind w:left="2160" w:hanging="360"/>
      </w:pPr>
      <w:rPr>
        <w:rFonts w:ascii="Wingdings" w:hAnsi="Wingdings" w:hint="default"/>
      </w:rPr>
    </w:lvl>
    <w:lvl w:ilvl="3" w:tplc="FDE4CDF2" w:tentative="1">
      <w:start w:val="1"/>
      <w:numFmt w:val="bullet"/>
      <w:lvlText w:val=""/>
      <w:lvlJc w:val="left"/>
      <w:pPr>
        <w:tabs>
          <w:tab w:val="num" w:pos="2880"/>
        </w:tabs>
        <w:ind w:left="2880" w:hanging="360"/>
      </w:pPr>
      <w:rPr>
        <w:rFonts w:ascii="Symbol" w:hAnsi="Symbol" w:hint="default"/>
      </w:rPr>
    </w:lvl>
    <w:lvl w:ilvl="4" w:tplc="38C2FABE" w:tentative="1">
      <w:start w:val="1"/>
      <w:numFmt w:val="bullet"/>
      <w:lvlText w:val="o"/>
      <w:lvlJc w:val="left"/>
      <w:pPr>
        <w:tabs>
          <w:tab w:val="num" w:pos="3600"/>
        </w:tabs>
        <w:ind w:left="3600" w:hanging="360"/>
      </w:pPr>
      <w:rPr>
        <w:rFonts w:ascii="Courier New" w:hAnsi="Courier New" w:cs="Consolas" w:hint="default"/>
      </w:rPr>
    </w:lvl>
    <w:lvl w:ilvl="5" w:tplc="D7600742" w:tentative="1">
      <w:start w:val="1"/>
      <w:numFmt w:val="bullet"/>
      <w:lvlText w:val=""/>
      <w:lvlJc w:val="left"/>
      <w:pPr>
        <w:tabs>
          <w:tab w:val="num" w:pos="4320"/>
        </w:tabs>
        <w:ind w:left="4320" w:hanging="360"/>
      </w:pPr>
      <w:rPr>
        <w:rFonts w:ascii="Wingdings" w:hAnsi="Wingdings" w:hint="default"/>
      </w:rPr>
    </w:lvl>
    <w:lvl w:ilvl="6" w:tplc="F1E462EC" w:tentative="1">
      <w:start w:val="1"/>
      <w:numFmt w:val="bullet"/>
      <w:lvlText w:val=""/>
      <w:lvlJc w:val="left"/>
      <w:pPr>
        <w:tabs>
          <w:tab w:val="num" w:pos="5040"/>
        </w:tabs>
        <w:ind w:left="5040" w:hanging="360"/>
      </w:pPr>
      <w:rPr>
        <w:rFonts w:ascii="Symbol" w:hAnsi="Symbol" w:hint="default"/>
      </w:rPr>
    </w:lvl>
    <w:lvl w:ilvl="7" w:tplc="8D5A16B4" w:tentative="1">
      <w:start w:val="1"/>
      <w:numFmt w:val="bullet"/>
      <w:lvlText w:val="o"/>
      <w:lvlJc w:val="left"/>
      <w:pPr>
        <w:tabs>
          <w:tab w:val="num" w:pos="5760"/>
        </w:tabs>
        <w:ind w:left="5760" w:hanging="360"/>
      </w:pPr>
      <w:rPr>
        <w:rFonts w:ascii="Courier New" w:hAnsi="Courier New" w:cs="Consolas" w:hint="default"/>
      </w:rPr>
    </w:lvl>
    <w:lvl w:ilvl="8" w:tplc="5DBC771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990330D"/>
    <w:multiLevelType w:val="hybridMultilevel"/>
    <w:tmpl w:val="8B92EB8E"/>
    <w:lvl w:ilvl="0" w:tplc="A844B96A">
      <w:start w:val="1"/>
      <w:numFmt w:val="bullet"/>
      <w:pStyle w:val="BoxSeqList3"/>
      <w:lvlText w:val=""/>
      <w:lvlJc w:val="left"/>
      <w:pPr>
        <w:tabs>
          <w:tab w:val="num" w:pos="720"/>
        </w:tabs>
        <w:ind w:left="720" w:hanging="360"/>
      </w:pPr>
      <w:rPr>
        <w:rFonts w:ascii="Symbol" w:hAnsi="Symbol" w:hint="default"/>
      </w:rPr>
    </w:lvl>
    <w:lvl w:ilvl="1" w:tplc="9BC2F584" w:tentative="1">
      <w:start w:val="1"/>
      <w:numFmt w:val="bullet"/>
      <w:lvlText w:val="o"/>
      <w:lvlJc w:val="left"/>
      <w:pPr>
        <w:tabs>
          <w:tab w:val="num" w:pos="1440"/>
        </w:tabs>
        <w:ind w:left="1440" w:hanging="360"/>
      </w:pPr>
      <w:rPr>
        <w:rFonts w:ascii="Courier New" w:hAnsi="Courier New" w:cs="Consolas" w:hint="default"/>
      </w:rPr>
    </w:lvl>
    <w:lvl w:ilvl="2" w:tplc="54DCE6F2" w:tentative="1">
      <w:start w:val="1"/>
      <w:numFmt w:val="bullet"/>
      <w:lvlText w:val=""/>
      <w:lvlJc w:val="left"/>
      <w:pPr>
        <w:tabs>
          <w:tab w:val="num" w:pos="2160"/>
        </w:tabs>
        <w:ind w:left="2160" w:hanging="360"/>
      </w:pPr>
      <w:rPr>
        <w:rFonts w:ascii="Wingdings" w:hAnsi="Wingdings" w:hint="default"/>
      </w:rPr>
    </w:lvl>
    <w:lvl w:ilvl="3" w:tplc="6CFA0B66" w:tentative="1">
      <w:start w:val="1"/>
      <w:numFmt w:val="bullet"/>
      <w:lvlText w:val=""/>
      <w:lvlJc w:val="left"/>
      <w:pPr>
        <w:tabs>
          <w:tab w:val="num" w:pos="2880"/>
        </w:tabs>
        <w:ind w:left="2880" w:hanging="360"/>
      </w:pPr>
      <w:rPr>
        <w:rFonts w:ascii="Symbol" w:hAnsi="Symbol" w:hint="default"/>
      </w:rPr>
    </w:lvl>
    <w:lvl w:ilvl="4" w:tplc="9EC80C8E" w:tentative="1">
      <w:start w:val="1"/>
      <w:numFmt w:val="bullet"/>
      <w:lvlText w:val="o"/>
      <w:lvlJc w:val="left"/>
      <w:pPr>
        <w:tabs>
          <w:tab w:val="num" w:pos="3600"/>
        </w:tabs>
        <w:ind w:left="3600" w:hanging="360"/>
      </w:pPr>
      <w:rPr>
        <w:rFonts w:ascii="Courier New" w:hAnsi="Courier New" w:cs="Consolas" w:hint="default"/>
      </w:rPr>
    </w:lvl>
    <w:lvl w:ilvl="5" w:tplc="EFAACC36" w:tentative="1">
      <w:start w:val="1"/>
      <w:numFmt w:val="bullet"/>
      <w:lvlText w:val=""/>
      <w:lvlJc w:val="left"/>
      <w:pPr>
        <w:tabs>
          <w:tab w:val="num" w:pos="4320"/>
        </w:tabs>
        <w:ind w:left="4320" w:hanging="360"/>
      </w:pPr>
      <w:rPr>
        <w:rFonts w:ascii="Wingdings" w:hAnsi="Wingdings" w:hint="default"/>
      </w:rPr>
    </w:lvl>
    <w:lvl w:ilvl="6" w:tplc="E572EC80" w:tentative="1">
      <w:start w:val="1"/>
      <w:numFmt w:val="bullet"/>
      <w:lvlText w:val=""/>
      <w:lvlJc w:val="left"/>
      <w:pPr>
        <w:tabs>
          <w:tab w:val="num" w:pos="5040"/>
        </w:tabs>
        <w:ind w:left="5040" w:hanging="360"/>
      </w:pPr>
      <w:rPr>
        <w:rFonts w:ascii="Symbol" w:hAnsi="Symbol" w:hint="default"/>
      </w:rPr>
    </w:lvl>
    <w:lvl w:ilvl="7" w:tplc="6DC45B3C" w:tentative="1">
      <w:start w:val="1"/>
      <w:numFmt w:val="bullet"/>
      <w:lvlText w:val="o"/>
      <w:lvlJc w:val="left"/>
      <w:pPr>
        <w:tabs>
          <w:tab w:val="num" w:pos="5760"/>
        </w:tabs>
        <w:ind w:left="5760" w:hanging="360"/>
      </w:pPr>
      <w:rPr>
        <w:rFonts w:ascii="Courier New" w:hAnsi="Courier New" w:cs="Consolas" w:hint="default"/>
      </w:rPr>
    </w:lvl>
    <w:lvl w:ilvl="8" w:tplc="8B84DF42"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036878"/>
    <w:multiLevelType w:val="multilevel"/>
    <w:tmpl w:val="B45A9380"/>
    <w:lvl w:ilvl="0">
      <w:start w:val="1"/>
      <w:numFmt w:val="decimal"/>
      <w:lvlText w:val="%1."/>
      <w:lvlJc w:val="left"/>
      <w:pPr>
        <w:tabs>
          <w:tab w:val="num" w:pos="720"/>
        </w:tabs>
        <w:ind w:left="720" w:hanging="360"/>
      </w:pPr>
    </w:lvl>
    <w:lvl w:ilvl="1">
      <w:start w:val="3"/>
      <w:numFmt w:val="decimal"/>
      <w:isLgl/>
      <w:lvlText w:val="%1.%2"/>
      <w:lvlJc w:val="left"/>
      <w:pPr>
        <w:ind w:left="1065" w:hanging="705"/>
      </w:pPr>
      <w:rPr>
        <w:rFonts w:hint="default"/>
        <w:b/>
      </w:rPr>
    </w:lvl>
    <w:lvl w:ilvl="2">
      <w:start w:val="1"/>
      <w:numFmt w:val="decimal"/>
      <w:pStyle w:val="BoxSeqList2"/>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2C265A92"/>
    <w:multiLevelType w:val="hybridMultilevel"/>
    <w:tmpl w:val="2788D7A6"/>
    <w:lvl w:ilvl="0" w:tplc="19D452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EB1F01"/>
    <w:multiLevelType w:val="multilevel"/>
    <w:tmpl w:val="260C1CE4"/>
    <w:lvl w:ilvl="0">
      <w:start w:val="1"/>
      <w:numFmt w:val="decimal"/>
      <w:pStyle w:val="Style16"/>
      <w:lvlText w:val="%1."/>
      <w:lvlJc w:val="left"/>
      <w:pPr>
        <w:ind w:left="360" w:hanging="360"/>
      </w:pPr>
      <w:rPr>
        <w:rFonts w:hint="default"/>
      </w:rPr>
    </w:lvl>
    <w:lvl w:ilvl="1">
      <w:start w:val="1"/>
      <w:numFmt w:val="decimal"/>
      <w:pStyle w:val="Style16"/>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34501A57"/>
    <w:multiLevelType w:val="hybridMultilevel"/>
    <w:tmpl w:val="5B24FFB8"/>
    <w:lvl w:ilvl="0" w:tplc="721C2A1A">
      <w:start w:val="1"/>
      <w:numFmt w:val="decimal"/>
      <w:pStyle w:val="Bulletnumbered"/>
      <w:lvlText w:val="%1."/>
      <w:lvlJc w:val="left"/>
      <w:pPr>
        <w:ind w:left="1854" w:hanging="360"/>
      </w:pPr>
    </w:lvl>
    <w:lvl w:ilvl="1" w:tplc="9A02AD78" w:tentative="1">
      <w:start w:val="1"/>
      <w:numFmt w:val="lowerLetter"/>
      <w:lvlText w:val="%2."/>
      <w:lvlJc w:val="left"/>
      <w:pPr>
        <w:ind w:left="2574" w:hanging="360"/>
      </w:pPr>
    </w:lvl>
    <w:lvl w:ilvl="2" w:tplc="5FEA1EDC" w:tentative="1">
      <w:start w:val="1"/>
      <w:numFmt w:val="lowerRoman"/>
      <w:lvlText w:val="%3."/>
      <w:lvlJc w:val="right"/>
      <w:pPr>
        <w:ind w:left="3294" w:hanging="180"/>
      </w:pPr>
    </w:lvl>
    <w:lvl w:ilvl="3" w:tplc="3E2C8934" w:tentative="1">
      <w:start w:val="1"/>
      <w:numFmt w:val="decimal"/>
      <w:lvlText w:val="%4."/>
      <w:lvlJc w:val="left"/>
      <w:pPr>
        <w:ind w:left="4014" w:hanging="360"/>
      </w:pPr>
    </w:lvl>
    <w:lvl w:ilvl="4" w:tplc="332C7AA6" w:tentative="1">
      <w:start w:val="1"/>
      <w:numFmt w:val="lowerLetter"/>
      <w:lvlText w:val="%5."/>
      <w:lvlJc w:val="left"/>
      <w:pPr>
        <w:ind w:left="4734" w:hanging="360"/>
      </w:pPr>
    </w:lvl>
    <w:lvl w:ilvl="5" w:tplc="8D7A1C90" w:tentative="1">
      <w:start w:val="1"/>
      <w:numFmt w:val="lowerRoman"/>
      <w:lvlText w:val="%6."/>
      <w:lvlJc w:val="right"/>
      <w:pPr>
        <w:ind w:left="5454" w:hanging="180"/>
      </w:pPr>
    </w:lvl>
    <w:lvl w:ilvl="6" w:tplc="2F2C0594" w:tentative="1">
      <w:start w:val="1"/>
      <w:numFmt w:val="decimal"/>
      <w:lvlText w:val="%7."/>
      <w:lvlJc w:val="left"/>
      <w:pPr>
        <w:ind w:left="6174" w:hanging="360"/>
      </w:pPr>
    </w:lvl>
    <w:lvl w:ilvl="7" w:tplc="56508CE2" w:tentative="1">
      <w:start w:val="1"/>
      <w:numFmt w:val="lowerLetter"/>
      <w:lvlText w:val="%8."/>
      <w:lvlJc w:val="left"/>
      <w:pPr>
        <w:ind w:left="6894" w:hanging="360"/>
      </w:pPr>
    </w:lvl>
    <w:lvl w:ilvl="8" w:tplc="29FE73F8" w:tentative="1">
      <w:start w:val="1"/>
      <w:numFmt w:val="lowerRoman"/>
      <w:lvlText w:val="%9."/>
      <w:lvlJc w:val="right"/>
      <w:pPr>
        <w:ind w:left="7614" w:hanging="180"/>
      </w:pPr>
    </w:lvl>
  </w:abstractNum>
  <w:abstractNum w:abstractNumId="38" w15:restartNumberingAfterBreak="0">
    <w:nsid w:val="36620CB5"/>
    <w:multiLevelType w:val="hybridMultilevel"/>
    <w:tmpl w:val="3BD4ABCC"/>
    <w:lvl w:ilvl="0" w:tplc="85626A0A">
      <w:start w:val="1"/>
      <w:numFmt w:val="bullet"/>
      <w:pStyle w:val="NewPara"/>
      <w:lvlText w:val=""/>
      <w:lvlJc w:val="left"/>
      <w:pPr>
        <w:tabs>
          <w:tab w:val="num" w:pos="720"/>
        </w:tabs>
        <w:ind w:left="720" w:hanging="360"/>
      </w:pPr>
      <w:rPr>
        <w:rFonts w:ascii="Symbol" w:hAnsi="Symbol" w:hint="default"/>
      </w:rPr>
    </w:lvl>
    <w:lvl w:ilvl="1" w:tplc="6C183E32" w:tentative="1">
      <w:start w:val="1"/>
      <w:numFmt w:val="bullet"/>
      <w:pStyle w:val="TableEntry"/>
      <w:lvlText w:val="o"/>
      <w:lvlJc w:val="left"/>
      <w:pPr>
        <w:tabs>
          <w:tab w:val="num" w:pos="1440"/>
        </w:tabs>
        <w:ind w:left="1440" w:hanging="360"/>
      </w:pPr>
      <w:rPr>
        <w:rFonts w:ascii="Courier New" w:hAnsi="Courier New" w:cs="Consolas" w:hint="default"/>
      </w:rPr>
    </w:lvl>
    <w:lvl w:ilvl="2" w:tplc="97341F44" w:tentative="1">
      <w:start w:val="1"/>
      <w:numFmt w:val="bullet"/>
      <w:pStyle w:val="CarCar"/>
      <w:lvlText w:val=""/>
      <w:lvlJc w:val="left"/>
      <w:pPr>
        <w:tabs>
          <w:tab w:val="num" w:pos="2160"/>
        </w:tabs>
        <w:ind w:left="2160" w:hanging="360"/>
      </w:pPr>
      <w:rPr>
        <w:rFonts w:ascii="Wingdings" w:hAnsi="Wingdings" w:hint="default"/>
      </w:rPr>
    </w:lvl>
    <w:lvl w:ilvl="3" w:tplc="E5F68E6A" w:tentative="1">
      <w:start w:val="1"/>
      <w:numFmt w:val="bullet"/>
      <w:pStyle w:val="BoxTitle"/>
      <w:lvlText w:val=""/>
      <w:lvlJc w:val="left"/>
      <w:pPr>
        <w:tabs>
          <w:tab w:val="num" w:pos="2880"/>
        </w:tabs>
        <w:ind w:left="2880" w:hanging="360"/>
      </w:pPr>
      <w:rPr>
        <w:rFonts w:ascii="Symbol" w:hAnsi="Symbol" w:hint="default"/>
      </w:rPr>
    </w:lvl>
    <w:lvl w:ilvl="4" w:tplc="E146B7B2" w:tentative="1">
      <w:start w:val="1"/>
      <w:numFmt w:val="bullet"/>
      <w:lvlText w:val="o"/>
      <w:lvlJc w:val="left"/>
      <w:pPr>
        <w:tabs>
          <w:tab w:val="num" w:pos="3600"/>
        </w:tabs>
        <w:ind w:left="3600" w:hanging="360"/>
      </w:pPr>
      <w:rPr>
        <w:rFonts w:ascii="Courier New" w:hAnsi="Courier New" w:cs="Consolas" w:hint="default"/>
      </w:rPr>
    </w:lvl>
    <w:lvl w:ilvl="5" w:tplc="CBA4E2D8" w:tentative="1">
      <w:start w:val="1"/>
      <w:numFmt w:val="bullet"/>
      <w:lvlText w:val=""/>
      <w:lvlJc w:val="left"/>
      <w:pPr>
        <w:tabs>
          <w:tab w:val="num" w:pos="4320"/>
        </w:tabs>
        <w:ind w:left="4320" w:hanging="360"/>
      </w:pPr>
      <w:rPr>
        <w:rFonts w:ascii="Wingdings" w:hAnsi="Wingdings" w:hint="default"/>
      </w:rPr>
    </w:lvl>
    <w:lvl w:ilvl="6" w:tplc="09961A4C" w:tentative="1">
      <w:start w:val="1"/>
      <w:numFmt w:val="bullet"/>
      <w:lvlText w:val=""/>
      <w:lvlJc w:val="left"/>
      <w:pPr>
        <w:tabs>
          <w:tab w:val="num" w:pos="5040"/>
        </w:tabs>
        <w:ind w:left="5040" w:hanging="360"/>
      </w:pPr>
      <w:rPr>
        <w:rFonts w:ascii="Symbol" w:hAnsi="Symbol" w:hint="default"/>
      </w:rPr>
    </w:lvl>
    <w:lvl w:ilvl="7" w:tplc="40CC5086" w:tentative="1">
      <w:start w:val="1"/>
      <w:numFmt w:val="bullet"/>
      <w:lvlText w:val="o"/>
      <w:lvlJc w:val="left"/>
      <w:pPr>
        <w:tabs>
          <w:tab w:val="num" w:pos="5760"/>
        </w:tabs>
        <w:ind w:left="5760" w:hanging="360"/>
      </w:pPr>
      <w:rPr>
        <w:rFonts w:ascii="Courier New" w:hAnsi="Courier New" w:cs="Consolas" w:hint="default"/>
      </w:rPr>
    </w:lvl>
    <w:lvl w:ilvl="8" w:tplc="923CB50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7980EB6"/>
    <w:multiLevelType w:val="hybridMultilevel"/>
    <w:tmpl w:val="43C2DA88"/>
    <w:lvl w:ilvl="0" w:tplc="3A8EEBBE">
      <w:start w:val="1"/>
      <w:numFmt w:val="decimal"/>
      <w:pStyle w:val="IPPNormalCloseSpace"/>
      <w:lvlText w:val="%1."/>
      <w:lvlJc w:val="left"/>
      <w:pPr>
        <w:tabs>
          <w:tab w:val="num" w:pos="720"/>
        </w:tabs>
        <w:ind w:left="720" w:hanging="360"/>
      </w:pPr>
    </w:lvl>
    <w:lvl w:ilvl="1" w:tplc="62885C90" w:tentative="1">
      <w:start w:val="1"/>
      <w:numFmt w:val="lowerLetter"/>
      <w:lvlText w:val="%2."/>
      <w:lvlJc w:val="left"/>
      <w:pPr>
        <w:tabs>
          <w:tab w:val="num" w:pos="1440"/>
        </w:tabs>
        <w:ind w:left="1440" w:hanging="360"/>
      </w:pPr>
    </w:lvl>
    <w:lvl w:ilvl="2" w:tplc="78D638B6" w:tentative="1">
      <w:start w:val="1"/>
      <w:numFmt w:val="lowerRoman"/>
      <w:lvlText w:val="%3."/>
      <w:lvlJc w:val="right"/>
      <w:pPr>
        <w:tabs>
          <w:tab w:val="num" w:pos="2160"/>
        </w:tabs>
        <w:ind w:left="2160" w:hanging="180"/>
      </w:pPr>
    </w:lvl>
    <w:lvl w:ilvl="3" w:tplc="13A04FFA" w:tentative="1">
      <w:start w:val="1"/>
      <w:numFmt w:val="decimal"/>
      <w:lvlText w:val="%4."/>
      <w:lvlJc w:val="left"/>
      <w:pPr>
        <w:tabs>
          <w:tab w:val="num" w:pos="2880"/>
        </w:tabs>
        <w:ind w:left="2880" w:hanging="360"/>
      </w:pPr>
    </w:lvl>
    <w:lvl w:ilvl="4" w:tplc="88D48E46" w:tentative="1">
      <w:start w:val="1"/>
      <w:numFmt w:val="lowerLetter"/>
      <w:lvlText w:val="%5."/>
      <w:lvlJc w:val="left"/>
      <w:pPr>
        <w:tabs>
          <w:tab w:val="num" w:pos="3600"/>
        </w:tabs>
        <w:ind w:left="3600" w:hanging="360"/>
      </w:pPr>
    </w:lvl>
    <w:lvl w:ilvl="5" w:tplc="B930E5A4" w:tentative="1">
      <w:start w:val="1"/>
      <w:numFmt w:val="lowerRoman"/>
      <w:lvlText w:val="%6."/>
      <w:lvlJc w:val="right"/>
      <w:pPr>
        <w:tabs>
          <w:tab w:val="num" w:pos="4320"/>
        </w:tabs>
        <w:ind w:left="4320" w:hanging="180"/>
      </w:pPr>
    </w:lvl>
    <w:lvl w:ilvl="6" w:tplc="4120E2FE" w:tentative="1">
      <w:start w:val="1"/>
      <w:numFmt w:val="decimal"/>
      <w:lvlText w:val="%7."/>
      <w:lvlJc w:val="left"/>
      <w:pPr>
        <w:tabs>
          <w:tab w:val="num" w:pos="5040"/>
        </w:tabs>
        <w:ind w:left="5040" w:hanging="360"/>
      </w:pPr>
    </w:lvl>
    <w:lvl w:ilvl="7" w:tplc="CC009A92" w:tentative="1">
      <w:start w:val="1"/>
      <w:numFmt w:val="lowerLetter"/>
      <w:lvlText w:val="%8."/>
      <w:lvlJc w:val="left"/>
      <w:pPr>
        <w:tabs>
          <w:tab w:val="num" w:pos="5760"/>
        </w:tabs>
        <w:ind w:left="5760" w:hanging="360"/>
      </w:pPr>
    </w:lvl>
    <w:lvl w:ilvl="8" w:tplc="4642CD88" w:tentative="1">
      <w:start w:val="1"/>
      <w:numFmt w:val="lowerRoman"/>
      <w:lvlText w:val="%9."/>
      <w:lvlJc w:val="right"/>
      <w:pPr>
        <w:tabs>
          <w:tab w:val="num" w:pos="6480"/>
        </w:tabs>
        <w:ind w:left="6480" w:hanging="180"/>
      </w:pPr>
    </w:lvl>
  </w:abstractNum>
  <w:abstractNum w:abstractNumId="40" w15:restartNumberingAfterBreak="0">
    <w:nsid w:val="381B306B"/>
    <w:multiLevelType w:val="multilevel"/>
    <w:tmpl w:val="2E04D6D0"/>
    <w:lvl w:ilvl="0">
      <w:start w:val="1"/>
      <w:numFmt w:val="decimal"/>
      <w:pStyle w:val="List1"/>
      <w:lvlText w:val="%1."/>
      <w:lvlJc w:val="left"/>
      <w:pPr>
        <w:tabs>
          <w:tab w:val="num" w:pos="810"/>
        </w:tabs>
        <w:ind w:left="81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38264C78"/>
    <w:multiLevelType w:val="hybridMultilevel"/>
    <w:tmpl w:val="940C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B06FE7"/>
    <w:multiLevelType w:val="multilevel"/>
    <w:tmpl w:val="0A7A6A7E"/>
    <w:lvl w:ilvl="0">
      <w:start w:val="1"/>
      <w:numFmt w:val="decimal"/>
      <w:pStyle w:val="Alt2-LevelLegal1"/>
      <w:lvlText w:val="CHAPTER %1"/>
      <w:lvlJc w:val="left"/>
      <w:pPr>
        <w:tabs>
          <w:tab w:val="num" w:pos="1440"/>
        </w:tabs>
        <w:ind w:left="0" w:firstLine="0"/>
      </w:pPr>
      <w:rPr>
        <w:rFonts w:ascii="Times New Roman" w:hAnsi="Times New Roman" w:hint="default"/>
        <w:b/>
        <w:i w:val="0"/>
        <w:color w:val="000000"/>
        <w:sz w:val="28"/>
        <w:szCs w:val="28"/>
      </w:rPr>
    </w:lvl>
    <w:lvl w:ilvl="1">
      <w:start w:val="1"/>
      <w:numFmt w:val="decimal"/>
      <w:pStyle w:val="Alt2-LevelLegal2"/>
      <w:isLgl/>
      <w:lvlText w:val="%1.%2"/>
      <w:lvlJc w:val="left"/>
      <w:pPr>
        <w:tabs>
          <w:tab w:val="num" w:pos="720"/>
        </w:tabs>
        <w:ind w:left="720" w:hanging="720"/>
      </w:pPr>
      <w:rPr>
        <w:rFonts w:ascii="Times New Roman" w:hAnsi="Times New Roman" w:hint="default"/>
        <w:b/>
        <w:i w:val="0"/>
        <w:color w:val="000000"/>
        <w:sz w:val="22"/>
      </w:rPr>
    </w:lvl>
    <w:lvl w:ilvl="2">
      <w:start w:val="1"/>
      <w:numFmt w:val="decimal"/>
      <w:pStyle w:val="Alt2-LevelLegal3"/>
      <w:isLgl/>
      <w:lvlText w:val="%1.%2.%3"/>
      <w:lvlJc w:val="left"/>
      <w:pPr>
        <w:tabs>
          <w:tab w:val="num" w:pos="720"/>
        </w:tabs>
        <w:ind w:left="720" w:hanging="720"/>
      </w:pPr>
      <w:rPr>
        <w:rFonts w:ascii="Times New Roman" w:hAnsi="Times New Roman" w:hint="default"/>
        <w:b/>
        <w:i w:val="0"/>
        <w:color w:val="000000"/>
        <w:sz w:val="22"/>
      </w:rPr>
    </w:lvl>
    <w:lvl w:ilvl="3">
      <w:start w:val="1"/>
      <w:numFmt w:val="lowerLetter"/>
      <w:pStyle w:val="Alt2-LevelLegal4"/>
      <w:lvlText w:val="(%4)"/>
      <w:lvlJc w:val="left"/>
      <w:pPr>
        <w:tabs>
          <w:tab w:val="num" w:pos="1440"/>
        </w:tabs>
        <w:ind w:left="1440" w:hanging="720"/>
      </w:pPr>
      <w:rPr>
        <w:rFonts w:hint="default"/>
        <w:color w:val="000000"/>
      </w:rPr>
    </w:lvl>
    <w:lvl w:ilvl="4">
      <w:start w:val="1"/>
      <w:numFmt w:val="lowerRoman"/>
      <w:pStyle w:val="Alt2-LevelLegal5"/>
      <w:lvlText w:val="(%5)"/>
      <w:lvlJc w:val="left"/>
      <w:pPr>
        <w:tabs>
          <w:tab w:val="num" w:pos="2160"/>
        </w:tabs>
        <w:ind w:left="2160" w:hanging="720"/>
      </w:pPr>
      <w:rPr>
        <w:rFonts w:hint="default"/>
        <w:color w:val="000000"/>
      </w:rPr>
    </w:lvl>
    <w:lvl w:ilvl="5">
      <w:start w:val="1"/>
      <w:numFmt w:val="decimal"/>
      <w:pStyle w:val="Alt2-LevelLegal1"/>
      <w:lvlText w:val="%6."/>
      <w:lvlJc w:val="left"/>
      <w:pPr>
        <w:tabs>
          <w:tab w:val="num" w:pos="1440"/>
        </w:tabs>
        <w:ind w:left="1440" w:hanging="720"/>
      </w:pPr>
      <w:rPr>
        <w:rFonts w:hint="default"/>
        <w:color w:val="000000"/>
      </w:rPr>
    </w:lvl>
    <w:lvl w:ilvl="6">
      <w:start w:val="1"/>
      <w:numFmt w:val="upperLetter"/>
      <w:pStyle w:val="Alt2-LevelLegal2"/>
      <w:lvlText w:val="(%7)"/>
      <w:lvlJc w:val="left"/>
      <w:pPr>
        <w:tabs>
          <w:tab w:val="num" w:pos="3600"/>
        </w:tabs>
        <w:ind w:left="3600" w:hanging="720"/>
      </w:pPr>
      <w:rPr>
        <w:rFonts w:hint="default"/>
        <w:color w:val="00000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9540B5D"/>
    <w:multiLevelType w:val="hybridMultilevel"/>
    <w:tmpl w:val="3A7066CE"/>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C55B9C"/>
    <w:multiLevelType w:val="hybridMultilevel"/>
    <w:tmpl w:val="70BE8C52"/>
    <w:lvl w:ilvl="0" w:tplc="8D5A24AC">
      <w:start w:val="1"/>
      <w:numFmt w:val="decimal"/>
      <w:pStyle w:val="GEFChar"/>
      <w:lvlText w:val="%1."/>
      <w:lvlJc w:val="left"/>
      <w:pPr>
        <w:tabs>
          <w:tab w:val="num" w:pos="720"/>
        </w:tabs>
        <w:ind w:left="720" w:hanging="360"/>
      </w:pPr>
    </w:lvl>
    <w:lvl w:ilvl="1" w:tplc="68121BF6" w:tentative="1">
      <w:start w:val="1"/>
      <w:numFmt w:val="lowerLetter"/>
      <w:lvlText w:val="%2."/>
      <w:lvlJc w:val="left"/>
      <w:pPr>
        <w:tabs>
          <w:tab w:val="num" w:pos="1440"/>
        </w:tabs>
        <w:ind w:left="1440" w:hanging="360"/>
      </w:pPr>
    </w:lvl>
    <w:lvl w:ilvl="2" w:tplc="EC4A60C4" w:tentative="1">
      <w:start w:val="1"/>
      <w:numFmt w:val="lowerRoman"/>
      <w:lvlText w:val="%3."/>
      <w:lvlJc w:val="right"/>
      <w:pPr>
        <w:tabs>
          <w:tab w:val="num" w:pos="2160"/>
        </w:tabs>
        <w:ind w:left="2160" w:hanging="180"/>
      </w:pPr>
    </w:lvl>
    <w:lvl w:ilvl="3" w:tplc="96D4CBA0" w:tentative="1">
      <w:start w:val="1"/>
      <w:numFmt w:val="decimal"/>
      <w:lvlText w:val="%4."/>
      <w:lvlJc w:val="left"/>
      <w:pPr>
        <w:tabs>
          <w:tab w:val="num" w:pos="2880"/>
        </w:tabs>
        <w:ind w:left="2880" w:hanging="360"/>
      </w:pPr>
    </w:lvl>
    <w:lvl w:ilvl="4" w:tplc="632263AC" w:tentative="1">
      <w:start w:val="1"/>
      <w:numFmt w:val="lowerLetter"/>
      <w:lvlText w:val="%5."/>
      <w:lvlJc w:val="left"/>
      <w:pPr>
        <w:tabs>
          <w:tab w:val="num" w:pos="3600"/>
        </w:tabs>
        <w:ind w:left="3600" w:hanging="360"/>
      </w:pPr>
    </w:lvl>
    <w:lvl w:ilvl="5" w:tplc="323A3212" w:tentative="1">
      <w:start w:val="1"/>
      <w:numFmt w:val="lowerRoman"/>
      <w:lvlText w:val="%6."/>
      <w:lvlJc w:val="right"/>
      <w:pPr>
        <w:tabs>
          <w:tab w:val="num" w:pos="4320"/>
        </w:tabs>
        <w:ind w:left="4320" w:hanging="180"/>
      </w:pPr>
    </w:lvl>
    <w:lvl w:ilvl="6" w:tplc="2CE6F4E6" w:tentative="1">
      <w:start w:val="1"/>
      <w:numFmt w:val="decimal"/>
      <w:lvlText w:val="%7."/>
      <w:lvlJc w:val="left"/>
      <w:pPr>
        <w:tabs>
          <w:tab w:val="num" w:pos="5040"/>
        </w:tabs>
        <w:ind w:left="5040" w:hanging="360"/>
      </w:pPr>
    </w:lvl>
    <w:lvl w:ilvl="7" w:tplc="A6082C4C" w:tentative="1">
      <w:start w:val="1"/>
      <w:numFmt w:val="lowerLetter"/>
      <w:lvlText w:val="%8."/>
      <w:lvlJc w:val="left"/>
      <w:pPr>
        <w:tabs>
          <w:tab w:val="num" w:pos="5760"/>
        </w:tabs>
        <w:ind w:left="5760" w:hanging="360"/>
      </w:pPr>
    </w:lvl>
    <w:lvl w:ilvl="8" w:tplc="A6FCAFB6" w:tentative="1">
      <w:start w:val="1"/>
      <w:numFmt w:val="lowerRoman"/>
      <w:lvlText w:val="%9."/>
      <w:lvlJc w:val="right"/>
      <w:pPr>
        <w:tabs>
          <w:tab w:val="num" w:pos="6480"/>
        </w:tabs>
        <w:ind w:left="6480" w:hanging="180"/>
      </w:pPr>
    </w:lvl>
  </w:abstractNum>
  <w:abstractNum w:abstractNumId="45" w15:restartNumberingAfterBreak="0">
    <w:nsid w:val="3C751712"/>
    <w:multiLevelType w:val="multilevel"/>
    <w:tmpl w:val="D550D922"/>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3F821D89"/>
    <w:multiLevelType w:val="hybridMultilevel"/>
    <w:tmpl w:val="4296CB94"/>
    <w:name w:val="AltLvl2ListTemplate"/>
    <w:lvl w:ilvl="0" w:tplc="5C3E2BBE">
      <w:start w:val="1"/>
      <w:numFmt w:val="bullet"/>
      <w:pStyle w:val="ListParagraph1"/>
      <w:lvlText w:val=""/>
      <w:lvlJc w:val="left"/>
      <w:pPr>
        <w:ind w:left="720" w:hanging="360"/>
      </w:pPr>
      <w:rPr>
        <w:rFonts w:ascii="Symbol" w:hAnsi="Symbol" w:hint="default"/>
      </w:rPr>
    </w:lvl>
    <w:lvl w:ilvl="1" w:tplc="78363A18" w:tentative="1">
      <w:start w:val="1"/>
      <w:numFmt w:val="bullet"/>
      <w:lvlText w:val="o"/>
      <w:lvlJc w:val="left"/>
      <w:pPr>
        <w:ind w:left="1440" w:hanging="360"/>
      </w:pPr>
      <w:rPr>
        <w:rFonts w:ascii="Courier New" w:hAnsi="Courier New" w:hint="default"/>
      </w:rPr>
    </w:lvl>
    <w:lvl w:ilvl="2" w:tplc="39468530" w:tentative="1">
      <w:start w:val="1"/>
      <w:numFmt w:val="bullet"/>
      <w:lvlText w:val=""/>
      <w:lvlJc w:val="left"/>
      <w:pPr>
        <w:ind w:left="2160" w:hanging="360"/>
      </w:pPr>
      <w:rPr>
        <w:rFonts w:ascii="Wingdings" w:hAnsi="Wingdings" w:hint="default"/>
      </w:rPr>
    </w:lvl>
    <w:lvl w:ilvl="3" w:tplc="21F639EE" w:tentative="1">
      <w:start w:val="1"/>
      <w:numFmt w:val="bullet"/>
      <w:lvlText w:val=""/>
      <w:lvlJc w:val="left"/>
      <w:pPr>
        <w:ind w:left="2880" w:hanging="360"/>
      </w:pPr>
      <w:rPr>
        <w:rFonts w:ascii="Symbol" w:hAnsi="Symbol" w:hint="default"/>
      </w:rPr>
    </w:lvl>
    <w:lvl w:ilvl="4" w:tplc="E04E98DA" w:tentative="1">
      <w:start w:val="1"/>
      <w:numFmt w:val="bullet"/>
      <w:lvlText w:val="o"/>
      <w:lvlJc w:val="left"/>
      <w:pPr>
        <w:ind w:left="3600" w:hanging="360"/>
      </w:pPr>
      <w:rPr>
        <w:rFonts w:ascii="Courier New" w:hAnsi="Courier New" w:hint="default"/>
      </w:rPr>
    </w:lvl>
    <w:lvl w:ilvl="5" w:tplc="55A61C4C" w:tentative="1">
      <w:start w:val="1"/>
      <w:numFmt w:val="bullet"/>
      <w:lvlText w:val=""/>
      <w:lvlJc w:val="left"/>
      <w:pPr>
        <w:ind w:left="4320" w:hanging="360"/>
      </w:pPr>
      <w:rPr>
        <w:rFonts w:ascii="Wingdings" w:hAnsi="Wingdings" w:hint="default"/>
      </w:rPr>
    </w:lvl>
    <w:lvl w:ilvl="6" w:tplc="FCE0A7A0" w:tentative="1">
      <w:start w:val="1"/>
      <w:numFmt w:val="bullet"/>
      <w:lvlText w:val=""/>
      <w:lvlJc w:val="left"/>
      <w:pPr>
        <w:ind w:left="5040" w:hanging="360"/>
      </w:pPr>
      <w:rPr>
        <w:rFonts w:ascii="Symbol" w:hAnsi="Symbol" w:hint="default"/>
      </w:rPr>
    </w:lvl>
    <w:lvl w:ilvl="7" w:tplc="4BC2D52A" w:tentative="1">
      <w:start w:val="1"/>
      <w:numFmt w:val="bullet"/>
      <w:lvlText w:val="o"/>
      <w:lvlJc w:val="left"/>
      <w:pPr>
        <w:ind w:left="5760" w:hanging="360"/>
      </w:pPr>
      <w:rPr>
        <w:rFonts w:ascii="Courier New" w:hAnsi="Courier New" w:hint="default"/>
      </w:rPr>
    </w:lvl>
    <w:lvl w:ilvl="8" w:tplc="391EB116" w:tentative="1">
      <w:start w:val="1"/>
      <w:numFmt w:val="bullet"/>
      <w:lvlText w:val=""/>
      <w:lvlJc w:val="left"/>
      <w:pPr>
        <w:ind w:left="6480" w:hanging="360"/>
      </w:pPr>
      <w:rPr>
        <w:rFonts w:ascii="Wingdings" w:hAnsi="Wingdings" w:hint="default"/>
      </w:rPr>
    </w:lvl>
  </w:abstractNum>
  <w:abstractNum w:abstractNumId="47" w15:restartNumberingAfterBreak="0">
    <w:nsid w:val="3FEA3652"/>
    <w:multiLevelType w:val="multilevel"/>
    <w:tmpl w:val="3140F2DA"/>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1330EAC"/>
    <w:multiLevelType w:val="multilevel"/>
    <w:tmpl w:val="0A92EF3C"/>
    <w:lvl w:ilvl="0">
      <w:start w:val="1"/>
      <w:numFmt w:val="bullet"/>
      <w:pStyle w:val="AR4Listbullet1"/>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46E50A78"/>
    <w:multiLevelType w:val="hybridMultilevel"/>
    <w:tmpl w:val="B4B07384"/>
    <w:lvl w:ilvl="0" w:tplc="510A4844">
      <w:start w:val="1"/>
      <w:numFmt w:val="bullet"/>
      <w:pStyle w:val="CM3"/>
      <w:lvlText w:val=""/>
      <w:lvlJc w:val="left"/>
      <w:pPr>
        <w:tabs>
          <w:tab w:val="num" w:pos="720"/>
        </w:tabs>
        <w:ind w:left="720" w:hanging="360"/>
      </w:pPr>
      <w:rPr>
        <w:rFonts w:ascii="Symbol" w:hAnsi="Symbol" w:hint="default"/>
      </w:rPr>
    </w:lvl>
    <w:lvl w:ilvl="1" w:tplc="ADB0C450" w:tentative="1">
      <w:start w:val="1"/>
      <w:numFmt w:val="bullet"/>
      <w:lvlText w:val="o"/>
      <w:lvlJc w:val="left"/>
      <w:pPr>
        <w:tabs>
          <w:tab w:val="num" w:pos="1440"/>
        </w:tabs>
        <w:ind w:left="1440" w:hanging="360"/>
      </w:pPr>
      <w:rPr>
        <w:rFonts w:ascii="Courier New" w:hAnsi="Courier New" w:cs="Consolas" w:hint="default"/>
      </w:rPr>
    </w:lvl>
    <w:lvl w:ilvl="2" w:tplc="A738BCF6" w:tentative="1">
      <w:start w:val="1"/>
      <w:numFmt w:val="bullet"/>
      <w:lvlText w:val=""/>
      <w:lvlJc w:val="left"/>
      <w:pPr>
        <w:tabs>
          <w:tab w:val="num" w:pos="2160"/>
        </w:tabs>
        <w:ind w:left="2160" w:hanging="360"/>
      </w:pPr>
      <w:rPr>
        <w:rFonts w:ascii="Wingdings" w:hAnsi="Wingdings" w:hint="default"/>
      </w:rPr>
    </w:lvl>
    <w:lvl w:ilvl="3" w:tplc="BE7C49E6" w:tentative="1">
      <w:start w:val="1"/>
      <w:numFmt w:val="bullet"/>
      <w:lvlText w:val=""/>
      <w:lvlJc w:val="left"/>
      <w:pPr>
        <w:tabs>
          <w:tab w:val="num" w:pos="2880"/>
        </w:tabs>
        <w:ind w:left="2880" w:hanging="360"/>
      </w:pPr>
      <w:rPr>
        <w:rFonts w:ascii="Symbol" w:hAnsi="Symbol" w:hint="default"/>
      </w:rPr>
    </w:lvl>
    <w:lvl w:ilvl="4" w:tplc="73342BE4" w:tentative="1">
      <w:start w:val="1"/>
      <w:numFmt w:val="bullet"/>
      <w:lvlText w:val="o"/>
      <w:lvlJc w:val="left"/>
      <w:pPr>
        <w:tabs>
          <w:tab w:val="num" w:pos="3600"/>
        </w:tabs>
        <w:ind w:left="3600" w:hanging="360"/>
      </w:pPr>
      <w:rPr>
        <w:rFonts w:ascii="Courier New" w:hAnsi="Courier New" w:cs="Consolas" w:hint="default"/>
      </w:rPr>
    </w:lvl>
    <w:lvl w:ilvl="5" w:tplc="21DC4B6E" w:tentative="1">
      <w:start w:val="1"/>
      <w:numFmt w:val="bullet"/>
      <w:lvlText w:val=""/>
      <w:lvlJc w:val="left"/>
      <w:pPr>
        <w:tabs>
          <w:tab w:val="num" w:pos="4320"/>
        </w:tabs>
        <w:ind w:left="4320" w:hanging="360"/>
      </w:pPr>
      <w:rPr>
        <w:rFonts w:ascii="Wingdings" w:hAnsi="Wingdings" w:hint="default"/>
      </w:rPr>
    </w:lvl>
    <w:lvl w:ilvl="6" w:tplc="350C58EE" w:tentative="1">
      <w:start w:val="1"/>
      <w:numFmt w:val="bullet"/>
      <w:lvlText w:val=""/>
      <w:lvlJc w:val="left"/>
      <w:pPr>
        <w:tabs>
          <w:tab w:val="num" w:pos="5040"/>
        </w:tabs>
        <w:ind w:left="5040" w:hanging="360"/>
      </w:pPr>
      <w:rPr>
        <w:rFonts w:ascii="Symbol" w:hAnsi="Symbol" w:hint="default"/>
      </w:rPr>
    </w:lvl>
    <w:lvl w:ilvl="7" w:tplc="39E203C6" w:tentative="1">
      <w:start w:val="1"/>
      <w:numFmt w:val="bullet"/>
      <w:lvlText w:val="o"/>
      <w:lvlJc w:val="left"/>
      <w:pPr>
        <w:tabs>
          <w:tab w:val="num" w:pos="5760"/>
        </w:tabs>
        <w:ind w:left="5760" w:hanging="360"/>
      </w:pPr>
      <w:rPr>
        <w:rFonts w:ascii="Courier New" w:hAnsi="Courier New" w:cs="Consolas" w:hint="default"/>
      </w:rPr>
    </w:lvl>
    <w:lvl w:ilvl="8" w:tplc="FE84D040"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B1E7BCB"/>
    <w:multiLevelType w:val="hybridMultilevel"/>
    <w:tmpl w:val="2ECCB4D8"/>
    <w:lvl w:ilvl="0" w:tplc="933AA438">
      <w:start w:val="1"/>
      <w:numFmt w:val="bullet"/>
      <w:pStyle w:val="DashListLev3"/>
      <w:lvlText w:val="-"/>
      <w:lvlJc w:val="left"/>
      <w:pPr>
        <w:tabs>
          <w:tab w:val="num" w:pos="1080"/>
        </w:tabs>
        <w:ind w:left="1080" w:hanging="360"/>
      </w:pPr>
      <w:rPr>
        <w:rFonts w:ascii="Times New Roman" w:eastAsia="Times New Roman" w:hAnsi="Times New Roman" w:cs="Times New Roman" w:hint="default"/>
      </w:rPr>
    </w:lvl>
    <w:lvl w:ilvl="1" w:tplc="A19669D6" w:tentative="1">
      <w:start w:val="1"/>
      <w:numFmt w:val="bullet"/>
      <w:lvlText w:val="o"/>
      <w:lvlJc w:val="left"/>
      <w:pPr>
        <w:tabs>
          <w:tab w:val="num" w:pos="1800"/>
        </w:tabs>
        <w:ind w:left="1800" w:hanging="360"/>
      </w:pPr>
      <w:rPr>
        <w:rFonts w:ascii="Courier New" w:hAnsi="Courier New" w:cs="Arial" w:hint="default"/>
      </w:rPr>
    </w:lvl>
    <w:lvl w:ilvl="2" w:tplc="962A583A" w:tentative="1">
      <w:start w:val="1"/>
      <w:numFmt w:val="bullet"/>
      <w:lvlText w:val=""/>
      <w:lvlJc w:val="left"/>
      <w:pPr>
        <w:tabs>
          <w:tab w:val="num" w:pos="2520"/>
        </w:tabs>
        <w:ind w:left="2520" w:hanging="360"/>
      </w:pPr>
      <w:rPr>
        <w:rFonts w:ascii="Wingdings" w:hAnsi="Wingdings" w:hint="default"/>
      </w:rPr>
    </w:lvl>
    <w:lvl w:ilvl="3" w:tplc="0B3EBCF8" w:tentative="1">
      <w:start w:val="1"/>
      <w:numFmt w:val="bullet"/>
      <w:lvlText w:val=""/>
      <w:lvlJc w:val="left"/>
      <w:pPr>
        <w:tabs>
          <w:tab w:val="num" w:pos="3240"/>
        </w:tabs>
        <w:ind w:left="3240" w:hanging="360"/>
      </w:pPr>
      <w:rPr>
        <w:rFonts w:ascii="Symbol" w:hAnsi="Symbol" w:hint="default"/>
      </w:rPr>
    </w:lvl>
    <w:lvl w:ilvl="4" w:tplc="1714CF22" w:tentative="1">
      <w:start w:val="1"/>
      <w:numFmt w:val="bullet"/>
      <w:lvlText w:val="o"/>
      <w:lvlJc w:val="left"/>
      <w:pPr>
        <w:tabs>
          <w:tab w:val="num" w:pos="3960"/>
        </w:tabs>
        <w:ind w:left="3960" w:hanging="360"/>
      </w:pPr>
      <w:rPr>
        <w:rFonts w:ascii="Courier New" w:hAnsi="Courier New" w:cs="Arial" w:hint="default"/>
      </w:rPr>
    </w:lvl>
    <w:lvl w:ilvl="5" w:tplc="D6864FF4" w:tentative="1">
      <w:start w:val="1"/>
      <w:numFmt w:val="bullet"/>
      <w:lvlText w:val=""/>
      <w:lvlJc w:val="left"/>
      <w:pPr>
        <w:tabs>
          <w:tab w:val="num" w:pos="4680"/>
        </w:tabs>
        <w:ind w:left="4680" w:hanging="360"/>
      </w:pPr>
      <w:rPr>
        <w:rFonts w:ascii="Wingdings" w:hAnsi="Wingdings" w:hint="default"/>
      </w:rPr>
    </w:lvl>
    <w:lvl w:ilvl="6" w:tplc="AB82342E" w:tentative="1">
      <w:start w:val="1"/>
      <w:numFmt w:val="bullet"/>
      <w:lvlText w:val=""/>
      <w:lvlJc w:val="left"/>
      <w:pPr>
        <w:tabs>
          <w:tab w:val="num" w:pos="5400"/>
        </w:tabs>
        <w:ind w:left="5400" w:hanging="360"/>
      </w:pPr>
      <w:rPr>
        <w:rFonts w:ascii="Symbol" w:hAnsi="Symbol" w:hint="default"/>
      </w:rPr>
    </w:lvl>
    <w:lvl w:ilvl="7" w:tplc="14067868" w:tentative="1">
      <w:start w:val="1"/>
      <w:numFmt w:val="bullet"/>
      <w:lvlText w:val="o"/>
      <w:lvlJc w:val="left"/>
      <w:pPr>
        <w:tabs>
          <w:tab w:val="num" w:pos="6120"/>
        </w:tabs>
        <w:ind w:left="6120" w:hanging="360"/>
      </w:pPr>
      <w:rPr>
        <w:rFonts w:ascii="Courier New" w:hAnsi="Courier New" w:cs="Arial" w:hint="default"/>
      </w:rPr>
    </w:lvl>
    <w:lvl w:ilvl="8" w:tplc="C338E22E"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D9F0B9B"/>
    <w:multiLevelType w:val="hybridMultilevel"/>
    <w:tmpl w:val="D792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E166811"/>
    <w:multiLevelType w:val="hybridMultilevel"/>
    <w:tmpl w:val="78E4687C"/>
    <w:lvl w:ilvl="0" w:tplc="2A2A1BC6">
      <w:start w:val="2"/>
      <w:numFmt w:val="lowerLetter"/>
      <w:pStyle w:val="IPPAnnexHeadAppendix"/>
      <w:lvlText w:val="(%1)"/>
      <w:lvlJc w:val="left"/>
      <w:pPr>
        <w:tabs>
          <w:tab w:val="num" w:pos="1080"/>
        </w:tabs>
        <w:ind w:left="1080" w:hanging="720"/>
      </w:pPr>
      <w:rPr>
        <w:rFonts w:hint="default"/>
      </w:rPr>
    </w:lvl>
    <w:lvl w:ilvl="1" w:tplc="BEBCB278" w:tentative="1">
      <w:start w:val="1"/>
      <w:numFmt w:val="lowerLetter"/>
      <w:lvlText w:val="%2."/>
      <w:lvlJc w:val="left"/>
      <w:pPr>
        <w:tabs>
          <w:tab w:val="num" w:pos="1440"/>
        </w:tabs>
        <w:ind w:left="1440" w:hanging="360"/>
      </w:pPr>
    </w:lvl>
    <w:lvl w:ilvl="2" w:tplc="22B83E10" w:tentative="1">
      <w:start w:val="1"/>
      <w:numFmt w:val="lowerRoman"/>
      <w:lvlText w:val="%3."/>
      <w:lvlJc w:val="right"/>
      <w:pPr>
        <w:tabs>
          <w:tab w:val="num" w:pos="2160"/>
        </w:tabs>
        <w:ind w:left="2160" w:hanging="180"/>
      </w:pPr>
    </w:lvl>
    <w:lvl w:ilvl="3" w:tplc="76A2A9C2" w:tentative="1">
      <w:start w:val="1"/>
      <w:numFmt w:val="decimal"/>
      <w:lvlText w:val="%4."/>
      <w:lvlJc w:val="left"/>
      <w:pPr>
        <w:tabs>
          <w:tab w:val="num" w:pos="2880"/>
        </w:tabs>
        <w:ind w:left="2880" w:hanging="360"/>
      </w:pPr>
    </w:lvl>
    <w:lvl w:ilvl="4" w:tplc="FBF6C78C" w:tentative="1">
      <w:start w:val="1"/>
      <w:numFmt w:val="lowerLetter"/>
      <w:lvlText w:val="%5."/>
      <w:lvlJc w:val="left"/>
      <w:pPr>
        <w:tabs>
          <w:tab w:val="num" w:pos="3600"/>
        </w:tabs>
        <w:ind w:left="3600" w:hanging="360"/>
      </w:pPr>
    </w:lvl>
    <w:lvl w:ilvl="5" w:tplc="E23A710C" w:tentative="1">
      <w:start w:val="1"/>
      <w:numFmt w:val="lowerRoman"/>
      <w:lvlText w:val="%6."/>
      <w:lvlJc w:val="right"/>
      <w:pPr>
        <w:tabs>
          <w:tab w:val="num" w:pos="4320"/>
        </w:tabs>
        <w:ind w:left="4320" w:hanging="180"/>
      </w:pPr>
    </w:lvl>
    <w:lvl w:ilvl="6" w:tplc="615A0DEC" w:tentative="1">
      <w:start w:val="1"/>
      <w:numFmt w:val="decimal"/>
      <w:lvlText w:val="%7."/>
      <w:lvlJc w:val="left"/>
      <w:pPr>
        <w:tabs>
          <w:tab w:val="num" w:pos="5040"/>
        </w:tabs>
        <w:ind w:left="5040" w:hanging="360"/>
      </w:pPr>
    </w:lvl>
    <w:lvl w:ilvl="7" w:tplc="9D8ED22C" w:tentative="1">
      <w:start w:val="1"/>
      <w:numFmt w:val="lowerLetter"/>
      <w:lvlText w:val="%8."/>
      <w:lvlJc w:val="left"/>
      <w:pPr>
        <w:tabs>
          <w:tab w:val="num" w:pos="5760"/>
        </w:tabs>
        <w:ind w:left="5760" w:hanging="360"/>
      </w:pPr>
    </w:lvl>
    <w:lvl w:ilvl="8" w:tplc="990C0C12" w:tentative="1">
      <w:start w:val="1"/>
      <w:numFmt w:val="lowerRoman"/>
      <w:lvlText w:val="%9."/>
      <w:lvlJc w:val="right"/>
      <w:pPr>
        <w:tabs>
          <w:tab w:val="num" w:pos="6480"/>
        </w:tabs>
        <w:ind w:left="6480" w:hanging="180"/>
      </w:pPr>
    </w:lvl>
  </w:abstractNum>
  <w:abstractNum w:abstractNumId="53" w15:restartNumberingAfterBreak="0">
    <w:nsid w:val="4EBD6056"/>
    <w:multiLevelType w:val="singleLevel"/>
    <w:tmpl w:val="22D82B4C"/>
    <w:lvl w:ilvl="0">
      <w:start w:val="1"/>
      <w:numFmt w:val="lowerRoman"/>
      <w:pStyle w:val="Paralevel3"/>
      <w:lvlText w:val="(%1)"/>
      <w:lvlJc w:val="left"/>
      <w:pPr>
        <w:tabs>
          <w:tab w:val="num" w:pos="2892"/>
        </w:tabs>
        <w:ind w:left="2892" w:hanging="579"/>
      </w:pPr>
      <w:rPr>
        <w:rFonts w:hint="default"/>
      </w:rPr>
    </w:lvl>
  </w:abstractNum>
  <w:abstractNum w:abstractNumId="54" w15:restartNumberingAfterBreak="0">
    <w:nsid w:val="51F3281C"/>
    <w:multiLevelType w:val="multilevel"/>
    <w:tmpl w:val="CFFC9744"/>
    <w:lvl w:ilvl="0">
      <w:start w:val="1"/>
      <w:numFmt w:val="decimal"/>
      <w:pStyle w:val="CM33"/>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15:restartNumberingAfterBreak="0">
    <w:nsid w:val="52A66A9D"/>
    <w:multiLevelType w:val="multilevel"/>
    <w:tmpl w:val="BAF606F8"/>
    <w:styleLink w:val="Normallist"/>
    <w:lvl w:ilvl="0">
      <w:start w:val="1"/>
      <w:numFmt w:val="decimal"/>
      <w:lvlText w:val="(%1)"/>
      <w:lvlJc w:val="left"/>
      <w:pPr>
        <w:ind w:left="1607" w:hanging="360"/>
      </w:pPr>
      <w:rPr>
        <w:rFonts w:hint="default"/>
      </w:rPr>
    </w:lvl>
    <w:lvl w:ilvl="1">
      <w:start w:val="1"/>
      <w:numFmt w:val="lowerLetter"/>
      <w:lvlText w:val="(%2)"/>
      <w:lvlJc w:val="left"/>
      <w:pPr>
        <w:tabs>
          <w:tab w:val="num" w:pos="568"/>
        </w:tabs>
        <w:ind w:left="1248" w:firstLine="567"/>
      </w:pPr>
      <w:rPr>
        <w:rFonts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Letter"/>
      <w:lvlText w:val="%5."/>
      <w:lvlJc w:val="left"/>
      <w:pPr>
        <w:tabs>
          <w:tab w:val="num" w:pos="6549"/>
        </w:tabs>
        <w:ind w:left="6549" w:hanging="360"/>
      </w:pPr>
      <w:rPr>
        <w:rFonts w:hint="default"/>
      </w:rPr>
    </w:lvl>
    <w:lvl w:ilvl="5">
      <w:start w:val="1"/>
      <w:numFmt w:val="lowerRoman"/>
      <w:lvlText w:val="%6."/>
      <w:lvlJc w:val="right"/>
      <w:pPr>
        <w:tabs>
          <w:tab w:val="num" w:pos="7269"/>
        </w:tabs>
        <w:ind w:left="7269" w:hanging="180"/>
      </w:pPr>
      <w:rPr>
        <w:rFonts w:hint="default"/>
      </w:rPr>
    </w:lvl>
    <w:lvl w:ilvl="6">
      <w:start w:val="1"/>
      <w:numFmt w:val="decimal"/>
      <w:lvlText w:val="%7."/>
      <w:lvlJc w:val="left"/>
      <w:pPr>
        <w:tabs>
          <w:tab w:val="num" w:pos="7989"/>
        </w:tabs>
        <w:ind w:left="7989" w:hanging="360"/>
      </w:pPr>
      <w:rPr>
        <w:rFonts w:hint="default"/>
      </w:rPr>
    </w:lvl>
    <w:lvl w:ilvl="7">
      <w:start w:val="1"/>
      <w:numFmt w:val="lowerLetter"/>
      <w:lvlText w:val="%8."/>
      <w:lvlJc w:val="left"/>
      <w:pPr>
        <w:tabs>
          <w:tab w:val="num" w:pos="8709"/>
        </w:tabs>
        <w:ind w:left="8709" w:hanging="360"/>
      </w:pPr>
      <w:rPr>
        <w:rFonts w:hint="default"/>
      </w:rPr>
    </w:lvl>
    <w:lvl w:ilvl="8">
      <w:start w:val="1"/>
      <w:numFmt w:val="lowerRoman"/>
      <w:lvlText w:val="%9."/>
      <w:lvlJc w:val="right"/>
      <w:pPr>
        <w:tabs>
          <w:tab w:val="num" w:pos="9429"/>
        </w:tabs>
        <w:ind w:left="9429" w:hanging="180"/>
      </w:pPr>
      <w:rPr>
        <w:rFonts w:hint="default"/>
      </w:rPr>
    </w:lvl>
  </w:abstractNum>
  <w:abstractNum w:abstractNumId="56" w15:restartNumberingAfterBreak="0">
    <w:nsid w:val="55862C32"/>
    <w:multiLevelType w:val="hybridMultilevel"/>
    <w:tmpl w:val="65F27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8C0889"/>
    <w:multiLevelType w:val="hybridMultilevel"/>
    <w:tmpl w:val="394A54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56D9100B"/>
    <w:multiLevelType w:val="multilevel"/>
    <w:tmpl w:val="7834EB9A"/>
    <w:lvl w:ilvl="0">
      <w:start w:val="1"/>
      <w:numFmt w:val="lowerLetter"/>
      <w:pStyle w:val="CH4"/>
      <w:lvlText w:val="(%1)"/>
      <w:lvlJc w:val="left"/>
      <w:pPr>
        <w:tabs>
          <w:tab w:val="num" w:pos="0"/>
        </w:tabs>
        <w:ind w:left="578" w:firstLine="0"/>
      </w:pPr>
      <w:rPr>
        <w:rFonts w:ascii="Times New Roman" w:hAnsi="Times New Roman" w:hint="default"/>
        <w:b/>
        <w:i w:val="0"/>
        <w:sz w:val="20"/>
        <w:szCs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576466B0"/>
    <w:multiLevelType w:val="singleLevel"/>
    <w:tmpl w:val="04090001"/>
    <w:lvl w:ilvl="0">
      <w:start w:val="1"/>
      <w:numFmt w:val="bullet"/>
      <w:pStyle w:val="Smallbullet"/>
      <w:lvlText w:val=""/>
      <w:lvlJc w:val="left"/>
      <w:pPr>
        <w:tabs>
          <w:tab w:val="num" w:pos="360"/>
        </w:tabs>
        <w:ind w:left="360" w:hanging="360"/>
      </w:pPr>
      <w:rPr>
        <w:rFonts w:ascii="Symbol" w:hAnsi="Symbol" w:hint="default"/>
      </w:rPr>
    </w:lvl>
  </w:abstractNum>
  <w:abstractNum w:abstractNumId="60" w15:restartNumberingAfterBreak="0">
    <w:nsid w:val="57D67D5C"/>
    <w:multiLevelType w:val="hybridMultilevel"/>
    <w:tmpl w:val="056421B2"/>
    <w:lvl w:ilvl="0" w:tplc="0F64CE84">
      <w:start w:val="1"/>
      <w:numFmt w:val="lowerLetter"/>
      <w:lvlText w:val="%1)"/>
      <w:lvlJc w:val="left"/>
      <w:pPr>
        <w:tabs>
          <w:tab w:val="num" w:pos="720"/>
        </w:tabs>
        <w:ind w:left="720" w:hanging="360"/>
      </w:pPr>
    </w:lvl>
    <w:lvl w:ilvl="1" w:tplc="32E00BFA" w:tentative="1">
      <w:start w:val="1"/>
      <w:numFmt w:val="lowerLetter"/>
      <w:lvlText w:val="%2)"/>
      <w:lvlJc w:val="left"/>
      <w:pPr>
        <w:tabs>
          <w:tab w:val="num" w:pos="1440"/>
        </w:tabs>
        <w:ind w:left="1440" w:hanging="360"/>
      </w:pPr>
    </w:lvl>
    <w:lvl w:ilvl="2" w:tplc="DAD4A85C" w:tentative="1">
      <w:start w:val="1"/>
      <w:numFmt w:val="lowerLetter"/>
      <w:lvlText w:val="%3)"/>
      <w:lvlJc w:val="left"/>
      <w:pPr>
        <w:tabs>
          <w:tab w:val="num" w:pos="2160"/>
        </w:tabs>
        <w:ind w:left="2160" w:hanging="360"/>
      </w:pPr>
    </w:lvl>
    <w:lvl w:ilvl="3" w:tplc="3E56F9C2" w:tentative="1">
      <w:start w:val="1"/>
      <w:numFmt w:val="lowerLetter"/>
      <w:lvlText w:val="%4)"/>
      <w:lvlJc w:val="left"/>
      <w:pPr>
        <w:tabs>
          <w:tab w:val="num" w:pos="2880"/>
        </w:tabs>
        <w:ind w:left="2880" w:hanging="360"/>
      </w:pPr>
    </w:lvl>
    <w:lvl w:ilvl="4" w:tplc="30544CEE" w:tentative="1">
      <w:start w:val="1"/>
      <w:numFmt w:val="lowerLetter"/>
      <w:lvlText w:val="%5)"/>
      <w:lvlJc w:val="left"/>
      <w:pPr>
        <w:tabs>
          <w:tab w:val="num" w:pos="3600"/>
        </w:tabs>
        <w:ind w:left="3600" w:hanging="360"/>
      </w:pPr>
    </w:lvl>
    <w:lvl w:ilvl="5" w:tplc="CF2C7DD8" w:tentative="1">
      <w:start w:val="1"/>
      <w:numFmt w:val="lowerLetter"/>
      <w:lvlText w:val="%6)"/>
      <w:lvlJc w:val="left"/>
      <w:pPr>
        <w:tabs>
          <w:tab w:val="num" w:pos="4320"/>
        </w:tabs>
        <w:ind w:left="4320" w:hanging="360"/>
      </w:pPr>
    </w:lvl>
    <w:lvl w:ilvl="6" w:tplc="2474EB10" w:tentative="1">
      <w:start w:val="1"/>
      <w:numFmt w:val="lowerLetter"/>
      <w:lvlText w:val="%7)"/>
      <w:lvlJc w:val="left"/>
      <w:pPr>
        <w:tabs>
          <w:tab w:val="num" w:pos="5040"/>
        </w:tabs>
        <w:ind w:left="5040" w:hanging="360"/>
      </w:pPr>
    </w:lvl>
    <w:lvl w:ilvl="7" w:tplc="4B288CE6" w:tentative="1">
      <w:start w:val="1"/>
      <w:numFmt w:val="lowerLetter"/>
      <w:lvlText w:val="%8)"/>
      <w:lvlJc w:val="left"/>
      <w:pPr>
        <w:tabs>
          <w:tab w:val="num" w:pos="5760"/>
        </w:tabs>
        <w:ind w:left="5760" w:hanging="360"/>
      </w:pPr>
    </w:lvl>
    <w:lvl w:ilvl="8" w:tplc="E75C6808" w:tentative="1">
      <w:start w:val="1"/>
      <w:numFmt w:val="lowerLetter"/>
      <w:lvlText w:val="%9)"/>
      <w:lvlJc w:val="left"/>
      <w:pPr>
        <w:tabs>
          <w:tab w:val="num" w:pos="6480"/>
        </w:tabs>
        <w:ind w:left="6480" w:hanging="360"/>
      </w:pPr>
    </w:lvl>
  </w:abstractNum>
  <w:abstractNum w:abstractNumId="61" w15:restartNumberingAfterBreak="0">
    <w:nsid w:val="58C5440B"/>
    <w:multiLevelType w:val="hybridMultilevel"/>
    <w:tmpl w:val="1B42352C"/>
    <w:lvl w:ilvl="0" w:tplc="18CA3E2A">
      <w:start w:val="1"/>
      <w:numFmt w:val="lowerRoman"/>
      <w:pStyle w:val="IPPLetterList"/>
      <w:lvlText w:val="%1."/>
      <w:lvlJc w:val="right"/>
      <w:pPr>
        <w:tabs>
          <w:tab w:val="num" w:pos="120"/>
        </w:tabs>
        <w:ind w:left="120" w:hanging="180"/>
      </w:pPr>
      <w:rPr>
        <w:rFonts w:hint="default"/>
      </w:rPr>
    </w:lvl>
    <w:lvl w:ilvl="1" w:tplc="330E0B74" w:tentative="1">
      <w:start w:val="1"/>
      <w:numFmt w:val="lowerLetter"/>
      <w:lvlText w:val="%2."/>
      <w:lvlJc w:val="left"/>
      <w:pPr>
        <w:tabs>
          <w:tab w:val="num" w:pos="840"/>
        </w:tabs>
        <w:ind w:left="840" w:hanging="360"/>
      </w:pPr>
    </w:lvl>
    <w:lvl w:ilvl="2" w:tplc="9AE834D4" w:tentative="1">
      <w:start w:val="1"/>
      <w:numFmt w:val="lowerRoman"/>
      <w:lvlText w:val="%3."/>
      <w:lvlJc w:val="right"/>
      <w:pPr>
        <w:tabs>
          <w:tab w:val="num" w:pos="1560"/>
        </w:tabs>
        <w:ind w:left="1560" w:hanging="180"/>
      </w:pPr>
    </w:lvl>
    <w:lvl w:ilvl="3" w:tplc="FB3608D2" w:tentative="1">
      <w:start w:val="1"/>
      <w:numFmt w:val="decimal"/>
      <w:lvlText w:val="%4."/>
      <w:lvlJc w:val="left"/>
      <w:pPr>
        <w:tabs>
          <w:tab w:val="num" w:pos="2280"/>
        </w:tabs>
        <w:ind w:left="2280" w:hanging="360"/>
      </w:pPr>
    </w:lvl>
    <w:lvl w:ilvl="4" w:tplc="B59CC228" w:tentative="1">
      <w:start w:val="1"/>
      <w:numFmt w:val="lowerLetter"/>
      <w:lvlText w:val="%5."/>
      <w:lvlJc w:val="left"/>
      <w:pPr>
        <w:tabs>
          <w:tab w:val="num" w:pos="3000"/>
        </w:tabs>
        <w:ind w:left="3000" w:hanging="360"/>
      </w:pPr>
    </w:lvl>
    <w:lvl w:ilvl="5" w:tplc="1974BD16" w:tentative="1">
      <w:start w:val="1"/>
      <w:numFmt w:val="lowerRoman"/>
      <w:lvlText w:val="%6."/>
      <w:lvlJc w:val="right"/>
      <w:pPr>
        <w:tabs>
          <w:tab w:val="num" w:pos="3720"/>
        </w:tabs>
        <w:ind w:left="3720" w:hanging="180"/>
      </w:pPr>
    </w:lvl>
    <w:lvl w:ilvl="6" w:tplc="AF3AC2D0" w:tentative="1">
      <w:start w:val="1"/>
      <w:numFmt w:val="decimal"/>
      <w:lvlText w:val="%7."/>
      <w:lvlJc w:val="left"/>
      <w:pPr>
        <w:tabs>
          <w:tab w:val="num" w:pos="4440"/>
        </w:tabs>
        <w:ind w:left="4440" w:hanging="360"/>
      </w:pPr>
    </w:lvl>
    <w:lvl w:ilvl="7" w:tplc="26120416" w:tentative="1">
      <w:start w:val="1"/>
      <w:numFmt w:val="lowerLetter"/>
      <w:lvlText w:val="%8."/>
      <w:lvlJc w:val="left"/>
      <w:pPr>
        <w:tabs>
          <w:tab w:val="num" w:pos="5160"/>
        </w:tabs>
        <w:ind w:left="5160" w:hanging="360"/>
      </w:pPr>
    </w:lvl>
    <w:lvl w:ilvl="8" w:tplc="4222A73E" w:tentative="1">
      <w:start w:val="1"/>
      <w:numFmt w:val="lowerRoman"/>
      <w:lvlText w:val="%9."/>
      <w:lvlJc w:val="right"/>
      <w:pPr>
        <w:tabs>
          <w:tab w:val="num" w:pos="5880"/>
        </w:tabs>
        <w:ind w:left="5880" w:hanging="180"/>
      </w:pPr>
    </w:lvl>
  </w:abstractNum>
  <w:abstractNum w:abstractNumId="62" w15:restartNumberingAfterBreak="0">
    <w:nsid w:val="597D5FBF"/>
    <w:multiLevelType w:val="hybridMultilevel"/>
    <w:tmpl w:val="4DAADB14"/>
    <w:lvl w:ilvl="0" w:tplc="FD44A6A4">
      <w:start w:val="2006"/>
      <w:numFmt w:val="bullet"/>
      <w:pStyle w:val="DashListLev2"/>
      <w:lvlText w:val="-"/>
      <w:lvlJc w:val="left"/>
      <w:pPr>
        <w:tabs>
          <w:tab w:val="num" w:pos="1080"/>
        </w:tabs>
        <w:ind w:left="1080" w:hanging="360"/>
      </w:pPr>
      <w:rPr>
        <w:rFonts w:ascii="Times New Roman" w:eastAsia="Times New Roman" w:hAnsi="Times New Roman" w:cs="Times New Roman" w:hint="default"/>
      </w:rPr>
    </w:lvl>
    <w:lvl w:ilvl="1" w:tplc="84DA32D6" w:tentative="1">
      <w:start w:val="1"/>
      <w:numFmt w:val="bullet"/>
      <w:lvlText w:val="o"/>
      <w:lvlJc w:val="left"/>
      <w:pPr>
        <w:tabs>
          <w:tab w:val="num" w:pos="1800"/>
        </w:tabs>
        <w:ind w:left="1800" w:hanging="360"/>
      </w:pPr>
      <w:rPr>
        <w:rFonts w:ascii="Courier New" w:hAnsi="Courier New" w:cs="Arial" w:hint="default"/>
      </w:rPr>
    </w:lvl>
    <w:lvl w:ilvl="2" w:tplc="945E661C" w:tentative="1">
      <w:start w:val="1"/>
      <w:numFmt w:val="bullet"/>
      <w:lvlText w:val=""/>
      <w:lvlJc w:val="left"/>
      <w:pPr>
        <w:tabs>
          <w:tab w:val="num" w:pos="2520"/>
        </w:tabs>
        <w:ind w:left="2520" w:hanging="360"/>
      </w:pPr>
      <w:rPr>
        <w:rFonts w:ascii="Wingdings" w:hAnsi="Wingdings" w:hint="default"/>
      </w:rPr>
    </w:lvl>
    <w:lvl w:ilvl="3" w:tplc="D6C84350" w:tentative="1">
      <w:start w:val="1"/>
      <w:numFmt w:val="bullet"/>
      <w:lvlText w:val=""/>
      <w:lvlJc w:val="left"/>
      <w:pPr>
        <w:tabs>
          <w:tab w:val="num" w:pos="3240"/>
        </w:tabs>
        <w:ind w:left="3240" w:hanging="360"/>
      </w:pPr>
      <w:rPr>
        <w:rFonts w:ascii="Symbol" w:hAnsi="Symbol" w:hint="default"/>
      </w:rPr>
    </w:lvl>
    <w:lvl w:ilvl="4" w:tplc="D2B2B734" w:tentative="1">
      <w:start w:val="1"/>
      <w:numFmt w:val="bullet"/>
      <w:lvlText w:val="o"/>
      <w:lvlJc w:val="left"/>
      <w:pPr>
        <w:tabs>
          <w:tab w:val="num" w:pos="3960"/>
        </w:tabs>
        <w:ind w:left="3960" w:hanging="360"/>
      </w:pPr>
      <w:rPr>
        <w:rFonts w:ascii="Courier New" w:hAnsi="Courier New" w:cs="Arial" w:hint="default"/>
      </w:rPr>
    </w:lvl>
    <w:lvl w:ilvl="5" w:tplc="E42C028A" w:tentative="1">
      <w:start w:val="1"/>
      <w:numFmt w:val="bullet"/>
      <w:lvlText w:val=""/>
      <w:lvlJc w:val="left"/>
      <w:pPr>
        <w:tabs>
          <w:tab w:val="num" w:pos="4680"/>
        </w:tabs>
        <w:ind w:left="4680" w:hanging="360"/>
      </w:pPr>
      <w:rPr>
        <w:rFonts w:ascii="Wingdings" w:hAnsi="Wingdings" w:hint="default"/>
      </w:rPr>
    </w:lvl>
    <w:lvl w:ilvl="6" w:tplc="A1BACDD2" w:tentative="1">
      <w:start w:val="1"/>
      <w:numFmt w:val="bullet"/>
      <w:lvlText w:val=""/>
      <w:lvlJc w:val="left"/>
      <w:pPr>
        <w:tabs>
          <w:tab w:val="num" w:pos="5400"/>
        </w:tabs>
        <w:ind w:left="5400" w:hanging="360"/>
      </w:pPr>
      <w:rPr>
        <w:rFonts w:ascii="Symbol" w:hAnsi="Symbol" w:hint="default"/>
      </w:rPr>
    </w:lvl>
    <w:lvl w:ilvl="7" w:tplc="883AA312" w:tentative="1">
      <w:start w:val="1"/>
      <w:numFmt w:val="bullet"/>
      <w:lvlText w:val="o"/>
      <w:lvlJc w:val="left"/>
      <w:pPr>
        <w:tabs>
          <w:tab w:val="num" w:pos="6120"/>
        </w:tabs>
        <w:ind w:left="6120" w:hanging="360"/>
      </w:pPr>
      <w:rPr>
        <w:rFonts w:ascii="Courier New" w:hAnsi="Courier New" w:cs="Arial" w:hint="default"/>
      </w:rPr>
    </w:lvl>
    <w:lvl w:ilvl="8" w:tplc="76FAF8F6"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5B28641D"/>
    <w:multiLevelType w:val="multilevel"/>
    <w:tmpl w:val="C504C638"/>
    <w:lvl w:ilvl="0">
      <w:start w:val="1"/>
      <w:numFmt w:val="bullet"/>
      <w:pStyle w:val="RandListLev1"/>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5B8D7EDF"/>
    <w:multiLevelType w:val="hybridMultilevel"/>
    <w:tmpl w:val="F976A6C2"/>
    <w:lvl w:ilvl="0" w:tplc="681ECAC2">
      <w:start w:val="1"/>
      <w:numFmt w:val="bullet"/>
      <w:pStyle w:val="IPPNumberedListLast"/>
      <w:lvlText w:val=""/>
      <w:lvlJc w:val="left"/>
      <w:pPr>
        <w:tabs>
          <w:tab w:val="num" w:pos="765"/>
        </w:tabs>
        <w:ind w:left="765" w:hanging="360"/>
      </w:pPr>
      <w:rPr>
        <w:rFonts w:ascii="Wingdings" w:hAnsi="Wingdings" w:hint="default"/>
      </w:rPr>
    </w:lvl>
    <w:lvl w:ilvl="1" w:tplc="FD487CA0" w:tentative="1">
      <w:start w:val="1"/>
      <w:numFmt w:val="bullet"/>
      <w:lvlText w:val="o"/>
      <w:lvlJc w:val="left"/>
      <w:pPr>
        <w:tabs>
          <w:tab w:val="num" w:pos="1485"/>
        </w:tabs>
        <w:ind w:left="1485" w:hanging="360"/>
      </w:pPr>
      <w:rPr>
        <w:rFonts w:ascii="Courier New" w:hAnsi="Courier New" w:cs="MS Gothic" w:hint="default"/>
      </w:rPr>
    </w:lvl>
    <w:lvl w:ilvl="2" w:tplc="655E490A" w:tentative="1">
      <w:start w:val="1"/>
      <w:numFmt w:val="bullet"/>
      <w:lvlText w:val=""/>
      <w:lvlJc w:val="left"/>
      <w:pPr>
        <w:tabs>
          <w:tab w:val="num" w:pos="2205"/>
        </w:tabs>
        <w:ind w:left="2205" w:hanging="360"/>
      </w:pPr>
      <w:rPr>
        <w:rFonts w:ascii="Wingdings" w:hAnsi="Wingdings" w:hint="default"/>
      </w:rPr>
    </w:lvl>
    <w:lvl w:ilvl="3" w:tplc="8C8E9480" w:tentative="1">
      <w:start w:val="1"/>
      <w:numFmt w:val="bullet"/>
      <w:lvlText w:val=""/>
      <w:lvlJc w:val="left"/>
      <w:pPr>
        <w:tabs>
          <w:tab w:val="num" w:pos="2925"/>
        </w:tabs>
        <w:ind w:left="2925" w:hanging="360"/>
      </w:pPr>
      <w:rPr>
        <w:rFonts w:ascii="Symbol" w:hAnsi="Symbol" w:hint="default"/>
      </w:rPr>
    </w:lvl>
    <w:lvl w:ilvl="4" w:tplc="70C6F768" w:tentative="1">
      <w:start w:val="1"/>
      <w:numFmt w:val="bullet"/>
      <w:lvlText w:val="o"/>
      <w:lvlJc w:val="left"/>
      <w:pPr>
        <w:tabs>
          <w:tab w:val="num" w:pos="3645"/>
        </w:tabs>
        <w:ind w:left="3645" w:hanging="360"/>
      </w:pPr>
      <w:rPr>
        <w:rFonts w:ascii="Courier New" w:hAnsi="Courier New" w:cs="MS Gothic" w:hint="default"/>
      </w:rPr>
    </w:lvl>
    <w:lvl w:ilvl="5" w:tplc="ED7E8A32" w:tentative="1">
      <w:start w:val="1"/>
      <w:numFmt w:val="bullet"/>
      <w:lvlText w:val=""/>
      <w:lvlJc w:val="left"/>
      <w:pPr>
        <w:tabs>
          <w:tab w:val="num" w:pos="4365"/>
        </w:tabs>
        <w:ind w:left="4365" w:hanging="360"/>
      </w:pPr>
      <w:rPr>
        <w:rFonts w:ascii="Wingdings" w:hAnsi="Wingdings" w:hint="default"/>
      </w:rPr>
    </w:lvl>
    <w:lvl w:ilvl="6" w:tplc="19E018E8" w:tentative="1">
      <w:start w:val="1"/>
      <w:numFmt w:val="bullet"/>
      <w:lvlText w:val=""/>
      <w:lvlJc w:val="left"/>
      <w:pPr>
        <w:tabs>
          <w:tab w:val="num" w:pos="5085"/>
        </w:tabs>
        <w:ind w:left="5085" w:hanging="360"/>
      </w:pPr>
      <w:rPr>
        <w:rFonts w:ascii="Symbol" w:hAnsi="Symbol" w:hint="default"/>
      </w:rPr>
    </w:lvl>
    <w:lvl w:ilvl="7" w:tplc="FE523592" w:tentative="1">
      <w:start w:val="1"/>
      <w:numFmt w:val="bullet"/>
      <w:lvlText w:val="o"/>
      <w:lvlJc w:val="left"/>
      <w:pPr>
        <w:tabs>
          <w:tab w:val="num" w:pos="5805"/>
        </w:tabs>
        <w:ind w:left="5805" w:hanging="360"/>
      </w:pPr>
      <w:rPr>
        <w:rFonts w:ascii="Courier New" w:hAnsi="Courier New" w:cs="MS Gothic" w:hint="default"/>
      </w:rPr>
    </w:lvl>
    <w:lvl w:ilvl="8" w:tplc="8C006F8C" w:tentative="1">
      <w:start w:val="1"/>
      <w:numFmt w:val="bullet"/>
      <w:lvlText w:val=""/>
      <w:lvlJc w:val="left"/>
      <w:pPr>
        <w:tabs>
          <w:tab w:val="num" w:pos="6525"/>
        </w:tabs>
        <w:ind w:left="6525" w:hanging="360"/>
      </w:pPr>
      <w:rPr>
        <w:rFonts w:ascii="Wingdings" w:hAnsi="Wingdings" w:hint="default"/>
      </w:rPr>
    </w:lvl>
  </w:abstractNum>
  <w:abstractNum w:abstractNumId="65" w15:restartNumberingAfterBreak="0">
    <w:nsid w:val="5E70440A"/>
    <w:multiLevelType w:val="hybridMultilevel"/>
    <w:tmpl w:val="034E3442"/>
    <w:lvl w:ilvl="0" w:tplc="1BC49250">
      <w:start w:val="1"/>
      <w:numFmt w:val="decimal"/>
      <w:pStyle w:val="IPPNormal"/>
      <w:lvlText w:val="%1."/>
      <w:lvlJc w:val="left"/>
      <w:pPr>
        <w:tabs>
          <w:tab w:val="num" w:pos="720"/>
        </w:tabs>
        <w:ind w:left="720" w:hanging="360"/>
      </w:pPr>
    </w:lvl>
    <w:lvl w:ilvl="1" w:tplc="94E0F534" w:tentative="1">
      <w:start w:val="1"/>
      <w:numFmt w:val="lowerLetter"/>
      <w:lvlText w:val="%2."/>
      <w:lvlJc w:val="left"/>
      <w:pPr>
        <w:tabs>
          <w:tab w:val="num" w:pos="1440"/>
        </w:tabs>
        <w:ind w:left="1440" w:hanging="360"/>
      </w:pPr>
    </w:lvl>
    <w:lvl w:ilvl="2" w:tplc="871807C6" w:tentative="1">
      <w:start w:val="1"/>
      <w:numFmt w:val="lowerRoman"/>
      <w:lvlText w:val="%3."/>
      <w:lvlJc w:val="right"/>
      <w:pPr>
        <w:tabs>
          <w:tab w:val="num" w:pos="2160"/>
        </w:tabs>
        <w:ind w:left="2160" w:hanging="180"/>
      </w:pPr>
    </w:lvl>
    <w:lvl w:ilvl="3" w:tplc="AA2E4ABA" w:tentative="1">
      <w:start w:val="1"/>
      <w:numFmt w:val="decimal"/>
      <w:lvlText w:val="%4."/>
      <w:lvlJc w:val="left"/>
      <w:pPr>
        <w:tabs>
          <w:tab w:val="num" w:pos="2880"/>
        </w:tabs>
        <w:ind w:left="2880" w:hanging="360"/>
      </w:pPr>
    </w:lvl>
    <w:lvl w:ilvl="4" w:tplc="3CB65DD4" w:tentative="1">
      <w:start w:val="1"/>
      <w:numFmt w:val="lowerLetter"/>
      <w:lvlText w:val="%5."/>
      <w:lvlJc w:val="left"/>
      <w:pPr>
        <w:tabs>
          <w:tab w:val="num" w:pos="3600"/>
        </w:tabs>
        <w:ind w:left="3600" w:hanging="360"/>
      </w:pPr>
    </w:lvl>
    <w:lvl w:ilvl="5" w:tplc="E158B12A" w:tentative="1">
      <w:start w:val="1"/>
      <w:numFmt w:val="lowerRoman"/>
      <w:lvlText w:val="%6."/>
      <w:lvlJc w:val="right"/>
      <w:pPr>
        <w:tabs>
          <w:tab w:val="num" w:pos="4320"/>
        </w:tabs>
        <w:ind w:left="4320" w:hanging="180"/>
      </w:pPr>
    </w:lvl>
    <w:lvl w:ilvl="6" w:tplc="223260AE" w:tentative="1">
      <w:start w:val="1"/>
      <w:numFmt w:val="decimal"/>
      <w:lvlText w:val="%7."/>
      <w:lvlJc w:val="left"/>
      <w:pPr>
        <w:tabs>
          <w:tab w:val="num" w:pos="5040"/>
        </w:tabs>
        <w:ind w:left="5040" w:hanging="360"/>
      </w:pPr>
    </w:lvl>
    <w:lvl w:ilvl="7" w:tplc="911E922E" w:tentative="1">
      <w:start w:val="1"/>
      <w:numFmt w:val="lowerLetter"/>
      <w:lvlText w:val="%8."/>
      <w:lvlJc w:val="left"/>
      <w:pPr>
        <w:tabs>
          <w:tab w:val="num" w:pos="5760"/>
        </w:tabs>
        <w:ind w:left="5760" w:hanging="360"/>
      </w:pPr>
    </w:lvl>
    <w:lvl w:ilvl="8" w:tplc="831C4494" w:tentative="1">
      <w:start w:val="1"/>
      <w:numFmt w:val="lowerRoman"/>
      <w:lvlText w:val="%9."/>
      <w:lvlJc w:val="right"/>
      <w:pPr>
        <w:tabs>
          <w:tab w:val="num" w:pos="6480"/>
        </w:tabs>
        <w:ind w:left="6480" w:hanging="180"/>
      </w:pPr>
    </w:lvl>
  </w:abstractNum>
  <w:abstractNum w:abstractNumId="66" w15:restartNumberingAfterBreak="0">
    <w:nsid w:val="605B5305"/>
    <w:multiLevelType w:val="hybridMultilevel"/>
    <w:tmpl w:val="5394D204"/>
    <w:lvl w:ilvl="0" w:tplc="5E66DE9E">
      <w:start w:val="1"/>
      <w:numFmt w:val="decimal"/>
      <w:pStyle w:val="Paranumbered"/>
      <w:lvlText w:val="%1."/>
      <w:lvlJc w:val="left"/>
      <w:pPr>
        <w:tabs>
          <w:tab w:val="num" w:pos="720"/>
        </w:tabs>
        <w:ind w:left="720" w:hanging="720"/>
      </w:pPr>
      <w:rPr>
        <w:rFonts w:hint="default"/>
      </w:rPr>
    </w:lvl>
    <w:lvl w:ilvl="1" w:tplc="18AA76F4">
      <w:start w:val="1"/>
      <w:numFmt w:val="lowerLetter"/>
      <w:lvlText w:val="%2."/>
      <w:lvlJc w:val="left"/>
      <w:pPr>
        <w:tabs>
          <w:tab w:val="num" w:pos="1440"/>
        </w:tabs>
        <w:ind w:left="1440" w:hanging="360"/>
      </w:pPr>
    </w:lvl>
    <w:lvl w:ilvl="2" w:tplc="CDC21372">
      <w:start w:val="1"/>
      <w:numFmt w:val="lowerRoman"/>
      <w:lvlText w:val="%3."/>
      <w:lvlJc w:val="right"/>
      <w:pPr>
        <w:tabs>
          <w:tab w:val="num" w:pos="2160"/>
        </w:tabs>
        <w:ind w:left="2160" w:hanging="180"/>
      </w:pPr>
    </w:lvl>
    <w:lvl w:ilvl="3" w:tplc="79262EEA">
      <w:start w:val="1"/>
      <w:numFmt w:val="decimal"/>
      <w:lvlText w:val="%4."/>
      <w:lvlJc w:val="left"/>
      <w:pPr>
        <w:tabs>
          <w:tab w:val="num" w:pos="2880"/>
        </w:tabs>
        <w:ind w:left="2880" w:hanging="360"/>
      </w:pPr>
    </w:lvl>
    <w:lvl w:ilvl="4" w:tplc="1D48B888">
      <w:start w:val="1"/>
      <w:numFmt w:val="lowerLetter"/>
      <w:lvlText w:val="%5."/>
      <w:lvlJc w:val="left"/>
      <w:pPr>
        <w:tabs>
          <w:tab w:val="num" w:pos="3600"/>
        </w:tabs>
        <w:ind w:left="3600" w:hanging="360"/>
      </w:pPr>
    </w:lvl>
    <w:lvl w:ilvl="5" w:tplc="BE30C18E">
      <w:start w:val="1"/>
      <w:numFmt w:val="lowerRoman"/>
      <w:lvlText w:val="%6."/>
      <w:lvlJc w:val="right"/>
      <w:pPr>
        <w:tabs>
          <w:tab w:val="num" w:pos="4320"/>
        </w:tabs>
        <w:ind w:left="4320" w:hanging="180"/>
      </w:pPr>
    </w:lvl>
    <w:lvl w:ilvl="6" w:tplc="EEFE24EA">
      <w:start w:val="1"/>
      <w:numFmt w:val="decimal"/>
      <w:lvlText w:val="%7."/>
      <w:lvlJc w:val="left"/>
      <w:pPr>
        <w:tabs>
          <w:tab w:val="num" w:pos="5040"/>
        </w:tabs>
        <w:ind w:left="5040" w:hanging="360"/>
      </w:pPr>
    </w:lvl>
    <w:lvl w:ilvl="7" w:tplc="8E909338">
      <w:start w:val="1"/>
      <w:numFmt w:val="lowerLetter"/>
      <w:lvlText w:val="%8."/>
      <w:lvlJc w:val="left"/>
      <w:pPr>
        <w:tabs>
          <w:tab w:val="num" w:pos="5760"/>
        </w:tabs>
        <w:ind w:left="5760" w:hanging="360"/>
      </w:pPr>
    </w:lvl>
    <w:lvl w:ilvl="8" w:tplc="664E46A0">
      <w:start w:val="1"/>
      <w:numFmt w:val="lowerRoman"/>
      <w:lvlText w:val="%9."/>
      <w:lvlJc w:val="right"/>
      <w:pPr>
        <w:tabs>
          <w:tab w:val="num" w:pos="6480"/>
        </w:tabs>
        <w:ind w:left="6480" w:hanging="180"/>
      </w:pPr>
    </w:lvl>
  </w:abstractNum>
  <w:abstractNum w:abstractNumId="67" w15:restartNumberingAfterBreak="0">
    <w:nsid w:val="606E19AA"/>
    <w:multiLevelType w:val="hybridMultilevel"/>
    <w:tmpl w:val="6AACAAA0"/>
    <w:lvl w:ilvl="0" w:tplc="CD90B98C">
      <w:start w:val="1"/>
      <w:numFmt w:val="bullet"/>
      <w:pStyle w:val="Bulletdash"/>
      <w:lvlText w:val=""/>
      <w:lvlJc w:val="left"/>
      <w:pPr>
        <w:ind w:left="618" w:hanging="360"/>
      </w:pPr>
      <w:rPr>
        <w:rFonts w:ascii="Symbol" w:hAnsi="Symbol" w:hint="default"/>
      </w:rPr>
    </w:lvl>
    <w:lvl w:ilvl="1" w:tplc="B5A04B06" w:tentative="1">
      <w:start w:val="1"/>
      <w:numFmt w:val="bullet"/>
      <w:lvlText w:val="o"/>
      <w:lvlJc w:val="left"/>
      <w:pPr>
        <w:ind w:left="1338" w:hanging="360"/>
      </w:pPr>
      <w:rPr>
        <w:rFonts w:ascii="Courier New" w:hAnsi="Courier New" w:cs="Consolas" w:hint="default"/>
      </w:rPr>
    </w:lvl>
    <w:lvl w:ilvl="2" w:tplc="9DE86EB2" w:tentative="1">
      <w:start w:val="1"/>
      <w:numFmt w:val="bullet"/>
      <w:lvlText w:val=""/>
      <w:lvlJc w:val="left"/>
      <w:pPr>
        <w:ind w:left="2058" w:hanging="360"/>
      </w:pPr>
      <w:rPr>
        <w:rFonts w:ascii="Wingdings" w:hAnsi="Wingdings" w:hint="default"/>
      </w:rPr>
    </w:lvl>
    <w:lvl w:ilvl="3" w:tplc="1EA28136" w:tentative="1">
      <w:start w:val="1"/>
      <w:numFmt w:val="bullet"/>
      <w:lvlText w:val=""/>
      <w:lvlJc w:val="left"/>
      <w:pPr>
        <w:ind w:left="2778" w:hanging="360"/>
      </w:pPr>
      <w:rPr>
        <w:rFonts w:ascii="Symbol" w:hAnsi="Symbol" w:hint="default"/>
      </w:rPr>
    </w:lvl>
    <w:lvl w:ilvl="4" w:tplc="7F905118" w:tentative="1">
      <w:start w:val="1"/>
      <w:numFmt w:val="bullet"/>
      <w:lvlText w:val="o"/>
      <w:lvlJc w:val="left"/>
      <w:pPr>
        <w:ind w:left="3498" w:hanging="360"/>
      </w:pPr>
      <w:rPr>
        <w:rFonts w:ascii="Courier New" w:hAnsi="Courier New" w:cs="Consolas" w:hint="default"/>
      </w:rPr>
    </w:lvl>
    <w:lvl w:ilvl="5" w:tplc="66E25F2E" w:tentative="1">
      <w:start w:val="1"/>
      <w:numFmt w:val="bullet"/>
      <w:lvlText w:val=""/>
      <w:lvlJc w:val="left"/>
      <w:pPr>
        <w:ind w:left="4218" w:hanging="360"/>
      </w:pPr>
      <w:rPr>
        <w:rFonts w:ascii="Wingdings" w:hAnsi="Wingdings" w:hint="default"/>
      </w:rPr>
    </w:lvl>
    <w:lvl w:ilvl="6" w:tplc="DB8E8F84" w:tentative="1">
      <w:start w:val="1"/>
      <w:numFmt w:val="bullet"/>
      <w:lvlText w:val=""/>
      <w:lvlJc w:val="left"/>
      <w:pPr>
        <w:ind w:left="4938" w:hanging="360"/>
      </w:pPr>
      <w:rPr>
        <w:rFonts w:ascii="Symbol" w:hAnsi="Symbol" w:hint="default"/>
      </w:rPr>
    </w:lvl>
    <w:lvl w:ilvl="7" w:tplc="47A61CB2" w:tentative="1">
      <w:start w:val="1"/>
      <w:numFmt w:val="bullet"/>
      <w:lvlText w:val="o"/>
      <w:lvlJc w:val="left"/>
      <w:pPr>
        <w:ind w:left="5658" w:hanging="360"/>
      </w:pPr>
      <w:rPr>
        <w:rFonts w:ascii="Courier New" w:hAnsi="Courier New" w:cs="Consolas" w:hint="default"/>
      </w:rPr>
    </w:lvl>
    <w:lvl w:ilvl="8" w:tplc="4FBE97A4" w:tentative="1">
      <w:start w:val="1"/>
      <w:numFmt w:val="bullet"/>
      <w:lvlText w:val=""/>
      <w:lvlJc w:val="left"/>
      <w:pPr>
        <w:ind w:left="6378" w:hanging="360"/>
      </w:pPr>
      <w:rPr>
        <w:rFonts w:ascii="Wingdings" w:hAnsi="Wingdings" w:hint="default"/>
      </w:rPr>
    </w:lvl>
  </w:abstractNum>
  <w:abstractNum w:abstractNumId="68" w15:restartNumberingAfterBreak="0">
    <w:nsid w:val="619427EB"/>
    <w:multiLevelType w:val="hybridMultilevel"/>
    <w:tmpl w:val="43FEE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1AE1ECE"/>
    <w:multiLevelType w:val="hybridMultilevel"/>
    <w:tmpl w:val="D522F93E"/>
    <w:lvl w:ilvl="0" w:tplc="7932EDE0">
      <w:start w:val="15"/>
      <w:numFmt w:val="decimal"/>
      <w:pStyle w:val="IPPLetterListIndent"/>
      <w:lvlText w:val="%1."/>
      <w:lvlJc w:val="left"/>
      <w:pPr>
        <w:tabs>
          <w:tab w:val="num" w:pos="990"/>
        </w:tabs>
        <w:ind w:left="990" w:hanging="360"/>
      </w:pPr>
      <w:rPr>
        <w:rFonts w:hint="default"/>
      </w:rPr>
    </w:lvl>
    <w:lvl w:ilvl="1" w:tplc="6DB657F2" w:tentative="1">
      <w:start w:val="1"/>
      <w:numFmt w:val="lowerLetter"/>
      <w:lvlText w:val="%2."/>
      <w:lvlJc w:val="left"/>
      <w:pPr>
        <w:tabs>
          <w:tab w:val="num" w:pos="1710"/>
        </w:tabs>
        <w:ind w:left="1710" w:hanging="360"/>
      </w:pPr>
    </w:lvl>
    <w:lvl w:ilvl="2" w:tplc="53D2334A" w:tentative="1">
      <w:start w:val="1"/>
      <w:numFmt w:val="lowerRoman"/>
      <w:lvlText w:val="%3."/>
      <w:lvlJc w:val="right"/>
      <w:pPr>
        <w:tabs>
          <w:tab w:val="num" w:pos="2430"/>
        </w:tabs>
        <w:ind w:left="2430" w:hanging="180"/>
      </w:pPr>
    </w:lvl>
    <w:lvl w:ilvl="3" w:tplc="01F43DE8" w:tentative="1">
      <w:start w:val="1"/>
      <w:numFmt w:val="decimal"/>
      <w:lvlText w:val="%4."/>
      <w:lvlJc w:val="left"/>
      <w:pPr>
        <w:tabs>
          <w:tab w:val="num" w:pos="3150"/>
        </w:tabs>
        <w:ind w:left="3150" w:hanging="360"/>
      </w:pPr>
    </w:lvl>
    <w:lvl w:ilvl="4" w:tplc="4184DA78" w:tentative="1">
      <w:start w:val="1"/>
      <w:numFmt w:val="lowerLetter"/>
      <w:lvlText w:val="%5."/>
      <w:lvlJc w:val="left"/>
      <w:pPr>
        <w:tabs>
          <w:tab w:val="num" w:pos="3870"/>
        </w:tabs>
        <w:ind w:left="3870" w:hanging="360"/>
      </w:pPr>
    </w:lvl>
    <w:lvl w:ilvl="5" w:tplc="ABFA36F6" w:tentative="1">
      <w:start w:val="1"/>
      <w:numFmt w:val="lowerRoman"/>
      <w:lvlText w:val="%6."/>
      <w:lvlJc w:val="right"/>
      <w:pPr>
        <w:tabs>
          <w:tab w:val="num" w:pos="4590"/>
        </w:tabs>
        <w:ind w:left="4590" w:hanging="180"/>
      </w:pPr>
    </w:lvl>
    <w:lvl w:ilvl="6" w:tplc="FCF256CE" w:tentative="1">
      <w:start w:val="1"/>
      <w:numFmt w:val="decimal"/>
      <w:lvlText w:val="%7."/>
      <w:lvlJc w:val="left"/>
      <w:pPr>
        <w:tabs>
          <w:tab w:val="num" w:pos="5310"/>
        </w:tabs>
        <w:ind w:left="5310" w:hanging="360"/>
      </w:pPr>
    </w:lvl>
    <w:lvl w:ilvl="7" w:tplc="7F682FB8" w:tentative="1">
      <w:start w:val="1"/>
      <w:numFmt w:val="lowerLetter"/>
      <w:lvlText w:val="%8."/>
      <w:lvlJc w:val="left"/>
      <w:pPr>
        <w:tabs>
          <w:tab w:val="num" w:pos="6030"/>
        </w:tabs>
        <w:ind w:left="6030" w:hanging="360"/>
      </w:pPr>
    </w:lvl>
    <w:lvl w:ilvl="8" w:tplc="2BA6E802" w:tentative="1">
      <w:start w:val="1"/>
      <w:numFmt w:val="lowerRoman"/>
      <w:lvlText w:val="%9."/>
      <w:lvlJc w:val="right"/>
      <w:pPr>
        <w:tabs>
          <w:tab w:val="num" w:pos="6750"/>
        </w:tabs>
        <w:ind w:left="6750" w:hanging="180"/>
      </w:pPr>
    </w:lvl>
  </w:abstractNum>
  <w:abstractNum w:abstractNumId="70" w15:restartNumberingAfterBreak="0">
    <w:nsid w:val="62022532"/>
    <w:multiLevelType w:val="hybridMultilevel"/>
    <w:tmpl w:val="03C61E7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6267529C"/>
    <w:multiLevelType w:val="multilevel"/>
    <w:tmpl w:val="CF4EA00A"/>
    <w:lvl w:ilvl="0">
      <w:start w:val="1"/>
      <w:numFmt w:val="decimal"/>
      <w:lvlText w:val="%1."/>
      <w:lvlJc w:val="left"/>
      <w:pPr>
        <w:tabs>
          <w:tab w:val="num" w:pos="2520"/>
        </w:tabs>
        <w:ind w:left="2520" w:hanging="360"/>
      </w:p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72" w15:restartNumberingAfterBreak="0">
    <w:nsid w:val="63B13E08"/>
    <w:multiLevelType w:val="hybridMultilevel"/>
    <w:tmpl w:val="CE868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5594735"/>
    <w:multiLevelType w:val="hybridMultilevel"/>
    <w:tmpl w:val="3EB4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58A2624"/>
    <w:multiLevelType w:val="hybridMultilevel"/>
    <w:tmpl w:val="C5E8DBFA"/>
    <w:lvl w:ilvl="0" w:tplc="16B225DA">
      <w:start w:val="1"/>
      <w:numFmt w:val="bullet"/>
      <w:pStyle w:val="Style"/>
      <w:lvlText w:val=""/>
      <w:lvlJc w:val="left"/>
      <w:pPr>
        <w:tabs>
          <w:tab w:val="num" w:pos="720"/>
        </w:tabs>
        <w:ind w:left="720" w:hanging="360"/>
      </w:pPr>
      <w:rPr>
        <w:rFonts w:ascii="Symbol" w:hAnsi="Symbol" w:hint="default"/>
      </w:rPr>
    </w:lvl>
    <w:lvl w:ilvl="1" w:tplc="5E464262">
      <w:start w:val="1"/>
      <w:numFmt w:val="bullet"/>
      <w:lvlText w:val="o"/>
      <w:lvlJc w:val="left"/>
      <w:pPr>
        <w:tabs>
          <w:tab w:val="num" w:pos="1440"/>
        </w:tabs>
        <w:ind w:left="1440" w:hanging="360"/>
      </w:pPr>
      <w:rPr>
        <w:rFonts w:ascii="Courier New" w:hAnsi="Courier New" w:cs="Consolas" w:hint="default"/>
      </w:rPr>
    </w:lvl>
    <w:lvl w:ilvl="2" w:tplc="26EC6F76" w:tentative="1">
      <w:start w:val="1"/>
      <w:numFmt w:val="bullet"/>
      <w:lvlText w:val=""/>
      <w:lvlJc w:val="left"/>
      <w:pPr>
        <w:tabs>
          <w:tab w:val="num" w:pos="2160"/>
        </w:tabs>
        <w:ind w:left="2160" w:hanging="360"/>
      </w:pPr>
      <w:rPr>
        <w:rFonts w:ascii="Wingdings" w:hAnsi="Wingdings" w:hint="default"/>
      </w:rPr>
    </w:lvl>
    <w:lvl w:ilvl="3" w:tplc="5EF0A7B2" w:tentative="1">
      <w:start w:val="1"/>
      <w:numFmt w:val="bullet"/>
      <w:lvlText w:val=""/>
      <w:lvlJc w:val="left"/>
      <w:pPr>
        <w:tabs>
          <w:tab w:val="num" w:pos="2880"/>
        </w:tabs>
        <w:ind w:left="2880" w:hanging="360"/>
      </w:pPr>
      <w:rPr>
        <w:rFonts w:ascii="Symbol" w:hAnsi="Symbol" w:hint="default"/>
      </w:rPr>
    </w:lvl>
    <w:lvl w:ilvl="4" w:tplc="068C84BC" w:tentative="1">
      <w:start w:val="1"/>
      <w:numFmt w:val="bullet"/>
      <w:lvlText w:val="o"/>
      <w:lvlJc w:val="left"/>
      <w:pPr>
        <w:tabs>
          <w:tab w:val="num" w:pos="3600"/>
        </w:tabs>
        <w:ind w:left="3600" w:hanging="360"/>
      </w:pPr>
      <w:rPr>
        <w:rFonts w:ascii="Courier New" w:hAnsi="Courier New" w:cs="Consolas" w:hint="default"/>
      </w:rPr>
    </w:lvl>
    <w:lvl w:ilvl="5" w:tplc="8FF8A9E8" w:tentative="1">
      <w:start w:val="1"/>
      <w:numFmt w:val="bullet"/>
      <w:lvlText w:val=""/>
      <w:lvlJc w:val="left"/>
      <w:pPr>
        <w:tabs>
          <w:tab w:val="num" w:pos="4320"/>
        </w:tabs>
        <w:ind w:left="4320" w:hanging="360"/>
      </w:pPr>
      <w:rPr>
        <w:rFonts w:ascii="Wingdings" w:hAnsi="Wingdings" w:hint="default"/>
      </w:rPr>
    </w:lvl>
    <w:lvl w:ilvl="6" w:tplc="D3CCE5E2" w:tentative="1">
      <w:start w:val="1"/>
      <w:numFmt w:val="bullet"/>
      <w:lvlText w:val=""/>
      <w:lvlJc w:val="left"/>
      <w:pPr>
        <w:tabs>
          <w:tab w:val="num" w:pos="5040"/>
        </w:tabs>
        <w:ind w:left="5040" w:hanging="360"/>
      </w:pPr>
      <w:rPr>
        <w:rFonts w:ascii="Symbol" w:hAnsi="Symbol" w:hint="default"/>
      </w:rPr>
    </w:lvl>
    <w:lvl w:ilvl="7" w:tplc="AF9A4E3C" w:tentative="1">
      <w:start w:val="1"/>
      <w:numFmt w:val="bullet"/>
      <w:lvlText w:val="o"/>
      <w:lvlJc w:val="left"/>
      <w:pPr>
        <w:tabs>
          <w:tab w:val="num" w:pos="5760"/>
        </w:tabs>
        <w:ind w:left="5760" w:hanging="360"/>
      </w:pPr>
      <w:rPr>
        <w:rFonts w:ascii="Courier New" w:hAnsi="Courier New" w:cs="Consolas" w:hint="default"/>
      </w:rPr>
    </w:lvl>
    <w:lvl w:ilvl="8" w:tplc="D5968010"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B2B1B9D"/>
    <w:multiLevelType w:val="multilevel"/>
    <w:tmpl w:val="01D24F5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15:restartNumberingAfterBreak="0">
    <w:nsid w:val="6B65451F"/>
    <w:multiLevelType w:val="hybridMultilevel"/>
    <w:tmpl w:val="158E29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6D6507BD"/>
    <w:multiLevelType w:val="hybridMultilevel"/>
    <w:tmpl w:val="3EBABF54"/>
    <w:lvl w:ilvl="0" w:tplc="3FBA5326">
      <w:start w:val="1"/>
      <w:numFmt w:val="bullet"/>
      <w:pStyle w:val="IPPAnnexHead"/>
      <w:lvlText w:val=""/>
      <w:lvlJc w:val="left"/>
      <w:pPr>
        <w:tabs>
          <w:tab w:val="num" w:pos="720"/>
        </w:tabs>
        <w:ind w:left="720" w:hanging="360"/>
      </w:pPr>
      <w:rPr>
        <w:rFonts w:ascii="Symbol" w:hAnsi="Symbol" w:hint="default"/>
      </w:rPr>
    </w:lvl>
    <w:lvl w:ilvl="1" w:tplc="3C7EFD9C" w:tentative="1">
      <w:start w:val="1"/>
      <w:numFmt w:val="bullet"/>
      <w:lvlText w:val="o"/>
      <w:lvlJc w:val="left"/>
      <w:pPr>
        <w:tabs>
          <w:tab w:val="num" w:pos="1440"/>
        </w:tabs>
        <w:ind w:left="1440" w:hanging="360"/>
      </w:pPr>
      <w:rPr>
        <w:rFonts w:ascii="Courier New" w:hAnsi="Courier New" w:cs="Consolas" w:hint="default"/>
      </w:rPr>
    </w:lvl>
    <w:lvl w:ilvl="2" w:tplc="17604286" w:tentative="1">
      <w:start w:val="1"/>
      <w:numFmt w:val="bullet"/>
      <w:lvlText w:val=""/>
      <w:lvlJc w:val="left"/>
      <w:pPr>
        <w:tabs>
          <w:tab w:val="num" w:pos="2160"/>
        </w:tabs>
        <w:ind w:left="2160" w:hanging="360"/>
      </w:pPr>
      <w:rPr>
        <w:rFonts w:ascii="Wingdings" w:hAnsi="Wingdings" w:hint="default"/>
      </w:rPr>
    </w:lvl>
    <w:lvl w:ilvl="3" w:tplc="80C0D0C2" w:tentative="1">
      <w:start w:val="1"/>
      <w:numFmt w:val="bullet"/>
      <w:lvlText w:val=""/>
      <w:lvlJc w:val="left"/>
      <w:pPr>
        <w:tabs>
          <w:tab w:val="num" w:pos="2880"/>
        </w:tabs>
        <w:ind w:left="2880" w:hanging="360"/>
      </w:pPr>
      <w:rPr>
        <w:rFonts w:ascii="Symbol" w:hAnsi="Symbol" w:hint="default"/>
      </w:rPr>
    </w:lvl>
    <w:lvl w:ilvl="4" w:tplc="5262D67E" w:tentative="1">
      <w:start w:val="1"/>
      <w:numFmt w:val="bullet"/>
      <w:lvlText w:val="o"/>
      <w:lvlJc w:val="left"/>
      <w:pPr>
        <w:tabs>
          <w:tab w:val="num" w:pos="3600"/>
        </w:tabs>
        <w:ind w:left="3600" w:hanging="360"/>
      </w:pPr>
      <w:rPr>
        <w:rFonts w:ascii="Courier New" w:hAnsi="Courier New" w:cs="Consolas" w:hint="default"/>
      </w:rPr>
    </w:lvl>
    <w:lvl w:ilvl="5" w:tplc="2BF82DF2" w:tentative="1">
      <w:start w:val="1"/>
      <w:numFmt w:val="bullet"/>
      <w:lvlText w:val=""/>
      <w:lvlJc w:val="left"/>
      <w:pPr>
        <w:tabs>
          <w:tab w:val="num" w:pos="4320"/>
        </w:tabs>
        <w:ind w:left="4320" w:hanging="360"/>
      </w:pPr>
      <w:rPr>
        <w:rFonts w:ascii="Wingdings" w:hAnsi="Wingdings" w:hint="default"/>
      </w:rPr>
    </w:lvl>
    <w:lvl w:ilvl="6" w:tplc="E3C24FD0" w:tentative="1">
      <w:start w:val="1"/>
      <w:numFmt w:val="bullet"/>
      <w:lvlText w:val=""/>
      <w:lvlJc w:val="left"/>
      <w:pPr>
        <w:tabs>
          <w:tab w:val="num" w:pos="5040"/>
        </w:tabs>
        <w:ind w:left="5040" w:hanging="360"/>
      </w:pPr>
      <w:rPr>
        <w:rFonts w:ascii="Symbol" w:hAnsi="Symbol" w:hint="default"/>
      </w:rPr>
    </w:lvl>
    <w:lvl w:ilvl="7" w:tplc="6F964FB6" w:tentative="1">
      <w:start w:val="1"/>
      <w:numFmt w:val="bullet"/>
      <w:lvlText w:val="o"/>
      <w:lvlJc w:val="left"/>
      <w:pPr>
        <w:tabs>
          <w:tab w:val="num" w:pos="5760"/>
        </w:tabs>
        <w:ind w:left="5760" w:hanging="360"/>
      </w:pPr>
      <w:rPr>
        <w:rFonts w:ascii="Courier New" w:hAnsi="Courier New" w:cs="Consolas" w:hint="default"/>
      </w:rPr>
    </w:lvl>
    <w:lvl w:ilvl="8" w:tplc="7D3C0544"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0467799"/>
    <w:multiLevelType w:val="hybridMultilevel"/>
    <w:tmpl w:val="EA9632F6"/>
    <w:lvl w:ilvl="0" w:tplc="19D4525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7F3C72"/>
    <w:multiLevelType w:val="hybridMultilevel"/>
    <w:tmpl w:val="77B60982"/>
    <w:lvl w:ilvl="0" w:tplc="B81CB32C">
      <w:start w:val="1"/>
      <w:numFmt w:val="decimal"/>
      <w:pStyle w:val="BoxRandList1"/>
      <w:lvlText w:val="%1."/>
      <w:lvlJc w:val="left"/>
      <w:pPr>
        <w:tabs>
          <w:tab w:val="num" w:pos="1278"/>
        </w:tabs>
        <w:ind w:left="1278" w:hanging="360"/>
      </w:pPr>
      <w:rPr>
        <w:rFonts w:hint="default"/>
      </w:rPr>
    </w:lvl>
    <w:lvl w:ilvl="1" w:tplc="1494B8DA" w:tentative="1">
      <w:start w:val="1"/>
      <w:numFmt w:val="aiueoFullWidth"/>
      <w:lvlText w:val="(%2)"/>
      <w:lvlJc w:val="left"/>
      <w:pPr>
        <w:tabs>
          <w:tab w:val="num" w:pos="1758"/>
        </w:tabs>
        <w:ind w:left="1758" w:hanging="420"/>
      </w:pPr>
    </w:lvl>
    <w:lvl w:ilvl="2" w:tplc="018CC1A4" w:tentative="1">
      <w:start w:val="1"/>
      <w:numFmt w:val="decimalEnclosedCircle"/>
      <w:lvlText w:val="%3"/>
      <w:lvlJc w:val="left"/>
      <w:pPr>
        <w:tabs>
          <w:tab w:val="num" w:pos="2178"/>
        </w:tabs>
        <w:ind w:left="2178" w:hanging="420"/>
      </w:pPr>
    </w:lvl>
    <w:lvl w:ilvl="3" w:tplc="38CEBDF8" w:tentative="1">
      <w:start w:val="1"/>
      <w:numFmt w:val="decimal"/>
      <w:lvlText w:val="%4."/>
      <w:lvlJc w:val="left"/>
      <w:pPr>
        <w:tabs>
          <w:tab w:val="num" w:pos="2598"/>
        </w:tabs>
        <w:ind w:left="2598" w:hanging="420"/>
      </w:pPr>
    </w:lvl>
    <w:lvl w:ilvl="4" w:tplc="7FDE0116" w:tentative="1">
      <w:start w:val="1"/>
      <w:numFmt w:val="aiueoFullWidth"/>
      <w:lvlText w:val="(%5)"/>
      <w:lvlJc w:val="left"/>
      <w:pPr>
        <w:tabs>
          <w:tab w:val="num" w:pos="3018"/>
        </w:tabs>
        <w:ind w:left="3018" w:hanging="420"/>
      </w:pPr>
    </w:lvl>
    <w:lvl w:ilvl="5" w:tplc="DFCE99B0" w:tentative="1">
      <w:start w:val="1"/>
      <w:numFmt w:val="decimalEnclosedCircle"/>
      <w:lvlText w:val="%6"/>
      <w:lvlJc w:val="left"/>
      <w:pPr>
        <w:tabs>
          <w:tab w:val="num" w:pos="3438"/>
        </w:tabs>
        <w:ind w:left="3438" w:hanging="420"/>
      </w:pPr>
    </w:lvl>
    <w:lvl w:ilvl="6" w:tplc="6E6EDCBC" w:tentative="1">
      <w:start w:val="1"/>
      <w:numFmt w:val="decimal"/>
      <w:lvlText w:val="%7."/>
      <w:lvlJc w:val="left"/>
      <w:pPr>
        <w:tabs>
          <w:tab w:val="num" w:pos="3858"/>
        </w:tabs>
        <w:ind w:left="3858" w:hanging="420"/>
      </w:pPr>
    </w:lvl>
    <w:lvl w:ilvl="7" w:tplc="D40EB880" w:tentative="1">
      <w:start w:val="1"/>
      <w:numFmt w:val="aiueoFullWidth"/>
      <w:lvlText w:val="(%8)"/>
      <w:lvlJc w:val="left"/>
      <w:pPr>
        <w:tabs>
          <w:tab w:val="num" w:pos="4278"/>
        </w:tabs>
        <w:ind w:left="4278" w:hanging="420"/>
      </w:pPr>
    </w:lvl>
    <w:lvl w:ilvl="8" w:tplc="B024EF66" w:tentative="1">
      <w:start w:val="1"/>
      <w:numFmt w:val="decimalEnclosedCircle"/>
      <w:lvlText w:val="%9"/>
      <w:lvlJc w:val="left"/>
      <w:pPr>
        <w:tabs>
          <w:tab w:val="num" w:pos="4698"/>
        </w:tabs>
        <w:ind w:left="4698" w:hanging="420"/>
      </w:pPr>
    </w:lvl>
  </w:abstractNum>
  <w:abstractNum w:abstractNumId="80" w15:restartNumberingAfterBreak="0">
    <w:nsid w:val="749306FA"/>
    <w:multiLevelType w:val="multilevel"/>
    <w:tmpl w:val="25B63E1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Times New Roman" w:hAnsi="Times New Roman" w:cs="Times New Roman" w:hint="default"/>
        <w:sz w:val="22"/>
        <w:szCs w:val="22"/>
      </w:rPr>
    </w:lvl>
    <w:lvl w:ilvl="2">
      <w:start w:val="1"/>
      <w:numFmt w:val="decimal"/>
      <w:lvlText w:val="%1.%2.%3"/>
      <w:lvlJc w:val="left"/>
      <w:pPr>
        <w:tabs>
          <w:tab w:val="num" w:pos="720"/>
        </w:tabs>
        <w:ind w:left="720" w:hanging="72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1" w15:restartNumberingAfterBreak="0">
    <w:nsid w:val="79D523C4"/>
    <w:multiLevelType w:val="multilevel"/>
    <w:tmpl w:val="9BE2DC72"/>
    <w:lvl w:ilvl="0">
      <w:start w:val="1"/>
      <w:numFmt w:val="decimal"/>
      <w:pStyle w:val="ToDoList"/>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2" w15:restartNumberingAfterBreak="0">
    <w:nsid w:val="7BD149F3"/>
    <w:multiLevelType w:val="hybridMultilevel"/>
    <w:tmpl w:val="51CEBB5E"/>
    <w:lvl w:ilvl="0" w:tplc="74181FB4">
      <w:start w:val="1"/>
      <w:numFmt w:val="bullet"/>
      <w:pStyle w:val="IPPNumberedListArial"/>
      <w:lvlText w:val=""/>
      <w:lvlJc w:val="left"/>
      <w:pPr>
        <w:tabs>
          <w:tab w:val="num" w:pos="360"/>
        </w:tabs>
        <w:ind w:left="360" w:hanging="360"/>
      </w:pPr>
      <w:rPr>
        <w:rFonts w:ascii="Symbol" w:hAnsi="Symbol" w:hint="default"/>
        <w:color w:val="auto"/>
      </w:rPr>
    </w:lvl>
    <w:lvl w:ilvl="1" w:tplc="8F10EEF4" w:tentative="1">
      <w:start w:val="1"/>
      <w:numFmt w:val="bullet"/>
      <w:lvlText w:val="o"/>
      <w:lvlJc w:val="left"/>
      <w:pPr>
        <w:tabs>
          <w:tab w:val="num" w:pos="1080"/>
        </w:tabs>
        <w:ind w:left="1080" w:hanging="360"/>
      </w:pPr>
      <w:rPr>
        <w:rFonts w:ascii="Courier New" w:hAnsi="Courier New" w:cs="Consolas" w:hint="default"/>
      </w:rPr>
    </w:lvl>
    <w:lvl w:ilvl="2" w:tplc="C208229A" w:tentative="1">
      <w:start w:val="1"/>
      <w:numFmt w:val="bullet"/>
      <w:lvlText w:val=""/>
      <w:lvlJc w:val="left"/>
      <w:pPr>
        <w:tabs>
          <w:tab w:val="num" w:pos="1800"/>
        </w:tabs>
        <w:ind w:left="1800" w:hanging="360"/>
      </w:pPr>
      <w:rPr>
        <w:rFonts w:ascii="Wingdings" w:hAnsi="Wingdings" w:hint="default"/>
      </w:rPr>
    </w:lvl>
    <w:lvl w:ilvl="3" w:tplc="EEF27C18" w:tentative="1">
      <w:start w:val="1"/>
      <w:numFmt w:val="bullet"/>
      <w:lvlText w:val=""/>
      <w:lvlJc w:val="left"/>
      <w:pPr>
        <w:tabs>
          <w:tab w:val="num" w:pos="2520"/>
        </w:tabs>
        <w:ind w:left="2520" w:hanging="360"/>
      </w:pPr>
      <w:rPr>
        <w:rFonts w:ascii="Symbol" w:hAnsi="Symbol" w:hint="default"/>
      </w:rPr>
    </w:lvl>
    <w:lvl w:ilvl="4" w:tplc="4B8E1B22" w:tentative="1">
      <w:start w:val="1"/>
      <w:numFmt w:val="bullet"/>
      <w:lvlText w:val="o"/>
      <w:lvlJc w:val="left"/>
      <w:pPr>
        <w:tabs>
          <w:tab w:val="num" w:pos="3240"/>
        </w:tabs>
        <w:ind w:left="3240" w:hanging="360"/>
      </w:pPr>
      <w:rPr>
        <w:rFonts w:ascii="Courier New" w:hAnsi="Courier New" w:cs="Consolas" w:hint="default"/>
      </w:rPr>
    </w:lvl>
    <w:lvl w:ilvl="5" w:tplc="271CA3A0" w:tentative="1">
      <w:start w:val="1"/>
      <w:numFmt w:val="bullet"/>
      <w:lvlText w:val=""/>
      <w:lvlJc w:val="left"/>
      <w:pPr>
        <w:tabs>
          <w:tab w:val="num" w:pos="3960"/>
        </w:tabs>
        <w:ind w:left="3960" w:hanging="360"/>
      </w:pPr>
      <w:rPr>
        <w:rFonts w:ascii="Wingdings" w:hAnsi="Wingdings" w:hint="default"/>
      </w:rPr>
    </w:lvl>
    <w:lvl w:ilvl="6" w:tplc="D3C02C0A" w:tentative="1">
      <w:start w:val="1"/>
      <w:numFmt w:val="bullet"/>
      <w:lvlText w:val=""/>
      <w:lvlJc w:val="left"/>
      <w:pPr>
        <w:tabs>
          <w:tab w:val="num" w:pos="4680"/>
        </w:tabs>
        <w:ind w:left="4680" w:hanging="360"/>
      </w:pPr>
      <w:rPr>
        <w:rFonts w:ascii="Symbol" w:hAnsi="Symbol" w:hint="default"/>
      </w:rPr>
    </w:lvl>
    <w:lvl w:ilvl="7" w:tplc="FC96A254" w:tentative="1">
      <w:start w:val="1"/>
      <w:numFmt w:val="bullet"/>
      <w:lvlText w:val="o"/>
      <w:lvlJc w:val="left"/>
      <w:pPr>
        <w:tabs>
          <w:tab w:val="num" w:pos="5400"/>
        </w:tabs>
        <w:ind w:left="5400" w:hanging="360"/>
      </w:pPr>
      <w:rPr>
        <w:rFonts w:ascii="Courier New" w:hAnsi="Courier New" w:cs="Consolas" w:hint="default"/>
      </w:rPr>
    </w:lvl>
    <w:lvl w:ilvl="8" w:tplc="1E88ADD4"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7CAA628E"/>
    <w:multiLevelType w:val="hybridMultilevel"/>
    <w:tmpl w:val="36EA3B62"/>
    <w:lvl w:ilvl="0" w:tplc="9D22A2B4">
      <w:start w:val="1"/>
      <w:numFmt w:val="bullet"/>
      <w:pStyle w:val="DashListLev4"/>
      <w:lvlText w:val=""/>
      <w:lvlJc w:val="left"/>
      <w:pPr>
        <w:tabs>
          <w:tab w:val="num" w:pos="720"/>
        </w:tabs>
        <w:ind w:left="720" w:hanging="360"/>
      </w:pPr>
      <w:rPr>
        <w:rFonts w:ascii="Symbol" w:hAnsi="Symbol" w:hint="default"/>
      </w:rPr>
    </w:lvl>
    <w:lvl w:ilvl="1" w:tplc="49721496" w:tentative="1">
      <w:start w:val="1"/>
      <w:numFmt w:val="bullet"/>
      <w:lvlText w:val="o"/>
      <w:lvlJc w:val="left"/>
      <w:pPr>
        <w:tabs>
          <w:tab w:val="num" w:pos="1440"/>
        </w:tabs>
        <w:ind w:left="1440" w:hanging="360"/>
      </w:pPr>
      <w:rPr>
        <w:rFonts w:ascii="Courier New" w:hAnsi="Courier New" w:cs="Consolas" w:hint="default"/>
      </w:rPr>
    </w:lvl>
    <w:lvl w:ilvl="2" w:tplc="049E9CF0" w:tentative="1">
      <w:start w:val="1"/>
      <w:numFmt w:val="bullet"/>
      <w:lvlText w:val=""/>
      <w:lvlJc w:val="left"/>
      <w:pPr>
        <w:tabs>
          <w:tab w:val="num" w:pos="2160"/>
        </w:tabs>
        <w:ind w:left="2160" w:hanging="360"/>
      </w:pPr>
      <w:rPr>
        <w:rFonts w:ascii="Wingdings" w:hAnsi="Wingdings" w:hint="default"/>
      </w:rPr>
    </w:lvl>
    <w:lvl w:ilvl="3" w:tplc="1F0EB0A4" w:tentative="1">
      <w:start w:val="1"/>
      <w:numFmt w:val="bullet"/>
      <w:lvlText w:val=""/>
      <w:lvlJc w:val="left"/>
      <w:pPr>
        <w:tabs>
          <w:tab w:val="num" w:pos="2880"/>
        </w:tabs>
        <w:ind w:left="2880" w:hanging="360"/>
      </w:pPr>
      <w:rPr>
        <w:rFonts w:ascii="Symbol" w:hAnsi="Symbol" w:hint="default"/>
      </w:rPr>
    </w:lvl>
    <w:lvl w:ilvl="4" w:tplc="2D184B3E" w:tentative="1">
      <w:start w:val="1"/>
      <w:numFmt w:val="bullet"/>
      <w:lvlText w:val="o"/>
      <w:lvlJc w:val="left"/>
      <w:pPr>
        <w:tabs>
          <w:tab w:val="num" w:pos="3600"/>
        </w:tabs>
        <w:ind w:left="3600" w:hanging="360"/>
      </w:pPr>
      <w:rPr>
        <w:rFonts w:ascii="Courier New" w:hAnsi="Courier New" w:cs="Consolas" w:hint="default"/>
      </w:rPr>
    </w:lvl>
    <w:lvl w:ilvl="5" w:tplc="1AB2A380" w:tentative="1">
      <w:start w:val="1"/>
      <w:numFmt w:val="bullet"/>
      <w:lvlText w:val=""/>
      <w:lvlJc w:val="left"/>
      <w:pPr>
        <w:tabs>
          <w:tab w:val="num" w:pos="4320"/>
        </w:tabs>
        <w:ind w:left="4320" w:hanging="360"/>
      </w:pPr>
      <w:rPr>
        <w:rFonts w:ascii="Wingdings" w:hAnsi="Wingdings" w:hint="default"/>
      </w:rPr>
    </w:lvl>
    <w:lvl w:ilvl="6" w:tplc="F4E82FFE" w:tentative="1">
      <w:start w:val="1"/>
      <w:numFmt w:val="bullet"/>
      <w:lvlText w:val=""/>
      <w:lvlJc w:val="left"/>
      <w:pPr>
        <w:tabs>
          <w:tab w:val="num" w:pos="5040"/>
        </w:tabs>
        <w:ind w:left="5040" w:hanging="360"/>
      </w:pPr>
      <w:rPr>
        <w:rFonts w:ascii="Symbol" w:hAnsi="Symbol" w:hint="default"/>
      </w:rPr>
    </w:lvl>
    <w:lvl w:ilvl="7" w:tplc="7E90F43A" w:tentative="1">
      <w:start w:val="1"/>
      <w:numFmt w:val="bullet"/>
      <w:lvlText w:val="o"/>
      <w:lvlJc w:val="left"/>
      <w:pPr>
        <w:tabs>
          <w:tab w:val="num" w:pos="5760"/>
        </w:tabs>
        <w:ind w:left="5760" w:hanging="360"/>
      </w:pPr>
      <w:rPr>
        <w:rFonts w:ascii="Courier New" w:hAnsi="Courier New" w:cs="Consolas" w:hint="default"/>
      </w:rPr>
    </w:lvl>
    <w:lvl w:ilvl="8" w:tplc="E1D675C6"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9"/>
  </w:num>
  <w:num w:numId="3">
    <w:abstractNumId w:val="0"/>
  </w:num>
  <w:num w:numId="4">
    <w:abstractNumId w:val="48"/>
  </w:num>
  <w:num w:numId="5">
    <w:abstractNumId w:val="58"/>
  </w:num>
  <w:num w:numId="6">
    <w:abstractNumId w:val="80"/>
  </w:num>
  <w:num w:numId="7">
    <w:abstractNumId w:val="18"/>
  </w:num>
  <w:num w:numId="8">
    <w:abstractNumId w:val="59"/>
  </w:num>
  <w:num w:numId="9">
    <w:abstractNumId w:val="4"/>
  </w:num>
  <w:num w:numId="10">
    <w:abstractNumId w:val="21"/>
  </w:num>
  <w:num w:numId="11">
    <w:abstractNumId w:val="66"/>
  </w:num>
  <w:num w:numId="12">
    <w:abstractNumId w:val="63"/>
  </w:num>
  <w:num w:numId="13">
    <w:abstractNumId w:val="23"/>
  </w:num>
  <w:num w:numId="14">
    <w:abstractNumId w:val="34"/>
  </w:num>
  <w:num w:numId="15">
    <w:abstractNumId w:val="79"/>
  </w:num>
  <w:num w:numId="16">
    <w:abstractNumId w:val="50"/>
  </w:num>
  <w:num w:numId="17">
    <w:abstractNumId w:val="62"/>
  </w:num>
  <w:num w:numId="18">
    <w:abstractNumId w:val="46"/>
  </w:num>
  <w:num w:numId="19">
    <w:abstractNumId w:val="67"/>
  </w:num>
  <w:num w:numId="20">
    <w:abstractNumId w:val="14"/>
  </w:num>
  <w:num w:numId="21">
    <w:abstractNumId w:val="37"/>
  </w:num>
  <w:num w:numId="22">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2"/>
  </w:num>
  <w:num w:numId="24">
    <w:abstractNumId w:val="61"/>
  </w:num>
  <w:num w:numId="25">
    <w:abstractNumId w:val="52"/>
  </w:num>
  <w:num w:numId="26">
    <w:abstractNumId w:val="53"/>
  </w:num>
  <w:num w:numId="27">
    <w:abstractNumId w:val="7"/>
  </w:num>
  <w:num w:numId="28">
    <w:abstractNumId w:val="69"/>
  </w:num>
  <w:num w:numId="29">
    <w:abstractNumId w:val="74"/>
  </w:num>
  <w:num w:numId="30">
    <w:abstractNumId w:val="20"/>
  </w:num>
  <w:num w:numId="31">
    <w:abstractNumId w:val="32"/>
  </w:num>
  <w:num w:numId="32">
    <w:abstractNumId w:val="49"/>
  </w:num>
  <w:num w:numId="33">
    <w:abstractNumId w:val="44"/>
  </w:num>
  <w:num w:numId="34">
    <w:abstractNumId w:val="33"/>
  </w:num>
  <w:num w:numId="35">
    <w:abstractNumId w:val="38"/>
  </w:num>
  <w:num w:numId="36">
    <w:abstractNumId w:val="13"/>
  </w:num>
  <w:num w:numId="37">
    <w:abstractNumId w:val="5"/>
  </w:num>
  <w:num w:numId="38">
    <w:abstractNumId w:val="83"/>
  </w:num>
  <w:num w:numId="39">
    <w:abstractNumId w:val="65"/>
  </w:num>
  <w:num w:numId="40">
    <w:abstractNumId w:val="39"/>
  </w:num>
  <w:num w:numId="41">
    <w:abstractNumId w:val="8"/>
  </w:num>
  <w:num w:numId="42">
    <w:abstractNumId w:val="77"/>
  </w:num>
  <w:num w:numId="43">
    <w:abstractNumId w:val="64"/>
  </w:num>
  <w:num w:numId="44">
    <w:abstractNumId w:val="24"/>
  </w:num>
  <w:num w:numId="45">
    <w:abstractNumId w:val="82"/>
  </w:num>
  <w:num w:numId="46">
    <w:abstractNumId w:val="28"/>
  </w:num>
  <w:num w:numId="47">
    <w:abstractNumId w:val="54"/>
  </w:num>
  <w:num w:numId="48">
    <w:abstractNumId w:val="81"/>
  </w:num>
  <w:num w:numId="49">
    <w:abstractNumId w:val="40"/>
  </w:num>
  <w:num w:numId="50">
    <w:abstractNumId w:val="19"/>
  </w:num>
  <w:num w:numId="51">
    <w:abstractNumId w:val="6"/>
  </w:num>
  <w:num w:numId="52">
    <w:abstractNumId w:val="55"/>
  </w:num>
  <w:num w:numId="53">
    <w:abstractNumId w:val="36"/>
  </w:num>
  <w:num w:numId="54">
    <w:abstractNumId w:val="73"/>
  </w:num>
  <w:num w:numId="55">
    <w:abstractNumId w:val="30"/>
  </w:num>
  <w:num w:numId="56">
    <w:abstractNumId w:val="10"/>
  </w:num>
  <w:num w:numId="57">
    <w:abstractNumId w:val="57"/>
  </w:num>
  <w:num w:numId="58">
    <w:abstractNumId w:val="72"/>
  </w:num>
  <w:num w:numId="59">
    <w:abstractNumId w:val="25"/>
  </w:num>
  <w:num w:numId="60">
    <w:abstractNumId w:val="26"/>
  </w:num>
  <w:num w:numId="61">
    <w:abstractNumId w:val="17"/>
  </w:num>
  <w:num w:numId="62">
    <w:abstractNumId w:val="2"/>
  </w:num>
  <w:num w:numId="63">
    <w:abstractNumId w:val="12"/>
    <w:lvlOverride w:ilvl="0">
      <w:startOverride w:val="1"/>
    </w:lvlOverride>
    <w:lvlOverride w:ilvl="1"/>
    <w:lvlOverride w:ilvl="2"/>
    <w:lvlOverride w:ilvl="3"/>
    <w:lvlOverride w:ilvl="4"/>
    <w:lvlOverride w:ilvl="5"/>
    <w:lvlOverride w:ilvl="6"/>
    <w:lvlOverride w:ilvl="7"/>
    <w:lvlOverride w:ilvl="8"/>
  </w:num>
  <w:num w:numId="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1"/>
  </w:num>
  <w:num w:numId="66">
    <w:abstractNumId w:val="56"/>
  </w:num>
  <w:num w:numId="67">
    <w:abstractNumId w:val="41"/>
  </w:num>
  <w:num w:numId="68">
    <w:abstractNumId w:val="16"/>
  </w:num>
  <w:num w:numId="69">
    <w:abstractNumId w:val="11"/>
  </w:num>
  <w:num w:numId="70">
    <w:abstractNumId w:val="71"/>
  </w:num>
  <w:num w:numId="71">
    <w:abstractNumId w:val="60"/>
  </w:num>
  <w:num w:numId="72">
    <w:abstractNumId w:val="22"/>
  </w:num>
  <w:num w:numId="73">
    <w:abstractNumId w:val="35"/>
  </w:num>
  <w:num w:numId="74">
    <w:abstractNumId w:val="15"/>
  </w:num>
  <w:num w:numId="75">
    <w:abstractNumId w:val="78"/>
  </w:num>
  <w:num w:numId="76">
    <w:abstractNumId w:val="43"/>
  </w:num>
  <w:num w:numId="77">
    <w:abstractNumId w:val="68"/>
  </w:num>
  <w:num w:numId="78">
    <w:abstractNumId w:val="70"/>
  </w:num>
  <w:num w:numId="79">
    <w:abstractNumId w:val="47"/>
  </w:num>
  <w:num w:numId="80">
    <w:abstractNumId w:val="27"/>
  </w:num>
  <w:num w:numId="81">
    <w:abstractNumId w:val="75"/>
  </w:num>
  <w:num w:numId="82">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hideSpellingErrors/>
  <w:activeWritingStyle w:appName="MSWord" w:lang="en-GB" w:vendorID="6" w:dllVersion="2" w:checkStyle="1"/>
  <w:activeWritingStyle w:appName="MSWord" w:lang="en-GB" w:vendorID="5" w:dllVersion="2" w:checkStyle="1"/>
  <w:activeWritingStyle w:appName="MSWord" w:lang="en-GB" w:vendorID="8" w:dllVersion="513" w:checkStyle="1"/>
  <w:activeWritingStyle w:appName="MSWord" w:lang="en-US" w:vendorID="8" w:dllVersion="513" w:checkStyle="1"/>
  <w:activeWritingStyle w:appName="MSWord" w:lang="en-AU" w:vendorID="8" w:dllVersion="513" w:checkStyle="1"/>
  <w:activeWritingStyle w:appName="MSWord" w:lang="nl-NL" w:vendorID="1" w:dllVersion="512" w:checkStyle="1"/>
  <w:activeWritingStyle w:appName="MSWord" w:lang="en-NZ" w:vendorID="8" w:dllVersion="513" w:checkStyle="1"/>
  <w:activeWritingStyle w:appName="MSWord" w:lang="en-CA" w:vendorID="8" w:dllVersion="513" w:checkStyle="1"/>
  <w:activeWritingStyle w:appName="MSWord" w:lang="en-029" w:vendorID="8" w:dllVersion="513" w:checkStyle="1"/>
  <w:activeWritingStyle w:appName="MSWord" w:lang="en-ZA" w:vendorID="8" w:dllVersion="513" w:checkStyle="1"/>
  <w:activeWritingStyle w:appName="MSWord" w:lang="it-IT" w:vendorID="3" w:dllVersion="517"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967"/>
    <w:rsid w:val="000002D2"/>
    <w:rsid w:val="00001E5C"/>
    <w:rsid w:val="0000233D"/>
    <w:rsid w:val="00002A58"/>
    <w:rsid w:val="00003F99"/>
    <w:rsid w:val="00005794"/>
    <w:rsid w:val="0000789E"/>
    <w:rsid w:val="00011693"/>
    <w:rsid w:val="0001208A"/>
    <w:rsid w:val="000121EB"/>
    <w:rsid w:val="0001316A"/>
    <w:rsid w:val="0001517E"/>
    <w:rsid w:val="00015FF3"/>
    <w:rsid w:val="00017633"/>
    <w:rsid w:val="00017AED"/>
    <w:rsid w:val="00017CF9"/>
    <w:rsid w:val="00021656"/>
    <w:rsid w:val="0002337D"/>
    <w:rsid w:val="0002368D"/>
    <w:rsid w:val="00023E06"/>
    <w:rsid w:val="0002461B"/>
    <w:rsid w:val="00025CD3"/>
    <w:rsid w:val="00026279"/>
    <w:rsid w:val="00027144"/>
    <w:rsid w:val="00027EEE"/>
    <w:rsid w:val="00030BF7"/>
    <w:rsid w:val="000317F7"/>
    <w:rsid w:val="000331C8"/>
    <w:rsid w:val="00033AE6"/>
    <w:rsid w:val="00034252"/>
    <w:rsid w:val="00035756"/>
    <w:rsid w:val="00037C31"/>
    <w:rsid w:val="0004186A"/>
    <w:rsid w:val="0004240E"/>
    <w:rsid w:val="00042EB5"/>
    <w:rsid w:val="0004337A"/>
    <w:rsid w:val="00047E9C"/>
    <w:rsid w:val="00050238"/>
    <w:rsid w:val="00050268"/>
    <w:rsid w:val="00052224"/>
    <w:rsid w:val="00053743"/>
    <w:rsid w:val="00053765"/>
    <w:rsid w:val="00054011"/>
    <w:rsid w:val="000551CC"/>
    <w:rsid w:val="000575C6"/>
    <w:rsid w:val="00061BFF"/>
    <w:rsid w:val="00061C10"/>
    <w:rsid w:val="00064D6D"/>
    <w:rsid w:val="00064F81"/>
    <w:rsid w:val="000700A3"/>
    <w:rsid w:val="0007145B"/>
    <w:rsid w:val="00071E26"/>
    <w:rsid w:val="000740FC"/>
    <w:rsid w:val="000817C3"/>
    <w:rsid w:val="00084395"/>
    <w:rsid w:val="00084DD9"/>
    <w:rsid w:val="00085261"/>
    <w:rsid w:val="000853E4"/>
    <w:rsid w:val="00086DBA"/>
    <w:rsid w:val="00090846"/>
    <w:rsid w:val="00091DDE"/>
    <w:rsid w:val="00093C5C"/>
    <w:rsid w:val="0009404F"/>
    <w:rsid w:val="000949C5"/>
    <w:rsid w:val="000A0CDC"/>
    <w:rsid w:val="000A2D5C"/>
    <w:rsid w:val="000A3267"/>
    <w:rsid w:val="000A35BA"/>
    <w:rsid w:val="000A7099"/>
    <w:rsid w:val="000B0380"/>
    <w:rsid w:val="000B0405"/>
    <w:rsid w:val="000B0474"/>
    <w:rsid w:val="000B0531"/>
    <w:rsid w:val="000B112E"/>
    <w:rsid w:val="000B3584"/>
    <w:rsid w:val="000B3766"/>
    <w:rsid w:val="000B3C7A"/>
    <w:rsid w:val="000B41E1"/>
    <w:rsid w:val="000B53B1"/>
    <w:rsid w:val="000C16F0"/>
    <w:rsid w:val="000C1A06"/>
    <w:rsid w:val="000C1A64"/>
    <w:rsid w:val="000C1C9A"/>
    <w:rsid w:val="000C1D66"/>
    <w:rsid w:val="000C2DE2"/>
    <w:rsid w:val="000C2EA5"/>
    <w:rsid w:val="000C4F04"/>
    <w:rsid w:val="000C6600"/>
    <w:rsid w:val="000C7EFA"/>
    <w:rsid w:val="000D4BF3"/>
    <w:rsid w:val="000D4C7A"/>
    <w:rsid w:val="000D574D"/>
    <w:rsid w:val="000D6BA0"/>
    <w:rsid w:val="000D7194"/>
    <w:rsid w:val="000E065C"/>
    <w:rsid w:val="000E1B45"/>
    <w:rsid w:val="000E1F06"/>
    <w:rsid w:val="000E7A9F"/>
    <w:rsid w:val="000E7C16"/>
    <w:rsid w:val="000F2AA7"/>
    <w:rsid w:val="000F32EB"/>
    <w:rsid w:val="000F3963"/>
    <w:rsid w:val="000F44BE"/>
    <w:rsid w:val="000F4AA2"/>
    <w:rsid w:val="000F75A3"/>
    <w:rsid w:val="00101106"/>
    <w:rsid w:val="001016FF"/>
    <w:rsid w:val="00101D95"/>
    <w:rsid w:val="0010207A"/>
    <w:rsid w:val="00103842"/>
    <w:rsid w:val="001049F0"/>
    <w:rsid w:val="001051F8"/>
    <w:rsid w:val="00107383"/>
    <w:rsid w:val="00110134"/>
    <w:rsid w:val="0011140B"/>
    <w:rsid w:val="00111D27"/>
    <w:rsid w:val="00112994"/>
    <w:rsid w:val="00113452"/>
    <w:rsid w:val="0011545F"/>
    <w:rsid w:val="00115DB4"/>
    <w:rsid w:val="0011715B"/>
    <w:rsid w:val="00125246"/>
    <w:rsid w:val="00132C6A"/>
    <w:rsid w:val="0013442A"/>
    <w:rsid w:val="001348D5"/>
    <w:rsid w:val="0013561C"/>
    <w:rsid w:val="00135629"/>
    <w:rsid w:val="00135F4F"/>
    <w:rsid w:val="00143903"/>
    <w:rsid w:val="001458FD"/>
    <w:rsid w:val="00147175"/>
    <w:rsid w:val="0014786A"/>
    <w:rsid w:val="00151F80"/>
    <w:rsid w:val="001546F8"/>
    <w:rsid w:val="00154A7F"/>
    <w:rsid w:val="00154B6D"/>
    <w:rsid w:val="00154F07"/>
    <w:rsid w:val="00156779"/>
    <w:rsid w:val="00157244"/>
    <w:rsid w:val="0015746F"/>
    <w:rsid w:val="00164656"/>
    <w:rsid w:val="001653A0"/>
    <w:rsid w:val="00165E88"/>
    <w:rsid w:val="00166B94"/>
    <w:rsid w:val="00170473"/>
    <w:rsid w:val="00170575"/>
    <w:rsid w:val="001708EA"/>
    <w:rsid w:val="0017093B"/>
    <w:rsid w:val="00172F5F"/>
    <w:rsid w:val="00173C7A"/>
    <w:rsid w:val="00175540"/>
    <w:rsid w:val="00175B5B"/>
    <w:rsid w:val="00176A51"/>
    <w:rsid w:val="00177050"/>
    <w:rsid w:val="00177452"/>
    <w:rsid w:val="001820C2"/>
    <w:rsid w:val="001865AC"/>
    <w:rsid w:val="00187136"/>
    <w:rsid w:val="00187B21"/>
    <w:rsid w:val="001906EA"/>
    <w:rsid w:val="00192CD6"/>
    <w:rsid w:val="00194726"/>
    <w:rsid w:val="001954CC"/>
    <w:rsid w:val="0019660D"/>
    <w:rsid w:val="001966C9"/>
    <w:rsid w:val="001A03FB"/>
    <w:rsid w:val="001A1421"/>
    <w:rsid w:val="001A1FB6"/>
    <w:rsid w:val="001A49D7"/>
    <w:rsid w:val="001A501A"/>
    <w:rsid w:val="001A5936"/>
    <w:rsid w:val="001A7577"/>
    <w:rsid w:val="001B06EB"/>
    <w:rsid w:val="001B1555"/>
    <w:rsid w:val="001B213B"/>
    <w:rsid w:val="001B24C8"/>
    <w:rsid w:val="001B2FD4"/>
    <w:rsid w:val="001B3AC0"/>
    <w:rsid w:val="001B3B6F"/>
    <w:rsid w:val="001B7DE2"/>
    <w:rsid w:val="001C0E0D"/>
    <w:rsid w:val="001C1CF5"/>
    <w:rsid w:val="001C5E46"/>
    <w:rsid w:val="001D0202"/>
    <w:rsid w:val="001D0F5A"/>
    <w:rsid w:val="001D166E"/>
    <w:rsid w:val="001D1DBE"/>
    <w:rsid w:val="001D3775"/>
    <w:rsid w:val="001D37B9"/>
    <w:rsid w:val="001D4445"/>
    <w:rsid w:val="001D6B27"/>
    <w:rsid w:val="001E05D5"/>
    <w:rsid w:val="001E0E1C"/>
    <w:rsid w:val="001E0E45"/>
    <w:rsid w:val="001E0ED6"/>
    <w:rsid w:val="001E2E6D"/>
    <w:rsid w:val="001E34C2"/>
    <w:rsid w:val="001E5F5B"/>
    <w:rsid w:val="001E6351"/>
    <w:rsid w:val="001F0D0D"/>
    <w:rsid w:val="001F1E0D"/>
    <w:rsid w:val="001F325F"/>
    <w:rsid w:val="001F5725"/>
    <w:rsid w:val="0020075A"/>
    <w:rsid w:val="00203E52"/>
    <w:rsid w:val="00204AA0"/>
    <w:rsid w:val="00204B66"/>
    <w:rsid w:val="002075FB"/>
    <w:rsid w:val="0021144F"/>
    <w:rsid w:val="0021274D"/>
    <w:rsid w:val="0021302E"/>
    <w:rsid w:val="00213878"/>
    <w:rsid w:val="002143DE"/>
    <w:rsid w:val="0021485D"/>
    <w:rsid w:val="00214CD9"/>
    <w:rsid w:val="00215425"/>
    <w:rsid w:val="002203A5"/>
    <w:rsid w:val="00220E27"/>
    <w:rsid w:val="002210A2"/>
    <w:rsid w:val="002216FF"/>
    <w:rsid w:val="00221DB0"/>
    <w:rsid w:val="00222845"/>
    <w:rsid w:val="00226C88"/>
    <w:rsid w:val="002309E5"/>
    <w:rsid w:val="00230CEE"/>
    <w:rsid w:val="00232963"/>
    <w:rsid w:val="00233EBD"/>
    <w:rsid w:val="002358C2"/>
    <w:rsid w:val="00237BFA"/>
    <w:rsid w:val="0024033D"/>
    <w:rsid w:val="00240812"/>
    <w:rsid w:val="00240E37"/>
    <w:rsid w:val="00241366"/>
    <w:rsid w:val="002423A9"/>
    <w:rsid w:val="0024285E"/>
    <w:rsid w:val="002434ED"/>
    <w:rsid w:val="00243A3C"/>
    <w:rsid w:val="002444DC"/>
    <w:rsid w:val="00244DAD"/>
    <w:rsid w:val="00245849"/>
    <w:rsid w:val="0024733A"/>
    <w:rsid w:val="0025349D"/>
    <w:rsid w:val="002549D2"/>
    <w:rsid w:val="00254F80"/>
    <w:rsid w:val="00255612"/>
    <w:rsid w:val="00255995"/>
    <w:rsid w:val="0025706B"/>
    <w:rsid w:val="002578F4"/>
    <w:rsid w:val="00260C5C"/>
    <w:rsid w:val="00260E9A"/>
    <w:rsid w:val="002635F7"/>
    <w:rsid w:val="002644AD"/>
    <w:rsid w:val="00266A09"/>
    <w:rsid w:val="00267711"/>
    <w:rsid w:val="002700CC"/>
    <w:rsid w:val="00270C3D"/>
    <w:rsid w:val="0027102D"/>
    <w:rsid w:val="00271786"/>
    <w:rsid w:val="002717B9"/>
    <w:rsid w:val="00271CAA"/>
    <w:rsid w:val="00273F5A"/>
    <w:rsid w:val="00274196"/>
    <w:rsid w:val="002759A3"/>
    <w:rsid w:val="002766E5"/>
    <w:rsid w:val="0027794F"/>
    <w:rsid w:val="002800E0"/>
    <w:rsid w:val="00284AC1"/>
    <w:rsid w:val="00285709"/>
    <w:rsid w:val="002878D4"/>
    <w:rsid w:val="00291101"/>
    <w:rsid w:val="00293681"/>
    <w:rsid w:val="00296416"/>
    <w:rsid w:val="00296CD3"/>
    <w:rsid w:val="002A0CF5"/>
    <w:rsid w:val="002A198F"/>
    <w:rsid w:val="002A3E54"/>
    <w:rsid w:val="002A4A87"/>
    <w:rsid w:val="002A4E6F"/>
    <w:rsid w:val="002B45FD"/>
    <w:rsid w:val="002B4DA6"/>
    <w:rsid w:val="002B6B90"/>
    <w:rsid w:val="002B7818"/>
    <w:rsid w:val="002B7F1A"/>
    <w:rsid w:val="002C0D7B"/>
    <w:rsid w:val="002C24CD"/>
    <w:rsid w:val="002C663A"/>
    <w:rsid w:val="002C6703"/>
    <w:rsid w:val="002D1416"/>
    <w:rsid w:val="002D15FF"/>
    <w:rsid w:val="002D1FC6"/>
    <w:rsid w:val="002D3492"/>
    <w:rsid w:val="002D3DD8"/>
    <w:rsid w:val="002D4DC4"/>
    <w:rsid w:val="002E1D1E"/>
    <w:rsid w:val="002E42C7"/>
    <w:rsid w:val="002E4ECA"/>
    <w:rsid w:val="002E636A"/>
    <w:rsid w:val="002E7015"/>
    <w:rsid w:val="002E705D"/>
    <w:rsid w:val="002E78F3"/>
    <w:rsid w:val="002E7B80"/>
    <w:rsid w:val="002F0E12"/>
    <w:rsid w:val="002F13CE"/>
    <w:rsid w:val="002F2114"/>
    <w:rsid w:val="002F2119"/>
    <w:rsid w:val="002F2491"/>
    <w:rsid w:val="002F28DC"/>
    <w:rsid w:val="002F5EC1"/>
    <w:rsid w:val="002F6C1E"/>
    <w:rsid w:val="002F6DEA"/>
    <w:rsid w:val="00300D32"/>
    <w:rsid w:val="0030141E"/>
    <w:rsid w:val="00301F5A"/>
    <w:rsid w:val="00302856"/>
    <w:rsid w:val="0030557E"/>
    <w:rsid w:val="0030737C"/>
    <w:rsid w:val="003073C0"/>
    <w:rsid w:val="00311AB5"/>
    <w:rsid w:val="00312589"/>
    <w:rsid w:val="00313318"/>
    <w:rsid w:val="00314538"/>
    <w:rsid w:val="003157A8"/>
    <w:rsid w:val="00317779"/>
    <w:rsid w:val="00321E9C"/>
    <w:rsid w:val="00322051"/>
    <w:rsid w:val="00322851"/>
    <w:rsid w:val="003231D4"/>
    <w:rsid w:val="00323E9F"/>
    <w:rsid w:val="0032430F"/>
    <w:rsid w:val="00326F62"/>
    <w:rsid w:val="003325F8"/>
    <w:rsid w:val="003335B9"/>
    <w:rsid w:val="003349FC"/>
    <w:rsid w:val="00335D5A"/>
    <w:rsid w:val="0033796A"/>
    <w:rsid w:val="00341904"/>
    <w:rsid w:val="003420C5"/>
    <w:rsid w:val="00343A2F"/>
    <w:rsid w:val="00343FA0"/>
    <w:rsid w:val="003457A6"/>
    <w:rsid w:val="00347672"/>
    <w:rsid w:val="00347ACE"/>
    <w:rsid w:val="003505D2"/>
    <w:rsid w:val="00350B22"/>
    <w:rsid w:val="00351235"/>
    <w:rsid w:val="003514D8"/>
    <w:rsid w:val="00353210"/>
    <w:rsid w:val="0035410E"/>
    <w:rsid w:val="003552E6"/>
    <w:rsid w:val="003571AA"/>
    <w:rsid w:val="00357734"/>
    <w:rsid w:val="00357AA5"/>
    <w:rsid w:val="0036416F"/>
    <w:rsid w:val="003649EB"/>
    <w:rsid w:val="00366BC6"/>
    <w:rsid w:val="00366E0D"/>
    <w:rsid w:val="003704B6"/>
    <w:rsid w:val="003723F5"/>
    <w:rsid w:val="0037350E"/>
    <w:rsid w:val="00373B70"/>
    <w:rsid w:val="003779B3"/>
    <w:rsid w:val="00382130"/>
    <w:rsid w:val="00382983"/>
    <w:rsid w:val="00383A1B"/>
    <w:rsid w:val="003868FB"/>
    <w:rsid w:val="00386CBB"/>
    <w:rsid w:val="00390A12"/>
    <w:rsid w:val="00392594"/>
    <w:rsid w:val="00392990"/>
    <w:rsid w:val="00393F63"/>
    <w:rsid w:val="00394A7A"/>
    <w:rsid w:val="00394A98"/>
    <w:rsid w:val="003954A6"/>
    <w:rsid w:val="003971F5"/>
    <w:rsid w:val="003978DF"/>
    <w:rsid w:val="00397EA8"/>
    <w:rsid w:val="003A02B3"/>
    <w:rsid w:val="003A14AF"/>
    <w:rsid w:val="003A3331"/>
    <w:rsid w:val="003A706C"/>
    <w:rsid w:val="003A7091"/>
    <w:rsid w:val="003B317C"/>
    <w:rsid w:val="003B5279"/>
    <w:rsid w:val="003B60E4"/>
    <w:rsid w:val="003B61B9"/>
    <w:rsid w:val="003B6D92"/>
    <w:rsid w:val="003B71C5"/>
    <w:rsid w:val="003C2753"/>
    <w:rsid w:val="003C3108"/>
    <w:rsid w:val="003C4EB0"/>
    <w:rsid w:val="003C61CE"/>
    <w:rsid w:val="003C61F2"/>
    <w:rsid w:val="003C63EA"/>
    <w:rsid w:val="003C7CC1"/>
    <w:rsid w:val="003C7EB2"/>
    <w:rsid w:val="003C7F4F"/>
    <w:rsid w:val="003D03F2"/>
    <w:rsid w:val="003D0FB2"/>
    <w:rsid w:val="003D3418"/>
    <w:rsid w:val="003D46BC"/>
    <w:rsid w:val="003D7BDE"/>
    <w:rsid w:val="003E070D"/>
    <w:rsid w:val="003E16AF"/>
    <w:rsid w:val="003E1921"/>
    <w:rsid w:val="003E28CA"/>
    <w:rsid w:val="003E362A"/>
    <w:rsid w:val="003E428B"/>
    <w:rsid w:val="003E4636"/>
    <w:rsid w:val="003E7046"/>
    <w:rsid w:val="003F20B7"/>
    <w:rsid w:val="003F330A"/>
    <w:rsid w:val="003F378F"/>
    <w:rsid w:val="003F4EB9"/>
    <w:rsid w:val="003F6D1E"/>
    <w:rsid w:val="004008B3"/>
    <w:rsid w:val="00401855"/>
    <w:rsid w:val="00402A1E"/>
    <w:rsid w:val="0040471E"/>
    <w:rsid w:val="0040537B"/>
    <w:rsid w:val="004103E1"/>
    <w:rsid w:val="00410EB3"/>
    <w:rsid w:val="00413888"/>
    <w:rsid w:val="00413BE5"/>
    <w:rsid w:val="00413E4A"/>
    <w:rsid w:val="00415C42"/>
    <w:rsid w:val="00420C18"/>
    <w:rsid w:val="0042279F"/>
    <w:rsid w:val="0042399A"/>
    <w:rsid w:val="004271A6"/>
    <w:rsid w:val="00427F1D"/>
    <w:rsid w:val="004317D0"/>
    <w:rsid w:val="00431BFD"/>
    <w:rsid w:val="00432338"/>
    <w:rsid w:val="004329DA"/>
    <w:rsid w:val="004334B7"/>
    <w:rsid w:val="00435064"/>
    <w:rsid w:val="00435B73"/>
    <w:rsid w:val="00436143"/>
    <w:rsid w:val="00436419"/>
    <w:rsid w:val="004367BC"/>
    <w:rsid w:val="004377B4"/>
    <w:rsid w:val="00440F61"/>
    <w:rsid w:val="00443C5E"/>
    <w:rsid w:val="00444712"/>
    <w:rsid w:val="00446145"/>
    <w:rsid w:val="004463D8"/>
    <w:rsid w:val="00446D33"/>
    <w:rsid w:val="0045032A"/>
    <w:rsid w:val="00450FA5"/>
    <w:rsid w:val="00452299"/>
    <w:rsid w:val="0045350D"/>
    <w:rsid w:val="004550CF"/>
    <w:rsid w:val="00455567"/>
    <w:rsid w:val="00455F1A"/>
    <w:rsid w:val="00460CC6"/>
    <w:rsid w:val="004654D3"/>
    <w:rsid w:val="0046583A"/>
    <w:rsid w:val="004667B4"/>
    <w:rsid w:val="00467794"/>
    <w:rsid w:val="00470607"/>
    <w:rsid w:val="00472291"/>
    <w:rsid w:val="004725F8"/>
    <w:rsid w:val="00473C1E"/>
    <w:rsid w:val="00474BB7"/>
    <w:rsid w:val="0048044D"/>
    <w:rsid w:val="0048245A"/>
    <w:rsid w:val="004828CE"/>
    <w:rsid w:val="00485BEF"/>
    <w:rsid w:val="00485F82"/>
    <w:rsid w:val="004867A6"/>
    <w:rsid w:val="00487BF9"/>
    <w:rsid w:val="00490312"/>
    <w:rsid w:val="00492125"/>
    <w:rsid w:val="00492FE0"/>
    <w:rsid w:val="004930DF"/>
    <w:rsid w:val="00494A75"/>
    <w:rsid w:val="00494CC5"/>
    <w:rsid w:val="00494EB6"/>
    <w:rsid w:val="00497F61"/>
    <w:rsid w:val="004A08D7"/>
    <w:rsid w:val="004A1303"/>
    <w:rsid w:val="004A243B"/>
    <w:rsid w:val="004A2613"/>
    <w:rsid w:val="004A3050"/>
    <w:rsid w:val="004A3A81"/>
    <w:rsid w:val="004A438B"/>
    <w:rsid w:val="004A53CF"/>
    <w:rsid w:val="004A741A"/>
    <w:rsid w:val="004B025A"/>
    <w:rsid w:val="004B0ED1"/>
    <w:rsid w:val="004B10C9"/>
    <w:rsid w:val="004B21BA"/>
    <w:rsid w:val="004B356F"/>
    <w:rsid w:val="004B3F5D"/>
    <w:rsid w:val="004B466D"/>
    <w:rsid w:val="004B4CC1"/>
    <w:rsid w:val="004B6C85"/>
    <w:rsid w:val="004C0688"/>
    <w:rsid w:val="004C4B88"/>
    <w:rsid w:val="004C71DF"/>
    <w:rsid w:val="004C7778"/>
    <w:rsid w:val="004C7B1C"/>
    <w:rsid w:val="004D13F9"/>
    <w:rsid w:val="004D142F"/>
    <w:rsid w:val="004D1972"/>
    <w:rsid w:val="004D19C4"/>
    <w:rsid w:val="004D2431"/>
    <w:rsid w:val="004D28DE"/>
    <w:rsid w:val="004D2D1B"/>
    <w:rsid w:val="004D32E0"/>
    <w:rsid w:val="004D3766"/>
    <w:rsid w:val="004D415D"/>
    <w:rsid w:val="004D571E"/>
    <w:rsid w:val="004D5C65"/>
    <w:rsid w:val="004D6002"/>
    <w:rsid w:val="004D6AEC"/>
    <w:rsid w:val="004D7168"/>
    <w:rsid w:val="004E0D73"/>
    <w:rsid w:val="004E15F1"/>
    <w:rsid w:val="004E6162"/>
    <w:rsid w:val="004E7AC5"/>
    <w:rsid w:val="004E7F60"/>
    <w:rsid w:val="004F09D4"/>
    <w:rsid w:val="004F0D47"/>
    <w:rsid w:val="004F0D60"/>
    <w:rsid w:val="004F10BF"/>
    <w:rsid w:val="004F287B"/>
    <w:rsid w:val="004F4215"/>
    <w:rsid w:val="004F680E"/>
    <w:rsid w:val="00500122"/>
    <w:rsid w:val="00502410"/>
    <w:rsid w:val="00502484"/>
    <w:rsid w:val="0050379E"/>
    <w:rsid w:val="00506F55"/>
    <w:rsid w:val="00510D26"/>
    <w:rsid w:val="005110D3"/>
    <w:rsid w:val="0051175B"/>
    <w:rsid w:val="005125FE"/>
    <w:rsid w:val="00513A21"/>
    <w:rsid w:val="005145D6"/>
    <w:rsid w:val="0051468B"/>
    <w:rsid w:val="00517DC8"/>
    <w:rsid w:val="00517FCE"/>
    <w:rsid w:val="00520421"/>
    <w:rsid w:val="00520D77"/>
    <w:rsid w:val="00521E02"/>
    <w:rsid w:val="0052371C"/>
    <w:rsid w:val="00523E05"/>
    <w:rsid w:val="005241A2"/>
    <w:rsid w:val="00526B70"/>
    <w:rsid w:val="00532032"/>
    <w:rsid w:val="0053251C"/>
    <w:rsid w:val="00532AC8"/>
    <w:rsid w:val="00534A13"/>
    <w:rsid w:val="00537A3B"/>
    <w:rsid w:val="005403D7"/>
    <w:rsid w:val="00543531"/>
    <w:rsid w:val="005441B2"/>
    <w:rsid w:val="00544291"/>
    <w:rsid w:val="00544FC4"/>
    <w:rsid w:val="00545DFA"/>
    <w:rsid w:val="005464D5"/>
    <w:rsid w:val="005467DE"/>
    <w:rsid w:val="00547D5B"/>
    <w:rsid w:val="00550028"/>
    <w:rsid w:val="00552B10"/>
    <w:rsid w:val="00554F49"/>
    <w:rsid w:val="00556019"/>
    <w:rsid w:val="0055642A"/>
    <w:rsid w:val="005566AB"/>
    <w:rsid w:val="005575A1"/>
    <w:rsid w:val="0055779F"/>
    <w:rsid w:val="0055781A"/>
    <w:rsid w:val="005617DE"/>
    <w:rsid w:val="005629EE"/>
    <w:rsid w:val="00563178"/>
    <w:rsid w:val="005631AF"/>
    <w:rsid w:val="00565E7D"/>
    <w:rsid w:val="00567615"/>
    <w:rsid w:val="005676A4"/>
    <w:rsid w:val="005704A7"/>
    <w:rsid w:val="00570D24"/>
    <w:rsid w:val="005723E2"/>
    <w:rsid w:val="00573241"/>
    <w:rsid w:val="0057483F"/>
    <w:rsid w:val="005828AC"/>
    <w:rsid w:val="005831E9"/>
    <w:rsid w:val="005839A6"/>
    <w:rsid w:val="00590992"/>
    <w:rsid w:val="005917AB"/>
    <w:rsid w:val="00591AA8"/>
    <w:rsid w:val="00592D02"/>
    <w:rsid w:val="00594812"/>
    <w:rsid w:val="0059722B"/>
    <w:rsid w:val="00597D4C"/>
    <w:rsid w:val="005A18B5"/>
    <w:rsid w:val="005A22A9"/>
    <w:rsid w:val="005A38FC"/>
    <w:rsid w:val="005A40B0"/>
    <w:rsid w:val="005A6DE5"/>
    <w:rsid w:val="005A6FA9"/>
    <w:rsid w:val="005A7240"/>
    <w:rsid w:val="005A72E7"/>
    <w:rsid w:val="005A7DB7"/>
    <w:rsid w:val="005A7F21"/>
    <w:rsid w:val="005B0883"/>
    <w:rsid w:val="005B0DF4"/>
    <w:rsid w:val="005B1FC8"/>
    <w:rsid w:val="005B2559"/>
    <w:rsid w:val="005B3236"/>
    <w:rsid w:val="005B3245"/>
    <w:rsid w:val="005B369C"/>
    <w:rsid w:val="005B5708"/>
    <w:rsid w:val="005B7B41"/>
    <w:rsid w:val="005C0570"/>
    <w:rsid w:val="005C0710"/>
    <w:rsid w:val="005C1ABF"/>
    <w:rsid w:val="005C29DA"/>
    <w:rsid w:val="005C3B2D"/>
    <w:rsid w:val="005C3D92"/>
    <w:rsid w:val="005C5BF7"/>
    <w:rsid w:val="005C5E68"/>
    <w:rsid w:val="005C77D9"/>
    <w:rsid w:val="005C7C94"/>
    <w:rsid w:val="005D1144"/>
    <w:rsid w:val="005D20A9"/>
    <w:rsid w:val="005D4F4E"/>
    <w:rsid w:val="005D5099"/>
    <w:rsid w:val="005D552A"/>
    <w:rsid w:val="005D6D19"/>
    <w:rsid w:val="005D70E2"/>
    <w:rsid w:val="005E06FC"/>
    <w:rsid w:val="005E44AE"/>
    <w:rsid w:val="005E6F74"/>
    <w:rsid w:val="005F5A5F"/>
    <w:rsid w:val="005F5DCC"/>
    <w:rsid w:val="006005AE"/>
    <w:rsid w:val="0060093C"/>
    <w:rsid w:val="0060224C"/>
    <w:rsid w:val="0060226A"/>
    <w:rsid w:val="0060235A"/>
    <w:rsid w:val="00604D11"/>
    <w:rsid w:val="006077BC"/>
    <w:rsid w:val="0061024C"/>
    <w:rsid w:val="006107C2"/>
    <w:rsid w:val="00610F29"/>
    <w:rsid w:val="00610FED"/>
    <w:rsid w:val="00612A68"/>
    <w:rsid w:val="00616783"/>
    <w:rsid w:val="006206A2"/>
    <w:rsid w:val="0062091A"/>
    <w:rsid w:val="00625E8B"/>
    <w:rsid w:val="00625EE6"/>
    <w:rsid w:val="006262FA"/>
    <w:rsid w:val="00626BCB"/>
    <w:rsid w:val="00626ECC"/>
    <w:rsid w:val="00626F67"/>
    <w:rsid w:val="00630CAD"/>
    <w:rsid w:val="006324E7"/>
    <w:rsid w:val="00635A6A"/>
    <w:rsid w:val="00636A95"/>
    <w:rsid w:val="00636C2B"/>
    <w:rsid w:val="00640263"/>
    <w:rsid w:val="0064030D"/>
    <w:rsid w:val="00640866"/>
    <w:rsid w:val="00642375"/>
    <w:rsid w:val="00642379"/>
    <w:rsid w:val="00642C39"/>
    <w:rsid w:val="00643EAD"/>
    <w:rsid w:val="00644510"/>
    <w:rsid w:val="00645A88"/>
    <w:rsid w:val="00646834"/>
    <w:rsid w:val="006469FC"/>
    <w:rsid w:val="00646C98"/>
    <w:rsid w:val="00646F32"/>
    <w:rsid w:val="00647D2A"/>
    <w:rsid w:val="00651E26"/>
    <w:rsid w:val="00655157"/>
    <w:rsid w:val="006569F6"/>
    <w:rsid w:val="00656BAE"/>
    <w:rsid w:val="00656E7D"/>
    <w:rsid w:val="006579E0"/>
    <w:rsid w:val="006609DF"/>
    <w:rsid w:val="00661281"/>
    <w:rsid w:val="00661BD2"/>
    <w:rsid w:val="0066359C"/>
    <w:rsid w:val="0066374C"/>
    <w:rsid w:val="00664560"/>
    <w:rsid w:val="00664765"/>
    <w:rsid w:val="006658DD"/>
    <w:rsid w:val="00665A8D"/>
    <w:rsid w:val="006672AF"/>
    <w:rsid w:val="00671D26"/>
    <w:rsid w:val="00671FC9"/>
    <w:rsid w:val="0067477B"/>
    <w:rsid w:val="006804DF"/>
    <w:rsid w:val="0068076A"/>
    <w:rsid w:val="0068175C"/>
    <w:rsid w:val="00687DCE"/>
    <w:rsid w:val="00690EE2"/>
    <w:rsid w:val="006916EA"/>
    <w:rsid w:val="006917D9"/>
    <w:rsid w:val="00694D9C"/>
    <w:rsid w:val="0069556F"/>
    <w:rsid w:val="00695BD7"/>
    <w:rsid w:val="00696CB5"/>
    <w:rsid w:val="006A0029"/>
    <w:rsid w:val="006A0DB0"/>
    <w:rsid w:val="006A237C"/>
    <w:rsid w:val="006A53A2"/>
    <w:rsid w:val="006A6C22"/>
    <w:rsid w:val="006A713F"/>
    <w:rsid w:val="006B0F72"/>
    <w:rsid w:val="006B186E"/>
    <w:rsid w:val="006B1E31"/>
    <w:rsid w:val="006B1E7E"/>
    <w:rsid w:val="006B3F9D"/>
    <w:rsid w:val="006B475E"/>
    <w:rsid w:val="006B49AA"/>
    <w:rsid w:val="006B4C7D"/>
    <w:rsid w:val="006B52E0"/>
    <w:rsid w:val="006B65C1"/>
    <w:rsid w:val="006B6BC8"/>
    <w:rsid w:val="006C01E2"/>
    <w:rsid w:val="006C5202"/>
    <w:rsid w:val="006C70B2"/>
    <w:rsid w:val="006D19B7"/>
    <w:rsid w:val="006D605D"/>
    <w:rsid w:val="006D731B"/>
    <w:rsid w:val="006D79B3"/>
    <w:rsid w:val="006D7DDA"/>
    <w:rsid w:val="006E02ED"/>
    <w:rsid w:val="006E13B3"/>
    <w:rsid w:val="006E22EB"/>
    <w:rsid w:val="006E33DB"/>
    <w:rsid w:val="006E470C"/>
    <w:rsid w:val="006E4DC0"/>
    <w:rsid w:val="006E4E8B"/>
    <w:rsid w:val="006E5205"/>
    <w:rsid w:val="006E5C28"/>
    <w:rsid w:val="006E5CD1"/>
    <w:rsid w:val="006E5F80"/>
    <w:rsid w:val="006E6D2F"/>
    <w:rsid w:val="006F1F1D"/>
    <w:rsid w:val="006F22A3"/>
    <w:rsid w:val="006F33D8"/>
    <w:rsid w:val="006F36B9"/>
    <w:rsid w:val="006F448B"/>
    <w:rsid w:val="006F5B91"/>
    <w:rsid w:val="006F5DD4"/>
    <w:rsid w:val="006F6BA3"/>
    <w:rsid w:val="0070013C"/>
    <w:rsid w:val="0070164A"/>
    <w:rsid w:val="00702336"/>
    <w:rsid w:val="00703036"/>
    <w:rsid w:val="00703659"/>
    <w:rsid w:val="00705C9D"/>
    <w:rsid w:val="0070607D"/>
    <w:rsid w:val="00707A19"/>
    <w:rsid w:val="00713E0C"/>
    <w:rsid w:val="00713E4B"/>
    <w:rsid w:val="00717D23"/>
    <w:rsid w:val="00720A99"/>
    <w:rsid w:val="00720E47"/>
    <w:rsid w:val="00720FCC"/>
    <w:rsid w:val="007230B6"/>
    <w:rsid w:val="00723644"/>
    <w:rsid w:val="00724679"/>
    <w:rsid w:val="00725450"/>
    <w:rsid w:val="00727F81"/>
    <w:rsid w:val="00731629"/>
    <w:rsid w:val="007340E4"/>
    <w:rsid w:val="00736E04"/>
    <w:rsid w:val="00736E4B"/>
    <w:rsid w:val="00741C5D"/>
    <w:rsid w:val="00743638"/>
    <w:rsid w:val="00744673"/>
    <w:rsid w:val="0074499B"/>
    <w:rsid w:val="00744AFE"/>
    <w:rsid w:val="0074507E"/>
    <w:rsid w:val="00746E97"/>
    <w:rsid w:val="00747F35"/>
    <w:rsid w:val="0075208A"/>
    <w:rsid w:val="00752E19"/>
    <w:rsid w:val="0075626B"/>
    <w:rsid w:val="0076163C"/>
    <w:rsid w:val="0076196B"/>
    <w:rsid w:val="00762536"/>
    <w:rsid w:val="00763B91"/>
    <w:rsid w:val="0076540F"/>
    <w:rsid w:val="0076583A"/>
    <w:rsid w:val="00765913"/>
    <w:rsid w:val="00765ED6"/>
    <w:rsid w:val="00766033"/>
    <w:rsid w:val="00767B1E"/>
    <w:rsid w:val="00770E7F"/>
    <w:rsid w:val="00771CBB"/>
    <w:rsid w:val="007728E9"/>
    <w:rsid w:val="00772BE4"/>
    <w:rsid w:val="007739E3"/>
    <w:rsid w:val="00774801"/>
    <w:rsid w:val="00775D7F"/>
    <w:rsid w:val="00775F95"/>
    <w:rsid w:val="00776D60"/>
    <w:rsid w:val="00776D6F"/>
    <w:rsid w:val="0078023E"/>
    <w:rsid w:val="0078130A"/>
    <w:rsid w:val="007824A3"/>
    <w:rsid w:val="00783BA9"/>
    <w:rsid w:val="00783C72"/>
    <w:rsid w:val="00787F71"/>
    <w:rsid w:val="0079139F"/>
    <w:rsid w:val="00791E4E"/>
    <w:rsid w:val="00793810"/>
    <w:rsid w:val="00794ABE"/>
    <w:rsid w:val="00794D78"/>
    <w:rsid w:val="00796A2B"/>
    <w:rsid w:val="007A058F"/>
    <w:rsid w:val="007A215E"/>
    <w:rsid w:val="007A2694"/>
    <w:rsid w:val="007A293D"/>
    <w:rsid w:val="007A34DE"/>
    <w:rsid w:val="007A77BA"/>
    <w:rsid w:val="007B0435"/>
    <w:rsid w:val="007B27D4"/>
    <w:rsid w:val="007B2EFF"/>
    <w:rsid w:val="007B303D"/>
    <w:rsid w:val="007B3A1C"/>
    <w:rsid w:val="007B7481"/>
    <w:rsid w:val="007C3005"/>
    <w:rsid w:val="007C3101"/>
    <w:rsid w:val="007C333B"/>
    <w:rsid w:val="007C7AFE"/>
    <w:rsid w:val="007D16BB"/>
    <w:rsid w:val="007D1C7F"/>
    <w:rsid w:val="007D344D"/>
    <w:rsid w:val="007D5FE8"/>
    <w:rsid w:val="007D7F62"/>
    <w:rsid w:val="007E1571"/>
    <w:rsid w:val="007E1A53"/>
    <w:rsid w:val="007E1C4E"/>
    <w:rsid w:val="007E25CD"/>
    <w:rsid w:val="007E51F4"/>
    <w:rsid w:val="007E5533"/>
    <w:rsid w:val="007E5538"/>
    <w:rsid w:val="007E5803"/>
    <w:rsid w:val="007E5DBF"/>
    <w:rsid w:val="007E7E95"/>
    <w:rsid w:val="007F0D47"/>
    <w:rsid w:val="007F17BC"/>
    <w:rsid w:val="007F1BED"/>
    <w:rsid w:val="007F30E1"/>
    <w:rsid w:val="007F3167"/>
    <w:rsid w:val="007F4613"/>
    <w:rsid w:val="007F47A3"/>
    <w:rsid w:val="007F78CB"/>
    <w:rsid w:val="007F7C84"/>
    <w:rsid w:val="008022EE"/>
    <w:rsid w:val="00803224"/>
    <w:rsid w:val="008052F5"/>
    <w:rsid w:val="00806A8C"/>
    <w:rsid w:val="00806FC7"/>
    <w:rsid w:val="00807C7E"/>
    <w:rsid w:val="008100AC"/>
    <w:rsid w:val="00812504"/>
    <w:rsid w:val="00813D0C"/>
    <w:rsid w:val="00814B16"/>
    <w:rsid w:val="008153B8"/>
    <w:rsid w:val="00815D88"/>
    <w:rsid w:val="00815E36"/>
    <w:rsid w:val="008209F6"/>
    <w:rsid w:val="00821BBC"/>
    <w:rsid w:val="008238AB"/>
    <w:rsid w:val="00824496"/>
    <w:rsid w:val="00827803"/>
    <w:rsid w:val="0083192B"/>
    <w:rsid w:val="008331BC"/>
    <w:rsid w:val="00834995"/>
    <w:rsid w:val="008350E2"/>
    <w:rsid w:val="008360CA"/>
    <w:rsid w:val="00836ED3"/>
    <w:rsid w:val="0083708E"/>
    <w:rsid w:val="00840CE5"/>
    <w:rsid w:val="00841011"/>
    <w:rsid w:val="00841412"/>
    <w:rsid w:val="00841BDE"/>
    <w:rsid w:val="00841D8E"/>
    <w:rsid w:val="008425C0"/>
    <w:rsid w:val="00845468"/>
    <w:rsid w:val="008458C5"/>
    <w:rsid w:val="00850702"/>
    <w:rsid w:val="0085087B"/>
    <w:rsid w:val="00851B0C"/>
    <w:rsid w:val="008522C0"/>
    <w:rsid w:val="00852CBA"/>
    <w:rsid w:val="008530E3"/>
    <w:rsid w:val="0085525C"/>
    <w:rsid w:val="0085559F"/>
    <w:rsid w:val="00857553"/>
    <w:rsid w:val="0086014F"/>
    <w:rsid w:val="008622F6"/>
    <w:rsid w:val="00862BA7"/>
    <w:rsid w:val="00863544"/>
    <w:rsid w:val="008637C9"/>
    <w:rsid w:val="0086419C"/>
    <w:rsid w:val="00871C44"/>
    <w:rsid w:val="00872075"/>
    <w:rsid w:val="008725A2"/>
    <w:rsid w:val="00873713"/>
    <w:rsid w:val="008754D6"/>
    <w:rsid w:val="00876095"/>
    <w:rsid w:val="00876EBB"/>
    <w:rsid w:val="00880218"/>
    <w:rsid w:val="00882312"/>
    <w:rsid w:val="0088263D"/>
    <w:rsid w:val="0088370B"/>
    <w:rsid w:val="00885B2C"/>
    <w:rsid w:val="008867C9"/>
    <w:rsid w:val="00887115"/>
    <w:rsid w:val="008879A3"/>
    <w:rsid w:val="00892D99"/>
    <w:rsid w:val="00893835"/>
    <w:rsid w:val="00894F2C"/>
    <w:rsid w:val="00897B72"/>
    <w:rsid w:val="008A1FC0"/>
    <w:rsid w:val="008A212A"/>
    <w:rsid w:val="008A41C2"/>
    <w:rsid w:val="008A4BB2"/>
    <w:rsid w:val="008A683D"/>
    <w:rsid w:val="008B160A"/>
    <w:rsid w:val="008B1C48"/>
    <w:rsid w:val="008B321C"/>
    <w:rsid w:val="008B329D"/>
    <w:rsid w:val="008B39D4"/>
    <w:rsid w:val="008B3DCD"/>
    <w:rsid w:val="008B5DAA"/>
    <w:rsid w:val="008B70AE"/>
    <w:rsid w:val="008C1373"/>
    <w:rsid w:val="008C16D2"/>
    <w:rsid w:val="008C218B"/>
    <w:rsid w:val="008C3A0C"/>
    <w:rsid w:val="008C4347"/>
    <w:rsid w:val="008C5E85"/>
    <w:rsid w:val="008D014E"/>
    <w:rsid w:val="008D06EA"/>
    <w:rsid w:val="008D58FB"/>
    <w:rsid w:val="008D6B84"/>
    <w:rsid w:val="008E0001"/>
    <w:rsid w:val="008E1961"/>
    <w:rsid w:val="008E38F6"/>
    <w:rsid w:val="008E4CA7"/>
    <w:rsid w:val="008E6610"/>
    <w:rsid w:val="008E68C3"/>
    <w:rsid w:val="008F1795"/>
    <w:rsid w:val="008F28F6"/>
    <w:rsid w:val="008F45BB"/>
    <w:rsid w:val="008F4CB1"/>
    <w:rsid w:val="008F4F74"/>
    <w:rsid w:val="0090097B"/>
    <w:rsid w:val="0090167F"/>
    <w:rsid w:val="00903E10"/>
    <w:rsid w:val="00906373"/>
    <w:rsid w:val="0090695C"/>
    <w:rsid w:val="00907AAF"/>
    <w:rsid w:val="009107F1"/>
    <w:rsid w:val="00912E2E"/>
    <w:rsid w:val="00914F15"/>
    <w:rsid w:val="009159BE"/>
    <w:rsid w:val="00921B93"/>
    <w:rsid w:val="009224F6"/>
    <w:rsid w:val="00923D1F"/>
    <w:rsid w:val="00926186"/>
    <w:rsid w:val="0093171A"/>
    <w:rsid w:val="00932FD4"/>
    <w:rsid w:val="00934436"/>
    <w:rsid w:val="00935013"/>
    <w:rsid w:val="009370B5"/>
    <w:rsid w:val="009403A3"/>
    <w:rsid w:val="0094079C"/>
    <w:rsid w:val="00941199"/>
    <w:rsid w:val="009427BE"/>
    <w:rsid w:val="00942E2A"/>
    <w:rsid w:val="00943D38"/>
    <w:rsid w:val="00944592"/>
    <w:rsid w:val="00944FC9"/>
    <w:rsid w:val="00946150"/>
    <w:rsid w:val="009474D5"/>
    <w:rsid w:val="009501A1"/>
    <w:rsid w:val="0095076E"/>
    <w:rsid w:val="009514C8"/>
    <w:rsid w:val="00954AB0"/>
    <w:rsid w:val="00954DB7"/>
    <w:rsid w:val="0095770A"/>
    <w:rsid w:val="009605D2"/>
    <w:rsid w:val="00960E85"/>
    <w:rsid w:val="00961306"/>
    <w:rsid w:val="00963040"/>
    <w:rsid w:val="009635D0"/>
    <w:rsid w:val="00963889"/>
    <w:rsid w:val="00970F39"/>
    <w:rsid w:val="00971363"/>
    <w:rsid w:val="0097140B"/>
    <w:rsid w:val="0098300A"/>
    <w:rsid w:val="00983E1A"/>
    <w:rsid w:val="009843CE"/>
    <w:rsid w:val="009850FD"/>
    <w:rsid w:val="009851AA"/>
    <w:rsid w:val="00986148"/>
    <w:rsid w:val="00987718"/>
    <w:rsid w:val="00990039"/>
    <w:rsid w:val="009913D0"/>
    <w:rsid w:val="00992301"/>
    <w:rsid w:val="0099336B"/>
    <w:rsid w:val="00993D68"/>
    <w:rsid w:val="009947B5"/>
    <w:rsid w:val="009963E3"/>
    <w:rsid w:val="0099794D"/>
    <w:rsid w:val="00997ECA"/>
    <w:rsid w:val="009A409B"/>
    <w:rsid w:val="009A4854"/>
    <w:rsid w:val="009A5785"/>
    <w:rsid w:val="009A596D"/>
    <w:rsid w:val="009A61B8"/>
    <w:rsid w:val="009A632C"/>
    <w:rsid w:val="009A6E68"/>
    <w:rsid w:val="009A773B"/>
    <w:rsid w:val="009A793A"/>
    <w:rsid w:val="009B0083"/>
    <w:rsid w:val="009B3CF6"/>
    <w:rsid w:val="009B498E"/>
    <w:rsid w:val="009B6706"/>
    <w:rsid w:val="009C15A4"/>
    <w:rsid w:val="009C1EA2"/>
    <w:rsid w:val="009C2717"/>
    <w:rsid w:val="009C423A"/>
    <w:rsid w:val="009C4627"/>
    <w:rsid w:val="009C72E2"/>
    <w:rsid w:val="009C7E14"/>
    <w:rsid w:val="009D1380"/>
    <w:rsid w:val="009D1FA5"/>
    <w:rsid w:val="009D40EC"/>
    <w:rsid w:val="009D5D01"/>
    <w:rsid w:val="009D5F18"/>
    <w:rsid w:val="009E07B3"/>
    <w:rsid w:val="009E1AF4"/>
    <w:rsid w:val="009E1F1E"/>
    <w:rsid w:val="009E24CA"/>
    <w:rsid w:val="009E41D5"/>
    <w:rsid w:val="009E555F"/>
    <w:rsid w:val="009E7DFD"/>
    <w:rsid w:val="009F437F"/>
    <w:rsid w:val="009F7700"/>
    <w:rsid w:val="00A01F29"/>
    <w:rsid w:val="00A03EA7"/>
    <w:rsid w:val="00A04150"/>
    <w:rsid w:val="00A0500A"/>
    <w:rsid w:val="00A076D8"/>
    <w:rsid w:val="00A07D31"/>
    <w:rsid w:val="00A10352"/>
    <w:rsid w:val="00A12A40"/>
    <w:rsid w:val="00A140B1"/>
    <w:rsid w:val="00A14F60"/>
    <w:rsid w:val="00A1575D"/>
    <w:rsid w:val="00A1682B"/>
    <w:rsid w:val="00A1743E"/>
    <w:rsid w:val="00A17B6D"/>
    <w:rsid w:val="00A20F61"/>
    <w:rsid w:val="00A20FB3"/>
    <w:rsid w:val="00A21364"/>
    <w:rsid w:val="00A22F29"/>
    <w:rsid w:val="00A24968"/>
    <w:rsid w:val="00A24B67"/>
    <w:rsid w:val="00A25EE5"/>
    <w:rsid w:val="00A26F2C"/>
    <w:rsid w:val="00A27175"/>
    <w:rsid w:val="00A27572"/>
    <w:rsid w:val="00A314D3"/>
    <w:rsid w:val="00A3229B"/>
    <w:rsid w:val="00A33B0B"/>
    <w:rsid w:val="00A34414"/>
    <w:rsid w:val="00A3527D"/>
    <w:rsid w:val="00A41C33"/>
    <w:rsid w:val="00A42A5D"/>
    <w:rsid w:val="00A42B2C"/>
    <w:rsid w:val="00A434AE"/>
    <w:rsid w:val="00A438EC"/>
    <w:rsid w:val="00A43B40"/>
    <w:rsid w:val="00A4464E"/>
    <w:rsid w:val="00A46DC3"/>
    <w:rsid w:val="00A47D26"/>
    <w:rsid w:val="00A47D9E"/>
    <w:rsid w:val="00A52B1F"/>
    <w:rsid w:val="00A54365"/>
    <w:rsid w:val="00A544F1"/>
    <w:rsid w:val="00A60067"/>
    <w:rsid w:val="00A6273D"/>
    <w:rsid w:val="00A635AA"/>
    <w:rsid w:val="00A64E06"/>
    <w:rsid w:val="00A66B22"/>
    <w:rsid w:val="00A66F2B"/>
    <w:rsid w:val="00A70557"/>
    <w:rsid w:val="00A71300"/>
    <w:rsid w:val="00A71914"/>
    <w:rsid w:val="00A722E2"/>
    <w:rsid w:val="00A73A60"/>
    <w:rsid w:val="00A73E7E"/>
    <w:rsid w:val="00A74C39"/>
    <w:rsid w:val="00A753C9"/>
    <w:rsid w:val="00A75511"/>
    <w:rsid w:val="00A76227"/>
    <w:rsid w:val="00A768E1"/>
    <w:rsid w:val="00A76A72"/>
    <w:rsid w:val="00A76BE7"/>
    <w:rsid w:val="00A80151"/>
    <w:rsid w:val="00A81889"/>
    <w:rsid w:val="00A81B8F"/>
    <w:rsid w:val="00A81C39"/>
    <w:rsid w:val="00A82700"/>
    <w:rsid w:val="00A8345B"/>
    <w:rsid w:val="00A836C0"/>
    <w:rsid w:val="00A83C6D"/>
    <w:rsid w:val="00A83DB6"/>
    <w:rsid w:val="00A84AC8"/>
    <w:rsid w:val="00A85C0C"/>
    <w:rsid w:val="00A86901"/>
    <w:rsid w:val="00A86F96"/>
    <w:rsid w:val="00A86FB0"/>
    <w:rsid w:val="00A872CF"/>
    <w:rsid w:val="00A9146B"/>
    <w:rsid w:val="00A92F4F"/>
    <w:rsid w:val="00A92FC8"/>
    <w:rsid w:val="00A95C0E"/>
    <w:rsid w:val="00AA1A8F"/>
    <w:rsid w:val="00AA43BB"/>
    <w:rsid w:val="00AA4426"/>
    <w:rsid w:val="00AA5C26"/>
    <w:rsid w:val="00AA673C"/>
    <w:rsid w:val="00AB219E"/>
    <w:rsid w:val="00AB3306"/>
    <w:rsid w:val="00AB5433"/>
    <w:rsid w:val="00AB5696"/>
    <w:rsid w:val="00AB65FA"/>
    <w:rsid w:val="00AC03BA"/>
    <w:rsid w:val="00AC1C09"/>
    <w:rsid w:val="00AC39D0"/>
    <w:rsid w:val="00AC40E6"/>
    <w:rsid w:val="00AC5BCE"/>
    <w:rsid w:val="00AC7131"/>
    <w:rsid w:val="00AC793B"/>
    <w:rsid w:val="00AC79C3"/>
    <w:rsid w:val="00AC7E2B"/>
    <w:rsid w:val="00AD0DE8"/>
    <w:rsid w:val="00AD33E5"/>
    <w:rsid w:val="00AD4B2A"/>
    <w:rsid w:val="00AD50B2"/>
    <w:rsid w:val="00AD5CB8"/>
    <w:rsid w:val="00AE0715"/>
    <w:rsid w:val="00AE1DC7"/>
    <w:rsid w:val="00AE6532"/>
    <w:rsid w:val="00AF10B7"/>
    <w:rsid w:val="00AF1EAE"/>
    <w:rsid w:val="00AF432E"/>
    <w:rsid w:val="00AF4B87"/>
    <w:rsid w:val="00AF4D90"/>
    <w:rsid w:val="00B00967"/>
    <w:rsid w:val="00B031F1"/>
    <w:rsid w:val="00B0357B"/>
    <w:rsid w:val="00B04360"/>
    <w:rsid w:val="00B0629B"/>
    <w:rsid w:val="00B06D4E"/>
    <w:rsid w:val="00B07828"/>
    <w:rsid w:val="00B07860"/>
    <w:rsid w:val="00B12346"/>
    <w:rsid w:val="00B142B5"/>
    <w:rsid w:val="00B14ECE"/>
    <w:rsid w:val="00B15F0A"/>
    <w:rsid w:val="00B2021F"/>
    <w:rsid w:val="00B21BA5"/>
    <w:rsid w:val="00B23710"/>
    <w:rsid w:val="00B23ADB"/>
    <w:rsid w:val="00B2582C"/>
    <w:rsid w:val="00B25ED1"/>
    <w:rsid w:val="00B26CE3"/>
    <w:rsid w:val="00B26D21"/>
    <w:rsid w:val="00B305CD"/>
    <w:rsid w:val="00B3072C"/>
    <w:rsid w:val="00B30F7D"/>
    <w:rsid w:val="00B32918"/>
    <w:rsid w:val="00B33275"/>
    <w:rsid w:val="00B36B60"/>
    <w:rsid w:val="00B36DB5"/>
    <w:rsid w:val="00B37229"/>
    <w:rsid w:val="00B40050"/>
    <w:rsid w:val="00B40426"/>
    <w:rsid w:val="00B41212"/>
    <w:rsid w:val="00B42070"/>
    <w:rsid w:val="00B43A68"/>
    <w:rsid w:val="00B43E3E"/>
    <w:rsid w:val="00B448E0"/>
    <w:rsid w:val="00B4636E"/>
    <w:rsid w:val="00B46371"/>
    <w:rsid w:val="00B4792C"/>
    <w:rsid w:val="00B47B7C"/>
    <w:rsid w:val="00B501CC"/>
    <w:rsid w:val="00B5074E"/>
    <w:rsid w:val="00B508CB"/>
    <w:rsid w:val="00B528D8"/>
    <w:rsid w:val="00B52D31"/>
    <w:rsid w:val="00B552BC"/>
    <w:rsid w:val="00B60BC6"/>
    <w:rsid w:val="00B6329F"/>
    <w:rsid w:val="00B64762"/>
    <w:rsid w:val="00B651D4"/>
    <w:rsid w:val="00B65BE8"/>
    <w:rsid w:val="00B710A8"/>
    <w:rsid w:val="00B71FC7"/>
    <w:rsid w:val="00B725AE"/>
    <w:rsid w:val="00B77294"/>
    <w:rsid w:val="00B77F09"/>
    <w:rsid w:val="00B8020F"/>
    <w:rsid w:val="00B80FE4"/>
    <w:rsid w:val="00B81731"/>
    <w:rsid w:val="00B821BF"/>
    <w:rsid w:val="00B82F6D"/>
    <w:rsid w:val="00B84369"/>
    <w:rsid w:val="00B854D8"/>
    <w:rsid w:val="00B865BA"/>
    <w:rsid w:val="00B87B22"/>
    <w:rsid w:val="00B9038D"/>
    <w:rsid w:val="00B92517"/>
    <w:rsid w:val="00B94D42"/>
    <w:rsid w:val="00B9500E"/>
    <w:rsid w:val="00B95CD3"/>
    <w:rsid w:val="00BA0312"/>
    <w:rsid w:val="00BA1E77"/>
    <w:rsid w:val="00BA2B00"/>
    <w:rsid w:val="00BA2F3A"/>
    <w:rsid w:val="00BA2FD4"/>
    <w:rsid w:val="00BA2FF0"/>
    <w:rsid w:val="00BA5057"/>
    <w:rsid w:val="00BA65B9"/>
    <w:rsid w:val="00BB002B"/>
    <w:rsid w:val="00BB0B13"/>
    <w:rsid w:val="00BB1944"/>
    <w:rsid w:val="00BB3098"/>
    <w:rsid w:val="00BB3EB4"/>
    <w:rsid w:val="00BB48C4"/>
    <w:rsid w:val="00BB5801"/>
    <w:rsid w:val="00BB5ABE"/>
    <w:rsid w:val="00BB743F"/>
    <w:rsid w:val="00BB7B33"/>
    <w:rsid w:val="00BB7E37"/>
    <w:rsid w:val="00BC12BF"/>
    <w:rsid w:val="00BC1D91"/>
    <w:rsid w:val="00BC4684"/>
    <w:rsid w:val="00BC4FC5"/>
    <w:rsid w:val="00BC5C88"/>
    <w:rsid w:val="00BC66FE"/>
    <w:rsid w:val="00BC7AA9"/>
    <w:rsid w:val="00BD0313"/>
    <w:rsid w:val="00BD0B7B"/>
    <w:rsid w:val="00BD1B8C"/>
    <w:rsid w:val="00BD29F3"/>
    <w:rsid w:val="00BD53CB"/>
    <w:rsid w:val="00BE1ACA"/>
    <w:rsid w:val="00BE2595"/>
    <w:rsid w:val="00BE2C76"/>
    <w:rsid w:val="00BE4BB0"/>
    <w:rsid w:val="00BE5ED3"/>
    <w:rsid w:val="00BE6663"/>
    <w:rsid w:val="00BF1136"/>
    <w:rsid w:val="00BF1B1F"/>
    <w:rsid w:val="00BF2381"/>
    <w:rsid w:val="00BF2C75"/>
    <w:rsid w:val="00BF3287"/>
    <w:rsid w:val="00BF5037"/>
    <w:rsid w:val="00BF5B9D"/>
    <w:rsid w:val="00BF643B"/>
    <w:rsid w:val="00C02CD6"/>
    <w:rsid w:val="00C0459F"/>
    <w:rsid w:val="00C04B5C"/>
    <w:rsid w:val="00C04F8E"/>
    <w:rsid w:val="00C06E61"/>
    <w:rsid w:val="00C07F52"/>
    <w:rsid w:val="00C10C17"/>
    <w:rsid w:val="00C12244"/>
    <w:rsid w:val="00C15B5A"/>
    <w:rsid w:val="00C1629F"/>
    <w:rsid w:val="00C16FD6"/>
    <w:rsid w:val="00C203E5"/>
    <w:rsid w:val="00C223D0"/>
    <w:rsid w:val="00C24D5C"/>
    <w:rsid w:val="00C271CA"/>
    <w:rsid w:val="00C27507"/>
    <w:rsid w:val="00C277EA"/>
    <w:rsid w:val="00C27DA0"/>
    <w:rsid w:val="00C30961"/>
    <w:rsid w:val="00C31292"/>
    <w:rsid w:val="00C31D4B"/>
    <w:rsid w:val="00C33FF9"/>
    <w:rsid w:val="00C36DE2"/>
    <w:rsid w:val="00C373A7"/>
    <w:rsid w:val="00C40A7B"/>
    <w:rsid w:val="00C41BA2"/>
    <w:rsid w:val="00C42375"/>
    <w:rsid w:val="00C42C69"/>
    <w:rsid w:val="00C50719"/>
    <w:rsid w:val="00C50AF6"/>
    <w:rsid w:val="00C512DF"/>
    <w:rsid w:val="00C55283"/>
    <w:rsid w:val="00C555D6"/>
    <w:rsid w:val="00C56167"/>
    <w:rsid w:val="00C57F73"/>
    <w:rsid w:val="00C604B1"/>
    <w:rsid w:val="00C60580"/>
    <w:rsid w:val="00C6320C"/>
    <w:rsid w:val="00C63254"/>
    <w:rsid w:val="00C66CFE"/>
    <w:rsid w:val="00C67FE5"/>
    <w:rsid w:val="00C71FA6"/>
    <w:rsid w:val="00C737DD"/>
    <w:rsid w:val="00C761B6"/>
    <w:rsid w:val="00C7663D"/>
    <w:rsid w:val="00C7675C"/>
    <w:rsid w:val="00C80B4B"/>
    <w:rsid w:val="00C80D09"/>
    <w:rsid w:val="00C84CE6"/>
    <w:rsid w:val="00C86F2A"/>
    <w:rsid w:val="00C876CF"/>
    <w:rsid w:val="00C915BD"/>
    <w:rsid w:val="00C93330"/>
    <w:rsid w:val="00C948A7"/>
    <w:rsid w:val="00C94D20"/>
    <w:rsid w:val="00C952C9"/>
    <w:rsid w:val="00C959B0"/>
    <w:rsid w:val="00C963D8"/>
    <w:rsid w:val="00CA0424"/>
    <w:rsid w:val="00CA3877"/>
    <w:rsid w:val="00CA4DA4"/>
    <w:rsid w:val="00CA5012"/>
    <w:rsid w:val="00CA5E9C"/>
    <w:rsid w:val="00CA5F28"/>
    <w:rsid w:val="00CA699F"/>
    <w:rsid w:val="00CA7923"/>
    <w:rsid w:val="00CB1CD6"/>
    <w:rsid w:val="00CB2FE2"/>
    <w:rsid w:val="00CB35BC"/>
    <w:rsid w:val="00CB47D2"/>
    <w:rsid w:val="00CB53C6"/>
    <w:rsid w:val="00CB54A9"/>
    <w:rsid w:val="00CB63AD"/>
    <w:rsid w:val="00CB66F5"/>
    <w:rsid w:val="00CC1751"/>
    <w:rsid w:val="00CC224D"/>
    <w:rsid w:val="00CC2619"/>
    <w:rsid w:val="00CC3BD4"/>
    <w:rsid w:val="00CC4168"/>
    <w:rsid w:val="00CC5842"/>
    <w:rsid w:val="00CC5AB0"/>
    <w:rsid w:val="00CC61EA"/>
    <w:rsid w:val="00CC7D32"/>
    <w:rsid w:val="00CD1DA7"/>
    <w:rsid w:val="00CD25DF"/>
    <w:rsid w:val="00CD40D0"/>
    <w:rsid w:val="00CD74B2"/>
    <w:rsid w:val="00CD7C35"/>
    <w:rsid w:val="00CE09EB"/>
    <w:rsid w:val="00CE338D"/>
    <w:rsid w:val="00CE595C"/>
    <w:rsid w:val="00CE68E7"/>
    <w:rsid w:val="00CF018E"/>
    <w:rsid w:val="00CF01A0"/>
    <w:rsid w:val="00CF0CDF"/>
    <w:rsid w:val="00CF13C1"/>
    <w:rsid w:val="00CF170D"/>
    <w:rsid w:val="00CF36BD"/>
    <w:rsid w:val="00CF4FF2"/>
    <w:rsid w:val="00CF5889"/>
    <w:rsid w:val="00CF5AD3"/>
    <w:rsid w:val="00CF5B44"/>
    <w:rsid w:val="00CF6356"/>
    <w:rsid w:val="00D0040D"/>
    <w:rsid w:val="00D00FB8"/>
    <w:rsid w:val="00D048A4"/>
    <w:rsid w:val="00D048EE"/>
    <w:rsid w:val="00D07D4F"/>
    <w:rsid w:val="00D137D9"/>
    <w:rsid w:val="00D13C25"/>
    <w:rsid w:val="00D14238"/>
    <w:rsid w:val="00D15CC2"/>
    <w:rsid w:val="00D1610F"/>
    <w:rsid w:val="00D23986"/>
    <w:rsid w:val="00D243B1"/>
    <w:rsid w:val="00D2563A"/>
    <w:rsid w:val="00D27584"/>
    <w:rsid w:val="00D31441"/>
    <w:rsid w:val="00D3337C"/>
    <w:rsid w:val="00D33587"/>
    <w:rsid w:val="00D34257"/>
    <w:rsid w:val="00D351FA"/>
    <w:rsid w:val="00D36470"/>
    <w:rsid w:val="00D36C4F"/>
    <w:rsid w:val="00D3703B"/>
    <w:rsid w:val="00D378B1"/>
    <w:rsid w:val="00D37D63"/>
    <w:rsid w:val="00D43EFF"/>
    <w:rsid w:val="00D445FC"/>
    <w:rsid w:val="00D44C95"/>
    <w:rsid w:val="00D456E7"/>
    <w:rsid w:val="00D461C3"/>
    <w:rsid w:val="00D46945"/>
    <w:rsid w:val="00D469FC"/>
    <w:rsid w:val="00D47F1E"/>
    <w:rsid w:val="00D53238"/>
    <w:rsid w:val="00D54787"/>
    <w:rsid w:val="00D549D5"/>
    <w:rsid w:val="00D55016"/>
    <w:rsid w:val="00D55228"/>
    <w:rsid w:val="00D5727B"/>
    <w:rsid w:val="00D60439"/>
    <w:rsid w:val="00D610BD"/>
    <w:rsid w:val="00D6157A"/>
    <w:rsid w:val="00D6181C"/>
    <w:rsid w:val="00D6202C"/>
    <w:rsid w:val="00D630B5"/>
    <w:rsid w:val="00D64079"/>
    <w:rsid w:val="00D6429C"/>
    <w:rsid w:val="00D65AE9"/>
    <w:rsid w:val="00D66F60"/>
    <w:rsid w:val="00D67529"/>
    <w:rsid w:val="00D675A4"/>
    <w:rsid w:val="00D678DF"/>
    <w:rsid w:val="00D7239A"/>
    <w:rsid w:val="00D72B16"/>
    <w:rsid w:val="00D732CA"/>
    <w:rsid w:val="00D75C0B"/>
    <w:rsid w:val="00D763B0"/>
    <w:rsid w:val="00D82670"/>
    <w:rsid w:val="00D8360A"/>
    <w:rsid w:val="00D857CD"/>
    <w:rsid w:val="00D873FA"/>
    <w:rsid w:val="00D91E18"/>
    <w:rsid w:val="00D92087"/>
    <w:rsid w:val="00D923C3"/>
    <w:rsid w:val="00D94332"/>
    <w:rsid w:val="00D94B22"/>
    <w:rsid w:val="00D95100"/>
    <w:rsid w:val="00D971B6"/>
    <w:rsid w:val="00D971C2"/>
    <w:rsid w:val="00DA0F78"/>
    <w:rsid w:val="00DA2784"/>
    <w:rsid w:val="00DA2891"/>
    <w:rsid w:val="00DA62B7"/>
    <w:rsid w:val="00DA6B4F"/>
    <w:rsid w:val="00DA7530"/>
    <w:rsid w:val="00DB0517"/>
    <w:rsid w:val="00DB0747"/>
    <w:rsid w:val="00DB096E"/>
    <w:rsid w:val="00DB1117"/>
    <w:rsid w:val="00DB2E81"/>
    <w:rsid w:val="00DB47D7"/>
    <w:rsid w:val="00DB6D67"/>
    <w:rsid w:val="00DB79FB"/>
    <w:rsid w:val="00DC5000"/>
    <w:rsid w:val="00DC5017"/>
    <w:rsid w:val="00DC6357"/>
    <w:rsid w:val="00DC7516"/>
    <w:rsid w:val="00DD3F35"/>
    <w:rsid w:val="00DD415F"/>
    <w:rsid w:val="00DD48B2"/>
    <w:rsid w:val="00DD51A2"/>
    <w:rsid w:val="00DD6C8B"/>
    <w:rsid w:val="00DD7190"/>
    <w:rsid w:val="00DD72BF"/>
    <w:rsid w:val="00DD7735"/>
    <w:rsid w:val="00DE0417"/>
    <w:rsid w:val="00DE1EB5"/>
    <w:rsid w:val="00DE227A"/>
    <w:rsid w:val="00DE3BEE"/>
    <w:rsid w:val="00DE5191"/>
    <w:rsid w:val="00DE618A"/>
    <w:rsid w:val="00DF0B15"/>
    <w:rsid w:val="00DF2192"/>
    <w:rsid w:val="00DF2C37"/>
    <w:rsid w:val="00DF3124"/>
    <w:rsid w:val="00DF3205"/>
    <w:rsid w:val="00DF4D76"/>
    <w:rsid w:val="00DF5AAA"/>
    <w:rsid w:val="00DF70DE"/>
    <w:rsid w:val="00E0764E"/>
    <w:rsid w:val="00E07A9D"/>
    <w:rsid w:val="00E12C0A"/>
    <w:rsid w:val="00E15E0F"/>
    <w:rsid w:val="00E15FE9"/>
    <w:rsid w:val="00E16716"/>
    <w:rsid w:val="00E179B2"/>
    <w:rsid w:val="00E17C5C"/>
    <w:rsid w:val="00E212D7"/>
    <w:rsid w:val="00E215A1"/>
    <w:rsid w:val="00E33B74"/>
    <w:rsid w:val="00E34DAE"/>
    <w:rsid w:val="00E36F5A"/>
    <w:rsid w:val="00E37813"/>
    <w:rsid w:val="00E37F41"/>
    <w:rsid w:val="00E4327F"/>
    <w:rsid w:val="00E44B71"/>
    <w:rsid w:val="00E45FF1"/>
    <w:rsid w:val="00E4736D"/>
    <w:rsid w:val="00E54195"/>
    <w:rsid w:val="00E54C2F"/>
    <w:rsid w:val="00E551DE"/>
    <w:rsid w:val="00E5540A"/>
    <w:rsid w:val="00E55F5A"/>
    <w:rsid w:val="00E5745D"/>
    <w:rsid w:val="00E57ABC"/>
    <w:rsid w:val="00E63B1B"/>
    <w:rsid w:val="00E6407E"/>
    <w:rsid w:val="00E641A0"/>
    <w:rsid w:val="00E6740E"/>
    <w:rsid w:val="00E67959"/>
    <w:rsid w:val="00E67AA4"/>
    <w:rsid w:val="00E7077D"/>
    <w:rsid w:val="00E70C38"/>
    <w:rsid w:val="00E713C6"/>
    <w:rsid w:val="00E717DC"/>
    <w:rsid w:val="00E7263D"/>
    <w:rsid w:val="00E73B08"/>
    <w:rsid w:val="00E778BC"/>
    <w:rsid w:val="00E77979"/>
    <w:rsid w:val="00E825FD"/>
    <w:rsid w:val="00E82B31"/>
    <w:rsid w:val="00E83BE1"/>
    <w:rsid w:val="00E8516E"/>
    <w:rsid w:val="00E85F81"/>
    <w:rsid w:val="00E94043"/>
    <w:rsid w:val="00E947AE"/>
    <w:rsid w:val="00E95DA1"/>
    <w:rsid w:val="00EA1260"/>
    <w:rsid w:val="00EA1391"/>
    <w:rsid w:val="00EA29AA"/>
    <w:rsid w:val="00EA4ADE"/>
    <w:rsid w:val="00EA5E5E"/>
    <w:rsid w:val="00EA689F"/>
    <w:rsid w:val="00EA6E96"/>
    <w:rsid w:val="00EA7839"/>
    <w:rsid w:val="00EB02E6"/>
    <w:rsid w:val="00EB0E97"/>
    <w:rsid w:val="00EB2FEC"/>
    <w:rsid w:val="00EB4F41"/>
    <w:rsid w:val="00EB6754"/>
    <w:rsid w:val="00EC1910"/>
    <w:rsid w:val="00EC1E56"/>
    <w:rsid w:val="00EC33FD"/>
    <w:rsid w:val="00EC36CB"/>
    <w:rsid w:val="00EC4274"/>
    <w:rsid w:val="00EC430B"/>
    <w:rsid w:val="00EC442B"/>
    <w:rsid w:val="00EC5037"/>
    <w:rsid w:val="00EC67F3"/>
    <w:rsid w:val="00EC7DBE"/>
    <w:rsid w:val="00ED204E"/>
    <w:rsid w:val="00ED2F3B"/>
    <w:rsid w:val="00ED48BB"/>
    <w:rsid w:val="00ED48DE"/>
    <w:rsid w:val="00ED4A67"/>
    <w:rsid w:val="00ED5B48"/>
    <w:rsid w:val="00ED6A99"/>
    <w:rsid w:val="00EE00E3"/>
    <w:rsid w:val="00EE306F"/>
    <w:rsid w:val="00EE5FF1"/>
    <w:rsid w:val="00EF0690"/>
    <w:rsid w:val="00EF3582"/>
    <w:rsid w:val="00EF4E32"/>
    <w:rsid w:val="00EF59B1"/>
    <w:rsid w:val="00F003E0"/>
    <w:rsid w:val="00F00DE0"/>
    <w:rsid w:val="00F0189F"/>
    <w:rsid w:val="00F02CFB"/>
    <w:rsid w:val="00F02E32"/>
    <w:rsid w:val="00F0728E"/>
    <w:rsid w:val="00F101B8"/>
    <w:rsid w:val="00F10ECB"/>
    <w:rsid w:val="00F117BC"/>
    <w:rsid w:val="00F11FD2"/>
    <w:rsid w:val="00F125CE"/>
    <w:rsid w:val="00F12A62"/>
    <w:rsid w:val="00F14098"/>
    <w:rsid w:val="00F17242"/>
    <w:rsid w:val="00F20A73"/>
    <w:rsid w:val="00F213FE"/>
    <w:rsid w:val="00F21FFB"/>
    <w:rsid w:val="00F22DFD"/>
    <w:rsid w:val="00F2315C"/>
    <w:rsid w:val="00F23856"/>
    <w:rsid w:val="00F24FF8"/>
    <w:rsid w:val="00F25B39"/>
    <w:rsid w:val="00F2714A"/>
    <w:rsid w:val="00F3139B"/>
    <w:rsid w:val="00F3279B"/>
    <w:rsid w:val="00F34790"/>
    <w:rsid w:val="00F350B7"/>
    <w:rsid w:val="00F35B4A"/>
    <w:rsid w:val="00F35D24"/>
    <w:rsid w:val="00F36CFB"/>
    <w:rsid w:val="00F41E53"/>
    <w:rsid w:val="00F42FA8"/>
    <w:rsid w:val="00F4325C"/>
    <w:rsid w:val="00F43AA0"/>
    <w:rsid w:val="00F44104"/>
    <w:rsid w:val="00F4451C"/>
    <w:rsid w:val="00F46063"/>
    <w:rsid w:val="00F51151"/>
    <w:rsid w:val="00F51850"/>
    <w:rsid w:val="00F52316"/>
    <w:rsid w:val="00F53C92"/>
    <w:rsid w:val="00F55370"/>
    <w:rsid w:val="00F5693D"/>
    <w:rsid w:val="00F57CD6"/>
    <w:rsid w:val="00F60765"/>
    <w:rsid w:val="00F6376B"/>
    <w:rsid w:val="00F65443"/>
    <w:rsid w:val="00F65B85"/>
    <w:rsid w:val="00F718EB"/>
    <w:rsid w:val="00F719E6"/>
    <w:rsid w:val="00F73340"/>
    <w:rsid w:val="00F75FC5"/>
    <w:rsid w:val="00F76A2C"/>
    <w:rsid w:val="00F7757C"/>
    <w:rsid w:val="00F77870"/>
    <w:rsid w:val="00F778BF"/>
    <w:rsid w:val="00F80CE3"/>
    <w:rsid w:val="00F8137D"/>
    <w:rsid w:val="00F81989"/>
    <w:rsid w:val="00F81FBB"/>
    <w:rsid w:val="00F82C7C"/>
    <w:rsid w:val="00F83506"/>
    <w:rsid w:val="00F83DFB"/>
    <w:rsid w:val="00F84552"/>
    <w:rsid w:val="00F85EF7"/>
    <w:rsid w:val="00F86AB9"/>
    <w:rsid w:val="00F86EDC"/>
    <w:rsid w:val="00F926DD"/>
    <w:rsid w:val="00F93867"/>
    <w:rsid w:val="00F939CD"/>
    <w:rsid w:val="00F941D9"/>
    <w:rsid w:val="00F95F7D"/>
    <w:rsid w:val="00F96A33"/>
    <w:rsid w:val="00F97357"/>
    <w:rsid w:val="00FA00E0"/>
    <w:rsid w:val="00FA06E9"/>
    <w:rsid w:val="00FA10E7"/>
    <w:rsid w:val="00FA41AE"/>
    <w:rsid w:val="00FA4F9E"/>
    <w:rsid w:val="00FA5909"/>
    <w:rsid w:val="00FA775E"/>
    <w:rsid w:val="00FB01B3"/>
    <w:rsid w:val="00FB06F2"/>
    <w:rsid w:val="00FB3001"/>
    <w:rsid w:val="00FB31F3"/>
    <w:rsid w:val="00FB338C"/>
    <w:rsid w:val="00FB413A"/>
    <w:rsid w:val="00FB5026"/>
    <w:rsid w:val="00FB50B1"/>
    <w:rsid w:val="00FC0382"/>
    <w:rsid w:val="00FC14E4"/>
    <w:rsid w:val="00FC236D"/>
    <w:rsid w:val="00FC2F72"/>
    <w:rsid w:val="00FC7649"/>
    <w:rsid w:val="00FD1E75"/>
    <w:rsid w:val="00FD2274"/>
    <w:rsid w:val="00FD2654"/>
    <w:rsid w:val="00FD280D"/>
    <w:rsid w:val="00FD4EE9"/>
    <w:rsid w:val="00FD5591"/>
    <w:rsid w:val="00FD766E"/>
    <w:rsid w:val="00FE0BC4"/>
    <w:rsid w:val="00FE0F62"/>
    <w:rsid w:val="00FE11E4"/>
    <w:rsid w:val="00FE126A"/>
    <w:rsid w:val="00FE1FF9"/>
    <w:rsid w:val="00FE44D6"/>
    <w:rsid w:val="00FE63E1"/>
    <w:rsid w:val="00FF50A3"/>
    <w:rsid w:val="00FF5A85"/>
    <w:rsid w:val="00FF74F1"/>
    <w:rsid w:val="00FF7D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4420A1"/>
  <w14:defaultImageDpi w14:val="330"/>
  <w15:docId w15:val="{B18280FD-293E-D84C-B72F-34E03E27B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next w:val="Style15"/>
    <w:qFormat/>
    <w:pPr>
      <w:spacing w:after="240"/>
    </w:pPr>
    <w:rPr>
      <w:rFonts w:ascii="Times New Roman" w:hAnsi="Times New Roman"/>
      <w:color w:val="000000"/>
      <w:sz w:val="22"/>
      <w:lang w:val="en-GB" w:eastAsia="zh-CN"/>
    </w:rPr>
  </w:style>
  <w:style w:type="paragraph" w:styleId="Heading1">
    <w:name w:val="heading 1"/>
    <w:aliases w:val="Para (1),Heading 1 Char1 Char,Heading 1 Char Char Char,Para (1) Char Char Char,Para (1) Char1 Char,Heading 1 Char1,Heading 1 Char Char,Para (1) Char Char,Para (1) Char1,Heading 1 Char1 Char Char,Heading 1 Char,Heading 1 Char1 Char Char Char"/>
    <w:basedOn w:val="Normal"/>
    <w:next w:val="Normal"/>
    <w:autoRedefine/>
    <w:qFormat/>
    <w:rsid w:val="00BA0312"/>
    <w:pPr>
      <w:keepNext/>
      <w:keepLines/>
      <w:spacing w:before="240"/>
      <w:ind w:left="709" w:right="95" w:hanging="709"/>
      <w:outlineLvl w:val="0"/>
    </w:pPr>
    <w:rPr>
      <w:rFonts w:cstheme="majorBidi"/>
      <w:b/>
      <w:sz w:val="28"/>
      <w:lang w:val="en-US"/>
    </w:rPr>
  </w:style>
  <w:style w:type="paragraph" w:styleId="Heading2">
    <w:name w:val="heading 2"/>
    <w:aliases w:val="SubPara (a),Heading 2 Char1 Char,SubPara (a) Char1 Char,Heading 2 Char3 Char Char,Heading 2 Char Char2 Char Char,Heading 2 Char1 Char Char1 Char Char,SubPara (a) Char Char Char1 Char Char,Heading 2 Char Char Char Char1 Char Char,Heading 2 C..."/>
    <w:basedOn w:val="Heading1"/>
    <w:next w:val="Normal"/>
    <w:autoRedefine/>
    <w:uiPriority w:val="9"/>
    <w:qFormat/>
    <w:rsid w:val="005C5E68"/>
    <w:pPr>
      <w:widowControl w:val="0"/>
      <w:adjustRightInd w:val="0"/>
      <w:ind w:right="29"/>
      <w:outlineLvl w:val="1"/>
    </w:pPr>
    <w:rPr>
      <w:rFonts w:eastAsiaTheme="minorEastAsia"/>
      <w:snapToGrid w:val="0"/>
      <w:color w:val="auto"/>
      <w:sz w:val="22"/>
      <w:szCs w:val="22"/>
      <w:lang w:eastAsia="fr-FR"/>
    </w:rPr>
  </w:style>
  <w:style w:type="paragraph" w:styleId="Heading3">
    <w:name w:val="heading 3"/>
    <w:aliases w:val="Heading 3 Char1 Char,Heading 3 Char Char Char,Char Char Char Char,Char Char1 Char,Sec,Heading 3 Char Char,Heading 3 Char2,Heading 3 Char Char1,H3"/>
    <w:basedOn w:val="Heading2"/>
    <w:next w:val="Normal"/>
    <w:link w:val="Heading3Char4"/>
    <w:autoRedefine/>
    <w:qFormat/>
    <w:rsid w:val="00B865BA"/>
    <w:pPr>
      <w:spacing w:before="120"/>
      <w:outlineLvl w:val="2"/>
    </w:pPr>
    <w:rPr>
      <w:i/>
      <w:lang w:eastAsia="ja-JP"/>
    </w:rPr>
  </w:style>
  <w:style w:type="paragraph" w:styleId="Heading4">
    <w:name w:val="heading 4"/>
    <w:aliases w:val="MainPara"/>
    <w:basedOn w:val="Heading3"/>
    <w:next w:val="Normal"/>
    <w:link w:val="Heading4Char2"/>
    <w:autoRedefine/>
    <w:qFormat/>
    <w:rsid w:val="00651E26"/>
    <w:pPr>
      <w:keepLines w:val="0"/>
      <w:adjustRightInd/>
      <w:spacing w:before="0" w:line="276" w:lineRule="auto"/>
      <w:ind w:right="0"/>
      <w:outlineLvl w:val="3"/>
    </w:pPr>
    <w:rPr>
      <w:i w:val="0"/>
    </w:rPr>
  </w:style>
  <w:style w:type="paragraph" w:styleId="Heading5">
    <w:name w:val="heading 5"/>
    <w:aliases w:val="Subpara 2"/>
    <w:basedOn w:val="Heading1"/>
    <w:next w:val="Normal"/>
    <w:link w:val="Heading5Char1"/>
    <w:autoRedefine/>
    <w:qFormat/>
    <w:rsid w:val="00BB3EB4"/>
    <w:pPr>
      <w:widowControl w:val="0"/>
      <w:ind w:left="1702"/>
      <w:outlineLvl w:val="4"/>
    </w:pPr>
    <w:rPr>
      <w:i/>
      <w:sz w:val="20"/>
    </w:rPr>
  </w:style>
  <w:style w:type="paragraph" w:styleId="Heading6">
    <w:name w:val="heading 6"/>
    <w:aliases w:val="Subpara 3"/>
    <w:basedOn w:val="Normal"/>
    <w:next w:val="Normal"/>
    <w:link w:val="Heading6Char1"/>
    <w:autoRedefine/>
    <w:qFormat/>
    <w:rsid w:val="00C63254"/>
    <w:pPr>
      <w:keepNext/>
      <w:tabs>
        <w:tab w:val="left" w:pos="230"/>
        <w:tab w:val="left" w:pos="900"/>
      </w:tabs>
      <w:spacing w:before="240"/>
      <w:outlineLvl w:val="5"/>
    </w:pPr>
    <w:rPr>
      <w:u w:val="single"/>
    </w:rPr>
  </w:style>
  <w:style w:type="paragraph" w:styleId="Heading7">
    <w:name w:val="heading 7"/>
    <w:aliases w:val="Subpara 4"/>
    <w:basedOn w:val="Normal"/>
    <w:next w:val="Normal"/>
    <w:link w:val="Heading7Char1"/>
    <w:qFormat/>
    <w:pPr>
      <w:keepNext/>
      <w:numPr>
        <w:ilvl w:val="6"/>
        <w:numId w:val="6"/>
      </w:numPr>
      <w:spacing w:before="48"/>
      <w:jc w:val="center"/>
      <w:outlineLvl w:val="6"/>
    </w:pPr>
    <w:rPr>
      <w:b/>
    </w:rPr>
  </w:style>
  <w:style w:type="paragraph" w:styleId="Heading8">
    <w:name w:val="heading 8"/>
    <w:aliases w:val="Subpara 5"/>
    <w:basedOn w:val="Normal"/>
    <w:next w:val="Normal"/>
    <w:link w:val="Heading8Char1"/>
    <w:qFormat/>
    <w:pPr>
      <w:keepNext/>
      <w:numPr>
        <w:ilvl w:val="7"/>
        <w:numId w:val="6"/>
      </w:numPr>
      <w:tabs>
        <w:tab w:val="left" w:pos="2160"/>
        <w:tab w:val="left" w:pos="2880"/>
        <w:tab w:val="left" w:pos="3600"/>
        <w:tab w:val="left" w:pos="6480"/>
        <w:tab w:val="left" w:pos="7290"/>
        <w:tab w:val="left" w:pos="7920"/>
        <w:tab w:val="left" w:pos="8640"/>
      </w:tabs>
      <w:spacing w:line="240" w:lineRule="exact"/>
      <w:outlineLvl w:val="7"/>
    </w:pPr>
    <w:rPr>
      <w:b/>
    </w:rPr>
  </w:style>
  <w:style w:type="paragraph" w:styleId="Heading9">
    <w:name w:val="heading 9"/>
    <w:aliases w:val="Subpara 6"/>
    <w:basedOn w:val="Normal"/>
    <w:next w:val="Normal"/>
    <w:link w:val="Heading9Char1"/>
    <w:qFormat/>
    <w:pPr>
      <w:keepNext/>
      <w:numPr>
        <w:ilvl w:val="8"/>
        <w:numId w:val="6"/>
      </w:numPr>
      <w:spacing w:line="240" w:lineRule="atLeast"/>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locked/>
    <w:rPr>
      <w:b/>
      <w:noProof w:val="0"/>
      <w:color w:val="000000"/>
      <w:sz w:val="28"/>
      <w:lang w:val="en-GB" w:eastAsia="zh-CN" w:bidi="ar-SA"/>
    </w:rPr>
  </w:style>
  <w:style w:type="character" w:customStyle="1" w:styleId="SubParaaCharChar">
    <w:name w:val="SubPara (a) Char Char"/>
    <w:rPr>
      <w:b/>
      <w:noProof w:val="0"/>
      <w:snapToGrid w:val="0"/>
      <w:color w:val="000000"/>
      <w:sz w:val="24"/>
      <w:szCs w:val="24"/>
      <w:lang w:val="en-GB" w:eastAsia="zh-CN" w:bidi="ar-SA"/>
    </w:rPr>
  </w:style>
  <w:style w:type="paragraph" w:styleId="BodyText">
    <w:name w:val="Body Text"/>
    <w:aliases w:val=" Char Char,Char Char,Body Text Char Char Char Char Char,Body Text Char Char Char Char, Char Char Char Char Char Char Char Char Char Char Char Char Char Char Char Char Char Char Char Char Char Char Char Char Char Char Char Char Char Char Char"/>
    <w:basedOn w:val="Normal"/>
    <w:link w:val="BodyTextChar1"/>
    <w:pPr>
      <w:spacing w:line="240" w:lineRule="atLeast"/>
    </w:pPr>
  </w:style>
  <w:style w:type="character" w:customStyle="1" w:styleId="BodyTextChar1">
    <w:name w:val="Body Text Char1"/>
    <w:aliases w:val=" Char Char Char1,Char Char Char1,Body Text Char Char Char Char Char Char1,Body Text Char Char Char Char Char2"/>
    <w:link w:val="BodyText"/>
    <w:rsid w:val="009A5785"/>
    <w:rPr>
      <w:rFonts w:ascii="Times New Roman" w:hAnsi="Times New Roman"/>
      <w:color w:val="000000"/>
      <w:sz w:val="22"/>
      <w:lang w:val="en-GB" w:eastAsia="zh-CN"/>
    </w:rPr>
  </w:style>
  <w:style w:type="paragraph" w:styleId="Footer">
    <w:name w:val="footer"/>
    <w:basedOn w:val="Normal"/>
    <w:link w:val="FooterChar1"/>
    <w:uiPriority w:val="99"/>
    <w:pPr>
      <w:tabs>
        <w:tab w:val="center" w:pos="4320"/>
        <w:tab w:val="right" w:pos="8640"/>
      </w:tabs>
    </w:pPr>
  </w:style>
  <w:style w:type="character" w:styleId="PageNumber">
    <w:name w:val="page number"/>
    <w:basedOn w:val="DefaultParagraphFont"/>
  </w:style>
  <w:style w:type="paragraph" w:styleId="Header">
    <w:name w:val="header"/>
    <w:aliases w:val="EthylHeader"/>
    <w:basedOn w:val="Normal"/>
    <w:link w:val="HeaderChar1"/>
    <w:uiPriority w:val="99"/>
    <w:pPr>
      <w:tabs>
        <w:tab w:val="center" w:pos="4320"/>
        <w:tab w:val="right" w:pos="8640"/>
      </w:tabs>
    </w:pPr>
  </w:style>
  <w:style w:type="character" w:customStyle="1" w:styleId="HeaderChar1">
    <w:name w:val="Header Char1"/>
    <w:aliases w:val="EthylHeader Char1"/>
    <w:link w:val="Header"/>
    <w:rsid w:val="00942E2A"/>
    <w:rPr>
      <w:rFonts w:ascii="Times New Roman" w:hAnsi="Times New Roman"/>
      <w:color w:val="000000"/>
      <w:sz w:val="22"/>
      <w:lang w:val="en-GB" w:eastAsia="zh-CN"/>
    </w:rPr>
  </w:style>
  <w:style w:type="paragraph" w:customStyle="1" w:styleId="ChapterHeading">
    <w:name w:val="Chapter Heading"/>
    <w:basedOn w:val="Heading1"/>
    <w:pPr>
      <w:keepNext w:val="0"/>
      <w:ind w:left="2520" w:hanging="1440"/>
    </w:pPr>
    <w:rPr>
      <w:sz w:val="32"/>
    </w:rPr>
  </w:style>
  <w:style w:type="paragraph" w:customStyle="1" w:styleId="Bullet">
    <w:name w:val="Bullet"/>
    <w:basedOn w:val="Normal"/>
    <w:pPr>
      <w:numPr>
        <w:numId w:val="1"/>
      </w:numPr>
      <w:tabs>
        <w:tab w:val="left" w:pos="1531"/>
      </w:tabs>
      <w:spacing w:before="60" w:after="60"/>
    </w:pPr>
  </w:style>
  <w:style w:type="character" w:styleId="FootnoteReference">
    <w:name w:val="footnote reference"/>
    <w:aliases w:val="Footnote text,16 Point,Superscript 6 Point,number,Footnote reference number,Footnote symbol,note TESI,-E Fußnotenzeichen,SUPERS,stylish,ftref,Footnote Reference Superscript,-E Fuﬂnotenzeichen,-E Fuûnotenzeichen,EN Footnote Reference"/>
    <w:uiPriority w:val="99"/>
    <w:qFormat/>
    <w:rsid w:val="00436419"/>
    <w:rPr>
      <w:vertAlign w:val="superscript"/>
    </w:rPr>
  </w:style>
  <w:style w:type="paragraph" w:styleId="ListBullet">
    <w:name w:val="List Bullet"/>
    <w:basedOn w:val="Normal"/>
    <w:pPr>
      <w:widowControl w:val="0"/>
      <w:ind w:left="425" w:hanging="425"/>
    </w:pPr>
    <w:rPr>
      <w:color w:val="auto"/>
    </w:rPr>
  </w:style>
  <w:style w:type="paragraph" w:styleId="ListNumber">
    <w:name w:val="List Number"/>
    <w:basedOn w:val="Normal"/>
    <w:pPr>
      <w:widowControl w:val="0"/>
      <w:spacing w:before="120"/>
      <w:ind w:left="1512" w:hanging="432"/>
    </w:pPr>
    <w:rPr>
      <w:color w:val="auto"/>
    </w:rPr>
  </w:style>
  <w:style w:type="paragraph" w:styleId="FootnoteText">
    <w:name w:val="footnote text"/>
    <w:aliases w:val="Geneva 9,Font: Geneva 9,Boston 10,f,Fußnotentextf,-E Fußnotentext,Fußnotentext Ursprung,-E Fußnotentext1,-E Fußnotentext2,-E Fußnotentext3,Fußnotentext Char1,Fußnotentext Char Char,Fußnotentext Char1 Char Char"/>
    <w:basedOn w:val="Normal"/>
    <w:link w:val="FootnoteTextChar2"/>
    <w:uiPriority w:val="99"/>
    <w:rsid w:val="00436419"/>
    <w:pPr>
      <w:widowControl w:val="0"/>
    </w:pPr>
    <w:rPr>
      <w:color w:val="auto"/>
      <w:sz w:val="18"/>
      <w:szCs w:val="18"/>
    </w:rPr>
  </w:style>
  <w:style w:type="paragraph" w:styleId="BodyTextIndent">
    <w:name w:val="Body Text Indent"/>
    <w:basedOn w:val="Normal"/>
    <w:link w:val="BodyTextIndentChar2"/>
    <w:pPr>
      <w:spacing w:line="240" w:lineRule="atLeast"/>
      <w:ind w:left="2127" w:hanging="993"/>
    </w:pPr>
  </w:style>
  <w:style w:type="character" w:styleId="LineNumber">
    <w:name w:val="line number"/>
    <w:basedOn w:val="DefaultParagraphFont"/>
    <w:uiPriority w:val="99"/>
  </w:style>
  <w:style w:type="paragraph" w:customStyle="1" w:styleId="SummaryShading">
    <w:name w:val="Summary Shading"/>
    <w:basedOn w:val="Normal"/>
    <w:pPr>
      <w:shd w:val="pct5" w:color="808080" w:fill="auto"/>
      <w:spacing w:before="120" w:after="120"/>
      <w:jc w:val="both"/>
    </w:pPr>
    <w:rPr>
      <w:rFonts w:ascii="Garamond" w:hAnsi="Garamond"/>
      <w:color w:val="auto"/>
    </w:rPr>
  </w:style>
  <w:style w:type="paragraph" w:customStyle="1" w:styleId="MainText">
    <w:name w:val="Main Text"/>
    <w:pPr>
      <w:widowControl w:val="0"/>
      <w:spacing w:line="240" w:lineRule="exact"/>
      <w:ind w:left="567" w:hanging="567"/>
    </w:pPr>
    <w:rPr>
      <w:color w:val="000000"/>
      <w:lang w:eastAsia="zh-CN"/>
    </w:rPr>
  </w:style>
  <w:style w:type="paragraph" w:customStyle="1" w:styleId="Paragraph">
    <w:name w:val="Paragraph"/>
    <w:basedOn w:val="Normal"/>
    <w:pPr>
      <w:spacing w:before="120" w:after="120"/>
      <w:jc w:val="both"/>
    </w:pPr>
    <w:rPr>
      <w:rFonts w:ascii="Garamond" w:hAnsi="Garamond"/>
      <w:lang w:val="de-DE"/>
    </w:rPr>
  </w:style>
  <w:style w:type="paragraph" w:customStyle="1" w:styleId="DotPoints">
    <w:name w:val="Dot Points"/>
    <w:basedOn w:val="Normal"/>
    <w:pPr>
      <w:spacing w:after="60"/>
      <w:ind w:left="709" w:right="284" w:hanging="284"/>
      <w:jc w:val="both"/>
    </w:pPr>
    <w:rPr>
      <w:rFonts w:ascii="Garamond" w:hAnsi="Garamond"/>
      <w:color w:val="auto"/>
    </w:rPr>
  </w:style>
  <w:style w:type="paragraph" w:customStyle="1" w:styleId="Style1">
    <w:name w:val="Style1"/>
    <w:basedOn w:val="Normal"/>
    <w:link w:val="Style1Char"/>
    <w:qFormat/>
    <w:pPr>
      <w:spacing w:before="120" w:after="120" w:line="360" w:lineRule="auto"/>
    </w:pPr>
    <w:rPr>
      <w:rFonts w:ascii="Garamond" w:hAnsi="Garamond"/>
      <w:color w:val="auto"/>
      <w:lang w:val="en-AU"/>
    </w:rPr>
  </w:style>
  <w:style w:type="character" w:customStyle="1" w:styleId="Style1Char">
    <w:name w:val="Style1 Char"/>
    <w:link w:val="Style1"/>
    <w:rsid w:val="005B1FC8"/>
    <w:rPr>
      <w:rFonts w:ascii="Garamond" w:hAnsi="Garamond"/>
      <w:sz w:val="22"/>
      <w:lang w:eastAsia="zh-CN"/>
    </w:rPr>
  </w:style>
  <w:style w:type="paragraph" w:customStyle="1" w:styleId="TableColumnHeading">
    <w:name w:val="Table Column Heading"/>
    <w:basedOn w:val="Normal"/>
    <w:pPr>
      <w:spacing w:before="80" w:after="120"/>
      <w:jc w:val="center"/>
    </w:pPr>
    <w:rPr>
      <w:rFonts w:ascii="Arial Narrow" w:hAnsi="Arial Narrow"/>
      <w:b/>
      <w:color w:val="auto"/>
      <w:sz w:val="20"/>
    </w:rPr>
  </w:style>
  <w:style w:type="paragraph" w:customStyle="1" w:styleId="TableDetails">
    <w:name w:val="Table Details"/>
    <w:basedOn w:val="Normal"/>
    <w:pPr>
      <w:spacing w:before="60" w:after="60"/>
      <w:ind w:left="113" w:right="113"/>
      <w:jc w:val="both"/>
    </w:pPr>
    <w:rPr>
      <w:rFonts w:ascii="Arial Narrow" w:hAnsi="Arial Narrow"/>
      <w:color w:val="auto"/>
      <w:sz w:val="20"/>
    </w:rPr>
  </w:style>
  <w:style w:type="paragraph" w:customStyle="1" w:styleId="TableHeading">
    <w:name w:val="Table Heading"/>
    <w:basedOn w:val="Normal"/>
    <w:pPr>
      <w:spacing w:before="120" w:after="120"/>
      <w:ind w:left="1134" w:hanging="1134"/>
      <w:jc w:val="both"/>
    </w:pPr>
    <w:rPr>
      <w:rFonts w:ascii="Arial" w:hAnsi="Arial"/>
      <w:b/>
      <w:color w:val="auto"/>
      <w:sz w:val="20"/>
    </w:rPr>
  </w:style>
  <w:style w:type="paragraph" w:customStyle="1" w:styleId="References">
    <w:name w:val="References"/>
    <w:basedOn w:val="Normal"/>
    <w:pPr>
      <w:keepLines/>
      <w:spacing w:before="60" w:after="60"/>
      <w:ind w:left="1134" w:hanging="1134"/>
      <w:jc w:val="both"/>
    </w:pPr>
    <w:rPr>
      <w:rFonts w:ascii="Garamond" w:hAnsi="Garamond"/>
      <w:color w:val="auto"/>
      <w:sz w:val="20"/>
    </w:rPr>
  </w:style>
  <w:style w:type="character" w:styleId="Hyperlink">
    <w:name w:val="Hyperlink"/>
    <w:uiPriority w:val="99"/>
    <w:rPr>
      <w:color w:val="0000FF"/>
      <w:u w:val="single"/>
    </w:rPr>
  </w:style>
  <w:style w:type="paragraph" w:styleId="Caption">
    <w:name w:val="caption"/>
    <w:aliases w:val="Légende figure"/>
    <w:basedOn w:val="Normal"/>
    <w:next w:val="Normal"/>
    <w:qFormat/>
    <w:pPr>
      <w:spacing w:line="240" w:lineRule="atLeast"/>
      <w:ind w:left="1077"/>
    </w:pPr>
    <w:rPr>
      <w:i/>
    </w:rPr>
  </w:style>
  <w:style w:type="character" w:styleId="CommentReference">
    <w:name w:val="annotation reference"/>
    <w:uiPriority w:val="99"/>
    <w:rPr>
      <w:sz w:val="16"/>
    </w:rPr>
  </w:style>
  <w:style w:type="paragraph" w:styleId="CommentText">
    <w:name w:val="annotation text"/>
    <w:basedOn w:val="Normal"/>
    <w:link w:val="CommentTextChar2"/>
    <w:uiPriority w:val="99"/>
    <w:pPr>
      <w:widowControl w:val="0"/>
    </w:pPr>
    <w:rPr>
      <w:rFonts w:ascii="Arial" w:hAnsi="Arial"/>
      <w:color w:val="auto"/>
      <w:sz w:val="20"/>
    </w:rPr>
  </w:style>
  <w:style w:type="character" w:customStyle="1" w:styleId="CharChar1">
    <w:name w:val="Char Char1"/>
    <w:rPr>
      <w:rFonts w:ascii="Arial" w:hAnsi="Arial"/>
      <w:noProof w:val="0"/>
      <w:lang w:val="en-GB" w:eastAsia="zh-CN" w:bidi="ar-SA"/>
    </w:rPr>
  </w:style>
  <w:style w:type="paragraph" w:styleId="TOC1">
    <w:name w:val="toc 1"/>
    <w:basedOn w:val="Normal"/>
    <w:next w:val="Normal"/>
    <w:autoRedefine/>
    <w:uiPriority w:val="39"/>
    <w:qFormat/>
    <w:rsid w:val="005C5E68"/>
    <w:pPr>
      <w:tabs>
        <w:tab w:val="left" w:pos="440"/>
        <w:tab w:val="right" w:leader="dot" w:pos="9016"/>
      </w:tabs>
      <w:spacing w:before="120" w:after="120"/>
      <w:ind w:left="426" w:hanging="426"/>
    </w:pPr>
    <w:rPr>
      <w:rFonts w:asciiTheme="minorHAnsi" w:hAnsiTheme="minorHAnsi" w:cstheme="minorHAnsi"/>
      <w:b/>
      <w:bCs/>
      <w:caps/>
      <w:sz w:val="20"/>
    </w:rPr>
  </w:style>
  <w:style w:type="paragraph" w:styleId="TOC2">
    <w:name w:val="toc 2"/>
    <w:basedOn w:val="Normal"/>
    <w:next w:val="Normal"/>
    <w:autoRedefine/>
    <w:uiPriority w:val="39"/>
    <w:qFormat/>
    <w:rsid w:val="00111D27"/>
    <w:pPr>
      <w:tabs>
        <w:tab w:val="left" w:pos="1134"/>
        <w:tab w:val="right" w:leader="dot" w:pos="9016"/>
      </w:tabs>
      <w:spacing w:after="0"/>
      <w:ind w:left="958" w:hanging="737"/>
    </w:pPr>
    <w:rPr>
      <w:rFonts w:asciiTheme="minorHAnsi" w:hAnsiTheme="minorHAnsi" w:cstheme="minorHAnsi"/>
      <w:smallCaps/>
      <w:sz w:val="20"/>
    </w:rPr>
  </w:style>
  <w:style w:type="paragraph" w:styleId="TOC3">
    <w:name w:val="toc 3"/>
    <w:basedOn w:val="Normal"/>
    <w:next w:val="Normal"/>
    <w:autoRedefine/>
    <w:uiPriority w:val="39"/>
    <w:qFormat/>
    <w:rsid w:val="008458C5"/>
    <w:pPr>
      <w:spacing w:after="0"/>
      <w:ind w:left="440"/>
    </w:pPr>
    <w:rPr>
      <w:rFonts w:asciiTheme="minorHAnsi" w:hAnsiTheme="minorHAnsi" w:cstheme="minorHAnsi"/>
      <w:i/>
      <w:iCs/>
      <w:sz w:val="20"/>
    </w:rPr>
  </w:style>
  <w:style w:type="paragraph" w:styleId="TOC4">
    <w:name w:val="toc 4"/>
    <w:basedOn w:val="Normal"/>
    <w:next w:val="Normal"/>
    <w:autoRedefine/>
    <w:uiPriority w:val="39"/>
    <w:rsid w:val="001F325F"/>
    <w:pPr>
      <w:spacing w:after="0"/>
      <w:ind w:left="660"/>
    </w:pPr>
    <w:rPr>
      <w:rFonts w:asciiTheme="minorHAnsi" w:hAnsiTheme="minorHAnsi" w:cstheme="minorHAnsi"/>
      <w:sz w:val="18"/>
      <w:szCs w:val="18"/>
    </w:rPr>
  </w:style>
  <w:style w:type="paragraph" w:styleId="TOC5">
    <w:name w:val="toc 5"/>
    <w:basedOn w:val="Normal"/>
    <w:next w:val="Normal"/>
    <w:autoRedefine/>
    <w:uiPriority w:val="39"/>
    <w:pPr>
      <w:spacing w:after="0"/>
      <w:ind w:left="880"/>
    </w:pPr>
    <w:rPr>
      <w:rFonts w:asciiTheme="minorHAnsi" w:hAnsiTheme="minorHAnsi" w:cstheme="minorHAnsi"/>
      <w:sz w:val="18"/>
      <w:szCs w:val="18"/>
    </w:rPr>
  </w:style>
  <w:style w:type="paragraph" w:styleId="TOC6">
    <w:name w:val="toc 6"/>
    <w:basedOn w:val="Normal"/>
    <w:next w:val="Normal"/>
    <w:autoRedefine/>
    <w:uiPriority w:val="39"/>
    <w:pPr>
      <w:spacing w:after="0"/>
      <w:ind w:left="1100"/>
    </w:pPr>
    <w:rPr>
      <w:rFonts w:asciiTheme="minorHAnsi" w:hAnsiTheme="minorHAnsi" w:cstheme="minorHAnsi"/>
      <w:sz w:val="18"/>
      <w:szCs w:val="18"/>
    </w:rPr>
  </w:style>
  <w:style w:type="paragraph" w:styleId="TOC7">
    <w:name w:val="toc 7"/>
    <w:basedOn w:val="Normal"/>
    <w:next w:val="Normal"/>
    <w:autoRedefine/>
    <w:uiPriority w:val="39"/>
    <w:pPr>
      <w:spacing w:after="0"/>
      <w:ind w:left="1320"/>
    </w:pPr>
    <w:rPr>
      <w:rFonts w:asciiTheme="minorHAnsi" w:hAnsiTheme="minorHAnsi" w:cstheme="minorHAnsi"/>
      <w:sz w:val="18"/>
      <w:szCs w:val="18"/>
    </w:rPr>
  </w:style>
  <w:style w:type="paragraph" w:styleId="TOC8">
    <w:name w:val="toc 8"/>
    <w:basedOn w:val="Normal"/>
    <w:next w:val="Normal"/>
    <w:autoRedefine/>
    <w:uiPriority w:val="39"/>
    <w:pPr>
      <w:spacing w:after="0"/>
      <w:ind w:left="1540"/>
    </w:pPr>
    <w:rPr>
      <w:rFonts w:asciiTheme="minorHAnsi" w:hAnsiTheme="minorHAnsi" w:cstheme="minorHAnsi"/>
      <w:sz w:val="18"/>
      <w:szCs w:val="18"/>
    </w:rPr>
  </w:style>
  <w:style w:type="paragraph" w:styleId="TOC9">
    <w:name w:val="toc 9"/>
    <w:basedOn w:val="Normal"/>
    <w:next w:val="Normal"/>
    <w:autoRedefine/>
    <w:uiPriority w:val="39"/>
    <w:pPr>
      <w:spacing w:after="0"/>
      <w:ind w:left="1760"/>
    </w:pPr>
    <w:rPr>
      <w:rFonts w:asciiTheme="minorHAnsi" w:hAnsiTheme="minorHAnsi" w:cstheme="minorHAnsi"/>
      <w:sz w:val="18"/>
      <w:szCs w:val="18"/>
    </w:rPr>
  </w:style>
  <w:style w:type="paragraph" w:customStyle="1" w:styleId="Table-Labels">
    <w:name w:val="Table-Labels"/>
    <w:basedOn w:val="Normal"/>
    <w:next w:val="Normal"/>
    <w:pPr>
      <w:keepNext/>
      <w:keepLines/>
      <w:spacing w:after="60"/>
      <w:ind w:left="2160" w:hanging="1080"/>
    </w:pPr>
    <w:rPr>
      <w:i/>
    </w:rPr>
  </w:style>
  <w:style w:type="paragraph" w:styleId="DocumentMap">
    <w:name w:val="Document Map"/>
    <w:basedOn w:val="Normal"/>
    <w:link w:val="DocumentMapChar1"/>
    <w:semiHidden/>
    <w:pPr>
      <w:shd w:val="clear" w:color="auto" w:fill="000080"/>
    </w:pPr>
    <w:rPr>
      <w:rFonts w:ascii="Tahoma" w:hAnsi="Tahoma"/>
    </w:rPr>
  </w:style>
  <w:style w:type="paragraph" w:customStyle="1" w:styleId="Table">
    <w:name w:val="Table"/>
    <w:basedOn w:val="Normal"/>
    <w:pPr>
      <w:keepLines/>
      <w:spacing w:after="0"/>
      <w:ind w:left="72" w:right="72"/>
    </w:pPr>
    <w:rPr>
      <w:snapToGrid w:val="0"/>
      <w:sz w:val="20"/>
    </w:rPr>
  </w:style>
  <w:style w:type="paragraph" w:customStyle="1" w:styleId="Tabel">
    <w:name w:val="Tabel"/>
    <w:basedOn w:val="Normal"/>
    <w:pPr>
      <w:spacing w:after="120"/>
    </w:pPr>
  </w:style>
  <w:style w:type="paragraph" w:styleId="BlockText">
    <w:name w:val="Block Text"/>
    <w:basedOn w:val="Normal"/>
    <w:pPr>
      <w:spacing w:before="120" w:after="120"/>
      <w:ind w:left="450" w:right="566"/>
      <w:jc w:val="both"/>
    </w:pPr>
    <w:rPr>
      <w:rFonts w:ascii="Garamond" w:hAnsi="Garamond"/>
      <w:i/>
      <w:color w:val="auto"/>
    </w:rPr>
  </w:style>
  <w:style w:type="paragraph" w:customStyle="1" w:styleId="Document">
    <w:name w:val="Document"/>
    <w:basedOn w:val="Normal"/>
    <w:pPr>
      <w:spacing w:after="0"/>
      <w:jc w:val="center"/>
    </w:pPr>
    <w:rPr>
      <w:rFonts w:ascii="CG Times" w:hAnsi="CG Times"/>
    </w:rPr>
  </w:style>
  <w:style w:type="paragraph" w:customStyle="1" w:styleId="Bibliogrphy">
    <w:name w:val="Bibliogrphy"/>
    <w:basedOn w:val="Normal"/>
    <w:pPr>
      <w:spacing w:after="0"/>
      <w:ind w:left="720" w:firstLine="720"/>
    </w:pPr>
    <w:rPr>
      <w:rFonts w:ascii="CG Times" w:hAnsi="CG Times"/>
    </w:rPr>
  </w:style>
  <w:style w:type="paragraph" w:customStyle="1" w:styleId="TechInit">
    <w:name w:val="Tech Init"/>
    <w:basedOn w:val="Normal"/>
    <w:pPr>
      <w:spacing w:after="0"/>
    </w:pPr>
    <w:rPr>
      <w:rFonts w:ascii="CG Times" w:hAnsi="CG Times"/>
    </w:rPr>
  </w:style>
  <w:style w:type="paragraph" w:customStyle="1" w:styleId="Technical">
    <w:name w:val="Technical"/>
    <w:basedOn w:val="Normal"/>
    <w:pPr>
      <w:spacing w:after="0"/>
    </w:pPr>
    <w:rPr>
      <w:rFonts w:ascii="CG Times" w:hAnsi="CG Times"/>
    </w:rPr>
  </w:style>
  <w:style w:type="paragraph" w:customStyle="1" w:styleId="Pleading">
    <w:name w:val="Pleading"/>
    <w:basedOn w:val="Normal"/>
    <w:pPr>
      <w:tabs>
        <w:tab w:val="right" w:pos="288"/>
      </w:tabs>
      <w:spacing w:after="0"/>
    </w:pPr>
    <w:rPr>
      <w:rFonts w:ascii="CG Times" w:hAnsi="CG Times"/>
    </w:rPr>
  </w:style>
  <w:style w:type="paragraph" w:customStyle="1" w:styleId="BulletList">
    <w:name w:val="Bullet List"/>
    <w:basedOn w:val="Normal"/>
    <w:pPr>
      <w:spacing w:after="0"/>
      <w:ind w:left="720"/>
    </w:pPr>
    <w:rPr>
      <w:rFonts w:ascii="Roman" w:hAnsi="Roman"/>
      <w:color w:val="auto"/>
      <w:lang w:val="it-IT"/>
    </w:rPr>
  </w:style>
  <w:style w:type="character" w:styleId="FollowedHyperlink">
    <w:name w:val="FollowedHyperlink"/>
    <w:rPr>
      <w:color w:val="800080"/>
      <w:u w:val="single"/>
    </w:rPr>
  </w:style>
  <w:style w:type="paragraph" w:styleId="Title">
    <w:name w:val="Title"/>
    <w:basedOn w:val="Normal"/>
    <w:link w:val="TitleChar1"/>
    <w:qFormat/>
    <w:pPr>
      <w:spacing w:line="240" w:lineRule="atLeast"/>
      <w:jc w:val="center"/>
    </w:pPr>
    <w:rPr>
      <w:b/>
      <w:sz w:val="32"/>
    </w:rPr>
  </w:style>
  <w:style w:type="character" w:customStyle="1" w:styleId="TitleChar1">
    <w:name w:val="Title Char1"/>
    <w:link w:val="Title"/>
    <w:rsid w:val="00942E2A"/>
    <w:rPr>
      <w:rFonts w:ascii="Times New Roman" w:hAnsi="Times New Roman"/>
      <w:b/>
      <w:color w:val="000000"/>
      <w:sz w:val="32"/>
      <w:lang w:val="en-GB" w:eastAsia="zh-CN"/>
    </w:rPr>
  </w:style>
  <w:style w:type="paragraph" w:customStyle="1" w:styleId="Outline">
    <w:name w:val="Outline"/>
    <w:basedOn w:val="Normal"/>
    <w:pPr>
      <w:spacing w:before="240" w:after="0"/>
    </w:pPr>
    <w:rPr>
      <w:rFonts w:eastAsia="SimSun"/>
      <w:color w:val="auto"/>
      <w:kern w:val="28"/>
    </w:rPr>
  </w:style>
  <w:style w:type="paragraph" w:customStyle="1" w:styleId="Body">
    <w:name w:val="Body"/>
    <w:pPr>
      <w:widowControl w:val="0"/>
    </w:pPr>
    <w:rPr>
      <w:rFonts w:ascii="Times New Roman" w:hAnsi="Times New Roman"/>
      <w:sz w:val="24"/>
      <w:lang w:val="en-GB" w:eastAsia="zh-CN"/>
    </w:rPr>
  </w:style>
  <w:style w:type="character" w:styleId="EndnoteReference">
    <w:name w:val="endnote reference"/>
    <w:semiHidden/>
    <w:rPr>
      <w:vertAlign w:val="superscript"/>
    </w:rPr>
  </w:style>
  <w:style w:type="paragraph" w:customStyle="1" w:styleId="DefaultText">
    <w:name w:val="Default Text"/>
    <w:basedOn w:val="Normal"/>
    <w:pPr>
      <w:autoSpaceDE w:val="0"/>
      <w:autoSpaceDN w:val="0"/>
      <w:adjustRightInd w:val="0"/>
      <w:spacing w:after="0"/>
    </w:pPr>
    <w:rPr>
      <w:color w:val="auto"/>
    </w:rPr>
  </w:style>
  <w:style w:type="paragraph" w:customStyle="1" w:styleId="MSNormal">
    <w:name w:val="MSNormal"/>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pPr>
    <w:rPr>
      <w:rFonts w:ascii="Chicago" w:hAnsi="Chicago"/>
      <w:color w:val="auto"/>
    </w:rPr>
  </w:style>
  <w:style w:type="paragraph" w:styleId="PlainText">
    <w:name w:val="Plain Text"/>
    <w:aliases w:val=" Char,Char"/>
    <w:basedOn w:val="Normal"/>
    <w:link w:val="PlainTextChar1"/>
    <w:pPr>
      <w:spacing w:after="0"/>
    </w:pPr>
    <w:rPr>
      <w:rFonts w:ascii="Courier" w:eastAsia="Times" w:hAnsi="Courier"/>
      <w:color w:val="auto"/>
    </w:rPr>
  </w:style>
  <w:style w:type="paragraph" w:customStyle="1" w:styleId="Reference">
    <w:name w:val="Reference"/>
    <w:basedOn w:val="Normal"/>
    <w:pPr>
      <w:spacing w:after="60"/>
      <w:ind w:left="284"/>
    </w:pPr>
    <w:rPr>
      <w:color w:val="auto"/>
    </w:rPr>
  </w:style>
  <w:style w:type="paragraph" w:customStyle="1" w:styleId="Figures">
    <w:name w:val="Figures"/>
    <w:basedOn w:val="Normal"/>
    <w:pPr>
      <w:tabs>
        <w:tab w:val="center" w:pos="4680"/>
      </w:tabs>
      <w:suppressAutoHyphens/>
      <w:overflowPunct w:val="0"/>
      <w:autoSpaceDE w:val="0"/>
      <w:autoSpaceDN w:val="0"/>
      <w:adjustRightInd w:val="0"/>
      <w:spacing w:before="240" w:after="120"/>
      <w:jc w:val="both"/>
      <w:textAlignment w:val="baseline"/>
    </w:pPr>
    <w:rPr>
      <w:b/>
      <w:color w:val="auto"/>
    </w:rPr>
  </w:style>
  <w:style w:type="paragraph" w:styleId="BodyTextIndent2">
    <w:name w:val="Body Text Indent 2"/>
    <w:basedOn w:val="Normal"/>
    <w:link w:val="BodyTextIndent2Char1"/>
    <w:pPr>
      <w:widowControl w:val="0"/>
      <w:spacing w:after="0"/>
      <w:ind w:firstLine="720"/>
      <w:jc w:val="both"/>
    </w:pPr>
    <w:rPr>
      <w:snapToGrid w:val="0"/>
      <w:color w:val="auto"/>
    </w:rPr>
  </w:style>
  <w:style w:type="paragraph" w:styleId="BodyTextIndent3">
    <w:name w:val="Body Text Indent 3"/>
    <w:basedOn w:val="Normal"/>
    <w:link w:val="BodyTextIndent3Char1"/>
    <w:pPr>
      <w:widowControl w:val="0"/>
      <w:spacing w:after="0"/>
      <w:ind w:firstLine="720"/>
      <w:jc w:val="both"/>
    </w:pPr>
    <w:rPr>
      <w:snapToGrid w:val="0"/>
      <w:color w:val="FF0000"/>
    </w:rPr>
  </w:style>
  <w:style w:type="paragraph" w:styleId="BodyText2">
    <w:name w:val="Body Text 2"/>
    <w:basedOn w:val="Normal"/>
    <w:link w:val="BodyText2Char1"/>
    <w:pPr>
      <w:spacing w:after="0"/>
      <w:jc w:val="center"/>
    </w:pPr>
    <w:rPr>
      <w:color w:val="auto"/>
      <w:sz w:val="48"/>
    </w:rPr>
  </w:style>
  <w:style w:type="paragraph" w:styleId="BodyText3">
    <w:name w:val="Body Text 3"/>
    <w:basedOn w:val="Normal"/>
    <w:link w:val="BodyText3Char1"/>
    <w:pPr>
      <w:spacing w:after="0"/>
      <w:jc w:val="center"/>
    </w:pPr>
    <w:rPr>
      <w:color w:val="auto"/>
      <w:sz w:val="36"/>
    </w:rPr>
  </w:style>
  <w:style w:type="paragraph" w:customStyle="1" w:styleId="DefinitionL">
    <w:name w:val="Definition L"/>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pPr>
    <w:rPr>
      <w:rFonts w:ascii="Times New Roman" w:hAnsi="Times New Roman"/>
      <w:snapToGrid w:val="0"/>
      <w:sz w:val="24"/>
      <w:lang w:eastAsia="zh-CN"/>
    </w:rPr>
  </w:style>
  <w:style w:type="paragraph" w:customStyle="1" w:styleId="Tableheading0">
    <w:name w:val="Table heading"/>
    <w:basedOn w:val="Normal"/>
    <w:pPr>
      <w:keepNext/>
      <w:spacing w:before="120"/>
      <w:ind w:left="1984" w:hanging="907"/>
    </w:pPr>
    <w:rPr>
      <w:i/>
      <w:color w:val="auto"/>
    </w:rPr>
  </w:style>
  <w:style w:type="paragraph" w:customStyle="1" w:styleId="Figure">
    <w:name w:val="Figure"/>
    <w:basedOn w:val="Normal"/>
    <w:pPr>
      <w:widowControl w:val="0"/>
      <w:spacing w:line="-240" w:lineRule="auto"/>
      <w:ind w:left="1077"/>
    </w:pPr>
    <w:rPr>
      <w:rFonts w:ascii="Arial" w:hAnsi="Arial"/>
      <w:b/>
      <w:color w:val="auto"/>
    </w:rPr>
  </w:style>
  <w:style w:type="paragraph" w:styleId="Index1">
    <w:name w:val="index 1"/>
    <w:basedOn w:val="Normal"/>
    <w:next w:val="Normal"/>
    <w:autoRedefine/>
    <w:semiHidden/>
    <w:pPr>
      <w:ind w:left="240" w:hanging="240"/>
    </w:pPr>
    <w:rPr>
      <w:color w:val="auto"/>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olor w:val="auto"/>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olor w:val="auto"/>
    </w:rPr>
  </w:style>
  <w:style w:type="paragraph" w:customStyle="1" w:styleId="xl30">
    <w:name w:val="xl30"/>
    <w:basedOn w:val="Normal"/>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olor w:val="auto"/>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Arial Unicode MS" w:hAnsi="Arial"/>
      <w:color w:val="auto"/>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b/>
      <w:color w:val="auto"/>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b/>
      <w:color w:val="auto"/>
    </w:rPr>
  </w:style>
  <w:style w:type="character" w:styleId="Strong">
    <w:name w:val="Strong"/>
    <w:qFormat/>
    <w:rPr>
      <w:b/>
    </w:rPr>
  </w:style>
  <w:style w:type="paragraph" w:styleId="BalloonText">
    <w:name w:val="Balloon Text"/>
    <w:basedOn w:val="Normal"/>
    <w:uiPriority w:val="99"/>
    <w:rPr>
      <w:rFonts w:ascii="Tahoma" w:eastAsia="SimSun" w:hAnsi="Tahoma"/>
      <w:sz w:val="16"/>
    </w:rPr>
  </w:style>
  <w:style w:type="paragraph" w:styleId="NormalWeb">
    <w:name w:val="Normal (Web)"/>
    <w:basedOn w:val="Normal"/>
    <w:uiPriority w:val="99"/>
    <w:pPr>
      <w:spacing w:before="100" w:after="100"/>
    </w:pPr>
    <w:rPr>
      <w:color w:val="auto"/>
      <w:lang w:val="en-US"/>
    </w:rPr>
  </w:style>
  <w:style w:type="paragraph" w:customStyle="1" w:styleId="Thesisheading1">
    <w:name w:val="Thesisheading1"/>
    <w:basedOn w:val="BodyTextIndent2"/>
    <w:pPr>
      <w:widowControl/>
      <w:numPr>
        <w:numId w:val="2"/>
      </w:numPr>
      <w:spacing w:line="360" w:lineRule="auto"/>
    </w:pPr>
    <w:rPr>
      <w:rFonts w:ascii="Arial" w:hAnsi="Arial"/>
      <w:b/>
      <w:caps/>
      <w:snapToGrid/>
      <w:sz w:val="32"/>
    </w:rPr>
  </w:style>
  <w:style w:type="paragraph" w:customStyle="1" w:styleId="Thesisheading4">
    <w:name w:val="Thesisheading4"/>
    <w:basedOn w:val="Heading3"/>
    <w:pPr>
      <w:numPr>
        <w:ilvl w:val="2"/>
        <w:numId w:val="2"/>
      </w:numPr>
      <w:tabs>
        <w:tab w:val="clear" w:pos="720"/>
        <w:tab w:val="num" w:pos="2880"/>
      </w:tabs>
      <w:spacing w:line="360" w:lineRule="auto"/>
      <w:ind w:left="2880" w:hanging="360"/>
    </w:pPr>
    <w:rPr>
      <w:rFonts w:ascii="Arial" w:hAnsi="Arial"/>
      <w:b w:val="0"/>
      <w:snapToGrid/>
    </w:rPr>
  </w:style>
  <w:style w:type="paragraph" w:customStyle="1" w:styleId="font5">
    <w:name w:val="font5"/>
    <w:basedOn w:val="Normal"/>
    <w:pPr>
      <w:spacing w:before="100" w:after="100"/>
    </w:pPr>
    <w:rPr>
      <w:rFonts w:ascii="Arial" w:eastAsia="Arial Unicode MS" w:hAnsi="Arial"/>
      <w:color w:val="00FF00"/>
      <w:sz w:val="20"/>
      <w:lang w:val="en-AU"/>
    </w:rPr>
  </w:style>
  <w:style w:type="paragraph" w:customStyle="1" w:styleId="xl34">
    <w:name w:val="xl34"/>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5">
    <w:name w:val="xl35"/>
    <w:basedOn w:val="Normal"/>
    <w:pPr>
      <w:pBdr>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after="100"/>
      <w:textAlignment w:val="top"/>
    </w:pPr>
    <w:rPr>
      <w:rFonts w:ascii="Arial" w:eastAsia="Arial Unicode MS" w:hAnsi="Arial"/>
      <w:color w:val="auto"/>
      <w:lang w:val="en-AU"/>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both"/>
      <w:textAlignment w:val="top"/>
    </w:pPr>
    <w:rPr>
      <w:rFonts w:ascii="Arial" w:eastAsia="Arial Unicode MS" w:hAnsi="Arial"/>
      <w:color w:val="auto"/>
      <w:lang w:val="en-AU"/>
    </w:rPr>
  </w:style>
  <w:style w:type="paragraph" w:customStyle="1" w:styleId="xl40">
    <w:name w:val="xl40"/>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1">
    <w:name w:val="xl41"/>
    <w:basedOn w:val="Normal"/>
    <w:pPr>
      <w:spacing w:before="100" w:after="100"/>
    </w:pPr>
    <w:rPr>
      <w:rFonts w:ascii="Arial" w:eastAsia="Arial Unicode MS" w:hAnsi="Arial"/>
      <w:color w:val="auto"/>
      <w:lang w:val="en-AU"/>
    </w:rPr>
  </w:style>
  <w:style w:type="paragraph" w:customStyle="1" w:styleId="xl42">
    <w:name w:val="xl42"/>
    <w:basedOn w:val="Normal"/>
    <w:pPr>
      <w:pBdr>
        <w:top w:val="single" w:sz="4" w:space="0" w:color="auto"/>
        <w:left w:val="single" w:sz="4" w:space="0" w:color="000000"/>
        <w:right w:val="single" w:sz="4" w:space="0" w:color="auto"/>
      </w:pBdr>
      <w:spacing w:before="100" w:after="100"/>
      <w:textAlignment w:val="top"/>
    </w:pPr>
    <w:rPr>
      <w:rFonts w:ascii="Arial" w:eastAsia="Arial Unicode MS" w:hAnsi="Arial"/>
      <w:color w:val="auto"/>
      <w:lang w:val="en-AU"/>
    </w:rPr>
  </w:style>
  <w:style w:type="paragraph" w:customStyle="1" w:styleId="xl43">
    <w:name w:val="xl43"/>
    <w:basedOn w:val="Normal"/>
    <w:pPr>
      <w:spacing w:before="100" w:after="100"/>
      <w:jc w:val="center"/>
    </w:pPr>
    <w:rPr>
      <w:rFonts w:ascii="Arial" w:eastAsia="Arial Unicode MS" w:hAnsi="Arial"/>
      <w:color w:val="auto"/>
      <w:lang w:val="en-AU"/>
    </w:rPr>
  </w:style>
  <w:style w:type="paragraph" w:customStyle="1" w:styleId="xl44">
    <w:name w:val="xl44"/>
    <w:basedOn w:val="Normal"/>
    <w:pPr>
      <w:spacing w:before="100" w:after="100"/>
      <w:textAlignment w:val="top"/>
    </w:pPr>
    <w:rPr>
      <w:rFonts w:ascii="Arial" w:eastAsia="Arial Unicode MS" w:hAnsi="Arial"/>
      <w:color w:val="auto"/>
      <w:lang w:val="en-AU"/>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FFFF"/>
      <w:spacing w:before="100" w:after="100"/>
      <w:textAlignment w:val="top"/>
    </w:pPr>
    <w:rPr>
      <w:rFonts w:ascii="Arial" w:eastAsia="Arial Unicode MS" w:hAnsi="Arial"/>
      <w:color w:val="auto"/>
      <w:lang w:val="en-AU"/>
    </w:rPr>
  </w:style>
  <w:style w:type="paragraph" w:customStyle="1" w:styleId="xl47">
    <w:name w:val="xl47"/>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49">
    <w:name w:val="xl49"/>
    <w:basedOn w:val="Normal"/>
    <w:pPr>
      <w:pBdr>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0">
    <w:name w:val="xl50"/>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1">
    <w:name w:val="xl51"/>
    <w:basedOn w:val="Normal"/>
    <w:pPr>
      <w:pBdr>
        <w:top w:val="single" w:sz="4" w:space="0" w:color="auto"/>
        <w:left w:val="single" w:sz="4" w:space="0" w:color="auto"/>
        <w:bottom w:val="single" w:sz="4" w:space="0" w:color="auto"/>
        <w:right w:val="single" w:sz="4" w:space="0" w:color="auto"/>
      </w:pBdr>
      <w:shd w:val="clear" w:color="auto" w:fill="FFFFFF"/>
      <w:spacing w:before="100" w:after="100"/>
      <w:jc w:val="center"/>
      <w:textAlignment w:val="top"/>
    </w:pPr>
    <w:rPr>
      <w:rFonts w:ascii="Arial" w:eastAsia="Arial Unicode MS" w:hAnsi="Arial"/>
      <w:color w:val="auto"/>
      <w:lang w:val="en-AU"/>
    </w:rPr>
  </w:style>
  <w:style w:type="paragraph" w:customStyle="1" w:styleId="xl52">
    <w:name w:val="xl52"/>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3">
    <w:name w:val="xl53"/>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5">
    <w:name w:val="xl55"/>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after="100"/>
      <w:jc w:val="center"/>
      <w:textAlignment w:val="top"/>
    </w:pPr>
    <w:rPr>
      <w:rFonts w:ascii="Arial" w:eastAsia="Arial Unicode MS" w:hAnsi="Arial"/>
      <w:color w:val="auto"/>
      <w:lang w:val="en-AU"/>
    </w:rPr>
  </w:style>
  <w:style w:type="paragraph" w:customStyle="1" w:styleId="Default">
    <w:name w:val="Default"/>
    <w:pPr>
      <w:autoSpaceDE w:val="0"/>
      <w:autoSpaceDN w:val="0"/>
      <w:adjustRightInd w:val="0"/>
    </w:pPr>
    <w:rPr>
      <w:rFonts w:ascii="Times New Roman" w:hAnsi="Times New Roman"/>
      <w:color w:val="000000"/>
      <w:sz w:val="24"/>
    </w:rPr>
  </w:style>
  <w:style w:type="paragraph" w:styleId="ListNumber5">
    <w:name w:val="List Number 5"/>
    <w:basedOn w:val="Normal"/>
    <w:pPr>
      <w:numPr>
        <w:numId w:val="3"/>
      </w:numPr>
      <w:tabs>
        <w:tab w:val="clear" w:pos="1492"/>
        <w:tab w:val="num" w:pos="1800"/>
      </w:tabs>
      <w:spacing w:after="0"/>
      <w:ind w:left="1800"/>
    </w:pPr>
    <w:rPr>
      <w:color w:val="auto"/>
      <w:lang w:val="en-US"/>
    </w:rPr>
  </w:style>
  <w:style w:type="paragraph" w:customStyle="1" w:styleId="Sectionheading">
    <w:name w:val="Section heading"/>
    <w:basedOn w:val="Heading2"/>
    <w:pPr>
      <w:spacing w:before="120"/>
      <w:ind w:left="1080" w:hanging="1080"/>
    </w:pPr>
    <w:rPr>
      <w:snapToGrid/>
    </w:rPr>
  </w:style>
  <w:style w:type="paragraph" w:customStyle="1" w:styleId="Sectionsub-heading">
    <w:name w:val="Section sub-heading"/>
    <w:basedOn w:val="Heading3"/>
    <w:pPr>
      <w:spacing w:before="60"/>
      <w:ind w:left="2126" w:hanging="1049"/>
    </w:pPr>
    <w:rPr>
      <w:snapToGrid/>
    </w:rPr>
  </w:style>
  <w:style w:type="paragraph" w:customStyle="1" w:styleId="MainTextIndent">
    <w:name w:val="Main Text Indent"/>
    <w:basedOn w:val="MainText"/>
    <w:pPr>
      <w:tabs>
        <w:tab w:val="left" w:pos="567"/>
      </w:tabs>
      <w:ind w:left="993" w:hanging="993"/>
    </w:pPr>
  </w:style>
  <w:style w:type="paragraph" w:customStyle="1" w:styleId="MainTextDoubleIndent">
    <w:name w:val="Main Text Double Indent"/>
    <w:basedOn w:val="MainTextIndent"/>
    <w:pPr>
      <w:tabs>
        <w:tab w:val="left" w:pos="993"/>
      </w:tabs>
      <w:ind w:left="1418" w:hanging="1418"/>
    </w:pPr>
  </w:style>
  <w:style w:type="paragraph" w:customStyle="1" w:styleId="HeadingSub">
    <w:name w:val="Heading: Sub"/>
    <w:basedOn w:val="MainText"/>
    <w:rPr>
      <w:rFonts w:ascii="Futura" w:hAnsi="Futura"/>
    </w:rPr>
  </w:style>
  <w:style w:type="paragraph" w:customStyle="1" w:styleId="MainTextNon-indent">
    <w:name w:val="Main Text Non-indent"/>
    <w:basedOn w:val="MainText"/>
    <w:pPr>
      <w:ind w:left="0" w:firstLine="0"/>
    </w:pPr>
  </w:style>
  <w:style w:type="paragraph" w:customStyle="1" w:styleId="HeadingSection">
    <w:name w:val="Heading: Section"/>
    <w:basedOn w:val="Normal"/>
    <w:pPr>
      <w:widowControl w:val="0"/>
      <w:tabs>
        <w:tab w:val="left" w:pos="3969"/>
      </w:tabs>
      <w:spacing w:line="360" w:lineRule="exact"/>
      <w:ind w:left="1701" w:hanging="1701"/>
    </w:pPr>
    <w:rPr>
      <w:rFonts w:ascii="Arial" w:hAnsi="Arial"/>
    </w:rPr>
  </w:style>
  <w:style w:type="paragraph" w:customStyle="1" w:styleId="GCDCB12">
    <w:name w:val="GCD_CB12"/>
    <w:basedOn w:val="Normal"/>
    <w:next w:val="Normal"/>
    <w:pPr>
      <w:jc w:val="center"/>
    </w:pPr>
    <w:rPr>
      <w:b/>
      <w:color w:val="auto"/>
    </w:rPr>
  </w:style>
  <w:style w:type="paragraph" w:customStyle="1" w:styleId="Closeup">
    <w:name w:val="Closeup"/>
    <w:basedOn w:val="Normal"/>
    <w:pPr>
      <w:spacing w:after="0"/>
    </w:pPr>
    <w:rPr>
      <w:color w:val="auto"/>
      <w:lang w:eastAsia="ja-JP"/>
    </w:rPr>
  </w:style>
  <w:style w:type="paragraph" w:customStyle="1" w:styleId="ScreenFormat-1">
    <w:name w:val="ScreenFormat-1"/>
    <w:basedOn w:val="Normal"/>
    <w:pPr>
      <w:spacing w:before="120" w:after="120"/>
    </w:pPr>
    <w:rPr>
      <w:color w:val="auto"/>
      <w:sz w:val="32"/>
      <w:lang w:eastAsia="ja-JP"/>
    </w:rPr>
  </w:style>
  <w:style w:type="paragraph" w:customStyle="1" w:styleId="TableText">
    <w:name w:val="TableText"/>
    <w:basedOn w:val="BodyText"/>
    <w:pPr>
      <w:keepLines/>
      <w:spacing w:after="0" w:line="240" w:lineRule="auto"/>
    </w:pPr>
    <w:rPr>
      <w:rFonts w:eastAsia="Times"/>
      <w:color w:val="auto"/>
      <w:sz w:val="20"/>
      <w:lang w:val="en-US" w:eastAsia="ja-JP"/>
    </w:rPr>
  </w:style>
  <w:style w:type="paragraph" w:customStyle="1" w:styleId="Equation">
    <w:name w:val="Equation"/>
    <w:basedOn w:val="BodyText"/>
    <w:pPr>
      <w:keepLines/>
      <w:tabs>
        <w:tab w:val="right" w:pos="9639"/>
      </w:tabs>
      <w:spacing w:after="0" w:line="240" w:lineRule="auto"/>
      <w:ind w:left="567"/>
    </w:pPr>
    <w:rPr>
      <w:rFonts w:eastAsia="Times"/>
      <w:color w:val="auto"/>
      <w:lang w:val="en-US" w:eastAsia="ja-JP"/>
    </w:rPr>
  </w:style>
  <w:style w:type="paragraph" w:customStyle="1" w:styleId="Note">
    <w:name w:val="Note"/>
    <w:basedOn w:val="BodyText"/>
    <w:pPr>
      <w:keepLines/>
      <w:pBdr>
        <w:top w:val="single" w:sz="2" w:space="1" w:color="808080"/>
        <w:left w:val="single" w:sz="2" w:space="4" w:color="808080"/>
        <w:bottom w:val="single" w:sz="2" w:space="1" w:color="808080"/>
        <w:right w:val="single" w:sz="2" w:space="4" w:color="808080"/>
      </w:pBdr>
      <w:spacing w:after="0" w:line="240" w:lineRule="auto"/>
    </w:pPr>
    <w:rPr>
      <w:rFonts w:eastAsia="Times"/>
      <w:i/>
      <w:color w:val="auto"/>
      <w:lang w:val="en-US" w:eastAsia="ja-JP"/>
    </w:rPr>
  </w:style>
  <w:style w:type="paragraph" w:customStyle="1" w:styleId="AR4Listbullet1">
    <w:name w:val="AR4 List bullet 1"/>
    <w:basedOn w:val="Normal"/>
    <w:pPr>
      <w:numPr>
        <w:numId w:val="4"/>
      </w:numPr>
      <w:spacing w:after="0"/>
    </w:pPr>
    <w:rPr>
      <w:rFonts w:ascii="Times" w:eastAsia="Times" w:hAnsi="Times"/>
      <w:color w:val="auto"/>
      <w:lang w:val="en-US" w:eastAsia="ja-JP"/>
    </w:rPr>
  </w:style>
  <w:style w:type="paragraph" w:customStyle="1" w:styleId="OurCaption">
    <w:name w:val="OurCaption"/>
    <w:basedOn w:val="Normal"/>
    <w:pPr>
      <w:spacing w:after="0"/>
      <w:ind w:right="12"/>
    </w:pPr>
    <w:rPr>
      <w:rFonts w:eastAsia="Times"/>
      <w:color w:val="auto"/>
      <w:sz w:val="20"/>
      <w:lang w:eastAsia="ja-JP"/>
    </w:rPr>
  </w:style>
  <w:style w:type="paragraph" w:customStyle="1" w:styleId="Paralevel1">
    <w:name w:val="Para level1"/>
    <w:basedOn w:val="Normal"/>
    <w:autoRedefine/>
    <w:pPr>
      <w:tabs>
        <w:tab w:val="left" w:pos="2070"/>
      </w:tabs>
      <w:suppressAutoHyphens/>
    </w:pPr>
    <w:rPr>
      <w:color w:val="auto"/>
      <w:sz w:val="20"/>
    </w:rPr>
  </w:style>
  <w:style w:type="paragraph" w:customStyle="1" w:styleId="CH4">
    <w:name w:val="CH4"/>
    <w:basedOn w:val="Normal"/>
    <w:autoRedefine/>
    <w:pPr>
      <w:keepNext/>
      <w:keepLines/>
      <w:numPr>
        <w:numId w:val="5"/>
      </w:numPr>
      <w:tabs>
        <w:tab w:val="clear" w:pos="0"/>
        <w:tab w:val="num" w:pos="360"/>
      </w:tabs>
      <w:spacing w:before="120"/>
      <w:ind w:left="0"/>
    </w:pPr>
    <w:rPr>
      <w:b/>
      <w:color w:val="auto"/>
      <w:sz w:val="20"/>
    </w:rPr>
  </w:style>
  <w:style w:type="character" w:customStyle="1" w:styleId="Para1Car">
    <w:name w:val="Para (1) Car"/>
    <w:aliases w:val="Heading 1 Char1 Char Car,Heading 1 Char Char Char Car,Para (1) Char Char Char Car,Para (1) Char1 Char Car,Heading 1 Char1 Car,Heading 1 Char Char Car,Para (1) Char Char Car,Para (1) Char1 Car,Heading 1 Char1 Char Char Car,Heading 1 Char Car"/>
    <w:rPr>
      <w:rFonts w:ascii="Arial" w:eastAsia="MS Mincho" w:hAnsi="Arial" w:cs="Arial"/>
      <w:b/>
      <w:bCs/>
      <w:noProof w:val="0"/>
      <w:kern w:val="32"/>
      <w:sz w:val="32"/>
      <w:szCs w:val="32"/>
      <w:lang w:val="en-US" w:eastAsia="ja-JP" w:bidi="ar-SA"/>
    </w:rPr>
  </w:style>
  <w:style w:type="paragraph" w:customStyle="1" w:styleId="Titulo3">
    <w:name w:val="Titulo 3"/>
    <w:basedOn w:val="Normal"/>
    <w:pPr>
      <w:widowControl w:val="0"/>
      <w:spacing w:after="0"/>
      <w:ind w:left="1185"/>
      <w:jc w:val="both"/>
    </w:pPr>
    <w:rPr>
      <w:rFonts w:eastAsia="MS Mincho"/>
      <w:b/>
      <w:i/>
      <w:color w:val="auto"/>
      <w:kern w:val="2"/>
      <w:lang w:val="en-US" w:eastAsia="ja-JP"/>
    </w:rPr>
  </w:style>
  <w:style w:type="paragraph" w:customStyle="1" w:styleId="Style2">
    <w:name w:val="Style2"/>
    <w:basedOn w:val="Normal"/>
    <w:link w:val="Style2Char"/>
    <w:qFormat/>
    <w:pPr>
      <w:spacing w:after="0"/>
    </w:pPr>
    <w:rPr>
      <w:color w:val="auto"/>
      <w:lang w:eastAsia="en-GB"/>
    </w:rPr>
  </w:style>
  <w:style w:type="character" w:customStyle="1" w:styleId="Style2Char">
    <w:name w:val="Style2 Char"/>
    <w:link w:val="Style2"/>
    <w:rsid w:val="005B1FC8"/>
    <w:rPr>
      <w:rFonts w:ascii="Times New Roman" w:hAnsi="Times New Roman"/>
      <w:sz w:val="22"/>
      <w:lang w:val="en-GB" w:eastAsia="en-GB"/>
    </w:rPr>
  </w:style>
  <w:style w:type="paragraph" w:customStyle="1" w:styleId="TEXTO">
    <w:name w:val="TEXTO"/>
    <w:pPr>
      <w:autoSpaceDE w:val="0"/>
      <w:autoSpaceDN w:val="0"/>
      <w:adjustRightInd w:val="0"/>
      <w:jc w:val="both"/>
    </w:pPr>
    <w:rPr>
      <w:rFonts w:ascii="Galliard" w:hAnsi="Galliard"/>
      <w:color w:val="000000"/>
      <w:sz w:val="22"/>
      <w:szCs w:val="22"/>
    </w:rPr>
  </w:style>
  <w:style w:type="paragraph" w:customStyle="1" w:styleId="font6">
    <w:name w:val="font6"/>
    <w:basedOn w:val="Normal"/>
    <w:pPr>
      <w:spacing w:before="100" w:beforeAutospacing="1" w:after="100" w:afterAutospacing="1"/>
    </w:pPr>
    <w:rPr>
      <w:rFonts w:ascii="Arial" w:eastAsia="Arial Unicode MS" w:hAnsi="Arial" w:cs="Arial"/>
      <w:color w:val="auto"/>
      <w:sz w:val="20"/>
      <w:lang w:eastAsia="en-US"/>
    </w:rPr>
  </w:style>
  <w:style w:type="paragraph" w:customStyle="1" w:styleId="font7">
    <w:name w:val="font7"/>
    <w:basedOn w:val="Normal"/>
    <w:pPr>
      <w:spacing w:before="100" w:beforeAutospacing="1" w:after="100" w:afterAutospacing="1"/>
    </w:pPr>
    <w:rPr>
      <w:rFonts w:ascii="Arial" w:eastAsia="Arial Unicode MS" w:hAnsi="Arial" w:cs="Arial"/>
      <w:color w:val="FF0000"/>
      <w:sz w:val="20"/>
      <w:lang w:eastAsia="en-US"/>
    </w:rPr>
  </w:style>
  <w:style w:type="paragraph" w:customStyle="1" w:styleId="font8">
    <w:name w:val="font8"/>
    <w:basedOn w:val="Normal"/>
    <w:pPr>
      <w:spacing w:before="100" w:beforeAutospacing="1" w:after="100" w:afterAutospacing="1"/>
    </w:pPr>
    <w:rPr>
      <w:rFonts w:ascii="Arial" w:eastAsia="Arial Unicode MS" w:hAnsi="Arial" w:cs="Arial"/>
      <w:color w:val="0000FF"/>
      <w:sz w:val="20"/>
      <w:lang w:eastAsia="en-US"/>
    </w:rPr>
  </w:style>
  <w:style w:type="paragraph" w:customStyle="1" w:styleId="Normaalweb">
    <w:name w:val="Normaal (web)"/>
    <w:basedOn w:val="Normal"/>
    <w:pPr>
      <w:spacing w:before="100" w:beforeAutospacing="1" w:after="100" w:afterAutospacing="1"/>
    </w:pPr>
    <w:rPr>
      <w:szCs w:val="24"/>
      <w:lang w:val="fr-FR" w:eastAsia="fr-FR"/>
    </w:rPr>
  </w:style>
  <w:style w:type="character" w:customStyle="1" w:styleId="epaltsans1">
    <w:name w:val="epaltsans1"/>
    <w:rPr>
      <w:rFonts w:ascii="Arial" w:hAnsi="Arial" w:cs="Arial" w:hint="default"/>
      <w:sz w:val="16"/>
      <w:szCs w:val="16"/>
    </w:rPr>
  </w:style>
  <w:style w:type="paragraph" w:styleId="List">
    <w:name w:val="List"/>
    <w:basedOn w:val="Normal"/>
    <w:semiHidden/>
    <w:pPr>
      <w:spacing w:after="0"/>
      <w:ind w:left="360" w:hanging="360"/>
    </w:pPr>
    <w:rPr>
      <w:color w:val="auto"/>
      <w:szCs w:val="24"/>
      <w:lang w:val="en-US" w:eastAsia="en-US"/>
    </w:rPr>
  </w:style>
  <w:style w:type="character" w:customStyle="1" w:styleId="w">
    <w:name w:val="w"/>
    <w:basedOn w:val="DefaultParagraphFont"/>
  </w:style>
  <w:style w:type="paragraph" w:customStyle="1" w:styleId="BodyTextLetterBullets">
    <w:name w:val="Body Text + Letter Bullets"/>
    <w:basedOn w:val="BodyText"/>
    <w:pPr>
      <w:tabs>
        <w:tab w:val="num" w:pos="360"/>
      </w:tabs>
      <w:spacing w:before="120" w:after="0" w:line="288" w:lineRule="auto"/>
    </w:pPr>
    <w:rPr>
      <w:color w:val="auto"/>
      <w:szCs w:val="22"/>
      <w:lang w:val="en-US" w:eastAsia="en-US"/>
    </w:rPr>
  </w:style>
  <w:style w:type="paragraph" w:customStyle="1" w:styleId="BodyTextSmallBullets">
    <w:name w:val="Body Text + Small Bullets"/>
    <w:basedOn w:val="BodyText"/>
    <w:pPr>
      <w:tabs>
        <w:tab w:val="num" w:pos="360"/>
      </w:tabs>
      <w:spacing w:after="0" w:line="288" w:lineRule="auto"/>
    </w:pPr>
    <w:rPr>
      <w:color w:val="auto"/>
      <w:szCs w:val="22"/>
      <w:lang w:val="en-AU" w:eastAsia="en-US"/>
    </w:rPr>
  </w:style>
  <w:style w:type="paragraph" w:customStyle="1" w:styleId="BodyTextbullet">
    <w:name w:val="Body Text + bullet"/>
    <w:basedOn w:val="BodyText"/>
    <w:pPr>
      <w:tabs>
        <w:tab w:val="num" w:pos="360"/>
      </w:tabs>
      <w:spacing w:after="0" w:line="288" w:lineRule="auto"/>
    </w:pPr>
    <w:rPr>
      <w:color w:val="auto"/>
      <w:szCs w:val="22"/>
      <w:lang w:val="en-AU" w:eastAsia="en-US"/>
    </w:rPr>
  </w:style>
  <w:style w:type="paragraph" w:customStyle="1" w:styleId="Head1">
    <w:name w:val="Head 1"/>
    <w:basedOn w:val="Normal"/>
    <w:pPr>
      <w:tabs>
        <w:tab w:val="left" w:pos="340"/>
        <w:tab w:val="num" w:pos="720"/>
        <w:tab w:val="left" w:pos="2775"/>
        <w:tab w:val="left" w:pos="6300"/>
      </w:tabs>
      <w:autoSpaceDE w:val="0"/>
      <w:autoSpaceDN w:val="0"/>
      <w:adjustRightInd w:val="0"/>
      <w:spacing w:after="0"/>
      <w:ind w:left="340" w:hanging="340"/>
    </w:pPr>
    <w:rPr>
      <w:rFonts w:eastAsia="MS Mincho"/>
      <w:b/>
      <w:bCs/>
      <w:color w:val="auto"/>
      <w:szCs w:val="24"/>
      <w:lang w:val="en-US" w:eastAsia="en-US"/>
    </w:rPr>
  </w:style>
  <w:style w:type="paragraph" w:customStyle="1" w:styleId="xl57">
    <w:name w:val="xl57"/>
    <w:basedOn w:val="Normal"/>
    <w:pP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58">
    <w:name w:val="xl5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59">
    <w:name w:val="xl59"/>
    <w:basedOn w:val="Normal"/>
    <w:pP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0">
    <w:name w:val="xl60"/>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1">
    <w:name w:val="xl61"/>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2">
    <w:name w:val="xl62"/>
    <w:basedOn w:val="Normal"/>
    <w:pPr>
      <w:pBdr>
        <w:top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63">
    <w:name w:val="xl63"/>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4">
    <w:name w:val="xl64"/>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5">
    <w:name w:val="xl65"/>
    <w:basedOn w:val="Normal"/>
    <w:pPr>
      <w:pBdr>
        <w:top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66">
    <w:name w:val="xl66"/>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7">
    <w:name w:val="xl67"/>
    <w:basedOn w:val="Normal"/>
    <w:pPr>
      <w:pBdr>
        <w:top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8">
    <w:name w:val="xl68"/>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69">
    <w:name w:val="xl69"/>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0">
    <w:name w:val="xl70"/>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1">
    <w:name w:val="xl71"/>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2">
    <w:name w:val="xl72"/>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3">
    <w:name w:val="xl73"/>
    <w:basedOn w:val="Normal"/>
    <w:pPr>
      <w:pBdr>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74">
    <w:name w:val="xl74"/>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5">
    <w:name w:val="xl75"/>
    <w:basedOn w:val="Normal"/>
    <w:pPr>
      <w:pBdr>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6">
    <w:name w:val="xl76"/>
    <w:basedOn w:val="Normal"/>
    <w:pPr>
      <w:pBdr>
        <w:lef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7">
    <w:name w:val="xl77"/>
    <w:basedOn w:val="Normal"/>
    <w:pPr>
      <w:pBdr>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78">
    <w:name w:val="xl78"/>
    <w:basedOn w:val="Normal"/>
    <w:pPr>
      <w:pBdr>
        <w:left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79">
    <w:name w:val="xl79"/>
    <w:basedOn w:val="Normal"/>
    <w:pPr>
      <w:pBdr>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0">
    <w:name w:val="xl80"/>
    <w:basedOn w:val="Normal"/>
    <w:pPr>
      <w:pBdr>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1">
    <w:name w:val="xl81"/>
    <w:basedOn w:val="Normal"/>
    <w:pPr>
      <w:pBdr>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2">
    <w:name w:val="xl82"/>
    <w:basedOn w:val="Normal"/>
    <w:pPr>
      <w:pBdr>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3">
    <w:name w:val="xl83"/>
    <w:basedOn w:val="Normal"/>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4">
    <w:name w:val="xl84"/>
    <w:basedOn w:val="Normal"/>
    <w:pPr>
      <w:pBdr>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85">
    <w:name w:val="xl85"/>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87">
    <w:name w:val="xl87"/>
    <w:basedOn w:val="Normal"/>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88">
    <w:name w:val="xl88"/>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89">
    <w:name w:val="xl89"/>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0">
    <w:name w:val="xl90"/>
    <w:basedOn w:val="Normal"/>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1">
    <w:name w:val="xl9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2">
    <w:name w:val="xl92"/>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3">
    <w:name w:val="xl93"/>
    <w:basedOn w:val="Normal"/>
    <w:pPr>
      <w:pBdr>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4">
    <w:name w:val="xl94"/>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5">
    <w:name w:val="xl95"/>
    <w:basedOn w:val="Normal"/>
    <w:pPr>
      <w:pBdr>
        <w:top w:val="single" w:sz="4" w:space="0" w:color="auto"/>
        <w:left w:val="single" w:sz="4" w:space="0" w:color="auto"/>
        <w:bottom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6">
    <w:name w:val="xl96"/>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97">
    <w:name w:val="xl97"/>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98">
    <w:name w:val="xl98"/>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99">
    <w:name w:val="xl99"/>
    <w:basedOn w:val="Normal"/>
    <w:pPr>
      <w:pBdr>
        <w:top w:val="single" w:sz="4" w:space="0" w:color="auto"/>
        <w:left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0">
    <w:name w:val="xl100"/>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2">
    <w:name w:val="xl102"/>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3">
    <w:name w:val="xl103"/>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4">
    <w:name w:val="xl10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5">
    <w:name w:val="xl105"/>
    <w:basedOn w:val="Normal"/>
    <w:pPr>
      <w:pBdr>
        <w:top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06">
    <w:name w:val="xl106"/>
    <w:basedOn w:val="Normal"/>
    <w:pPr>
      <w:pBdr>
        <w:top w:val="single" w:sz="4" w:space="0" w:color="auto"/>
        <w:left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07">
    <w:name w:val="xl107"/>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8">
    <w:name w:val="xl108"/>
    <w:basedOn w:val="Normal"/>
    <w:pPr>
      <w:pBdr>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09">
    <w:name w:val="xl109"/>
    <w:basedOn w:val="Normal"/>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10">
    <w:name w:val="xl110"/>
    <w:basedOn w:val="Normal"/>
    <w:pPr>
      <w:pBdr>
        <w:top w:val="single" w:sz="4" w:space="0" w:color="auto"/>
        <w:bottom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1">
    <w:name w:val="xl111"/>
    <w:basedOn w:val="Normal"/>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Cs w:val="24"/>
      <w:lang w:val="en-AU" w:eastAsia="en-US"/>
    </w:rPr>
  </w:style>
  <w:style w:type="paragraph" w:customStyle="1" w:styleId="xl112">
    <w:name w:val="xl112"/>
    <w:basedOn w:val="Normal"/>
    <w:pPr>
      <w:pBdr>
        <w:top w:val="single" w:sz="4" w:space="0" w:color="auto"/>
        <w:left w:val="single" w:sz="4" w:space="0" w:color="auto"/>
        <w:bottom w:val="single" w:sz="4" w:space="0" w:color="auto"/>
      </w:pBdr>
      <w:spacing w:before="100" w:beforeAutospacing="1" w:after="100" w:afterAutospacing="1"/>
    </w:pPr>
    <w:rPr>
      <w:rFonts w:ascii="Arial Unicode MS" w:hAnsi="Arial Unicode MS" w:cs="ArialUnicodeMS"/>
      <w:b/>
      <w:bCs/>
      <w:color w:val="auto"/>
      <w:sz w:val="12"/>
      <w:szCs w:val="12"/>
      <w:lang w:val="en-AU" w:eastAsia="en-US"/>
    </w:rPr>
  </w:style>
  <w:style w:type="paragraph" w:customStyle="1" w:styleId="xl113">
    <w:name w:val="xl113"/>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4">
    <w:name w:val="xl114"/>
    <w:basedOn w:val="Normal"/>
    <w:pPr>
      <w:pBdr>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15">
    <w:name w:val="xl115"/>
    <w:basedOn w:val="Normal"/>
    <w:pPr>
      <w:pBdr>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6">
    <w:name w:val="xl116"/>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7">
    <w:name w:val="xl117"/>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8">
    <w:name w:val="xl118"/>
    <w:basedOn w:val="Normal"/>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19">
    <w:name w:val="xl119"/>
    <w:basedOn w:val="Normal"/>
    <w:pP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0">
    <w:name w:val="xl120"/>
    <w:basedOn w:val="Normal"/>
    <w:pPr>
      <w:pBdr>
        <w:top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1">
    <w:name w:val="xl121"/>
    <w:basedOn w:val="Normal"/>
    <w:pPr>
      <w:pBdr>
        <w:top w:val="single" w:sz="4" w:space="0" w:color="auto"/>
        <w:lef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2">
    <w:name w:val="xl122"/>
    <w:basedOn w:val="Normal"/>
    <w:pPr>
      <w:pBdr>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3">
    <w:name w:val="xl123"/>
    <w:basedOn w:val="Normal"/>
    <w:pPr>
      <w:pBdr>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4">
    <w:name w:val="xl124"/>
    <w:basedOn w:val="Normal"/>
    <w:pPr>
      <w:pBdr>
        <w:left w:val="single" w:sz="4" w:space="0" w:color="auto"/>
        <w:bottom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25">
    <w:name w:val="xl125"/>
    <w:basedOn w:val="Normal"/>
    <w:pPr>
      <w:pBdr>
        <w:bottom w:val="single" w:sz="4" w:space="0" w:color="auto"/>
        <w:right w:val="single" w:sz="4"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26">
    <w:name w:val="xl126"/>
    <w:basedOn w:val="Normal"/>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7">
    <w:name w:val="xl127"/>
    <w:basedOn w:val="Normal"/>
    <w:pPr>
      <w:pBdr>
        <w:top w:val="single" w:sz="4" w:space="0" w:color="auto"/>
        <w:bottom w:val="single" w:sz="8"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8">
    <w:name w:val="xl128"/>
    <w:basedOn w:val="Normal"/>
    <w:pPr>
      <w:pBdr>
        <w:top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auto"/>
      <w:sz w:val="12"/>
      <w:szCs w:val="12"/>
      <w:lang w:val="en-AU" w:eastAsia="en-US"/>
    </w:rPr>
  </w:style>
  <w:style w:type="paragraph" w:customStyle="1" w:styleId="xl129">
    <w:name w:val="xl129"/>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color w:val="auto"/>
      <w:sz w:val="12"/>
      <w:szCs w:val="12"/>
      <w:lang w:val="en-AU" w:eastAsia="en-US"/>
    </w:rPr>
  </w:style>
  <w:style w:type="paragraph" w:customStyle="1" w:styleId="xl130">
    <w:name w:val="xl130"/>
    <w:basedOn w:val="Normal"/>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1">
    <w:name w:val="xl131"/>
    <w:basedOn w:val="Normal"/>
    <w:pPr>
      <w:pBdr>
        <w:top w:val="single" w:sz="4" w:space="0" w:color="auto"/>
        <w:bottom w:val="single" w:sz="8" w:space="0" w:color="auto"/>
      </w:pBdr>
      <w:spacing w:before="100" w:beforeAutospacing="1" w:after="100" w:afterAutospacing="1"/>
      <w:jc w:val="center"/>
    </w:pPr>
    <w:rPr>
      <w:rFonts w:ascii="Arial Unicode MS" w:hAnsi="Arial Unicode MS" w:cs="ArialUnicodeMS"/>
      <w:b/>
      <w:bCs/>
      <w:color w:val="auto"/>
      <w:sz w:val="12"/>
      <w:szCs w:val="12"/>
      <w:lang w:val="en-AU" w:eastAsia="en-US"/>
    </w:rPr>
  </w:style>
  <w:style w:type="paragraph" w:customStyle="1" w:styleId="xl132">
    <w:name w:val="xl132"/>
    <w:basedOn w:val="Normal"/>
    <w:pPr>
      <w:pBdr>
        <w:top w:val="single" w:sz="4" w:space="0" w:color="auto"/>
        <w:bottom w:val="single" w:sz="8" w:space="0" w:color="auto"/>
      </w:pBdr>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3">
    <w:name w:val="xl133"/>
    <w:basedOn w:val="Normal"/>
    <w:pPr>
      <w:pBdr>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hAnsi="Arial Unicode MS" w:cs="ArialUnicodeMS"/>
      <w:color w:val="auto"/>
      <w:sz w:val="12"/>
      <w:szCs w:val="12"/>
      <w:lang w:val="en-AU" w:eastAsia="en-US"/>
    </w:rPr>
  </w:style>
  <w:style w:type="paragraph" w:customStyle="1" w:styleId="xl134">
    <w:name w:val="xl134"/>
    <w:basedOn w:val="Normal"/>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hAnsi="Arial Unicode MS" w:cs="ArialUnicodeMS"/>
      <w:color w:val="auto"/>
      <w:sz w:val="12"/>
      <w:szCs w:val="12"/>
      <w:lang w:val="en-AU" w:eastAsia="en-US"/>
    </w:rPr>
  </w:style>
  <w:style w:type="paragraph" w:customStyle="1" w:styleId="xl135">
    <w:name w:val="xl135"/>
    <w:basedOn w:val="Normal"/>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UnicodeMS"/>
      <w:color w:val="auto"/>
      <w:szCs w:val="24"/>
      <w:lang w:val="en-AU" w:eastAsia="en-US"/>
    </w:rPr>
  </w:style>
  <w:style w:type="paragraph" w:customStyle="1" w:styleId="xl136">
    <w:name w:val="xl136"/>
    <w:basedOn w:val="Normal"/>
    <w:pPr>
      <w:pBdr>
        <w:top w:val="single" w:sz="4" w:space="0" w:color="auto"/>
        <w:bottom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7">
    <w:name w:val="xl137"/>
    <w:basedOn w:val="Normal"/>
    <w:pPr>
      <w:pBdr>
        <w:top w:val="single" w:sz="4" w:space="0" w:color="auto"/>
        <w:bottom w:val="single" w:sz="4" w:space="0" w:color="auto"/>
        <w:right w:val="single" w:sz="4" w:space="0" w:color="auto"/>
      </w:pBdr>
      <w:spacing w:before="100" w:beforeAutospacing="1" w:after="100" w:afterAutospacing="1"/>
    </w:pPr>
    <w:rPr>
      <w:rFonts w:ascii="Arial Unicode MS" w:hAnsi="Arial Unicode MS" w:cs="ArialUnicodeMS"/>
      <w:color w:val="auto"/>
      <w:szCs w:val="24"/>
      <w:lang w:val="en-AU" w:eastAsia="en-US"/>
    </w:rPr>
  </w:style>
  <w:style w:type="paragraph" w:customStyle="1" w:styleId="xl138">
    <w:name w:val="xl138"/>
    <w:basedOn w:val="Normal"/>
    <w:pPr>
      <w:pBdr>
        <w:top w:val="single" w:sz="4" w:space="0" w:color="auto"/>
        <w:bottom w:val="single" w:sz="4" w:space="0" w:color="auto"/>
      </w:pBdr>
      <w:spacing w:before="100" w:beforeAutospacing="1" w:after="100" w:afterAutospacing="1"/>
    </w:pPr>
    <w:rPr>
      <w:rFonts w:ascii="Arial" w:hAnsi="Arial" w:cs="Arial"/>
      <w:b/>
      <w:bCs/>
      <w:color w:val="auto"/>
      <w:sz w:val="12"/>
      <w:szCs w:val="12"/>
      <w:lang w:val="en-AU" w:eastAsia="en-US"/>
    </w:rPr>
  </w:style>
  <w:style w:type="paragraph" w:customStyle="1" w:styleId="Anxhead">
    <w:name w:val="Anx head"/>
    <w:basedOn w:val="Normal"/>
    <w:pPr>
      <w:spacing w:after="0"/>
    </w:pPr>
    <w:rPr>
      <w:b/>
      <w:bCs/>
      <w:color w:val="auto"/>
      <w:sz w:val="28"/>
      <w:szCs w:val="28"/>
      <w:lang w:eastAsia="en-US"/>
    </w:rPr>
  </w:style>
  <w:style w:type="paragraph" w:customStyle="1" w:styleId="Anxtitle">
    <w:name w:val="Anx title"/>
    <w:basedOn w:val="Normal"/>
    <w:pPr>
      <w:spacing w:after="0"/>
      <w:ind w:left="1247"/>
    </w:pPr>
    <w:rPr>
      <w:b/>
      <w:bCs/>
      <w:color w:val="auto"/>
      <w:sz w:val="28"/>
      <w:szCs w:val="28"/>
      <w:lang w:eastAsia="en-US"/>
    </w:rPr>
  </w:style>
  <w:style w:type="paragraph" w:customStyle="1" w:styleId="Style10ptAfter6pt1">
    <w:name w:val="Style 10 pt After:  6 pt1"/>
    <w:basedOn w:val="Normal"/>
    <w:autoRedefine/>
    <w:pPr>
      <w:spacing w:after="120"/>
    </w:pPr>
    <w:rPr>
      <w:rFonts w:ascii="Arial" w:hAnsi="Arial"/>
      <w:color w:val="auto"/>
      <w:sz w:val="18"/>
      <w:lang w:eastAsia="en-US"/>
    </w:rPr>
  </w:style>
  <w:style w:type="paragraph" w:customStyle="1" w:styleId="StyleHeading311ptBold">
    <w:name w:val="Style Heading 3 + 11 pt Bold"/>
    <w:basedOn w:val="Heading3"/>
    <w:rPr>
      <w:b w:val="0"/>
      <w:bCs/>
      <w:iCs/>
    </w:rPr>
  </w:style>
  <w:style w:type="paragraph" w:customStyle="1" w:styleId="Subtitle">
    <w:name w:val="Sub title"/>
    <w:basedOn w:val="Heading2"/>
    <w:pPr>
      <w:ind w:left="1247"/>
    </w:pPr>
    <w:rPr>
      <w:snapToGrid/>
      <w:szCs w:val="24"/>
    </w:rPr>
  </w:style>
  <w:style w:type="character" w:customStyle="1" w:styleId="maintextbldleft1">
    <w:name w:val="maintextbldleft1"/>
    <w:rPr>
      <w:rFonts w:ascii="Arial" w:hAnsi="Arial" w:cs="Arial" w:hint="default"/>
      <w:b/>
      <w:bCs/>
      <w:strike w:val="0"/>
      <w:dstrike w:val="0"/>
      <w:color w:val="000000"/>
      <w:sz w:val="18"/>
      <w:szCs w:val="18"/>
      <w:u w:val="none"/>
      <w:effect w:val="none"/>
    </w:rPr>
  </w:style>
  <w:style w:type="character" w:customStyle="1" w:styleId="maintextleft1">
    <w:name w:val="maintextleft1"/>
    <w:rPr>
      <w:rFonts w:ascii="Arial" w:hAnsi="Arial" w:cs="Arial" w:hint="default"/>
      <w:strike w:val="0"/>
      <w:dstrike w:val="0"/>
      <w:color w:val="000000"/>
      <w:sz w:val="18"/>
      <w:szCs w:val="18"/>
      <w:u w:val="none"/>
      <w:effect w:val="none"/>
    </w:rPr>
  </w:style>
  <w:style w:type="character" w:customStyle="1" w:styleId="Heading1Char2">
    <w:name w:val="Heading 1 Char2"/>
    <w:aliases w:val="Para (1) Char,Heading 1 Char1 Char Char1,Heading 1 Char Char Char Char,Para (1) Char Char Char Char,Para (1) Char1 Char Char,Heading 1 Char1 Char1,Heading 1 Char Char Char1,Para (1) Char Char Char1,Para (1) Char1 Char1,Part Char"/>
    <w:autoRedefine/>
    <w:qFormat/>
    <w:rsid w:val="008867C9"/>
    <w:rPr>
      <w:rFonts w:ascii="Cambria" w:hAnsi="Cambria"/>
      <w:sz w:val="28"/>
    </w:rPr>
  </w:style>
  <w:style w:type="character" w:customStyle="1" w:styleId="Heading2Char">
    <w:name w:val="Heading 2 Char"/>
    <w:aliases w:val="SubPara (a) Char,Heading 2 Char1 Char Char,SubPara (a) Char1 Char Char,Heading 2 Char3 Char Char Char,Heading 2 Char Char2 Char Char Char,Heading 2 Char1 Char Char1 Char Char Char,SubPara (a) Char Char Char1 Char Char Char,Heading 2 Char1"/>
    <w:basedOn w:val="Heading1Char2"/>
    <w:uiPriority w:val="9"/>
    <w:qFormat/>
    <w:rsid w:val="004A53CF"/>
    <w:rPr>
      <w:rFonts w:ascii="Times New Roman" w:hAnsi="Times New Roman"/>
      <w:b/>
      <w:noProof w:val="0"/>
      <w:snapToGrid w:val="0"/>
      <w:color w:val="000000"/>
      <w:sz w:val="24"/>
      <w:lang w:val="en-GB" w:eastAsia="zh-CN" w:bidi="ar-SA"/>
    </w:rPr>
  </w:style>
  <w:style w:type="character" w:customStyle="1" w:styleId="Heading3Char">
    <w:name w:val="Heading 3 Char"/>
    <w:aliases w:val="Sec Char,Heading 3 Char1 Char1,Heading 3 Char Char Char1,Char Char Char Char1,Char Char1 Char1,Heading 3 Char2 Char,Char Char2 Char,Heading 3 Char Char1 Char1"/>
    <w:uiPriority w:val="9"/>
    <w:rPr>
      <w:b w:val="0"/>
      <w:noProof w:val="0"/>
      <w:snapToGrid w:val="0"/>
      <w:color w:val="000000"/>
      <w:sz w:val="24"/>
      <w:lang w:val="en-GB" w:eastAsia="zh-CN" w:bidi="ar-SA"/>
    </w:rPr>
  </w:style>
  <w:style w:type="character" w:customStyle="1" w:styleId="Heading4Char">
    <w:name w:val="Heading 4 Char"/>
    <w:aliases w:val="MainPara Char"/>
    <w:autoRedefine/>
    <w:rsid w:val="00233EBD"/>
    <w:rPr>
      <w:i/>
      <w:snapToGrid w:val="0"/>
      <w:color w:val="000000"/>
      <w:lang w:val="en-GB" w:eastAsia="zh-CN"/>
    </w:rPr>
  </w:style>
  <w:style w:type="paragraph" w:customStyle="1" w:styleId="StyleHeading311ptBold1">
    <w:name w:val="Style Heading 3 + 11 pt Bold1"/>
    <w:basedOn w:val="Heading3"/>
    <w:rPr>
      <w:b w:val="0"/>
      <w:bCs/>
      <w:iCs/>
    </w:rPr>
  </w:style>
  <w:style w:type="paragraph" w:customStyle="1" w:styleId="ANNEXES">
    <w:name w:val="ANNEXES"/>
    <w:basedOn w:val="Normal"/>
    <w:pPr>
      <w:tabs>
        <w:tab w:val="left" w:pos="1080"/>
      </w:tabs>
      <w:spacing w:before="100" w:beforeAutospacing="1" w:after="100" w:afterAutospacing="1"/>
    </w:pPr>
    <w:rPr>
      <w:b/>
      <w:sz w:val="28"/>
    </w:rPr>
  </w:style>
  <w:style w:type="paragraph" w:customStyle="1" w:styleId="Executivesummary">
    <w:name w:val="Executive summary"/>
    <w:basedOn w:val="TOC1"/>
    <w:rPr>
      <w:b w:val="0"/>
    </w:rPr>
  </w:style>
  <w:style w:type="paragraph" w:customStyle="1" w:styleId="Execlevel2">
    <w:name w:val="Exec level2"/>
    <w:basedOn w:val="Anxhead"/>
    <w:rPr>
      <w:sz w:val="24"/>
    </w:rPr>
  </w:style>
  <w:style w:type="character" w:customStyle="1" w:styleId="AnxheadChar">
    <w:name w:val="Anx head Char"/>
    <w:rPr>
      <w:b/>
      <w:bCs/>
      <w:noProof w:val="0"/>
      <w:sz w:val="28"/>
      <w:szCs w:val="28"/>
      <w:lang w:val="en-GB" w:eastAsia="en-US" w:bidi="ar-SA"/>
    </w:rPr>
  </w:style>
  <w:style w:type="character" w:customStyle="1" w:styleId="Execlevel2Char">
    <w:name w:val="Exec level2 Char"/>
    <w:rPr>
      <w:b/>
      <w:bCs/>
      <w:noProof w:val="0"/>
      <w:sz w:val="24"/>
      <w:szCs w:val="28"/>
      <w:lang w:val="en-GB" w:eastAsia="en-US" w:bidi="ar-SA"/>
    </w:rPr>
  </w:style>
  <w:style w:type="character" w:customStyle="1" w:styleId="a">
    <w:name w:val="_"/>
    <w:basedOn w:val="DefaultParagraphFont"/>
  </w:style>
  <w:style w:type="paragraph" w:styleId="CommentSubject">
    <w:name w:val="annotation subject"/>
    <w:basedOn w:val="CommentText"/>
    <w:next w:val="CommentText"/>
    <w:uiPriority w:val="99"/>
    <w:pPr>
      <w:widowControl/>
      <w:spacing w:after="0"/>
    </w:pPr>
    <w:rPr>
      <w:rFonts w:ascii="Times New Roman" w:hAnsi="Times New Roman"/>
      <w:b/>
      <w:lang w:val="en-US"/>
    </w:rPr>
  </w:style>
  <w:style w:type="paragraph" w:customStyle="1" w:styleId="Indentedbullet">
    <w:name w:val="Indented bullet"/>
    <w:basedOn w:val="Indentedbodytext"/>
    <w:pPr>
      <w:tabs>
        <w:tab w:val="num" w:pos="1440"/>
      </w:tabs>
      <w:ind w:left="1434" w:hanging="357"/>
    </w:pPr>
  </w:style>
  <w:style w:type="paragraph" w:customStyle="1" w:styleId="Indentedbodytext">
    <w:name w:val="Indented body text"/>
    <w:basedOn w:val="Normal"/>
    <w:autoRedefine/>
    <w:pPr>
      <w:spacing w:after="120"/>
    </w:pPr>
    <w:rPr>
      <w:lang w:eastAsia="en-US"/>
    </w:rPr>
  </w:style>
  <w:style w:type="paragraph" w:customStyle="1" w:styleId="Smallnumberedbullet">
    <w:name w:val="Small numbered bullet"/>
    <w:basedOn w:val="Smallbullet"/>
    <w:pPr>
      <w:numPr>
        <w:numId w:val="0"/>
      </w:numPr>
      <w:ind w:left="539" w:hanging="539"/>
    </w:pPr>
  </w:style>
  <w:style w:type="paragraph" w:customStyle="1" w:styleId="Smallbullet">
    <w:name w:val="Small bullet"/>
    <w:basedOn w:val="BodyTextSmallBullets"/>
    <w:autoRedefine/>
    <w:pPr>
      <w:numPr>
        <w:numId w:val="8"/>
      </w:numPr>
      <w:tabs>
        <w:tab w:val="num" w:pos="426"/>
      </w:tabs>
      <w:spacing w:after="240" w:line="240" w:lineRule="auto"/>
      <w:ind w:left="425" w:hanging="425"/>
    </w:pPr>
  </w:style>
  <w:style w:type="paragraph" w:customStyle="1" w:styleId="BodyText1">
    <w:name w:val="Body Text1"/>
    <w:basedOn w:val="Normal"/>
    <w:rPr>
      <w:lang w:eastAsia="en-US"/>
    </w:rPr>
  </w:style>
  <w:style w:type="paragraph" w:customStyle="1" w:styleId="Heading311ptBold">
    <w:name w:val="Heading 3 + 11 pt Bold"/>
    <w:basedOn w:val="Heading3"/>
    <w:pPr>
      <w:numPr>
        <w:ilvl w:val="2"/>
        <w:numId w:val="7"/>
      </w:numPr>
      <w:tabs>
        <w:tab w:val="num" w:pos="1800"/>
      </w:tabs>
      <w:ind w:left="0" w:firstLine="0"/>
    </w:pPr>
    <w:rPr>
      <w:b w:val="0"/>
    </w:rPr>
  </w:style>
  <w:style w:type="paragraph" w:customStyle="1" w:styleId="Table5">
    <w:name w:val="Table 5"/>
    <w:basedOn w:val="Normal"/>
    <w:pPr>
      <w:spacing w:after="0" w:line="240" w:lineRule="exact"/>
      <w:ind w:left="567" w:hanging="567"/>
    </w:pPr>
    <w:rPr>
      <w:sz w:val="18"/>
      <w:lang w:eastAsia="ja-JP"/>
    </w:rPr>
  </w:style>
  <w:style w:type="paragraph" w:customStyle="1" w:styleId="ColorfulList-Accent11">
    <w:name w:val="Colorful List - Accent 11"/>
    <w:basedOn w:val="Normal"/>
    <w:qFormat/>
    <w:pPr>
      <w:spacing w:after="0"/>
      <w:ind w:left="720"/>
    </w:pPr>
    <w:rPr>
      <w:rFonts w:eastAsia="MS Mincho"/>
      <w:color w:val="auto"/>
      <w:szCs w:val="24"/>
      <w:lang w:val="en-US" w:eastAsia="ja-JP"/>
    </w:rPr>
  </w:style>
  <w:style w:type="character" w:customStyle="1" w:styleId="mw-headline">
    <w:name w:val="mw-headline"/>
    <w:basedOn w:val="DefaultParagraphFont"/>
  </w:style>
  <w:style w:type="paragraph" w:customStyle="1" w:styleId="ColorfulList-Accent12">
    <w:name w:val="Colorful List - Accent 12"/>
    <w:basedOn w:val="Normal"/>
    <w:qFormat/>
    <w:pPr>
      <w:spacing w:after="0"/>
    </w:pPr>
    <w:rPr>
      <w:rFonts w:ascii="Cambria" w:eastAsia="Cambria" w:hAnsi="Cambria"/>
      <w:color w:val="auto"/>
      <w:sz w:val="24"/>
      <w:lang w:val="en-US"/>
    </w:rPr>
  </w:style>
  <w:style w:type="paragraph" w:styleId="Subtitle0">
    <w:name w:val="Subtitle"/>
    <w:basedOn w:val="Normal"/>
    <w:link w:val="SubtitleChar1"/>
    <w:qFormat/>
    <w:pPr>
      <w:spacing w:after="0"/>
      <w:jc w:val="center"/>
    </w:pPr>
    <w:rPr>
      <w:rFonts w:eastAsia="MS Mincho"/>
      <w:b/>
      <w:color w:val="auto"/>
      <w:lang w:val="en-US"/>
    </w:rPr>
  </w:style>
  <w:style w:type="paragraph" w:styleId="Revision">
    <w:name w:val="Revision"/>
    <w:hidden/>
    <w:uiPriority w:val="99"/>
    <w:semiHidden/>
    <w:rPr>
      <w:rFonts w:ascii="Times New Roman" w:eastAsia="MS Mincho" w:hAnsi="Times New Roman"/>
      <w:sz w:val="24"/>
      <w:szCs w:val="24"/>
    </w:rPr>
  </w:style>
  <w:style w:type="paragraph" w:customStyle="1" w:styleId="StyleHeading3Heading3Char1CharHeading3CharCharCharChar">
    <w:name w:val="Style Heading 3Heading 3 Char1 CharHeading 3 Char Char CharChar ..."/>
    <w:basedOn w:val="Heading3"/>
    <w:rPr>
      <w:iCs/>
    </w:rPr>
  </w:style>
  <w:style w:type="paragraph" w:customStyle="1" w:styleId="ParaQPS">
    <w:name w:val="Para QPS"/>
    <w:basedOn w:val="Normal"/>
    <w:qFormat/>
    <w:pPr>
      <w:spacing w:before="120" w:after="120"/>
      <w:ind w:left="1134"/>
      <w:jc w:val="both"/>
    </w:pPr>
    <w:rPr>
      <w:rFonts w:cs="Cambria"/>
      <w:iCs/>
      <w:color w:val="auto"/>
      <w:szCs w:val="24"/>
      <w:lang w:val="en-US" w:eastAsia="en-US" w:bidi="en-US"/>
    </w:rPr>
  </w:style>
  <w:style w:type="paragraph" w:customStyle="1" w:styleId="ParaQPSItalicindent">
    <w:name w:val="Para QPS Italic indent"/>
    <w:basedOn w:val="ParaQPS"/>
    <w:rPr>
      <w:i/>
      <w:iCs w:val="0"/>
    </w:rPr>
  </w:style>
  <w:style w:type="paragraph" w:customStyle="1" w:styleId="ListParagraph1">
    <w:name w:val="List Paragraph1"/>
    <w:aliases w:val="Bullets"/>
    <w:basedOn w:val="Normal"/>
    <w:qFormat/>
    <w:pPr>
      <w:numPr>
        <w:numId w:val="18"/>
      </w:numPr>
      <w:spacing w:before="60" w:after="60"/>
      <w:jc w:val="both"/>
    </w:pPr>
    <w:rPr>
      <w:rFonts w:ascii="Arial" w:eastAsia="SimSun" w:hAnsi="Arial" w:cs="Arial"/>
      <w:color w:val="auto"/>
      <w:szCs w:val="22"/>
      <w:lang w:eastAsia="en-GB" w:bidi="en-US"/>
    </w:rPr>
  </w:style>
  <w:style w:type="paragraph" w:styleId="Bibliography">
    <w:name w:val="Bibliography"/>
    <w:basedOn w:val="Normal"/>
    <w:next w:val="Normal"/>
    <w:pPr>
      <w:spacing w:before="120" w:after="120"/>
      <w:ind w:left="1134"/>
      <w:jc w:val="both"/>
    </w:pPr>
    <w:rPr>
      <w:rFonts w:ascii="Calibri" w:eastAsia="SimSun" w:hAnsi="Calibri"/>
      <w:color w:val="auto"/>
      <w:szCs w:val="22"/>
      <w:lang w:bidi="en-US"/>
    </w:rPr>
  </w:style>
  <w:style w:type="paragraph" w:customStyle="1" w:styleId="Footnote">
    <w:name w:val="Footnote"/>
    <w:basedOn w:val="FootnoteText"/>
    <w:pPr>
      <w:widowControl/>
      <w:spacing w:after="0"/>
    </w:pPr>
    <w:rPr>
      <w:rFonts w:eastAsia="SimSun"/>
      <w:szCs w:val="22"/>
      <w:lang w:bidi="en-US"/>
    </w:rPr>
  </w:style>
  <w:style w:type="paragraph" w:customStyle="1" w:styleId="TableforUNEPreport">
    <w:name w:val="Table for UNEP report"/>
    <w:basedOn w:val="Caption"/>
    <w:pPr>
      <w:keepNext/>
      <w:spacing w:after="200" w:line="240" w:lineRule="auto"/>
      <w:ind w:left="0"/>
      <w:jc w:val="both"/>
    </w:pPr>
    <w:rPr>
      <w:rFonts w:ascii="Calibri" w:eastAsia="Calibri" w:hAnsi="Calibri"/>
      <w:b/>
      <w:bCs/>
      <w:i w:val="0"/>
      <w:color w:val="auto"/>
      <w:szCs w:val="18"/>
      <w:lang w:eastAsia="en-GB" w:bidi="en-US"/>
    </w:rPr>
  </w:style>
  <w:style w:type="character" w:customStyle="1" w:styleId="FooterChar">
    <w:name w:val="Footer Char"/>
    <w:uiPriority w:val="99"/>
    <w:rPr>
      <w:rFonts w:eastAsia="SimSun" w:cs="Times New Roman"/>
      <w:noProof w:val="0"/>
      <w:sz w:val="22"/>
      <w:lang w:val="x-none" w:eastAsia="zh-CN"/>
    </w:rPr>
  </w:style>
  <w:style w:type="character" w:customStyle="1" w:styleId="BodyText2Char">
    <w:name w:val="Body Text 2 Char"/>
    <w:rPr>
      <w:rFonts w:ascii="Times New Roman" w:hAnsi="Times New Roman" w:cs="Times New Roman"/>
      <w:b/>
      <w:bCs/>
      <w:sz w:val="24"/>
    </w:rPr>
  </w:style>
  <w:style w:type="paragraph" w:customStyle="1" w:styleId="TitleQPSReport">
    <w:name w:val="Title QPS Report"/>
    <w:basedOn w:val="Normal"/>
    <w:pPr>
      <w:spacing w:before="120" w:after="120"/>
      <w:jc w:val="center"/>
    </w:pPr>
    <w:rPr>
      <w:b/>
      <w:bCs/>
      <w:color w:val="auto"/>
      <w:sz w:val="28"/>
      <w:lang w:bidi="en-US"/>
    </w:rPr>
  </w:style>
  <w:style w:type="paragraph" w:customStyle="1" w:styleId="Bulletdash">
    <w:name w:val="Bullet dash"/>
    <w:basedOn w:val="Normal"/>
    <w:qFormat/>
    <w:pPr>
      <w:numPr>
        <w:numId w:val="19"/>
      </w:numPr>
      <w:spacing w:before="120" w:after="120"/>
      <w:ind w:left="1854"/>
      <w:jc w:val="both"/>
    </w:pPr>
    <w:rPr>
      <w:rFonts w:eastAsia="SimSun"/>
      <w:color w:val="auto"/>
      <w:szCs w:val="22"/>
      <w:lang w:bidi="en-US"/>
    </w:rPr>
  </w:style>
  <w:style w:type="paragraph" w:customStyle="1" w:styleId="Paraleft">
    <w:name w:val="Para left"/>
    <w:basedOn w:val="Normal"/>
    <w:qFormat/>
    <w:pPr>
      <w:keepNext/>
      <w:spacing w:before="120" w:after="120"/>
      <w:ind w:left="1134"/>
    </w:pPr>
    <w:rPr>
      <w:rFonts w:eastAsia="SimSun"/>
      <w:b/>
      <w:bCs/>
      <w:color w:val="auto"/>
      <w:szCs w:val="22"/>
      <w:lang w:eastAsia="ja-JP" w:bidi="en-US"/>
    </w:rPr>
  </w:style>
  <w:style w:type="paragraph" w:customStyle="1" w:styleId="TableandFiguretitles">
    <w:name w:val="Table and Figure titles"/>
    <w:basedOn w:val="Caption"/>
    <w:qFormat/>
    <w:pPr>
      <w:keepNext/>
      <w:spacing w:after="200" w:line="240" w:lineRule="auto"/>
      <w:ind w:left="1134"/>
      <w:jc w:val="both"/>
    </w:pPr>
    <w:rPr>
      <w:rFonts w:eastAsia="SimSun"/>
      <w:b/>
      <w:bCs/>
      <w:i w:val="0"/>
      <w:color w:val="auto"/>
      <w:szCs w:val="22"/>
      <w:lang w:bidi="en-US"/>
    </w:rPr>
  </w:style>
  <w:style w:type="paragraph" w:styleId="TableofFigures">
    <w:name w:val="table of figures"/>
    <w:basedOn w:val="Normal"/>
    <w:next w:val="Normal"/>
    <w:semiHidden/>
    <w:unhideWhenUsed/>
    <w:pPr>
      <w:spacing w:before="120" w:after="120"/>
      <w:ind w:left="1757" w:right="624" w:hanging="1077"/>
      <w:jc w:val="both"/>
    </w:pPr>
    <w:rPr>
      <w:rFonts w:eastAsia="SimSun"/>
      <w:b/>
      <w:caps/>
      <w:color w:val="auto"/>
      <w:szCs w:val="22"/>
      <w:lang w:bidi="en-US"/>
    </w:rPr>
  </w:style>
  <w:style w:type="paragraph" w:customStyle="1" w:styleId="StyleParaQPSItalic">
    <w:name w:val="Style Para QPS + Italic"/>
    <w:basedOn w:val="ParaQPS"/>
    <w:rPr>
      <w:i/>
    </w:rPr>
  </w:style>
  <w:style w:type="paragraph" w:customStyle="1" w:styleId="StyleLeft017cm">
    <w:name w:val="Style Left:  0.17 cm"/>
    <w:basedOn w:val="Normal"/>
    <w:pPr>
      <w:spacing w:before="120" w:after="120"/>
      <w:ind w:left="97"/>
      <w:jc w:val="both"/>
    </w:pPr>
    <w:rPr>
      <w:color w:val="auto"/>
      <w:lang w:bidi="en-US"/>
    </w:rPr>
  </w:style>
  <w:style w:type="paragraph" w:customStyle="1" w:styleId="StyleParaQPS11ptItalic">
    <w:name w:val="Style Para QPS + 11 pt Italic"/>
    <w:basedOn w:val="ParaQPS"/>
    <w:rPr>
      <w:i/>
    </w:rPr>
  </w:style>
  <w:style w:type="paragraph" w:customStyle="1" w:styleId="Bulletnumbered">
    <w:name w:val="Bullet numbered"/>
    <w:basedOn w:val="ParaQPS"/>
    <w:qFormat/>
    <w:pPr>
      <w:numPr>
        <w:numId w:val="21"/>
      </w:numPr>
    </w:pPr>
  </w:style>
  <w:style w:type="paragraph" w:customStyle="1" w:styleId="Annexheader">
    <w:name w:val="Annex header"/>
    <w:basedOn w:val="Header"/>
    <w:pPr>
      <w:tabs>
        <w:tab w:val="clear" w:pos="4320"/>
        <w:tab w:val="clear" w:pos="8640"/>
        <w:tab w:val="center" w:pos="4153"/>
        <w:tab w:val="right" w:pos="8306"/>
      </w:tabs>
      <w:spacing w:after="0" w:line="360" w:lineRule="auto"/>
      <w:ind w:firstLine="720"/>
      <w:jc w:val="center"/>
    </w:pPr>
    <w:rPr>
      <w:rFonts w:ascii="Times New Roman Bold" w:hAnsi="Times New Roman Bold"/>
      <w:b/>
      <w:caps/>
      <w:color w:val="auto"/>
      <w:szCs w:val="24"/>
      <w:lang w:val="en-AU" w:eastAsia="en-US"/>
    </w:rPr>
  </w:style>
  <w:style w:type="paragraph" w:customStyle="1" w:styleId="Execlevel3">
    <w:name w:val="Exec level3"/>
    <w:basedOn w:val="Normal"/>
    <w:pPr>
      <w:tabs>
        <w:tab w:val="left" w:pos="1080"/>
      </w:tabs>
      <w:spacing w:after="0"/>
    </w:pPr>
    <w:rPr>
      <w:b/>
      <w:i/>
    </w:rPr>
  </w:style>
  <w:style w:type="paragraph" w:customStyle="1" w:styleId="0Heading0CharChar1Char">
    <w:name w:val="0 Heading 0 Char Char1 Char"/>
    <w:rPr>
      <w:rFonts w:ascii="Times New Roman" w:hAnsi="Times New Roman"/>
      <w:color w:val="000000"/>
      <w:sz w:val="24"/>
      <w:lang w:val="en-GB"/>
    </w:rPr>
  </w:style>
  <w:style w:type="character" w:customStyle="1" w:styleId="0Heading0CharChar1CharChar">
    <w:name w:val="0 Heading 0 Char Char1 Char Char"/>
    <w:rPr>
      <w:noProof w:val="0"/>
      <w:color w:val="000000"/>
      <w:sz w:val="24"/>
      <w:lang w:val="en-GB" w:eastAsia="en-US" w:bidi="ar-SA"/>
    </w:rPr>
  </w:style>
  <w:style w:type="character" w:customStyle="1" w:styleId="HeaderChar">
    <w:name w:val="Header Char"/>
    <w:aliases w:val="EthylHeader Char"/>
    <w:uiPriority w:val="99"/>
    <w:rPr>
      <w:noProof w:val="0"/>
      <w:color w:val="000000"/>
      <w:sz w:val="24"/>
      <w:lang w:val="en-GB" w:eastAsia="zh-CN"/>
    </w:rPr>
  </w:style>
  <w:style w:type="paragraph" w:customStyle="1" w:styleId="Alt2-LevelLegal1">
    <w:name w:val="Alt 2-Level Legal1"/>
    <w:basedOn w:val="Normal"/>
    <w:next w:val="Normal"/>
    <w:pPr>
      <w:numPr>
        <w:numId w:val="23"/>
      </w:numPr>
      <w:jc w:val="center"/>
      <w:outlineLvl w:val="0"/>
    </w:pPr>
    <w:rPr>
      <w:rFonts w:eastAsia="SimSun"/>
      <w:b/>
      <w:color w:val="auto"/>
      <w:szCs w:val="24"/>
    </w:rPr>
  </w:style>
  <w:style w:type="paragraph" w:customStyle="1" w:styleId="Alt2-LevelLegal2">
    <w:name w:val="Alt 2-Level Legal2"/>
    <w:basedOn w:val="Normal"/>
    <w:pPr>
      <w:numPr>
        <w:ilvl w:val="1"/>
        <w:numId w:val="23"/>
      </w:numPr>
      <w:outlineLvl w:val="1"/>
    </w:pPr>
    <w:rPr>
      <w:rFonts w:eastAsia="SimSun"/>
      <w:b/>
      <w:bCs/>
      <w:szCs w:val="24"/>
    </w:rPr>
  </w:style>
  <w:style w:type="paragraph" w:customStyle="1" w:styleId="Alt2-LevelLegal3">
    <w:name w:val="Alt 2-Level Legal3"/>
    <w:basedOn w:val="Normal"/>
    <w:pPr>
      <w:numPr>
        <w:ilvl w:val="2"/>
        <w:numId w:val="23"/>
      </w:numPr>
      <w:outlineLvl w:val="2"/>
    </w:pPr>
    <w:rPr>
      <w:rFonts w:eastAsia="SimSun"/>
      <w:b/>
      <w:szCs w:val="24"/>
    </w:rPr>
  </w:style>
  <w:style w:type="paragraph" w:customStyle="1" w:styleId="Alt2-LevelLegal4">
    <w:name w:val="Alt 2-Level Legal4"/>
    <w:basedOn w:val="Normal"/>
    <w:pPr>
      <w:numPr>
        <w:ilvl w:val="3"/>
        <w:numId w:val="23"/>
      </w:numPr>
      <w:outlineLvl w:val="3"/>
    </w:pPr>
    <w:rPr>
      <w:rFonts w:eastAsia="SimSun"/>
      <w:szCs w:val="24"/>
    </w:rPr>
  </w:style>
  <w:style w:type="paragraph" w:customStyle="1" w:styleId="Alt2-LevelLegal5">
    <w:name w:val="Alt 2-Level Legal5"/>
    <w:basedOn w:val="Normal"/>
    <w:pPr>
      <w:numPr>
        <w:ilvl w:val="4"/>
        <w:numId w:val="23"/>
      </w:numPr>
      <w:ind w:right="720"/>
      <w:jc w:val="both"/>
      <w:outlineLvl w:val="4"/>
    </w:pPr>
    <w:rPr>
      <w:rFonts w:eastAsia="SimSun"/>
      <w:szCs w:val="24"/>
    </w:rPr>
  </w:style>
  <w:style w:type="paragraph" w:customStyle="1" w:styleId="Alt2-LevelLegal6">
    <w:name w:val="Alt 2-Level Legal6"/>
    <w:basedOn w:val="Normal"/>
    <w:pPr>
      <w:tabs>
        <w:tab w:val="num" w:pos="1440"/>
      </w:tabs>
      <w:ind w:left="1440" w:hanging="720"/>
      <w:jc w:val="both"/>
      <w:outlineLvl w:val="5"/>
    </w:pPr>
    <w:rPr>
      <w:rFonts w:eastAsia="SimSun"/>
      <w:szCs w:val="24"/>
    </w:rPr>
  </w:style>
  <w:style w:type="paragraph" w:customStyle="1" w:styleId="Alt2-LevelLegal7">
    <w:name w:val="Alt 2-Level Legal7"/>
    <w:basedOn w:val="Normal"/>
    <w:pPr>
      <w:tabs>
        <w:tab w:val="num" w:pos="3600"/>
      </w:tabs>
      <w:ind w:left="1440" w:hanging="720"/>
      <w:outlineLvl w:val="6"/>
    </w:pPr>
    <w:rPr>
      <w:rFonts w:eastAsia="SimSun"/>
      <w:szCs w:val="24"/>
    </w:rPr>
  </w:style>
  <w:style w:type="character" w:styleId="Emphasis">
    <w:name w:val="Emphasis"/>
    <w:uiPriority w:val="20"/>
    <w:qFormat/>
    <w:rPr>
      <w:b/>
      <w:bCs/>
      <w:i/>
      <w:iCs/>
      <w:spacing w:val="10"/>
      <w:bdr w:val="none" w:sz="0" w:space="0" w:color="auto"/>
      <w:shd w:val="clear" w:color="auto" w:fill="auto"/>
    </w:rPr>
  </w:style>
  <w:style w:type="paragraph" w:customStyle="1" w:styleId="NoteLevel21">
    <w:name w:val="Note Level 21"/>
    <w:basedOn w:val="Normal"/>
    <w:qFormat/>
    <w:locked/>
    <w:pPr>
      <w:spacing w:after="0"/>
    </w:pPr>
    <w:rPr>
      <w:rFonts w:ascii="Arial" w:eastAsia="Calibri" w:hAnsi="Arial" w:cs="Consolas"/>
      <w:color w:val="auto"/>
      <w:szCs w:val="22"/>
      <w:lang w:eastAsia="en-US"/>
    </w:rPr>
  </w:style>
  <w:style w:type="paragraph" w:styleId="Quote">
    <w:name w:val="Quote"/>
    <w:basedOn w:val="Normal"/>
    <w:next w:val="Normal"/>
    <w:qFormat/>
    <w:locked/>
    <w:pPr>
      <w:spacing w:before="200" w:after="0"/>
      <w:ind w:left="360" w:right="360"/>
    </w:pPr>
    <w:rPr>
      <w:rFonts w:ascii="Arial" w:eastAsia="Calibri" w:hAnsi="Arial" w:cs="Consolas"/>
      <w:i/>
      <w:iCs/>
      <w:color w:val="auto"/>
      <w:szCs w:val="22"/>
      <w:lang w:eastAsia="en-US"/>
    </w:rPr>
  </w:style>
  <w:style w:type="paragraph" w:styleId="IntenseQuote">
    <w:name w:val="Intense Quote"/>
    <w:basedOn w:val="Normal"/>
    <w:next w:val="Normal"/>
    <w:qFormat/>
    <w:locked/>
    <w:pPr>
      <w:pBdr>
        <w:bottom w:val="single" w:sz="4" w:space="1" w:color="auto"/>
      </w:pBdr>
      <w:spacing w:before="200" w:after="280"/>
      <w:ind w:left="1008" w:right="1152"/>
      <w:jc w:val="both"/>
    </w:pPr>
    <w:rPr>
      <w:rFonts w:ascii="Arial" w:eastAsia="Calibri" w:hAnsi="Arial" w:cs="Consolas"/>
      <w:b/>
      <w:bCs/>
      <w:i/>
      <w:iCs/>
      <w:color w:val="auto"/>
      <w:szCs w:val="22"/>
      <w:lang w:eastAsia="en-US"/>
    </w:rPr>
  </w:style>
  <w:style w:type="character" w:styleId="SubtleEmphasis">
    <w:name w:val="Subtle Emphasis"/>
    <w:uiPriority w:val="19"/>
    <w:qFormat/>
    <w:locked/>
    <w:rPr>
      <w:i/>
      <w:iCs/>
    </w:rPr>
  </w:style>
  <w:style w:type="character" w:styleId="IntenseEmphasis">
    <w:name w:val="Intense Emphasis"/>
    <w:qFormat/>
    <w:locked/>
    <w:rPr>
      <w:b/>
      <w:bCs/>
    </w:rPr>
  </w:style>
  <w:style w:type="character" w:styleId="SubtleReference">
    <w:name w:val="Subtle Reference"/>
    <w:uiPriority w:val="31"/>
    <w:qFormat/>
    <w:locked/>
    <w:rPr>
      <w:smallCaps/>
    </w:rPr>
  </w:style>
  <w:style w:type="character" w:styleId="IntenseReference">
    <w:name w:val="Intense Reference"/>
    <w:qFormat/>
    <w:locked/>
    <w:rPr>
      <w:smallCaps/>
      <w:spacing w:val="5"/>
      <w:u w:val="single"/>
    </w:rPr>
  </w:style>
  <w:style w:type="character" w:styleId="BookTitle">
    <w:name w:val="Book Title"/>
    <w:uiPriority w:val="33"/>
    <w:qFormat/>
    <w:locked/>
    <w:rPr>
      <w:i/>
      <w:iCs/>
      <w:smallCaps/>
      <w:spacing w:val="5"/>
    </w:rPr>
  </w:style>
  <w:style w:type="paragraph" w:styleId="TOCHeading">
    <w:name w:val="TOC Heading"/>
    <w:basedOn w:val="Heading1"/>
    <w:next w:val="Normal"/>
    <w:uiPriority w:val="39"/>
    <w:qFormat/>
    <w:locked/>
    <w:pPr>
      <w:spacing w:before="0"/>
      <w:ind w:left="0"/>
      <w:outlineLvl w:val="9"/>
    </w:pPr>
    <w:rPr>
      <w:rFonts w:ascii="Arial" w:hAnsi="Arial"/>
      <w:bCs/>
      <w:color w:val="auto"/>
      <w:sz w:val="32"/>
      <w:szCs w:val="28"/>
      <w:lang w:eastAsia="en-US"/>
    </w:rPr>
  </w:style>
  <w:style w:type="character" w:customStyle="1" w:styleId="PlainTextChar">
    <w:name w:val="Plain Text Char"/>
    <w:rPr>
      <w:rFonts w:ascii="Consolas" w:hAnsi="Consolas" w:cs="Consolas"/>
      <w:noProof w:val="0"/>
      <w:sz w:val="21"/>
      <w:szCs w:val="21"/>
      <w:lang w:val="en-US" w:eastAsia="en-US"/>
    </w:rPr>
  </w:style>
  <w:style w:type="character" w:customStyle="1" w:styleId="BodyTextIndent3Char">
    <w:name w:val="Body Text Indent 3 Char"/>
    <w:rPr>
      <w:rFonts w:ascii="Times New Roman" w:eastAsia="MS Mincho" w:hAnsi="Times New Roman" w:cs="Times New Roman"/>
      <w:noProof w:val="0"/>
      <w:snapToGrid w:val="0"/>
      <w:color w:val="FF0000"/>
      <w:sz w:val="24"/>
      <w:lang w:eastAsia="zh-CN"/>
    </w:rPr>
  </w:style>
  <w:style w:type="character" w:customStyle="1" w:styleId="Para1">
    <w:name w:val="Para (1) (文字)"/>
    <w:aliases w:val="Heading 1 Char1 Char (文字),Heading 1 Char Char Char (文字),Para (1) Char Char Char (文字),Para (1) Char1 Char (文字),Heading 1 Char1 (文字),Heading 1 Char Char (文字),Para (1) Char Char (文字),Para (1) Char1 (文字),Heading 1 Char1 Char Char (文字)"/>
    <w:rPr>
      <w:rFonts w:ascii="Arial" w:eastAsia="MS Mincho" w:hAnsi="Arial" w:cs="Arial"/>
      <w:b/>
      <w:bCs/>
      <w:noProof w:val="0"/>
      <w:kern w:val="32"/>
      <w:sz w:val="32"/>
      <w:szCs w:val="32"/>
      <w:lang w:val="en-US" w:eastAsia="ja-JP" w:bidi="ar-SA"/>
    </w:rPr>
  </w:style>
  <w:style w:type="paragraph" w:customStyle="1" w:styleId="a0">
    <w:name w:val="吹き出し"/>
    <w:basedOn w:val="Normal"/>
    <w:semiHidden/>
    <w:pPr>
      <w:spacing w:after="0"/>
    </w:pPr>
    <w:rPr>
      <w:rFonts w:ascii="Tahoma" w:eastAsia="MS Mincho" w:hAnsi="Tahoma" w:cs="Consolas"/>
      <w:color w:val="auto"/>
      <w:sz w:val="16"/>
      <w:szCs w:val="16"/>
      <w:lang w:val="en-US" w:eastAsia="en-US"/>
    </w:rPr>
  </w:style>
  <w:style w:type="character" w:customStyle="1" w:styleId="SubParaa">
    <w:name w:val="SubPara (a) (文字) (文字)"/>
    <w:rPr>
      <w:rFonts w:ascii="Arial" w:eastAsia="MS Mincho" w:hAnsi="Arial" w:cs="Arial"/>
      <w:b/>
      <w:bCs/>
      <w:i/>
      <w:iCs/>
      <w:noProof w:val="0"/>
      <w:kern w:val="2"/>
      <w:sz w:val="28"/>
      <w:szCs w:val="28"/>
      <w:lang w:val="en-US" w:eastAsia="ja-JP" w:bidi="ar-SA"/>
    </w:rPr>
  </w:style>
  <w:style w:type="character" w:customStyle="1" w:styleId="1">
    <w:name w:val="(文字) (文字)1"/>
    <w:rPr>
      <w:rFonts w:eastAsia="SimSun"/>
      <w:noProof w:val="0"/>
      <w:sz w:val="24"/>
      <w:szCs w:val="24"/>
      <w:lang w:val="en-US" w:eastAsia="zh-CN" w:bidi="ar-SA"/>
    </w:rPr>
  </w:style>
  <w:style w:type="paragraph" w:customStyle="1" w:styleId="a1">
    <w:name w:val="コメント内容"/>
    <w:basedOn w:val="CommentText"/>
    <w:next w:val="CommentText"/>
    <w:pPr>
      <w:widowControl/>
      <w:spacing w:after="0"/>
    </w:pPr>
    <w:rPr>
      <w:rFonts w:ascii="Times New Roman" w:eastAsia="MS Mincho" w:hAnsi="Times New Roman"/>
      <w:b/>
      <w:bCs/>
      <w:lang w:val="en-US" w:eastAsia="en-US"/>
    </w:rPr>
  </w:style>
  <w:style w:type="character" w:customStyle="1" w:styleId="a2">
    <w:name w:val="(文字) (文字)"/>
    <w:rPr>
      <w:rFonts w:eastAsia="SimSun"/>
      <w:b/>
      <w:bCs/>
      <w:noProof w:val="0"/>
      <w:sz w:val="24"/>
      <w:szCs w:val="24"/>
      <w:lang w:val="en-US" w:eastAsia="en-US" w:bidi="ar-SA"/>
    </w:rPr>
  </w:style>
  <w:style w:type="character" w:customStyle="1" w:styleId="CarCar19">
    <w:name w:val="Car Car19"/>
    <w:locked/>
    <w:rPr>
      <w:rFonts w:eastAsia="MS Mincho"/>
      <w:noProof w:val="0"/>
      <w:color w:val="000000"/>
      <w:sz w:val="24"/>
      <w:szCs w:val="24"/>
      <w:lang w:val="en-GB" w:eastAsia="zh-CN" w:bidi="ar-SA"/>
    </w:rPr>
  </w:style>
  <w:style w:type="paragraph" w:customStyle="1" w:styleId="Decisionparagraphs">
    <w:name w:val="Decision paragraphs"/>
    <w:basedOn w:val="Normal"/>
    <w:autoRedefine/>
    <w:pPr>
      <w:spacing w:after="0"/>
    </w:pPr>
    <w:rPr>
      <w:i/>
      <w:color w:val="auto"/>
      <w:lang w:eastAsia="en-US"/>
    </w:rPr>
  </w:style>
  <w:style w:type="paragraph" w:customStyle="1" w:styleId="Style3">
    <w:name w:val="Style3"/>
    <w:basedOn w:val="Heading1"/>
    <w:pPr>
      <w:tabs>
        <w:tab w:val="left" w:pos="0"/>
        <w:tab w:val="left" w:pos="720"/>
        <w:tab w:val="num" w:pos="1492"/>
      </w:tabs>
      <w:spacing w:before="0"/>
    </w:pPr>
    <w:rPr>
      <w:szCs w:val="28"/>
    </w:rPr>
  </w:style>
  <w:style w:type="paragraph" w:customStyle="1" w:styleId="Style4">
    <w:name w:val="Style4"/>
    <w:basedOn w:val="Heading2"/>
    <w:qFormat/>
    <w:rPr>
      <w:snapToGrid/>
    </w:rPr>
  </w:style>
  <w:style w:type="paragraph" w:customStyle="1" w:styleId="Style5">
    <w:name w:val="Style5"/>
    <w:basedOn w:val="Heading311ptBold"/>
    <w:autoRedefine/>
    <w:pPr>
      <w:numPr>
        <w:ilvl w:val="0"/>
        <w:numId w:val="0"/>
      </w:numPr>
      <w:tabs>
        <w:tab w:val="clear" w:pos="1800"/>
        <w:tab w:val="left" w:pos="720"/>
        <w:tab w:val="center" w:pos="1440"/>
      </w:tabs>
      <w:spacing w:before="0"/>
    </w:pPr>
    <w:rPr>
      <w:b/>
      <w:snapToGrid/>
    </w:rPr>
  </w:style>
  <w:style w:type="paragraph" w:customStyle="1" w:styleId="Style6">
    <w:name w:val="Style6"/>
    <w:basedOn w:val="Heading311ptBold"/>
    <w:next w:val="Style5"/>
    <w:pPr>
      <w:numPr>
        <w:ilvl w:val="0"/>
        <w:numId w:val="0"/>
      </w:numPr>
      <w:tabs>
        <w:tab w:val="clear" w:pos="1800"/>
        <w:tab w:val="left" w:pos="720"/>
        <w:tab w:val="center" w:pos="1440"/>
      </w:tabs>
      <w:spacing w:before="0"/>
    </w:pPr>
    <w:rPr>
      <w:b/>
      <w:snapToGrid/>
    </w:rPr>
  </w:style>
  <w:style w:type="paragraph" w:customStyle="1" w:styleId="Style7">
    <w:name w:val="Style7"/>
    <w:basedOn w:val="Heading311ptBold"/>
    <w:pPr>
      <w:numPr>
        <w:ilvl w:val="0"/>
        <w:numId w:val="0"/>
      </w:numPr>
      <w:tabs>
        <w:tab w:val="clear" w:pos="1800"/>
        <w:tab w:val="left" w:pos="720"/>
        <w:tab w:val="center" w:pos="1440"/>
      </w:tabs>
      <w:spacing w:before="0"/>
      <w:ind w:left="720" w:hanging="720"/>
    </w:pPr>
    <w:rPr>
      <w:b/>
      <w:snapToGrid/>
    </w:rPr>
  </w:style>
  <w:style w:type="paragraph" w:customStyle="1" w:styleId="StyleHeading2SubParaaHeading2Char1CharSubParaaChar1">
    <w:name w:val="Style Heading 2SubPara (a)Heading 2 Char1 CharSubPara (a) Char1 ..."/>
    <w:basedOn w:val="Heading2"/>
    <w:autoRedefine/>
    <w:rPr>
      <w:bCs/>
      <w:snapToGrid/>
      <w:szCs w:val="20"/>
    </w:rPr>
  </w:style>
  <w:style w:type="paragraph" w:customStyle="1" w:styleId="StyleStyleHeading2SubParaaHeading2Char1CharSubParaaCha">
    <w:name w:val="Style Style Heading 2SubPara (a)Heading 2 Char1 CharSubPara (a) Cha..."/>
    <w:basedOn w:val="StyleHeading2SubParaaHeading2Char1CharSubParaaChar1"/>
  </w:style>
  <w:style w:type="paragraph" w:customStyle="1" w:styleId="StyleHeading4Left0Firstline0">
    <w:name w:val="Style Heading 4 + Left:  0&quot; First line:  0&quot;"/>
    <w:basedOn w:val="Heading4"/>
    <w:autoRedefine/>
    <w:rPr>
      <w:b w:val="0"/>
      <w:bCs/>
      <w:snapToGrid/>
      <w:szCs w:val="20"/>
    </w:rPr>
  </w:style>
  <w:style w:type="paragraph" w:styleId="ListBullet2">
    <w:name w:val="List Bullet 2"/>
    <w:basedOn w:val="Normal"/>
    <w:semiHidden/>
    <w:pPr>
      <w:tabs>
        <w:tab w:val="num" w:pos="643"/>
      </w:tabs>
      <w:spacing w:after="0"/>
      <w:ind w:left="643" w:hanging="360"/>
    </w:pPr>
    <w:rPr>
      <w:color w:val="auto"/>
      <w:szCs w:val="24"/>
      <w:lang w:eastAsia="en-GB"/>
    </w:rPr>
  </w:style>
  <w:style w:type="paragraph" w:styleId="ListBullet3">
    <w:name w:val="List Bullet 3"/>
    <w:basedOn w:val="Normal"/>
    <w:semiHidden/>
    <w:pPr>
      <w:tabs>
        <w:tab w:val="num" w:pos="926"/>
      </w:tabs>
      <w:spacing w:after="0"/>
      <w:ind w:left="926" w:hanging="360"/>
    </w:pPr>
    <w:rPr>
      <w:color w:val="auto"/>
      <w:szCs w:val="24"/>
      <w:lang w:eastAsia="en-GB"/>
    </w:rPr>
  </w:style>
  <w:style w:type="paragraph" w:styleId="ListBullet4">
    <w:name w:val="List Bullet 4"/>
    <w:basedOn w:val="Normal"/>
    <w:semiHidden/>
    <w:pPr>
      <w:tabs>
        <w:tab w:val="num" w:pos="1209"/>
      </w:tabs>
      <w:spacing w:after="0"/>
      <w:ind w:left="1209" w:hanging="360"/>
    </w:pPr>
    <w:rPr>
      <w:color w:val="auto"/>
      <w:szCs w:val="24"/>
      <w:lang w:eastAsia="en-GB"/>
    </w:rPr>
  </w:style>
  <w:style w:type="paragraph" w:customStyle="1" w:styleId="ECMSHeading1">
    <w:name w:val="ECMS Heading 1"/>
    <w:basedOn w:val="Heading1"/>
    <w:pPr>
      <w:spacing w:after="1080"/>
      <w:ind w:left="0"/>
    </w:pPr>
    <w:rPr>
      <w:rFonts w:ascii="Garamond" w:hAnsi="Garamond" w:cs="Arial"/>
      <w:bCs/>
      <w:color w:val="auto"/>
      <w:sz w:val="48"/>
      <w:szCs w:val="18"/>
      <w:lang w:eastAsia="en-GB"/>
    </w:rPr>
  </w:style>
  <w:style w:type="paragraph" w:customStyle="1" w:styleId="ECMStableheader">
    <w:name w:val="ECMS table header"/>
    <w:basedOn w:val="Normal"/>
    <w:pPr>
      <w:spacing w:after="0"/>
      <w:ind w:left="1320" w:hanging="1320"/>
    </w:pPr>
    <w:rPr>
      <w:b/>
      <w:color w:val="auto"/>
      <w:szCs w:val="24"/>
      <w:lang w:eastAsia="en-GB"/>
    </w:rPr>
  </w:style>
  <w:style w:type="paragraph" w:customStyle="1" w:styleId="Paralevel3">
    <w:name w:val="Para level3"/>
    <w:basedOn w:val="Normal"/>
    <w:autoRedefine/>
    <w:pPr>
      <w:numPr>
        <w:numId w:val="26"/>
      </w:numPr>
      <w:tabs>
        <w:tab w:val="clear" w:pos="2892"/>
        <w:tab w:val="num" w:pos="360"/>
      </w:tabs>
      <w:suppressAutoHyphens/>
      <w:spacing w:after="120"/>
      <w:ind w:left="0" w:firstLine="0"/>
    </w:pPr>
    <w:rPr>
      <w:color w:val="auto"/>
      <w:sz w:val="20"/>
      <w:lang w:eastAsia="en-US"/>
    </w:rPr>
  </w:style>
  <w:style w:type="character" w:customStyle="1" w:styleId="ANNEXESChar">
    <w:name w:val="ANNEXES Char"/>
    <w:rPr>
      <w:b/>
      <w:noProof w:val="0"/>
      <w:color w:val="000000"/>
      <w:sz w:val="28"/>
      <w:lang w:val="en-GB" w:eastAsia="zh-CN" w:bidi="ar-SA"/>
    </w:rPr>
  </w:style>
  <w:style w:type="character" w:customStyle="1" w:styleId="BodyTextChar">
    <w:name w:val="Body Text Char"/>
    <w:aliases w:val=" Char Char Char,Char Char Char,Body Text Char Char Char Char Char Char,Body Text Char Char Char Char Char1,Char Char3 Char,Body Text Char Char,Char Char Char2"/>
    <w:rPr>
      <w:rFonts w:ascii="Times New Roman" w:hAnsi="Times New Roman"/>
      <w:noProof w:val="0"/>
      <w:color w:val="000000"/>
      <w:lang w:val="en-GB" w:eastAsia="zh-CN"/>
    </w:rPr>
  </w:style>
  <w:style w:type="character" w:customStyle="1" w:styleId="BodyTextIndentChar">
    <w:name w:val="Body Text Indent Char"/>
    <w:rPr>
      <w:rFonts w:ascii="Times New Roman" w:hAnsi="Times New Roman"/>
      <w:noProof w:val="0"/>
      <w:color w:val="000000"/>
      <w:lang w:val="en-GB" w:eastAsia="zh-CN"/>
    </w:rPr>
  </w:style>
  <w:style w:type="paragraph" w:customStyle="1" w:styleId="ColorfulShading-Accent31">
    <w:name w:val="Colorful Shading - Accent 31"/>
    <w:basedOn w:val="Normal"/>
    <w:qFormat/>
    <w:pPr>
      <w:spacing w:after="0"/>
    </w:pPr>
    <w:rPr>
      <w:rFonts w:ascii="Cambria" w:eastAsia="Cambria" w:hAnsi="Cambria"/>
      <w:color w:val="auto"/>
      <w:sz w:val="24"/>
      <w:lang w:val="en-US"/>
    </w:rPr>
  </w:style>
  <w:style w:type="paragraph" w:customStyle="1" w:styleId="summarylevel3">
    <w:name w:val="summary level3"/>
    <w:basedOn w:val="Heading3"/>
    <w:next w:val="Normal"/>
    <w:pPr>
      <w:keepLines w:val="0"/>
      <w:suppressLineNumbers/>
      <w:tabs>
        <w:tab w:val="left" w:pos="851"/>
      </w:tabs>
      <w:spacing w:before="100"/>
    </w:pPr>
    <w:rPr>
      <w:rFonts w:ascii="Times New Roman Bold" w:hAnsi="Times New Roman Bold"/>
      <w:snapToGrid/>
      <w:lang w:val="en-AU"/>
    </w:rPr>
  </w:style>
  <w:style w:type="paragraph" w:customStyle="1" w:styleId="intro">
    <w:name w:val="intro"/>
    <w:basedOn w:val="Normal"/>
    <w:pPr>
      <w:spacing w:before="100" w:after="100"/>
    </w:pPr>
    <w:rPr>
      <w:color w:val="auto"/>
      <w:sz w:val="24"/>
      <w:lang w:val="en-US" w:eastAsia="ja-JP"/>
    </w:rPr>
  </w:style>
  <w:style w:type="paragraph" w:customStyle="1" w:styleId="BodyTextLeft">
    <w:name w:val="Body Text Left"/>
    <w:basedOn w:val="Normal"/>
    <w:pPr>
      <w:widowControl w:val="0"/>
    </w:pPr>
    <w:rPr>
      <w:rFonts w:eastAsia="MS Mincho"/>
      <w:color w:val="auto"/>
      <w:kern w:val="2"/>
      <w:sz w:val="24"/>
      <w:lang w:eastAsia="ja-JP"/>
    </w:rPr>
  </w:style>
  <w:style w:type="paragraph" w:customStyle="1" w:styleId="bullet0">
    <w:name w:val="bullet"/>
    <w:basedOn w:val="Normal"/>
    <w:autoRedefine/>
    <w:pPr>
      <w:spacing w:after="0"/>
      <w:ind w:left="1080"/>
    </w:pPr>
    <w:rPr>
      <w:color w:val="auto"/>
      <w:sz w:val="24"/>
    </w:rPr>
  </w:style>
  <w:style w:type="paragraph" w:customStyle="1" w:styleId="ExecSumHeading">
    <w:name w:val="Exec Sum Heading"/>
    <w:basedOn w:val="Heading1"/>
    <w:pPr>
      <w:widowControl w:val="0"/>
      <w:tabs>
        <w:tab w:val="left" w:pos="851"/>
      </w:tabs>
    </w:pPr>
    <w:rPr>
      <w:rFonts w:ascii="Times New Roman Bold" w:eastAsia="MS Mincho" w:hAnsi="Times New Roman Bold"/>
      <w:color w:val="auto"/>
      <w:kern w:val="32"/>
      <w:sz w:val="30"/>
    </w:rPr>
  </w:style>
  <w:style w:type="character" w:customStyle="1" w:styleId="text">
    <w:name w:val="text"/>
    <w:basedOn w:val="DefaultParagraphFont"/>
  </w:style>
  <w:style w:type="paragraph" w:customStyle="1" w:styleId="StyleHeading1Para1Heading1Char1CharHeading1CharCharC">
    <w:name w:val="Style Heading 1Para (1)Heading 1 Char1 CharHeading 1 Char Char C..."/>
    <w:basedOn w:val="Heading1"/>
    <w:pPr>
      <w:tabs>
        <w:tab w:val="left" w:pos="851"/>
      </w:tabs>
      <w:spacing w:after="60"/>
    </w:pPr>
    <w:rPr>
      <w:rFonts w:ascii="Times New Roman Bold" w:hAnsi="Times New Roman Bold"/>
      <w:kern w:val="32"/>
      <w:sz w:val="30"/>
    </w:rPr>
  </w:style>
  <w:style w:type="character" w:customStyle="1" w:styleId="StyleHeading1Para1Heading1Char1CharHeading1CharCharCChar">
    <w:name w:val="Style Heading 1Para (1)Heading 1 Char1 CharHeading 1 Char Char C... Char"/>
    <w:rPr>
      <w:rFonts w:cs="Arial"/>
      <w:b/>
      <w:bCs/>
      <w:noProof w:val="0"/>
      <w:color w:val="000000"/>
      <w:kern w:val="32"/>
      <w:sz w:val="28"/>
      <w:szCs w:val="32"/>
      <w:lang w:val="en-US" w:eastAsia="en-US" w:bidi="ar-SA"/>
    </w:rPr>
  </w:style>
  <w:style w:type="paragraph" w:customStyle="1" w:styleId="StyleBodyTextLeftAfter0pt">
    <w:name w:val="Style Body Text Left + After:  0 pt"/>
    <w:basedOn w:val="BodyTextLeft"/>
    <w:rPr>
      <w:lang w:eastAsia="zh-CN"/>
    </w:rPr>
  </w:style>
  <w:style w:type="paragraph" w:customStyle="1" w:styleId="StyleBodyTextIndent2Firstline0cm">
    <w:name w:val="Style Body Text Indent 2 + First line:  0 cm"/>
    <w:basedOn w:val="BodyTextIndent2"/>
    <w:pPr>
      <w:spacing w:after="240"/>
      <w:ind w:firstLine="0"/>
    </w:pPr>
  </w:style>
  <w:style w:type="paragraph" w:customStyle="1" w:styleId="StyleBodyTextIndent2Firstline0cm1">
    <w:name w:val="Style Body Text Indent 2 + First line:  0 cm1"/>
    <w:basedOn w:val="BodyTextIndent2"/>
    <w:pPr>
      <w:spacing w:after="240"/>
      <w:ind w:firstLine="0"/>
    </w:pPr>
  </w:style>
  <w:style w:type="paragraph" w:customStyle="1" w:styleId="NormalBold">
    <w:name w:val="Normal + Bold"/>
    <w:aliases w:val="Italic,Centered"/>
    <w:basedOn w:val="Execlevel3"/>
    <w:pPr>
      <w:spacing w:after="240"/>
      <w:jc w:val="center"/>
    </w:pPr>
  </w:style>
  <w:style w:type="paragraph" w:styleId="List5">
    <w:name w:val="List 5"/>
    <w:basedOn w:val="Normal"/>
    <w:semiHidden/>
    <w:pPr>
      <w:tabs>
        <w:tab w:val="left" w:pos="4680"/>
        <w:tab w:val="right" w:pos="9360"/>
      </w:tabs>
      <w:spacing w:before="220" w:after="0" w:line="220" w:lineRule="exact"/>
      <w:ind w:left="1800" w:hanging="360"/>
      <w:jc w:val="both"/>
    </w:pPr>
    <w:rPr>
      <w:rFonts w:ascii="Arial" w:hAnsi="Arial"/>
      <w:color w:val="auto"/>
      <w:lang w:val="en-US"/>
    </w:rPr>
  </w:style>
  <w:style w:type="paragraph" w:customStyle="1" w:styleId="enclosures">
    <w:name w:val="enclosures"/>
    <w:basedOn w:val="Normal"/>
    <w:next w:val="Normal"/>
    <w:rsid w:val="00255612"/>
    <w:pPr>
      <w:tabs>
        <w:tab w:val="left" w:pos="720"/>
        <w:tab w:val="right" w:pos="9360"/>
      </w:tabs>
      <w:spacing w:after="0"/>
    </w:pPr>
    <w:rPr>
      <w:rFonts w:ascii="Helvetica" w:hAnsi="Helvetica"/>
      <w:color w:val="auto"/>
      <w:lang w:val="en-US"/>
    </w:rPr>
  </w:style>
  <w:style w:type="character" w:customStyle="1" w:styleId="CommentTextChar1">
    <w:name w:val="Comment Text Char1"/>
    <w:uiPriority w:val="99"/>
    <w:rPr>
      <w:rFonts w:cs="Times New Roman"/>
      <w:noProof w:val="0"/>
      <w:sz w:val="24"/>
      <w:lang w:val="en-US" w:eastAsia="ja-JP"/>
    </w:rPr>
  </w:style>
  <w:style w:type="character" w:customStyle="1" w:styleId="CommentTextChar">
    <w:name w:val="Comment Text Char"/>
    <w:uiPriority w:val="99"/>
    <w:rPr>
      <w:rFonts w:ascii="Times New Roman" w:hAnsi="Times New Roman" w:cs="Times New Roman"/>
      <w:noProof w:val="0"/>
      <w:sz w:val="24"/>
      <w:lang w:val="x-none" w:eastAsia="ja-JP"/>
    </w:rPr>
  </w:style>
  <w:style w:type="character" w:customStyle="1" w:styleId="BalloonTextChar">
    <w:name w:val="Balloon Text Char"/>
    <w:uiPriority w:val="99"/>
    <w:rPr>
      <w:rFonts w:ascii="Tahoma" w:hAnsi="Tahoma" w:cs="MS Mincho"/>
      <w:sz w:val="16"/>
    </w:rPr>
  </w:style>
  <w:style w:type="character" w:customStyle="1" w:styleId="CommentSubjectChar">
    <w:name w:val="Comment Subject Char"/>
    <w:uiPriority w:val="99"/>
    <w:rPr>
      <w:rFonts w:eastAsia="Times New Roman" w:cs="Times New Roman"/>
      <w:b/>
      <w:bCs/>
      <w:noProof w:val="0"/>
      <w:sz w:val="24"/>
      <w:lang w:val="en-US" w:eastAsia="ja-JP"/>
    </w:rPr>
  </w:style>
  <w:style w:type="character" w:customStyle="1" w:styleId="Heading5Char">
    <w:name w:val="Heading 5 Char"/>
    <w:aliases w:val="Subpara 2 Char"/>
    <w:rPr>
      <w:rFonts w:ascii="Cambria" w:eastAsia="Times New Roman" w:hAnsi="Cambria" w:cs="Times New Roman"/>
      <w:color w:val="243F60"/>
    </w:rPr>
  </w:style>
  <w:style w:type="character" w:customStyle="1" w:styleId="Heading6Char">
    <w:name w:val="Heading 6 Char"/>
    <w:aliases w:val="Subpara 3 Char"/>
    <w:rPr>
      <w:rFonts w:ascii="Cambria" w:eastAsia="Times New Roman" w:hAnsi="Cambria" w:cs="Times New Roman"/>
      <w:i/>
      <w:iCs/>
      <w:color w:val="243F60"/>
    </w:rPr>
  </w:style>
  <w:style w:type="character" w:customStyle="1" w:styleId="Heading7Char">
    <w:name w:val="Heading 7 Char"/>
    <w:aliases w:val="Subpara 4 Char"/>
    <w:rPr>
      <w:rFonts w:ascii="Cambria" w:eastAsia="Times New Roman" w:hAnsi="Cambria" w:cs="Times New Roman"/>
      <w:i/>
      <w:iCs/>
      <w:color w:val="404040"/>
    </w:rPr>
  </w:style>
  <w:style w:type="character" w:customStyle="1" w:styleId="Heading8Char">
    <w:name w:val="Heading 8 Char"/>
    <w:aliases w:val="Subpara 5 Char"/>
    <w:rPr>
      <w:rFonts w:ascii="Cambria" w:eastAsia="Times New Roman" w:hAnsi="Cambria" w:cs="Times New Roman"/>
      <w:color w:val="404040"/>
      <w:sz w:val="20"/>
      <w:szCs w:val="20"/>
    </w:rPr>
  </w:style>
  <w:style w:type="character" w:customStyle="1" w:styleId="Heading9Char">
    <w:name w:val="Heading 9 Char"/>
    <w:aliases w:val="Subpara 6 Char"/>
    <w:rPr>
      <w:rFonts w:ascii="Cambria" w:eastAsia="Times New Roman" w:hAnsi="Cambria" w:cs="Times New Roman"/>
      <w:i/>
      <w:iCs/>
      <w:color w:val="404040"/>
      <w:sz w:val="20"/>
      <w:szCs w:val="20"/>
    </w:rPr>
  </w:style>
  <w:style w:type="paragraph" w:customStyle="1" w:styleId="Paraindent">
    <w:name w:val="Para indent"/>
    <w:basedOn w:val="Normal"/>
    <w:qFormat/>
    <w:pPr>
      <w:widowControl w:val="0"/>
      <w:spacing w:before="120" w:after="120"/>
      <w:ind w:left="709" w:right="720"/>
      <w:jc w:val="both"/>
    </w:pPr>
    <w:rPr>
      <w:i/>
      <w:sz w:val="20"/>
    </w:rPr>
  </w:style>
  <w:style w:type="paragraph" w:customStyle="1" w:styleId="BulletsinTable">
    <w:name w:val="Bullets in Table"/>
    <w:basedOn w:val="ListParagraph1"/>
    <w:qFormat/>
    <w:pPr>
      <w:numPr>
        <w:numId w:val="9"/>
      </w:numPr>
      <w:autoSpaceDE w:val="0"/>
      <w:autoSpaceDN w:val="0"/>
      <w:adjustRightInd w:val="0"/>
      <w:ind w:left="720" w:right="720"/>
      <w:jc w:val="left"/>
    </w:pPr>
    <w:rPr>
      <w:rFonts w:ascii="Times New Roman" w:eastAsia="Times New Roman" w:hAnsi="Times New Roman"/>
      <w:i/>
      <w:color w:val="000000"/>
      <w:sz w:val="20"/>
      <w:lang w:val="en"/>
    </w:rPr>
  </w:style>
  <w:style w:type="paragraph" w:customStyle="1" w:styleId="Annex">
    <w:name w:val="Annex"/>
    <w:basedOn w:val="Caption"/>
    <w:qFormat/>
    <w:pPr>
      <w:spacing w:before="100" w:after="100" w:line="240" w:lineRule="auto"/>
      <w:ind w:left="426" w:right="720"/>
    </w:pPr>
    <w:rPr>
      <w:b/>
      <w:caps/>
      <w:color w:val="auto"/>
      <w:sz w:val="20"/>
    </w:rPr>
  </w:style>
  <w:style w:type="paragraph" w:customStyle="1" w:styleId="Tableandfigureheadings">
    <w:name w:val="Table and figure headings"/>
    <w:basedOn w:val="TableofFigures"/>
    <w:qFormat/>
    <w:pPr>
      <w:keepNext/>
      <w:ind w:left="0" w:right="720" w:firstLine="0"/>
      <w:jc w:val="left"/>
    </w:pPr>
    <w:rPr>
      <w:rFonts w:eastAsia="Times New Roman"/>
      <w:i/>
      <w:caps w:val="0"/>
      <w:sz w:val="24"/>
    </w:rPr>
  </w:style>
  <w:style w:type="paragraph" w:customStyle="1" w:styleId="Bulletsnumbered">
    <w:name w:val="Bullets numbered"/>
    <w:basedOn w:val="Paraindent"/>
    <w:qFormat/>
    <w:pPr>
      <w:tabs>
        <w:tab w:val="num" w:pos="720"/>
      </w:tabs>
      <w:ind w:left="1560" w:hanging="720"/>
    </w:pPr>
  </w:style>
  <w:style w:type="paragraph" w:customStyle="1" w:styleId="Style">
    <w:name w:val="Style"/>
    <w:pPr>
      <w:widowControl w:val="0"/>
      <w:numPr>
        <w:numId w:val="29"/>
      </w:numPr>
      <w:tabs>
        <w:tab w:val="clear" w:pos="720"/>
      </w:tabs>
      <w:autoSpaceDE w:val="0"/>
      <w:autoSpaceDN w:val="0"/>
      <w:adjustRightInd w:val="0"/>
      <w:ind w:left="0" w:firstLine="0"/>
    </w:pPr>
    <w:rPr>
      <w:rFonts w:ascii="Arial" w:hAnsi="Arial"/>
      <w:sz w:val="24"/>
      <w:lang w:val="en-GB" w:eastAsia="ko-KR"/>
    </w:rPr>
  </w:style>
  <w:style w:type="paragraph" w:customStyle="1" w:styleId="Chapternumber">
    <w:name w:val="Chapter number"/>
    <w:basedOn w:val="Normal"/>
    <w:pPr>
      <w:widowControl w:val="0"/>
      <w:suppressAutoHyphens/>
      <w:autoSpaceDE w:val="0"/>
      <w:autoSpaceDN w:val="0"/>
      <w:adjustRightInd w:val="0"/>
      <w:spacing w:before="100" w:after="567" w:line="640" w:lineRule="atLeast"/>
      <w:ind w:right="720"/>
      <w:textAlignment w:val="center"/>
    </w:pPr>
    <w:rPr>
      <w:rFonts w:ascii="FrutigerLTStd-Light" w:hAnsi="FrutigerLTStd-Light"/>
      <w:i/>
      <w:sz w:val="60"/>
    </w:rPr>
  </w:style>
  <w:style w:type="paragraph" w:customStyle="1" w:styleId="Tabletext0">
    <w:name w:val="Table text"/>
    <w:basedOn w:val="Normal"/>
    <w:pPr>
      <w:widowControl w:val="0"/>
      <w:suppressAutoHyphens/>
      <w:autoSpaceDE w:val="0"/>
      <w:autoSpaceDN w:val="0"/>
      <w:adjustRightInd w:val="0"/>
      <w:spacing w:before="100" w:after="113" w:line="288" w:lineRule="auto"/>
      <w:ind w:right="720"/>
      <w:textAlignment w:val="center"/>
    </w:pPr>
    <w:rPr>
      <w:rFonts w:ascii="FrutigerLTStd-Light" w:hAnsi="FrutigerLTStd-Light"/>
      <w:i/>
      <w:sz w:val="24"/>
    </w:rPr>
  </w:style>
  <w:style w:type="paragraph" w:customStyle="1" w:styleId="Bodycopynoindent">
    <w:name w:val="Body copy (no indent)"/>
    <w:basedOn w:val="Normal"/>
    <w:pPr>
      <w:widowControl w:val="0"/>
      <w:suppressAutoHyphens/>
      <w:autoSpaceDE w:val="0"/>
      <w:autoSpaceDN w:val="0"/>
      <w:adjustRightInd w:val="0"/>
      <w:spacing w:before="100" w:after="280" w:line="320" w:lineRule="atLeast"/>
      <w:ind w:right="720"/>
      <w:textAlignment w:val="center"/>
    </w:pPr>
    <w:rPr>
      <w:rFonts w:ascii="FrutigerLTStd-Light" w:hAnsi="FrutigerLTStd-Light"/>
      <w:i/>
      <w:sz w:val="24"/>
    </w:rPr>
  </w:style>
  <w:style w:type="paragraph" w:customStyle="1" w:styleId="Bullettext">
    <w:name w:val="Bullet text"/>
    <w:basedOn w:val="Normal"/>
    <w:next w:val="Normal"/>
    <w:pPr>
      <w:widowControl w:val="0"/>
      <w:tabs>
        <w:tab w:val="num" w:pos="851"/>
      </w:tabs>
      <w:suppressAutoHyphens/>
      <w:autoSpaceDE w:val="0"/>
      <w:autoSpaceDN w:val="0"/>
      <w:adjustRightInd w:val="0"/>
      <w:spacing w:before="100" w:after="113" w:line="320" w:lineRule="atLeast"/>
      <w:ind w:left="851" w:right="720" w:hanging="284"/>
      <w:textAlignment w:val="center"/>
    </w:pPr>
    <w:rPr>
      <w:rFonts w:ascii="FrutigerLTStd-Light" w:hAnsi="FrutigerLTStd-Light"/>
      <w:i/>
      <w:sz w:val="24"/>
    </w:rPr>
  </w:style>
  <w:style w:type="paragraph" w:customStyle="1" w:styleId="Bullettextlastline">
    <w:name w:val="Bullet text last line"/>
    <w:basedOn w:val="Normal"/>
    <w:pPr>
      <w:widowControl w:val="0"/>
      <w:tabs>
        <w:tab w:val="num" w:pos="851"/>
      </w:tabs>
      <w:suppressAutoHyphens/>
      <w:autoSpaceDE w:val="0"/>
      <w:autoSpaceDN w:val="0"/>
      <w:adjustRightInd w:val="0"/>
      <w:spacing w:before="100" w:after="280" w:line="320" w:lineRule="atLeast"/>
      <w:ind w:left="851" w:right="720" w:hanging="284"/>
      <w:textAlignment w:val="center"/>
    </w:pPr>
    <w:rPr>
      <w:rFonts w:ascii="FrutigerLTStd-Light" w:hAnsi="FrutigerLTStd-Light"/>
      <w:i/>
      <w:sz w:val="24"/>
    </w:rPr>
  </w:style>
  <w:style w:type="paragraph" w:customStyle="1" w:styleId="Section2numbered">
    <w:name w:val="Section 2 numbered"/>
    <w:pPr>
      <w:tabs>
        <w:tab w:val="num" w:pos="1492"/>
      </w:tabs>
      <w:spacing w:after="227"/>
      <w:ind w:left="1492" w:hanging="360"/>
    </w:pPr>
    <w:rPr>
      <w:rFonts w:ascii="FrutigerLTStd-Light" w:hAnsi="FrutigerLTStd-Light"/>
      <w:color w:val="000000"/>
      <w:sz w:val="24"/>
      <w:lang w:val="en-GB" w:eastAsia="ko-KR"/>
    </w:rPr>
  </w:style>
  <w:style w:type="character" w:customStyle="1" w:styleId="Boldtext">
    <w:name w:val="Bold text"/>
    <w:rPr>
      <w:rFonts w:ascii="FrutigerLTStd-Bold" w:hAnsi="FrutigerLTStd-Bold" w:cs="Verdana"/>
      <w:b/>
      <w:bCs/>
    </w:rPr>
  </w:style>
  <w:style w:type="paragraph" w:customStyle="1" w:styleId="Section3numbered">
    <w:name w:val="Section 3 numbered"/>
    <w:pPr>
      <w:numPr>
        <w:numId w:val="30"/>
      </w:numPr>
      <w:tabs>
        <w:tab w:val="clear" w:pos="720"/>
        <w:tab w:val="num" w:pos="680"/>
      </w:tabs>
      <w:spacing w:after="227"/>
      <w:ind w:left="680" w:hanging="680"/>
    </w:pPr>
    <w:rPr>
      <w:rFonts w:ascii="FrutigerLTStd-Light" w:hAnsi="FrutigerLTStd-Light"/>
      <w:color w:val="000000"/>
      <w:sz w:val="24"/>
      <w:lang w:val="en-GB" w:eastAsia="ko-KR"/>
    </w:rPr>
  </w:style>
  <w:style w:type="paragraph" w:customStyle="1" w:styleId="Section6numbered">
    <w:name w:val="Section 6 numbered"/>
    <w:pPr>
      <w:tabs>
        <w:tab w:val="num" w:pos="0"/>
      </w:tabs>
      <w:spacing w:after="227"/>
      <w:ind w:left="578"/>
    </w:pPr>
    <w:rPr>
      <w:rFonts w:ascii="FrutigerLTStd-Light" w:hAnsi="FrutigerLTStd-Light"/>
      <w:color w:val="000000"/>
      <w:sz w:val="24"/>
      <w:lang w:val="en-GB" w:eastAsia="ko-KR"/>
    </w:rPr>
  </w:style>
  <w:style w:type="paragraph" w:customStyle="1" w:styleId="BasicParagraph">
    <w:name w:val="[Basic Paragraph]"/>
    <w:basedOn w:val="Normal"/>
    <w:pPr>
      <w:widowControl w:val="0"/>
      <w:numPr>
        <w:numId w:val="31"/>
      </w:numPr>
      <w:tabs>
        <w:tab w:val="clear" w:pos="720"/>
      </w:tabs>
      <w:autoSpaceDE w:val="0"/>
      <w:autoSpaceDN w:val="0"/>
      <w:adjustRightInd w:val="0"/>
      <w:spacing w:before="100" w:after="0" w:line="288" w:lineRule="auto"/>
      <w:ind w:left="0" w:right="720" w:firstLine="0"/>
      <w:textAlignment w:val="center"/>
    </w:pPr>
    <w:rPr>
      <w:rFonts w:ascii="Times-Roman" w:hAnsi="Times-Roman"/>
      <w:i/>
      <w:sz w:val="24"/>
      <w:lang w:val="en-US"/>
    </w:rPr>
  </w:style>
  <w:style w:type="character" w:customStyle="1" w:styleId="t1">
    <w:name w:val="t1"/>
    <w:basedOn w:val="DefaultParagraphFont"/>
  </w:style>
  <w:style w:type="paragraph" w:customStyle="1" w:styleId="Bulletstechnologytable">
    <w:name w:val="Bullets technology table"/>
    <w:basedOn w:val="BulletsinTable"/>
    <w:qFormat/>
    <w:pPr>
      <w:ind w:left="175" w:hanging="142"/>
    </w:pPr>
  </w:style>
  <w:style w:type="paragraph" w:customStyle="1" w:styleId="Recommendationsnumbered">
    <w:name w:val="Recommendations numbered"/>
    <w:basedOn w:val="Bulletsnumbered"/>
    <w:qFormat/>
    <w:pPr>
      <w:ind w:left="1134" w:hanging="425"/>
    </w:pPr>
  </w:style>
  <w:style w:type="paragraph" w:customStyle="1" w:styleId="wbtbullet1">
    <w:name w:val="wbtbullet1"/>
    <w:basedOn w:val="Normal"/>
    <w:pPr>
      <w:spacing w:before="100" w:after="0"/>
      <w:ind w:right="720"/>
      <w:jc w:val="both"/>
    </w:pPr>
    <w:rPr>
      <w:rFonts w:ascii="Verdana" w:hAnsi="Verdana"/>
      <w:i/>
      <w:color w:val="auto"/>
      <w:sz w:val="16"/>
    </w:rPr>
  </w:style>
  <w:style w:type="paragraph" w:customStyle="1" w:styleId="Box">
    <w:name w:val="Box"/>
    <w:basedOn w:val="BodyText"/>
    <w:qFormat/>
    <w:pPr>
      <w:numPr>
        <w:ilvl w:val="1"/>
        <w:numId w:val="7"/>
      </w:numPr>
      <w:pBdr>
        <w:top w:val="single" w:sz="4" w:space="1" w:color="auto"/>
        <w:left w:val="single" w:sz="4" w:space="4" w:color="auto"/>
        <w:bottom w:val="single" w:sz="4" w:space="1" w:color="auto"/>
        <w:right w:val="single" w:sz="4" w:space="4" w:color="auto"/>
      </w:pBdr>
      <w:spacing w:before="100" w:after="0" w:line="240" w:lineRule="auto"/>
      <w:ind w:right="720"/>
    </w:pPr>
    <w:rPr>
      <w:rFonts w:ascii="Calibri" w:hAnsi="Calibri"/>
      <w:i/>
      <w:color w:val="auto"/>
      <w:spacing w:val="-2"/>
      <w:sz w:val="18"/>
      <w:lang w:val="en-US"/>
    </w:rPr>
  </w:style>
  <w:style w:type="character" w:customStyle="1" w:styleId="content1">
    <w:name w:val="content1"/>
    <w:rPr>
      <w:rFonts w:ascii="Trebuchet MS" w:hAnsi="Trebuchet MS" w:hint="default"/>
      <w:color w:val="292929"/>
      <w:sz w:val="18"/>
      <w:szCs w:val="18"/>
    </w:rPr>
  </w:style>
  <w:style w:type="character" w:customStyle="1" w:styleId="smbody1">
    <w:name w:val="smbody1"/>
    <w:rPr>
      <w:rFonts w:ascii="Verdana" w:hAnsi="Verdana" w:hint="default"/>
      <w:color w:val="333333"/>
      <w:sz w:val="15"/>
      <w:szCs w:val="15"/>
    </w:rPr>
  </w:style>
  <w:style w:type="paragraph" w:customStyle="1" w:styleId="Text0">
    <w:name w:val="Text"/>
    <w:basedOn w:val="Normal"/>
    <w:pPr>
      <w:spacing w:before="100" w:after="0"/>
      <w:ind w:right="720"/>
      <w:jc w:val="both"/>
    </w:pPr>
    <w:rPr>
      <w:rFonts w:ascii="Arial" w:hAnsi="Arial"/>
      <w:i/>
      <w:color w:val="auto"/>
      <w:sz w:val="18"/>
      <w:lang w:val="en-US"/>
    </w:rPr>
  </w:style>
  <w:style w:type="paragraph" w:customStyle="1" w:styleId="SimonUberschrift">
    <w:name w:val="Simon Uberschrift"/>
    <w:basedOn w:val="Heading3"/>
    <w:next w:val="Heading1"/>
    <w:pPr>
      <w:keepLines w:val="0"/>
      <w:numPr>
        <w:ilvl w:val="2"/>
        <w:numId w:val="1"/>
      </w:numPr>
      <w:tabs>
        <w:tab w:val="num" w:pos="1800"/>
      </w:tabs>
      <w:spacing w:before="240"/>
      <w:ind w:left="1440" w:firstLine="0"/>
    </w:pPr>
    <w:rPr>
      <w:b w:val="0"/>
      <w:i w:val="0"/>
      <w:snapToGrid/>
    </w:rPr>
  </w:style>
  <w:style w:type="character" w:customStyle="1" w:styleId="TitleChar">
    <w:name w:val="Title Char"/>
    <w:rPr>
      <w:rFonts w:ascii="Arial" w:eastAsia="Times New Roman" w:hAnsi="Arial" w:cs="Arial"/>
      <w:b/>
      <w:bCs/>
      <w:kern w:val="28"/>
      <w:sz w:val="28"/>
      <w:szCs w:val="32"/>
      <w:lang w:eastAsia="en-U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after="100"/>
      <w:ind w:right="720"/>
      <w:jc w:val="both"/>
      <w:textAlignment w:val="top"/>
    </w:pPr>
    <w:rPr>
      <w:rFonts w:ascii="Arial" w:eastAsia="Arial Unicode MS" w:hAnsi="Arial"/>
      <w:i/>
      <w:color w:val="auto"/>
      <w:sz w:val="18"/>
      <w:lang w:val="en-US"/>
    </w:rPr>
  </w:style>
  <w:style w:type="character" w:customStyle="1" w:styleId="BodyText3Char">
    <w:name w:val="Body Text 3 Char"/>
    <w:rPr>
      <w:rFonts w:ascii="Arial" w:eastAsia="Times New Roman" w:hAnsi="Arial" w:cs="Times New Roman"/>
      <w:sz w:val="16"/>
      <w:szCs w:val="16"/>
      <w:lang w:eastAsia="en-US"/>
    </w:rPr>
  </w:style>
  <w:style w:type="paragraph" w:customStyle="1" w:styleId="TablesinAnnexlandscape">
    <w:name w:val="Tables in Annex landscape"/>
    <w:basedOn w:val="Table"/>
    <w:qFormat/>
    <w:pPr>
      <w:keepLines w:val="0"/>
      <w:spacing w:before="120" w:after="120"/>
      <w:ind w:left="709" w:right="720"/>
    </w:pPr>
    <w:rPr>
      <w:b/>
      <w:i/>
      <w:snapToGrid/>
    </w:rPr>
  </w:style>
  <w:style w:type="paragraph" w:customStyle="1" w:styleId="Tablefootnote">
    <w:name w:val="Table footnote"/>
    <w:basedOn w:val="Normal"/>
    <w:qFormat/>
    <w:pPr>
      <w:tabs>
        <w:tab w:val="left" w:pos="3000"/>
      </w:tabs>
      <w:spacing w:before="100" w:after="0"/>
      <w:ind w:left="709" w:right="720"/>
    </w:pPr>
    <w:rPr>
      <w:i/>
      <w:color w:val="auto"/>
      <w:sz w:val="18"/>
    </w:rPr>
  </w:style>
  <w:style w:type="paragraph" w:customStyle="1" w:styleId="TableinfrontwithmeandKJ">
    <w:name w:val="Table in front with me and KJ"/>
    <w:basedOn w:val="Normal"/>
    <w:qFormat/>
    <w:pPr>
      <w:spacing w:before="60" w:after="60"/>
      <w:ind w:right="720"/>
    </w:pPr>
    <w:rPr>
      <w:i/>
      <w:color w:val="auto"/>
      <w:sz w:val="18"/>
    </w:rPr>
  </w:style>
  <w:style w:type="paragraph" w:customStyle="1" w:styleId="ParaindentItalicsubheader">
    <w:name w:val="Para indent Italic subheader"/>
    <w:basedOn w:val="Paraindent"/>
    <w:qFormat/>
    <w:rPr>
      <w:i w:val="0"/>
    </w:rPr>
  </w:style>
  <w:style w:type="paragraph" w:customStyle="1" w:styleId="Paratextintable">
    <w:name w:val="Para text in table"/>
    <w:basedOn w:val="Normal"/>
    <w:qFormat/>
    <w:pPr>
      <w:spacing w:before="120" w:after="120"/>
      <w:ind w:right="720"/>
    </w:pPr>
    <w:rPr>
      <w:color w:val="auto"/>
      <w:sz w:val="18"/>
      <w:lang w:val="en-US"/>
    </w:rPr>
  </w:style>
  <w:style w:type="paragraph" w:customStyle="1" w:styleId="Bulletsnumberedintable">
    <w:name w:val="Bullets numbered in table"/>
    <w:basedOn w:val="ListParagraph1"/>
    <w:qFormat/>
    <w:pPr>
      <w:numPr>
        <w:numId w:val="10"/>
      </w:numPr>
      <w:spacing w:before="100" w:after="0"/>
      <w:ind w:right="720"/>
      <w:jc w:val="left"/>
    </w:pPr>
    <w:rPr>
      <w:rFonts w:ascii="Times New Roman" w:eastAsia="Times New Roman" w:hAnsi="Times New Roman"/>
      <w:i/>
      <w:sz w:val="18"/>
      <w:lang w:val="en-US"/>
    </w:rPr>
  </w:style>
  <w:style w:type="paragraph" w:customStyle="1" w:styleId="Paranumbered">
    <w:name w:val="Para numbered"/>
    <w:basedOn w:val="ListParagraph1"/>
    <w:qFormat/>
    <w:pPr>
      <w:numPr>
        <w:numId w:val="11"/>
      </w:numPr>
      <w:spacing w:before="120" w:after="120"/>
      <w:ind w:left="709" w:right="720" w:hanging="709"/>
      <w:jc w:val="left"/>
    </w:pPr>
    <w:rPr>
      <w:rFonts w:ascii="Times New Roman" w:eastAsia="Times New Roman" w:hAnsi="Times New Roman"/>
      <w:i/>
      <w:sz w:val="18"/>
      <w:lang w:val="en-US"/>
    </w:rPr>
  </w:style>
  <w:style w:type="paragraph" w:customStyle="1" w:styleId="Bulletsubindent">
    <w:name w:val="Bullet sub indent"/>
    <w:basedOn w:val="ListParagraph1"/>
    <w:qFormat/>
    <w:pPr>
      <w:numPr>
        <w:numId w:val="0"/>
      </w:numPr>
      <w:autoSpaceDE w:val="0"/>
      <w:autoSpaceDN w:val="0"/>
      <w:adjustRightInd w:val="0"/>
      <w:ind w:left="1985" w:right="720" w:hanging="360"/>
      <w:jc w:val="left"/>
    </w:pPr>
    <w:rPr>
      <w:rFonts w:ascii="Times New Roman" w:eastAsia="Times New Roman" w:hAnsi="Times New Roman"/>
      <w:i/>
      <w:color w:val="000000"/>
      <w:lang w:val="en"/>
    </w:rPr>
  </w:style>
  <w:style w:type="paragraph" w:customStyle="1" w:styleId="TableandFigureVol1">
    <w:name w:val="Table and Figure Vol 1"/>
    <w:basedOn w:val="Caption"/>
    <w:qFormat/>
    <w:pPr>
      <w:keepNext/>
      <w:spacing w:before="100" w:after="120" w:line="240" w:lineRule="auto"/>
      <w:ind w:left="709" w:right="720"/>
      <w:jc w:val="both"/>
    </w:pPr>
    <w:rPr>
      <w:rFonts w:ascii="Calibri" w:hAnsi="Calibri"/>
      <w:b/>
      <w:color w:val="auto"/>
      <w:sz w:val="20"/>
    </w:rPr>
  </w:style>
  <w:style w:type="paragraph" w:customStyle="1" w:styleId="GEFChar">
    <w:name w:val="GEF Char"/>
    <w:basedOn w:val="Normal"/>
    <w:pPr>
      <w:numPr>
        <w:numId w:val="33"/>
      </w:numPr>
      <w:spacing w:before="180" w:after="0" w:line="250" w:lineRule="exact"/>
      <w:ind w:left="0" w:right="720" w:firstLine="0"/>
      <w:jc w:val="both"/>
    </w:pPr>
    <w:rPr>
      <w:i/>
      <w:color w:val="auto"/>
      <w:sz w:val="20"/>
    </w:rPr>
  </w:style>
  <w:style w:type="character" w:customStyle="1" w:styleId="ft">
    <w:name w:val="ft"/>
  </w:style>
  <w:style w:type="character" w:customStyle="1" w:styleId="googqs-tidbit-0">
    <w:name w:val="goog_qs-tidbit-0"/>
    <w:basedOn w:val="DefaultParagraphFont"/>
  </w:style>
  <w:style w:type="character" w:customStyle="1" w:styleId="style81">
    <w:name w:val="style81"/>
    <w:rPr>
      <w:rFonts w:ascii="Verdana" w:hAnsi="Verdana" w:hint="default"/>
      <w:color w:val="008000"/>
      <w:sz w:val="27"/>
      <w:szCs w:val="27"/>
    </w:rPr>
  </w:style>
  <w:style w:type="character" w:customStyle="1" w:styleId="A6">
    <w:name w:val="A6"/>
    <w:uiPriority w:val="99"/>
    <w:rPr>
      <w:rFonts w:cs="Georgia"/>
      <w:color w:val="000000"/>
      <w:sz w:val="20"/>
      <w:szCs w:val="20"/>
    </w:rPr>
  </w:style>
  <w:style w:type="character" w:customStyle="1" w:styleId="googqs-tidbit1">
    <w:name w:val="goog_qs-tidbit1"/>
    <w:rPr>
      <w:vanish w:val="0"/>
      <w:webHidden w:val="0"/>
      <w:specVanish w:val="0"/>
    </w:rPr>
  </w:style>
  <w:style w:type="paragraph" w:customStyle="1" w:styleId="bodytext0">
    <w:name w:val="bodytext"/>
    <w:basedOn w:val="Normal"/>
    <w:pPr>
      <w:spacing w:before="100" w:after="100"/>
      <w:ind w:right="720"/>
    </w:pPr>
    <w:rPr>
      <w:i/>
      <w:color w:val="auto"/>
      <w:sz w:val="24"/>
    </w:rPr>
  </w:style>
  <w:style w:type="paragraph" w:customStyle="1" w:styleId="MeetingInfo">
    <w:name w:val="MeetingInfo"/>
    <w:basedOn w:val="Normal"/>
    <w:pPr>
      <w:pBdr>
        <w:top w:val="single" w:sz="12" w:space="6" w:color="auto"/>
        <w:left w:val="single" w:sz="12" w:space="6" w:color="auto"/>
        <w:bottom w:val="single" w:sz="12" w:space="6" w:color="auto"/>
        <w:right w:val="single" w:sz="12" w:space="6" w:color="auto"/>
      </w:pBdr>
      <w:spacing w:before="120" w:after="120"/>
      <w:ind w:right="720"/>
      <w:jc w:val="center"/>
    </w:pPr>
    <w:rPr>
      <w:b/>
      <w:i/>
      <w:noProof/>
      <w:color w:val="auto"/>
      <w:sz w:val="28"/>
    </w:rPr>
  </w:style>
  <w:style w:type="paragraph" w:customStyle="1" w:styleId="BlankLine">
    <w:name w:val="BlankLine"/>
    <w:basedOn w:val="Normal"/>
    <w:next w:val="Normal"/>
    <w:pPr>
      <w:numPr>
        <w:numId w:val="13"/>
      </w:numPr>
      <w:spacing w:before="100" w:after="0"/>
      <w:ind w:right="720"/>
    </w:pPr>
    <w:rPr>
      <w:i/>
      <w:noProof/>
      <w:color w:val="auto"/>
      <w:sz w:val="18"/>
    </w:rPr>
  </w:style>
  <w:style w:type="character" w:customStyle="1" w:styleId="Bold">
    <w:name w:val="Bold"/>
    <w:rPr>
      <w:b/>
    </w:rPr>
  </w:style>
  <w:style w:type="character" w:customStyle="1" w:styleId="BoldItalic">
    <w:name w:val="Bold Italic"/>
    <w:rPr>
      <w:b/>
      <w:i/>
    </w:rPr>
  </w:style>
  <w:style w:type="character" w:customStyle="1" w:styleId="BoldItalicUnderline">
    <w:name w:val="Bold Italic Underline"/>
    <w:rPr>
      <w:b/>
      <w:i/>
      <w:u w:val="single"/>
    </w:rPr>
  </w:style>
  <w:style w:type="character" w:customStyle="1" w:styleId="BoldUnderline">
    <w:name w:val="Bold Underline"/>
    <w:rPr>
      <w:b/>
      <w:u w:val="single"/>
    </w:rPr>
  </w:style>
  <w:style w:type="paragraph" w:customStyle="1" w:styleId="BoxText">
    <w:name w:val="Box Text"/>
    <w:basedOn w:val="BoxNewPara"/>
    <w:pPr>
      <w:tabs>
        <w:tab w:val="clear" w:pos="425"/>
        <w:tab w:val="left" w:pos="426"/>
      </w:tabs>
    </w:pPr>
  </w:style>
  <w:style w:type="paragraph" w:customStyle="1" w:styleId="BoxNewPara">
    <w:name w:val="Box NewPara"/>
    <w:basedOn w:val="Normal"/>
    <w:next w:val="Normal"/>
    <w:pPr>
      <w:pBdr>
        <w:left w:val="single" w:sz="6" w:space="1" w:color="auto"/>
        <w:right w:val="single" w:sz="6" w:space="1" w:color="auto"/>
      </w:pBdr>
      <w:shd w:val="pct10" w:color="auto" w:fill="auto"/>
      <w:tabs>
        <w:tab w:val="left" w:pos="425"/>
        <w:tab w:val="num" w:pos="720"/>
      </w:tabs>
      <w:spacing w:before="100" w:after="0"/>
      <w:ind w:left="720" w:right="720" w:hanging="360"/>
      <w:jc w:val="both"/>
    </w:pPr>
    <w:rPr>
      <w:i/>
      <w:noProof/>
      <w:color w:val="auto"/>
      <w:sz w:val="20"/>
    </w:rPr>
  </w:style>
  <w:style w:type="paragraph" w:customStyle="1" w:styleId="FigureCaption">
    <w:name w:val="Figure Caption"/>
    <w:basedOn w:val="Normal"/>
    <w:pPr>
      <w:spacing w:before="120" w:after="0"/>
      <w:ind w:right="720"/>
    </w:pPr>
    <w:rPr>
      <w:noProof/>
      <w:color w:val="auto"/>
      <w:sz w:val="18"/>
    </w:rPr>
  </w:style>
  <w:style w:type="paragraph" w:customStyle="1" w:styleId="BoxNote">
    <w:name w:val="Box Note"/>
    <w:basedOn w:val="Normal"/>
    <w:next w:val="Normal"/>
    <w:pPr>
      <w:pBdr>
        <w:left w:val="single" w:sz="6" w:space="1" w:color="auto"/>
        <w:right w:val="single" w:sz="6" w:space="1" w:color="auto"/>
      </w:pBdr>
      <w:shd w:val="pct10" w:color="auto" w:fill="auto"/>
      <w:suppressAutoHyphens/>
      <w:spacing w:before="100" w:after="0"/>
      <w:ind w:right="720"/>
      <w:jc w:val="both"/>
    </w:pPr>
    <w:rPr>
      <w:noProof/>
      <w:color w:val="auto"/>
      <w:sz w:val="20"/>
    </w:rPr>
  </w:style>
  <w:style w:type="paragraph" w:customStyle="1" w:styleId="NewPara">
    <w:name w:val="NewPara"/>
    <w:basedOn w:val="Normal"/>
    <w:next w:val="Normal"/>
    <w:pPr>
      <w:numPr>
        <w:numId w:val="35"/>
      </w:numPr>
      <w:tabs>
        <w:tab w:val="clear" w:pos="720"/>
        <w:tab w:val="left" w:pos="709"/>
      </w:tabs>
      <w:spacing w:before="160" w:after="20"/>
      <w:ind w:left="0" w:right="720" w:firstLine="0"/>
    </w:pPr>
    <w:rPr>
      <w:i/>
      <w:noProof/>
      <w:color w:val="auto"/>
      <w:sz w:val="18"/>
    </w:rPr>
  </w:style>
  <w:style w:type="paragraph" w:customStyle="1" w:styleId="BoxParaTitle">
    <w:name w:val="Box ParaTitle"/>
    <w:basedOn w:val="BoxNote"/>
    <w:rPr>
      <w:b/>
      <w:i/>
    </w:rPr>
  </w:style>
  <w:style w:type="paragraph" w:customStyle="1" w:styleId="BoxRandList1">
    <w:name w:val="Box RandList 1"/>
    <w:basedOn w:val="Normal"/>
    <w:pPr>
      <w:numPr>
        <w:numId w:val="15"/>
      </w:numPr>
      <w:pBdr>
        <w:left w:val="single" w:sz="6" w:space="10" w:color="auto"/>
        <w:right w:val="single" w:sz="6" w:space="10" w:color="auto"/>
      </w:pBdr>
      <w:shd w:val="pct10" w:color="auto" w:fill="auto"/>
      <w:tabs>
        <w:tab w:val="left" w:pos="437"/>
      </w:tabs>
      <w:spacing w:before="100" w:after="0" w:line="360" w:lineRule="auto"/>
      <w:ind w:left="437" w:right="181" w:hanging="256"/>
      <w:jc w:val="both"/>
    </w:pPr>
    <w:rPr>
      <w:i/>
      <w:noProof/>
      <w:color w:val="auto"/>
      <w:sz w:val="20"/>
    </w:rPr>
  </w:style>
  <w:style w:type="paragraph" w:customStyle="1" w:styleId="RandListLev1">
    <w:name w:val="Rand List Lev1"/>
    <w:basedOn w:val="Normal"/>
    <w:pPr>
      <w:numPr>
        <w:numId w:val="12"/>
      </w:numPr>
      <w:tabs>
        <w:tab w:val="left" w:pos="754"/>
      </w:tabs>
      <w:spacing w:before="100" w:after="0"/>
      <w:ind w:left="754" w:right="720" w:hanging="357"/>
    </w:pPr>
    <w:rPr>
      <w:i/>
      <w:noProof/>
      <w:color w:val="auto"/>
      <w:sz w:val="18"/>
    </w:rPr>
  </w:style>
  <w:style w:type="paragraph" w:customStyle="1" w:styleId="BoxRandList2">
    <w:name w:val="Box RandList 2"/>
    <w:basedOn w:val="BoxRandList1"/>
    <w:pPr>
      <w:pBdr>
        <w:left w:val="single" w:sz="6" w:space="20" w:color="auto"/>
        <w:right w:val="single" w:sz="6" w:space="20" w:color="auto"/>
      </w:pBdr>
      <w:tabs>
        <w:tab w:val="left" w:pos="635"/>
      </w:tabs>
      <w:ind w:left="635" w:right="380" w:hanging="255"/>
    </w:pPr>
  </w:style>
  <w:style w:type="paragraph" w:customStyle="1" w:styleId="BoxRandList3">
    <w:name w:val="Box RandList 3"/>
    <w:basedOn w:val="BoxRandList2"/>
    <w:pPr>
      <w:pBdr>
        <w:left w:val="single" w:sz="6" w:space="29" w:color="auto"/>
        <w:right w:val="single" w:sz="6" w:space="30" w:color="auto"/>
      </w:pBdr>
      <w:tabs>
        <w:tab w:val="left" w:pos="816"/>
      </w:tabs>
      <w:ind w:left="816" w:right="584"/>
    </w:pPr>
  </w:style>
  <w:style w:type="paragraph" w:customStyle="1" w:styleId="BoxSeqList1">
    <w:name w:val="Box SeqList 1"/>
    <w:basedOn w:val="Normal"/>
    <w:pPr>
      <w:numPr>
        <w:numId w:val="36"/>
      </w:numPr>
      <w:pBdr>
        <w:left w:val="single" w:sz="6" w:space="8" w:color="auto"/>
        <w:right w:val="single" w:sz="6" w:space="10" w:color="auto"/>
      </w:pBdr>
      <w:shd w:val="pct10" w:color="auto" w:fill="auto"/>
      <w:tabs>
        <w:tab w:val="num" w:pos="567"/>
      </w:tabs>
      <w:spacing w:before="100" w:after="0" w:line="360" w:lineRule="auto"/>
      <w:ind w:left="567" w:right="181" w:hanging="425"/>
      <w:jc w:val="both"/>
    </w:pPr>
    <w:rPr>
      <w:i/>
      <w:noProof/>
      <w:color w:val="auto"/>
      <w:sz w:val="20"/>
    </w:rPr>
  </w:style>
  <w:style w:type="paragraph" w:customStyle="1" w:styleId="BoxSeqList3">
    <w:name w:val="Box SeqList 3"/>
    <w:basedOn w:val="BoxSeqList2"/>
    <w:pPr>
      <w:numPr>
        <w:ilvl w:val="0"/>
        <w:numId w:val="34"/>
      </w:numPr>
      <w:pBdr>
        <w:left w:val="single" w:sz="6" w:space="30" w:color="auto"/>
        <w:right w:val="single" w:sz="6" w:space="30" w:color="auto"/>
      </w:pBdr>
      <w:tabs>
        <w:tab w:val="clear" w:pos="720"/>
        <w:tab w:val="num" w:pos="1009"/>
      </w:tabs>
      <w:ind w:left="1009" w:right="584" w:hanging="425"/>
    </w:pPr>
  </w:style>
  <w:style w:type="paragraph" w:customStyle="1" w:styleId="BoxSeqList2">
    <w:name w:val="Box SeqList 2"/>
    <w:basedOn w:val="BoxSeqList1"/>
    <w:pPr>
      <w:numPr>
        <w:ilvl w:val="2"/>
        <w:numId w:val="14"/>
      </w:numPr>
      <w:pBdr>
        <w:left w:val="single" w:sz="6" w:space="20" w:color="auto"/>
      </w:pBdr>
      <w:tabs>
        <w:tab w:val="clear" w:pos="2160"/>
      </w:tabs>
      <w:ind w:hanging="360"/>
    </w:pPr>
  </w:style>
  <w:style w:type="paragraph" w:customStyle="1" w:styleId="TableTitle">
    <w:name w:val="Table Title"/>
    <w:basedOn w:val="Normal"/>
    <w:pPr>
      <w:keepNext/>
      <w:spacing w:before="120" w:after="0"/>
      <w:ind w:right="720"/>
    </w:pPr>
    <w:rPr>
      <w:b/>
      <w:i/>
      <w:noProof/>
      <w:color w:val="auto"/>
      <w:sz w:val="18"/>
    </w:rPr>
  </w:style>
  <w:style w:type="paragraph" w:customStyle="1" w:styleId="TableEntry">
    <w:name w:val="TableEntry"/>
    <w:basedOn w:val="Normal"/>
    <w:pPr>
      <w:numPr>
        <w:ilvl w:val="1"/>
        <w:numId w:val="35"/>
      </w:numPr>
      <w:spacing w:before="80" w:after="0"/>
      <w:ind w:left="0" w:right="720" w:firstLine="0"/>
    </w:pPr>
    <w:rPr>
      <w:i/>
      <w:noProof/>
      <w:color w:val="auto"/>
      <w:sz w:val="18"/>
    </w:rPr>
  </w:style>
  <w:style w:type="paragraph" w:customStyle="1" w:styleId="BoxTitle">
    <w:name w:val="Box Title"/>
    <w:basedOn w:val="Normal"/>
    <w:next w:val="BoxText"/>
    <w:pPr>
      <w:numPr>
        <w:ilvl w:val="3"/>
        <w:numId w:val="35"/>
      </w:numPr>
      <w:pBdr>
        <w:top w:val="single" w:sz="6" w:space="7" w:color="auto"/>
        <w:left w:val="single" w:sz="6" w:space="7" w:color="auto"/>
        <w:right w:val="single" w:sz="6" w:space="7" w:color="auto"/>
      </w:pBdr>
      <w:shd w:val="pct10" w:color="auto" w:fill="auto"/>
      <w:spacing w:before="120" w:after="0" w:line="360" w:lineRule="auto"/>
      <w:ind w:left="119" w:right="119" w:firstLine="0"/>
      <w:jc w:val="center"/>
    </w:pPr>
    <w:rPr>
      <w:b/>
      <w:noProof/>
      <w:color w:val="auto"/>
      <w:sz w:val="20"/>
    </w:rPr>
  </w:style>
  <w:style w:type="character" w:customStyle="1" w:styleId="Chart">
    <w:name w:val="Chart"/>
    <w:basedOn w:val="DefaultParagraphFont"/>
  </w:style>
  <w:style w:type="paragraph" w:customStyle="1" w:styleId="RandListLev2">
    <w:name w:val="Rand List Lev2"/>
    <w:basedOn w:val="RandListLev1"/>
    <w:pPr>
      <w:tabs>
        <w:tab w:val="clear" w:pos="754"/>
        <w:tab w:val="left" w:pos="1134"/>
      </w:tabs>
      <w:ind w:left="1134"/>
    </w:pPr>
  </w:style>
  <w:style w:type="paragraph" w:customStyle="1" w:styleId="RandListLev3">
    <w:name w:val="Rand List Lev3"/>
    <w:basedOn w:val="RandListLev2"/>
    <w:pPr>
      <w:tabs>
        <w:tab w:val="clear" w:pos="1134"/>
        <w:tab w:val="left" w:pos="1559"/>
      </w:tabs>
      <w:ind w:left="1559"/>
    </w:pPr>
  </w:style>
  <w:style w:type="paragraph" w:customStyle="1" w:styleId="RandListLev4">
    <w:name w:val="Rand List Lev4"/>
    <w:basedOn w:val="RandListLev3"/>
    <w:pPr>
      <w:tabs>
        <w:tab w:val="clear" w:pos="1559"/>
        <w:tab w:val="left" w:pos="1984"/>
      </w:tabs>
      <w:ind w:left="1984"/>
    </w:pPr>
  </w:style>
  <w:style w:type="paragraph" w:customStyle="1" w:styleId="DefListHeader">
    <w:name w:val="Def List Header"/>
    <w:basedOn w:val="Normal"/>
    <w:next w:val="Normal"/>
    <w:pPr>
      <w:keepNext/>
      <w:tabs>
        <w:tab w:val="left" w:pos="2835"/>
      </w:tabs>
      <w:spacing w:before="120" w:after="0"/>
      <w:ind w:right="720"/>
    </w:pPr>
    <w:rPr>
      <w:b/>
      <w:i/>
      <w:caps/>
      <w:noProof/>
      <w:color w:val="auto"/>
      <w:sz w:val="28"/>
    </w:rPr>
  </w:style>
  <w:style w:type="paragraph" w:customStyle="1" w:styleId="DefinitionList">
    <w:name w:val="Definition List"/>
    <w:basedOn w:val="Normal"/>
    <w:next w:val="Normal"/>
    <w:pPr>
      <w:tabs>
        <w:tab w:val="left" w:pos="2835"/>
      </w:tabs>
      <w:spacing w:before="120" w:after="0"/>
      <w:ind w:left="2835" w:right="720" w:hanging="2835"/>
    </w:pPr>
    <w:rPr>
      <w:i/>
      <w:noProof/>
      <w:color w:val="auto"/>
      <w:sz w:val="18"/>
    </w:rPr>
  </w:style>
  <w:style w:type="paragraph" w:customStyle="1" w:styleId="DocTitle">
    <w:name w:val="DocTitle"/>
    <w:basedOn w:val="Normal"/>
    <w:next w:val="MeetingInfo"/>
    <w:pPr>
      <w:spacing w:before="120" w:after="480"/>
      <w:ind w:right="720"/>
      <w:jc w:val="center"/>
    </w:pPr>
    <w:rPr>
      <w:i/>
      <w:smallCaps/>
      <w:noProof/>
      <w:color w:val="808080"/>
      <w:sz w:val="56"/>
    </w:rPr>
  </w:style>
  <w:style w:type="paragraph" w:customStyle="1" w:styleId="EndBox">
    <w:name w:val="EndBox"/>
    <w:basedOn w:val="Normal"/>
    <w:next w:val="Normal"/>
    <w:pPr>
      <w:pBdr>
        <w:left w:val="single" w:sz="6" w:space="1" w:color="auto"/>
        <w:bottom w:val="single" w:sz="6" w:space="1" w:color="auto"/>
        <w:right w:val="single" w:sz="6" w:space="1" w:color="auto"/>
      </w:pBdr>
      <w:shd w:val="pct10" w:color="auto" w:fill="auto"/>
      <w:spacing w:before="100" w:after="0"/>
      <w:ind w:right="720"/>
    </w:pPr>
    <w:rPr>
      <w:i/>
      <w:noProof/>
      <w:color w:val="auto"/>
      <w:sz w:val="18"/>
    </w:rPr>
  </w:style>
  <w:style w:type="paragraph" w:customStyle="1" w:styleId="FigInfo-P">
    <w:name w:val="FigInfo-P"/>
    <w:basedOn w:val="Normal"/>
    <w:pPr>
      <w:spacing w:before="120" w:after="0"/>
      <w:ind w:right="720"/>
    </w:pPr>
    <w:rPr>
      <w:i/>
      <w:noProof/>
      <w:color w:val="auto"/>
      <w:sz w:val="18"/>
    </w:rPr>
  </w:style>
  <w:style w:type="paragraph" w:customStyle="1" w:styleId="FigureTitle">
    <w:name w:val="Figure Title"/>
    <w:basedOn w:val="Normal"/>
    <w:pPr>
      <w:keepNext/>
      <w:spacing w:before="120" w:after="0"/>
      <w:ind w:right="720"/>
    </w:pPr>
    <w:rPr>
      <w:b/>
      <w:noProof/>
      <w:color w:val="auto"/>
      <w:sz w:val="18"/>
    </w:rPr>
  </w:style>
  <w:style w:type="character" w:customStyle="1" w:styleId="Graph">
    <w:name w:val="Graph"/>
    <w:basedOn w:val="DefaultParagraphFont"/>
  </w:style>
  <w:style w:type="character" w:customStyle="1" w:styleId="Image">
    <w:name w:val="Image"/>
    <w:basedOn w:val="DefaultParagraphFont"/>
  </w:style>
  <w:style w:type="character" w:customStyle="1" w:styleId="ItalicUnderline">
    <w:name w:val="Italic Underline"/>
    <w:rPr>
      <w:i/>
      <w:u w:val="single"/>
    </w:rPr>
  </w:style>
  <w:style w:type="paragraph" w:customStyle="1" w:styleId="ListHeader">
    <w:name w:val="List Header"/>
    <w:basedOn w:val="Normal"/>
    <w:pPr>
      <w:keepNext/>
      <w:spacing w:before="120" w:after="0"/>
      <w:ind w:right="720"/>
    </w:pPr>
    <w:rPr>
      <w:i/>
      <w:noProof/>
      <w:color w:val="auto"/>
      <w:sz w:val="18"/>
    </w:rPr>
  </w:style>
  <w:style w:type="paragraph" w:customStyle="1" w:styleId="MeetInfo">
    <w:name w:val="MeetInfo"/>
    <w:basedOn w:val="Normal"/>
    <w:next w:val="Normal"/>
    <w:pPr>
      <w:tabs>
        <w:tab w:val="left" w:pos="426"/>
      </w:tabs>
      <w:spacing w:before="60" w:after="0"/>
      <w:ind w:right="720"/>
    </w:pPr>
    <w:rPr>
      <w:i/>
      <w:noProof/>
      <w:color w:val="auto"/>
      <w:sz w:val="18"/>
    </w:rPr>
  </w:style>
  <w:style w:type="paragraph" w:customStyle="1" w:styleId="SpacePara">
    <w:name w:val="SpacePara"/>
    <w:basedOn w:val="Normal"/>
    <w:next w:val="DocTitle"/>
    <w:pPr>
      <w:spacing w:before="100" w:after="0" w:line="480" w:lineRule="auto"/>
      <w:ind w:right="720"/>
    </w:pPr>
    <w:rPr>
      <w:i/>
      <w:noProof/>
      <w:color w:val="auto"/>
      <w:sz w:val="18"/>
    </w:rPr>
  </w:style>
  <w:style w:type="character" w:customStyle="1" w:styleId="NroPara">
    <w:name w:val="NroPara"/>
    <w:basedOn w:val="DefaultParagraphFont"/>
  </w:style>
  <w:style w:type="character" w:customStyle="1" w:styleId="NumBox">
    <w:name w:val="NumBox"/>
    <w:basedOn w:val="DefaultParagraphFont"/>
  </w:style>
  <w:style w:type="character" w:customStyle="1" w:styleId="NumFigure">
    <w:name w:val="NumFigure"/>
    <w:basedOn w:val="DefaultParagraphFont"/>
  </w:style>
  <w:style w:type="character" w:customStyle="1" w:styleId="NumTable">
    <w:name w:val="NumTable"/>
    <w:basedOn w:val="DefaultParagraphFont"/>
  </w:style>
  <w:style w:type="paragraph" w:customStyle="1" w:styleId="PgBrk">
    <w:name w:val="PgBrk"/>
    <w:basedOn w:val="Normal"/>
    <w:next w:val="Heading1"/>
    <w:pPr>
      <w:pageBreakBefore/>
      <w:spacing w:before="120" w:after="0" w:line="14" w:lineRule="exact"/>
      <w:ind w:right="720"/>
    </w:pPr>
    <w:rPr>
      <w:i/>
      <w:noProof/>
      <w:color w:val="auto"/>
      <w:sz w:val="18"/>
    </w:rPr>
  </w:style>
  <w:style w:type="paragraph" w:customStyle="1" w:styleId="StartBack">
    <w:name w:val="StartBack"/>
    <w:basedOn w:val="SpacePara"/>
    <w:next w:val="Normal"/>
  </w:style>
  <w:style w:type="paragraph" w:customStyle="1" w:styleId="StartBody">
    <w:name w:val="StartBody"/>
    <w:basedOn w:val="SpacePara"/>
    <w:next w:val="Normal"/>
  </w:style>
  <w:style w:type="paragraph" w:customStyle="1" w:styleId="TBL-COLMNhd">
    <w:name w:val="TBL-COLMNhd"/>
    <w:basedOn w:val="Normal"/>
    <w:pPr>
      <w:tabs>
        <w:tab w:val="left" w:pos="-720"/>
      </w:tabs>
      <w:suppressAutoHyphens/>
      <w:spacing w:before="60" w:after="20"/>
      <w:ind w:right="720"/>
      <w:jc w:val="center"/>
    </w:pPr>
    <w:rPr>
      <w:b/>
      <w:i/>
      <w:noProof/>
      <w:color w:val="auto"/>
      <w:sz w:val="18"/>
    </w:rPr>
  </w:style>
  <w:style w:type="character" w:customStyle="1" w:styleId="Term">
    <w:name w:val="Term"/>
    <w:rPr>
      <w:b/>
    </w:rPr>
  </w:style>
  <w:style w:type="character" w:customStyle="1" w:styleId="TermHeading">
    <w:name w:val="Term Heading"/>
    <w:rPr>
      <w:b/>
    </w:rPr>
  </w:style>
  <w:style w:type="paragraph" w:customStyle="1" w:styleId="TOCRef">
    <w:name w:val="TOCRef"/>
    <w:basedOn w:val="Normal"/>
    <w:next w:val="TOC1"/>
    <w:pPr>
      <w:spacing w:before="120" w:after="0" w:line="200" w:lineRule="exact"/>
      <w:ind w:right="720"/>
      <w:jc w:val="right"/>
    </w:pPr>
    <w:rPr>
      <w:i/>
      <w:noProof/>
      <w:color w:val="auto"/>
      <w:sz w:val="18"/>
    </w:rPr>
  </w:style>
  <w:style w:type="paragraph" w:customStyle="1" w:styleId="TOCTitle">
    <w:name w:val="TOCTitle"/>
    <w:basedOn w:val="Normal"/>
    <w:next w:val="TOCRef"/>
    <w:pPr>
      <w:pBdr>
        <w:top w:val="single" w:sz="6" w:space="5" w:color="auto"/>
        <w:bottom w:val="single" w:sz="6" w:space="5" w:color="auto"/>
      </w:pBdr>
      <w:spacing w:before="600" w:after="600" w:line="360" w:lineRule="auto"/>
      <w:ind w:left="-170" w:right="-170"/>
      <w:jc w:val="center"/>
    </w:pPr>
    <w:rPr>
      <w:b/>
      <w:i/>
      <w:noProof/>
      <w:color w:val="auto"/>
      <w:sz w:val="28"/>
    </w:rPr>
  </w:style>
  <w:style w:type="character" w:customStyle="1" w:styleId="Underline">
    <w:name w:val="Underline"/>
    <w:rPr>
      <w:u w:val="single"/>
    </w:rPr>
  </w:style>
  <w:style w:type="character" w:customStyle="1" w:styleId="XReference">
    <w:name w:val="XReference"/>
    <w:rPr>
      <w:color w:val="0000FF"/>
    </w:rPr>
  </w:style>
  <w:style w:type="paragraph" w:customStyle="1" w:styleId="Format1">
    <w:name w:val="Format1"/>
    <w:basedOn w:val="Normal"/>
    <w:pPr>
      <w:spacing w:before="60" w:after="0"/>
      <w:ind w:right="720"/>
    </w:pPr>
    <w:rPr>
      <w:rFonts w:ascii="Courier New" w:hAnsi="Courier New"/>
      <w:i/>
      <w:noProof/>
      <w:color w:val="auto"/>
      <w:sz w:val="18"/>
    </w:rPr>
  </w:style>
  <w:style w:type="paragraph" w:customStyle="1" w:styleId="Format2">
    <w:name w:val="Format2"/>
    <w:basedOn w:val="Normal"/>
    <w:pPr>
      <w:spacing w:before="60" w:after="0"/>
      <w:ind w:right="720"/>
    </w:pPr>
    <w:rPr>
      <w:rFonts w:ascii="Courier New" w:hAnsi="Courier New"/>
      <w:i/>
      <w:noProof/>
      <w:color w:val="auto"/>
      <w:sz w:val="16"/>
    </w:rPr>
  </w:style>
  <w:style w:type="paragraph" w:customStyle="1" w:styleId="RightJust">
    <w:name w:val="RightJust"/>
    <w:basedOn w:val="Normal"/>
    <w:pPr>
      <w:spacing w:before="120" w:after="0"/>
      <w:ind w:right="720"/>
      <w:jc w:val="right"/>
    </w:pPr>
    <w:rPr>
      <w:i/>
      <w:noProof/>
      <w:color w:val="auto"/>
      <w:sz w:val="18"/>
    </w:rPr>
  </w:style>
  <w:style w:type="paragraph" w:customStyle="1" w:styleId="BlockQuote">
    <w:name w:val="BlockQuote"/>
    <w:basedOn w:val="Normal"/>
    <w:pPr>
      <w:spacing w:before="60" w:after="0"/>
      <w:ind w:left="284" w:right="284"/>
    </w:pPr>
    <w:rPr>
      <w:noProof/>
      <w:color w:val="auto"/>
      <w:sz w:val="18"/>
    </w:rPr>
  </w:style>
  <w:style w:type="paragraph" w:customStyle="1" w:styleId="BoxBlankLine">
    <w:name w:val="Box BlankLine"/>
    <w:basedOn w:val="BlankLine"/>
    <w:next w:val="Normal"/>
    <w:pPr>
      <w:pBdr>
        <w:left w:val="single" w:sz="6" w:space="1" w:color="auto"/>
        <w:right w:val="single" w:sz="6" w:space="1" w:color="auto"/>
      </w:pBdr>
      <w:shd w:val="pct10" w:color="auto" w:fill="auto"/>
      <w:jc w:val="both"/>
    </w:pPr>
    <w:rPr>
      <w:sz w:val="20"/>
    </w:rPr>
  </w:style>
  <w:style w:type="paragraph" w:customStyle="1" w:styleId="BoxFigCaption">
    <w:name w:val="Box FigCaption"/>
    <w:basedOn w:val="Normal"/>
    <w:pPr>
      <w:shd w:val="pct10" w:color="auto" w:fill="auto"/>
      <w:spacing w:before="100" w:after="0"/>
      <w:ind w:right="720"/>
      <w:jc w:val="both"/>
    </w:pPr>
    <w:rPr>
      <w:noProof/>
      <w:color w:val="auto"/>
      <w:sz w:val="20"/>
    </w:rPr>
  </w:style>
  <w:style w:type="paragraph" w:customStyle="1" w:styleId="BoxTableTitle">
    <w:name w:val="Box Table Title"/>
    <w:basedOn w:val="Normal"/>
    <w:pPr>
      <w:keepNext/>
      <w:pBdr>
        <w:left w:val="single" w:sz="6" w:space="1" w:color="auto"/>
        <w:right w:val="single" w:sz="6" w:space="1" w:color="auto"/>
      </w:pBdr>
      <w:shd w:val="pct10" w:color="auto" w:fill="auto"/>
      <w:spacing w:before="120" w:after="0"/>
      <w:ind w:right="720"/>
      <w:jc w:val="both"/>
    </w:pPr>
    <w:rPr>
      <w:b/>
      <w:i/>
      <w:noProof/>
      <w:color w:val="auto"/>
      <w:sz w:val="20"/>
    </w:rPr>
  </w:style>
  <w:style w:type="paragraph" w:customStyle="1" w:styleId="BoxTblEntry">
    <w:name w:val="Box TblEntry"/>
    <w:basedOn w:val="Normal"/>
    <w:pPr>
      <w:shd w:val="pct10" w:color="auto" w:fill="auto"/>
      <w:spacing w:before="120" w:after="0"/>
      <w:ind w:right="720"/>
      <w:jc w:val="both"/>
    </w:pPr>
    <w:rPr>
      <w:i/>
      <w:noProof/>
      <w:color w:val="auto"/>
      <w:sz w:val="20"/>
    </w:rPr>
  </w:style>
  <w:style w:type="character" w:customStyle="1" w:styleId="BoxFigInfo-C">
    <w:name w:val="BoxFigInfo-C"/>
    <w:basedOn w:val="DefaultParagraphFont"/>
  </w:style>
  <w:style w:type="paragraph" w:customStyle="1" w:styleId="BoxFigInfo-P">
    <w:name w:val="BoxFigInfo-P"/>
    <w:basedOn w:val="BoxText"/>
  </w:style>
  <w:style w:type="paragraph" w:customStyle="1" w:styleId="BoxFigTitle">
    <w:name w:val="BoxFigTitle"/>
    <w:basedOn w:val="BoxFigCaption"/>
    <w:pPr>
      <w:keepNext/>
    </w:pPr>
    <w:rPr>
      <w:b/>
      <w:i/>
    </w:rPr>
  </w:style>
  <w:style w:type="paragraph" w:customStyle="1" w:styleId="BoxTblColHd">
    <w:name w:val="BoxTblColHd"/>
    <w:basedOn w:val="BoxTblEntry"/>
    <w:rPr>
      <w:b/>
    </w:rPr>
  </w:style>
  <w:style w:type="paragraph" w:customStyle="1" w:styleId="DashListLev1">
    <w:name w:val="Dash List Lev1"/>
    <w:basedOn w:val="Normal"/>
    <w:pPr>
      <w:tabs>
        <w:tab w:val="num" w:pos="720"/>
      </w:tabs>
      <w:spacing w:before="100" w:after="0"/>
      <w:ind w:left="720" w:right="720" w:hanging="360"/>
    </w:pPr>
    <w:rPr>
      <w:i/>
      <w:noProof/>
      <w:color w:val="auto"/>
      <w:sz w:val="18"/>
    </w:rPr>
  </w:style>
  <w:style w:type="paragraph" w:customStyle="1" w:styleId="DashListLev2">
    <w:name w:val="Dash List Lev2"/>
    <w:basedOn w:val="DashListLev1"/>
    <w:pPr>
      <w:numPr>
        <w:numId w:val="17"/>
      </w:numPr>
      <w:tabs>
        <w:tab w:val="num" w:pos="2892"/>
      </w:tabs>
      <w:ind w:left="981" w:hanging="357"/>
    </w:pPr>
  </w:style>
  <w:style w:type="paragraph" w:customStyle="1" w:styleId="DashListLev3">
    <w:name w:val="Dash List Lev3"/>
    <w:basedOn w:val="DashListLev2"/>
    <w:pPr>
      <w:numPr>
        <w:numId w:val="16"/>
      </w:numPr>
      <w:ind w:left="1208" w:hanging="357"/>
    </w:pPr>
  </w:style>
  <w:style w:type="paragraph" w:customStyle="1" w:styleId="DashListLev4">
    <w:name w:val="Dash List Lev4"/>
    <w:basedOn w:val="DashListLev3"/>
    <w:pPr>
      <w:numPr>
        <w:numId w:val="38"/>
      </w:numPr>
      <w:ind w:left="1434" w:hanging="357"/>
    </w:pPr>
  </w:style>
  <w:style w:type="paragraph" w:styleId="EndnoteText">
    <w:name w:val="endnote text"/>
    <w:basedOn w:val="Normal"/>
    <w:link w:val="EndnoteTextChar1"/>
    <w:semiHidden/>
    <w:pPr>
      <w:numPr>
        <w:numId w:val="37"/>
      </w:numPr>
      <w:spacing w:before="120" w:after="0"/>
      <w:ind w:left="0" w:right="720" w:firstLine="0"/>
    </w:pPr>
    <w:rPr>
      <w:i/>
      <w:noProof/>
      <w:color w:val="auto"/>
      <w:sz w:val="18"/>
    </w:rPr>
  </w:style>
  <w:style w:type="character" w:customStyle="1" w:styleId="EndnoteTextChar">
    <w:name w:val="Endnote Text Char"/>
    <w:uiPriority w:val="99"/>
    <w:semiHidden/>
    <w:rPr>
      <w:rFonts w:ascii="Times New Roman" w:eastAsia="Times New Roman" w:hAnsi="Times New Roman" w:cs="Times New Roman"/>
      <w:noProof/>
      <w:szCs w:val="20"/>
    </w:rPr>
  </w:style>
  <w:style w:type="character" w:customStyle="1" w:styleId="FigInfo-C">
    <w:name w:val="FigInfo-C"/>
    <w:basedOn w:val="DefaultParagraphFont"/>
  </w:style>
  <w:style w:type="paragraph" w:customStyle="1" w:styleId="ParaNote">
    <w:name w:val="Para Note"/>
    <w:basedOn w:val="Note"/>
    <w:pPr>
      <w:keepLines w:val="0"/>
      <w:pBdr>
        <w:top w:val="single" w:sz="6" w:space="3" w:color="auto" w:shadow="1"/>
        <w:left w:val="single" w:sz="6" w:space="3" w:color="auto" w:shadow="1"/>
        <w:bottom w:val="single" w:sz="6" w:space="3" w:color="auto" w:shadow="1"/>
        <w:right w:val="single" w:sz="6" w:space="3" w:color="auto" w:shadow="1"/>
      </w:pBdr>
      <w:shd w:val="pct20" w:color="auto" w:fill="auto"/>
      <w:suppressAutoHyphens/>
      <w:spacing w:before="120"/>
      <w:ind w:right="720"/>
    </w:pPr>
    <w:rPr>
      <w:rFonts w:eastAsia="Times New Roman"/>
      <w:b/>
      <w:noProof/>
      <w:sz w:val="18"/>
    </w:rPr>
  </w:style>
  <w:style w:type="character" w:customStyle="1" w:styleId="Picture">
    <w:name w:val="Picture"/>
    <w:basedOn w:val="DefaultParagraphFont"/>
  </w:style>
  <w:style w:type="paragraph" w:customStyle="1" w:styleId="PlainList1">
    <w:name w:val="PlainList 1"/>
    <w:basedOn w:val="Normal"/>
    <w:pPr>
      <w:spacing w:before="100" w:after="0"/>
      <w:ind w:right="720"/>
    </w:pPr>
    <w:rPr>
      <w:i/>
      <w:noProof/>
      <w:color w:val="auto"/>
      <w:sz w:val="18"/>
    </w:rPr>
  </w:style>
  <w:style w:type="paragraph" w:customStyle="1" w:styleId="PlainList2">
    <w:name w:val="PlainList 2"/>
    <w:basedOn w:val="PlainList1"/>
    <w:pPr>
      <w:ind w:left="567"/>
    </w:pPr>
  </w:style>
  <w:style w:type="paragraph" w:customStyle="1" w:styleId="PlainList3">
    <w:name w:val="PlainList 3"/>
    <w:basedOn w:val="PlainList2"/>
    <w:pPr>
      <w:ind w:left="1134"/>
    </w:pPr>
  </w:style>
  <w:style w:type="paragraph" w:customStyle="1" w:styleId="PlainList4">
    <w:name w:val="PlainList 4"/>
    <w:basedOn w:val="PlainList3"/>
    <w:pPr>
      <w:ind w:left="1701"/>
    </w:pPr>
  </w:style>
  <w:style w:type="character" w:customStyle="1" w:styleId="Quote1">
    <w:name w:val="Quote1"/>
    <w:rPr>
      <w:rFonts w:ascii="Times New Roman" w:hAnsi="Times New Roman"/>
      <w:i/>
      <w:sz w:val="20"/>
    </w:rPr>
  </w:style>
  <w:style w:type="character" w:customStyle="1" w:styleId="NroSeq">
    <w:name w:val="NroSeq"/>
    <w:rPr>
      <w:color w:val="0000FF"/>
    </w:rPr>
  </w:style>
  <w:style w:type="character" w:customStyle="1" w:styleId="NroTOC">
    <w:name w:val="NroTOC"/>
    <w:rPr>
      <w:color w:val="auto"/>
      <w:sz w:val="22"/>
      <w:u w:val="none"/>
      <w:vertAlign w:val="baseline"/>
    </w:rPr>
  </w:style>
  <w:style w:type="paragraph" w:customStyle="1" w:styleId="PrelimNote">
    <w:name w:val="PrelimNote"/>
    <w:basedOn w:val="Normal"/>
    <w:next w:val="Normal"/>
    <w:pPr>
      <w:spacing w:before="120" w:after="0"/>
      <w:ind w:left="709" w:right="709"/>
    </w:pPr>
    <w:rPr>
      <w:i/>
      <w:noProof/>
      <w:color w:val="auto"/>
      <w:sz w:val="18"/>
    </w:rPr>
  </w:style>
  <w:style w:type="paragraph" w:customStyle="1" w:styleId="CentredJust">
    <w:name w:val="CentredJust"/>
    <w:basedOn w:val="Normal"/>
    <w:pPr>
      <w:spacing w:before="120" w:after="0"/>
      <w:ind w:right="720"/>
      <w:jc w:val="center"/>
    </w:pPr>
    <w:rPr>
      <w:i/>
      <w:noProof/>
      <w:color w:val="auto"/>
      <w:sz w:val="18"/>
    </w:rPr>
  </w:style>
  <w:style w:type="character" w:customStyle="1" w:styleId="Subscript">
    <w:name w:val="Subscript"/>
    <w:rPr>
      <w:noProof w:val="0"/>
      <w:vertAlign w:val="subscript"/>
      <w:lang w:val="en-GB"/>
    </w:rPr>
  </w:style>
  <w:style w:type="character" w:customStyle="1" w:styleId="Superscript">
    <w:name w:val="Superscript"/>
    <w:rPr>
      <w:noProof w:val="0"/>
      <w:vertAlign w:val="superscript"/>
      <w:lang w:val="en-GB"/>
    </w:rPr>
  </w:style>
  <w:style w:type="paragraph" w:customStyle="1" w:styleId="ListDel">
    <w:name w:val="ListDel"/>
    <w:basedOn w:val="Normal"/>
    <w:next w:val="Country"/>
    <w:pPr>
      <w:spacing w:before="120" w:after="0"/>
      <w:ind w:right="720"/>
      <w:jc w:val="center"/>
    </w:pPr>
    <w:rPr>
      <w:b/>
      <w:i/>
      <w:noProof/>
      <w:color w:val="auto"/>
      <w:sz w:val="18"/>
    </w:rPr>
  </w:style>
  <w:style w:type="paragraph" w:customStyle="1" w:styleId="Country">
    <w:name w:val="Country"/>
    <w:basedOn w:val="Normal"/>
    <w:next w:val="Role"/>
    <w:pPr>
      <w:keepNext/>
      <w:spacing w:before="120" w:after="0"/>
      <w:ind w:right="720"/>
    </w:pPr>
    <w:rPr>
      <w:b/>
      <w:i/>
      <w:caps/>
      <w:noProof/>
      <w:color w:val="auto"/>
      <w:sz w:val="18"/>
    </w:rPr>
  </w:style>
  <w:style w:type="paragraph" w:customStyle="1" w:styleId="Role">
    <w:name w:val="Role"/>
    <w:basedOn w:val="Normal"/>
    <w:next w:val="Name"/>
    <w:pPr>
      <w:keepNext/>
      <w:spacing w:before="120" w:after="0"/>
      <w:ind w:right="720"/>
    </w:pPr>
    <w:rPr>
      <w:i/>
      <w:noProof/>
      <w:color w:val="auto"/>
      <w:sz w:val="18"/>
    </w:rPr>
  </w:style>
  <w:style w:type="paragraph" w:customStyle="1" w:styleId="Name">
    <w:name w:val="Name"/>
    <w:basedOn w:val="Normal"/>
    <w:pPr>
      <w:keepLines/>
      <w:spacing w:before="120" w:after="0"/>
      <w:ind w:left="284" w:right="720"/>
    </w:pPr>
    <w:rPr>
      <w:i/>
      <w:noProof/>
      <w:color w:val="auto"/>
      <w:sz w:val="18"/>
    </w:rPr>
  </w:style>
  <w:style w:type="paragraph" w:customStyle="1" w:styleId="ColumnBreak">
    <w:name w:val="ColumnBreak"/>
    <w:basedOn w:val="Normal"/>
    <w:next w:val="Normal"/>
    <w:pPr>
      <w:spacing w:before="100" w:after="0" w:line="10" w:lineRule="exact"/>
      <w:ind w:right="720"/>
    </w:pPr>
    <w:rPr>
      <w:rFonts w:ascii="Courier New" w:hAnsi="Courier New"/>
      <w:i/>
      <w:noProof/>
      <w:color w:val="auto"/>
      <w:sz w:val="18"/>
    </w:rPr>
  </w:style>
  <w:style w:type="paragraph" w:customStyle="1" w:styleId="ContBrk">
    <w:name w:val="ContBrk"/>
    <w:basedOn w:val="Normal"/>
    <w:next w:val="Normal"/>
    <w:pPr>
      <w:spacing w:before="120" w:after="0" w:line="360" w:lineRule="auto"/>
      <w:ind w:right="720"/>
    </w:pPr>
    <w:rPr>
      <w:rFonts w:ascii="Courier New" w:hAnsi="Courier New"/>
      <w:i/>
      <w:noProof/>
      <w:color w:val="auto"/>
      <w:sz w:val="18"/>
    </w:rPr>
  </w:style>
  <w:style w:type="paragraph" w:customStyle="1" w:styleId="SectionBreak">
    <w:name w:val="SectionBreak"/>
    <w:basedOn w:val="Normal"/>
    <w:next w:val="Heading1"/>
    <w:pPr>
      <w:spacing w:before="100" w:after="0" w:line="10" w:lineRule="exact"/>
      <w:ind w:right="720"/>
    </w:pPr>
    <w:rPr>
      <w:rFonts w:ascii="Courier New" w:hAnsi="Courier New"/>
      <w:i/>
      <w:noProof/>
      <w:color w:val="auto"/>
      <w:sz w:val="18"/>
    </w:rPr>
  </w:style>
  <w:style w:type="paragraph" w:customStyle="1" w:styleId="HeadingAnnex">
    <w:name w:val="Heading Annex"/>
    <w:basedOn w:val="Normal"/>
    <w:next w:val="Normal"/>
    <w:pPr>
      <w:keepNext/>
      <w:pBdr>
        <w:top w:val="single" w:sz="6" w:space="1" w:color="auto"/>
        <w:bottom w:val="single" w:sz="6" w:space="1" w:color="auto"/>
      </w:pBdr>
      <w:spacing w:before="240" w:after="0"/>
      <w:ind w:left="709" w:right="720" w:hanging="709"/>
      <w:jc w:val="center"/>
    </w:pPr>
    <w:rPr>
      <w:rFonts w:ascii="Times New Roman Bold" w:hAnsi="Times New Roman Bold"/>
      <w:b/>
      <w:i/>
      <w:caps/>
      <w:noProof/>
      <w:color w:val="auto"/>
      <w:sz w:val="24"/>
    </w:rPr>
  </w:style>
  <w:style w:type="paragraph" w:customStyle="1" w:styleId="SeqListLev1">
    <w:name w:val="Seq List Lev1"/>
    <w:basedOn w:val="Normal"/>
    <w:pPr>
      <w:numPr>
        <w:ilvl w:val="1"/>
        <w:numId w:val="13"/>
      </w:numPr>
      <w:spacing w:before="100" w:after="0"/>
      <w:ind w:right="720"/>
    </w:pPr>
    <w:rPr>
      <w:i/>
      <w:noProof/>
      <w:color w:val="auto"/>
      <w:sz w:val="18"/>
    </w:rPr>
  </w:style>
  <w:style w:type="paragraph" w:customStyle="1" w:styleId="SeqListLev2">
    <w:name w:val="Seq List Lev2"/>
    <w:basedOn w:val="SeqListLev1"/>
    <w:pPr>
      <w:numPr>
        <w:ilvl w:val="2"/>
      </w:numPr>
    </w:pPr>
  </w:style>
  <w:style w:type="paragraph" w:customStyle="1" w:styleId="SeqListLev3">
    <w:name w:val="Seq List Lev3"/>
    <w:basedOn w:val="SeqListLev2"/>
    <w:pPr>
      <w:numPr>
        <w:ilvl w:val="3"/>
      </w:numPr>
    </w:pPr>
  </w:style>
  <w:style w:type="paragraph" w:customStyle="1" w:styleId="SeqListLev4">
    <w:name w:val="Seq List Lev4"/>
    <w:basedOn w:val="SeqListLev3"/>
    <w:pPr>
      <w:numPr>
        <w:ilvl w:val="0"/>
        <w:numId w:val="0"/>
      </w:numPr>
      <w:tabs>
        <w:tab w:val="num" w:pos="567"/>
        <w:tab w:val="num" w:pos="1440"/>
        <w:tab w:val="num" w:pos="2126"/>
      </w:tabs>
      <w:ind w:left="2126" w:hanging="425"/>
    </w:pPr>
  </w:style>
  <w:style w:type="paragraph" w:customStyle="1" w:styleId="CarCar">
    <w:name w:val="Car Car"/>
    <w:basedOn w:val="Normal"/>
    <w:pPr>
      <w:numPr>
        <w:ilvl w:val="2"/>
        <w:numId w:val="35"/>
      </w:numPr>
      <w:tabs>
        <w:tab w:val="num" w:pos="805"/>
      </w:tabs>
      <w:spacing w:before="100" w:after="160" w:line="240" w:lineRule="exact"/>
      <w:ind w:left="0" w:right="720" w:firstLine="0"/>
    </w:pPr>
    <w:rPr>
      <w:rFonts w:ascii="Tahoma" w:eastAsia="MS Mincho" w:hAnsi="Tahoma"/>
      <w:i/>
      <w:color w:val="auto"/>
      <w:sz w:val="20"/>
      <w:lang w:val="en-US"/>
    </w:rPr>
  </w:style>
  <w:style w:type="paragraph" w:customStyle="1" w:styleId="ListParagraph13">
    <w:name w:val="List Paragraph13"/>
    <w:basedOn w:val="Normal"/>
    <w:qFormat/>
    <w:pPr>
      <w:spacing w:before="100" w:after="100"/>
      <w:ind w:left="720" w:right="720"/>
    </w:pPr>
    <w:rPr>
      <w:rFonts w:eastAsia="Calibri"/>
      <w:i/>
      <w:color w:val="auto"/>
      <w:sz w:val="24"/>
    </w:rPr>
  </w:style>
  <w:style w:type="paragraph" w:customStyle="1" w:styleId="CharChar">
    <w:name w:val="(文字) (文字) Char (文字) (文字) Char"/>
    <w:basedOn w:val="Normal"/>
    <w:pPr>
      <w:tabs>
        <w:tab w:val="num" w:pos="2160"/>
      </w:tabs>
      <w:spacing w:before="100" w:after="160" w:line="240" w:lineRule="exact"/>
      <w:ind w:right="720"/>
    </w:pPr>
    <w:rPr>
      <w:rFonts w:ascii="Tahoma" w:eastAsia="MS Mincho" w:hAnsi="Tahoma"/>
      <w:i/>
      <w:color w:val="auto"/>
      <w:sz w:val="20"/>
      <w:lang w:val="en-US"/>
    </w:rPr>
  </w:style>
  <w:style w:type="paragraph" w:customStyle="1" w:styleId="IPPBullet2">
    <w:name w:val="IPP Bullet2"/>
    <w:basedOn w:val="IPPNormal"/>
    <w:next w:val="IPPBullet1"/>
    <w:qFormat/>
    <w:pPr>
      <w:numPr>
        <w:numId w:val="0"/>
      </w:numPr>
      <w:tabs>
        <w:tab w:val="left" w:pos="567"/>
      </w:tabs>
      <w:spacing w:after="60"/>
      <w:ind w:left="720" w:hanging="360"/>
    </w:pPr>
  </w:style>
  <w:style w:type="paragraph" w:customStyle="1" w:styleId="IPPNormal">
    <w:name w:val="IPP Normal"/>
    <w:basedOn w:val="Normal"/>
    <w:qFormat/>
    <w:pPr>
      <w:numPr>
        <w:numId w:val="39"/>
      </w:numPr>
      <w:spacing w:before="100" w:after="180"/>
      <w:ind w:left="0" w:right="720" w:firstLine="0"/>
      <w:jc w:val="both"/>
    </w:pPr>
    <w:rPr>
      <w:rFonts w:eastAsia="Times"/>
      <w:i/>
      <w:color w:val="auto"/>
      <w:sz w:val="18"/>
    </w:rPr>
  </w:style>
  <w:style w:type="paragraph" w:customStyle="1" w:styleId="IPPBullet1">
    <w:name w:val="IPP Bullet1"/>
    <w:basedOn w:val="Normal"/>
    <w:qFormat/>
    <w:pPr>
      <w:numPr>
        <w:numId w:val="22"/>
      </w:numPr>
      <w:spacing w:before="100" w:after="60"/>
      <w:ind w:right="720"/>
      <w:jc w:val="both"/>
    </w:pPr>
    <w:rPr>
      <w:rFonts w:eastAsia="Times"/>
      <w:i/>
      <w:color w:val="auto"/>
      <w:sz w:val="18"/>
    </w:rPr>
  </w:style>
  <w:style w:type="paragraph" w:customStyle="1" w:styleId="IPPTitle16ptIndent">
    <w:name w:val="IPP Title16pt Indent"/>
    <w:basedOn w:val="Normal"/>
    <w:qFormat/>
    <w:pPr>
      <w:spacing w:before="100" w:after="720"/>
      <w:ind w:left="1701" w:right="1701"/>
      <w:jc w:val="center"/>
    </w:pPr>
    <w:rPr>
      <w:rFonts w:ascii="Arial" w:hAnsi="Arial"/>
      <w:b/>
      <w:i/>
      <w:color w:val="auto"/>
      <w:sz w:val="32"/>
    </w:rPr>
  </w:style>
  <w:style w:type="paragraph" w:customStyle="1" w:styleId="IPPHeadSection">
    <w:name w:val="IPP HeadSection"/>
    <w:basedOn w:val="Normal"/>
    <w:next w:val="Normal"/>
    <w:qFormat/>
    <w:pPr>
      <w:keepNext/>
      <w:numPr>
        <w:numId w:val="41"/>
      </w:numPr>
      <w:tabs>
        <w:tab w:val="left" w:pos="851"/>
      </w:tabs>
      <w:spacing w:before="360" w:after="120"/>
      <w:ind w:left="851" w:right="720" w:hanging="851"/>
      <w:jc w:val="both"/>
      <w:outlineLvl w:val="0"/>
    </w:pPr>
    <w:rPr>
      <w:rFonts w:eastAsia="Times"/>
      <w:b/>
      <w:i/>
      <w:caps/>
      <w:color w:val="auto"/>
      <w:sz w:val="24"/>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rPr>
  </w:style>
  <w:style w:type="paragraph" w:customStyle="1" w:styleId="IPPSubhead">
    <w:name w:val="IPP Subhead"/>
    <w:basedOn w:val="Normal"/>
    <w:qFormat/>
    <w:pPr>
      <w:keepNext/>
      <w:spacing w:before="100" w:after="0"/>
      <w:ind w:left="567" w:right="720" w:hanging="567"/>
    </w:pPr>
    <w:rPr>
      <w:b/>
      <w:i/>
      <w:color w:val="auto"/>
      <w:sz w:val="18"/>
    </w:rPr>
  </w:style>
  <w:style w:type="paragraph" w:customStyle="1" w:styleId="IPPBullet1Last">
    <w:name w:val="IPP Bullet1Last"/>
    <w:basedOn w:val="IPPNormal"/>
    <w:next w:val="IPPBullet1"/>
    <w:qFormat/>
    <w:pPr>
      <w:numPr>
        <w:numId w:val="20"/>
      </w:numPr>
      <w:tabs>
        <w:tab w:val="num" w:pos="360"/>
      </w:tabs>
      <w:ind w:left="360"/>
    </w:pPr>
    <w:rPr>
      <w:lang w:val="en-US"/>
    </w:rPr>
  </w:style>
  <w:style w:type="paragraph" w:customStyle="1" w:styleId="IPPTitle16pt">
    <w:name w:val="IPP Title16pt"/>
    <w:basedOn w:val="Normal"/>
    <w:qFormat/>
    <w:pPr>
      <w:spacing w:before="100" w:after="720"/>
      <w:ind w:left="1701" w:right="1701"/>
      <w:jc w:val="center"/>
    </w:pPr>
    <w:rPr>
      <w:rFonts w:ascii="Arial" w:hAnsi="Arial"/>
      <w:b/>
      <w:i/>
      <w:color w:val="auto"/>
      <w:sz w:val="32"/>
    </w:rPr>
  </w:style>
  <w:style w:type="paragraph" w:customStyle="1" w:styleId="IPPTitle18pt">
    <w:name w:val="IPP Title18pt"/>
    <w:basedOn w:val="Normal"/>
    <w:qFormat/>
    <w:pPr>
      <w:spacing w:before="100" w:after="360"/>
      <w:ind w:right="720"/>
      <w:jc w:val="center"/>
    </w:pPr>
    <w:rPr>
      <w:rFonts w:ascii="Arial" w:hAnsi="Arial"/>
      <w:b/>
      <w:i/>
      <w:color w:val="auto"/>
      <w:sz w:val="36"/>
    </w:rPr>
  </w:style>
  <w:style w:type="paragraph" w:customStyle="1" w:styleId="IPPAnnexHead">
    <w:name w:val="IPP AnnexHead"/>
    <w:basedOn w:val="IPPNormal"/>
    <w:next w:val="IPPNormal"/>
    <w:qFormat/>
    <w:pPr>
      <w:keepNext/>
      <w:numPr>
        <w:numId w:val="42"/>
      </w:numPr>
      <w:tabs>
        <w:tab w:val="left" w:pos="567"/>
      </w:tabs>
      <w:spacing w:before="120"/>
      <w:ind w:left="0" w:firstLine="0"/>
      <w:jc w:val="left"/>
      <w:outlineLvl w:val="1"/>
    </w:pPr>
    <w:rPr>
      <w:b/>
      <w:sz w:val="24"/>
    </w:rPr>
  </w:style>
  <w:style w:type="paragraph" w:customStyle="1" w:styleId="IPPNormalCloseSpace">
    <w:name w:val="IPP NormalCloseSpace"/>
    <w:basedOn w:val="Normal"/>
    <w:qFormat/>
    <w:pPr>
      <w:keepNext/>
      <w:numPr>
        <w:numId w:val="40"/>
      </w:numPr>
      <w:spacing w:before="100" w:after="60"/>
      <w:ind w:left="0" w:right="720" w:firstLine="0"/>
      <w:jc w:val="both"/>
    </w:pPr>
    <w:rPr>
      <w:i/>
      <w:color w:val="auto"/>
      <w:sz w:val="18"/>
    </w:r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rPr>
  </w:style>
  <w:style w:type="paragraph" w:customStyle="1" w:styleId="IPPArialTable">
    <w:name w:val="IPP Arial Table"/>
    <w:basedOn w:val="IPPArial"/>
    <w:qFormat/>
    <w:pPr>
      <w:spacing w:before="60" w:after="60"/>
      <w:jc w:val="left"/>
    </w:pPr>
  </w:style>
  <w:style w:type="paragraph" w:customStyle="1" w:styleId="IPPSubheadSpace">
    <w:name w:val="IPP Subhead Space"/>
    <w:basedOn w:val="IPPSubhead"/>
    <w:qFormat/>
    <w:pPr>
      <w:tabs>
        <w:tab w:val="left" w:pos="567"/>
      </w:tabs>
      <w:spacing w:before="60" w:after="60"/>
    </w:pPr>
  </w:style>
  <w:style w:type="paragraph" w:customStyle="1" w:styleId="IPPNumberedList">
    <w:name w:val="IPP NumberedList"/>
    <w:basedOn w:val="IPPBullet1"/>
    <w:qFormat/>
    <w:pPr>
      <w:numPr>
        <w:numId w:val="0"/>
      </w:numPr>
      <w:ind w:left="720" w:hanging="360"/>
    </w:pPr>
  </w:style>
  <w:style w:type="paragraph" w:customStyle="1" w:styleId="IPPNumberedListLast0">
    <w:name w:val="IPP NumberedListLast"/>
    <w:basedOn w:val="IPPNumberedList"/>
    <w:qFormat/>
    <w:pPr>
      <w:spacing w:after="180"/>
    </w:pPr>
  </w:style>
  <w:style w:type="paragraph" w:customStyle="1" w:styleId="IPPHdg1Num">
    <w:name w:val="IPP Hdg1Num"/>
    <w:basedOn w:val="IPPNormal"/>
    <w:next w:val="IPPNormal"/>
    <w:qFormat/>
    <w:pPr>
      <w:keepNext/>
      <w:tabs>
        <w:tab w:val="num" w:pos="0"/>
        <w:tab w:val="left" w:pos="567"/>
      </w:tabs>
      <w:spacing w:before="240" w:after="120"/>
      <w:ind w:hanging="482"/>
      <w:outlineLvl w:val="1"/>
    </w:pPr>
    <w:rPr>
      <w:b/>
      <w:sz w:val="24"/>
    </w:rPr>
  </w:style>
  <w:style w:type="paragraph" w:customStyle="1" w:styleId="IPPNumberedList0">
    <w:name w:val="IPPNumberedList"/>
    <w:basedOn w:val="IPPBullet1"/>
    <w:qFormat/>
    <w:pPr>
      <w:numPr>
        <w:numId w:val="0"/>
      </w:numPr>
      <w:tabs>
        <w:tab w:val="num" w:pos="720"/>
      </w:tabs>
      <w:ind w:left="720" w:hanging="360"/>
    </w:pPr>
  </w:style>
  <w:style w:type="paragraph" w:customStyle="1" w:styleId="IPPLetterList">
    <w:name w:val="IPP LetterList"/>
    <w:basedOn w:val="IPPBullet2"/>
    <w:qFormat/>
    <w:pPr>
      <w:numPr>
        <w:numId w:val="24"/>
      </w:numPr>
      <w:jc w:val="left"/>
    </w:pPr>
  </w:style>
  <w:style w:type="paragraph" w:customStyle="1" w:styleId="IPPSubheadSpace3">
    <w:name w:val="IPP Subhead Space3"/>
    <w:basedOn w:val="IPPSubhead"/>
    <w:qFormat/>
    <w:pPr>
      <w:spacing w:before="60" w:after="60"/>
    </w:pPr>
  </w:style>
  <w:style w:type="paragraph" w:customStyle="1" w:styleId="font1">
    <w:name w:val="font1"/>
    <w:basedOn w:val="Normal"/>
    <w:pPr>
      <w:spacing w:before="100" w:after="100"/>
      <w:ind w:right="720"/>
    </w:pPr>
    <w:rPr>
      <w:rFonts w:ascii="Arial" w:hAnsi="Arial"/>
      <w:i/>
      <w:color w:val="auto"/>
      <w:sz w:val="20"/>
      <w:lang w:val="en-US"/>
    </w:rPr>
  </w:style>
  <w:style w:type="paragraph" w:customStyle="1" w:styleId="Contents">
    <w:name w:val="Contents"/>
    <w:pPr>
      <w:tabs>
        <w:tab w:val="left" w:pos="-1440"/>
        <w:tab w:val="left" w:pos="-720"/>
        <w:tab w:val="left" w:pos="0"/>
        <w:tab w:val="left" w:pos="835"/>
        <w:tab w:val="left" w:pos="1392"/>
      </w:tabs>
      <w:suppressAutoHyphens/>
      <w:jc w:val="both"/>
    </w:pPr>
    <w:rPr>
      <w:rFonts w:ascii="Courier" w:hAnsi="Courier"/>
      <w:spacing w:val="-3"/>
      <w:sz w:val="24"/>
      <w:lang w:val="en-GB" w:eastAsia="ko-KR"/>
    </w:rPr>
  </w:style>
  <w:style w:type="paragraph" w:customStyle="1" w:styleId="IPPQuote">
    <w:name w:val="IPP Quote"/>
    <w:basedOn w:val="IPPNormal"/>
    <w:qFormat/>
    <w:pPr>
      <w:ind w:left="851" w:right="851"/>
    </w:pPr>
    <w:rPr>
      <w:sz w:val="19"/>
    </w:rPr>
  </w:style>
  <w:style w:type="character" w:customStyle="1" w:styleId="NewParaChar">
    <w:name w:val="NewPara Char"/>
    <w:rPr>
      <w:rFonts w:ascii="Times New Roman" w:eastAsia="Times New Roman" w:hAnsi="Times New Roman" w:cs="Times New Roman"/>
      <w:noProof/>
      <w:szCs w:val="20"/>
    </w:rPr>
  </w:style>
  <w:style w:type="paragraph" w:customStyle="1" w:styleId="IPPHeading1Appendix">
    <w:name w:val="IPP Heading1 Appendix"/>
    <w:basedOn w:val="IPPHeading1"/>
    <w:qFormat/>
    <w:pPr>
      <w:ind w:left="720" w:hanging="360"/>
      <w:outlineLvl w:val="9"/>
    </w:pPr>
  </w:style>
  <w:style w:type="paragraph" w:customStyle="1" w:styleId="IPPHeadSectionAppendix">
    <w:name w:val="IPP HeadSection Appendix"/>
    <w:basedOn w:val="IPPHeadSection"/>
    <w:qFormat/>
    <w:pPr>
      <w:ind w:left="720" w:hanging="360"/>
      <w:outlineLvl w:val="9"/>
    </w:pPr>
  </w:style>
  <w:style w:type="paragraph" w:customStyle="1" w:styleId="IPPHeading2Appendix">
    <w:name w:val="IPP Heading2 Appendix"/>
    <w:basedOn w:val="IPPHeading2"/>
    <w:qFormat/>
    <w:pPr>
      <w:tabs>
        <w:tab w:val="left" w:pos="851"/>
        <w:tab w:val="left" w:pos="1134"/>
      </w:tabs>
      <w:ind w:left="720" w:hanging="360"/>
      <w:outlineLvl w:val="9"/>
    </w:pPr>
  </w:style>
  <w:style w:type="paragraph" w:customStyle="1" w:styleId="IPPAnnexHeadAppendix">
    <w:name w:val="IPP AnnexHead Appendix"/>
    <w:basedOn w:val="IPPAnnexHead"/>
    <w:qFormat/>
    <w:pPr>
      <w:numPr>
        <w:numId w:val="25"/>
      </w:numPr>
      <w:tabs>
        <w:tab w:val="clear" w:pos="567"/>
        <w:tab w:val="num" w:pos="1440"/>
      </w:tabs>
      <w:ind w:left="1440"/>
      <w:outlineLvl w:val="9"/>
    </w:pPr>
  </w:style>
  <w:style w:type="paragraph" w:customStyle="1" w:styleId="IPPIndent">
    <w:name w:val="IPP Indent"/>
    <w:basedOn w:val="Normal"/>
    <w:qFormat/>
    <w:pPr>
      <w:tabs>
        <w:tab w:val="left" w:pos="2835"/>
      </w:tabs>
      <w:spacing w:before="100" w:after="180"/>
      <w:ind w:left="567" w:right="720"/>
      <w:jc w:val="both"/>
    </w:pPr>
    <w:rPr>
      <w:rFonts w:eastAsia="Times"/>
      <w:i/>
      <w:color w:val="auto"/>
      <w:sz w:val="18"/>
    </w:rPr>
  </w:style>
  <w:style w:type="paragraph" w:customStyle="1" w:styleId="FooterLandscape">
    <w:name w:val="FooterLandscape"/>
    <w:basedOn w:val="Footer"/>
    <w:qFormat/>
    <w:pPr>
      <w:tabs>
        <w:tab w:val="clear" w:pos="4320"/>
        <w:tab w:val="clear" w:pos="8640"/>
        <w:tab w:val="right" w:pos="13892"/>
      </w:tabs>
      <w:spacing w:before="100" w:after="0"/>
      <w:ind w:right="720"/>
    </w:pPr>
    <w:rPr>
      <w:rFonts w:ascii="Arial" w:eastAsia="Times" w:hAnsi="Arial"/>
      <w:i/>
      <w:color w:val="auto"/>
      <w:sz w:val="18"/>
    </w:rPr>
  </w:style>
  <w:style w:type="paragraph" w:customStyle="1" w:styleId="IPPNumberClose">
    <w:name w:val="IPP NumberClose"/>
    <w:basedOn w:val="IPPNumber"/>
    <w:qFormat/>
    <w:pPr>
      <w:keepNext/>
      <w:spacing w:after="60"/>
    </w:pPr>
  </w:style>
  <w:style w:type="paragraph" w:customStyle="1" w:styleId="IPPNumber">
    <w:name w:val="IPP Number"/>
    <w:basedOn w:val="IPPNormal"/>
    <w:qFormat/>
    <w:pPr>
      <w:numPr>
        <w:numId w:val="0"/>
      </w:numPr>
      <w:tabs>
        <w:tab w:val="num" w:pos="720"/>
        <w:tab w:val="num" w:pos="2892"/>
      </w:tabs>
      <w:ind w:left="2892" w:hanging="579"/>
    </w:pPr>
  </w:style>
  <w:style w:type="paragraph" w:customStyle="1" w:styleId="IPPNumberedListLast">
    <w:name w:val="IPPNumberedListLast"/>
    <w:basedOn w:val="IPPNumberedList0"/>
    <w:qFormat/>
    <w:pPr>
      <w:numPr>
        <w:numId w:val="43"/>
      </w:numPr>
      <w:tabs>
        <w:tab w:val="num" w:pos="680"/>
      </w:tabs>
      <w:spacing w:after="180"/>
      <w:ind w:left="680" w:hanging="680"/>
    </w:pPr>
  </w:style>
  <w:style w:type="paragraph" w:customStyle="1" w:styleId="Comments">
    <w:name w:val="Comments"/>
    <w:basedOn w:val="Normal"/>
    <w:pPr>
      <w:spacing w:before="100" w:after="0"/>
      <w:ind w:left="284" w:right="720" w:hanging="284"/>
      <w:jc w:val="both"/>
    </w:pPr>
    <w:rPr>
      <w:i/>
      <w:color w:val="auto"/>
      <w:sz w:val="18"/>
    </w:rPr>
  </w:style>
  <w:style w:type="paragraph" w:customStyle="1" w:styleId="Indent1">
    <w:name w:val="Indent 1"/>
    <w:basedOn w:val="Normal"/>
    <w:qFormat/>
    <w:pPr>
      <w:spacing w:before="100" w:after="60"/>
      <w:ind w:left="567" w:right="720"/>
    </w:pPr>
    <w:rPr>
      <w:rFonts w:ascii="Georgia" w:eastAsia="Times" w:hAnsi="Georgia"/>
      <w:i/>
      <w:color w:val="auto"/>
      <w:sz w:val="18"/>
      <w:lang w:val="en-AU"/>
    </w:rPr>
  </w:style>
  <w:style w:type="paragraph" w:customStyle="1" w:styleId="Subhead">
    <w:name w:val="Subhead"/>
    <w:basedOn w:val="Normal"/>
    <w:qFormat/>
    <w:pPr>
      <w:keepNext/>
      <w:spacing w:before="120" w:after="60"/>
      <w:ind w:right="720"/>
    </w:pPr>
    <w:rPr>
      <w:rFonts w:ascii="Georgia" w:eastAsia="Times" w:hAnsi="Georgia"/>
      <w:b/>
      <w:i/>
      <w:color w:val="auto"/>
      <w:sz w:val="19"/>
      <w:lang w:val="en-AU"/>
    </w:rPr>
  </w:style>
  <w:style w:type="paragraph" w:customStyle="1" w:styleId="IPPNumberSubhead">
    <w:name w:val="IPP NumberSubhead"/>
    <w:basedOn w:val="IPPNumber"/>
    <w:qFormat/>
    <w:pPr>
      <w:keepNext/>
      <w:numPr>
        <w:numId w:val="44"/>
      </w:numPr>
      <w:tabs>
        <w:tab w:val="num" w:pos="567"/>
      </w:tabs>
      <w:spacing w:after="60"/>
      <w:ind w:firstLine="0"/>
    </w:pPr>
    <w:rPr>
      <w:b/>
    </w:rPr>
  </w:style>
  <w:style w:type="paragraph" w:customStyle="1" w:styleId="IPPSubheadNumber">
    <w:name w:val="IPP SubheadNumber"/>
    <w:basedOn w:val="IPPSubhead"/>
    <w:qFormat/>
    <w:pPr>
      <w:numPr>
        <w:numId w:val="27"/>
      </w:numPr>
      <w:tabs>
        <w:tab w:val="num" w:pos="720"/>
      </w:tabs>
      <w:ind w:left="720"/>
    </w:pPr>
  </w:style>
  <w:style w:type="paragraph" w:customStyle="1" w:styleId="IPPLetterListIndent">
    <w:name w:val="IPP LetterList Indent"/>
    <w:basedOn w:val="IPPLetterList"/>
    <w:qFormat/>
    <w:pPr>
      <w:numPr>
        <w:numId w:val="28"/>
      </w:numPr>
      <w:tabs>
        <w:tab w:val="clear" w:pos="567"/>
        <w:tab w:val="num" w:pos="720"/>
      </w:tabs>
      <w:ind w:left="720"/>
    </w:pPr>
  </w:style>
  <w:style w:type="paragraph" w:customStyle="1" w:styleId="IPPSubheadSpaceAfter">
    <w:name w:val="IPP Subhead SpaceAfter"/>
    <w:basedOn w:val="IPPSubhead"/>
    <w:qFormat/>
    <w:pPr>
      <w:spacing w:after="60"/>
    </w:pPr>
  </w:style>
  <w:style w:type="paragraph" w:customStyle="1" w:styleId="IPPArialFootnote">
    <w:name w:val="IPP Arial Footnote"/>
    <w:basedOn w:val="IPPArialTable"/>
    <w:qFormat/>
    <w:pPr>
      <w:tabs>
        <w:tab w:val="left" w:pos="567"/>
      </w:tabs>
      <w:ind w:left="567" w:hanging="567"/>
    </w:pPr>
    <w:rPr>
      <w:sz w:val="16"/>
    </w:rPr>
  </w:style>
  <w:style w:type="paragraph" w:customStyle="1" w:styleId="IPPContentsHead">
    <w:name w:val="IPP ContentsHead"/>
    <w:basedOn w:val="IPPSubhead"/>
    <w:next w:val="IPPNormal"/>
    <w:qFormat/>
    <w:pPr>
      <w:spacing w:after="240"/>
    </w:pPr>
    <w:rPr>
      <w:sz w:val="24"/>
    </w:rPr>
  </w:style>
  <w:style w:type="paragraph" w:customStyle="1" w:styleId="IPPNumberedListArial">
    <w:name w:val="IPP NumberedListArial"/>
    <w:basedOn w:val="IPPNumberedList"/>
    <w:qFormat/>
    <w:pPr>
      <w:numPr>
        <w:numId w:val="45"/>
      </w:numPr>
      <w:tabs>
        <w:tab w:val="num" w:pos="567"/>
      </w:tabs>
      <w:ind w:left="567" w:hanging="567"/>
    </w:pPr>
    <w:rPr>
      <w:rFonts w:ascii="Arial" w:hAnsi="Arial"/>
    </w:rPr>
  </w:style>
  <w:style w:type="paragraph" w:customStyle="1" w:styleId="IPPIndentClose">
    <w:name w:val="IPP Indent Close"/>
    <w:basedOn w:val="IPPNormal"/>
    <w:qFormat/>
    <w:pPr>
      <w:numPr>
        <w:numId w:val="46"/>
      </w:numPr>
      <w:tabs>
        <w:tab w:val="left" w:pos="2835"/>
      </w:tabs>
      <w:spacing w:after="60"/>
      <w:ind w:left="567" w:firstLine="0"/>
    </w:pPr>
  </w:style>
  <w:style w:type="paragraph" w:customStyle="1" w:styleId="IPPHdg2Num">
    <w:name w:val="IPP Hdg2Num"/>
    <w:basedOn w:val="IPPNormal"/>
    <w:next w:val="IPPNormal"/>
    <w:qFormat/>
    <w:pPr>
      <w:keepNext/>
      <w:tabs>
        <w:tab w:val="left" w:pos="567"/>
        <w:tab w:val="num" w:pos="680"/>
      </w:tabs>
      <w:spacing w:before="120" w:after="120"/>
      <w:ind w:left="680" w:hanging="680"/>
      <w:outlineLvl w:val="2"/>
    </w:pPr>
    <w:rPr>
      <w:b/>
      <w:sz w:val="24"/>
    </w:rPr>
  </w:style>
  <w:style w:type="character" w:customStyle="1" w:styleId="FollowedHyperlink1">
    <w:name w:val="FollowedHyperlink1"/>
    <w:rPr>
      <w:color w:val="800080"/>
      <w:u w:val="single"/>
    </w:rPr>
  </w:style>
  <w:style w:type="character" w:customStyle="1" w:styleId="txt">
    <w:name w:val="txt"/>
    <w:basedOn w:val="DefaultParagraphFont"/>
  </w:style>
  <w:style w:type="character" w:customStyle="1" w:styleId="highlight">
    <w:name w:val="highlight"/>
    <w:rPr>
      <w:rFonts w:cs="Times New Roman"/>
    </w:rPr>
  </w:style>
  <w:style w:type="paragraph" w:styleId="HTMLPreformatted">
    <w:name w:val="HTML Preformatted"/>
    <w:basedOn w:val="Normal"/>
    <w:link w:val="HTMLPreformattedChar1"/>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i/>
      <w:color w:val="auto"/>
      <w:sz w:val="20"/>
    </w:rPr>
  </w:style>
  <w:style w:type="character" w:customStyle="1" w:styleId="txtboldonly">
    <w:name w:val="txtboldonly"/>
    <w:basedOn w:val="DefaultParagraphFont"/>
  </w:style>
  <w:style w:type="paragraph" w:styleId="BodyTextFirstIndent2">
    <w:name w:val="Body Text First Indent 2"/>
    <w:basedOn w:val="BodyTextIndent"/>
    <w:link w:val="BodyTextFirstIndent2Char1"/>
    <w:semiHidden/>
    <w:pPr>
      <w:spacing w:after="120" w:line="240" w:lineRule="auto"/>
      <w:ind w:left="283" w:firstLine="210"/>
    </w:pPr>
    <w:rPr>
      <w:i/>
      <w:color w:val="auto"/>
      <w:sz w:val="24"/>
      <w:lang w:val="en-US"/>
    </w:rPr>
  </w:style>
  <w:style w:type="character" w:customStyle="1" w:styleId="pagination">
    <w:name w:val="pagination"/>
    <w:basedOn w:val="DefaultParagraphFont"/>
  </w:style>
  <w:style w:type="character" w:customStyle="1" w:styleId="CarCar5">
    <w:name w:val="Car Car5"/>
    <w:rPr>
      <w:rFonts w:cs="Consolas"/>
      <w:noProof w:val="0"/>
      <w:szCs w:val="24"/>
      <w:u w:val="single"/>
      <w:lang w:val="en-US" w:eastAsia="ja-JP" w:bidi="he-IL"/>
    </w:rPr>
  </w:style>
  <w:style w:type="character" w:customStyle="1" w:styleId="CarCar4">
    <w:name w:val="Car Car4"/>
    <w:rPr>
      <w:rFonts w:eastAsia="MS Mincho" w:cs="Arial"/>
      <w:b/>
      <w:bCs/>
      <w:iCs/>
      <w:noProof w:val="0"/>
      <w:kern w:val="32"/>
      <w:sz w:val="24"/>
      <w:szCs w:val="24"/>
      <w:lang w:val="en-US" w:eastAsia="ja-JP" w:bidi="ar-SA"/>
    </w:rPr>
  </w:style>
  <w:style w:type="character" w:customStyle="1" w:styleId="CarCar3">
    <w:name w:val="Car Car3"/>
    <w:locked/>
    <w:rPr>
      <w:rFonts w:eastAsia="MS Mincho" w:cs="Arial"/>
      <w:b/>
      <w:bCs/>
      <w:i/>
      <w:iCs/>
      <w:noProof w:val="0"/>
      <w:kern w:val="32"/>
      <w:sz w:val="24"/>
      <w:szCs w:val="26"/>
      <w:lang w:val="it-IT" w:eastAsia="ja-JP" w:bidi="ar-SA"/>
    </w:rPr>
  </w:style>
  <w:style w:type="paragraph" w:customStyle="1" w:styleId="CM7">
    <w:name w:val="CM7"/>
    <w:basedOn w:val="Normal"/>
    <w:next w:val="Normal"/>
    <w:pPr>
      <w:autoSpaceDE w:val="0"/>
      <w:autoSpaceDN w:val="0"/>
      <w:adjustRightInd w:val="0"/>
      <w:spacing w:after="0" w:line="198" w:lineRule="atLeast"/>
    </w:pPr>
    <w:rPr>
      <w:rFonts w:ascii="OJFKL G+ Melior" w:eastAsia="Calibri" w:hAnsi="OJFKL G+ Melior"/>
      <w:i/>
      <w:color w:val="auto"/>
      <w:sz w:val="18"/>
      <w:lang w:val="fr-FR"/>
    </w:rPr>
  </w:style>
  <w:style w:type="paragraph" w:customStyle="1" w:styleId="mainheader">
    <w:name w:val="mainheader"/>
    <w:basedOn w:val="Normal"/>
    <w:pPr>
      <w:spacing w:before="100" w:after="100"/>
    </w:pPr>
    <w:rPr>
      <w:rFonts w:eastAsia="MS Mincho"/>
      <w:i/>
      <w:color w:val="auto"/>
      <w:sz w:val="18"/>
      <w:lang w:val="fr-FR" w:eastAsia="ja-JP"/>
    </w:rPr>
  </w:style>
  <w:style w:type="character" w:customStyle="1" w:styleId="surname">
    <w:name w:val="surname"/>
    <w:basedOn w:val="DefaultParagraphFont"/>
  </w:style>
  <w:style w:type="character" w:customStyle="1" w:styleId="CarCar8">
    <w:name w:val="Car Car8"/>
    <w:locked/>
    <w:rPr>
      <w:rFonts w:eastAsia="MS Mincho"/>
      <w:noProof w:val="0"/>
      <w:sz w:val="24"/>
      <w:szCs w:val="24"/>
      <w:lang w:val="fr-FR" w:eastAsia="ja-JP" w:bidi="ar-SA"/>
    </w:rPr>
  </w:style>
  <w:style w:type="character" w:customStyle="1" w:styleId="name0">
    <w:name w:val="name"/>
    <w:basedOn w:val="DefaultParagraphFont"/>
  </w:style>
  <w:style w:type="character" w:customStyle="1" w:styleId="forenames">
    <w:name w:val="forenames"/>
    <w:basedOn w:val="DefaultParagraphFont"/>
  </w:style>
  <w:style w:type="character" w:customStyle="1" w:styleId="txtsmall">
    <w:name w:val="txtsmall"/>
    <w:basedOn w:val="DefaultParagraphFont"/>
  </w:style>
  <w:style w:type="character" w:customStyle="1" w:styleId="mw-formatted-date">
    <w:name w:val="mw-formatted-date"/>
    <w:basedOn w:val="DefaultParagraphFont"/>
  </w:style>
  <w:style w:type="paragraph" w:customStyle="1" w:styleId="MediumGrid1-Accent22">
    <w:name w:val="Medium Grid 1 - Accent 22"/>
    <w:basedOn w:val="Normal"/>
    <w:qFormat/>
    <w:pPr>
      <w:spacing w:after="200" w:line="276" w:lineRule="auto"/>
      <w:ind w:left="720"/>
    </w:pPr>
    <w:rPr>
      <w:rFonts w:ascii="Calibri" w:eastAsia="Calibri" w:hAnsi="Calibri"/>
      <w:i/>
      <w:color w:val="auto"/>
    </w:rPr>
  </w:style>
  <w:style w:type="character" w:customStyle="1" w:styleId="CharChar3">
    <w:name w:val="Char Char3"/>
    <w:rPr>
      <w:sz w:val="22"/>
      <w:szCs w:val="22"/>
    </w:rPr>
  </w:style>
  <w:style w:type="character" w:customStyle="1" w:styleId="fm-citation-ids-label1">
    <w:name w:val="fm-citation-ids-label1"/>
    <w:rPr>
      <w:color w:val="333333"/>
    </w:rPr>
  </w:style>
  <w:style w:type="character" w:customStyle="1" w:styleId="citation-abbreviation2">
    <w:name w:val="citation-abbreviation2"/>
    <w:basedOn w:val="DefaultParagraphFont"/>
  </w:style>
  <w:style w:type="character" w:customStyle="1" w:styleId="citation-publication-date">
    <w:name w:val="citation-publication-date"/>
    <w:basedOn w:val="DefaultParagraphFont"/>
  </w:style>
  <w:style w:type="character" w:customStyle="1" w:styleId="citation-volume">
    <w:name w:val="citation-volume"/>
    <w:basedOn w:val="DefaultParagraphFont"/>
  </w:style>
  <w:style w:type="character" w:customStyle="1" w:styleId="citation-issue">
    <w:name w:val="citation-issue"/>
    <w:basedOn w:val="DefaultParagraphFont"/>
  </w:style>
  <w:style w:type="character" w:customStyle="1" w:styleId="citation-flpages">
    <w:name w:val="citation-flpages"/>
    <w:basedOn w:val="DefaultParagraphFont"/>
  </w:style>
  <w:style w:type="paragraph" w:customStyle="1" w:styleId="citation">
    <w:name w:val="citation"/>
    <w:basedOn w:val="Normal"/>
    <w:pPr>
      <w:spacing w:before="100" w:after="100"/>
    </w:pPr>
    <w:rPr>
      <w:i/>
      <w:color w:val="auto"/>
      <w:sz w:val="18"/>
    </w:rPr>
  </w:style>
  <w:style w:type="paragraph" w:customStyle="1" w:styleId="authlist">
    <w:name w:val="auth_list"/>
    <w:basedOn w:val="Normal"/>
    <w:pPr>
      <w:spacing w:before="100" w:after="100"/>
    </w:pPr>
    <w:rPr>
      <w:i/>
      <w:color w:val="auto"/>
      <w:sz w:val="18"/>
    </w:rPr>
  </w:style>
  <w:style w:type="paragraph" w:customStyle="1" w:styleId="MDthesisHeading2">
    <w:name w:val="MD thesis Heading 2"/>
    <w:basedOn w:val="Heading2"/>
    <w:next w:val="Normal"/>
    <w:autoRedefine/>
    <w:pPr>
      <w:tabs>
        <w:tab w:val="left" w:pos="709"/>
      </w:tabs>
      <w:spacing w:before="120" w:line="360" w:lineRule="auto"/>
      <w:ind w:firstLine="720"/>
    </w:pPr>
    <w:rPr>
      <w:b w:val="0"/>
      <w:i/>
      <w:snapToGrid/>
    </w:rPr>
  </w:style>
  <w:style w:type="paragraph" w:customStyle="1" w:styleId="title1">
    <w:name w:val="title1"/>
    <w:basedOn w:val="Normal"/>
    <w:pPr>
      <w:spacing w:after="0"/>
    </w:pPr>
    <w:rPr>
      <w:i/>
      <w:color w:val="auto"/>
      <w:sz w:val="29"/>
    </w:rPr>
  </w:style>
  <w:style w:type="paragraph" w:customStyle="1" w:styleId="rprtbody1">
    <w:name w:val="rprtbody1"/>
    <w:basedOn w:val="Normal"/>
    <w:pPr>
      <w:spacing w:before="34" w:after="34"/>
    </w:pPr>
    <w:rPr>
      <w:i/>
      <w:color w:val="auto"/>
      <w:sz w:val="28"/>
    </w:rPr>
  </w:style>
  <w:style w:type="paragraph" w:customStyle="1" w:styleId="aux1">
    <w:name w:val="aux1"/>
    <w:basedOn w:val="Normal"/>
    <w:pPr>
      <w:spacing w:after="0" w:line="320" w:lineRule="atLeast"/>
    </w:pPr>
    <w:rPr>
      <w:i/>
      <w:color w:val="auto"/>
      <w:sz w:val="18"/>
    </w:rPr>
  </w:style>
  <w:style w:type="character" w:customStyle="1" w:styleId="src1">
    <w:name w:val="src1"/>
    <w:rPr>
      <w:vanish w:val="0"/>
      <w:webHidden w:val="0"/>
      <w:specVanish w:val="0"/>
    </w:rPr>
  </w:style>
  <w:style w:type="character" w:customStyle="1" w:styleId="jrnl">
    <w:name w:val="jrnl"/>
    <w:basedOn w:val="DefaultParagraphFont"/>
  </w:style>
  <w:style w:type="character" w:customStyle="1" w:styleId="prevauthlinks1">
    <w:name w:val="prevauthlinks1"/>
    <w:rPr>
      <w:color w:val="C0C0C0"/>
      <w:u w:val="single"/>
    </w:rPr>
  </w:style>
  <w:style w:type="character" w:customStyle="1" w:styleId="nbapihighlight">
    <w:name w:val="nbapihighlight"/>
    <w:basedOn w:val="DefaultParagraphFont"/>
  </w:style>
  <w:style w:type="character" w:customStyle="1" w:styleId="bf">
    <w:name w:val="bf"/>
    <w:basedOn w:val="DefaultParagraphFont"/>
  </w:style>
  <w:style w:type="character" w:customStyle="1" w:styleId="it">
    <w:name w:val="it"/>
    <w:basedOn w:val="DefaultParagraphFont"/>
  </w:style>
  <w:style w:type="paragraph" w:customStyle="1" w:styleId="ptdocpara">
    <w:name w:val="ptdocpara"/>
    <w:basedOn w:val="Normal"/>
    <w:pPr>
      <w:spacing w:before="100" w:after="100"/>
    </w:pPr>
    <w:rPr>
      <w:i/>
      <w:color w:val="auto"/>
      <w:sz w:val="18"/>
    </w:rPr>
  </w:style>
  <w:style w:type="character" w:customStyle="1" w:styleId="ptdocpublication">
    <w:name w:val="ptdocpublication"/>
    <w:basedOn w:val="DefaultParagraphFont"/>
  </w:style>
  <w:style w:type="character" w:customStyle="1" w:styleId="ptdocissuevolume">
    <w:name w:val="ptdocissuevolume"/>
    <w:basedOn w:val="DefaultParagraphFont"/>
  </w:style>
  <w:style w:type="character" w:customStyle="1" w:styleId="ptdocissuedate">
    <w:name w:val="ptdocissuedate"/>
    <w:basedOn w:val="DefaultParagraphFont"/>
  </w:style>
  <w:style w:type="character" w:customStyle="1" w:styleId="ptdocissuepage">
    <w:name w:val="ptdocissuepage"/>
    <w:basedOn w:val="DefaultParagraphFont"/>
  </w:style>
  <w:style w:type="paragraph" w:customStyle="1" w:styleId="Referencetext121">
    <w:name w:val="סגנון Reference text + ‏12 נק מודגש1"/>
    <w:basedOn w:val="Normal"/>
    <w:autoRedefine/>
    <w:pPr>
      <w:spacing w:after="0" w:line="480" w:lineRule="auto"/>
      <w:jc w:val="both"/>
    </w:pPr>
    <w:rPr>
      <w:i/>
      <w:color w:val="auto"/>
      <w:sz w:val="18"/>
    </w:rPr>
  </w:style>
  <w:style w:type="paragraph" w:customStyle="1" w:styleId="10">
    <w:name w:val="סגנון כותרת 1 +"/>
    <w:basedOn w:val="Heading1"/>
    <w:pPr>
      <w:spacing w:after="60"/>
    </w:pPr>
    <w:rPr>
      <w:rFonts w:ascii="Arial" w:hAnsi="Arial"/>
      <w:i/>
      <w:color w:val="auto"/>
      <w:kern w:val="32"/>
      <w:sz w:val="32"/>
    </w:rPr>
  </w:style>
  <w:style w:type="paragraph" w:customStyle="1" w:styleId="14">
    <w:name w:val="אותיות גדולות 14"/>
    <w:basedOn w:val="10"/>
    <w:rPr>
      <w:b w:val="0"/>
    </w:rPr>
  </w:style>
  <w:style w:type="paragraph" w:customStyle="1" w:styleId="a3">
    <w:name w:val="טקסט מרכזי"/>
    <w:basedOn w:val="Normal"/>
    <w:pPr>
      <w:spacing w:after="0" w:line="480" w:lineRule="auto"/>
      <w:jc w:val="both"/>
    </w:pPr>
    <w:rPr>
      <w:rFonts w:ascii="Arial" w:hAnsi="Arial"/>
      <w:i/>
      <w:color w:val="auto"/>
      <w:sz w:val="18"/>
    </w:rPr>
  </w:style>
  <w:style w:type="character" w:customStyle="1" w:styleId="search1">
    <w:name w:val="search1"/>
    <w:rPr>
      <w:color w:val="228622"/>
    </w:rPr>
  </w:style>
  <w:style w:type="character" w:customStyle="1" w:styleId="style221">
    <w:name w:val="style221"/>
    <w:rPr>
      <w:color w:val="006633"/>
    </w:rPr>
  </w:style>
  <w:style w:type="character" w:customStyle="1" w:styleId="medium-normal1">
    <w:name w:val="medium-normal1"/>
    <w:rPr>
      <w:rFonts w:ascii="Arial" w:hAnsi="Arial" w:cs="Arial" w:hint="default"/>
      <w:b w:val="0"/>
      <w:bCs w:val="0"/>
      <w:i w:val="0"/>
      <w:iCs w:val="0"/>
      <w:sz w:val="20"/>
      <w:szCs w:val="20"/>
    </w:rPr>
  </w:style>
  <w:style w:type="character" w:styleId="HTMLVariable">
    <w:name w:val="HTML Variable"/>
    <w:rPr>
      <w:rFonts w:ascii="Verdana" w:hAnsi="Verdana" w:hint="default"/>
      <w:i w:val="0"/>
      <w:iCs w:val="0"/>
      <w:color w:val="000000"/>
      <w:sz w:val="20"/>
      <w:szCs w:val="20"/>
    </w:rPr>
  </w:style>
  <w:style w:type="paragraph" w:customStyle="1" w:styleId="last">
    <w:name w:val="last"/>
    <w:basedOn w:val="Normal"/>
    <w:pPr>
      <w:spacing w:before="100" w:after="100"/>
    </w:pPr>
    <w:rPr>
      <w:rFonts w:eastAsia="Calibri"/>
      <w:i/>
      <w:color w:val="auto"/>
      <w:sz w:val="18"/>
    </w:rPr>
  </w:style>
  <w:style w:type="paragraph" w:customStyle="1" w:styleId="firstlast">
    <w:name w:val="first last"/>
    <w:basedOn w:val="Normal"/>
    <w:pPr>
      <w:spacing w:before="100" w:after="100"/>
    </w:pPr>
    <w:rPr>
      <w:rFonts w:eastAsia="Calibri"/>
      <w:i/>
      <w:color w:val="auto"/>
      <w:sz w:val="18"/>
    </w:rPr>
  </w:style>
  <w:style w:type="character" w:customStyle="1" w:styleId="databold1">
    <w:name w:val="data_bold1"/>
    <w:rPr>
      <w:b/>
      <w:bCs/>
    </w:rPr>
  </w:style>
  <w:style w:type="paragraph" w:customStyle="1" w:styleId="normaltext">
    <w:name w:val="normaltext"/>
    <w:basedOn w:val="Normal"/>
    <w:pPr>
      <w:spacing w:before="120" w:after="60"/>
    </w:pPr>
    <w:rPr>
      <w:rFonts w:ascii="Arial" w:hAnsi="Arial"/>
      <w:i/>
      <w:sz w:val="20"/>
    </w:rPr>
  </w:style>
  <w:style w:type="paragraph" w:customStyle="1" w:styleId="heading10">
    <w:name w:val="heading1"/>
    <w:basedOn w:val="Normal"/>
    <w:next w:val="Normal"/>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i/>
      <w:color w:val="auto"/>
      <w:sz w:val="18"/>
    </w:rPr>
  </w:style>
  <w:style w:type="character" w:customStyle="1" w:styleId="heading1Carattere">
    <w:name w:val="heading1 Carattere"/>
    <w:rPr>
      <w:rFonts w:ascii="Times" w:hAnsi="Times"/>
      <w:b/>
      <w:noProof w:val="0"/>
      <w:sz w:val="24"/>
      <w:lang w:val="en-US" w:eastAsia="de-DE" w:bidi="ar-SA"/>
    </w:rPr>
  </w:style>
  <w:style w:type="paragraph" w:customStyle="1" w:styleId="literaturelist">
    <w:name w:val="literature list"/>
    <w:basedOn w:val="Normal"/>
    <w:pPr>
      <w:tabs>
        <w:tab w:val="num" w:pos="720"/>
        <w:tab w:val="left" w:pos="5760"/>
      </w:tabs>
      <w:spacing w:after="0" w:line="480" w:lineRule="auto"/>
      <w:ind w:left="720" w:right="170" w:hanging="360"/>
      <w:jc w:val="both"/>
      <w:outlineLvl w:val="0"/>
    </w:pPr>
    <w:rPr>
      <w:i/>
      <w:noProof/>
      <w:color w:val="auto"/>
      <w:sz w:val="18"/>
    </w:rPr>
  </w:style>
  <w:style w:type="character" w:customStyle="1" w:styleId="body1">
    <w:name w:val="body1"/>
    <w:rPr>
      <w:rFonts w:ascii="Verdana" w:hAnsi="Verdana" w:hint="default"/>
      <w:sz w:val="20"/>
      <w:szCs w:val="20"/>
    </w:rPr>
  </w:style>
  <w:style w:type="character" w:customStyle="1" w:styleId="bodybold1">
    <w:name w:val="bodybold1"/>
    <w:rPr>
      <w:rFonts w:ascii="Verdana" w:hAnsi="Verdana" w:hint="default"/>
      <w:b/>
      <w:bCs/>
      <w:sz w:val="20"/>
      <w:szCs w:val="20"/>
    </w:rPr>
  </w:style>
  <w:style w:type="paragraph" w:customStyle="1" w:styleId="CM1">
    <w:name w:val="CM1"/>
    <w:basedOn w:val="Default"/>
    <w:next w:val="Default"/>
    <w:pPr>
      <w:widowControl w:val="0"/>
    </w:pPr>
    <w:rPr>
      <w:color w:val="auto"/>
    </w:rPr>
  </w:style>
  <w:style w:type="paragraph" w:customStyle="1" w:styleId="CM2">
    <w:name w:val="CM2"/>
    <w:basedOn w:val="Default"/>
    <w:next w:val="Default"/>
    <w:pPr>
      <w:widowControl w:val="0"/>
      <w:spacing w:line="553" w:lineRule="atLeast"/>
    </w:pPr>
    <w:rPr>
      <w:color w:val="auto"/>
    </w:rPr>
  </w:style>
  <w:style w:type="paragraph" w:customStyle="1" w:styleId="CM27">
    <w:name w:val="CM27"/>
    <w:basedOn w:val="Default"/>
    <w:next w:val="Default"/>
    <w:pPr>
      <w:widowControl w:val="0"/>
      <w:spacing w:after="78"/>
    </w:pPr>
    <w:rPr>
      <w:color w:val="auto"/>
    </w:rPr>
  </w:style>
  <w:style w:type="paragraph" w:customStyle="1" w:styleId="CM3">
    <w:name w:val="CM3"/>
    <w:basedOn w:val="Default"/>
    <w:next w:val="Default"/>
    <w:pPr>
      <w:widowControl w:val="0"/>
      <w:numPr>
        <w:numId w:val="32"/>
      </w:numPr>
      <w:tabs>
        <w:tab w:val="clear" w:pos="720"/>
        <w:tab w:val="num" w:pos="680"/>
      </w:tabs>
      <w:spacing w:line="551" w:lineRule="atLeast"/>
      <w:ind w:left="0" w:firstLine="0"/>
    </w:pPr>
    <w:rPr>
      <w:color w:val="auto"/>
    </w:rPr>
  </w:style>
  <w:style w:type="paragraph" w:customStyle="1" w:styleId="CM28">
    <w:name w:val="CM28"/>
    <w:basedOn w:val="Default"/>
    <w:next w:val="Default"/>
    <w:pPr>
      <w:widowControl w:val="0"/>
      <w:spacing w:after="412"/>
    </w:pPr>
    <w:rPr>
      <w:color w:val="auto"/>
    </w:rPr>
  </w:style>
  <w:style w:type="paragraph" w:customStyle="1" w:styleId="CM30">
    <w:name w:val="CM30"/>
    <w:basedOn w:val="Default"/>
    <w:next w:val="Default"/>
    <w:pPr>
      <w:widowControl w:val="0"/>
      <w:spacing w:after="75"/>
    </w:pPr>
    <w:rPr>
      <w:color w:val="auto"/>
    </w:rPr>
  </w:style>
  <w:style w:type="paragraph" w:customStyle="1" w:styleId="CM10">
    <w:name w:val="CM10"/>
    <w:basedOn w:val="Default"/>
    <w:next w:val="Default"/>
    <w:pPr>
      <w:widowControl w:val="0"/>
      <w:spacing w:line="556" w:lineRule="atLeast"/>
    </w:pPr>
    <w:rPr>
      <w:color w:val="auto"/>
    </w:rPr>
  </w:style>
  <w:style w:type="paragraph" w:customStyle="1" w:styleId="CM32">
    <w:name w:val="CM32"/>
    <w:basedOn w:val="Default"/>
    <w:next w:val="Default"/>
    <w:pPr>
      <w:widowControl w:val="0"/>
      <w:spacing w:after="725"/>
    </w:pPr>
    <w:rPr>
      <w:color w:val="auto"/>
    </w:rPr>
  </w:style>
  <w:style w:type="paragraph" w:customStyle="1" w:styleId="CM33">
    <w:name w:val="CM33"/>
    <w:basedOn w:val="Default"/>
    <w:next w:val="Default"/>
    <w:pPr>
      <w:widowControl w:val="0"/>
      <w:numPr>
        <w:numId w:val="47"/>
      </w:numPr>
      <w:spacing w:after="538"/>
      <w:ind w:left="0" w:firstLine="0"/>
    </w:pPr>
    <w:rPr>
      <w:color w:val="auto"/>
    </w:rPr>
  </w:style>
  <w:style w:type="paragraph" w:customStyle="1" w:styleId="CM16">
    <w:name w:val="CM16"/>
    <w:basedOn w:val="Default"/>
    <w:next w:val="Default"/>
    <w:pPr>
      <w:widowControl w:val="0"/>
      <w:spacing w:line="553" w:lineRule="atLeast"/>
    </w:pPr>
    <w:rPr>
      <w:color w:val="auto"/>
    </w:rPr>
  </w:style>
  <w:style w:type="paragraph" w:customStyle="1" w:styleId="CM19">
    <w:name w:val="CM19"/>
    <w:basedOn w:val="Default"/>
    <w:next w:val="Default"/>
    <w:pPr>
      <w:widowControl w:val="0"/>
      <w:spacing w:line="268" w:lineRule="atLeast"/>
    </w:pPr>
    <w:rPr>
      <w:color w:val="auto"/>
    </w:rPr>
  </w:style>
  <w:style w:type="character" w:customStyle="1" w:styleId="ZchnZchn16">
    <w:name w:val="Zchn Zchn16"/>
    <w:rPr>
      <w:rFonts w:ascii="Arial" w:hAnsi="Arial" w:cs="Arial"/>
      <w:b/>
      <w:bCs/>
      <w:noProof w:val="0"/>
      <w:kern w:val="32"/>
      <w:sz w:val="32"/>
      <w:szCs w:val="32"/>
      <w:lang w:val="en-US" w:eastAsia="en-US" w:bidi="ar-SA"/>
    </w:rPr>
  </w:style>
  <w:style w:type="character" w:customStyle="1" w:styleId="ZchnZchn1">
    <w:name w:val="Zchn Zchn1"/>
    <w:rPr>
      <w:rFonts w:ascii="Cambria" w:hAnsi="Cambria"/>
      <w:b/>
      <w:bCs/>
      <w:noProof w:val="0"/>
      <w:kern w:val="28"/>
      <w:sz w:val="32"/>
      <w:szCs w:val="32"/>
      <w:lang w:val="ca-ES" w:eastAsia="en-US" w:bidi="ar-SA"/>
    </w:rPr>
  </w:style>
  <w:style w:type="paragraph" w:styleId="NoSpacing">
    <w:name w:val="No Spacing"/>
    <w:uiPriority w:val="1"/>
    <w:qFormat/>
    <w:rPr>
      <w:rFonts w:ascii="Times New Roman" w:hAnsi="Times New Roman"/>
      <w:sz w:val="24"/>
      <w:lang w:eastAsia="ko-KR"/>
    </w:rPr>
  </w:style>
  <w:style w:type="character" w:customStyle="1" w:styleId="ZchnZchn">
    <w:name w:val="Zchn Zchn"/>
    <w:rPr>
      <w:rFonts w:ascii="Calibri" w:hAnsi="Calibri"/>
      <w:noProof w:val="0"/>
      <w:lang w:val="ca-ES" w:eastAsia="en-US" w:bidi="ar-SA"/>
    </w:rPr>
  </w:style>
  <w:style w:type="paragraph" w:customStyle="1" w:styleId="references0">
    <w:name w:val="references"/>
    <w:basedOn w:val="Normal"/>
    <w:pPr>
      <w:spacing w:before="60" w:after="60"/>
      <w:ind w:left="1134" w:hanging="1134"/>
      <w:jc w:val="both"/>
    </w:pPr>
    <w:rPr>
      <w:rFonts w:ascii="Garamond" w:hAnsi="Garamond"/>
      <w:i/>
      <w:color w:val="auto"/>
      <w:sz w:val="20"/>
    </w:rPr>
  </w:style>
  <w:style w:type="paragraph" w:customStyle="1" w:styleId="refs">
    <w:name w:val="refs"/>
    <w:basedOn w:val="Normal"/>
    <w:pPr>
      <w:spacing w:before="100" w:after="100"/>
    </w:pPr>
    <w:rPr>
      <w:i/>
      <w:color w:val="auto"/>
      <w:sz w:val="18"/>
    </w:rPr>
  </w:style>
  <w:style w:type="character" w:customStyle="1" w:styleId="ital">
    <w:name w:val="ital"/>
    <w:basedOn w:val="DefaultParagraphFont"/>
  </w:style>
  <w:style w:type="paragraph" w:customStyle="1" w:styleId="Literaturverzeichnis">
    <w:name w:val="Literaturverzeichnis"/>
    <w:basedOn w:val="Normal"/>
    <w:next w:val="Normal"/>
    <w:unhideWhenUsed/>
    <w:pPr>
      <w:spacing w:after="200" w:line="276" w:lineRule="auto"/>
    </w:pPr>
    <w:rPr>
      <w:rFonts w:ascii="Calibri" w:hAnsi="Calibri"/>
      <w:i/>
      <w:color w:val="auto"/>
      <w:lang w:val="de-DE"/>
    </w:rPr>
  </w:style>
  <w:style w:type="character" w:customStyle="1" w:styleId="databold">
    <w:name w:val="data_bold"/>
    <w:basedOn w:val="DefaultParagraphFont"/>
  </w:style>
  <w:style w:type="character" w:customStyle="1" w:styleId="cmpparsedlocationcmpparsedstyle">
    <w:name w:val="cmp_parsed_location cmp_parsed_style"/>
    <w:basedOn w:val="DefaultParagraphFont"/>
  </w:style>
  <w:style w:type="paragraph" w:customStyle="1" w:styleId="MediumGrid1-Accent21">
    <w:name w:val="Medium Grid 1 - Accent 21"/>
    <w:basedOn w:val="Normal"/>
    <w:qFormat/>
    <w:pPr>
      <w:spacing w:after="200" w:line="276" w:lineRule="auto"/>
      <w:ind w:left="720"/>
    </w:pPr>
    <w:rPr>
      <w:rFonts w:ascii="Calibri" w:eastAsia="Calibri" w:hAnsi="Calibri"/>
      <w:b/>
      <w:i/>
      <w:color w:val="auto"/>
    </w:rPr>
  </w:style>
  <w:style w:type="paragraph" w:customStyle="1" w:styleId="ReferencesNIPIndia">
    <w:name w:val="References NIP India"/>
    <w:basedOn w:val="Normal"/>
    <w:qFormat/>
    <w:pPr>
      <w:spacing w:before="20" w:after="20"/>
      <w:ind w:left="709" w:right="720" w:hanging="709"/>
    </w:pPr>
    <w:rPr>
      <w:b/>
      <w:i/>
      <w:color w:val="auto"/>
      <w:sz w:val="18"/>
      <w:lang w:val="en-CA"/>
    </w:rPr>
  </w:style>
  <w:style w:type="character" w:customStyle="1" w:styleId="FootnoteTextChar">
    <w:name w:val="Footnote Text Char"/>
    <w:aliases w:val="Geneva 9 Char,Font: Geneva 9 Char,Boston 10 Char,f Char,Fußnotentextf Char,Texto de nota de rodapé Char,Footnote Text Char1,Fußnotentextf Char1,-E Fußnotentext Char,Fußnotentext Ursprung Char,-E Fußnotentext1 Char"/>
    <w:uiPriority w:val="99"/>
    <w:rPr>
      <w:sz w:val="20"/>
      <w:szCs w:val="20"/>
    </w:rPr>
  </w:style>
  <w:style w:type="character" w:customStyle="1" w:styleId="BodyTextIndent2Char">
    <w:name w:val="Body Text Indent 2 Char"/>
    <w:basedOn w:val="DefaultParagraphFont"/>
    <w:semiHidden/>
  </w:style>
  <w:style w:type="paragraph" w:customStyle="1" w:styleId="Textedebulles">
    <w:name w:val="Texte de bulles"/>
    <w:basedOn w:val="Normal"/>
    <w:semiHidden/>
    <w:pPr>
      <w:spacing w:before="100" w:after="0"/>
      <w:ind w:right="720"/>
      <w:jc w:val="both"/>
    </w:pPr>
    <w:rPr>
      <w:rFonts w:ascii="Tahoma" w:hAnsi="Tahoma"/>
      <w:color w:val="auto"/>
      <w:sz w:val="16"/>
    </w:rPr>
  </w:style>
  <w:style w:type="character" w:customStyle="1" w:styleId="CarCar2">
    <w:name w:val="Car Car2"/>
    <w:locked/>
    <w:rPr>
      <w:rFonts w:cs="MS Gothic"/>
      <w:noProof w:val="0"/>
      <w:lang w:val="en-US" w:eastAsia="ja-JP" w:bidi="he-IL"/>
    </w:rPr>
  </w:style>
  <w:style w:type="character" w:customStyle="1" w:styleId="CarCar1">
    <w:name w:val="Car Car1"/>
    <w:locked/>
    <w:rPr>
      <w:rFonts w:cs="MS Gothic"/>
      <w:noProof w:val="0"/>
      <w:lang w:val="en-US" w:eastAsia="ja-JP" w:bidi="he-IL"/>
    </w:rPr>
  </w:style>
  <w:style w:type="character" w:customStyle="1" w:styleId="CharChar4">
    <w:name w:val="Char Char4"/>
    <w:rPr>
      <w:sz w:val="22"/>
      <w:szCs w:val="22"/>
    </w:rPr>
  </w:style>
  <w:style w:type="character" w:customStyle="1" w:styleId="ZchnZchn15">
    <w:name w:val="Zchn Zchn15"/>
    <w:rPr>
      <w:rFonts w:ascii="Arial" w:hAnsi="Arial" w:cs="Arial"/>
      <w:b/>
      <w:bCs/>
      <w:i/>
      <w:iCs/>
      <w:noProof w:val="0"/>
      <w:sz w:val="28"/>
      <w:szCs w:val="28"/>
      <w:lang w:val="en-US" w:eastAsia="en-US" w:bidi="ar-SA"/>
    </w:rPr>
  </w:style>
  <w:style w:type="character" w:customStyle="1" w:styleId="ZchnZchn14">
    <w:name w:val="Zchn Zchn14"/>
    <w:rPr>
      <w:rFonts w:ascii="Arial" w:hAnsi="Arial" w:cs="Arial"/>
      <w:b/>
      <w:bCs/>
      <w:noProof w:val="0"/>
      <w:sz w:val="26"/>
      <w:szCs w:val="26"/>
      <w:lang w:val="en-US" w:eastAsia="en-US" w:bidi="ar-SA"/>
    </w:rPr>
  </w:style>
  <w:style w:type="character" w:customStyle="1" w:styleId="ZchnZchn13">
    <w:name w:val="Zchn Zchn13"/>
    <w:rPr>
      <w:rFonts w:ascii="Arial" w:hAnsi="Arial" w:cs="Arial"/>
      <w:b/>
      <w:bCs/>
      <w:noProof w:val="0"/>
      <w:sz w:val="24"/>
      <w:szCs w:val="24"/>
      <w:lang w:val="de-DE" w:eastAsia="de-DE" w:bidi="ar-SA"/>
    </w:rPr>
  </w:style>
  <w:style w:type="character" w:customStyle="1" w:styleId="ZchnZchn12">
    <w:name w:val="Zchn Zchn12"/>
    <w:rPr>
      <w:rFonts w:ascii="Arial" w:hAnsi="Arial" w:cs="Arial"/>
      <w:b/>
      <w:bCs/>
      <w:noProof w:val="0"/>
      <w:sz w:val="24"/>
      <w:szCs w:val="24"/>
      <w:lang w:val="de-DE" w:eastAsia="de-DE" w:bidi="ar-SA"/>
    </w:rPr>
  </w:style>
  <w:style w:type="character" w:customStyle="1" w:styleId="ZchnZchn11">
    <w:name w:val="Zchn Zchn11"/>
    <w:rPr>
      <w:rFonts w:ascii="Arial" w:hAnsi="Arial" w:cs="Arial"/>
      <w:b/>
      <w:bCs/>
      <w:noProof w:val="0"/>
      <w:lang w:val="de-DE" w:eastAsia="de-DE" w:bidi="ar-SA"/>
    </w:rPr>
  </w:style>
  <w:style w:type="character" w:customStyle="1" w:styleId="ZchnZchn10">
    <w:name w:val="Zchn Zchn10"/>
    <w:rPr>
      <w:rFonts w:ascii="Arial" w:hAnsi="Arial" w:cs="Arial"/>
      <w:b/>
      <w:bCs/>
      <w:noProof w:val="0"/>
      <w:sz w:val="28"/>
      <w:szCs w:val="28"/>
      <w:lang w:val="de-DE" w:eastAsia="de-DE" w:bidi="ar-SA"/>
    </w:rPr>
  </w:style>
  <w:style w:type="character" w:customStyle="1" w:styleId="ZchnZchn9">
    <w:name w:val="Zchn Zchn9"/>
    <w:rPr>
      <w:rFonts w:ascii="Arial" w:hAnsi="Arial" w:cs="Arial"/>
      <w:b/>
      <w:bCs/>
      <w:noProof w:val="0"/>
      <w:lang w:val="de-DE" w:eastAsia="de-DE" w:bidi="ar-SA"/>
    </w:rPr>
  </w:style>
  <w:style w:type="character" w:customStyle="1" w:styleId="ZchnZchn8">
    <w:name w:val="Zchn Zchn8"/>
    <w:rPr>
      <w:rFonts w:ascii="Arial" w:hAnsi="Arial" w:cs="Arial"/>
      <w:noProof w:val="0"/>
      <w:sz w:val="24"/>
      <w:szCs w:val="24"/>
      <w:lang w:val="de-DE" w:eastAsia="de-DE" w:bidi="ar-SA"/>
    </w:rPr>
  </w:style>
  <w:style w:type="character" w:customStyle="1" w:styleId="CharCharZchn">
    <w:name w:val="Char Char Zchn"/>
    <w:aliases w:val="Body Text Char Char Char Char Char Zchn,Body Text Char Char Char Char Zchn Zchn"/>
    <w:semiHidden/>
    <w:locked/>
    <w:rPr>
      <w:rFonts w:eastAsia="MS Mincho"/>
      <w:noProof w:val="0"/>
      <w:color w:val="000000"/>
      <w:sz w:val="24"/>
      <w:lang w:val="en-GB" w:eastAsia="zh-CN" w:bidi="ar-SA"/>
    </w:rPr>
  </w:style>
  <w:style w:type="character" w:customStyle="1" w:styleId="ZchnZchn4">
    <w:name w:val="Zchn Zchn4"/>
    <w:rPr>
      <w:noProof w:val="0"/>
      <w:sz w:val="24"/>
      <w:szCs w:val="24"/>
      <w:lang w:val="en-US" w:eastAsia="en-US" w:bidi="ar-SA"/>
    </w:rPr>
  </w:style>
  <w:style w:type="character" w:customStyle="1" w:styleId="ZchnZchn7">
    <w:name w:val="Zchn Zchn7"/>
    <w:rPr>
      <w:noProof w:val="0"/>
      <w:sz w:val="24"/>
      <w:szCs w:val="24"/>
      <w:lang w:val="en-US" w:eastAsia="en-US" w:bidi="ar-SA"/>
    </w:rPr>
  </w:style>
  <w:style w:type="character" w:customStyle="1" w:styleId="ZchnZchn6">
    <w:name w:val="Zchn Zchn6"/>
    <w:rPr>
      <w:rFonts w:ascii="Courier New" w:hAnsi="Courier New" w:cs="MS Gothic"/>
      <w:noProof w:val="0"/>
      <w:lang w:val="de-DE" w:eastAsia="de-DE" w:bidi="ar-SA"/>
    </w:rPr>
  </w:style>
  <w:style w:type="character" w:customStyle="1" w:styleId="ZchnZchn5">
    <w:name w:val="Zchn Zchn5"/>
    <w:rPr>
      <w:rFonts w:ascii="Arial" w:hAnsi="Arial" w:cs="Arial"/>
      <w:noProof w:val="0"/>
      <w:sz w:val="24"/>
      <w:szCs w:val="24"/>
      <w:lang w:val="de-DE" w:eastAsia="de-DE" w:bidi="ar-SA"/>
    </w:rPr>
  </w:style>
  <w:style w:type="character" w:customStyle="1" w:styleId="ZchnZchn3">
    <w:name w:val="Zchn Zchn3"/>
    <w:rPr>
      <w:rFonts w:ascii="Arial" w:hAnsi="Arial" w:cs="Arial"/>
      <w:noProof w:val="0"/>
      <w:sz w:val="24"/>
      <w:szCs w:val="24"/>
      <w:lang w:val="de-DE" w:eastAsia="de-DE" w:bidi="ar-SA"/>
    </w:rPr>
  </w:style>
  <w:style w:type="paragraph" w:customStyle="1" w:styleId="11">
    <w:name w:val="コメント内容1"/>
    <w:basedOn w:val="CommentText"/>
    <w:next w:val="CommentText"/>
    <w:semiHidden/>
    <w:pPr>
      <w:spacing w:after="0"/>
    </w:pPr>
    <w:rPr>
      <w:rFonts w:ascii="Century" w:eastAsia="MS Mincho" w:hAnsi="Century"/>
      <w:b/>
      <w:bCs/>
      <w:kern w:val="2"/>
      <w:sz w:val="24"/>
      <w:szCs w:val="24"/>
      <w:lang w:val="en-US" w:eastAsia="ja-JP"/>
    </w:rPr>
  </w:style>
  <w:style w:type="paragraph" w:customStyle="1" w:styleId="12">
    <w:name w:val="吹き出し1"/>
    <w:basedOn w:val="Normal"/>
    <w:semiHidden/>
    <w:pPr>
      <w:widowControl w:val="0"/>
      <w:spacing w:after="0"/>
      <w:jc w:val="both"/>
    </w:pPr>
    <w:rPr>
      <w:rFonts w:ascii="Arial" w:eastAsia="MS Gothic" w:hAnsi="Arial"/>
      <w:color w:val="auto"/>
      <w:kern w:val="2"/>
      <w:sz w:val="18"/>
      <w:szCs w:val="18"/>
      <w:lang w:val="en-US" w:eastAsia="ja-JP"/>
    </w:rPr>
  </w:style>
  <w:style w:type="paragraph" w:customStyle="1" w:styleId="a4">
    <w:name w:val="批注框文本"/>
    <w:basedOn w:val="Normal"/>
    <w:semiHidden/>
    <w:pPr>
      <w:widowControl w:val="0"/>
      <w:spacing w:after="0"/>
      <w:jc w:val="both"/>
    </w:pPr>
    <w:rPr>
      <w:rFonts w:eastAsia="MS Mincho"/>
      <w:color w:val="auto"/>
      <w:kern w:val="2"/>
      <w:sz w:val="18"/>
      <w:szCs w:val="18"/>
      <w:lang w:val="en-US" w:eastAsia="ja-JP"/>
    </w:rPr>
  </w:style>
  <w:style w:type="paragraph" w:customStyle="1" w:styleId="a5">
    <w:name w:val="批注主题"/>
    <w:basedOn w:val="CommentText"/>
    <w:next w:val="CommentText"/>
    <w:semiHidden/>
    <w:pPr>
      <w:spacing w:after="0"/>
    </w:pPr>
    <w:rPr>
      <w:rFonts w:ascii="Century" w:eastAsia="MS Mincho" w:hAnsi="Century"/>
      <w:b/>
      <w:bCs/>
      <w:kern w:val="2"/>
      <w:sz w:val="24"/>
      <w:szCs w:val="24"/>
      <w:lang w:val="en-US" w:eastAsia="ja-JP"/>
    </w:rPr>
  </w:style>
  <w:style w:type="paragraph" w:customStyle="1" w:styleId="Textodeglobo1">
    <w:name w:val="Texto de globo1"/>
    <w:basedOn w:val="Normal"/>
    <w:semiHidden/>
    <w:pPr>
      <w:widowControl w:val="0"/>
      <w:spacing w:after="0"/>
      <w:jc w:val="both"/>
    </w:pPr>
    <w:rPr>
      <w:rFonts w:ascii="Tahoma" w:eastAsia="MS Mincho" w:hAnsi="Tahoma" w:cs="Times New Roman Bold"/>
      <w:color w:val="auto"/>
      <w:kern w:val="2"/>
      <w:sz w:val="16"/>
      <w:szCs w:val="16"/>
      <w:lang w:val="en-US" w:eastAsia="ja-JP"/>
    </w:rPr>
  </w:style>
  <w:style w:type="paragraph" w:customStyle="1" w:styleId="a7">
    <w:name w:val="スタイル"/>
    <w:pPr>
      <w:widowControl w:val="0"/>
      <w:autoSpaceDE w:val="0"/>
      <w:autoSpaceDN w:val="0"/>
      <w:adjustRightInd w:val="0"/>
    </w:pPr>
    <w:rPr>
      <w:rFonts w:ascii="Times New Roman" w:eastAsia="MS Mincho" w:hAnsi="Times New Roman"/>
      <w:sz w:val="24"/>
      <w:szCs w:val="24"/>
      <w:lang w:eastAsia="ja-JP"/>
    </w:rPr>
  </w:style>
  <w:style w:type="paragraph" w:customStyle="1" w:styleId="BodyText13">
    <w:name w:val="Body Text13"/>
    <w:basedOn w:val="Normal"/>
    <w:rPr>
      <w:szCs w:val="24"/>
    </w:rPr>
  </w:style>
  <w:style w:type="paragraph" w:customStyle="1" w:styleId="Tableandfigureheaders">
    <w:name w:val="Table and figure headers"/>
    <w:basedOn w:val="Caption"/>
    <w:autoRedefine/>
    <w:rsid w:val="00DA0F78"/>
    <w:pPr>
      <w:keepNext/>
      <w:spacing w:after="200" w:line="240" w:lineRule="auto"/>
      <w:ind w:left="1417" w:hanging="992"/>
      <w:jc w:val="both"/>
    </w:pPr>
    <w:rPr>
      <w:b/>
      <w:bCs/>
      <w:color w:val="auto"/>
      <w:sz w:val="24"/>
      <w:szCs w:val="24"/>
      <w:lang w:eastAsia="en-US"/>
    </w:rPr>
  </w:style>
  <w:style w:type="paragraph" w:customStyle="1" w:styleId="Tableandfigfooter">
    <w:name w:val="Table and fig footer"/>
    <w:basedOn w:val="Paraindent"/>
    <w:pPr>
      <w:spacing w:before="0" w:after="0"/>
      <w:ind w:left="425" w:right="0"/>
    </w:pPr>
    <w:rPr>
      <w:rFonts w:ascii="Calibri" w:hAnsi="Calibri"/>
      <w:i w:val="0"/>
      <w:noProof/>
      <w:color w:val="auto"/>
      <w:sz w:val="18"/>
      <w:szCs w:val="22"/>
      <w:lang w:eastAsia="en-GB"/>
    </w:rPr>
  </w:style>
  <w:style w:type="character" w:customStyle="1" w:styleId="CharChar23">
    <w:name w:val="Char Char23"/>
    <w:locked/>
    <w:rPr>
      <w:b/>
      <w:bCs w:val="0"/>
      <w:noProof w:val="0"/>
      <w:color w:val="000000"/>
      <w:sz w:val="28"/>
      <w:lang w:val="en-GB" w:eastAsia="zh-CN" w:bidi="ar-SA"/>
    </w:rPr>
  </w:style>
  <w:style w:type="character" w:customStyle="1" w:styleId="CharChar13">
    <w:name w:val="Char Char13"/>
    <w:rPr>
      <w:rFonts w:ascii="Arial" w:hAnsi="Arial" w:cs="Arial" w:hint="default"/>
      <w:noProof w:val="0"/>
      <w:lang w:val="en-GB" w:eastAsia="zh-CN" w:bidi="ar-SA"/>
    </w:rPr>
  </w:style>
  <w:style w:type="character" w:customStyle="1" w:styleId="120">
    <w:name w:val="(文字) (文字)12"/>
    <w:rPr>
      <w:rFonts w:ascii="SimSun" w:eastAsia="SimSun" w:hint="eastAsia"/>
      <w:noProof w:val="0"/>
      <w:sz w:val="24"/>
      <w:szCs w:val="24"/>
      <w:lang w:val="en-US" w:eastAsia="zh-CN" w:bidi="ar-SA"/>
    </w:rPr>
  </w:style>
  <w:style w:type="character" w:customStyle="1" w:styleId="3">
    <w:name w:val="(文字) (文字)3"/>
    <w:rPr>
      <w:rFonts w:ascii="SimSun" w:eastAsia="SimSun" w:hint="eastAsia"/>
      <w:b/>
      <w:bCs/>
      <w:noProof w:val="0"/>
      <w:sz w:val="24"/>
      <w:szCs w:val="24"/>
      <w:lang w:val="en-US" w:eastAsia="en-US" w:bidi="ar-SA"/>
    </w:rPr>
  </w:style>
  <w:style w:type="character" w:customStyle="1" w:styleId="CarCar193">
    <w:name w:val="Car Car193"/>
    <w:locked/>
    <w:rPr>
      <w:rFonts w:ascii="MS Mincho" w:eastAsia="MS Mincho" w:hint="eastAsia"/>
      <w:noProof w:val="0"/>
      <w:color w:val="000000"/>
      <w:sz w:val="24"/>
      <w:szCs w:val="24"/>
      <w:lang w:val="en-GB" w:eastAsia="zh-CN" w:bidi="ar-SA"/>
    </w:rPr>
  </w:style>
  <w:style w:type="character" w:customStyle="1" w:styleId="Heading1Char3">
    <w:name w:val="Heading 1 Char3"/>
    <w:aliases w:val="Para (1) Char2,Heading 1 Char1 Char Char2,Heading 1 Char Char Char Char1,Para (1) Char Char Char Char1,Para (1) Char1 Char Char1,Heading 1 Char1 Char2,Heading 1 Char Char Char2,Para (1) Char Char Char2,Para (1) Char1 Char2"/>
    <w:rsid w:val="00F95F7D"/>
    <w:rPr>
      <w:sz w:val="28"/>
      <w:lang w:eastAsia="en-US"/>
    </w:rPr>
  </w:style>
  <w:style w:type="character" w:customStyle="1" w:styleId="Heading3Char1">
    <w:name w:val="Heading 3 Char1"/>
    <w:aliases w:val="Heading 3 Char1 Char Char,Heading 3 Char Char Char Char,Char Char Char Char Char,Char Char1 Char Char,Heading 3 Char1 Char Char1,Heading 3 Char Char Char Char1,Char Char Char Char Char1,Char Char1 Char Char1,Heading 3 Char1 Char Char11"/>
    <w:qFormat/>
    <w:rsid w:val="0021302E"/>
    <w:rPr>
      <w:b w:val="0"/>
      <w:bCs w:val="0"/>
      <w:i/>
      <w:iCs w:val="0"/>
      <w:noProof w:val="0"/>
      <w:color w:val="000000"/>
      <w:sz w:val="24"/>
      <w:lang w:val="en-GB" w:eastAsia="en-US"/>
    </w:rPr>
  </w:style>
  <w:style w:type="character" w:customStyle="1" w:styleId="Heading4Char1">
    <w:name w:val="Heading 4 Char1"/>
    <w:rPr>
      <w:b/>
      <w:bCs w:val="0"/>
      <w:i/>
      <w:iCs w:val="0"/>
      <w:noProof w:val="0"/>
      <w:snapToGrid w:val="0"/>
      <w:color w:val="000000"/>
      <w:sz w:val="24"/>
      <w:lang w:val="en-GB" w:eastAsia="zh-CN"/>
    </w:rPr>
  </w:style>
  <w:style w:type="character" w:customStyle="1" w:styleId="Heading311ptBoldChar">
    <w:name w:val="Heading 3 + 11 pt Bold Char"/>
    <w:rsid w:val="00EB4F41"/>
    <w:rPr>
      <w:b/>
      <w:i/>
      <w:sz w:val="22"/>
    </w:rPr>
  </w:style>
  <w:style w:type="character" w:customStyle="1" w:styleId="A20">
    <w:name w:val="A2"/>
    <w:uiPriority w:val="99"/>
    <w:rPr>
      <w:b/>
      <w:bCs w:val="0"/>
      <w:color w:val="000000"/>
      <w:sz w:val="12"/>
    </w:rPr>
  </w:style>
  <w:style w:type="character" w:customStyle="1" w:styleId="StyleHeading4Left0Firstline0Char">
    <w:name w:val="Style Heading 4 + Left:  0&quot; First line:  0&quot; Char"/>
    <w:rPr>
      <w:b/>
      <w:bCs w:val="0"/>
      <w:i/>
      <w:iCs w:val="0"/>
      <w:noProof w:val="0"/>
      <w:snapToGrid w:val="0"/>
      <w:color w:val="000000"/>
      <w:sz w:val="24"/>
      <w:lang w:val="en-GB" w:eastAsia="zh-CN"/>
    </w:rPr>
  </w:style>
  <w:style w:type="character" w:customStyle="1" w:styleId="ECMStableheaderChar">
    <w:name w:val="ECMS table header Char"/>
    <w:rPr>
      <w:b/>
      <w:bCs w:val="0"/>
      <w:noProof w:val="0"/>
      <w:sz w:val="24"/>
      <w:lang w:val="en-GB" w:eastAsia="en-GB"/>
    </w:rPr>
  </w:style>
  <w:style w:type="character" w:customStyle="1" w:styleId="maintext1">
    <w:name w:val="maintext1"/>
    <w:rPr>
      <w:rFonts w:ascii="Verdana" w:hAnsi="Verdana" w:hint="default"/>
      <w:sz w:val="20"/>
    </w:rPr>
  </w:style>
  <w:style w:type="character" w:customStyle="1" w:styleId="CharChar43">
    <w:name w:val="Char Char43"/>
    <w:aliases w:val="Heading 3 Char3,Heading 3 Char1 Char2,Heading 3 Char Char Char2,Char Char Char Char2,Char Char1 Char2,Heading 3 Char2 Char1,H3 Char"/>
    <w:locked/>
    <w:rPr>
      <w:noProof w:val="0"/>
      <w:sz w:val="24"/>
      <w:lang w:val="en-US" w:eastAsia="en-AU"/>
    </w:rPr>
  </w:style>
  <w:style w:type="character" w:customStyle="1" w:styleId="apple-style-span">
    <w:name w:val="apple-style-span"/>
    <w:rPr>
      <w:rFonts w:ascii="Times New Roman" w:hAnsi="Times New Roman" w:cs="Times New Roman" w:hint="default"/>
    </w:rPr>
  </w:style>
  <w:style w:type="character" w:customStyle="1" w:styleId="CharChar5">
    <w:name w:val="Char Char5"/>
    <w:locked/>
    <w:rPr>
      <w:rFonts w:ascii="Tahoma" w:hAnsi="Tahoma" w:cs="Times New Roman Bold" w:hint="default"/>
      <w:noProof w:val="0"/>
      <w:sz w:val="16"/>
      <w:lang w:val="en-US" w:eastAsia="en-US"/>
    </w:rPr>
  </w:style>
  <w:style w:type="character" w:customStyle="1" w:styleId="apple-converted-space">
    <w:name w:val="apple-converted-space"/>
    <w:rPr>
      <w:rFonts w:ascii="Times New Roman" w:hAnsi="Times New Roman" w:cs="Times New Roman" w:hint="default"/>
    </w:rPr>
  </w:style>
  <w:style w:type="character" w:customStyle="1" w:styleId="CharChar33">
    <w:name w:val="Char Char33"/>
    <w:locked/>
    <w:rPr>
      <w:noProof w:val="0"/>
      <w:color w:val="000000"/>
      <w:sz w:val="24"/>
      <w:lang w:val="en-GB" w:eastAsia="en-US"/>
    </w:rPr>
  </w:style>
  <w:style w:type="paragraph" w:customStyle="1" w:styleId="listparagraphcxspmiddle">
    <w:name w:val="listparagraphcxspmiddle"/>
    <w:basedOn w:val="Normal"/>
    <w:pPr>
      <w:spacing w:before="100" w:after="100"/>
    </w:pPr>
    <w:rPr>
      <w:color w:val="auto"/>
      <w:lang w:val="en-US"/>
    </w:rPr>
  </w:style>
  <w:style w:type="paragraph" w:customStyle="1" w:styleId="StyleBodyText1After6pt">
    <w:name w:val="Style Body Text1 + After:  6 pt"/>
    <w:basedOn w:val="BodyText13"/>
    <w:rPr>
      <w:szCs w:val="20"/>
    </w:rPr>
  </w:style>
  <w:style w:type="character" w:customStyle="1" w:styleId="DocumentMapChar">
    <w:name w:val="Document Map Char"/>
    <w:semiHidden/>
    <w:rPr>
      <w:rFonts w:ascii="Times New Roman" w:hAnsi="Times New Roman" w:cs="Times New Roman"/>
      <w:color w:val="000000"/>
      <w:sz w:val="0"/>
      <w:szCs w:val="0"/>
    </w:rPr>
  </w:style>
  <w:style w:type="character" w:customStyle="1" w:styleId="SubtitleChar">
    <w:name w:val="Subtitle Char"/>
    <w:rPr>
      <w:rFonts w:ascii="Cambria" w:eastAsia="Times New Roman" w:hAnsi="Cambria" w:cs="Times New Roman"/>
      <w:color w:val="000000"/>
      <w:sz w:val="24"/>
      <w:szCs w:val="24"/>
    </w:rPr>
  </w:style>
  <w:style w:type="character" w:customStyle="1" w:styleId="QuoteChar">
    <w:name w:val="Quote Char"/>
    <w:rPr>
      <w:rFonts w:ascii="Times New Roman" w:hAnsi="Times New Roman"/>
      <w:i/>
      <w:iCs/>
      <w:color w:val="000000"/>
      <w:sz w:val="24"/>
      <w:szCs w:val="24"/>
    </w:rPr>
  </w:style>
  <w:style w:type="character" w:customStyle="1" w:styleId="IntenseQuoteChar">
    <w:name w:val="Intense Quote Char"/>
    <w:rPr>
      <w:rFonts w:ascii="Times New Roman" w:hAnsi="Times New Roman"/>
      <w:b/>
      <w:bCs/>
      <w:i/>
      <w:iCs/>
      <w:color w:val="4F81BD"/>
      <w:sz w:val="24"/>
      <w:szCs w:val="24"/>
    </w:rPr>
  </w:style>
  <w:style w:type="character" w:customStyle="1" w:styleId="A00">
    <w:name w:val="A0"/>
    <w:rPr>
      <w:rFonts w:cs="Arial Unicode MS"/>
      <w:color w:val="000000"/>
      <w:sz w:val="22"/>
      <w:szCs w:val="22"/>
    </w:rPr>
  </w:style>
  <w:style w:type="character" w:customStyle="1" w:styleId="HTMLPreformattedChar">
    <w:name w:val="HTML Preformatted Char"/>
    <w:rPr>
      <w:rFonts w:ascii="Courier New" w:eastAsia="Times New Roman" w:hAnsi="Courier New" w:cs="Times"/>
    </w:rPr>
  </w:style>
  <w:style w:type="character" w:customStyle="1" w:styleId="srch-url21">
    <w:name w:val="srch-url21"/>
    <w:rPr>
      <w:color w:val="5E4606"/>
      <w:u w:val="single"/>
    </w:rPr>
  </w:style>
  <w:style w:type="character" w:customStyle="1" w:styleId="Titre2Car">
    <w:name w:val="Titre 2 Car"/>
    <w:aliases w:val="SubPara (a) Car,Heading 2 Char1 Char Car,SubPara (a) Char1 Char Car,Heading 2 Char3 Char Char Car,Heading 2 Char Char2 Char Char Car,Heading 2 Char1 Char Char1 Char Char Car,SubPara (a) Char Char Char1 Char Char Car,Heading 2 C.. Car"/>
    <w:locked/>
    <w:rPr>
      <w:rFonts w:ascii="Cambria" w:hAnsi="Cambria" w:cs="Times New Roman"/>
      <w:b/>
      <w:bCs/>
      <w:i/>
      <w:iCs/>
      <w:noProof w:val="0"/>
      <w:sz w:val="28"/>
      <w:szCs w:val="28"/>
      <w:lang w:val="en-AU" w:eastAsia="en-AU"/>
    </w:rPr>
  </w:style>
  <w:style w:type="character" w:customStyle="1" w:styleId="Titre3Car">
    <w:name w:val="Titre 3 Car"/>
    <w:aliases w:val="Heading 3 Char1 Char Car,Heading 3 Char Char Char Car,Char Char Char Char Car,Char Char1 Char Car,Sec Car"/>
    <w:locked/>
    <w:rPr>
      <w:rFonts w:cs="Times New Roman"/>
      <w:b/>
      <w:i/>
      <w:iCs/>
      <w:noProof w:val="0"/>
      <w:color w:val="000000"/>
      <w:sz w:val="24"/>
      <w:szCs w:val="24"/>
      <w:lang w:val="en-GB" w:eastAsia="en-US"/>
    </w:rPr>
  </w:style>
  <w:style w:type="character" w:customStyle="1" w:styleId="Titre4Car">
    <w:name w:val="Titre 4 Car"/>
    <w:aliases w:val="MainPara Car"/>
    <w:locked/>
    <w:rPr>
      <w:rFonts w:cs="Times New Roman"/>
      <w:bCs/>
      <w:i/>
      <w:noProof w:val="0"/>
      <w:sz w:val="28"/>
      <w:szCs w:val="28"/>
      <w:lang w:val="en-AU" w:eastAsia="en-AU"/>
    </w:rPr>
  </w:style>
  <w:style w:type="character" w:customStyle="1" w:styleId="Titre5Car">
    <w:name w:val="Titre 5 Car"/>
    <w:aliases w:val="Subpara 2 Car"/>
    <w:locked/>
    <w:rPr>
      <w:rFonts w:ascii="Calibri" w:hAnsi="Calibri" w:cs="Arial"/>
      <w:b/>
      <w:bCs/>
      <w:i/>
      <w:iCs/>
      <w:noProof w:val="0"/>
      <w:sz w:val="26"/>
      <w:szCs w:val="26"/>
      <w:lang w:val="en-AU" w:eastAsia="en-AU"/>
    </w:rPr>
  </w:style>
  <w:style w:type="character" w:customStyle="1" w:styleId="Titre6Car">
    <w:name w:val="Titre 6 Car"/>
    <w:locked/>
    <w:rPr>
      <w:rFonts w:ascii="Calibri" w:hAnsi="Calibri" w:cs="Arial"/>
      <w:b/>
      <w:bCs/>
      <w:noProof w:val="0"/>
      <w:lang w:val="en-AU" w:eastAsia="en-AU"/>
    </w:rPr>
  </w:style>
  <w:style w:type="character" w:customStyle="1" w:styleId="Titre7Car">
    <w:name w:val="Titre 7 Car"/>
    <w:aliases w:val="Subpara 4 Car"/>
    <w:locked/>
    <w:rPr>
      <w:rFonts w:ascii="Calibri" w:hAnsi="Calibri" w:cs="Arial"/>
      <w:noProof w:val="0"/>
      <w:sz w:val="24"/>
      <w:szCs w:val="24"/>
      <w:lang w:val="en-AU" w:eastAsia="en-AU"/>
    </w:rPr>
  </w:style>
  <w:style w:type="character" w:customStyle="1" w:styleId="Titre8Car">
    <w:name w:val="Titre 8 Car"/>
    <w:aliases w:val="Subpara 5 Car"/>
    <w:locked/>
    <w:rPr>
      <w:rFonts w:ascii="Calibri" w:hAnsi="Calibri" w:cs="Arial"/>
      <w:i/>
      <w:iCs/>
      <w:noProof w:val="0"/>
      <w:sz w:val="24"/>
      <w:szCs w:val="24"/>
      <w:lang w:val="en-AU" w:eastAsia="en-AU"/>
    </w:rPr>
  </w:style>
  <w:style w:type="character" w:customStyle="1" w:styleId="Titre9Car">
    <w:name w:val="Titre 9 Car"/>
    <w:aliases w:val="Subpara 6 Car"/>
    <w:locked/>
    <w:rPr>
      <w:rFonts w:ascii="Cambria" w:hAnsi="Cambria" w:cs="Times New Roman"/>
      <w:noProof w:val="0"/>
      <w:lang w:val="en-AU" w:eastAsia="en-AU"/>
    </w:rPr>
  </w:style>
  <w:style w:type="character" w:customStyle="1" w:styleId="TextedebullesCar">
    <w:name w:val="Texte de bulles Car"/>
    <w:semiHidden/>
    <w:locked/>
    <w:rPr>
      <w:rFonts w:cs="Times New Roman"/>
      <w:noProof w:val="0"/>
      <w:sz w:val="2"/>
      <w:lang w:val="en-AU" w:eastAsia="en-AU"/>
    </w:rPr>
  </w:style>
  <w:style w:type="character" w:customStyle="1" w:styleId="CorpsdetexteCar">
    <w:name w:val="Corps de texte Car"/>
    <w:aliases w:val="Char Char Car,Body Text Char Char Char Char Char Car,Body Text Char Char Char Char Car,Body Text Char Car, Char Char Car"/>
    <w:locked/>
    <w:rPr>
      <w:rFonts w:cs="Times New Roman"/>
      <w:noProof w:val="0"/>
      <w:sz w:val="24"/>
      <w:szCs w:val="24"/>
      <w:lang w:val="en-AU" w:eastAsia="en-AU"/>
    </w:rPr>
  </w:style>
  <w:style w:type="paragraph" w:customStyle="1" w:styleId="PrformatHTML">
    <w:name w:val="Préformaté HTML"/>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color w:val="auto"/>
      <w:sz w:val="20"/>
      <w:lang w:val="en-US"/>
    </w:rPr>
  </w:style>
  <w:style w:type="character" w:customStyle="1" w:styleId="PrformatHTMLCar">
    <w:name w:val="Préformaté HTML Car"/>
    <w:semiHidden/>
    <w:locked/>
    <w:rPr>
      <w:rFonts w:ascii="Courier New" w:hAnsi="Courier New" w:cs="Chicago"/>
      <w:noProof w:val="0"/>
      <w:sz w:val="20"/>
      <w:szCs w:val="20"/>
      <w:lang w:val="en-AU" w:eastAsia="en-AU"/>
    </w:rPr>
  </w:style>
  <w:style w:type="character" w:customStyle="1" w:styleId="RetraitcorpsdetexteCar">
    <w:name w:val="Retrait corps de texte Car"/>
    <w:locked/>
    <w:rPr>
      <w:rFonts w:cs="Times New Roman"/>
      <w:noProof w:val="0"/>
      <w:sz w:val="24"/>
      <w:szCs w:val="24"/>
      <w:lang w:val="en-AU" w:eastAsia="en-AU"/>
    </w:rPr>
  </w:style>
  <w:style w:type="character" w:customStyle="1" w:styleId="Retraitcorpset1religCar">
    <w:name w:val="Retrait corps et 1re lig. Car"/>
    <w:semiHidden/>
    <w:locked/>
    <w:rPr>
      <w:rFonts w:cs="Times New Roman"/>
      <w:noProof w:val="0"/>
      <w:sz w:val="24"/>
      <w:szCs w:val="24"/>
      <w:lang w:val="en-AU" w:eastAsia="en-AU"/>
    </w:rPr>
  </w:style>
  <w:style w:type="character" w:customStyle="1" w:styleId="CommentaireCar">
    <w:name w:val="Commentaire Car"/>
    <w:locked/>
    <w:rPr>
      <w:rFonts w:eastAsia="Times New Roman"/>
      <w:noProof w:val="0"/>
      <w:lang w:val="en-AU" w:eastAsia="en-AU"/>
    </w:rPr>
  </w:style>
  <w:style w:type="paragraph" w:customStyle="1" w:styleId="Objetducommentaire">
    <w:name w:val="Objet du commentaire"/>
    <w:basedOn w:val="CommentText"/>
    <w:next w:val="CommentText"/>
    <w:semiHidden/>
    <w:pPr>
      <w:widowControl/>
      <w:spacing w:after="0"/>
    </w:pPr>
    <w:rPr>
      <w:rFonts w:ascii="Times New Roman" w:hAnsi="Times New Roman"/>
      <w:b/>
      <w:lang w:val="en-AU"/>
    </w:rPr>
  </w:style>
  <w:style w:type="character" w:customStyle="1" w:styleId="ObjetducommentaireCar">
    <w:name w:val="Objet du commentaire Car"/>
    <w:locked/>
    <w:rPr>
      <w:rFonts w:eastAsia="Times New Roman" w:cs="Times New Roman"/>
      <w:b/>
      <w:noProof w:val="0"/>
      <w:lang w:val="en-AU" w:eastAsia="en-AU"/>
    </w:rPr>
  </w:style>
  <w:style w:type="paragraph" w:customStyle="1" w:styleId="En-ttedetabledesmatires">
    <w:name w:val="En-tête de table des matières"/>
    <w:basedOn w:val="Heading1"/>
    <w:next w:val="Normal"/>
    <w:qFormat/>
    <w:pPr>
      <w:spacing w:before="480" w:line="276" w:lineRule="auto"/>
      <w:ind w:left="0"/>
      <w:outlineLvl w:val="9"/>
    </w:pPr>
    <w:rPr>
      <w:rFonts w:ascii="Cambria" w:eastAsia="MS Mincho" w:hAnsi="Cambria"/>
      <w:color w:val="808080"/>
      <w:lang w:val="fr-FR"/>
    </w:rPr>
  </w:style>
  <w:style w:type="paragraph" w:customStyle="1" w:styleId="Paragraphedeliste">
    <w:name w:val="Paragraphe de liste"/>
    <w:basedOn w:val="Normal"/>
    <w:qFormat/>
    <w:pPr>
      <w:spacing w:after="0"/>
    </w:pPr>
    <w:rPr>
      <w:rFonts w:eastAsia="MS Mincho"/>
      <w:color w:val="auto"/>
      <w:sz w:val="24"/>
      <w:lang w:val="en-AU"/>
    </w:rPr>
  </w:style>
  <w:style w:type="character" w:customStyle="1" w:styleId="bold0">
    <w:name w:val="bold"/>
    <w:rPr>
      <w:rFonts w:cs="Times New Roman"/>
    </w:rPr>
  </w:style>
  <w:style w:type="paragraph" w:customStyle="1" w:styleId="first">
    <w:name w:val="first"/>
    <w:basedOn w:val="Normal"/>
    <w:pPr>
      <w:spacing w:before="100" w:after="100"/>
    </w:pPr>
    <w:rPr>
      <w:rFonts w:eastAsia="MS Mincho"/>
      <w:color w:val="auto"/>
      <w:sz w:val="24"/>
      <w:lang w:val="fr-FR"/>
    </w:rPr>
  </w:style>
  <w:style w:type="character" w:customStyle="1" w:styleId="En-tteCar">
    <w:name w:val="En-tête Car"/>
    <w:locked/>
    <w:rPr>
      <w:rFonts w:cs="Times New Roman"/>
      <w:noProof w:val="0"/>
      <w:sz w:val="24"/>
      <w:szCs w:val="24"/>
      <w:lang w:val="en-AU" w:eastAsia="en-AU"/>
    </w:rPr>
  </w:style>
  <w:style w:type="character" w:customStyle="1" w:styleId="PieddepageCar">
    <w:name w:val="Pied de page Car"/>
    <w:locked/>
    <w:rPr>
      <w:rFonts w:cs="Times New Roman"/>
      <w:noProof w:val="0"/>
      <w:sz w:val="24"/>
      <w:szCs w:val="24"/>
      <w:lang w:val="en-AU" w:eastAsia="en-AU"/>
    </w:rPr>
  </w:style>
  <w:style w:type="character" w:customStyle="1" w:styleId="TitreCar">
    <w:name w:val="Titre Car"/>
    <w:locked/>
    <w:rPr>
      <w:rFonts w:ascii="Cambria" w:hAnsi="Cambria" w:cs="Times New Roman"/>
      <w:b/>
      <w:bCs/>
      <w:noProof w:val="0"/>
      <w:kern w:val="28"/>
      <w:sz w:val="32"/>
      <w:szCs w:val="32"/>
      <w:lang w:val="en-AU" w:eastAsia="en-AU"/>
    </w:rPr>
  </w:style>
  <w:style w:type="paragraph" w:customStyle="1" w:styleId="Sansinterligne">
    <w:name w:val="Sans interligne"/>
    <w:qFormat/>
    <w:rPr>
      <w:rFonts w:ascii="Times New Roman" w:eastAsia="MS Mincho" w:hAnsi="Times New Roman"/>
      <w:noProof/>
      <w:sz w:val="24"/>
      <w:lang w:val="nl-NL" w:eastAsia="nl-NL"/>
    </w:rPr>
  </w:style>
  <w:style w:type="character" w:customStyle="1" w:styleId="ExplorateurdedocumentsCar">
    <w:name w:val="Explorateur de documents Car"/>
    <w:semiHidden/>
    <w:locked/>
    <w:rPr>
      <w:rFonts w:ascii="Tahoma" w:hAnsi="Tahoma" w:cs="Times New Roman Bold"/>
      <w:noProof w:val="0"/>
      <w:sz w:val="16"/>
      <w:szCs w:val="16"/>
      <w:lang w:val="en-AU" w:eastAsia="en-AU"/>
    </w:rPr>
  </w:style>
  <w:style w:type="character" w:customStyle="1" w:styleId="hit">
    <w:name w:val="hit"/>
    <w:rPr>
      <w:rFonts w:cs="Times New Roman"/>
    </w:rPr>
  </w:style>
  <w:style w:type="character" w:customStyle="1" w:styleId="NotedebasdepageCar">
    <w:name w:val="Note de bas de page Car"/>
    <w:locked/>
    <w:rPr>
      <w:rFonts w:cs="Times New Roman"/>
      <w:noProof w:val="0"/>
      <w:sz w:val="24"/>
      <w:szCs w:val="24"/>
      <w:lang w:val="en-AU" w:eastAsia="en-AU"/>
    </w:rPr>
  </w:style>
  <w:style w:type="paragraph" w:customStyle="1" w:styleId="Rvision">
    <w:name w:val="Révision"/>
    <w:hidden/>
    <w:semiHidden/>
    <w:rPr>
      <w:rFonts w:ascii="Times New Roman" w:eastAsia="MS Mincho" w:hAnsi="Times New Roman"/>
      <w:sz w:val="24"/>
      <w:lang w:val="en-AU" w:eastAsia="nl-NL"/>
    </w:rPr>
  </w:style>
  <w:style w:type="paragraph" w:customStyle="1" w:styleId="Ref">
    <w:name w:val="Ref"/>
    <w:basedOn w:val="Footnote"/>
    <w:pPr>
      <w:autoSpaceDE w:val="0"/>
      <w:autoSpaceDN w:val="0"/>
      <w:adjustRightInd w:val="0"/>
    </w:pPr>
    <w:rPr>
      <w:rFonts w:ascii="Calibri" w:eastAsia="MS Mincho" w:hAnsi="Calibri"/>
    </w:rPr>
  </w:style>
  <w:style w:type="character" w:customStyle="1" w:styleId="SansinterligneCar">
    <w:name w:val="Sans interligne Car"/>
    <w:rPr>
      <w:sz w:val="24"/>
      <w:szCs w:val="24"/>
      <w:lang w:bidi="ar-SA"/>
    </w:rPr>
  </w:style>
  <w:style w:type="paragraph" w:customStyle="1" w:styleId="Hea">
    <w:name w:val="Hea"/>
    <w:pPr>
      <w:autoSpaceDE w:val="0"/>
      <w:autoSpaceDN w:val="0"/>
    </w:pPr>
    <w:rPr>
      <w:rFonts w:ascii="Times New Roman" w:hAnsi="Times New Roman"/>
      <w:sz w:val="24"/>
      <w:lang w:eastAsia="nl-NL"/>
    </w:rPr>
  </w:style>
  <w:style w:type="paragraph" w:customStyle="1" w:styleId="PageImage">
    <w:name w:val="PageImage"/>
    <w:pPr>
      <w:autoSpaceDE w:val="0"/>
      <w:autoSpaceDN w:val="0"/>
      <w:spacing w:before="240"/>
      <w:jc w:val="center"/>
    </w:pPr>
    <w:rPr>
      <w:rFonts w:ascii="Times New Roman" w:hAnsi="Times New Roman"/>
      <w:lang w:val="en-AU" w:eastAsia="nl-NL"/>
    </w:rPr>
  </w:style>
  <w:style w:type="paragraph" w:customStyle="1" w:styleId="Italicindent">
    <w:name w:val="Italic indent"/>
    <w:pPr>
      <w:autoSpaceDE w:val="0"/>
      <w:autoSpaceDN w:val="0"/>
      <w:spacing w:after="200" w:line="276" w:lineRule="auto"/>
      <w:ind w:left="1701" w:right="662"/>
    </w:pPr>
    <w:rPr>
      <w:rFonts w:ascii="Calibri" w:hAnsi="Calibri"/>
      <w:i/>
      <w:color w:val="000000"/>
      <w:lang w:val="en-GB" w:eastAsia="nl-NL"/>
    </w:rPr>
  </w:style>
  <w:style w:type="paragraph" w:customStyle="1" w:styleId="a8">
    <w:name w:val="("/>
    <w:pPr>
      <w:autoSpaceDE w:val="0"/>
      <w:autoSpaceDN w:val="0"/>
      <w:spacing w:after="160" w:line="240" w:lineRule="exact"/>
    </w:pPr>
    <w:rPr>
      <w:rFonts w:ascii="Times New Roman" w:hAnsi="Times New Roman"/>
      <w:lang w:eastAsia="nl-NL"/>
    </w:rPr>
  </w:style>
  <w:style w:type="character" w:customStyle="1" w:styleId="style61">
    <w:name w:val="style61"/>
    <w:rPr>
      <w:rFonts w:ascii="Verdana" w:hAnsi="Verdana" w:cs="Arial Narrow"/>
      <w:b/>
      <w:bCs/>
      <w:color w:val="808080"/>
      <w:sz w:val="24"/>
      <w:szCs w:val="24"/>
    </w:rPr>
  </w:style>
  <w:style w:type="paragraph" w:customStyle="1" w:styleId="Rvision1">
    <w:name w:val="Révision1"/>
    <w:hidden/>
    <w:semiHidden/>
    <w:rPr>
      <w:rFonts w:ascii="Times New Roman" w:eastAsia="MS Mincho" w:hAnsi="Times New Roman"/>
      <w:sz w:val="24"/>
      <w:szCs w:val="24"/>
    </w:rPr>
  </w:style>
  <w:style w:type="paragraph" w:customStyle="1" w:styleId="Bibliographie1">
    <w:name w:val="Bibliographie1"/>
    <w:basedOn w:val="Normal"/>
    <w:next w:val="Normal"/>
    <w:pPr>
      <w:spacing w:before="120" w:after="120"/>
      <w:ind w:left="1134"/>
      <w:jc w:val="both"/>
    </w:pPr>
    <w:rPr>
      <w:rFonts w:ascii="Calibri" w:eastAsia="SimSun" w:hAnsi="Calibri"/>
      <w:color w:val="auto"/>
      <w:szCs w:val="22"/>
    </w:rPr>
  </w:style>
  <w:style w:type="paragraph" w:customStyle="1" w:styleId="Sansinterligne1">
    <w:name w:val="Sans interligne1"/>
    <w:basedOn w:val="Normal"/>
    <w:locked/>
    <w:pPr>
      <w:spacing w:after="0"/>
    </w:pPr>
    <w:rPr>
      <w:rFonts w:ascii="Arial" w:hAnsi="Arial" w:cs="Century"/>
      <w:color w:val="auto"/>
      <w:szCs w:val="22"/>
      <w:lang w:eastAsia="en-US"/>
    </w:rPr>
  </w:style>
  <w:style w:type="paragraph" w:customStyle="1" w:styleId="Citation1">
    <w:name w:val="Citation1"/>
    <w:basedOn w:val="Normal"/>
    <w:next w:val="Normal"/>
    <w:locked/>
    <w:pPr>
      <w:spacing w:before="200" w:after="0"/>
      <w:ind w:left="360" w:right="360"/>
    </w:pPr>
    <w:rPr>
      <w:i/>
      <w:iCs/>
      <w:sz w:val="24"/>
      <w:szCs w:val="24"/>
      <w:lang w:val="en-US" w:eastAsia="en-US"/>
    </w:rPr>
  </w:style>
  <w:style w:type="paragraph" w:customStyle="1" w:styleId="Citationintense1">
    <w:name w:val="Citation intense1"/>
    <w:basedOn w:val="Normal"/>
    <w:next w:val="Normal"/>
    <w:locked/>
    <w:pPr>
      <w:pBdr>
        <w:bottom w:val="single" w:sz="4" w:space="1" w:color="auto"/>
      </w:pBdr>
      <w:spacing w:before="200" w:after="280"/>
      <w:ind w:left="1008" w:right="1152"/>
      <w:jc w:val="both"/>
    </w:pPr>
    <w:rPr>
      <w:b/>
      <w:bCs/>
      <w:i/>
      <w:iCs/>
      <w:color w:val="4F81BD"/>
      <w:sz w:val="24"/>
      <w:szCs w:val="24"/>
      <w:lang w:val="en-US" w:eastAsia="en-US"/>
    </w:rPr>
  </w:style>
  <w:style w:type="character" w:customStyle="1" w:styleId="Emphaseple1">
    <w:name w:val="Emphase pâle1"/>
    <w:locked/>
    <w:rPr>
      <w:i/>
    </w:rPr>
  </w:style>
  <w:style w:type="character" w:customStyle="1" w:styleId="Emphaseintense1">
    <w:name w:val="Emphase intense1"/>
    <w:locked/>
    <w:rPr>
      <w:b/>
    </w:rPr>
  </w:style>
  <w:style w:type="character" w:customStyle="1" w:styleId="Rfrenceple1">
    <w:name w:val="Référence pâle1"/>
    <w:locked/>
    <w:rPr>
      <w:smallCaps/>
    </w:rPr>
  </w:style>
  <w:style w:type="character" w:customStyle="1" w:styleId="Rfrenceintense1">
    <w:name w:val="Référence intense1"/>
    <w:locked/>
    <w:rPr>
      <w:smallCaps/>
      <w:spacing w:val="5"/>
      <w:u w:val="single"/>
    </w:rPr>
  </w:style>
  <w:style w:type="character" w:customStyle="1" w:styleId="Titredulivre1">
    <w:name w:val="Titre du livre1"/>
    <w:locked/>
    <w:rPr>
      <w:i/>
      <w:smallCaps/>
      <w:spacing w:val="5"/>
    </w:rPr>
  </w:style>
  <w:style w:type="paragraph" w:customStyle="1" w:styleId="En-ttedetabledesmatires1">
    <w:name w:val="En-tête de table des matières1"/>
    <w:basedOn w:val="Heading1"/>
    <w:next w:val="Normal"/>
    <w:locked/>
    <w:pPr>
      <w:tabs>
        <w:tab w:val="left" w:pos="851"/>
      </w:tabs>
      <w:spacing w:before="0"/>
      <w:ind w:left="1100" w:hanging="660"/>
      <w:outlineLvl w:val="9"/>
    </w:pPr>
    <w:rPr>
      <w:rFonts w:ascii="Arial" w:hAnsi="Arial"/>
      <w:bCs/>
      <w:color w:val="auto"/>
      <w:sz w:val="32"/>
      <w:szCs w:val="28"/>
      <w:lang w:val="nb-NO" w:eastAsia="en-US"/>
    </w:rPr>
  </w:style>
  <w:style w:type="paragraph" w:customStyle="1" w:styleId="BodyText11">
    <w:name w:val="Body Text11"/>
    <w:basedOn w:val="Normal"/>
    <w:pPr>
      <w:spacing w:after="0"/>
    </w:pPr>
  </w:style>
  <w:style w:type="paragraph" w:customStyle="1" w:styleId="paraindentFootnoteQPS">
    <w:name w:val="para indent Footnote QPS"/>
    <w:basedOn w:val="FootnoteText"/>
    <w:pPr>
      <w:widowControl/>
      <w:spacing w:after="0"/>
      <w:ind w:left="426" w:hanging="284"/>
    </w:pPr>
    <w:rPr>
      <w:rFonts w:ascii="Calibri" w:hAnsi="Calibri"/>
      <w:color w:val="000000"/>
      <w:sz w:val="16"/>
      <w:lang w:val="en-NZ" w:eastAsia="en-US"/>
    </w:rPr>
  </w:style>
  <w:style w:type="paragraph" w:customStyle="1" w:styleId="Paragraphedeliste1">
    <w:name w:val="Paragraphe de liste1"/>
    <w:basedOn w:val="Normal"/>
    <w:pPr>
      <w:ind w:left="720"/>
      <w:contextualSpacing/>
    </w:pPr>
  </w:style>
  <w:style w:type="paragraph" w:customStyle="1" w:styleId="yiv587168716msonormal">
    <w:name w:val="yiv587168716msonormal"/>
    <w:basedOn w:val="Normal"/>
    <w:pPr>
      <w:spacing w:before="100" w:beforeAutospacing="1" w:after="100" w:afterAutospacing="1"/>
    </w:pPr>
    <w:rPr>
      <w:color w:val="auto"/>
      <w:sz w:val="24"/>
      <w:szCs w:val="24"/>
      <w:lang w:val="en-AU" w:eastAsia="en-AU"/>
    </w:rPr>
  </w:style>
  <w:style w:type="paragraph" w:customStyle="1" w:styleId="Paragraphedeliste11">
    <w:name w:val="Paragraphe de liste11"/>
    <w:basedOn w:val="Normal"/>
    <w:pPr>
      <w:ind w:left="720"/>
      <w:contextualSpacing/>
    </w:pPr>
  </w:style>
  <w:style w:type="character" w:customStyle="1" w:styleId="st1">
    <w:name w:val="st1"/>
  </w:style>
  <w:style w:type="character" w:customStyle="1" w:styleId="Heading1Char21">
    <w:name w:val="Heading 1 Char21"/>
    <w:aliases w:val="Para (1) Char3,Heading 1 Char1 Char Char11,Heading 1 Char Char Char Char2,Para (1) Char Char Char Char2,Para (1) Char1 Char Char2,Heading 1 Char1 Char11,Heading 1 Char Char Char11,Para (1) Char Char Char11,Para (1) Char1 Char11"/>
    <w:rPr>
      <w:b/>
      <w:bCs/>
      <w:noProof w:val="0"/>
      <w:color w:val="000000"/>
      <w:sz w:val="28"/>
      <w:szCs w:val="28"/>
      <w:lang w:val="en-GB"/>
    </w:rPr>
  </w:style>
  <w:style w:type="character" w:customStyle="1" w:styleId="CharChar8">
    <w:name w:val="Char Char8"/>
    <w:locked/>
    <w:rPr>
      <w:rFonts w:ascii="Times New Roman" w:hAnsi="Times New Roman"/>
      <w:noProof w:val="0"/>
      <w:sz w:val="24"/>
      <w:lang w:eastAsia="ja-JP"/>
    </w:rPr>
  </w:style>
  <w:style w:type="character" w:customStyle="1" w:styleId="CharChar10">
    <w:name w:val="Char Char10"/>
    <w:semiHidden/>
    <w:locked/>
    <w:rPr>
      <w:rFonts w:ascii="Times New Roman" w:hAnsi="Times New Roman"/>
      <w:noProof w:val="0"/>
      <w:color w:val="000000"/>
      <w:sz w:val="20"/>
      <w:lang w:val="en-GB" w:eastAsia="zh-CN"/>
    </w:rPr>
  </w:style>
  <w:style w:type="character" w:styleId="HTMLCite">
    <w:name w:val="HTML Cite"/>
    <w:uiPriority w:val="99"/>
    <w:rPr>
      <w:rFonts w:cs="Times New Roman"/>
      <w:i/>
      <w:iCs/>
    </w:rPr>
  </w:style>
  <w:style w:type="character" w:customStyle="1" w:styleId="st">
    <w:name w:val="st"/>
  </w:style>
  <w:style w:type="paragraph" w:customStyle="1" w:styleId="TitleofManuscript">
    <w:name w:val="Title of Manuscript"/>
    <w:basedOn w:val="Normal"/>
    <w:pPr>
      <w:spacing w:after="0"/>
    </w:pPr>
    <w:rPr>
      <w:b/>
      <w:bCs/>
      <w:spacing w:val="-4"/>
      <w:sz w:val="32"/>
      <w:szCs w:val="32"/>
      <w:lang w:val="en-CA" w:eastAsia="en-CA"/>
    </w:rPr>
  </w:style>
  <w:style w:type="character" w:customStyle="1" w:styleId="author2">
    <w:name w:val="author2"/>
    <w:rPr>
      <w:rFonts w:cs="Times New Roman"/>
    </w:rPr>
  </w:style>
  <w:style w:type="character" w:customStyle="1" w:styleId="al-hide">
    <w:name w:val="al-hide"/>
    <w:rPr>
      <w:rFonts w:cs="Times New Roman"/>
    </w:rPr>
  </w:style>
  <w:style w:type="character" w:customStyle="1" w:styleId="al-vis">
    <w:name w:val="al-vis"/>
    <w:rPr>
      <w:rFonts w:cs="Times New Roman"/>
    </w:rPr>
  </w:style>
  <w:style w:type="character" w:customStyle="1" w:styleId="container2">
    <w:name w:val="container2"/>
    <w:rPr>
      <w:rFonts w:cs="Times New Roman"/>
    </w:rPr>
  </w:style>
  <w:style w:type="character" w:customStyle="1" w:styleId="year">
    <w:name w:val="year"/>
    <w:rPr>
      <w:rFonts w:cs="Times New Roman"/>
    </w:rPr>
  </w:style>
  <w:style w:type="character" w:customStyle="1" w:styleId="Para10">
    <w:name w:val="Para (1) ("/>
    <w:rPr>
      <w:b/>
      <w:bCs/>
      <w:noProof w:val="0"/>
      <w:kern w:val="32"/>
      <w:sz w:val="32"/>
      <w:szCs w:val="32"/>
      <w:lang w:val="en-US"/>
    </w:rPr>
  </w:style>
  <w:style w:type="paragraph" w:customStyle="1" w:styleId="a9">
    <w:name w:val="文字)"/>
    <w:pPr>
      <w:widowControl w:val="0"/>
      <w:autoSpaceDE w:val="0"/>
      <w:autoSpaceDN w:val="0"/>
    </w:pPr>
    <w:rPr>
      <w:rFonts w:ascii="Times New Roman" w:hAnsi="Times New Roman"/>
      <w:b/>
      <w:spacing w:val="-1"/>
      <w:kern w:val="32"/>
      <w:position w:val="-1"/>
      <w:sz w:val="32"/>
    </w:rPr>
  </w:style>
  <w:style w:type="character" w:customStyle="1" w:styleId="SubParaa0">
    <w:name w:val="SubPara (a) ("/>
    <w:rPr>
      <w:b/>
      <w:bCs/>
      <w:i/>
      <w:iCs/>
      <w:noProof w:val="0"/>
      <w:kern w:val="2"/>
      <w:sz w:val="28"/>
      <w:szCs w:val="28"/>
      <w:lang w:val="en-US"/>
    </w:rPr>
  </w:style>
  <w:style w:type="character" w:customStyle="1" w:styleId="5">
    <w:name w:val="(5"/>
    <w:rPr>
      <w:b/>
      <w:bCs/>
      <w:noProof w:val="0"/>
      <w:sz w:val="24"/>
      <w:szCs w:val="24"/>
      <w:lang w:val="en-US"/>
    </w:rPr>
  </w:style>
  <w:style w:type="paragraph" w:customStyle="1" w:styleId="ListParagraph11">
    <w:name w:val="List Paragraph11"/>
    <w:basedOn w:val="Normal"/>
    <w:pPr>
      <w:autoSpaceDE w:val="0"/>
      <w:autoSpaceDN w:val="0"/>
      <w:spacing w:before="100" w:after="100"/>
      <w:ind w:left="720" w:right="720"/>
    </w:pPr>
    <w:rPr>
      <w:i/>
      <w:color w:val="auto"/>
      <w:sz w:val="24"/>
    </w:rPr>
  </w:style>
  <w:style w:type="paragraph" w:customStyle="1" w:styleId="4">
    <w:name w:val="(4"/>
    <w:basedOn w:val="Normal"/>
    <w:pPr>
      <w:tabs>
        <w:tab w:val="num" w:pos="2160"/>
      </w:tabs>
      <w:autoSpaceDE w:val="0"/>
      <w:autoSpaceDN w:val="0"/>
      <w:spacing w:before="100" w:after="160" w:line="240" w:lineRule="exact"/>
      <w:ind w:left="2160" w:right="720" w:hanging="360"/>
    </w:pPr>
    <w:rPr>
      <w:i/>
      <w:color w:val="auto"/>
      <w:sz w:val="20"/>
      <w:lang w:val="en-US"/>
    </w:rPr>
  </w:style>
  <w:style w:type="character" w:customStyle="1" w:styleId="BodyTextIndentChar1">
    <w:name w:val="Body Text Indent Char1"/>
    <w:semiHidden/>
    <w:rPr>
      <w:rFonts w:ascii="Times New Roman" w:hAnsi="Times New Roman" w:cs="Times New Roman"/>
      <w:sz w:val="20"/>
      <w:szCs w:val="20"/>
    </w:rPr>
  </w:style>
  <w:style w:type="character" w:customStyle="1" w:styleId="BodyTextFirstIndent2Char">
    <w:name w:val="Body Text First Indent 2 Char"/>
    <w:semiHidden/>
    <w:rPr>
      <w:rFonts w:ascii="Times New Roman" w:hAnsi="Times New Roman" w:cs="Times New Roman"/>
      <w:sz w:val="20"/>
      <w:szCs w:val="20"/>
    </w:rPr>
  </w:style>
  <w:style w:type="character" w:customStyle="1" w:styleId="CarCar52">
    <w:name w:val="Car Car52"/>
    <w:rPr>
      <w:noProof w:val="0"/>
      <w:sz w:val="24"/>
      <w:szCs w:val="24"/>
      <w:u w:val="single"/>
      <w:lang w:val="en-US"/>
    </w:rPr>
  </w:style>
  <w:style w:type="character" w:customStyle="1" w:styleId="CarCar42">
    <w:name w:val="Car Car42"/>
    <w:rPr>
      <w:b/>
      <w:bCs/>
      <w:noProof w:val="0"/>
      <w:kern w:val="32"/>
      <w:sz w:val="24"/>
      <w:szCs w:val="24"/>
      <w:lang w:val="en-US"/>
    </w:rPr>
  </w:style>
  <w:style w:type="character" w:customStyle="1" w:styleId="CarCar32">
    <w:name w:val="Car Car32"/>
    <w:rPr>
      <w:b/>
      <w:bCs/>
      <w:i/>
      <w:iCs/>
      <w:noProof w:val="0"/>
      <w:kern w:val="32"/>
      <w:sz w:val="26"/>
      <w:szCs w:val="26"/>
      <w:lang w:val="it-IT"/>
    </w:rPr>
  </w:style>
  <w:style w:type="character" w:customStyle="1" w:styleId="CarCar6">
    <w:name w:val="Car Car6"/>
    <w:rPr>
      <w:noProof w:val="0"/>
      <w:sz w:val="24"/>
      <w:szCs w:val="24"/>
      <w:lang w:val="fr-FR"/>
    </w:rPr>
  </w:style>
  <w:style w:type="character" w:customStyle="1" w:styleId="ZchnZchn162">
    <w:name w:val="Zchn Zchn162"/>
    <w:rPr>
      <w:rFonts w:ascii="Arial" w:hAnsi="Arial" w:cs="Arial"/>
      <w:b/>
      <w:bCs/>
      <w:noProof w:val="0"/>
      <w:kern w:val="32"/>
      <w:sz w:val="32"/>
      <w:szCs w:val="32"/>
      <w:lang w:val="en-US"/>
    </w:rPr>
  </w:style>
  <w:style w:type="character" w:customStyle="1" w:styleId="ZchnZchn19">
    <w:name w:val="Zchn Zchn19"/>
    <w:rPr>
      <w:rFonts w:ascii="Cambria" w:hAnsi="Cambria" w:cs="MS Mincho"/>
      <w:b/>
      <w:bCs/>
      <w:noProof w:val="0"/>
      <w:kern w:val="28"/>
      <w:sz w:val="32"/>
      <w:szCs w:val="32"/>
      <w:lang w:val="ca-ES"/>
    </w:rPr>
  </w:style>
  <w:style w:type="character" w:customStyle="1" w:styleId="ZchnZchn18">
    <w:name w:val="Zchn Zchn18"/>
    <w:rPr>
      <w:rFonts w:ascii="Calibri" w:hAnsi="Calibri" w:cs="Calibri"/>
      <w:noProof w:val="0"/>
      <w:lang w:val="ca-ES"/>
    </w:rPr>
  </w:style>
  <w:style w:type="character" w:customStyle="1" w:styleId="CarCar22">
    <w:name w:val="Car Car22"/>
    <w:rPr>
      <w:noProof w:val="0"/>
      <w:lang w:val="en-US"/>
    </w:rPr>
  </w:style>
  <w:style w:type="character" w:customStyle="1" w:styleId="CarCar12">
    <w:name w:val="Car Car12"/>
    <w:rPr>
      <w:noProof w:val="0"/>
      <w:lang w:val="en-US"/>
    </w:rPr>
  </w:style>
  <w:style w:type="character" w:customStyle="1" w:styleId="ZchnZchn152">
    <w:name w:val="Zchn Zchn152"/>
    <w:rPr>
      <w:rFonts w:ascii="Arial" w:hAnsi="Arial" w:cs="Arial"/>
      <w:b/>
      <w:bCs/>
      <w:i/>
      <w:iCs/>
      <w:noProof w:val="0"/>
      <w:sz w:val="28"/>
      <w:szCs w:val="28"/>
      <w:lang w:val="en-US"/>
    </w:rPr>
  </w:style>
  <w:style w:type="character" w:customStyle="1" w:styleId="ZchnZchn142">
    <w:name w:val="Zchn Zchn142"/>
    <w:rPr>
      <w:rFonts w:ascii="Arial" w:hAnsi="Arial" w:cs="Arial"/>
      <w:b/>
      <w:bCs/>
      <w:noProof w:val="0"/>
      <w:sz w:val="26"/>
      <w:szCs w:val="26"/>
      <w:lang w:val="en-US"/>
    </w:rPr>
  </w:style>
  <w:style w:type="character" w:customStyle="1" w:styleId="ZchnZchn132">
    <w:name w:val="Zchn Zchn132"/>
    <w:rPr>
      <w:rFonts w:ascii="Arial" w:hAnsi="Arial" w:cs="Arial"/>
      <w:b/>
      <w:bCs/>
      <w:noProof w:val="0"/>
      <w:sz w:val="24"/>
      <w:szCs w:val="24"/>
      <w:lang w:val="de-DE"/>
    </w:rPr>
  </w:style>
  <w:style w:type="character" w:customStyle="1" w:styleId="ZchnZchn122">
    <w:name w:val="Zchn Zchn122"/>
    <w:rPr>
      <w:rFonts w:ascii="Arial" w:hAnsi="Arial" w:cs="Arial"/>
      <w:b/>
      <w:bCs/>
      <w:noProof w:val="0"/>
      <w:sz w:val="24"/>
      <w:szCs w:val="24"/>
      <w:lang w:val="de-DE"/>
    </w:rPr>
  </w:style>
  <w:style w:type="character" w:customStyle="1" w:styleId="ZchnZchn112">
    <w:name w:val="Zchn Zchn112"/>
    <w:rPr>
      <w:rFonts w:ascii="Arial" w:hAnsi="Arial" w:cs="Arial"/>
      <w:b/>
      <w:bCs/>
      <w:noProof w:val="0"/>
      <w:lang w:val="de-DE"/>
    </w:rPr>
  </w:style>
  <w:style w:type="character" w:customStyle="1" w:styleId="ZchnZchn102">
    <w:name w:val="Zchn Zchn102"/>
    <w:rPr>
      <w:rFonts w:ascii="Arial" w:hAnsi="Arial" w:cs="Arial"/>
      <w:b/>
      <w:bCs/>
      <w:noProof w:val="0"/>
      <w:sz w:val="28"/>
      <w:szCs w:val="28"/>
      <w:lang w:val="de-DE"/>
    </w:rPr>
  </w:style>
  <w:style w:type="character" w:customStyle="1" w:styleId="ZchnZchn92">
    <w:name w:val="Zchn Zchn92"/>
    <w:rPr>
      <w:rFonts w:ascii="Arial" w:hAnsi="Arial" w:cs="Arial"/>
      <w:b/>
      <w:bCs/>
      <w:noProof w:val="0"/>
      <w:lang w:val="de-DE"/>
    </w:rPr>
  </w:style>
  <w:style w:type="character" w:customStyle="1" w:styleId="ZchnZchn82">
    <w:name w:val="Zchn Zchn82"/>
    <w:rPr>
      <w:rFonts w:ascii="Arial" w:hAnsi="Arial" w:cs="Arial"/>
      <w:noProof w:val="0"/>
      <w:sz w:val="24"/>
      <w:szCs w:val="24"/>
      <w:lang w:val="de-DE"/>
    </w:rPr>
  </w:style>
  <w:style w:type="character" w:customStyle="1" w:styleId="ZchnZchn42">
    <w:name w:val="Zchn Zchn42"/>
    <w:rPr>
      <w:noProof w:val="0"/>
      <w:sz w:val="24"/>
      <w:szCs w:val="24"/>
      <w:lang w:val="en-US"/>
    </w:rPr>
  </w:style>
  <w:style w:type="character" w:customStyle="1" w:styleId="ZchnZchn72">
    <w:name w:val="Zchn Zchn72"/>
    <w:rPr>
      <w:noProof w:val="0"/>
      <w:sz w:val="24"/>
      <w:szCs w:val="24"/>
      <w:lang w:val="en-US"/>
    </w:rPr>
  </w:style>
  <w:style w:type="character" w:customStyle="1" w:styleId="ZchnZchn62">
    <w:name w:val="Zchn Zchn62"/>
    <w:rPr>
      <w:rFonts w:ascii="Courier New" w:hAnsi="Courier New" w:cs="FrutigerLTStd-Light"/>
      <w:noProof w:val="0"/>
      <w:lang w:val="de-DE"/>
    </w:rPr>
  </w:style>
  <w:style w:type="character" w:customStyle="1" w:styleId="ZchnZchn52">
    <w:name w:val="Zchn Zchn52"/>
    <w:rPr>
      <w:rFonts w:ascii="Arial" w:hAnsi="Arial" w:cs="Arial"/>
      <w:noProof w:val="0"/>
      <w:sz w:val="24"/>
      <w:szCs w:val="24"/>
      <w:lang w:val="de-DE"/>
    </w:rPr>
  </w:style>
  <w:style w:type="character" w:customStyle="1" w:styleId="ZchnZchn32">
    <w:name w:val="Zchn Zchn32"/>
    <w:rPr>
      <w:rFonts w:ascii="Arial" w:hAnsi="Arial" w:cs="Arial"/>
      <w:noProof w:val="0"/>
      <w:sz w:val="24"/>
      <w:szCs w:val="24"/>
      <w:lang w:val="de-DE"/>
    </w:rPr>
  </w:style>
  <w:style w:type="character" w:customStyle="1" w:styleId="CharChar21">
    <w:name w:val="Char Char21"/>
    <w:rPr>
      <w:b/>
      <w:bCs/>
      <w:noProof w:val="0"/>
      <w:color w:val="000000"/>
      <w:sz w:val="28"/>
      <w:szCs w:val="28"/>
      <w:lang w:val="en-GB"/>
    </w:rPr>
  </w:style>
  <w:style w:type="character" w:customStyle="1" w:styleId="CharChar11">
    <w:name w:val="Char Char11"/>
    <w:rPr>
      <w:rFonts w:ascii="Arial" w:hAnsi="Arial" w:cs="Arial"/>
      <w:noProof w:val="0"/>
      <w:lang w:val="en-GB"/>
    </w:rPr>
  </w:style>
  <w:style w:type="character" w:customStyle="1" w:styleId="30">
    <w:name w:val="(3"/>
    <w:rPr>
      <w:noProof w:val="0"/>
      <w:sz w:val="24"/>
      <w:szCs w:val="24"/>
      <w:lang w:val="en-US"/>
    </w:rPr>
  </w:style>
  <w:style w:type="character" w:customStyle="1" w:styleId="2">
    <w:name w:val="(2"/>
    <w:rPr>
      <w:b/>
      <w:bCs/>
      <w:noProof w:val="0"/>
      <w:sz w:val="24"/>
      <w:szCs w:val="24"/>
      <w:lang w:val="en-US"/>
    </w:rPr>
  </w:style>
  <w:style w:type="character" w:customStyle="1" w:styleId="CarCar191">
    <w:name w:val="Car Car191"/>
    <w:rPr>
      <w:noProof w:val="0"/>
      <w:color w:val="000000"/>
      <w:sz w:val="24"/>
      <w:szCs w:val="24"/>
      <w:lang w:val="en-GB"/>
    </w:rPr>
  </w:style>
  <w:style w:type="character" w:customStyle="1" w:styleId="CharChar41">
    <w:name w:val="Char Char41"/>
    <w:rPr>
      <w:noProof w:val="0"/>
      <w:sz w:val="24"/>
      <w:szCs w:val="24"/>
      <w:lang w:val="en-US"/>
    </w:rPr>
  </w:style>
  <w:style w:type="character" w:customStyle="1" w:styleId="CharChar31">
    <w:name w:val="Char Char31"/>
    <w:rPr>
      <w:noProof w:val="0"/>
      <w:color w:val="000000"/>
      <w:sz w:val="24"/>
      <w:szCs w:val="24"/>
      <w:lang w:val="en-GB"/>
    </w:rPr>
  </w:style>
  <w:style w:type="paragraph" w:customStyle="1" w:styleId="13">
    <w:name w:val="(1"/>
    <w:pPr>
      <w:autoSpaceDE w:val="0"/>
      <w:autoSpaceDN w:val="0"/>
      <w:spacing w:after="160" w:line="240" w:lineRule="exact"/>
    </w:pPr>
    <w:rPr>
      <w:rFonts w:ascii="Times New Roman" w:hAnsi="Times New Roman"/>
      <w:sz w:val="24"/>
    </w:rPr>
  </w:style>
  <w:style w:type="character" w:customStyle="1" w:styleId="scopustermhighlight">
    <w:name w:val="scopustermhighlight"/>
    <w:rPr>
      <w:rFonts w:ascii="Times New Roman" w:hAnsi="Times New Roman" w:cs="Times New Roman"/>
    </w:rPr>
  </w:style>
  <w:style w:type="paragraph" w:customStyle="1" w:styleId="marginb3">
    <w:name w:val="marginb3"/>
    <w:basedOn w:val="Normal"/>
    <w:pPr>
      <w:autoSpaceDE w:val="0"/>
      <w:autoSpaceDN w:val="0"/>
      <w:spacing w:before="100" w:after="100"/>
      <w:jc w:val="both"/>
    </w:pPr>
    <w:rPr>
      <w:color w:val="auto"/>
      <w:sz w:val="24"/>
      <w:lang w:val="fr-FR"/>
    </w:rPr>
  </w:style>
  <w:style w:type="character" w:customStyle="1" w:styleId="region">
    <w:name w:val="region"/>
    <w:rPr>
      <w:rFonts w:ascii="Times New Roman" w:hAnsi="Times New Roman" w:cs="Times New Roman"/>
    </w:rPr>
  </w:style>
  <w:style w:type="character" w:customStyle="1" w:styleId="documenttype">
    <w:name w:val="documenttype"/>
    <w:rPr>
      <w:rFonts w:ascii="Times New Roman" w:hAnsi="Times New Roman" w:cs="Times New Roman"/>
    </w:rPr>
  </w:style>
  <w:style w:type="paragraph" w:customStyle="1" w:styleId="HTOCReport">
    <w:name w:val="HTOC Report"/>
    <w:basedOn w:val="Normal"/>
    <w:pPr>
      <w:spacing w:after="0"/>
    </w:pPr>
    <w:rPr>
      <w:rFonts w:ascii="Times" w:eastAsia="SimSun" w:hAnsi="Times"/>
      <w:color w:val="auto"/>
      <w:lang w:eastAsia="ja-JP"/>
    </w:rPr>
  </w:style>
  <w:style w:type="character" w:customStyle="1" w:styleId="authorname">
    <w:name w:val="authorname"/>
    <w:basedOn w:val="DefaultParagraphFont"/>
  </w:style>
  <w:style w:type="character" w:customStyle="1" w:styleId="nlmx">
    <w:name w:val="nlm_x"/>
    <w:basedOn w:val="DefaultParagraphFont"/>
  </w:style>
  <w:style w:type="paragraph" w:customStyle="1" w:styleId="MediumGrid21">
    <w:name w:val="Medium Grid 21"/>
    <w:qFormat/>
    <w:pPr>
      <w:jc w:val="both"/>
    </w:pPr>
    <w:rPr>
      <w:rFonts w:ascii="Times New Roman" w:eastAsia="MS Mincho" w:hAnsi="Times New Roman"/>
      <w:sz w:val="24"/>
      <w:lang w:val="en-AU"/>
    </w:rPr>
  </w:style>
  <w:style w:type="paragraph" w:styleId="ListParagraph">
    <w:name w:val="List Paragraph"/>
    <w:basedOn w:val="Normal"/>
    <w:link w:val="ListParagraphChar"/>
    <w:uiPriority w:val="34"/>
    <w:qFormat/>
    <w:rsid w:val="00326F62"/>
    <w:pPr>
      <w:widowControl w:val="0"/>
      <w:spacing w:after="0"/>
      <w:ind w:firstLineChars="200" w:firstLine="420"/>
      <w:jc w:val="both"/>
    </w:pPr>
    <w:rPr>
      <w:rFonts w:ascii="Calibri" w:eastAsia="SimSun" w:hAnsi="Calibri"/>
      <w:color w:val="auto"/>
      <w:kern w:val="2"/>
      <w:sz w:val="21"/>
      <w:szCs w:val="22"/>
    </w:rPr>
  </w:style>
  <w:style w:type="character" w:customStyle="1" w:styleId="articletypelabel">
    <w:name w:val="articletypelabel"/>
    <w:basedOn w:val="DefaultParagraphFont"/>
    <w:rsid w:val="00CA5E9C"/>
  </w:style>
  <w:style w:type="paragraph" w:customStyle="1" w:styleId="Refs0">
    <w:name w:val="Refs"/>
    <w:basedOn w:val="BodyText"/>
    <w:rsid w:val="00CA5E9C"/>
    <w:pPr>
      <w:spacing w:before="120" w:after="0" w:line="264" w:lineRule="auto"/>
      <w:ind w:left="567" w:hanging="567"/>
    </w:pPr>
    <w:rPr>
      <w:rFonts w:ascii="Arial" w:eastAsia="Calibri" w:hAnsi="Arial"/>
      <w:color w:val="auto"/>
      <w:sz w:val="20"/>
      <w:lang w:val="en-AU" w:eastAsia="en-NZ"/>
    </w:rPr>
  </w:style>
  <w:style w:type="character" w:customStyle="1" w:styleId="slug-pub-date3">
    <w:name w:val="slug-pub-date3"/>
    <w:basedOn w:val="DefaultParagraphFont"/>
    <w:rsid w:val="00CA5E9C"/>
  </w:style>
  <w:style w:type="character" w:customStyle="1" w:styleId="slug-vol">
    <w:name w:val="slug-vol"/>
    <w:basedOn w:val="DefaultParagraphFont"/>
    <w:rsid w:val="00CA5E9C"/>
  </w:style>
  <w:style w:type="character" w:customStyle="1" w:styleId="slug-issue">
    <w:name w:val="slug-issue"/>
    <w:basedOn w:val="DefaultParagraphFont"/>
    <w:rsid w:val="00CA5E9C"/>
  </w:style>
  <w:style w:type="character" w:customStyle="1" w:styleId="slug-pages3">
    <w:name w:val="slug-pages3"/>
    <w:basedOn w:val="DefaultParagraphFont"/>
    <w:rsid w:val="00CA5E9C"/>
  </w:style>
  <w:style w:type="table" w:styleId="TableGrid">
    <w:name w:val="Table Grid"/>
    <w:basedOn w:val="TableNormal"/>
    <w:uiPriority w:val="39"/>
    <w:rsid w:val="005B1FC8"/>
    <w:rPr>
      <w:rFonts w:ascii="Cambria" w:eastAsia="Cambria" w:hAnsi="Cambria"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w:basedOn w:val="Normal"/>
    <w:qFormat/>
    <w:rsid w:val="00841BDE"/>
    <w:pPr>
      <w:spacing w:after="0"/>
    </w:pPr>
    <w:rPr>
      <w:rFonts w:eastAsia="SimSun"/>
      <w:kern w:val="2"/>
      <w:sz w:val="24"/>
      <w:szCs w:val="24"/>
      <w:lang w:val="en-US" w:eastAsia="en-US"/>
    </w:rPr>
  </w:style>
  <w:style w:type="paragraph" w:customStyle="1" w:styleId="TableHeadings">
    <w:name w:val="Table Headings"/>
    <w:basedOn w:val="TableText1"/>
    <w:qFormat/>
    <w:rsid w:val="00841BDE"/>
    <w:pPr>
      <w:jc w:val="center"/>
    </w:pPr>
    <w:rPr>
      <w:rFonts w:ascii="Times New Roman Bold"/>
      <w:b/>
    </w:rPr>
  </w:style>
  <w:style w:type="paragraph" w:customStyle="1" w:styleId="Tablenote">
    <w:name w:val="Table note"/>
    <w:basedOn w:val="Normal"/>
    <w:qFormat/>
    <w:rsid w:val="00841BDE"/>
    <w:pPr>
      <w:spacing w:after="0"/>
      <w:ind w:left="720" w:hanging="720"/>
      <w:contextualSpacing/>
    </w:pPr>
    <w:rPr>
      <w:rFonts w:eastAsia="MS Mincho"/>
      <w:snapToGrid w:val="0"/>
      <w:color w:val="auto"/>
      <w:kern w:val="2"/>
      <w:sz w:val="20"/>
      <w:szCs w:val="18"/>
      <w:lang w:val="en-US" w:eastAsia="en-US"/>
    </w:rPr>
  </w:style>
  <w:style w:type="table" w:styleId="LightShading">
    <w:name w:val="Light Shading"/>
    <w:basedOn w:val="TableNormal"/>
    <w:uiPriority w:val="60"/>
    <w:rsid w:val="00A66F2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List">
    <w:name w:val="Light List"/>
    <w:basedOn w:val="TableNormal"/>
    <w:uiPriority w:val="61"/>
    <w:rsid w:val="00CB66F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gp486">
    <w:name w:val="gp486"/>
    <w:basedOn w:val="DefaultParagraphFont"/>
    <w:rsid w:val="00C915BD"/>
  </w:style>
  <w:style w:type="table" w:styleId="MediumShading1-Accent5">
    <w:name w:val="Medium Shading 1 Accent 5"/>
    <w:basedOn w:val="TableNormal"/>
    <w:uiPriority w:val="63"/>
    <w:rsid w:val="00CF01A0"/>
    <w:rPr>
      <w:rFonts w:ascii="Cambria" w:eastAsia="MS Mincho" w:hAnsi="Cambria" w:cs="Arial"/>
      <w:sz w:val="24"/>
      <w:szCs w:val="24"/>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F01A0"/>
    <w:rPr>
      <w:rFonts w:ascii="Cambria" w:eastAsia="MS Mincho" w:hAnsi="Cambria" w:cs="Arial"/>
      <w:sz w:val="24"/>
      <w:szCs w:val="24"/>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F01A0"/>
    <w:rPr>
      <w:rFonts w:ascii="Cambria" w:eastAsia="MS Mincho" w:hAnsi="Cambria" w:cs="Arial"/>
      <w:sz w:val="24"/>
      <w:szCs w:val="24"/>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F01A0"/>
    <w:rPr>
      <w:rFonts w:ascii="Cambria" w:eastAsia="MS Mincho" w:hAnsi="Cambria" w:cs="Arial"/>
      <w:sz w:val="24"/>
      <w:szCs w:val="24"/>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p4">
    <w:name w:val="p4"/>
    <w:basedOn w:val="Normal"/>
    <w:rsid w:val="00F73340"/>
    <w:pPr>
      <w:spacing w:before="100" w:beforeAutospacing="1" w:after="100" w:afterAutospacing="1"/>
    </w:pPr>
    <w:rPr>
      <w:color w:val="auto"/>
      <w:sz w:val="24"/>
      <w:szCs w:val="24"/>
      <w:lang w:val="de-DE" w:eastAsia="de-DE"/>
    </w:rPr>
  </w:style>
  <w:style w:type="character" w:customStyle="1" w:styleId="s1">
    <w:name w:val="s1"/>
    <w:basedOn w:val="DefaultParagraphFont"/>
    <w:rsid w:val="00F73340"/>
  </w:style>
  <w:style w:type="paragraph" w:customStyle="1" w:styleId="p5">
    <w:name w:val="p5"/>
    <w:basedOn w:val="Normal"/>
    <w:rsid w:val="00F73340"/>
    <w:pPr>
      <w:spacing w:before="100" w:beforeAutospacing="1" w:after="100" w:afterAutospacing="1"/>
    </w:pPr>
    <w:rPr>
      <w:color w:val="auto"/>
      <w:sz w:val="24"/>
      <w:szCs w:val="24"/>
      <w:lang w:val="de-DE" w:eastAsia="de-DE"/>
    </w:rPr>
  </w:style>
  <w:style w:type="character" w:customStyle="1" w:styleId="cmpparsedlocation">
    <w:name w:val="cmp_parsed_location"/>
    <w:basedOn w:val="DefaultParagraphFont"/>
    <w:rsid w:val="00F73340"/>
  </w:style>
  <w:style w:type="paragraph" w:customStyle="1" w:styleId="Style8">
    <w:name w:val="Style8"/>
    <w:basedOn w:val="Heading4"/>
    <w:autoRedefine/>
    <w:qFormat/>
    <w:rsid w:val="007C3005"/>
    <w:pPr>
      <w:ind w:left="1571"/>
    </w:pPr>
    <w:rPr>
      <w:i/>
    </w:rPr>
  </w:style>
  <w:style w:type="paragraph" w:customStyle="1" w:styleId="Style9">
    <w:name w:val="Style9"/>
    <w:basedOn w:val="Heading4"/>
    <w:next w:val="StyleHeading4Left0Firstline0"/>
    <w:autoRedefine/>
    <w:qFormat/>
    <w:rsid w:val="007C3005"/>
    <w:pPr>
      <w:ind w:left="1571"/>
    </w:pPr>
    <w:rPr>
      <w:i/>
    </w:rPr>
  </w:style>
  <w:style w:type="table" w:customStyle="1" w:styleId="TableGridLight1">
    <w:name w:val="Table Grid Light1"/>
    <w:basedOn w:val="TableNormal"/>
    <w:uiPriority w:val="40"/>
    <w:rsid w:val="00FA590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CorpoA">
    <w:name w:val="Corpo A"/>
    <w:rsid w:val="00E5745D"/>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de-DE"/>
    </w:rPr>
  </w:style>
  <w:style w:type="character" w:customStyle="1" w:styleId="title-text">
    <w:name w:val="title-text"/>
    <w:basedOn w:val="DefaultParagraphFont"/>
    <w:rsid w:val="009474D5"/>
  </w:style>
  <w:style w:type="character" w:customStyle="1" w:styleId="author-ref">
    <w:name w:val="author-ref"/>
    <w:basedOn w:val="DefaultParagraphFont"/>
    <w:rsid w:val="009474D5"/>
  </w:style>
  <w:style w:type="paragraph" w:customStyle="1" w:styleId="ListParagraph12">
    <w:name w:val="List Paragraph12"/>
    <w:basedOn w:val="Normal"/>
    <w:qFormat/>
    <w:rsid w:val="009A5785"/>
    <w:pPr>
      <w:spacing w:before="100" w:after="100"/>
      <w:ind w:left="720" w:right="720"/>
    </w:pPr>
    <w:rPr>
      <w:rFonts w:eastAsia="Calibri"/>
      <w:i/>
      <w:color w:val="auto"/>
      <w:sz w:val="24"/>
    </w:rPr>
  </w:style>
  <w:style w:type="paragraph" w:customStyle="1" w:styleId="Pa5">
    <w:name w:val="Pa5"/>
    <w:basedOn w:val="Default"/>
    <w:next w:val="Default"/>
    <w:uiPriority w:val="99"/>
    <w:rsid w:val="009A5785"/>
    <w:pPr>
      <w:spacing w:line="161" w:lineRule="atLeast"/>
    </w:pPr>
    <w:rPr>
      <w:rFonts w:ascii="Open Sans" w:hAnsi="Open Sans"/>
      <w:color w:val="auto"/>
      <w:szCs w:val="24"/>
      <w:lang w:val="en-GB"/>
    </w:rPr>
  </w:style>
  <w:style w:type="character" w:customStyle="1" w:styleId="CarCar7">
    <w:name w:val="Car Car7"/>
    <w:locked/>
    <w:rsid w:val="00347ACE"/>
    <w:rPr>
      <w:rFonts w:eastAsia="MS Mincho"/>
      <w:noProof w:val="0"/>
      <w:sz w:val="24"/>
      <w:szCs w:val="24"/>
      <w:lang w:val="fr-FR" w:eastAsia="ja-JP" w:bidi="ar-SA"/>
    </w:rPr>
  </w:style>
  <w:style w:type="paragraph" w:customStyle="1" w:styleId="BodyText12">
    <w:name w:val="Body Text12"/>
    <w:basedOn w:val="Normal"/>
    <w:rsid w:val="00347ACE"/>
    <w:rPr>
      <w:szCs w:val="24"/>
    </w:rPr>
  </w:style>
  <w:style w:type="character" w:customStyle="1" w:styleId="CharChar22">
    <w:name w:val="Char Char22"/>
    <w:locked/>
    <w:rsid w:val="00347ACE"/>
    <w:rPr>
      <w:b/>
      <w:bCs w:val="0"/>
      <w:noProof w:val="0"/>
      <w:color w:val="000000"/>
      <w:sz w:val="28"/>
      <w:lang w:val="en-GB" w:eastAsia="zh-CN" w:bidi="ar-SA"/>
    </w:rPr>
  </w:style>
  <w:style w:type="character" w:customStyle="1" w:styleId="CharChar12">
    <w:name w:val="Char Char12"/>
    <w:rsid w:val="00347ACE"/>
    <w:rPr>
      <w:rFonts w:ascii="Arial" w:hAnsi="Arial" w:cs="Arial" w:hint="default"/>
      <w:noProof w:val="0"/>
      <w:lang w:val="en-GB" w:eastAsia="zh-CN" w:bidi="ar-SA"/>
    </w:rPr>
  </w:style>
  <w:style w:type="character" w:customStyle="1" w:styleId="110">
    <w:name w:val="(文字) (文字)11"/>
    <w:rsid w:val="00347ACE"/>
    <w:rPr>
      <w:rFonts w:ascii="SimSun" w:eastAsia="SimSun" w:hint="eastAsia"/>
      <w:noProof w:val="0"/>
      <w:sz w:val="24"/>
      <w:szCs w:val="24"/>
      <w:lang w:val="en-US" w:eastAsia="zh-CN" w:bidi="ar-SA"/>
    </w:rPr>
  </w:style>
  <w:style w:type="character" w:customStyle="1" w:styleId="20">
    <w:name w:val="(文字) (文字)2"/>
    <w:rsid w:val="00347ACE"/>
    <w:rPr>
      <w:rFonts w:ascii="SimSun" w:eastAsia="SimSun" w:hint="eastAsia"/>
      <w:b/>
      <w:bCs/>
      <w:noProof w:val="0"/>
      <w:sz w:val="24"/>
      <w:szCs w:val="24"/>
      <w:lang w:val="en-US" w:eastAsia="en-US" w:bidi="ar-SA"/>
    </w:rPr>
  </w:style>
  <w:style w:type="character" w:customStyle="1" w:styleId="CarCar192">
    <w:name w:val="Car Car192"/>
    <w:locked/>
    <w:rsid w:val="00347ACE"/>
    <w:rPr>
      <w:rFonts w:ascii="MS Mincho" w:eastAsia="MS Mincho" w:hint="eastAsia"/>
      <w:noProof w:val="0"/>
      <w:color w:val="000000"/>
      <w:sz w:val="24"/>
      <w:szCs w:val="24"/>
      <w:lang w:val="en-GB" w:eastAsia="zh-CN" w:bidi="ar-SA"/>
    </w:rPr>
  </w:style>
  <w:style w:type="character" w:customStyle="1" w:styleId="CharChar42">
    <w:name w:val="Char Char42"/>
    <w:locked/>
    <w:rsid w:val="00347ACE"/>
    <w:rPr>
      <w:noProof w:val="0"/>
      <w:sz w:val="24"/>
      <w:lang w:val="en-US" w:eastAsia="en-AU"/>
    </w:rPr>
  </w:style>
  <w:style w:type="character" w:customStyle="1" w:styleId="CharChar32">
    <w:name w:val="Char Char32"/>
    <w:locked/>
    <w:rsid w:val="00347ACE"/>
    <w:rPr>
      <w:noProof w:val="0"/>
      <w:color w:val="000000"/>
      <w:sz w:val="24"/>
      <w:lang w:val="en-GB" w:eastAsia="en-US"/>
    </w:rPr>
  </w:style>
  <w:style w:type="character" w:customStyle="1" w:styleId="CarCar51">
    <w:name w:val="Car Car51"/>
    <w:rsid w:val="00347ACE"/>
    <w:rPr>
      <w:noProof w:val="0"/>
      <w:sz w:val="24"/>
      <w:szCs w:val="24"/>
      <w:u w:val="single"/>
      <w:lang w:val="en-US"/>
    </w:rPr>
  </w:style>
  <w:style w:type="character" w:customStyle="1" w:styleId="CarCar41">
    <w:name w:val="Car Car41"/>
    <w:rsid w:val="00347ACE"/>
    <w:rPr>
      <w:b/>
      <w:bCs/>
      <w:noProof w:val="0"/>
      <w:kern w:val="32"/>
      <w:sz w:val="24"/>
      <w:szCs w:val="24"/>
      <w:lang w:val="en-US"/>
    </w:rPr>
  </w:style>
  <w:style w:type="character" w:customStyle="1" w:styleId="CarCar31">
    <w:name w:val="Car Car31"/>
    <w:rsid w:val="00347ACE"/>
    <w:rPr>
      <w:b/>
      <w:bCs/>
      <w:i/>
      <w:iCs/>
      <w:noProof w:val="0"/>
      <w:kern w:val="32"/>
      <w:sz w:val="26"/>
      <w:szCs w:val="26"/>
      <w:lang w:val="it-IT"/>
    </w:rPr>
  </w:style>
  <w:style w:type="character" w:customStyle="1" w:styleId="ZchnZchn161">
    <w:name w:val="Zchn Zchn161"/>
    <w:rsid w:val="00347ACE"/>
    <w:rPr>
      <w:rFonts w:ascii="Arial" w:hAnsi="Arial" w:cs="Arial"/>
      <w:b/>
      <w:bCs/>
      <w:noProof w:val="0"/>
      <w:kern w:val="32"/>
      <w:sz w:val="32"/>
      <w:szCs w:val="32"/>
      <w:lang w:val="en-US"/>
    </w:rPr>
  </w:style>
  <w:style w:type="character" w:customStyle="1" w:styleId="ZchnZchn17">
    <w:name w:val="Zchn Zchn17"/>
    <w:rsid w:val="00347ACE"/>
    <w:rPr>
      <w:rFonts w:ascii="Cambria" w:hAnsi="Cambria" w:cs="MS Mincho"/>
      <w:b/>
      <w:bCs/>
      <w:noProof w:val="0"/>
      <w:kern w:val="28"/>
      <w:sz w:val="32"/>
      <w:szCs w:val="32"/>
      <w:lang w:val="ca-ES"/>
    </w:rPr>
  </w:style>
  <w:style w:type="character" w:customStyle="1" w:styleId="ZchnZchn2">
    <w:name w:val="Zchn Zchn2"/>
    <w:rsid w:val="00347ACE"/>
    <w:rPr>
      <w:rFonts w:ascii="Calibri" w:hAnsi="Calibri" w:cs="Calibri"/>
      <w:noProof w:val="0"/>
      <w:lang w:val="ca-ES"/>
    </w:rPr>
  </w:style>
  <w:style w:type="character" w:customStyle="1" w:styleId="CarCar21">
    <w:name w:val="Car Car21"/>
    <w:rsid w:val="00347ACE"/>
    <w:rPr>
      <w:noProof w:val="0"/>
      <w:lang w:val="en-US"/>
    </w:rPr>
  </w:style>
  <w:style w:type="character" w:customStyle="1" w:styleId="CarCar11">
    <w:name w:val="Car Car11"/>
    <w:rsid w:val="00347ACE"/>
    <w:rPr>
      <w:noProof w:val="0"/>
      <w:lang w:val="en-US"/>
    </w:rPr>
  </w:style>
  <w:style w:type="character" w:customStyle="1" w:styleId="ZchnZchn151">
    <w:name w:val="Zchn Zchn151"/>
    <w:rsid w:val="00347ACE"/>
    <w:rPr>
      <w:rFonts w:ascii="Arial" w:hAnsi="Arial" w:cs="Arial"/>
      <w:b/>
      <w:bCs/>
      <w:i/>
      <w:iCs/>
      <w:noProof w:val="0"/>
      <w:sz w:val="28"/>
      <w:szCs w:val="28"/>
      <w:lang w:val="en-US"/>
    </w:rPr>
  </w:style>
  <w:style w:type="character" w:customStyle="1" w:styleId="ZchnZchn141">
    <w:name w:val="Zchn Zchn141"/>
    <w:rsid w:val="00347ACE"/>
    <w:rPr>
      <w:rFonts w:ascii="Arial" w:hAnsi="Arial" w:cs="Arial"/>
      <w:b/>
      <w:bCs/>
      <w:noProof w:val="0"/>
      <w:sz w:val="26"/>
      <w:szCs w:val="26"/>
      <w:lang w:val="en-US"/>
    </w:rPr>
  </w:style>
  <w:style w:type="character" w:customStyle="1" w:styleId="ZchnZchn131">
    <w:name w:val="Zchn Zchn131"/>
    <w:rsid w:val="00347ACE"/>
    <w:rPr>
      <w:rFonts w:ascii="Arial" w:hAnsi="Arial" w:cs="Arial"/>
      <w:b/>
      <w:bCs/>
      <w:noProof w:val="0"/>
      <w:sz w:val="24"/>
      <w:szCs w:val="24"/>
      <w:lang w:val="de-DE"/>
    </w:rPr>
  </w:style>
  <w:style w:type="character" w:customStyle="1" w:styleId="ZchnZchn121">
    <w:name w:val="Zchn Zchn121"/>
    <w:rsid w:val="00347ACE"/>
    <w:rPr>
      <w:rFonts w:ascii="Arial" w:hAnsi="Arial" w:cs="Arial"/>
      <w:b/>
      <w:bCs/>
      <w:noProof w:val="0"/>
      <w:sz w:val="24"/>
      <w:szCs w:val="24"/>
      <w:lang w:val="de-DE"/>
    </w:rPr>
  </w:style>
  <w:style w:type="character" w:customStyle="1" w:styleId="ZchnZchn111">
    <w:name w:val="Zchn Zchn111"/>
    <w:rsid w:val="00347ACE"/>
    <w:rPr>
      <w:rFonts w:ascii="Arial" w:hAnsi="Arial" w:cs="Arial"/>
      <w:b/>
      <w:bCs/>
      <w:noProof w:val="0"/>
      <w:lang w:val="de-DE"/>
    </w:rPr>
  </w:style>
  <w:style w:type="character" w:customStyle="1" w:styleId="ZchnZchn101">
    <w:name w:val="Zchn Zchn101"/>
    <w:rsid w:val="00347ACE"/>
    <w:rPr>
      <w:rFonts w:ascii="Arial" w:hAnsi="Arial" w:cs="Arial"/>
      <w:b/>
      <w:bCs/>
      <w:noProof w:val="0"/>
      <w:sz w:val="28"/>
      <w:szCs w:val="28"/>
      <w:lang w:val="de-DE"/>
    </w:rPr>
  </w:style>
  <w:style w:type="character" w:customStyle="1" w:styleId="ZchnZchn91">
    <w:name w:val="Zchn Zchn91"/>
    <w:rsid w:val="00347ACE"/>
    <w:rPr>
      <w:rFonts w:ascii="Arial" w:hAnsi="Arial" w:cs="Arial"/>
      <w:b/>
      <w:bCs/>
      <w:noProof w:val="0"/>
      <w:lang w:val="de-DE"/>
    </w:rPr>
  </w:style>
  <w:style w:type="character" w:customStyle="1" w:styleId="ZchnZchn81">
    <w:name w:val="Zchn Zchn81"/>
    <w:rsid w:val="00347ACE"/>
    <w:rPr>
      <w:rFonts w:ascii="Arial" w:hAnsi="Arial" w:cs="Arial"/>
      <w:noProof w:val="0"/>
      <w:sz w:val="24"/>
      <w:szCs w:val="24"/>
      <w:lang w:val="de-DE"/>
    </w:rPr>
  </w:style>
  <w:style w:type="character" w:customStyle="1" w:styleId="ZchnZchn41">
    <w:name w:val="Zchn Zchn41"/>
    <w:rsid w:val="00347ACE"/>
    <w:rPr>
      <w:noProof w:val="0"/>
      <w:sz w:val="24"/>
      <w:szCs w:val="24"/>
      <w:lang w:val="en-US"/>
    </w:rPr>
  </w:style>
  <w:style w:type="character" w:customStyle="1" w:styleId="ZchnZchn71">
    <w:name w:val="Zchn Zchn71"/>
    <w:rsid w:val="00347ACE"/>
    <w:rPr>
      <w:noProof w:val="0"/>
      <w:sz w:val="24"/>
      <w:szCs w:val="24"/>
      <w:lang w:val="en-US"/>
    </w:rPr>
  </w:style>
  <w:style w:type="character" w:customStyle="1" w:styleId="ZchnZchn61">
    <w:name w:val="Zchn Zchn61"/>
    <w:rsid w:val="00347ACE"/>
    <w:rPr>
      <w:rFonts w:ascii="Courier New" w:hAnsi="Courier New" w:cs="FrutigerLTStd-Light"/>
      <w:noProof w:val="0"/>
      <w:lang w:val="de-DE"/>
    </w:rPr>
  </w:style>
  <w:style w:type="character" w:customStyle="1" w:styleId="ZchnZchn51">
    <w:name w:val="Zchn Zchn51"/>
    <w:rsid w:val="00347ACE"/>
    <w:rPr>
      <w:rFonts w:ascii="Arial" w:hAnsi="Arial" w:cs="Arial"/>
      <w:noProof w:val="0"/>
      <w:sz w:val="24"/>
      <w:szCs w:val="24"/>
      <w:lang w:val="de-DE"/>
    </w:rPr>
  </w:style>
  <w:style w:type="character" w:customStyle="1" w:styleId="ZchnZchn31">
    <w:name w:val="Zchn Zchn31"/>
    <w:rsid w:val="00347ACE"/>
    <w:rPr>
      <w:rFonts w:ascii="Arial" w:hAnsi="Arial" w:cs="Arial"/>
      <w:noProof w:val="0"/>
      <w:sz w:val="24"/>
      <w:szCs w:val="24"/>
      <w:lang w:val="de-DE"/>
    </w:rPr>
  </w:style>
  <w:style w:type="paragraph" w:customStyle="1" w:styleId="Style10">
    <w:name w:val="Style10"/>
    <w:basedOn w:val="Heading4"/>
    <w:autoRedefine/>
    <w:qFormat/>
    <w:rsid w:val="008867C9"/>
    <w:rPr>
      <w:i/>
    </w:rPr>
  </w:style>
  <w:style w:type="paragraph" w:customStyle="1" w:styleId="Style11">
    <w:name w:val="Style11"/>
    <w:basedOn w:val="Heading4"/>
    <w:autoRedefine/>
    <w:qFormat/>
    <w:rsid w:val="008867C9"/>
    <w:rPr>
      <w:i/>
    </w:rPr>
  </w:style>
  <w:style w:type="paragraph" w:customStyle="1" w:styleId="Style12">
    <w:name w:val="Style12"/>
    <w:basedOn w:val="Heading2"/>
    <w:autoRedefine/>
    <w:qFormat/>
    <w:rsid w:val="007739E3"/>
    <w:rPr>
      <w:b w:val="0"/>
    </w:rPr>
  </w:style>
  <w:style w:type="paragraph" w:customStyle="1" w:styleId="Style13">
    <w:name w:val="Style13"/>
    <w:basedOn w:val="Heading3"/>
    <w:autoRedefine/>
    <w:qFormat/>
    <w:rsid w:val="00B528D8"/>
    <w:rPr>
      <w:i w:val="0"/>
    </w:rPr>
  </w:style>
  <w:style w:type="table" w:customStyle="1" w:styleId="PlainTable21">
    <w:name w:val="Plain Table 21"/>
    <w:basedOn w:val="TableNormal"/>
    <w:uiPriority w:val="99"/>
    <w:rsid w:val="00983E1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yle14">
    <w:name w:val="Style14"/>
    <w:basedOn w:val="Heading3"/>
    <w:autoRedefine/>
    <w:qFormat/>
    <w:rsid w:val="00812504"/>
    <w:rPr>
      <w:b w:val="0"/>
    </w:rPr>
  </w:style>
  <w:style w:type="paragraph" w:customStyle="1" w:styleId="Normal-pool">
    <w:name w:val="Normal-pool"/>
    <w:link w:val="Normal-poolChar"/>
    <w:rsid w:val="000D574D"/>
    <w:pPr>
      <w:tabs>
        <w:tab w:val="left" w:pos="1247"/>
        <w:tab w:val="left" w:pos="1814"/>
        <w:tab w:val="left" w:pos="2381"/>
        <w:tab w:val="left" w:pos="2948"/>
        <w:tab w:val="left" w:pos="3515"/>
      </w:tabs>
    </w:pPr>
    <w:rPr>
      <w:rFonts w:ascii="Times New Roman" w:hAnsi="Times New Roman"/>
      <w:lang w:val="en-GB"/>
    </w:rPr>
  </w:style>
  <w:style w:type="character" w:customStyle="1" w:styleId="Normal-poolChar">
    <w:name w:val="Normal-pool Char"/>
    <w:link w:val="Normal-pool"/>
    <w:locked/>
    <w:rsid w:val="000D574D"/>
    <w:rPr>
      <w:rFonts w:ascii="Times New Roman" w:hAnsi="Times New Roman"/>
      <w:lang w:val="en-GB"/>
    </w:rPr>
  </w:style>
  <w:style w:type="paragraph" w:customStyle="1" w:styleId="gmail-story-body-text">
    <w:name w:val="gmail-story-body-text"/>
    <w:basedOn w:val="Normal"/>
    <w:rsid w:val="00F3279B"/>
    <w:pPr>
      <w:spacing w:before="100" w:beforeAutospacing="1" w:after="100" w:afterAutospacing="1"/>
    </w:pPr>
    <w:rPr>
      <w:color w:val="auto"/>
      <w:sz w:val="24"/>
      <w:szCs w:val="24"/>
      <w:lang w:val="en-US" w:eastAsia="en-US"/>
    </w:rPr>
  </w:style>
  <w:style w:type="table" w:customStyle="1" w:styleId="GridTable6Colorful1">
    <w:name w:val="Grid Table 6 Colorful1"/>
    <w:basedOn w:val="TableNormal"/>
    <w:uiPriority w:val="51"/>
    <w:rsid w:val="00743638"/>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tyle15">
    <w:name w:val="Style15"/>
    <w:basedOn w:val="Normal"/>
    <w:qFormat/>
    <w:rsid w:val="0050379E"/>
    <w:pPr>
      <w:tabs>
        <w:tab w:val="left" w:pos="720"/>
        <w:tab w:val="left" w:pos="1080"/>
      </w:tabs>
      <w:spacing w:after="0"/>
    </w:pPr>
    <w:rPr>
      <w:b/>
      <w:sz w:val="20"/>
    </w:rPr>
  </w:style>
  <w:style w:type="paragraph" w:customStyle="1" w:styleId="Styleteap">
    <w:name w:val="Style teap"/>
    <w:basedOn w:val="Normal"/>
    <w:next w:val="Style15"/>
    <w:qFormat/>
    <w:rsid w:val="0050379E"/>
    <w:pPr>
      <w:pBdr>
        <w:top w:val="single" w:sz="4" w:space="1" w:color="auto"/>
        <w:left w:val="single" w:sz="4" w:space="1" w:color="auto"/>
        <w:bottom w:val="single" w:sz="4" w:space="1" w:color="auto"/>
        <w:right w:val="single" w:sz="4" w:space="1" w:color="auto"/>
        <w:between w:val="single" w:sz="4" w:space="1" w:color="auto"/>
        <w:bar w:val="single" w:sz="4" w:color="auto"/>
      </w:pBdr>
      <w:tabs>
        <w:tab w:val="left" w:pos="720"/>
        <w:tab w:val="left" w:pos="1080"/>
      </w:tabs>
      <w:spacing w:after="0"/>
      <w:ind w:left="-108"/>
    </w:pPr>
    <w:rPr>
      <w:rFonts w:eastAsia="Cambria" w:cs="Arial"/>
      <w:b/>
      <w:sz w:val="20"/>
      <w:szCs w:val="22"/>
    </w:rPr>
  </w:style>
  <w:style w:type="character" w:customStyle="1" w:styleId="UnresolvedMention1">
    <w:name w:val="Unresolved Mention1"/>
    <w:basedOn w:val="DefaultParagraphFont"/>
    <w:uiPriority w:val="99"/>
    <w:semiHidden/>
    <w:unhideWhenUsed/>
    <w:rsid w:val="00DC5017"/>
    <w:rPr>
      <w:color w:val="605E5C"/>
      <w:shd w:val="clear" w:color="auto" w:fill="E1DFDD"/>
    </w:rPr>
  </w:style>
  <w:style w:type="paragraph" w:customStyle="1" w:styleId="ydpb8bb3f9byiv0558144047gmail-m-8596969085819215027ydp7e407c7bmsonormal">
    <w:name w:val="ydpb8bb3f9byiv0558144047gmail-m-8596969085819215027ydp7e407c7bmsonormal"/>
    <w:basedOn w:val="Normal"/>
    <w:rsid w:val="00770E7F"/>
    <w:pPr>
      <w:spacing w:before="100" w:beforeAutospacing="1" w:after="100" w:afterAutospacing="1"/>
    </w:pPr>
    <w:rPr>
      <w:color w:val="auto"/>
      <w:sz w:val="24"/>
      <w:szCs w:val="24"/>
      <w:lang w:val="en-US" w:eastAsia="en-US"/>
    </w:rPr>
  </w:style>
  <w:style w:type="paragraph" w:customStyle="1" w:styleId="m3889175210138280041msonormal">
    <w:name w:val="m_3889175210138280041msonormal"/>
    <w:basedOn w:val="Normal"/>
    <w:rsid w:val="00DB0517"/>
    <w:pPr>
      <w:spacing w:before="100" w:beforeAutospacing="1" w:after="100" w:afterAutospacing="1"/>
    </w:pPr>
    <w:rPr>
      <w:color w:val="auto"/>
      <w:sz w:val="24"/>
      <w:szCs w:val="24"/>
      <w:lang w:eastAsia="en-GB"/>
    </w:rPr>
  </w:style>
  <w:style w:type="paragraph" w:customStyle="1" w:styleId="m3889175210138280041msolistparagraph">
    <w:name w:val="m_3889175210138280041msolistparagraph"/>
    <w:basedOn w:val="Normal"/>
    <w:rsid w:val="00DB0517"/>
    <w:pPr>
      <w:spacing w:before="100" w:beforeAutospacing="1" w:after="100" w:afterAutospacing="1"/>
    </w:pPr>
    <w:rPr>
      <w:color w:val="auto"/>
      <w:sz w:val="24"/>
      <w:szCs w:val="24"/>
      <w:lang w:eastAsia="en-GB"/>
    </w:rPr>
  </w:style>
  <w:style w:type="character" w:customStyle="1" w:styleId="UnresolvedMention2">
    <w:name w:val="Unresolved Mention2"/>
    <w:basedOn w:val="DefaultParagraphFont"/>
    <w:uiPriority w:val="99"/>
    <w:semiHidden/>
    <w:unhideWhenUsed/>
    <w:rsid w:val="00B821BF"/>
    <w:rPr>
      <w:color w:val="605E5C"/>
      <w:shd w:val="clear" w:color="auto" w:fill="E1DFDD"/>
    </w:rPr>
  </w:style>
  <w:style w:type="character" w:customStyle="1" w:styleId="ListParagraphChar">
    <w:name w:val="List Paragraph Char"/>
    <w:link w:val="ListParagraph"/>
    <w:uiPriority w:val="34"/>
    <w:locked/>
    <w:rsid w:val="00696CB5"/>
    <w:rPr>
      <w:rFonts w:ascii="Calibri" w:eastAsia="SimSun" w:hAnsi="Calibri"/>
      <w:kern w:val="2"/>
      <w:sz w:val="21"/>
      <w:szCs w:val="22"/>
      <w:lang w:val="en-GB" w:eastAsia="zh-CN"/>
    </w:rPr>
  </w:style>
  <w:style w:type="character" w:customStyle="1" w:styleId="A10">
    <w:name w:val="A1"/>
    <w:uiPriority w:val="99"/>
    <w:rsid w:val="00696CB5"/>
    <w:rPr>
      <w:color w:val="000000"/>
      <w:sz w:val="20"/>
      <w:szCs w:val="20"/>
    </w:rPr>
  </w:style>
  <w:style w:type="character" w:customStyle="1" w:styleId="publication-meta-journal">
    <w:name w:val="publication-meta-journal"/>
    <w:basedOn w:val="DefaultParagraphFont"/>
    <w:rsid w:val="00696CB5"/>
  </w:style>
  <w:style w:type="character" w:customStyle="1" w:styleId="publication-meta-date">
    <w:name w:val="publication-meta-date"/>
    <w:basedOn w:val="DefaultParagraphFont"/>
    <w:rsid w:val="00696CB5"/>
  </w:style>
  <w:style w:type="character" w:customStyle="1" w:styleId="author">
    <w:name w:val="author"/>
    <w:basedOn w:val="DefaultParagraphFont"/>
    <w:rsid w:val="00696CB5"/>
  </w:style>
  <w:style w:type="character" w:customStyle="1" w:styleId="pubyear">
    <w:name w:val="pubyear"/>
    <w:basedOn w:val="DefaultParagraphFont"/>
    <w:rsid w:val="00696CB5"/>
  </w:style>
  <w:style w:type="character" w:customStyle="1" w:styleId="articletitle">
    <w:name w:val="articletitle"/>
    <w:basedOn w:val="DefaultParagraphFont"/>
    <w:rsid w:val="00696CB5"/>
  </w:style>
  <w:style w:type="character" w:customStyle="1" w:styleId="journaltitle">
    <w:name w:val="journaltitle"/>
    <w:basedOn w:val="DefaultParagraphFont"/>
    <w:rsid w:val="00696CB5"/>
  </w:style>
  <w:style w:type="character" w:customStyle="1" w:styleId="vol">
    <w:name w:val="vol"/>
    <w:basedOn w:val="DefaultParagraphFont"/>
    <w:rsid w:val="00696CB5"/>
  </w:style>
  <w:style w:type="character" w:customStyle="1" w:styleId="pagefirst">
    <w:name w:val="pagefirst"/>
    <w:basedOn w:val="DefaultParagraphFont"/>
    <w:rsid w:val="00696CB5"/>
  </w:style>
  <w:style w:type="character" w:customStyle="1" w:styleId="pagelast">
    <w:name w:val="pagelast"/>
    <w:basedOn w:val="DefaultParagraphFont"/>
    <w:rsid w:val="00696CB5"/>
  </w:style>
  <w:style w:type="character" w:customStyle="1" w:styleId="groupname">
    <w:name w:val="groupname"/>
    <w:basedOn w:val="DefaultParagraphFont"/>
    <w:rsid w:val="00696CB5"/>
  </w:style>
  <w:style w:type="character" w:customStyle="1" w:styleId="othertitle">
    <w:name w:val="othertitle"/>
    <w:basedOn w:val="DefaultParagraphFont"/>
    <w:rsid w:val="00696CB5"/>
  </w:style>
  <w:style w:type="character" w:customStyle="1" w:styleId="articlecitationyear">
    <w:name w:val="articlecitation_year"/>
    <w:basedOn w:val="DefaultParagraphFont"/>
    <w:rsid w:val="00696CB5"/>
  </w:style>
  <w:style w:type="character" w:customStyle="1" w:styleId="articlecitationvolume">
    <w:name w:val="articlecitation_volume"/>
    <w:basedOn w:val="DefaultParagraphFont"/>
    <w:rsid w:val="00696CB5"/>
  </w:style>
  <w:style w:type="character" w:customStyle="1" w:styleId="articlecitationpages">
    <w:name w:val="articlecitation_pages"/>
    <w:basedOn w:val="DefaultParagraphFont"/>
    <w:rsid w:val="00696CB5"/>
  </w:style>
  <w:style w:type="paragraph" w:customStyle="1" w:styleId="m-1744333680576380837msolistparagraph">
    <w:name w:val="m_-1744333680576380837msolistparagraph"/>
    <w:basedOn w:val="Normal"/>
    <w:rsid w:val="00696CB5"/>
    <w:pPr>
      <w:spacing w:before="100" w:beforeAutospacing="1" w:after="100" w:afterAutospacing="1"/>
    </w:pPr>
    <w:rPr>
      <w:color w:val="auto"/>
      <w:sz w:val="24"/>
      <w:szCs w:val="24"/>
      <w:lang w:val="fr-FR" w:eastAsia="fr-FR"/>
    </w:rPr>
  </w:style>
  <w:style w:type="character" w:customStyle="1" w:styleId="cmpparseddate">
    <w:name w:val="cmp_parsed_date"/>
    <w:basedOn w:val="DefaultParagraphFont"/>
    <w:rsid w:val="00696CB5"/>
  </w:style>
  <w:style w:type="character" w:customStyle="1" w:styleId="epub-sectionitem">
    <w:name w:val="epub-section__item"/>
    <w:basedOn w:val="DefaultParagraphFont"/>
    <w:rsid w:val="00696CB5"/>
  </w:style>
  <w:style w:type="character" w:customStyle="1" w:styleId="authors">
    <w:name w:val="authors"/>
    <w:basedOn w:val="DefaultParagraphFont"/>
    <w:rsid w:val="00696CB5"/>
  </w:style>
  <w:style w:type="character" w:customStyle="1" w:styleId="Tarih1">
    <w:name w:val="Tarih1"/>
    <w:basedOn w:val="DefaultParagraphFont"/>
    <w:rsid w:val="00696CB5"/>
  </w:style>
  <w:style w:type="character" w:customStyle="1" w:styleId="arttitle">
    <w:name w:val="art_title"/>
    <w:basedOn w:val="DefaultParagraphFont"/>
    <w:rsid w:val="00696CB5"/>
  </w:style>
  <w:style w:type="character" w:customStyle="1" w:styleId="serialtitle">
    <w:name w:val="serial_title"/>
    <w:basedOn w:val="DefaultParagraphFont"/>
    <w:rsid w:val="00696CB5"/>
  </w:style>
  <w:style w:type="character" w:customStyle="1" w:styleId="volumeissue">
    <w:name w:val="volume_issue"/>
    <w:basedOn w:val="DefaultParagraphFont"/>
    <w:rsid w:val="00696CB5"/>
  </w:style>
  <w:style w:type="character" w:customStyle="1" w:styleId="pagerange">
    <w:name w:val="page_range"/>
    <w:basedOn w:val="DefaultParagraphFont"/>
    <w:rsid w:val="00696CB5"/>
  </w:style>
  <w:style w:type="character" w:customStyle="1" w:styleId="doilink">
    <w:name w:val="doi_link"/>
    <w:basedOn w:val="DefaultParagraphFont"/>
    <w:rsid w:val="00696CB5"/>
  </w:style>
  <w:style w:type="paragraph" w:styleId="List2">
    <w:name w:val="List 2"/>
    <w:basedOn w:val="Normal"/>
    <w:semiHidden/>
    <w:rsid w:val="00696CB5"/>
    <w:pPr>
      <w:spacing w:after="0"/>
      <w:ind w:left="720" w:hanging="360"/>
    </w:pPr>
    <w:rPr>
      <w:color w:val="auto"/>
      <w:lang w:val="en-US" w:eastAsia="fr-FR"/>
    </w:rPr>
  </w:style>
  <w:style w:type="character" w:customStyle="1" w:styleId="Sidetall">
    <w:name w:val="Sidetall"/>
    <w:rsid w:val="00696CB5"/>
    <w:rPr>
      <w:sz w:val="20"/>
    </w:rPr>
  </w:style>
  <w:style w:type="character" w:customStyle="1" w:styleId="Standardskriftforavsnitt">
    <w:name w:val="Standardskrift for avsnitt"/>
    <w:rsid w:val="00696CB5"/>
    <w:rPr>
      <w:sz w:val="20"/>
    </w:rPr>
  </w:style>
  <w:style w:type="paragraph" w:customStyle="1" w:styleId="INNH1">
    <w:name w:val="INNH 1"/>
    <w:basedOn w:val="Normal"/>
    <w:next w:val="Normal"/>
    <w:rsid w:val="00696CB5"/>
    <w:pPr>
      <w:widowControl w:val="0"/>
      <w:spacing w:after="0"/>
    </w:pPr>
    <w:rPr>
      <w:rFonts w:ascii="Courier" w:hAnsi="Courier"/>
      <w:color w:val="auto"/>
      <w:lang w:val="nb-NO" w:eastAsia="fr-FR"/>
    </w:rPr>
  </w:style>
  <w:style w:type="paragraph" w:customStyle="1" w:styleId="INNH2">
    <w:name w:val="INNH 2"/>
    <w:basedOn w:val="Normal"/>
    <w:next w:val="Normal"/>
    <w:rsid w:val="00696CB5"/>
    <w:pPr>
      <w:widowControl w:val="0"/>
      <w:spacing w:after="0"/>
      <w:ind w:left="240"/>
    </w:pPr>
    <w:rPr>
      <w:rFonts w:ascii="Courier" w:hAnsi="Courier"/>
      <w:color w:val="auto"/>
      <w:lang w:val="nb-NO" w:eastAsia="fr-FR"/>
    </w:rPr>
  </w:style>
  <w:style w:type="paragraph" w:customStyle="1" w:styleId="INNH3">
    <w:name w:val="INNH 3"/>
    <w:basedOn w:val="Normal"/>
    <w:next w:val="Normal"/>
    <w:rsid w:val="00696CB5"/>
    <w:pPr>
      <w:widowControl w:val="0"/>
      <w:spacing w:after="0"/>
      <w:ind w:left="480"/>
    </w:pPr>
    <w:rPr>
      <w:rFonts w:ascii="Courier" w:hAnsi="Courier"/>
      <w:color w:val="auto"/>
      <w:lang w:val="nb-NO" w:eastAsia="fr-FR"/>
    </w:rPr>
  </w:style>
  <w:style w:type="paragraph" w:customStyle="1" w:styleId="Overskrift1">
    <w:name w:val="Overskrift 1"/>
    <w:basedOn w:val="Normal"/>
    <w:next w:val="Normal"/>
    <w:rsid w:val="00696CB5"/>
    <w:pPr>
      <w:keepNext/>
      <w:widowControl w:val="0"/>
      <w:spacing w:before="240" w:after="60"/>
    </w:pPr>
    <w:rPr>
      <w:b/>
      <w:color w:val="auto"/>
      <w:kern w:val="28"/>
      <w:sz w:val="28"/>
      <w:lang w:val="nb-NO" w:eastAsia="fr-FR"/>
    </w:rPr>
  </w:style>
  <w:style w:type="paragraph" w:customStyle="1" w:styleId="Overskrift2">
    <w:name w:val="Overskrift 2"/>
    <w:basedOn w:val="Normal"/>
    <w:next w:val="Normal"/>
    <w:rsid w:val="00696CB5"/>
    <w:pPr>
      <w:keepNext/>
      <w:widowControl w:val="0"/>
      <w:spacing w:before="240" w:after="60"/>
    </w:pPr>
    <w:rPr>
      <w:b/>
      <w:color w:val="auto"/>
      <w:lang w:val="nb-NO" w:eastAsia="fr-FR"/>
    </w:rPr>
  </w:style>
  <w:style w:type="paragraph" w:customStyle="1" w:styleId="Overskrift3">
    <w:name w:val="Overskrift 3"/>
    <w:basedOn w:val="Normal"/>
    <w:next w:val="Normal"/>
    <w:rsid w:val="00696CB5"/>
    <w:pPr>
      <w:keepNext/>
      <w:widowControl w:val="0"/>
      <w:spacing w:before="240" w:after="60"/>
    </w:pPr>
    <w:rPr>
      <w:color w:val="auto"/>
      <w:lang w:val="nb-NO" w:eastAsia="fr-FR"/>
    </w:rPr>
  </w:style>
  <w:style w:type="paragraph" w:customStyle="1" w:styleId="Topptekst">
    <w:name w:val="Topptekst"/>
    <w:basedOn w:val="Normal"/>
    <w:rsid w:val="00696CB5"/>
    <w:pPr>
      <w:widowControl w:val="0"/>
      <w:tabs>
        <w:tab w:val="center" w:pos="4536"/>
        <w:tab w:val="right" w:pos="9072"/>
      </w:tabs>
      <w:spacing w:after="0"/>
    </w:pPr>
    <w:rPr>
      <w:rFonts w:ascii="Courier" w:hAnsi="Courier"/>
      <w:color w:val="auto"/>
      <w:lang w:val="nb-NO" w:eastAsia="fr-FR"/>
    </w:rPr>
  </w:style>
  <w:style w:type="paragraph" w:customStyle="1" w:styleId="BodyText21">
    <w:name w:val="Body Text 21"/>
    <w:basedOn w:val="Normal"/>
    <w:rsid w:val="00696CB5"/>
    <w:pPr>
      <w:widowControl w:val="0"/>
      <w:spacing w:after="0"/>
      <w:ind w:left="540" w:hanging="540"/>
    </w:pPr>
    <w:rPr>
      <w:color w:val="auto"/>
      <w:lang w:val="en-US" w:eastAsia="fr-FR"/>
    </w:rPr>
  </w:style>
  <w:style w:type="paragraph" w:customStyle="1" w:styleId="linah">
    <w:name w:val="linah"/>
    <w:basedOn w:val="Normal"/>
    <w:rsid w:val="00696CB5"/>
    <w:pPr>
      <w:keepNext/>
      <w:spacing w:after="0" w:line="264" w:lineRule="exact"/>
      <w:jc w:val="both"/>
    </w:pPr>
    <w:rPr>
      <w:rFonts w:ascii="CG Times (W1)" w:hAnsi="CG Times (W1)"/>
      <w:color w:val="auto"/>
      <w:lang w:eastAsia="fr-FR"/>
    </w:rPr>
  </w:style>
  <w:style w:type="paragraph" w:customStyle="1" w:styleId="bullets">
    <w:name w:val="bullets"/>
    <w:rsid w:val="00696CB5"/>
    <w:pPr>
      <w:widowControl w:val="0"/>
      <w:tabs>
        <w:tab w:val="left" w:pos="510"/>
        <w:tab w:val="left" w:pos="794"/>
      </w:tabs>
      <w:spacing w:before="120" w:line="220" w:lineRule="exact"/>
      <w:ind w:left="518" w:right="288" w:hanging="230"/>
    </w:pPr>
    <w:rPr>
      <w:rFonts w:ascii="Arial" w:hAnsi="Arial"/>
      <w:sz w:val="22"/>
      <w:lang w:eastAsia="fr-FR"/>
    </w:rPr>
  </w:style>
  <w:style w:type="paragraph" w:customStyle="1" w:styleId="BodyTextIndent21">
    <w:name w:val="Body Text Indent 21"/>
    <w:basedOn w:val="Normal"/>
    <w:rsid w:val="00696CB5"/>
    <w:pPr>
      <w:spacing w:after="0"/>
      <w:ind w:left="1440" w:hanging="1440"/>
      <w:jc w:val="both"/>
    </w:pPr>
    <w:rPr>
      <w:sz w:val="20"/>
      <w:lang w:eastAsia="fr-FR"/>
    </w:rPr>
  </w:style>
  <w:style w:type="paragraph" w:customStyle="1" w:styleId="indent5">
    <w:name w:val="indent5"/>
    <w:basedOn w:val="Heading4"/>
    <w:rsid w:val="00696CB5"/>
    <w:pPr>
      <w:widowControl/>
      <w:tabs>
        <w:tab w:val="left" w:pos="900"/>
      </w:tabs>
      <w:spacing w:before="120" w:after="120" w:line="240" w:lineRule="auto"/>
      <w:ind w:left="902" w:hanging="902"/>
      <w:outlineLvl w:val="9"/>
    </w:pPr>
    <w:rPr>
      <w:rFonts w:eastAsia="Times New Roman"/>
      <w:snapToGrid/>
      <w:szCs w:val="20"/>
      <w:u w:val="single"/>
      <w:lang w:eastAsia="fr-FR"/>
    </w:rPr>
  </w:style>
  <w:style w:type="character" w:customStyle="1" w:styleId="hiddenPUBS">
    <w:name w:val="hidden PUBS"/>
    <w:aliases w:val="shown in FERRET"/>
    <w:rsid w:val="00696CB5"/>
    <w:rPr>
      <w:rFonts w:ascii="Helvetica" w:hAnsi="Helvetica"/>
      <w:vanish/>
      <w:sz w:val="20"/>
    </w:rPr>
  </w:style>
  <w:style w:type="character" w:customStyle="1" w:styleId="EquationCaption">
    <w:name w:val="_Equation Caption"/>
    <w:rsid w:val="00696CB5"/>
  </w:style>
  <w:style w:type="paragraph" w:styleId="Index3">
    <w:name w:val="index 3"/>
    <w:basedOn w:val="Normal"/>
    <w:next w:val="Normal"/>
    <w:autoRedefine/>
    <w:semiHidden/>
    <w:rsid w:val="00696CB5"/>
    <w:pPr>
      <w:spacing w:after="0"/>
      <w:ind w:left="720" w:hanging="240"/>
    </w:pPr>
    <w:rPr>
      <w:color w:val="auto"/>
      <w:lang w:val="en-US" w:eastAsia="fr-FR"/>
    </w:rPr>
  </w:style>
  <w:style w:type="paragraph" w:styleId="ListNumber2">
    <w:name w:val="List Number 2"/>
    <w:basedOn w:val="Normal"/>
    <w:semiHidden/>
    <w:rsid w:val="00696CB5"/>
    <w:pPr>
      <w:tabs>
        <w:tab w:val="num" w:pos="720"/>
        <w:tab w:val="left" w:pos="4680"/>
        <w:tab w:val="right" w:pos="9360"/>
      </w:tabs>
      <w:spacing w:after="0"/>
      <w:ind w:left="720" w:hanging="360"/>
      <w:jc w:val="both"/>
    </w:pPr>
    <w:rPr>
      <w:rFonts w:ascii="Garamond" w:hAnsi="Garamond"/>
      <w:color w:val="auto"/>
      <w:sz w:val="18"/>
      <w:lang w:val="en-US" w:eastAsia="fr-FR"/>
    </w:rPr>
  </w:style>
  <w:style w:type="paragraph" w:customStyle="1" w:styleId="Step">
    <w:name w:val="Step"/>
    <w:basedOn w:val="Heading3"/>
    <w:rsid w:val="00696CB5"/>
    <w:pPr>
      <w:keepLines w:val="0"/>
      <w:widowControl/>
      <w:tabs>
        <w:tab w:val="left" w:pos="900"/>
        <w:tab w:val="left" w:pos="1134"/>
        <w:tab w:val="left" w:pos="1843"/>
        <w:tab w:val="left" w:pos="3686"/>
        <w:tab w:val="left" w:pos="4395"/>
        <w:tab w:val="left" w:pos="4962"/>
        <w:tab w:val="left" w:pos="5812"/>
        <w:tab w:val="left" w:pos="6521"/>
      </w:tabs>
      <w:adjustRightInd/>
      <w:ind w:left="907" w:right="0" w:hanging="907"/>
      <w:outlineLvl w:val="9"/>
    </w:pPr>
    <w:rPr>
      <w:rFonts w:eastAsia="Times New Roman"/>
      <w:b w:val="0"/>
      <w:i w:val="0"/>
      <w:snapToGrid/>
      <w:sz w:val="24"/>
      <w:szCs w:val="20"/>
      <w:lang w:eastAsia="fr-FR"/>
    </w:rPr>
  </w:style>
  <w:style w:type="paragraph" w:customStyle="1" w:styleId="lgendetableau">
    <w:name w:val="légende tableau"/>
    <w:basedOn w:val="BodyTextIndent2"/>
    <w:autoRedefine/>
    <w:rsid w:val="00696CB5"/>
    <w:pPr>
      <w:widowControl/>
      <w:spacing w:after="240"/>
      <w:ind w:left="1077" w:hanging="1077"/>
      <w:jc w:val="left"/>
    </w:pPr>
    <w:rPr>
      <w:b/>
      <w:i/>
      <w:snapToGrid/>
      <w:lang w:eastAsia="fr-FR"/>
    </w:rPr>
  </w:style>
  <w:style w:type="character" w:customStyle="1" w:styleId="defaultbold">
    <w:name w:val="default bold"/>
    <w:rsid w:val="00696CB5"/>
    <w:rPr>
      <w:rFonts w:ascii="Helvetica" w:hAnsi="Helvetica"/>
      <w:b/>
      <w:sz w:val="22"/>
    </w:rPr>
  </w:style>
  <w:style w:type="character" w:customStyle="1" w:styleId="defaultitalic">
    <w:name w:val="default italic"/>
    <w:rsid w:val="00696CB5"/>
    <w:rPr>
      <w:rFonts w:ascii="Helvetica" w:hAnsi="Helvetica"/>
      <w:i/>
      <w:sz w:val="22"/>
    </w:rPr>
  </w:style>
  <w:style w:type="character" w:customStyle="1" w:styleId="defaultunderscored">
    <w:name w:val="default underscored"/>
    <w:rsid w:val="00696CB5"/>
    <w:rPr>
      <w:rFonts w:ascii="Helvetica" w:hAnsi="Helvetica"/>
      <w:sz w:val="22"/>
      <w:u w:val="single"/>
    </w:rPr>
  </w:style>
  <w:style w:type="character" w:customStyle="1" w:styleId="fontforJMCinletterhead">
    <w:name w:val="font for JMC in letterhead"/>
    <w:rsid w:val="00696CB5"/>
    <w:rPr>
      <w:rFonts w:ascii="Helvetica" w:hAnsi="Helvetica"/>
      <w:b/>
      <w:sz w:val="36"/>
    </w:rPr>
  </w:style>
  <w:style w:type="character" w:customStyle="1" w:styleId="fontforaddressinletterhd">
    <w:name w:val="font for address in letterhd"/>
    <w:rsid w:val="00696CB5"/>
    <w:rPr>
      <w:rFonts w:ascii="Helvetica" w:hAnsi="Helvetica"/>
      <w:b/>
      <w:sz w:val="20"/>
    </w:rPr>
  </w:style>
  <w:style w:type="character" w:customStyle="1" w:styleId="fontforlinesinletterhead">
    <w:name w:val="font for lines in letterhead"/>
    <w:rsid w:val="00696CB5"/>
    <w:rPr>
      <w:rFonts w:ascii="Helvetica" w:hAnsi="Helvetica"/>
      <w:b/>
      <w:sz w:val="36"/>
      <w:u w:val="single"/>
    </w:rPr>
  </w:style>
  <w:style w:type="character" w:customStyle="1" w:styleId="fontforphonefaxinltrhd">
    <w:name w:val="font for phone/fax in ltrhd"/>
    <w:rsid w:val="00696CB5"/>
    <w:rPr>
      <w:rFonts w:ascii="Helvetica" w:hAnsi="Helvetica"/>
      <w:b/>
      <w:sz w:val="16"/>
    </w:rPr>
  </w:style>
  <w:style w:type="paragraph" w:customStyle="1" w:styleId="abstractsummaryparagraph">
    <w:name w:val="abstract/summary paragraph"/>
    <w:rsid w:val="00696CB5"/>
    <w:pPr>
      <w:widowControl w:val="0"/>
      <w:spacing w:before="120"/>
      <w:jc w:val="both"/>
    </w:pPr>
    <w:rPr>
      <w:rFonts w:ascii="Helvetica" w:hAnsi="Helvetica"/>
      <w:lang w:eastAsia="ko-KR"/>
    </w:rPr>
  </w:style>
  <w:style w:type="paragraph" w:customStyle="1" w:styleId="abstract">
    <w:name w:val="abstract"/>
    <w:rsid w:val="00696CB5"/>
    <w:pPr>
      <w:widowControl w:val="0"/>
      <w:tabs>
        <w:tab w:val="left" w:pos="907"/>
      </w:tabs>
      <w:spacing w:before="480" w:after="240"/>
      <w:ind w:left="850" w:right="850"/>
      <w:jc w:val="both"/>
    </w:pPr>
    <w:rPr>
      <w:rFonts w:ascii="Helvetica" w:hAnsi="Helvetica"/>
      <w:sz w:val="22"/>
      <w:lang w:eastAsia="ko-KR"/>
    </w:rPr>
  </w:style>
  <w:style w:type="paragraph" w:customStyle="1" w:styleId="offset">
    <w:name w:val="offset"/>
    <w:aliases w:val="centered paragraph"/>
    <w:rsid w:val="00696CB5"/>
    <w:pPr>
      <w:widowControl w:val="0"/>
      <w:spacing w:before="120"/>
      <w:ind w:left="567" w:right="567"/>
      <w:jc w:val="both"/>
    </w:pPr>
    <w:rPr>
      <w:rFonts w:ascii="Helvetica" w:hAnsi="Helvetica"/>
      <w:sz w:val="22"/>
      <w:lang w:eastAsia="ko-KR"/>
    </w:rPr>
  </w:style>
  <w:style w:type="paragraph" w:customStyle="1" w:styleId="heading">
    <w:name w:val="heading"/>
    <w:rsid w:val="00696CB5"/>
    <w:pPr>
      <w:keepLines/>
      <w:widowControl w:val="0"/>
      <w:tabs>
        <w:tab w:val="right" w:pos="9360"/>
      </w:tabs>
      <w:spacing w:line="200" w:lineRule="exact"/>
    </w:pPr>
    <w:rPr>
      <w:rFonts w:ascii="Helvetica" w:hAnsi="Helvetica"/>
      <w:lang w:eastAsia="ko-KR"/>
    </w:rPr>
  </w:style>
  <w:style w:type="paragraph" w:customStyle="1" w:styleId="left-handside-by-sidepara">
    <w:name w:val="left-hand side-by-side para"/>
    <w:rsid w:val="00696CB5"/>
    <w:pPr>
      <w:widowControl w:val="0"/>
      <w:tabs>
        <w:tab w:val="right" w:pos="4536"/>
      </w:tabs>
      <w:spacing w:before="240"/>
      <w:ind w:right="4896"/>
      <w:jc w:val="both"/>
    </w:pPr>
    <w:rPr>
      <w:rFonts w:ascii="Helvetica" w:hAnsi="Helvetica"/>
      <w:sz w:val="22"/>
      <w:lang w:eastAsia="ko-KR"/>
    </w:rPr>
  </w:style>
  <w:style w:type="paragraph" w:customStyle="1" w:styleId="right-handside-by-sidepara">
    <w:name w:val="right-hand side-by-side para"/>
    <w:rsid w:val="00696CB5"/>
    <w:pPr>
      <w:widowControl w:val="0"/>
      <w:tabs>
        <w:tab w:val="right" w:pos="9360"/>
      </w:tabs>
      <w:ind w:left="4896"/>
      <w:jc w:val="both"/>
    </w:pPr>
    <w:rPr>
      <w:rFonts w:ascii="Helvetica" w:hAnsi="Helvetica"/>
      <w:sz w:val="22"/>
      <w:lang w:eastAsia="ko-KR"/>
    </w:rPr>
  </w:style>
  <w:style w:type="paragraph" w:customStyle="1" w:styleId="PE">
    <w:name w:val="PE"/>
    <w:rsid w:val="00696CB5"/>
    <w:pPr>
      <w:keepLines/>
      <w:widowControl w:val="0"/>
      <w:tabs>
        <w:tab w:val="right" w:pos="454"/>
        <w:tab w:val="left" w:pos="567"/>
      </w:tabs>
      <w:spacing w:line="220" w:lineRule="exact"/>
      <w:ind w:left="567" w:right="567" w:hanging="567"/>
    </w:pPr>
    <w:rPr>
      <w:rFonts w:ascii="Helvetica" w:hAnsi="Helvetica"/>
      <w:sz w:val="22"/>
      <w:lang w:eastAsia="ko-KR"/>
    </w:rPr>
  </w:style>
  <w:style w:type="paragraph" w:customStyle="1" w:styleId="outlineparagraphlevel1">
    <w:name w:val="outline paragraph level 1"/>
    <w:rsid w:val="00696CB5"/>
    <w:pPr>
      <w:keepLines/>
      <w:widowControl w:val="0"/>
      <w:tabs>
        <w:tab w:val="left" w:pos="567"/>
        <w:tab w:val="right" w:pos="9360"/>
      </w:tabs>
      <w:spacing w:before="240"/>
      <w:ind w:left="567" w:hanging="567"/>
      <w:jc w:val="both"/>
    </w:pPr>
    <w:rPr>
      <w:rFonts w:ascii="Helvetica" w:hAnsi="Helvetica"/>
      <w:b/>
      <w:sz w:val="22"/>
      <w:lang w:eastAsia="ko-KR"/>
    </w:rPr>
  </w:style>
  <w:style w:type="paragraph" w:customStyle="1" w:styleId="outlineparagraphlevel2">
    <w:name w:val="outline paragraph level 2"/>
    <w:rsid w:val="00696CB5"/>
    <w:pPr>
      <w:keepLines/>
      <w:widowControl w:val="0"/>
      <w:tabs>
        <w:tab w:val="left" w:pos="1134"/>
        <w:tab w:val="right" w:pos="9360"/>
      </w:tabs>
      <w:spacing w:before="240"/>
      <w:ind w:left="1134" w:hanging="567"/>
      <w:jc w:val="both"/>
    </w:pPr>
    <w:rPr>
      <w:rFonts w:ascii="Helvetica" w:hAnsi="Helvetica"/>
      <w:sz w:val="22"/>
      <w:lang w:eastAsia="ko-KR"/>
    </w:rPr>
  </w:style>
  <w:style w:type="paragraph" w:customStyle="1" w:styleId="outlineparagraphlevel3">
    <w:name w:val="outline paragraph level 3"/>
    <w:rsid w:val="00696CB5"/>
    <w:pPr>
      <w:keepLines/>
      <w:widowControl w:val="0"/>
      <w:tabs>
        <w:tab w:val="left" w:pos="1701"/>
        <w:tab w:val="right" w:pos="9360"/>
      </w:tabs>
      <w:ind w:left="1701" w:hanging="567"/>
      <w:jc w:val="both"/>
    </w:pPr>
    <w:rPr>
      <w:rFonts w:ascii="Helvetica" w:hAnsi="Helvetica"/>
      <w:sz w:val="22"/>
      <w:lang w:eastAsia="ko-KR"/>
    </w:rPr>
  </w:style>
  <w:style w:type="paragraph" w:styleId="Index2">
    <w:name w:val="index 2"/>
    <w:basedOn w:val="Normal"/>
    <w:next w:val="Normal"/>
    <w:autoRedefine/>
    <w:semiHidden/>
    <w:rsid w:val="00696CB5"/>
    <w:pPr>
      <w:keepLines/>
      <w:spacing w:after="0" w:line="220" w:lineRule="exact"/>
      <w:ind w:left="567" w:hanging="113"/>
    </w:pPr>
    <w:rPr>
      <w:rFonts w:ascii="Arial" w:hAnsi="Arial"/>
      <w:color w:val="auto"/>
      <w:lang w:val="en-US" w:eastAsia="fr-FR"/>
    </w:rPr>
  </w:style>
  <w:style w:type="paragraph" w:customStyle="1" w:styleId="RightPar">
    <w:name w:val="Right Par"/>
    <w:basedOn w:val="Normal"/>
    <w:rsid w:val="00696CB5"/>
    <w:pPr>
      <w:spacing w:after="0"/>
      <w:ind w:left="5760" w:firstLine="720"/>
    </w:pPr>
    <w:rPr>
      <w:rFonts w:ascii="CG Times" w:hAnsi="CG Times"/>
      <w:lang w:val="en-US" w:eastAsia="fr-FR"/>
    </w:rPr>
  </w:style>
  <w:style w:type="paragraph" w:customStyle="1" w:styleId="DocInit">
    <w:name w:val="Doc Init"/>
    <w:basedOn w:val="Normal"/>
    <w:rsid w:val="00696CB5"/>
    <w:pPr>
      <w:spacing w:after="0"/>
    </w:pPr>
    <w:rPr>
      <w:rFonts w:ascii="CG Times" w:hAnsi="CG Times"/>
      <w:lang w:val="en-US" w:eastAsia="fr-FR"/>
    </w:rPr>
  </w:style>
  <w:style w:type="character" w:customStyle="1" w:styleId="emailstyle39">
    <w:name w:val="emailstyle39"/>
    <w:rsid w:val="00696CB5"/>
    <w:rPr>
      <w:rFonts w:ascii="Arial" w:hAnsi="Arial" w:cs="Arial"/>
      <w:color w:val="003300"/>
      <w:sz w:val="20"/>
    </w:rPr>
  </w:style>
  <w:style w:type="paragraph" w:styleId="BodyTextFirstIndent">
    <w:name w:val="Body Text First Indent"/>
    <w:basedOn w:val="BodyText"/>
    <w:link w:val="BodyTextFirstIndentChar"/>
    <w:semiHidden/>
    <w:rsid w:val="00696CB5"/>
    <w:pPr>
      <w:tabs>
        <w:tab w:val="left" w:pos="4680"/>
        <w:tab w:val="right" w:pos="9360"/>
      </w:tabs>
      <w:spacing w:before="220" w:after="120" w:line="220" w:lineRule="exact"/>
      <w:ind w:firstLine="210"/>
      <w:jc w:val="both"/>
    </w:pPr>
    <w:rPr>
      <w:rFonts w:ascii="Arial" w:hAnsi="Arial"/>
      <w:color w:val="auto"/>
      <w:lang w:val="en-US" w:eastAsia="fr-FR"/>
    </w:rPr>
  </w:style>
  <w:style w:type="character" w:customStyle="1" w:styleId="BodyTextFirstIndentChar">
    <w:name w:val="Body Text First Indent Char"/>
    <w:basedOn w:val="BodyTextChar1"/>
    <w:link w:val="BodyTextFirstIndent"/>
    <w:semiHidden/>
    <w:rsid w:val="00696CB5"/>
    <w:rPr>
      <w:rFonts w:ascii="Arial" w:hAnsi="Arial"/>
      <w:color w:val="000000"/>
      <w:sz w:val="22"/>
      <w:lang w:val="en-GB" w:eastAsia="fr-FR"/>
    </w:rPr>
  </w:style>
  <w:style w:type="paragraph" w:styleId="Closing">
    <w:name w:val="Closing"/>
    <w:basedOn w:val="Normal"/>
    <w:link w:val="ClosingChar"/>
    <w:semiHidden/>
    <w:rsid w:val="00696CB5"/>
    <w:pPr>
      <w:tabs>
        <w:tab w:val="left" w:pos="4680"/>
        <w:tab w:val="right" w:pos="9360"/>
      </w:tabs>
      <w:spacing w:before="220" w:after="0" w:line="220" w:lineRule="exact"/>
      <w:ind w:left="4320"/>
      <w:jc w:val="both"/>
    </w:pPr>
    <w:rPr>
      <w:rFonts w:ascii="Arial" w:hAnsi="Arial"/>
      <w:color w:val="auto"/>
      <w:lang w:val="en-US" w:eastAsia="fr-FR"/>
    </w:rPr>
  </w:style>
  <w:style w:type="character" w:customStyle="1" w:styleId="ClosingChar">
    <w:name w:val="Closing Char"/>
    <w:basedOn w:val="DefaultParagraphFont"/>
    <w:link w:val="Closing"/>
    <w:semiHidden/>
    <w:rsid w:val="00696CB5"/>
    <w:rPr>
      <w:rFonts w:ascii="Arial" w:hAnsi="Arial"/>
      <w:sz w:val="22"/>
      <w:lang w:eastAsia="fr-FR"/>
    </w:rPr>
  </w:style>
  <w:style w:type="paragraph" w:styleId="Date">
    <w:name w:val="Date"/>
    <w:basedOn w:val="Normal"/>
    <w:next w:val="Normal"/>
    <w:link w:val="Date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DateChar">
    <w:name w:val="Date Char"/>
    <w:basedOn w:val="DefaultParagraphFont"/>
    <w:link w:val="Date"/>
    <w:semiHidden/>
    <w:rsid w:val="00696CB5"/>
    <w:rPr>
      <w:rFonts w:ascii="Arial" w:hAnsi="Arial"/>
      <w:sz w:val="22"/>
      <w:lang w:eastAsia="fr-FR"/>
    </w:rPr>
  </w:style>
  <w:style w:type="paragraph" w:styleId="E-mailSignature">
    <w:name w:val="E-mail Signature"/>
    <w:basedOn w:val="Normal"/>
    <w:link w:val="E-mailSignatureChar"/>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E-mailSignatureChar">
    <w:name w:val="E-mail Signature Char"/>
    <w:basedOn w:val="DefaultParagraphFont"/>
    <w:link w:val="E-mailSignature"/>
    <w:rsid w:val="00696CB5"/>
    <w:rPr>
      <w:rFonts w:ascii="Arial" w:hAnsi="Arial"/>
      <w:sz w:val="22"/>
      <w:lang w:eastAsia="fr-FR"/>
    </w:rPr>
  </w:style>
  <w:style w:type="paragraph" w:styleId="EnvelopeAddress">
    <w:name w:val="envelope address"/>
    <w:basedOn w:val="Normal"/>
    <w:semiHidden/>
    <w:rsid w:val="00696CB5"/>
    <w:pPr>
      <w:framePr w:w="7920" w:h="1980" w:hRule="exact" w:hSpace="180" w:wrap="auto" w:hAnchor="page" w:xAlign="center" w:yAlign="bottom"/>
      <w:tabs>
        <w:tab w:val="left" w:pos="4680"/>
        <w:tab w:val="right" w:pos="9360"/>
      </w:tabs>
      <w:spacing w:before="220" w:after="0" w:line="220" w:lineRule="exact"/>
      <w:ind w:left="2880"/>
      <w:jc w:val="both"/>
    </w:pPr>
    <w:rPr>
      <w:rFonts w:ascii="Arial" w:hAnsi="Arial"/>
      <w:color w:val="auto"/>
      <w:lang w:val="en-US" w:eastAsia="fr-FR"/>
    </w:rPr>
  </w:style>
  <w:style w:type="paragraph" w:styleId="EnvelopeReturn">
    <w:name w:val="envelope return"/>
    <w:basedOn w:val="Normal"/>
    <w:semiHidden/>
    <w:rsid w:val="00696CB5"/>
    <w:pPr>
      <w:tabs>
        <w:tab w:val="left" w:pos="4680"/>
        <w:tab w:val="right" w:pos="9360"/>
      </w:tabs>
      <w:spacing w:before="220" w:after="0" w:line="220" w:lineRule="exact"/>
      <w:jc w:val="both"/>
    </w:pPr>
    <w:rPr>
      <w:rFonts w:ascii="Arial" w:hAnsi="Arial"/>
      <w:color w:val="auto"/>
      <w:sz w:val="20"/>
      <w:lang w:val="en-US" w:eastAsia="fr-FR"/>
    </w:rPr>
  </w:style>
  <w:style w:type="paragraph" w:styleId="HTMLAddress">
    <w:name w:val="HTML Address"/>
    <w:basedOn w:val="Normal"/>
    <w:link w:val="HTMLAddressChar"/>
    <w:rsid w:val="00696CB5"/>
    <w:pPr>
      <w:tabs>
        <w:tab w:val="left" w:pos="4680"/>
        <w:tab w:val="right" w:pos="9360"/>
      </w:tabs>
      <w:spacing w:before="220" w:after="0" w:line="220" w:lineRule="exact"/>
      <w:jc w:val="both"/>
    </w:pPr>
    <w:rPr>
      <w:rFonts w:ascii="Arial" w:hAnsi="Arial"/>
      <w:i/>
      <w:color w:val="auto"/>
      <w:lang w:val="en-US" w:eastAsia="fr-FR"/>
    </w:rPr>
  </w:style>
  <w:style w:type="character" w:customStyle="1" w:styleId="HTMLAddressChar">
    <w:name w:val="HTML Address Char"/>
    <w:basedOn w:val="DefaultParagraphFont"/>
    <w:link w:val="HTMLAddress"/>
    <w:rsid w:val="00696CB5"/>
    <w:rPr>
      <w:rFonts w:ascii="Arial" w:hAnsi="Arial"/>
      <w:i/>
      <w:sz w:val="22"/>
      <w:lang w:eastAsia="fr-FR"/>
    </w:rPr>
  </w:style>
  <w:style w:type="paragraph" w:styleId="Index4">
    <w:name w:val="index 4"/>
    <w:basedOn w:val="Normal"/>
    <w:next w:val="Normal"/>
    <w:autoRedefine/>
    <w:semiHidden/>
    <w:rsid w:val="00696CB5"/>
    <w:pPr>
      <w:spacing w:before="220" w:after="0" w:line="220" w:lineRule="exact"/>
      <w:ind w:left="880" w:hanging="220"/>
      <w:jc w:val="both"/>
    </w:pPr>
    <w:rPr>
      <w:rFonts w:ascii="Arial" w:hAnsi="Arial"/>
      <w:color w:val="auto"/>
      <w:lang w:val="en-US" w:eastAsia="fr-FR"/>
    </w:rPr>
  </w:style>
  <w:style w:type="paragraph" w:styleId="Index5">
    <w:name w:val="index 5"/>
    <w:basedOn w:val="Normal"/>
    <w:next w:val="Normal"/>
    <w:autoRedefine/>
    <w:semiHidden/>
    <w:rsid w:val="00696CB5"/>
    <w:pPr>
      <w:spacing w:before="220" w:after="0" w:line="220" w:lineRule="exact"/>
      <w:ind w:left="1100" w:hanging="220"/>
      <w:jc w:val="both"/>
    </w:pPr>
    <w:rPr>
      <w:rFonts w:ascii="Arial" w:hAnsi="Arial"/>
      <w:color w:val="auto"/>
      <w:lang w:val="en-US" w:eastAsia="fr-FR"/>
    </w:rPr>
  </w:style>
  <w:style w:type="paragraph" w:styleId="Index6">
    <w:name w:val="index 6"/>
    <w:basedOn w:val="Normal"/>
    <w:next w:val="Normal"/>
    <w:autoRedefine/>
    <w:semiHidden/>
    <w:rsid w:val="00696CB5"/>
    <w:pPr>
      <w:spacing w:before="220" w:after="0" w:line="220" w:lineRule="exact"/>
      <w:ind w:left="1320" w:hanging="220"/>
      <w:jc w:val="both"/>
    </w:pPr>
    <w:rPr>
      <w:rFonts w:ascii="Arial" w:hAnsi="Arial"/>
      <w:color w:val="auto"/>
      <w:lang w:val="en-US" w:eastAsia="fr-FR"/>
    </w:rPr>
  </w:style>
  <w:style w:type="paragraph" w:styleId="Index7">
    <w:name w:val="index 7"/>
    <w:basedOn w:val="Normal"/>
    <w:next w:val="Normal"/>
    <w:autoRedefine/>
    <w:semiHidden/>
    <w:rsid w:val="00696CB5"/>
    <w:pPr>
      <w:spacing w:before="220" w:after="0" w:line="220" w:lineRule="exact"/>
      <w:ind w:left="1540" w:hanging="220"/>
      <w:jc w:val="both"/>
    </w:pPr>
    <w:rPr>
      <w:rFonts w:ascii="Arial" w:hAnsi="Arial"/>
      <w:color w:val="auto"/>
      <w:lang w:val="en-US" w:eastAsia="fr-FR"/>
    </w:rPr>
  </w:style>
  <w:style w:type="paragraph" w:styleId="Index8">
    <w:name w:val="index 8"/>
    <w:basedOn w:val="Normal"/>
    <w:next w:val="Normal"/>
    <w:autoRedefine/>
    <w:semiHidden/>
    <w:rsid w:val="00696CB5"/>
    <w:pPr>
      <w:spacing w:before="220" w:after="0" w:line="220" w:lineRule="exact"/>
      <w:ind w:left="1760" w:hanging="220"/>
      <w:jc w:val="both"/>
    </w:pPr>
    <w:rPr>
      <w:rFonts w:ascii="Arial" w:hAnsi="Arial"/>
      <w:color w:val="auto"/>
      <w:lang w:val="en-US" w:eastAsia="fr-FR"/>
    </w:rPr>
  </w:style>
  <w:style w:type="paragraph" w:styleId="Index9">
    <w:name w:val="index 9"/>
    <w:basedOn w:val="Normal"/>
    <w:next w:val="Normal"/>
    <w:autoRedefine/>
    <w:semiHidden/>
    <w:rsid w:val="00696CB5"/>
    <w:pPr>
      <w:spacing w:before="220" w:after="0" w:line="220" w:lineRule="exact"/>
      <w:ind w:left="1980" w:hanging="220"/>
      <w:jc w:val="both"/>
    </w:pPr>
    <w:rPr>
      <w:rFonts w:ascii="Arial" w:hAnsi="Arial"/>
      <w:color w:val="auto"/>
      <w:lang w:val="en-US" w:eastAsia="fr-FR"/>
    </w:rPr>
  </w:style>
  <w:style w:type="paragraph" w:styleId="IndexHeading">
    <w:name w:val="index heading"/>
    <w:basedOn w:val="Normal"/>
    <w:next w:val="Index1"/>
    <w:semiHidden/>
    <w:rsid w:val="00696CB5"/>
    <w:pPr>
      <w:tabs>
        <w:tab w:val="left" w:pos="4680"/>
        <w:tab w:val="right" w:pos="9360"/>
      </w:tabs>
      <w:spacing w:before="220" w:after="0" w:line="220" w:lineRule="exact"/>
      <w:jc w:val="both"/>
    </w:pPr>
    <w:rPr>
      <w:rFonts w:ascii="Arial" w:hAnsi="Arial"/>
      <w:b/>
      <w:color w:val="auto"/>
      <w:lang w:val="en-US" w:eastAsia="fr-FR"/>
    </w:rPr>
  </w:style>
  <w:style w:type="paragraph" w:styleId="List3">
    <w:name w:val="List 3"/>
    <w:basedOn w:val="Normal"/>
    <w:semiHidden/>
    <w:rsid w:val="00696CB5"/>
    <w:pPr>
      <w:tabs>
        <w:tab w:val="left" w:pos="4680"/>
        <w:tab w:val="right" w:pos="9360"/>
      </w:tabs>
      <w:spacing w:before="220" w:after="0" w:line="220" w:lineRule="exact"/>
      <w:ind w:left="1080" w:hanging="360"/>
      <w:jc w:val="both"/>
    </w:pPr>
    <w:rPr>
      <w:rFonts w:ascii="Arial" w:hAnsi="Arial"/>
      <w:color w:val="auto"/>
      <w:lang w:val="en-US" w:eastAsia="fr-FR"/>
    </w:rPr>
  </w:style>
  <w:style w:type="paragraph" w:styleId="List4">
    <w:name w:val="List 4"/>
    <w:basedOn w:val="Normal"/>
    <w:semiHidden/>
    <w:rsid w:val="00696CB5"/>
    <w:pPr>
      <w:tabs>
        <w:tab w:val="left" w:pos="4680"/>
        <w:tab w:val="right" w:pos="9360"/>
      </w:tabs>
      <w:spacing w:before="220" w:after="0" w:line="220" w:lineRule="exact"/>
      <w:ind w:left="1440" w:hanging="360"/>
      <w:jc w:val="both"/>
    </w:pPr>
    <w:rPr>
      <w:rFonts w:ascii="Arial" w:hAnsi="Arial"/>
      <w:color w:val="auto"/>
      <w:lang w:val="en-US" w:eastAsia="fr-FR"/>
    </w:rPr>
  </w:style>
  <w:style w:type="paragraph" w:styleId="ListBullet5">
    <w:name w:val="List Bullet 5"/>
    <w:basedOn w:val="Normal"/>
    <w:autoRedefine/>
    <w:semiHidden/>
    <w:rsid w:val="00696CB5"/>
    <w:pPr>
      <w:tabs>
        <w:tab w:val="num" w:pos="1800"/>
        <w:tab w:val="left" w:pos="4680"/>
        <w:tab w:val="right" w:pos="9360"/>
      </w:tabs>
      <w:spacing w:before="220" w:after="0" w:line="220" w:lineRule="exact"/>
      <w:ind w:left="1800" w:hanging="360"/>
      <w:jc w:val="both"/>
    </w:pPr>
    <w:rPr>
      <w:rFonts w:ascii="Arial" w:hAnsi="Arial"/>
      <w:color w:val="auto"/>
      <w:lang w:val="en-US" w:eastAsia="fr-FR"/>
    </w:rPr>
  </w:style>
  <w:style w:type="paragraph" w:styleId="ListContinue">
    <w:name w:val="List Continue"/>
    <w:basedOn w:val="Normal"/>
    <w:semiHidden/>
    <w:rsid w:val="00696CB5"/>
    <w:pPr>
      <w:tabs>
        <w:tab w:val="left" w:pos="4680"/>
        <w:tab w:val="right" w:pos="9360"/>
      </w:tabs>
      <w:spacing w:before="220" w:after="120" w:line="220" w:lineRule="exact"/>
      <w:ind w:left="360"/>
      <w:jc w:val="both"/>
    </w:pPr>
    <w:rPr>
      <w:rFonts w:ascii="Arial" w:hAnsi="Arial"/>
      <w:color w:val="auto"/>
      <w:lang w:val="en-US" w:eastAsia="fr-FR"/>
    </w:rPr>
  </w:style>
  <w:style w:type="paragraph" w:styleId="ListContinue2">
    <w:name w:val="List Continue 2"/>
    <w:basedOn w:val="Normal"/>
    <w:semiHidden/>
    <w:rsid w:val="00696CB5"/>
    <w:pPr>
      <w:tabs>
        <w:tab w:val="left" w:pos="4680"/>
        <w:tab w:val="right" w:pos="9360"/>
      </w:tabs>
      <w:spacing w:before="220" w:after="120" w:line="220" w:lineRule="exact"/>
      <w:ind w:left="720"/>
      <w:jc w:val="both"/>
    </w:pPr>
    <w:rPr>
      <w:rFonts w:ascii="Arial" w:hAnsi="Arial"/>
      <w:color w:val="auto"/>
      <w:lang w:val="en-US" w:eastAsia="fr-FR"/>
    </w:rPr>
  </w:style>
  <w:style w:type="paragraph" w:styleId="ListContinue3">
    <w:name w:val="List Continue 3"/>
    <w:basedOn w:val="Normal"/>
    <w:semiHidden/>
    <w:rsid w:val="00696CB5"/>
    <w:pPr>
      <w:tabs>
        <w:tab w:val="left" w:pos="4680"/>
        <w:tab w:val="right" w:pos="9360"/>
      </w:tabs>
      <w:spacing w:before="220" w:after="120" w:line="220" w:lineRule="exact"/>
      <w:ind w:left="1080"/>
      <w:jc w:val="both"/>
    </w:pPr>
    <w:rPr>
      <w:rFonts w:ascii="Arial" w:hAnsi="Arial"/>
      <w:color w:val="auto"/>
      <w:lang w:val="en-US" w:eastAsia="fr-FR"/>
    </w:rPr>
  </w:style>
  <w:style w:type="paragraph" w:styleId="ListContinue4">
    <w:name w:val="List Continue 4"/>
    <w:basedOn w:val="Normal"/>
    <w:semiHidden/>
    <w:rsid w:val="00696CB5"/>
    <w:pPr>
      <w:tabs>
        <w:tab w:val="left" w:pos="4680"/>
        <w:tab w:val="right" w:pos="9360"/>
      </w:tabs>
      <w:spacing w:before="220" w:after="120" w:line="220" w:lineRule="exact"/>
      <w:ind w:left="1440"/>
      <w:jc w:val="both"/>
    </w:pPr>
    <w:rPr>
      <w:rFonts w:ascii="Arial" w:hAnsi="Arial"/>
      <w:color w:val="auto"/>
      <w:lang w:val="en-US" w:eastAsia="fr-FR"/>
    </w:rPr>
  </w:style>
  <w:style w:type="paragraph" w:styleId="ListContinue5">
    <w:name w:val="List Continue 5"/>
    <w:basedOn w:val="Normal"/>
    <w:semiHidden/>
    <w:rsid w:val="00696CB5"/>
    <w:pPr>
      <w:tabs>
        <w:tab w:val="left" w:pos="4680"/>
        <w:tab w:val="right" w:pos="9360"/>
      </w:tabs>
      <w:spacing w:before="220" w:after="120" w:line="220" w:lineRule="exact"/>
      <w:ind w:left="1800"/>
      <w:jc w:val="both"/>
    </w:pPr>
    <w:rPr>
      <w:rFonts w:ascii="Arial" w:hAnsi="Arial"/>
      <w:color w:val="auto"/>
      <w:lang w:val="en-US" w:eastAsia="fr-FR"/>
    </w:rPr>
  </w:style>
  <w:style w:type="paragraph" w:styleId="ListNumber3">
    <w:name w:val="List Number 3"/>
    <w:basedOn w:val="Normal"/>
    <w:semiHidden/>
    <w:rsid w:val="00696CB5"/>
    <w:pPr>
      <w:tabs>
        <w:tab w:val="num" w:pos="1080"/>
        <w:tab w:val="left" w:pos="4680"/>
        <w:tab w:val="right" w:pos="9360"/>
      </w:tabs>
      <w:spacing w:before="220" w:after="0" w:line="220" w:lineRule="exact"/>
      <w:ind w:left="1080" w:hanging="360"/>
      <w:jc w:val="both"/>
    </w:pPr>
    <w:rPr>
      <w:rFonts w:ascii="Arial" w:hAnsi="Arial"/>
      <w:color w:val="auto"/>
      <w:lang w:val="en-US" w:eastAsia="fr-FR"/>
    </w:rPr>
  </w:style>
  <w:style w:type="paragraph" w:styleId="ListNumber4">
    <w:name w:val="List Number 4"/>
    <w:basedOn w:val="Normal"/>
    <w:semiHidden/>
    <w:rsid w:val="00696CB5"/>
    <w:pPr>
      <w:tabs>
        <w:tab w:val="num" w:pos="1440"/>
        <w:tab w:val="left" w:pos="4680"/>
        <w:tab w:val="right" w:pos="9360"/>
      </w:tabs>
      <w:spacing w:before="220" w:after="0" w:line="220" w:lineRule="exact"/>
      <w:ind w:left="1440" w:hanging="360"/>
      <w:jc w:val="both"/>
    </w:pPr>
    <w:rPr>
      <w:rFonts w:ascii="Arial" w:hAnsi="Arial"/>
      <w:color w:val="auto"/>
      <w:lang w:val="en-US" w:eastAsia="fr-FR"/>
    </w:rPr>
  </w:style>
  <w:style w:type="paragraph" w:styleId="MacroText">
    <w:name w:val="macro"/>
    <w:link w:val="MacroTextChar"/>
    <w:semiHidden/>
    <w:rsid w:val="00696CB5"/>
    <w:pPr>
      <w:tabs>
        <w:tab w:val="left" w:pos="480"/>
        <w:tab w:val="left" w:pos="960"/>
        <w:tab w:val="left" w:pos="1440"/>
        <w:tab w:val="left" w:pos="1920"/>
        <w:tab w:val="left" w:pos="2400"/>
        <w:tab w:val="left" w:pos="2880"/>
        <w:tab w:val="left" w:pos="3360"/>
        <w:tab w:val="left" w:pos="3840"/>
        <w:tab w:val="left" w:pos="4320"/>
      </w:tabs>
      <w:spacing w:before="220" w:line="220" w:lineRule="exact"/>
      <w:jc w:val="both"/>
    </w:pPr>
    <w:rPr>
      <w:rFonts w:ascii="Courier New" w:hAnsi="Courier New"/>
      <w:lang w:eastAsia="ko-KR"/>
    </w:rPr>
  </w:style>
  <w:style w:type="character" w:customStyle="1" w:styleId="MacroTextChar">
    <w:name w:val="Macro Text Char"/>
    <w:basedOn w:val="DefaultParagraphFont"/>
    <w:link w:val="MacroText"/>
    <w:semiHidden/>
    <w:rsid w:val="00696CB5"/>
    <w:rPr>
      <w:rFonts w:ascii="Courier New" w:hAnsi="Courier New"/>
      <w:lang w:eastAsia="ko-KR"/>
    </w:rPr>
  </w:style>
  <w:style w:type="paragraph" w:styleId="MessageHeader">
    <w:name w:val="Message Header"/>
    <w:basedOn w:val="Normal"/>
    <w:link w:val="MessageHeaderChar"/>
    <w:semiHidden/>
    <w:rsid w:val="00696CB5"/>
    <w:pPr>
      <w:pBdr>
        <w:top w:val="single" w:sz="6" w:space="1" w:color="auto"/>
        <w:left w:val="single" w:sz="6" w:space="1" w:color="auto"/>
        <w:bottom w:val="single" w:sz="6" w:space="1" w:color="auto"/>
        <w:right w:val="single" w:sz="6" w:space="1" w:color="auto"/>
      </w:pBdr>
      <w:shd w:val="pct20" w:color="auto" w:fill="auto"/>
      <w:tabs>
        <w:tab w:val="left" w:pos="4680"/>
        <w:tab w:val="right" w:pos="9360"/>
      </w:tabs>
      <w:spacing w:before="220" w:after="0" w:line="220" w:lineRule="exact"/>
      <w:ind w:left="1080" w:hanging="1080"/>
      <w:jc w:val="both"/>
    </w:pPr>
    <w:rPr>
      <w:rFonts w:ascii="Arial" w:hAnsi="Arial"/>
      <w:color w:val="auto"/>
      <w:lang w:val="en-US" w:eastAsia="fr-FR"/>
    </w:rPr>
  </w:style>
  <w:style w:type="character" w:customStyle="1" w:styleId="MessageHeaderChar">
    <w:name w:val="Message Header Char"/>
    <w:basedOn w:val="DefaultParagraphFont"/>
    <w:link w:val="MessageHeader"/>
    <w:semiHidden/>
    <w:rsid w:val="00696CB5"/>
    <w:rPr>
      <w:rFonts w:ascii="Arial" w:hAnsi="Arial"/>
      <w:sz w:val="22"/>
      <w:shd w:val="pct20" w:color="auto" w:fill="auto"/>
      <w:lang w:eastAsia="fr-FR"/>
    </w:rPr>
  </w:style>
  <w:style w:type="paragraph" w:styleId="NormalIndent">
    <w:name w:val="Normal Indent"/>
    <w:basedOn w:val="Normal"/>
    <w:semiHidden/>
    <w:rsid w:val="00696CB5"/>
    <w:pPr>
      <w:tabs>
        <w:tab w:val="left" w:pos="4680"/>
        <w:tab w:val="right" w:pos="9360"/>
      </w:tabs>
      <w:spacing w:before="220" w:after="0" w:line="220" w:lineRule="exact"/>
      <w:ind w:left="720"/>
      <w:jc w:val="both"/>
    </w:pPr>
    <w:rPr>
      <w:rFonts w:ascii="Arial" w:hAnsi="Arial"/>
      <w:color w:val="auto"/>
      <w:lang w:val="en-US" w:eastAsia="fr-FR"/>
    </w:rPr>
  </w:style>
  <w:style w:type="paragraph" w:styleId="NoteHeading">
    <w:name w:val="Note Heading"/>
    <w:basedOn w:val="Normal"/>
    <w:next w:val="Normal"/>
    <w:link w:val="NoteHeading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NoteHeadingChar">
    <w:name w:val="Note Heading Char"/>
    <w:basedOn w:val="DefaultParagraphFont"/>
    <w:link w:val="NoteHeading"/>
    <w:semiHidden/>
    <w:rsid w:val="00696CB5"/>
    <w:rPr>
      <w:rFonts w:ascii="Arial" w:hAnsi="Arial"/>
      <w:sz w:val="22"/>
      <w:lang w:eastAsia="fr-FR"/>
    </w:rPr>
  </w:style>
  <w:style w:type="paragraph" w:styleId="Salutation">
    <w:name w:val="Salutation"/>
    <w:basedOn w:val="Normal"/>
    <w:next w:val="Normal"/>
    <w:link w:val="SalutationChar"/>
    <w:semiHidden/>
    <w:rsid w:val="00696CB5"/>
    <w:pPr>
      <w:tabs>
        <w:tab w:val="left" w:pos="4680"/>
        <w:tab w:val="right" w:pos="9360"/>
      </w:tabs>
      <w:spacing w:before="220" w:after="0" w:line="220" w:lineRule="exact"/>
      <w:jc w:val="both"/>
    </w:pPr>
    <w:rPr>
      <w:rFonts w:ascii="Arial" w:hAnsi="Arial"/>
      <w:color w:val="auto"/>
      <w:lang w:val="en-US" w:eastAsia="fr-FR"/>
    </w:rPr>
  </w:style>
  <w:style w:type="character" w:customStyle="1" w:styleId="SalutationChar">
    <w:name w:val="Salutation Char"/>
    <w:basedOn w:val="DefaultParagraphFont"/>
    <w:link w:val="Salutation"/>
    <w:semiHidden/>
    <w:rsid w:val="00696CB5"/>
    <w:rPr>
      <w:rFonts w:ascii="Arial" w:hAnsi="Arial"/>
      <w:sz w:val="22"/>
      <w:lang w:eastAsia="fr-FR"/>
    </w:rPr>
  </w:style>
  <w:style w:type="paragraph" w:styleId="Signature">
    <w:name w:val="Signature"/>
    <w:basedOn w:val="Normal"/>
    <w:link w:val="SignatureChar"/>
    <w:semiHidden/>
    <w:rsid w:val="00696CB5"/>
    <w:pPr>
      <w:tabs>
        <w:tab w:val="left" w:pos="4680"/>
        <w:tab w:val="right" w:pos="9360"/>
      </w:tabs>
      <w:spacing w:before="220" w:after="0" w:line="220" w:lineRule="exact"/>
      <w:ind w:left="4320"/>
      <w:jc w:val="both"/>
    </w:pPr>
    <w:rPr>
      <w:rFonts w:ascii="Arial" w:hAnsi="Arial"/>
      <w:color w:val="auto"/>
      <w:lang w:val="en-US" w:eastAsia="fr-FR"/>
    </w:rPr>
  </w:style>
  <w:style w:type="character" w:customStyle="1" w:styleId="SignatureChar">
    <w:name w:val="Signature Char"/>
    <w:basedOn w:val="DefaultParagraphFont"/>
    <w:link w:val="Signature"/>
    <w:semiHidden/>
    <w:rsid w:val="00696CB5"/>
    <w:rPr>
      <w:rFonts w:ascii="Arial" w:hAnsi="Arial"/>
      <w:sz w:val="22"/>
      <w:lang w:eastAsia="fr-FR"/>
    </w:rPr>
  </w:style>
  <w:style w:type="paragraph" w:styleId="TableofAuthorities">
    <w:name w:val="table of authorities"/>
    <w:basedOn w:val="Normal"/>
    <w:next w:val="Normal"/>
    <w:semiHidden/>
    <w:rsid w:val="00696CB5"/>
    <w:pPr>
      <w:spacing w:before="220" w:after="0" w:line="220" w:lineRule="exact"/>
      <w:ind w:left="220" w:hanging="220"/>
      <w:jc w:val="both"/>
    </w:pPr>
    <w:rPr>
      <w:rFonts w:ascii="Arial" w:hAnsi="Arial"/>
      <w:color w:val="auto"/>
      <w:lang w:val="en-US" w:eastAsia="fr-FR"/>
    </w:rPr>
  </w:style>
  <w:style w:type="paragraph" w:styleId="TOAHeading">
    <w:name w:val="toa heading"/>
    <w:basedOn w:val="Normal"/>
    <w:next w:val="Normal"/>
    <w:semiHidden/>
    <w:rsid w:val="00696CB5"/>
    <w:pPr>
      <w:tabs>
        <w:tab w:val="left" w:pos="4680"/>
        <w:tab w:val="right" w:pos="9360"/>
      </w:tabs>
      <w:spacing w:before="120" w:after="0" w:line="220" w:lineRule="exact"/>
      <w:jc w:val="both"/>
    </w:pPr>
    <w:rPr>
      <w:rFonts w:ascii="Arial" w:hAnsi="Arial"/>
      <w:b/>
      <w:color w:val="auto"/>
      <w:lang w:val="en-US" w:eastAsia="fr-FR"/>
    </w:rPr>
  </w:style>
  <w:style w:type="paragraph" w:customStyle="1" w:styleId="repub">
    <w:name w:val="repub"/>
    <w:basedOn w:val="Normal"/>
    <w:rsid w:val="00696CB5"/>
    <w:pPr>
      <w:tabs>
        <w:tab w:val="left" w:pos="4680"/>
        <w:tab w:val="right" w:pos="9360"/>
      </w:tabs>
      <w:spacing w:before="60" w:after="0" w:line="220" w:lineRule="exact"/>
      <w:ind w:left="567"/>
    </w:pPr>
    <w:rPr>
      <w:rFonts w:ascii="Arial" w:hAnsi="Arial"/>
      <w:color w:val="auto"/>
      <w:lang w:val="en-US" w:eastAsia="fr-FR"/>
    </w:rPr>
  </w:style>
  <w:style w:type="character" w:customStyle="1" w:styleId="italic1">
    <w:name w:val="italic1"/>
    <w:rsid w:val="00696CB5"/>
    <w:rPr>
      <w:i/>
      <w:iCs/>
      <w:sz w:val="24"/>
      <w:szCs w:val="24"/>
    </w:rPr>
  </w:style>
  <w:style w:type="paragraph" w:customStyle="1" w:styleId="steph-normal">
    <w:name w:val="steph-normal"/>
    <w:basedOn w:val="BodyText"/>
    <w:rsid w:val="00696CB5"/>
    <w:pPr>
      <w:spacing w:after="0" w:line="240" w:lineRule="auto"/>
      <w:jc w:val="both"/>
    </w:pPr>
    <w:rPr>
      <w:rFonts w:ascii="Arial" w:hAnsi="Arial"/>
      <w:color w:val="auto"/>
      <w:lang w:val="fr-FR" w:eastAsia="fr-FR"/>
    </w:rPr>
  </w:style>
  <w:style w:type="paragraph" w:customStyle="1" w:styleId="Formatvorlage1">
    <w:name w:val="Formatvorlage1"/>
    <w:basedOn w:val="Normal"/>
    <w:rsid w:val="00696CB5"/>
    <w:pPr>
      <w:tabs>
        <w:tab w:val="left" w:pos="567"/>
        <w:tab w:val="left" w:leader="dot" w:pos="9072"/>
      </w:tabs>
      <w:spacing w:after="0" w:line="240" w:lineRule="exact"/>
      <w:ind w:left="567" w:hanging="567"/>
    </w:pPr>
    <w:rPr>
      <w:rFonts w:ascii="Arial" w:hAnsi="Arial"/>
      <w:color w:val="auto"/>
      <w:lang w:val="de-DE" w:eastAsia="fr-FR"/>
    </w:rPr>
  </w:style>
  <w:style w:type="paragraph" w:customStyle="1" w:styleId="Formatvorlage2">
    <w:name w:val="Formatvorlage2"/>
    <w:basedOn w:val="Normal"/>
    <w:rsid w:val="00696CB5"/>
    <w:pPr>
      <w:tabs>
        <w:tab w:val="left" w:pos="1134"/>
        <w:tab w:val="left" w:leader="dot" w:pos="9072"/>
      </w:tabs>
      <w:spacing w:after="0" w:line="240" w:lineRule="exact"/>
      <w:ind w:left="1134" w:hanging="567"/>
    </w:pPr>
    <w:rPr>
      <w:rFonts w:ascii="Arial" w:hAnsi="Arial"/>
      <w:color w:val="auto"/>
      <w:lang w:val="de-DE" w:eastAsia="fr-FR"/>
    </w:rPr>
  </w:style>
  <w:style w:type="paragraph" w:customStyle="1" w:styleId="Formatvorlage3">
    <w:name w:val="Formatvorlage3"/>
    <w:basedOn w:val="Normal"/>
    <w:rsid w:val="00696CB5"/>
    <w:pPr>
      <w:tabs>
        <w:tab w:val="left" w:pos="1843"/>
        <w:tab w:val="left" w:leader="dot" w:pos="9072"/>
      </w:tabs>
      <w:spacing w:after="0" w:line="240" w:lineRule="exact"/>
      <w:ind w:left="1843" w:hanging="709"/>
    </w:pPr>
    <w:rPr>
      <w:rFonts w:ascii="Arial" w:hAnsi="Arial"/>
      <w:color w:val="auto"/>
      <w:lang w:val="de-DE" w:eastAsia="fr-FR"/>
    </w:rPr>
  </w:style>
  <w:style w:type="paragraph" w:customStyle="1" w:styleId="engBegriff">
    <w:name w:val="eng.Begriff"/>
    <w:autoRedefine/>
    <w:rsid w:val="00696CB5"/>
    <w:pPr>
      <w:spacing w:before="60"/>
    </w:pPr>
    <w:rPr>
      <w:rFonts w:ascii="Arial" w:hAnsi="Arial"/>
      <w:i/>
      <w:lang w:val="en-GB" w:eastAsia="ko-KR"/>
    </w:rPr>
  </w:style>
  <w:style w:type="paragraph" w:customStyle="1" w:styleId="Bildunterschrift">
    <w:name w:val="Bildunterschrift"/>
    <w:basedOn w:val="Normal"/>
    <w:rsid w:val="00696CB5"/>
    <w:pPr>
      <w:spacing w:after="0"/>
    </w:pPr>
    <w:rPr>
      <w:rFonts w:ascii="Arial" w:hAnsi="Arial"/>
      <w:b/>
      <w:color w:val="auto"/>
      <w:sz w:val="20"/>
      <w:lang w:val="de-DE" w:eastAsia="fr-FR"/>
    </w:rPr>
  </w:style>
  <w:style w:type="paragraph" w:customStyle="1" w:styleId="hervorheben">
    <w:name w:val="hervorheben"/>
    <w:basedOn w:val="Normal"/>
    <w:autoRedefine/>
    <w:rsid w:val="00696CB5"/>
    <w:pPr>
      <w:spacing w:after="0"/>
      <w:jc w:val="center"/>
    </w:pPr>
    <w:rPr>
      <w:rFonts w:ascii="Arial" w:hAnsi="Arial"/>
      <w:b/>
      <w:color w:val="auto"/>
      <w:sz w:val="40"/>
      <w:lang w:eastAsia="fr-FR"/>
    </w:rPr>
  </w:style>
  <w:style w:type="paragraph" w:customStyle="1" w:styleId="Gleichung">
    <w:name w:val="Gleichung"/>
    <w:basedOn w:val="Normal"/>
    <w:autoRedefine/>
    <w:rsid w:val="00696CB5"/>
    <w:pPr>
      <w:tabs>
        <w:tab w:val="left" w:pos="1701"/>
      </w:tabs>
      <w:spacing w:after="0"/>
    </w:pPr>
    <w:rPr>
      <w:rFonts w:ascii="Arial" w:hAnsi="Arial"/>
      <w:color w:val="auto"/>
      <w:sz w:val="20"/>
      <w:lang w:val="de-DE" w:eastAsia="fr-FR"/>
    </w:rPr>
  </w:style>
  <w:style w:type="character" w:customStyle="1" w:styleId="hervorhebenZchn">
    <w:name w:val="hervorheben Zchn"/>
    <w:rsid w:val="00696CB5"/>
    <w:rPr>
      <w:rFonts w:ascii="Arial" w:hAnsi="Arial"/>
      <w:b/>
      <w:noProof w:val="0"/>
      <w:sz w:val="40"/>
      <w:szCs w:val="40"/>
      <w:lang w:val="en-GB" w:eastAsia="de-DE" w:bidi="ar-SA"/>
    </w:rPr>
  </w:style>
  <w:style w:type="character" w:customStyle="1" w:styleId="engBegriffZchn">
    <w:name w:val="eng.Begriff Zchn"/>
    <w:rsid w:val="00696CB5"/>
    <w:rPr>
      <w:rFonts w:ascii="Arial" w:hAnsi="Arial" w:cs="Arial"/>
      <w:i/>
      <w:noProof w:val="0"/>
      <w:lang w:val="en-GB" w:eastAsia="de-DE" w:bidi="ar-SA"/>
    </w:rPr>
  </w:style>
  <w:style w:type="paragraph" w:customStyle="1" w:styleId="FormatvorlagehervorhebenKursiv">
    <w:name w:val="Formatvorlage hervorheben + Kursiv"/>
    <w:basedOn w:val="hervorheben"/>
    <w:rsid w:val="00696CB5"/>
    <w:rPr>
      <w:i/>
    </w:rPr>
  </w:style>
  <w:style w:type="paragraph" w:customStyle="1" w:styleId="hervorhebenKursiv">
    <w:name w:val="hervorheben + Kursiv"/>
    <w:basedOn w:val="hervorheben"/>
    <w:rsid w:val="00696CB5"/>
    <w:rPr>
      <w:i/>
    </w:rPr>
  </w:style>
  <w:style w:type="paragraph" w:customStyle="1" w:styleId="FormatvorlageLinksDoppelteeinfarbigeLinienAutomatisch05ptZeil">
    <w:name w:val="Formatvorlage Links: (Doppelte einfarbige Linien Automatisch  05 pt Zeil..."/>
    <w:basedOn w:val="Normal"/>
    <w:rsid w:val="00696CB5"/>
    <w:pPr>
      <w:pBdr>
        <w:left w:val="double" w:sz="4" w:space="4" w:color="auto"/>
      </w:pBdr>
      <w:spacing w:after="0"/>
    </w:pPr>
    <w:rPr>
      <w:rFonts w:ascii="Arial" w:hAnsi="Arial"/>
      <w:color w:val="auto"/>
      <w:sz w:val="20"/>
      <w:lang w:val="de-DE" w:eastAsia="fr-FR"/>
    </w:rPr>
  </w:style>
  <w:style w:type="paragraph" w:customStyle="1" w:styleId="Engl-2berschrift">
    <w:name w:val="Engl-2.Überschrift"/>
    <w:basedOn w:val="Normal"/>
    <w:autoRedefine/>
    <w:rsid w:val="00696CB5"/>
    <w:pPr>
      <w:spacing w:after="0"/>
      <w:ind w:left="709" w:hanging="709"/>
    </w:pPr>
    <w:rPr>
      <w:rFonts w:ascii="Courier New" w:hAnsi="Courier New"/>
      <w:b/>
      <w:color w:val="auto"/>
      <w:sz w:val="20"/>
      <w:lang w:val="de-DE" w:eastAsia="fr-FR"/>
    </w:rPr>
  </w:style>
  <w:style w:type="paragraph" w:customStyle="1" w:styleId="berschrifteng">
    <w:name w:val="Überschrift eng"/>
    <w:basedOn w:val="Normal"/>
    <w:autoRedefine/>
    <w:rsid w:val="00696CB5"/>
    <w:pPr>
      <w:spacing w:after="0"/>
      <w:ind w:firstLine="709"/>
    </w:pPr>
    <w:rPr>
      <w:rFonts w:ascii="Courier New" w:hAnsi="Courier New"/>
      <w:b/>
      <w:color w:val="auto"/>
      <w:sz w:val="20"/>
      <w:lang w:eastAsia="fr-FR"/>
    </w:rPr>
  </w:style>
  <w:style w:type="character" w:customStyle="1" w:styleId="verborgen">
    <w:name w:val="verborgen"/>
    <w:rsid w:val="00696CB5"/>
    <w:rPr>
      <w:vanish/>
      <w:color w:val="008000"/>
    </w:rPr>
  </w:style>
  <w:style w:type="paragraph" w:customStyle="1" w:styleId="FormatvorlageberschriftengErsteZeile125cm">
    <w:name w:val="Formatvorlage Überschrift eng + Erste Zeile:  125 cm"/>
    <w:basedOn w:val="berschrifteng"/>
    <w:rsid w:val="00696CB5"/>
  </w:style>
  <w:style w:type="character" w:customStyle="1" w:styleId="FuzeileZchn">
    <w:name w:val="Fußzeile Zchn"/>
    <w:rsid w:val="00696CB5"/>
    <w:rPr>
      <w:rFonts w:ascii="Arial" w:hAnsi="Arial"/>
      <w:i/>
      <w:noProof w:val="0"/>
      <w:lang w:val="de-DE" w:eastAsia="de-DE" w:bidi="ar-SA"/>
    </w:rPr>
  </w:style>
  <w:style w:type="paragraph" w:customStyle="1" w:styleId="Sprechblasentext1">
    <w:name w:val="Sprechblasentext1"/>
    <w:basedOn w:val="Normal"/>
    <w:semiHidden/>
    <w:rsid w:val="00696CB5"/>
    <w:pPr>
      <w:spacing w:after="0"/>
    </w:pPr>
    <w:rPr>
      <w:rFonts w:ascii="Tahoma" w:hAnsi="Tahoma"/>
      <w:color w:val="auto"/>
      <w:sz w:val="16"/>
      <w:lang w:val="de-DE" w:eastAsia="fr-FR"/>
    </w:rPr>
  </w:style>
  <w:style w:type="paragraph" w:customStyle="1" w:styleId="Titelgroundfett">
    <w:name w:val="Titelgroßundfett"/>
    <w:basedOn w:val="Title"/>
    <w:rsid w:val="00696CB5"/>
    <w:pPr>
      <w:spacing w:before="240" w:after="60" w:line="240" w:lineRule="auto"/>
      <w:outlineLvl w:val="0"/>
    </w:pPr>
    <w:rPr>
      <w:rFonts w:ascii="Arial" w:hAnsi="Arial"/>
      <w:color w:val="auto"/>
      <w:kern w:val="28"/>
      <w:sz w:val="40"/>
      <w:lang w:eastAsia="fr-FR"/>
    </w:rPr>
  </w:style>
  <w:style w:type="character" w:customStyle="1" w:styleId="TitelZchn">
    <w:name w:val="Titel Zchn"/>
    <w:rsid w:val="00696CB5"/>
    <w:rPr>
      <w:rFonts w:ascii="Arial" w:hAnsi="Arial" w:cs="Arial"/>
      <w:b/>
      <w:bCs/>
      <w:noProof w:val="0"/>
      <w:kern w:val="28"/>
      <w:sz w:val="32"/>
      <w:szCs w:val="32"/>
      <w:lang w:val="de-DE" w:eastAsia="de-DE" w:bidi="ar-SA"/>
    </w:rPr>
  </w:style>
  <w:style w:type="character" w:customStyle="1" w:styleId="TitelgroundfettZchn">
    <w:name w:val="Titelgroßundfett Zchn"/>
    <w:rsid w:val="00696CB5"/>
    <w:rPr>
      <w:rFonts w:ascii="Arial" w:hAnsi="Arial" w:cs="Arial"/>
      <w:b/>
      <w:bCs/>
      <w:noProof w:val="0"/>
      <w:kern w:val="28"/>
      <w:sz w:val="40"/>
      <w:szCs w:val="32"/>
      <w:lang w:val="en-GB" w:eastAsia="de-DE" w:bidi="ar-SA"/>
    </w:rPr>
  </w:style>
  <w:style w:type="paragraph" w:customStyle="1" w:styleId="12pt">
    <w:name w:val="12pt"/>
    <w:basedOn w:val="Normal"/>
    <w:rsid w:val="00696CB5"/>
    <w:pPr>
      <w:autoSpaceDE w:val="0"/>
      <w:autoSpaceDN w:val="0"/>
      <w:adjustRightInd w:val="0"/>
      <w:spacing w:after="0"/>
    </w:pPr>
    <w:rPr>
      <w:rFonts w:ascii="Arial" w:hAnsi="Arial"/>
      <w:color w:val="auto"/>
      <w:lang w:val="de-DE" w:eastAsia="fr-FR"/>
    </w:rPr>
  </w:style>
  <w:style w:type="paragraph" w:customStyle="1" w:styleId="ExecSumTitle">
    <w:name w:val="ExecSumTitle"/>
    <w:basedOn w:val="BodyText"/>
    <w:rsid w:val="00696CB5"/>
    <w:pPr>
      <w:widowControl w:val="0"/>
      <w:spacing w:before="240" w:after="120" w:line="240" w:lineRule="auto"/>
      <w:jc w:val="both"/>
    </w:pPr>
    <w:rPr>
      <w:i/>
      <w:color w:val="auto"/>
      <w:lang w:eastAsia="fr-FR"/>
    </w:rPr>
  </w:style>
  <w:style w:type="paragraph" w:customStyle="1" w:styleId="Kommentarthema1">
    <w:name w:val="Kommentarthema1"/>
    <w:basedOn w:val="CommentText"/>
    <w:next w:val="CommentText"/>
    <w:semiHidden/>
    <w:rsid w:val="00696CB5"/>
    <w:pPr>
      <w:widowControl/>
      <w:spacing w:after="0"/>
    </w:pPr>
    <w:rPr>
      <w:rFonts w:ascii="Times New Roman" w:hAnsi="Times New Roman"/>
      <w:b/>
      <w:bCs/>
      <w:lang w:val="en-US" w:eastAsia="en-US"/>
    </w:rPr>
  </w:style>
  <w:style w:type="paragraph" w:customStyle="1" w:styleId="Revision1">
    <w:name w:val="Revision1"/>
    <w:hidden/>
    <w:rsid w:val="00696CB5"/>
    <w:rPr>
      <w:rFonts w:ascii="Times New Roman" w:hAnsi="Times New Roman"/>
      <w:sz w:val="24"/>
      <w:szCs w:val="24"/>
    </w:rPr>
  </w:style>
  <w:style w:type="paragraph" w:customStyle="1" w:styleId="NoSpacing1">
    <w:name w:val="No Spacing1"/>
    <w:qFormat/>
    <w:rsid w:val="00696CB5"/>
    <w:rPr>
      <w:rFonts w:ascii="Calibri" w:eastAsia="Calibri" w:hAnsi="Calibri"/>
      <w:sz w:val="22"/>
      <w:szCs w:val="22"/>
      <w:lang w:val="cs-CZ"/>
    </w:rPr>
  </w:style>
  <w:style w:type="paragraph" w:customStyle="1" w:styleId="ColorfulShading-Accent11">
    <w:name w:val="Colorful Shading - Accent 11"/>
    <w:hidden/>
    <w:semiHidden/>
    <w:rsid w:val="00696CB5"/>
    <w:rPr>
      <w:rFonts w:ascii="Times New Roman" w:hAnsi="Times New Roman"/>
      <w:sz w:val="24"/>
      <w:szCs w:val="24"/>
    </w:rPr>
  </w:style>
  <w:style w:type="paragraph" w:customStyle="1" w:styleId="StyleHeading311ptAfter12pt">
    <w:name w:val="Style Heading 3 + 11 pt After:  12 pt"/>
    <w:basedOn w:val="Heading3"/>
    <w:rsid w:val="00696CB5"/>
    <w:pPr>
      <w:keepLines w:val="0"/>
      <w:widowControl/>
      <w:tabs>
        <w:tab w:val="left" w:pos="851"/>
        <w:tab w:val="left" w:pos="900"/>
      </w:tabs>
      <w:adjustRightInd/>
      <w:ind w:left="907" w:right="0" w:hanging="907"/>
    </w:pPr>
    <w:rPr>
      <w:rFonts w:eastAsia="Times New Roman"/>
      <w:b w:val="0"/>
      <w:i w:val="0"/>
      <w:snapToGrid/>
      <w:sz w:val="24"/>
      <w:szCs w:val="20"/>
      <w:lang w:eastAsia="fr-FR"/>
    </w:rPr>
  </w:style>
  <w:style w:type="paragraph" w:customStyle="1" w:styleId="StylereferencesTimesNewRoman">
    <w:name w:val="Style references + Times New Roman"/>
    <w:basedOn w:val="references0"/>
    <w:rsid w:val="00696CB5"/>
    <w:pPr>
      <w:widowControl w:val="0"/>
      <w:tabs>
        <w:tab w:val="left" w:pos="1134"/>
      </w:tabs>
      <w:spacing w:before="120" w:after="0"/>
      <w:ind w:left="567" w:hanging="567"/>
    </w:pPr>
    <w:rPr>
      <w:rFonts w:ascii="Times New Roman" w:hAnsi="Times New Roman"/>
      <w:i w:val="0"/>
      <w:lang w:val="en-US" w:eastAsia="fr-FR"/>
    </w:rPr>
  </w:style>
  <w:style w:type="character" w:customStyle="1" w:styleId="referencesChar">
    <w:name w:val="references Char"/>
    <w:rsid w:val="00696CB5"/>
    <w:rPr>
      <w:rFonts w:ascii="Helvetica" w:hAnsi="Helvetica"/>
      <w:noProof w:val="0"/>
      <w:sz w:val="22"/>
      <w:lang w:val="en-US" w:eastAsia="fr-FR" w:bidi="ar-SA"/>
    </w:rPr>
  </w:style>
  <w:style w:type="character" w:customStyle="1" w:styleId="StylereferencesTimesNewRomanChar">
    <w:name w:val="Style references + Times New Roman Char"/>
    <w:rsid w:val="00696CB5"/>
    <w:rPr>
      <w:rFonts w:ascii="Helvetica" w:hAnsi="Helvetica"/>
      <w:noProof w:val="0"/>
      <w:sz w:val="22"/>
      <w:lang w:val="en-US" w:eastAsia="fr-FR" w:bidi="ar-SA"/>
    </w:rPr>
  </w:style>
  <w:style w:type="paragraph" w:customStyle="1" w:styleId="StyleHeading311pt">
    <w:name w:val="Style Heading 3 + 11 pt"/>
    <w:basedOn w:val="Heading3"/>
    <w:rsid w:val="00696CB5"/>
    <w:pPr>
      <w:keepLines w:val="0"/>
      <w:widowControl/>
      <w:tabs>
        <w:tab w:val="left" w:pos="851"/>
        <w:tab w:val="left" w:pos="900"/>
      </w:tabs>
      <w:adjustRightInd/>
      <w:ind w:left="907" w:right="0" w:hanging="907"/>
    </w:pPr>
    <w:rPr>
      <w:rFonts w:eastAsia="Times New Roman"/>
      <w:b w:val="0"/>
      <w:i w:val="0"/>
      <w:snapToGrid/>
      <w:sz w:val="24"/>
      <w:szCs w:val="20"/>
      <w:lang w:eastAsia="fr-FR"/>
    </w:rPr>
  </w:style>
  <w:style w:type="character" w:customStyle="1" w:styleId="StyleHeading311ptChar">
    <w:name w:val="Style Heading 3 + 11 pt Char"/>
    <w:rsid w:val="00696CB5"/>
    <w:rPr>
      <w:noProof w:val="0"/>
      <w:sz w:val="22"/>
      <w:lang w:val="en-US" w:eastAsia="fr-FR" w:bidi="ar-SA"/>
    </w:rPr>
  </w:style>
  <w:style w:type="paragraph" w:customStyle="1" w:styleId="StyleHeading3After12pt">
    <w:name w:val="Style Heading 3 + After:  12 pt"/>
    <w:basedOn w:val="Heading3"/>
    <w:rsid w:val="00696CB5"/>
    <w:pPr>
      <w:keepLines w:val="0"/>
      <w:widowControl/>
      <w:tabs>
        <w:tab w:val="left" w:pos="567"/>
        <w:tab w:val="left" w:pos="900"/>
      </w:tabs>
      <w:adjustRightInd/>
      <w:ind w:left="907" w:right="0" w:hanging="907"/>
    </w:pPr>
    <w:rPr>
      <w:rFonts w:eastAsia="Times New Roman"/>
      <w:b w:val="0"/>
      <w:i w:val="0"/>
      <w:snapToGrid/>
      <w:sz w:val="24"/>
      <w:szCs w:val="20"/>
      <w:lang w:eastAsia="fr-FR"/>
    </w:rPr>
  </w:style>
  <w:style w:type="paragraph" w:customStyle="1" w:styleId="StyleStyleHeading311ptAfter12ptBefore0pt">
    <w:name w:val="Style Style Heading 3 + 11 pt After:  12 pt + Before:  0 pt"/>
    <w:basedOn w:val="StyleHeading311ptAfter12pt"/>
    <w:rsid w:val="00696CB5"/>
    <w:pPr>
      <w:spacing w:before="0"/>
    </w:pPr>
  </w:style>
  <w:style w:type="paragraph" w:customStyle="1" w:styleId="StyleHeading1Para1Heading1Char1CharHeading1CharCharC1">
    <w:name w:val="Style Heading 1Para (1)Heading 1 Char1 CharHeading 1 Char Char C...1"/>
    <w:basedOn w:val="Heading1"/>
    <w:rsid w:val="00696CB5"/>
    <w:pPr>
      <w:tabs>
        <w:tab w:val="left" w:pos="851"/>
      </w:tabs>
      <w:spacing w:before="0"/>
      <w:ind w:left="0"/>
    </w:pPr>
    <w:rPr>
      <w:bCs/>
      <w:color w:val="auto"/>
      <w:lang w:eastAsia="fr-FR"/>
    </w:rPr>
  </w:style>
  <w:style w:type="paragraph" w:customStyle="1" w:styleId="StyleHeading4After12pt">
    <w:name w:val="Style Heading 4 + After:  12 pt"/>
    <w:basedOn w:val="Heading4"/>
    <w:rsid w:val="00696CB5"/>
    <w:pPr>
      <w:widowControl/>
      <w:tabs>
        <w:tab w:val="left" w:pos="900"/>
      </w:tabs>
      <w:spacing w:before="120" w:line="240" w:lineRule="auto"/>
      <w:ind w:left="902" w:hanging="902"/>
    </w:pPr>
    <w:rPr>
      <w:rFonts w:eastAsia="Times New Roman"/>
      <w:b w:val="0"/>
      <w:i/>
      <w:iCs/>
      <w:snapToGrid/>
      <w:szCs w:val="20"/>
      <w:lang w:eastAsia="fr-FR"/>
    </w:rPr>
  </w:style>
  <w:style w:type="paragraph" w:customStyle="1" w:styleId="StyleHeading4After12pt1">
    <w:name w:val="Style Heading 4 + After:  12 pt1"/>
    <w:basedOn w:val="Heading4"/>
    <w:rsid w:val="00696CB5"/>
    <w:pPr>
      <w:widowControl/>
      <w:tabs>
        <w:tab w:val="left" w:pos="900"/>
      </w:tabs>
      <w:spacing w:before="120" w:line="240" w:lineRule="auto"/>
      <w:ind w:left="902" w:hanging="902"/>
    </w:pPr>
    <w:rPr>
      <w:rFonts w:eastAsia="Times New Roman"/>
      <w:b w:val="0"/>
      <w:i/>
      <w:iCs/>
      <w:snapToGrid/>
      <w:szCs w:val="20"/>
      <w:lang w:eastAsia="fr-FR"/>
    </w:rPr>
  </w:style>
  <w:style w:type="character" w:customStyle="1" w:styleId="StyleHeading4After12pt1Char">
    <w:name w:val="Style Heading 4 + After:  12 pt1 Char"/>
    <w:rsid w:val="00696CB5"/>
    <w:rPr>
      <w:i/>
      <w:iCs/>
      <w:noProof w:val="0"/>
      <w:sz w:val="22"/>
      <w:lang w:val="en-GB" w:eastAsia="fr-FR" w:bidi="ar-SA"/>
    </w:rPr>
  </w:style>
  <w:style w:type="paragraph" w:customStyle="1" w:styleId="StyleHeading4Left0cmHanging152cmAfter12pt">
    <w:name w:val="Style Heading 4 + Left:  0 cm Hanging:  1.52 cm After:  12 pt"/>
    <w:basedOn w:val="Heading4"/>
    <w:rsid w:val="00696CB5"/>
    <w:pPr>
      <w:widowControl/>
      <w:tabs>
        <w:tab w:val="left" w:pos="900"/>
      </w:tabs>
      <w:spacing w:before="120" w:line="240" w:lineRule="auto"/>
      <w:ind w:left="864" w:hanging="864"/>
    </w:pPr>
    <w:rPr>
      <w:rFonts w:eastAsia="Times New Roman"/>
      <w:b w:val="0"/>
      <w:i/>
      <w:iCs/>
      <w:snapToGrid/>
      <w:szCs w:val="20"/>
      <w:lang w:eastAsia="fr-FR"/>
    </w:rPr>
  </w:style>
  <w:style w:type="paragraph" w:customStyle="1" w:styleId="TitlePageHeadings">
    <w:name w:val="TitlePageHeadings"/>
    <w:basedOn w:val="Heading1"/>
    <w:rsid w:val="00696CB5"/>
    <w:pPr>
      <w:tabs>
        <w:tab w:val="left" w:pos="851"/>
      </w:tabs>
      <w:autoSpaceDE w:val="0"/>
      <w:autoSpaceDN w:val="0"/>
      <w:adjustRightInd w:val="0"/>
      <w:spacing w:before="0"/>
      <w:ind w:left="0"/>
      <w:jc w:val="right"/>
    </w:pPr>
    <w:rPr>
      <w:bCs/>
      <w:color w:val="auto"/>
      <w:szCs w:val="24"/>
      <w:lang w:eastAsia="en-US"/>
    </w:rPr>
  </w:style>
  <w:style w:type="paragraph" w:customStyle="1" w:styleId="ToDoList">
    <w:name w:val="ToDoList"/>
    <w:basedOn w:val="Normal"/>
    <w:rsid w:val="00696CB5"/>
    <w:pPr>
      <w:numPr>
        <w:numId w:val="48"/>
      </w:numPr>
      <w:spacing w:before="240"/>
    </w:pPr>
    <w:rPr>
      <w:color w:val="auto"/>
      <w:lang w:val="en-US" w:eastAsia="fr-FR"/>
    </w:rPr>
  </w:style>
  <w:style w:type="character" w:customStyle="1" w:styleId="referencesChar1">
    <w:name w:val="references Char1"/>
    <w:rsid w:val="00696CB5"/>
    <w:rPr>
      <w:rFonts w:ascii="Helvetica" w:hAnsi="Helvetica"/>
      <w:noProof w:val="0"/>
      <w:sz w:val="22"/>
      <w:lang w:val="en-US"/>
    </w:rPr>
  </w:style>
  <w:style w:type="paragraph" w:customStyle="1" w:styleId="15">
    <w:name w:val="Θέμα σχολίου1"/>
    <w:basedOn w:val="CommentText"/>
    <w:next w:val="CommentText"/>
    <w:rsid w:val="00696CB5"/>
    <w:pPr>
      <w:widowControl/>
      <w:spacing w:after="0"/>
    </w:pPr>
    <w:rPr>
      <w:rFonts w:ascii="Times New Roman" w:hAnsi="Times New Roman"/>
      <w:b/>
      <w:lang w:val="en-US" w:eastAsia="fr-FR"/>
    </w:rPr>
  </w:style>
  <w:style w:type="paragraph" w:customStyle="1" w:styleId="16">
    <w:name w:val="Λίστα1"/>
    <w:basedOn w:val="Normal"/>
    <w:rsid w:val="00696CB5"/>
    <w:pPr>
      <w:tabs>
        <w:tab w:val="left" w:pos="810"/>
      </w:tabs>
      <w:spacing w:before="120" w:after="120"/>
      <w:ind w:left="810" w:hanging="360"/>
    </w:pPr>
    <w:rPr>
      <w:color w:val="auto"/>
      <w:lang w:val="en-US" w:eastAsia="fr-FR"/>
    </w:rPr>
  </w:style>
  <w:style w:type="paragraph" w:customStyle="1" w:styleId="Bulletlevel22006GL">
    <w:name w:val="Bullet level 2 2006GL"/>
    <w:basedOn w:val="Normal"/>
    <w:rsid w:val="00696CB5"/>
    <w:pPr>
      <w:tabs>
        <w:tab w:val="left" w:pos="1916"/>
      </w:tabs>
      <w:spacing w:after="0"/>
      <w:ind w:left="1916" w:hanging="476"/>
    </w:pPr>
    <w:rPr>
      <w:lang w:val="en-US" w:eastAsia="fr-FR"/>
    </w:rPr>
  </w:style>
  <w:style w:type="paragraph" w:customStyle="1" w:styleId="StylereferencesTimesNewRoman1">
    <w:name w:val="Style references + Times New Roman1"/>
    <w:basedOn w:val="references0"/>
    <w:rsid w:val="00696CB5"/>
    <w:pPr>
      <w:keepLines/>
      <w:widowControl w:val="0"/>
      <w:tabs>
        <w:tab w:val="left" w:pos="1134"/>
      </w:tabs>
      <w:spacing w:before="120" w:after="0" w:line="220" w:lineRule="exact"/>
      <w:jc w:val="left"/>
    </w:pPr>
    <w:rPr>
      <w:rFonts w:ascii="Times New Roman" w:hAnsi="Times New Roman"/>
      <w:i w:val="0"/>
      <w:sz w:val="22"/>
      <w:lang w:val="en-US" w:eastAsia="fr-FR"/>
    </w:rPr>
  </w:style>
  <w:style w:type="character" w:customStyle="1" w:styleId="StylereferencesTimesNewRoman1Char">
    <w:name w:val="Style references + Times New Roman1 Char"/>
    <w:rsid w:val="00696CB5"/>
    <w:rPr>
      <w:rFonts w:ascii="Helvetica" w:hAnsi="Helvetica"/>
      <w:noProof w:val="0"/>
      <w:sz w:val="22"/>
      <w:lang w:val="en-US"/>
    </w:rPr>
  </w:style>
  <w:style w:type="paragraph" w:customStyle="1" w:styleId="StyleStylereferencesTimesNewRoman1Italic">
    <w:name w:val="Style Style references + Times New Roman1 + Italic"/>
    <w:basedOn w:val="StylereferencesTimesNewRoman1"/>
    <w:rsid w:val="00696CB5"/>
    <w:rPr>
      <w:i/>
    </w:rPr>
  </w:style>
  <w:style w:type="character" w:customStyle="1" w:styleId="StyleStylereferencesTimesNewRoman1ItalicChar">
    <w:name w:val="Style Style references + Times New Roman1 + Italic Char"/>
    <w:rsid w:val="00696CB5"/>
    <w:rPr>
      <w:rFonts w:ascii="Helvetica" w:hAnsi="Helvetica"/>
      <w:i/>
      <w:noProof w:val="0"/>
      <w:sz w:val="22"/>
      <w:lang w:val="en-US"/>
    </w:rPr>
  </w:style>
  <w:style w:type="paragraph" w:customStyle="1" w:styleId="StyleBodyTextCharCharBodyTextCharCharCharCharCharChar">
    <w:name w:val="Style Body TextChar CharBody Text Char Char Char Char Char Char ..."/>
    <w:basedOn w:val="BodyText"/>
    <w:rsid w:val="00696CB5"/>
    <w:pPr>
      <w:keepLines/>
      <w:widowControl w:val="0"/>
      <w:spacing w:line="240" w:lineRule="auto"/>
    </w:pPr>
    <w:rPr>
      <w:color w:val="auto"/>
      <w:lang w:val="en-US" w:eastAsia="fr-FR"/>
    </w:rPr>
  </w:style>
  <w:style w:type="paragraph" w:customStyle="1" w:styleId="StyleHeading3CharHeading3Char1Heading3CharCharCharChar">
    <w:name w:val="Style Heading 3CharHeading 3 Char1Heading 3 Char CharChar Char ..."/>
    <w:basedOn w:val="Heading3"/>
    <w:rsid w:val="00696CB5"/>
    <w:pPr>
      <w:keepLines w:val="0"/>
      <w:widowControl/>
      <w:tabs>
        <w:tab w:val="left" w:pos="900"/>
      </w:tabs>
      <w:adjustRightInd/>
      <w:spacing w:after="120"/>
      <w:ind w:left="907" w:right="0" w:hanging="907"/>
      <w:outlineLvl w:val="9"/>
    </w:pPr>
    <w:rPr>
      <w:rFonts w:eastAsia="Times New Roman"/>
      <w:b w:val="0"/>
      <w:i w:val="0"/>
      <w:snapToGrid/>
      <w:sz w:val="24"/>
      <w:szCs w:val="20"/>
      <w:lang w:eastAsia="fr-FR"/>
    </w:rPr>
  </w:style>
  <w:style w:type="character" w:customStyle="1" w:styleId="Sous-titreCar">
    <w:name w:val="Sous-titre Car"/>
    <w:rsid w:val="00696CB5"/>
    <w:rPr>
      <w:rFonts w:ascii="Arial" w:hAnsi="Arial"/>
      <w:b/>
      <w:sz w:val="22"/>
    </w:rPr>
  </w:style>
  <w:style w:type="paragraph" w:customStyle="1" w:styleId="Bullet2006GL">
    <w:name w:val="Bullet 2006GL"/>
    <w:basedOn w:val="BodyText2006GL"/>
    <w:rsid w:val="00696CB5"/>
    <w:pPr>
      <w:tabs>
        <w:tab w:val="left" w:pos="360"/>
      </w:tabs>
      <w:ind w:left="357" w:hanging="357"/>
    </w:pPr>
  </w:style>
  <w:style w:type="paragraph" w:customStyle="1" w:styleId="BodyText2006GL">
    <w:name w:val="Body Text 2006GL"/>
    <w:basedOn w:val="Normal"/>
    <w:rsid w:val="00696CB5"/>
    <w:pPr>
      <w:spacing w:after="120"/>
      <w:jc w:val="both"/>
    </w:pPr>
    <w:rPr>
      <w:color w:val="auto"/>
      <w:sz w:val="20"/>
      <w:lang w:eastAsia="fr-FR"/>
    </w:rPr>
  </w:style>
  <w:style w:type="paragraph" w:customStyle="1" w:styleId="TabletextBullet2006GL">
    <w:name w:val="Table text Bullet 2006GL"/>
    <w:basedOn w:val="BodyText2006GL"/>
    <w:rsid w:val="00696CB5"/>
    <w:pPr>
      <w:keepNext/>
      <w:tabs>
        <w:tab w:val="left" w:pos="360"/>
      </w:tabs>
      <w:spacing w:before="40" w:after="40"/>
      <w:ind w:left="341" w:right="57" w:hanging="284"/>
    </w:pPr>
    <w:rPr>
      <w:sz w:val="18"/>
    </w:rPr>
  </w:style>
  <w:style w:type="paragraph" w:customStyle="1" w:styleId="AnnexSubhead3IPCCGP">
    <w:name w:val="Annex Subhead 3 IPCC GP"/>
    <w:basedOn w:val="Normal"/>
    <w:rsid w:val="00696CB5"/>
    <w:pPr>
      <w:keepNext/>
      <w:keepLines/>
      <w:tabs>
        <w:tab w:val="left" w:pos="851"/>
        <w:tab w:val="left" w:pos="1440"/>
      </w:tabs>
      <w:spacing w:before="240"/>
      <w:ind w:left="1440" w:hanging="360"/>
      <w:jc w:val="both"/>
    </w:pPr>
    <w:rPr>
      <w:b/>
      <w:color w:val="auto"/>
      <w:spacing w:val="30"/>
      <w:lang w:eastAsia="fr-FR"/>
    </w:rPr>
  </w:style>
  <w:style w:type="paragraph" w:customStyle="1" w:styleId="BulletIPCCGP">
    <w:name w:val="Bullet IPCC GP"/>
    <w:basedOn w:val="Normal"/>
    <w:rsid w:val="00696CB5"/>
    <w:pPr>
      <w:tabs>
        <w:tab w:val="left" w:pos="360"/>
      </w:tabs>
      <w:spacing w:after="120"/>
      <w:ind w:left="340" w:hanging="340"/>
      <w:jc w:val="both"/>
    </w:pPr>
    <w:rPr>
      <w:color w:val="auto"/>
      <w:sz w:val="20"/>
      <w:lang w:eastAsia="fr-FR"/>
    </w:rPr>
  </w:style>
  <w:style w:type="paragraph" w:customStyle="1" w:styleId="BulletIPCCGPnextlevel">
    <w:name w:val="Bullet IPCC GP next level"/>
    <w:basedOn w:val="BulletIPCCGP"/>
    <w:rsid w:val="00696CB5"/>
    <w:pPr>
      <w:tabs>
        <w:tab w:val="left" w:pos="432"/>
      </w:tabs>
      <w:ind w:left="432" w:hanging="432"/>
    </w:pPr>
    <w:rPr>
      <w:color w:val="000000"/>
    </w:rPr>
  </w:style>
  <w:style w:type="paragraph" w:customStyle="1" w:styleId="EquatTITLE2006GL">
    <w:name w:val="EquatTITLE 2006GL"/>
    <w:basedOn w:val="Equtxt2006GL"/>
    <w:rsid w:val="00696CB5"/>
    <w:rPr>
      <w:b/>
      <w:smallCaps/>
    </w:rPr>
  </w:style>
  <w:style w:type="paragraph" w:customStyle="1" w:styleId="Equtxt2006GL">
    <w:name w:val="Equtxt 2006GL"/>
    <w:basedOn w:val="BodyText2006GL"/>
    <w:rsid w:val="00696CB5"/>
    <w:pPr>
      <w:keepNext/>
      <w:keepLines/>
      <w:pBdr>
        <w:top w:val="single" w:sz="12" w:space="5" w:color="auto"/>
        <w:left w:val="single" w:sz="12" w:space="5" w:color="auto"/>
        <w:bottom w:val="single" w:sz="12" w:space="5" w:color="auto"/>
        <w:right w:val="single" w:sz="12" w:space="5" w:color="auto"/>
      </w:pBdr>
      <w:spacing w:before="40" w:after="40"/>
      <w:ind w:left="562" w:right="562"/>
      <w:jc w:val="center"/>
    </w:pPr>
  </w:style>
  <w:style w:type="paragraph" w:customStyle="1" w:styleId="Equationdefinition2006GL">
    <w:name w:val="Equation definition 2006GL"/>
    <w:basedOn w:val="BodyText2006GL"/>
    <w:rsid w:val="00696CB5"/>
    <w:pPr>
      <w:ind w:left="924" w:hanging="357"/>
    </w:pPr>
  </w:style>
  <w:style w:type="paragraph" w:customStyle="1" w:styleId="NormalIPCCGP">
    <w:name w:val="Normal IPCC GP"/>
    <w:basedOn w:val="Normal"/>
    <w:rsid w:val="00696CB5"/>
    <w:pPr>
      <w:spacing w:after="120"/>
    </w:pPr>
    <w:rPr>
      <w:color w:val="auto"/>
      <w:sz w:val="20"/>
      <w:lang w:eastAsia="fr-FR"/>
    </w:rPr>
  </w:style>
  <w:style w:type="paragraph" w:customStyle="1" w:styleId="spip">
    <w:name w:val="spip"/>
    <w:basedOn w:val="Normal"/>
    <w:rsid w:val="00696CB5"/>
    <w:pPr>
      <w:spacing w:before="100" w:after="100"/>
    </w:pPr>
    <w:rPr>
      <w:color w:val="auto"/>
      <w:lang w:val="fr-FR" w:eastAsia="fr-FR"/>
    </w:rPr>
  </w:style>
  <w:style w:type="paragraph" w:customStyle="1" w:styleId="StyleStyleHeading311ptAfter12ptBefore0ptLeft">
    <w:name w:val="Style Style Heading 3 + 11 pt After:  12 pt + Before:  0 pt + Left"/>
    <w:basedOn w:val="Heading2"/>
    <w:rsid w:val="00696CB5"/>
    <w:pPr>
      <w:widowControl/>
      <w:tabs>
        <w:tab w:val="left" w:pos="851"/>
        <w:tab w:val="left" w:pos="900"/>
      </w:tabs>
      <w:adjustRightInd/>
      <w:spacing w:after="120"/>
      <w:ind w:left="902" w:right="0" w:hanging="902"/>
      <w:outlineLvl w:val="9"/>
    </w:pPr>
    <w:rPr>
      <w:b w:val="0"/>
      <w:i/>
      <w:snapToGrid/>
      <w:lang w:val="en-GB"/>
    </w:rPr>
  </w:style>
  <w:style w:type="character" w:customStyle="1" w:styleId="TOC3Char">
    <w:name w:val="TOC 3 Char"/>
    <w:rsid w:val="00696CB5"/>
    <w:rPr>
      <w:i/>
      <w:noProof w:val="0"/>
      <w:lang w:val="en-US"/>
    </w:rPr>
  </w:style>
  <w:style w:type="paragraph" w:customStyle="1" w:styleId="ecxmsonormal">
    <w:name w:val="ecxmsonormal"/>
    <w:basedOn w:val="Normal"/>
    <w:rsid w:val="00696CB5"/>
    <w:pPr>
      <w:spacing w:after="0"/>
    </w:pPr>
    <w:rPr>
      <w:color w:val="auto"/>
      <w:lang w:val="pt-BR" w:eastAsia="fr-FR"/>
    </w:rPr>
  </w:style>
  <w:style w:type="paragraph" w:customStyle="1" w:styleId="14TableHeading">
    <w:name w:val="14. Table Heading"/>
    <w:basedOn w:val="Normal"/>
    <w:qFormat/>
    <w:rsid w:val="00696CB5"/>
    <w:pPr>
      <w:spacing w:after="0"/>
      <w:ind w:left="720" w:hanging="360"/>
      <w:jc w:val="center"/>
    </w:pPr>
    <w:rPr>
      <w:rFonts w:ascii="AGaramond" w:eastAsia="Calibri" w:hAnsi="AGaramond"/>
      <w:b/>
      <w:color w:val="auto"/>
      <w:sz w:val="20"/>
      <w:lang w:val="en-US" w:eastAsia="fr-FR"/>
    </w:rPr>
  </w:style>
  <w:style w:type="paragraph" w:customStyle="1" w:styleId="16TableText">
    <w:name w:val="16. Table Text"/>
    <w:basedOn w:val="Normal"/>
    <w:qFormat/>
    <w:rsid w:val="00696CB5"/>
    <w:pPr>
      <w:spacing w:after="0"/>
      <w:ind w:left="720" w:hanging="360"/>
      <w:jc w:val="center"/>
    </w:pPr>
    <w:rPr>
      <w:rFonts w:ascii="Garamond" w:eastAsia="Calibri" w:hAnsi="Garamond"/>
      <w:color w:val="auto"/>
      <w:sz w:val="21"/>
      <w:lang w:val="en-US" w:eastAsia="fr-FR"/>
    </w:rPr>
  </w:style>
  <w:style w:type="paragraph" w:customStyle="1" w:styleId="06BodyMaintext">
    <w:name w:val="06. Body [Main text]"/>
    <w:basedOn w:val="Normal"/>
    <w:qFormat/>
    <w:rsid w:val="00696CB5"/>
    <w:pPr>
      <w:widowControl w:val="0"/>
      <w:autoSpaceDE w:val="0"/>
      <w:autoSpaceDN w:val="0"/>
      <w:adjustRightInd w:val="0"/>
      <w:spacing w:after="0" w:line="288" w:lineRule="auto"/>
      <w:ind w:firstLine="446"/>
      <w:jc w:val="both"/>
      <w:textAlignment w:val="center"/>
    </w:pPr>
    <w:rPr>
      <w:rFonts w:ascii="Garamond" w:eastAsia="Calibri" w:hAnsi="Garamond"/>
      <w:sz w:val="21"/>
      <w:lang w:val="en-US" w:eastAsia="fr-FR"/>
    </w:rPr>
  </w:style>
  <w:style w:type="character" w:customStyle="1" w:styleId="IntenseEmphasis1">
    <w:name w:val="Intense Emphasis1"/>
    <w:qFormat/>
    <w:rsid w:val="00696CB5"/>
    <w:rPr>
      <w:i/>
      <w:iCs/>
      <w:color w:val="008080"/>
    </w:rPr>
  </w:style>
  <w:style w:type="paragraph" w:customStyle="1" w:styleId="FarbigeListe-Akzent11">
    <w:name w:val="Farbige Liste - Akzent 11"/>
    <w:basedOn w:val="Normal"/>
    <w:qFormat/>
    <w:rsid w:val="00696CB5"/>
    <w:pPr>
      <w:autoSpaceDE w:val="0"/>
      <w:autoSpaceDN w:val="0"/>
      <w:spacing w:after="200" w:line="276" w:lineRule="auto"/>
    </w:pPr>
    <w:rPr>
      <w:rFonts w:ascii="Cambria" w:hAnsi="Cambria"/>
      <w:color w:val="auto"/>
      <w:lang w:val="de-DE" w:eastAsia="fr-FR"/>
    </w:rPr>
  </w:style>
  <w:style w:type="character" w:customStyle="1" w:styleId="Corpsdetexte2Car">
    <w:name w:val="Corps de texte 2 Car"/>
    <w:semiHidden/>
    <w:rsid w:val="00696CB5"/>
    <w:rPr>
      <w:rFonts w:ascii="Times New Roman" w:eastAsia="Times New Roman" w:hAnsi="Times New Roman" w:cs="Times New Roman"/>
      <w:noProof w:val="0"/>
      <w:sz w:val="24"/>
      <w:szCs w:val="20"/>
      <w:lang w:val="en-US" w:eastAsia="fr-FR"/>
    </w:rPr>
  </w:style>
  <w:style w:type="character" w:customStyle="1" w:styleId="Retraitcorpsdetexte2Car">
    <w:name w:val="Retrait corps de texte 2 Car"/>
    <w:semiHidden/>
    <w:rsid w:val="00696CB5"/>
    <w:rPr>
      <w:rFonts w:ascii="Times New Roman" w:eastAsia="Times New Roman" w:hAnsi="Times New Roman" w:cs="Times New Roman"/>
      <w:noProof w:val="0"/>
      <w:sz w:val="24"/>
      <w:szCs w:val="20"/>
      <w:lang w:val="en-US" w:eastAsia="fr-FR"/>
    </w:rPr>
  </w:style>
  <w:style w:type="paragraph" w:customStyle="1" w:styleId="FarbigeListe-Akzent12">
    <w:name w:val="Farbige Liste - Akzent 12"/>
    <w:basedOn w:val="Normal"/>
    <w:qFormat/>
    <w:rsid w:val="00696CB5"/>
    <w:pPr>
      <w:autoSpaceDE w:val="0"/>
      <w:autoSpaceDN w:val="0"/>
      <w:spacing w:after="200" w:line="276" w:lineRule="auto"/>
      <w:ind w:left="720"/>
    </w:pPr>
    <w:rPr>
      <w:rFonts w:ascii="Cambria" w:hAnsi="Cambria"/>
      <w:color w:val="auto"/>
      <w:lang w:val="de-DE" w:eastAsia="fr-FR"/>
    </w:rPr>
  </w:style>
  <w:style w:type="character" w:customStyle="1" w:styleId="BodyText2Char1">
    <w:name w:val="Body Text 2 Char1"/>
    <w:link w:val="BodyText2"/>
    <w:rsid w:val="00696CB5"/>
    <w:rPr>
      <w:rFonts w:ascii="Times New Roman" w:hAnsi="Times New Roman"/>
      <w:sz w:val="48"/>
      <w:lang w:val="en-GB" w:eastAsia="zh-CN"/>
    </w:rPr>
  </w:style>
  <w:style w:type="paragraph" w:customStyle="1" w:styleId="21">
    <w:name w:val="Θέμα σχολίου2"/>
    <w:basedOn w:val="CommentText"/>
    <w:next w:val="CommentText"/>
    <w:rsid w:val="00696CB5"/>
    <w:pPr>
      <w:widowControl/>
      <w:spacing w:after="0"/>
    </w:pPr>
    <w:rPr>
      <w:rFonts w:ascii="Times New Roman" w:hAnsi="Times New Roman"/>
      <w:b/>
      <w:lang w:val="en-US" w:eastAsia="fr-FR"/>
    </w:rPr>
  </w:style>
  <w:style w:type="paragraph" w:customStyle="1" w:styleId="22">
    <w:name w:val="Λίστα2"/>
    <w:basedOn w:val="Normal"/>
    <w:rsid w:val="00696CB5"/>
    <w:pPr>
      <w:tabs>
        <w:tab w:val="left" w:pos="810"/>
      </w:tabs>
      <w:spacing w:before="120" w:after="120"/>
      <w:ind w:left="810" w:hanging="360"/>
    </w:pPr>
    <w:rPr>
      <w:color w:val="auto"/>
      <w:lang w:val="en-US" w:eastAsia="fr-FR"/>
    </w:rPr>
  </w:style>
  <w:style w:type="character" w:customStyle="1" w:styleId="Heading6Char1">
    <w:name w:val="Heading 6 Char1"/>
    <w:aliases w:val="Subpara 3 Char1"/>
    <w:link w:val="Heading6"/>
    <w:rsid w:val="00C63254"/>
    <w:rPr>
      <w:rFonts w:ascii="Times New Roman" w:hAnsi="Times New Roman"/>
      <w:color w:val="000000"/>
      <w:sz w:val="22"/>
      <w:u w:val="single"/>
      <w:lang w:val="en-GB" w:eastAsia="zh-CN"/>
    </w:rPr>
  </w:style>
  <w:style w:type="character" w:styleId="PlaceholderText">
    <w:name w:val="Placeholder Text"/>
    <w:basedOn w:val="DefaultParagraphFont"/>
    <w:uiPriority w:val="99"/>
    <w:semiHidden/>
    <w:rsid w:val="00696CB5"/>
    <w:rPr>
      <w:color w:val="808080"/>
    </w:rPr>
  </w:style>
  <w:style w:type="paragraph" w:customStyle="1" w:styleId="Overskrift11">
    <w:name w:val="Overskrift 11"/>
    <w:basedOn w:val="Normal"/>
    <w:next w:val="Normal"/>
    <w:rsid w:val="00696CB5"/>
    <w:pPr>
      <w:keepNext/>
      <w:widowControl w:val="0"/>
      <w:spacing w:before="240" w:after="60"/>
    </w:pPr>
    <w:rPr>
      <w:b/>
      <w:color w:val="auto"/>
      <w:kern w:val="28"/>
      <w:sz w:val="28"/>
      <w:lang w:val="nb-NO" w:eastAsia="fr-FR"/>
    </w:rPr>
  </w:style>
  <w:style w:type="paragraph" w:customStyle="1" w:styleId="Overskrift21">
    <w:name w:val="Overskrift 21"/>
    <w:basedOn w:val="Normal"/>
    <w:next w:val="Normal"/>
    <w:rsid w:val="00696CB5"/>
    <w:pPr>
      <w:keepNext/>
      <w:widowControl w:val="0"/>
      <w:spacing w:before="240" w:after="60"/>
    </w:pPr>
    <w:rPr>
      <w:b/>
      <w:color w:val="auto"/>
      <w:lang w:val="nb-NO" w:eastAsia="fr-FR"/>
    </w:rPr>
  </w:style>
  <w:style w:type="paragraph" w:customStyle="1" w:styleId="Overskrift31">
    <w:name w:val="Overskrift 31"/>
    <w:basedOn w:val="Normal"/>
    <w:next w:val="Normal"/>
    <w:rsid w:val="00696CB5"/>
    <w:pPr>
      <w:keepNext/>
      <w:widowControl w:val="0"/>
      <w:spacing w:before="240" w:after="60"/>
    </w:pPr>
    <w:rPr>
      <w:color w:val="auto"/>
      <w:lang w:val="nb-NO" w:eastAsia="fr-FR"/>
    </w:rPr>
  </w:style>
  <w:style w:type="paragraph" w:customStyle="1" w:styleId="List1">
    <w:name w:val="List1"/>
    <w:basedOn w:val="Normal"/>
    <w:autoRedefine/>
    <w:rsid w:val="00696CB5"/>
    <w:pPr>
      <w:numPr>
        <w:numId w:val="49"/>
      </w:numPr>
      <w:spacing w:before="120" w:after="120"/>
    </w:pPr>
    <w:rPr>
      <w:color w:val="auto"/>
      <w:lang w:val="en-US" w:eastAsia="fr-FR"/>
    </w:rPr>
  </w:style>
  <w:style w:type="character" w:customStyle="1" w:styleId="nrTitle04Carattere">
    <w:name w:val="nr Title 04 Carattere"/>
    <w:link w:val="nrTitle04"/>
    <w:rsid w:val="00696CB5"/>
    <w:rPr>
      <w:i/>
      <w:sz w:val="24"/>
      <w:lang w:eastAsia="fr-FR"/>
    </w:rPr>
  </w:style>
  <w:style w:type="paragraph" w:customStyle="1" w:styleId="nrTitle04">
    <w:name w:val="nr Title 04"/>
    <w:basedOn w:val="Heading1"/>
    <w:link w:val="nrTitle04Carattere"/>
    <w:rsid w:val="00696CB5"/>
    <w:pPr>
      <w:keepNext w:val="0"/>
      <w:tabs>
        <w:tab w:val="left" w:pos="1080"/>
      </w:tabs>
      <w:spacing w:before="60" w:after="60"/>
      <w:ind w:left="0"/>
      <w:outlineLvl w:val="3"/>
    </w:pPr>
    <w:rPr>
      <w:rFonts w:ascii="Times" w:hAnsi="Times"/>
      <w:b w:val="0"/>
      <w:i/>
      <w:color w:val="auto"/>
      <w:sz w:val="24"/>
      <w:lang w:eastAsia="fr-FR"/>
    </w:rPr>
  </w:style>
  <w:style w:type="paragraph" w:customStyle="1" w:styleId="CabealhoeRodap">
    <w:name w:val="Cabeçalho e Rodapé"/>
    <w:rsid w:val="00696CB5"/>
    <w:pPr>
      <w:tabs>
        <w:tab w:val="right" w:pos="9020"/>
      </w:tabs>
    </w:pPr>
    <w:rPr>
      <w:rFonts w:ascii="Helvetica Neue" w:eastAsia="Arial Unicode MS" w:hAnsi="Helvetica Neue" w:cs="Arial Unicode MS"/>
      <w:color w:val="000000"/>
      <w:sz w:val="24"/>
      <w:szCs w:val="24"/>
      <w:lang w:val="de-DE" w:eastAsia="de-DE"/>
    </w:rPr>
  </w:style>
  <w:style w:type="paragraph" w:customStyle="1" w:styleId="TtuloA">
    <w:name w:val="Título A"/>
    <w:next w:val="CorpoA"/>
    <w:rsid w:val="00696CB5"/>
    <w:pPr>
      <w:keepNext/>
      <w:keepLines/>
      <w:spacing w:before="480" w:after="200" w:line="276" w:lineRule="auto"/>
      <w:outlineLvl w:val="0"/>
    </w:pPr>
    <w:rPr>
      <w:rFonts w:ascii="Calibri" w:eastAsia="Arial Unicode MS" w:hAnsi="Calibri" w:cs="Arial Unicode MS"/>
      <w:b/>
      <w:bCs/>
      <w:color w:val="365F91"/>
      <w:sz w:val="28"/>
      <w:szCs w:val="28"/>
      <w:u w:color="365F91"/>
      <w:lang w:val="it-IT" w:eastAsia="de-DE"/>
    </w:rPr>
  </w:style>
  <w:style w:type="character" w:customStyle="1" w:styleId="Nenhum">
    <w:name w:val="Nenhum"/>
    <w:autoRedefine/>
    <w:rsid w:val="00696CB5"/>
  </w:style>
  <w:style w:type="character" w:customStyle="1" w:styleId="Hyperlink0">
    <w:name w:val="Hyperlink.0"/>
    <w:autoRedefine/>
    <w:rsid w:val="00696CB5"/>
    <w:rPr>
      <w:color w:val="0000FF"/>
      <w:u w:val="single" w:color="0000FF"/>
      <w:lang w:val="en-US"/>
    </w:rPr>
  </w:style>
  <w:style w:type="numbering" w:customStyle="1" w:styleId="Marcadores">
    <w:name w:val="Marcadores"/>
    <w:rsid w:val="00696CB5"/>
  </w:style>
  <w:style w:type="paragraph" w:customStyle="1" w:styleId="Padro">
    <w:name w:val="Padrão"/>
    <w:autoRedefine/>
    <w:rsid w:val="00696CB5"/>
    <w:rPr>
      <w:rFonts w:ascii="Helvetica" w:eastAsia="Helvetica" w:hAnsi="Helvetica" w:cs="Helvetica"/>
      <w:color w:val="000000"/>
      <w:sz w:val="22"/>
      <w:szCs w:val="22"/>
      <w:u w:color="000000"/>
      <w:lang w:val="da-DK" w:eastAsia="de-DE"/>
    </w:rPr>
  </w:style>
  <w:style w:type="character" w:customStyle="1" w:styleId="Hyperlink1">
    <w:name w:val="Hyperlink.1"/>
    <w:autoRedefine/>
    <w:rsid w:val="00696CB5"/>
    <w:rPr>
      <w:color w:val="0000FF"/>
      <w:u w:val="single" w:color="0000FF"/>
    </w:rPr>
  </w:style>
  <w:style w:type="character" w:customStyle="1" w:styleId="Hyperlink2">
    <w:name w:val="Hyperlink.2"/>
    <w:autoRedefine/>
    <w:rsid w:val="00696CB5"/>
    <w:rPr>
      <w:color w:val="0000FF"/>
      <w:u w:val="single" w:color="0000FF"/>
      <w:lang w:val="it-IT"/>
    </w:rPr>
  </w:style>
  <w:style w:type="character" w:customStyle="1" w:styleId="Hyperlink3">
    <w:name w:val="Hyperlink.3"/>
    <w:rsid w:val="00696CB5"/>
    <w:rPr>
      <w:lang w:val="en-US"/>
    </w:rPr>
  </w:style>
  <w:style w:type="character" w:customStyle="1" w:styleId="Hyperlink4">
    <w:name w:val="Hyperlink.4"/>
    <w:rsid w:val="00696CB5"/>
    <w:rPr>
      <w:color w:val="0000FF"/>
      <w:u w:val="single" w:color="0000FF"/>
      <w:lang w:val="en-US"/>
    </w:rPr>
  </w:style>
  <w:style w:type="character" w:customStyle="1" w:styleId="Hyperlink5">
    <w:name w:val="Hyperlink.5"/>
    <w:rsid w:val="00696CB5"/>
    <w:rPr>
      <w:color w:val="0000FF"/>
      <w:u w:val="single" w:color="0000FF"/>
      <w:lang w:val="da-DK"/>
    </w:rPr>
  </w:style>
  <w:style w:type="character" w:customStyle="1" w:styleId="NichtaufgelsteErwhnung1">
    <w:name w:val="Nicht aufgelöste Erwähnung1"/>
    <w:uiPriority w:val="99"/>
    <w:semiHidden/>
    <w:unhideWhenUsed/>
    <w:rsid w:val="00696CB5"/>
    <w:rPr>
      <w:color w:val="808080"/>
      <w:shd w:val="clear" w:color="auto" w:fill="E6E6E6"/>
    </w:rPr>
  </w:style>
  <w:style w:type="paragraph" w:customStyle="1" w:styleId="inbox-inbox-corpoa">
    <w:name w:val="inbox-inbox-corpoa"/>
    <w:basedOn w:val="Normal"/>
    <w:rsid w:val="00696CB5"/>
    <w:pPr>
      <w:spacing w:before="100" w:beforeAutospacing="1" w:after="100" w:afterAutospacing="1"/>
      <w:jc w:val="both"/>
    </w:pPr>
    <w:rPr>
      <w:rFonts w:eastAsiaTheme="minorHAnsi"/>
      <w:color w:val="auto"/>
      <w:szCs w:val="24"/>
      <w:u w:color="000000"/>
      <w:lang w:eastAsia="en-GB"/>
    </w:rPr>
  </w:style>
  <w:style w:type="character" w:customStyle="1" w:styleId="inbox-inbox-nenhum">
    <w:name w:val="inbox-inbox-nenhum"/>
    <w:basedOn w:val="DefaultParagraphFont"/>
    <w:rsid w:val="00696CB5"/>
  </w:style>
  <w:style w:type="character" w:customStyle="1" w:styleId="shorttext">
    <w:name w:val="short_text"/>
    <w:basedOn w:val="DefaultParagraphFont"/>
    <w:rsid w:val="00696CB5"/>
  </w:style>
  <w:style w:type="character" w:customStyle="1" w:styleId="reference-accessdate">
    <w:name w:val="reference-accessdate"/>
    <w:basedOn w:val="DefaultParagraphFont"/>
    <w:rsid w:val="00696CB5"/>
  </w:style>
  <w:style w:type="character" w:customStyle="1" w:styleId="nowrap">
    <w:name w:val="nowrap"/>
    <w:basedOn w:val="DefaultParagraphFont"/>
    <w:rsid w:val="00696CB5"/>
  </w:style>
  <w:style w:type="numbering" w:customStyle="1" w:styleId="EstiloImportado1">
    <w:name w:val="Estilo Importado 1"/>
    <w:rsid w:val="00696CB5"/>
    <w:pPr>
      <w:numPr>
        <w:numId w:val="50"/>
      </w:numPr>
    </w:pPr>
  </w:style>
  <w:style w:type="paragraph" w:customStyle="1" w:styleId="Bibliography1">
    <w:name w:val="Bibliography1"/>
    <w:basedOn w:val="Normal"/>
    <w:rsid w:val="00696CB5"/>
    <w:pPr>
      <w:numPr>
        <w:numId w:val="51"/>
      </w:numPr>
      <w:tabs>
        <w:tab w:val="clear" w:pos="360"/>
        <w:tab w:val="left" w:pos="660"/>
      </w:tabs>
      <w:spacing w:line="230" w:lineRule="atLeast"/>
      <w:ind w:left="660" w:hanging="660"/>
      <w:jc w:val="both"/>
    </w:pPr>
    <w:rPr>
      <w:rFonts w:ascii="Arial" w:eastAsia="MS Mincho" w:hAnsi="Arial"/>
      <w:color w:val="auto"/>
      <w:sz w:val="20"/>
      <w:u w:color="000000"/>
      <w:lang w:eastAsia="ja-JP"/>
    </w:rPr>
  </w:style>
  <w:style w:type="paragraph" w:customStyle="1" w:styleId="Sprechblasentext">
    <w:name w:val="Sprechblasentext"/>
    <w:basedOn w:val="Normal"/>
    <w:semiHidden/>
    <w:rsid w:val="00696CB5"/>
    <w:pPr>
      <w:spacing w:after="0"/>
    </w:pPr>
    <w:rPr>
      <w:rFonts w:ascii="Tahoma" w:hAnsi="Tahoma"/>
      <w:color w:val="auto"/>
      <w:sz w:val="16"/>
      <w:lang w:val="de-DE" w:eastAsia="fr-FR"/>
    </w:rPr>
  </w:style>
  <w:style w:type="paragraph" w:customStyle="1" w:styleId="FarbigeListe-Akzent1">
    <w:name w:val="Farbige Liste - Akzent 1"/>
    <w:basedOn w:val="Normal"/>
    <w:qFormat/>
    <w:rsid w:val="00696CB5"/>
    <w:pPr>
      <w:autoSpaceDE w:val="0"/>
      <w:autoSpaceDN w:val="0"/>
      <w:spacing w:after="200" w:line="276" w:lineRule="auto"/>
      <w:ind w:left="720"/>
    </w:pPr>
    <w:rPr>
      <w:rFonts w:ascii="Cambria" w:hAnsi="Cambria"/>
      <w:color w:val="auto"/>
      <w:sz w:val="24"/>
      <w:lang w:val="de-DE" w:eastAsia="fr-FR"/>
    </w:rPr>
  </w:style>
  <w:style w:type="paragraph" w:customStyle="1" w:styleId="m-784260629552474858msolistparagraph">
    <w:name w:val="m_-784260629552474858msolistparagraph"/>
    <w:basedOn w:val="Normal"/>
    <w:rsid w:val="00696CB5"/>
    <w:pPr>
      <w:spacing w:before="100" w:beforeAutospacing="1" w:after="100" w:afterAutospacing="1"/>
    </w:pPr>
    <w:rPr>
      <w:color w:val="auto"/>
      <w:sz w:val="24"/>
      <w:szCs w:val="24"/>
      <w:lang w:val="en-US" w:eastAsia="en-US"/>
    </w:rPr>
  </w:style>
  <w:style w:type="paragraph" w:customStyle="1" w:styleId="BBTitle">
    <w:name w:val="BB_Title"/>
    <w:basedOn w:val="Normal"/>
    <w:rsid w:val="00696CB5"/>
    <w:pPr>
      <w:keepNext/>
      <w:keepLines/>
      <w:suppressAutoHyphens/>
      <w:spacing w:before="320"/>
      <w:ind w:left="1247" w:right="567"/>
    </w:pPr>
    <w:rPr>
      <w:b/>
      <w:color w:val="auto"/>
      <w:sz w:val="28"/>
      <w:szCs w:val="28"/>
      <w:lang w:eastAsia="en-US"/>
    </w:rPr>
  </w:style>
  <w:style w:type="numbering" w:customStyle="1" w:styleId="Normallist">
    <w:name w:val="Normal_list"/>
    <w:basedOn w:val="NoList"/>
    <w:rsid w:val="00696CB5"/>
    <w:pPr>
      <w:numPr>
        <w:numId w:val="52"/>
      </w:numPr>
    </w:pPr>
  </w:style>
  <w:style w:type="paragraph" w:customStyle="1" w:styleId="NormalNonumber">
    <w:name w:val="Normal_No_number"/>
    <w:basedOn w:val="Normal"/>
    <w:link w:val="NormalNonumberChar"/>
    <w:qFormat/>
    <w:rsid w:val="00696CB5"/>
    <w:pPr>
      <w:spacing w:after="120"/>
      <w:ind w:left="1247"/>
    </w:pPr>
    <w:rPr>
      <w:color w:val="auto"/>
      <w:sz w:val="20"/>
      <w:lang w:eastAsia="en-US"/>
    </w:rPr>
  </w:style>
  <w:style w:type="paragraph" w:customStyle="1" w:styleId="Normalnumber">
    <w:name w:val="Normal_number"/>
    <w:basedOn w:val="Normal"/>
    <w:link w:val="NormalnumberChar"/>
    <w:rsid w:val="00696CB5"/>
    <w:pPr>
      <w:spacing w:after="120"/>
    </w:pPr>
    <w:rPr>
      <w:color w:val="auto"/>
      <w:sz w:val="20"/>
      <w:lang w:eastAsia="en-US"/>
    </w:rPr>
  </w:style>
  <w:style w:type="character" w:customStyle="1" w:styleId="NormalNonumberChar">
    <w:name w:val="Normal_No_number Char"/>
    <w:link w:val="NormalNonumber"/>
    <w:locked/>
    <w:rsid w:val="00696CB5"/>
    <w:rPr>
      <w:rFonts w:ascii="Times New Roman" w:hAnsi="Times New Roman"/>
      <w:lang w:val="en-GB"/>
    </w:rPr>
  </w:style>
  <w:style w:type="character" w:customStyle="1" w:styleId="NormalnumberChar">
    <w:name w:val="Normal_number Char"/>
    <w:link w:val="Normalnumber"/>
    <w:locked/>
    <w:rsid w:val="00696CB5"/>
    <w:rPr>
      <w:rFonts w:ascii="Times New Roman" w:hAnsi="Times New Roman"/>
      <w:lang w:val="en-GB"/>
    </w:rPr>
  </w:style>
  <w:style w:type="paragraph" w:customStyle="1" w:styleId="CH2">
    <w:name w:val="CH2"/>
    <w:basedOn w:val="Normal"/>
    <w:next w:val="Normalnumber"/>
    <w:link w:val="CH2Char"/>
    <w:rsid w:val="00696CB5"/>
    <w:pPr>
      <w:keepNext/>
      <w:keepLines/>
      <w:tabs>
        <w:tab w:val="right" w:pos="851"/>
        <w:tab w:val="left" w:pos="1247"/>
        <w:tab w:val="left" w:pos="1814"/>
        <w:tab w:val="left" w:pos="2381"/>
        <w:tab w:val="left" w:pos="2948"/>
        <w:tab w:val="left" w:pos="3515"/>
      </w:tabs>
      <w:suppressAutoHyphens/>
      <w:spacing w:before="80" w:after="120"/>
      <w:ind w:left="1247" w:right="284" w:hanging="1247"/>
    </w:pPr>
    <w:rPr>
      <w:b/>
      <w:color w:val="auto"/>
      <w:sz w:val="24"/>
      <w:szCs w:val="24"/>
      <w:lang w:eastAsia="en-US"/>
    </w:rPr>
  </w:style>
  <w:style w:type="paragraph" w:customStyle="1" w:styleId="Normalpool">
    <w:name w:val="Normal_pool"/>
    <w:link w:val="NormalpoolChar"/>
    <w:rsid w:val="00696CB5"/>
    <w:pPr>
      <w:tabs>
        <w:tab w:val="left" w:pos="1253"/>
        <w:tab w:val="left" w:pos="1814"/>
        <w:tab w:val="left" w:pos="2376"/>
        <w:tab w:val="left" w:pos="2952"/>
        <w:tab w:val="left" w:pos="3514"/>
      </w:tabs>
    </w:pPr>
    <w:rPr>
      <w:rFonts w:ascii="Times New Roman" w:hAnsi="Times New Roman"/>
      <w:lang w:val="en-GB"/>
    </w:rPr>
  </w:style>
  <w:style w:type="character" w:customStyle="1" w:styleId="NormalpoolChar">
    <w:name w:val="Normal_pool Char"/>
    <w:link w:val="Normalpool"/>
    <w:locked/>
    <w:rsid w:val="00696CB5"/>
    <w:rPr>
      <w:rFonts w:ascii="Times New Roman" w:hAnsi="Times New Roman"/>
      <w:lang w:val="en-GB"/>
    </w:rPr>
  </w:style>
  <w:style w:type="character" w:customStyle="1" w:styleId="CH2Char">
    <w:name w:val="CH2 Char"/>
    <w:link w:val="CH2"/>
    <w:locked/>
    <w:rsid w:val="00696CB5"/>
    <w:rPr>
      <w:rFonts w:ascii="Times New Roman" w:hAnsi="Times New Roman"/>
      <w:b/>
      <w:sz w:val="24"/>
      <w:szCs w:val="24"/>
      <w:lang w:val="en-GB"/>
    </w:rPr>
  </w:style>
  <w:style w:type="paragraph" w:customStyle="1" w:styleId="AATitle">
    <w:name w:val="AA_Title"/>
    <w:basedOn w:val="Normalpool"/>
    <w:rsid w:val="00696CB5"/>
    <w:pPr>
      <w:keepNext/>
      <w:keepLines/>
      <w:tabs>
        <w:tab w:val="clear" w:pos="1253"/>
        <w:tab w:val="clear" w:pos="2376"/>
        <w:tab w:val="clear" w:pos="2952"/>
        <w:tab w:val="clear" w:pos="3514"/>
        <w:tab w:val="left" w:pos="1247"/>
        <w:tab w:val="left" w:pos="2381"/>
        <w:tab w:val="left" w:pos="2948"/>
        <w:tab w:val="left" w:pos="3515"/>
        <w:tab w:val="left" w:pos="4082"/>
      </w:tabs>
      <w:suppressAutoHyphens/>
      <w:ind w:right="5103"/>
    </w:pPr>
    <w:rPr>
      <w:b/>
    </w:rPr>
  </w:style>
  <w:style w:type="character" w:customStyle="1" w:styleId="FooterChar1">
    <w:name w:val="Footer Char1"/>
    <w:link w:val="Footer"/>
    <w:uiPriority w:val="99"/>
    <w:rsid w:val="00696CB5"/>
    <w:rPr>
      <w:rFonts w:ascii="Times New Roman" w:hAnsi="Times New Roman"/>
      <w:color w:val="000000"/>
      <w:sz w:val="22"/>
      <w:lang w:val="en-GB" w:eastAsia="zh-CN"/>
    </w:rPr>
  </w:style>
  <w:style w:type="character" w:customStyle="1" w:styleId="Date1">
    <w:name w:val="Date1"/>
    <w:basedOn w:val="DefaultParagraphFont"/>
    <w:rsid w:val="00696CB5"/>
  </w:style>
  <w:style w:type="character" w:customStyle="1" w:styleId="Title10">
    <w:name w:val="Title1"/>
    <w:basedOn w:val="DefaultParagraphFont"/>
    <w:rsid w:val="00696CB5"/>
  </w:style>
  <w:style w:type="character" w:customStyle="1" w:styleId="publication">
    <w:name w:val="publication"/>
    <w:basedOn w:val="DefaultParagraphFont"/>
    <w:rsid w:val="00696CB5"/>
  </w:style>
  <w:style w:type="character" w:customStyle="1" w:styleId="UnresolvedMention21">
    <w:name w:val="Unresolved Mention21"/>
    <w:basedOn w:val="DefaultParagraphFont"/>
    <w:uiPriority w:val="99"/>
    <w:semiHidden/>
    <w:unhideWhenUsed/>
    <w:rsid w:val="00696CB5"/>
    <w:rPr>
      <w:color w:val="605E5C"/>
      <w:shd w:val="clear" w:color="auto" w:fill="E1DFDD"/>
    </w:rPr>
  </w:style>
  <w:style w:type="character" w:customStyle="1" w:styleId="UnresolvedMention3">
    <w:name w:val="Unresolved Mention3"/>
    <w:basedOn w:val="DefaultParagraphFont"/>
    <w:uiPriority w:val="99"/>
    <w:semiHidden/>
    <w:unhideWhenUsed/>
    <w:rsid w:val="00696CB5"/>
    <w:rPr>
      <w:color w:val="605E5C"/>
      <w:shd w:val="clear" w:color="auto" w:fill="E1DFDD"/>
    </w:rPr>
  </w:style>
  <w:style w:type="paragraph" w:customStyle="1" w:styleId="Sprechblasentext2">
    <w:name w:val="Sprechblasentext2"/>
    <w:basedOn w:val="Normal"/>
    <w:semiHidden/>
    <w:rsid w:val="00696CB5"/>
    <w:pPr>
      <w:spacing w:after="0"/>
    </w:pPr>
    <w:rPr>
      <w:rFonts w:ascii="Tahoma" w:hAnsi="Tahoma"/>
      <w:color w:val="auto"/>
      <w:sz w:val="16"/>
      <w:lang w:val="de-DE" w:eastAsia="fr-FR"/>
    </w:rPr>
  </w:style>
  <w:style w:type="paragraph" w:customStyle="1" w:styleId="FarbigeListe-Akzent13">
    <w:name w:val="Farbige Liste - Akzent 13"/>
    <w:basedOn w:val="Normal"/>
    <w:qFormat/>
    <w:rsid w:val="00696CB5"/>
    <w:pPr>
      <w:autoSpaceDE w:val="0"/>
      <w:autoSpaceDN w:val="0"/>
      <w:spacing w:after="200" w:line="276" w:lineRule="auto"/>
      <w:ind w:left="720"/>
    </w:pPr>
    <w:rPr>
      <w:rFonts w:ascii="Cambria" w:hAnsi="Cambria"/>
      <w:color w:val="auto"/>
      <w:sz w:val="24"/>
      <w:lang w:val="de-DE" w:eastAsia="fr-FR"/>
    </w:rPr>
  </w:style>
  <w:style w:type="character" w:customStyle="1" w:styleId="NichtaufgelsteErwhnung2">
    <w:name w:val="Nicht aufgelöste Erwähnung2"/>
    <w:basedOn w:val="DefaultParagraphFont"/>
    <w:uiPriority w:val="99"/>
    <w:semiHidden/>
    <w:unhideWhenUsed/>
    <w:rsid w:val="00696CB5"/>
    <w:rPr>
      <w:color w:val="605E5C"/>
      <w:shd w:val="clear" w:color="auto" w:fill="E1DFDD"/>
    </w:rPr>
  </w:style>
  <w:style w:type="character" w:customStyle="1" w:styleId="tlid-translation">
    <w:name w:val="tlid-translation"/>
    <w:basedOn w:val="DefaultParagraphFont"/>
    <w:rsid w:val="00696CB5"/>
  </w:style>
  <w:style w:type="paragraph" w:customStyle="1" w:styleId="Sprechblasentext11">
    <w:name w:val="Sprechblasentext11"/>
    <w:basedOn w:val="Normal"/>
    <w:semiHidden/>
    <w:rsid w:val="00696CB5"/>
    <w:pPr>
      <w:spacing w:after="0"/>
    </w:pPr>
    <w:rPr>
      <w:rFonts w:ascii="Tahoma" w:hAnsi="Tahoma" w:cs="Roman"/>
      <w:color w:val="auto"/>
      <w:sz w:val="16"/>
      <w:szCs w:val="16"/>
      <w:lang w:val="en-US" w:eastAsia="en-US"/>
    </w:rPr>
  </w:style>
  <w:style w:type="paragraph" w:customStyle="1" w:styleId="FarbigeListe-Akzent121">
    <w:name w:val="Farbige Liste - Akzent 121"/>
    <w:basedOn w:val="Normal"/>
    <w:qFormat/>
    <w:rsid w:val="00696CB5"/>
    <w:pPr>
      <w:autoSpaceDE w:val="0"/>
      <w:autoSpaceDN w:val="0"/>
      <w:spacing w:after="200" w:line="276" w:lineRule="auto"/>
      <w:ind w:left="720"/>
    </w:pPr>
    <w:rPr>
      <w:rFonts w:ascii="Cambria" w:hAnsi="Cambria"/>
      <w:color w:val="auto"/>
      <w:lang w:val="de-DE" w:eastAsia="fr-FR"/>
    </w:rPr>
  </w:style>
  <w:style w:type="table" w:styleId="LightList-Accent1">
    <w:name w:val="Light List Accent 1"/>
    <w:basedOn w:val="TableNormal"/>
    <w:uiPriority w:val="61"/>
    <w:rsid w:val="00696CB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2-Accent1">
    <w:name w:val="Medium Shading 2 Accent 1"/>
    <w:basedOn w:val="TableNormal"/>
    <w:uiPriority w:val="64"/>
    <w:rsid w:val="00696CB5"/>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rsid w:val="00696CB5"/>
    <w:rPr>
      <w:rFonts w:asciiTheme="minorHAnsi" w:eastAsiaTheme="minorHAnsi" w:hAnsiTheme="minorHAnsi" w:cstheme="minorBidi"/>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696CB5"/>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olorfulGrid-Accent5">
    <w:name w:val="Colorful Grid Accent 5"/>
    <w:basedOn w:val="TableNormal"/>
    <w:uiPriority w:val="73"/>
    <w:rsid w:val="00696CB5"/>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1">
    <w:name w:val="Medium Grid 1 Accent 1"/>
    <w:basedOn w:val="TableNormal"/>
    <w:uiPriority w:val="67"/>
    <w:rsid w:val="00696CB5"/>
    <w:rPr>
      <w:rFonts w:asciiTheme="minorHAnsi" w:eastAsiaTheme="minorHAnsi" w:hAnsiTheme="minorHAnsi" w:cstheme="minorBidi"/>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1">
    <w:name w:val="Colorful Grid Accent 1"/>
    <w:basedOn w:val="TableNormal"/>
    <w:uiPriority w:val="73"/>
    <w:rsid w:val="00696CB5"/>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Shading-Accent1">
    <w:name w:val="Colorful Shading Accent 1"/>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96CB5"/>
    <w:rPr>
      <w:rFonts w:asciiTheme="minorHAnsi" w:eastAsiaTheme="minorHAnsi" w:hAnsiTheme="minorHAnsi" w:cstheme="minorBidi"/>
      <w:color w:val="000000" w:themeColor="text1"/>
      <w:sz w:val="22"/>
      <w:szCs w:val="22"/>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customStyle="1" w:styleId="SubParaaChar1">
    <w:name w:val="SubPara (a) Char1"/>
    <w:aliases w:val="Heading 2 Char1 Char Char1,Heading 2 Char Char Char Char1,SubPara (a) Char Char Char Char1,Heading 2 Char3 Char Char Char Char1,Heading 2 Char Char2 Char Char Char Char1,Heading 2 Char1 Char Char1 Char Char Char Char1"/>
    <w:basedOn w:val="DefaultParagraphFont"/>
    <w:locked/>
    <w:rsid w:val="00696CB5"/>
    <w:rPr>
      <w:lang w:eastAsia="fr-FR"/>
    </w:rPr>
  </w:style>
  <w:style w:type="character" w:customStyle="1" w:styleId="UnresolvedMention4">
    <w:name w:val="Unresolved Mention4"/>
    <w:basedOn w:val="DefaultParagraphFont"/>
    <w:uiPriority w:val="99"/>
    <w:semiHidden/>
    <w:unhideWhenUsed/>
    <w:rsid w:val="00696CB5"/>
    <w:rPr>
      <w:color w:val="605E5C"/>
      <w:shd w:val="clear" w:color="auto" w:fill="E1DFDD"/>
    </w:rPr>
  </w:style>
  <w:style w:type="character" w:customStyle="1" w:styleId="UnresolvedMention5">
    <w:name w:val="Unresolved Mention5"/>
    <w:basedOn w:val="DefaultParagraphFont"/>
    <w:uiPriority w:val="99"/>
    <w:unhideWhenUsed/>
    <w:rsid w:val="00C86F2A"/>
    <w:rPr>
      <w:color w:val="808080"/>
      <w:shd w:val="clear" w:color="auto" w:fill="E6E6E6"/>
    </w:rPr>
  </w:style>
  <w:style w:type="character" w:customStyle="1" w:styleId="TitleChar2">
    <w:name w:val="Title Char2"/>
    <w:rsid w:val="00052224"/>
    <w:rPr>
      <w:rFonts w:ascii="Times New Roman" w:hAnsi="Times New Roman"/>
      <w:b/>
      <w:color w:val="000000"/>
      <w:sz w:val="32"/>
      <w:lang w:val="en-GB" w:eastAsia="zh-CN"/>
    </w:rPr>
  </w:style>
  <w:style w:type="character" w:customStyle="1" w:styleId="CommentTextChar2">
    <w:name w:val="Comment Text Char2"/>
    <w:basedOn w:val="DefaultParagraphFont"/>
    <w:link w:val="CommentText"/>
    <w:uiPriority w:val="99"/>
    <w:rsid w:val="00052224"/>
    <w:rPr>
      <w:rFonts w:ascii="Arial" w:hAnsi="Arial"/>
      <w:lang w:val="en-GB" w:eastAsia="zh-CN"/>
    </w:rPr>
  </w:style>
  <w:style w:type="character" w:customStyle="1" w:styleId="Heading3Char4">
    <w:name w:val="Heading 3 Char4"/>
    <w:aliases w:val="Heading 3 Char1 Char Char2,Heading 3 Char Char Char Char2,Char Char Char Char Char2,Char Char1 Char Char2,Sec Char1,Heading 3 Char Char Char3,Heading 3 Char2 Char2,Heading 3 Char Char1 Char,H3 Char1"/>
    <w:link w:val="Heading3"/>
    <w:rsid w:val="00B865BA"/>
    <w:rPr>
      <w:rFonts w:ascii="Times New Roman" w:eastAsiaTheme="minorEastAsia" w:hAnsi="Times New Roman" w:cstheme="majorBidi"/>
      <w:b/>
      <w:i/>
      <w:snapToGrid w:val="0"/>
      <w:sz w:val="22"/>
      <w:szCs w:val="22"/>
      <w:lang w:eastAsia="ja-JP"/>
    </w:rPr>
  </w:style>
  <w:style w:type="character" w:customStyle="1" w:styleId="Heading4Char2">
    <w:name w:val="Heading 4 Char2"/>
    <w:aliases w:val="MainPara Char1"/>
    <w:link w:val="Heading4"/>
    <w:rsid w:val="00052224"/>
    <w:rPr>
      <w:rFonts w:ascii="Times New Roman" w:eastAsiaTheme="minorEastAsia" w:hAnsi="Times New Roman"/>
      <w:b/>
      <w:snapToGrid w:val="0"/>
      <w:sz w:val="22"/>
      <w:szCs w:val="22"/>
      <w:lang w:eastAsia="ja-JP"/>
    </w:rPr>
  </w:style>
  <w:style w:type="character" w:customStyle="1" w:styleId="FootnoteTextChar2">
    <w:name w:val="Footnote Text Char2"/>
    <w:aliases w:val="Geneva 9 Char1,Font: Geneva 9 Char1,Boston 10 Char1,f Char1,Fußnotentextf Char2,-E Fußnotentext Char1,Fußnotentext Ursprung Char1,-E Fußnotentext1 Char1,-E Fußnotentext2 Char,-E Fußnotentext3 Char,Fußnotentext Char1 Char"/>
    <w:link w:val="FootnoteText"/>
    <w:uiPriority w:val="99"/>
    <w:locked/>
    <w:rsid w:val="00052224"/>
    <w:rPr>
      <w:rFonts w:ascii="Times New Roman" w:hAnsi="Times New Roman"/>
      <w:sz w:val="18"/>
      <w:szCs w:val="18"/>
      <w:lang w:val="en-GB" w:eastAsia="zh-CN"/>
    </w:rPr>
  </w:style>
  <w:style w:type="character" w:customStyle="1" w:styleId="Heading5Char1">
    <w:name w:val="Heading 5 Char1"/>
    <w:aliases w:val="Subpara 2 Char1"/>
    <w:basedOn w:val="DefaultParagraphFont"/>
    <w:link w:val="Heading5"/>
    <w:rsid w:val="00052224"/>
    <w:rPr>
      <w:rFonts w:ascii="Times New Roman" w:hAnsi="Times New Roman"/>
      <w:b/>
      <w:i/>
      <w:color w:val="000000"/>
      <w:lang w:val="en-GB" w:eastAsia="zh-CN"/>
    </w:rPr>
  </w:style>
  <w:style w:type="character" w:customStyle="1" w:styleId="Heading7Char1">
    <w:name w:val="Heading 7 Char1"/>
    <w:aliases w:val="Subpara 4 Char1"/>
    <w:basedOn w:val="DefaultParagraphFont"/>
    <w:link w:val="Heading7"/>
    <w:rsid w:val="00052224"/>
    <w:rPr>
      <w:rFonts w:ascii="Times New Roman" w:hAnsi="Times New Roman"/>
      <w:b/>
      <w:color w:val="000000"/>
      <w:sz w:val="22"/>
      <w:lang w:val="en-GB" w:eastAsia="zh-CN"/>
    </w:rPr>
  </w:style>
  <w:style w:type="character" w:customStyle="1" w:styleId="Heading8Char1">
    <w:name w:val="Heading 8 Char1"/>
    <w:aliases w:val="Subpara 5 Char1"/>
    <w:basedOn w:val="DefaultParagraphFont"/>
    <w:link w:val="Heading8"/>
    <w:rsid w:val="00052224"/>
    <w:rPr>
      <w:rFonts w:ascii="Times New Roman" w:hAnsi="Times New Roman"/>
      <w:b/>
      <w:color w:val="000000"/>
      <w:sz w:val="22"/>
      <w:lang w:val="en-GB" w:eastAsia="zh-CN"/>
    </w:rPr>
  </w:style>
  <w:style w:type="character" w:customStyle="1" w:styleId="Heading9Char1">
    <w:name w:val="Heading 9 Char1"/>
    <w:aliases w:val="Subpara 6 Char1"/>
    <w:basedOn w:val="DefaultParagraphFont"/>
    <w:link w:val="Heading9"/>
    <w:rsid w:val="00052224"/>
    <w:rPr>
      <w:rFonts w:ascii="Times New Roman" w:hAnsi="Times New Roman"/>
      <w:b/>
      <w:color w:val="000000"/>
      <w:sz w:val="28"/>
      <w:lang w:val="en-GB" w:eastAsia="zh-CN"/>
    </w:rPr>
  </w:style>
  <w:style w:type="character" w:customStyle="1" w:styleId="BodyText3Char1">
    <w:name w:val="Body Text 3 Char1"/>
    <w:basedOn w:val="DefaultParagraphFont"/>
    <w:link w:val="BodyText3"/>
    <w:rsid w:val="00052224"/>
    <w:rPr>
      <w:rFonts w:ascii="Times New Roman" w:hAnsi="Times New Roman"/>
      <w:sz w:val="36"/>
      <w:lang w:val="en-GB" w:eastAsia="zh-CN"/>
    </w:rPr>
  </w:style>
  <w:style w:type="character" w:customStyle="1" w:styleId="BodyTextIndent2Char1">
    <w:name w:val="Body Text Indent 2 Char1"/>
    <w:basedOn w:val="DefaultParagraphFont"/>
    <w:link w:val="BodyTextIndent2"/>
    <w:rsid w:val="00052224"/>
    <w:rPr>
      <w:rFonts w:ascii="Times New Roman" w:hAnsi="Times New Roman"/>
      <w:snapToGrid w:val="0"/>
      <w:sz w:val="22"/>
      <w:lang w:val="en-GB" w:eastAsia="zh-CN"/>
    </w:rPr>
  </w:style>
  <w:style w:type="character" w:customStyle="1" w:styleId="BodyTextIndent3Char1">
    <w:name w:val="Body Text Indent 3 Char1"/>
    <w:basedOn w:val="DefaultParagraphFont"/>
    <w:link w:val="BodyTextIndent3"/>
    <w:rsid w:val="00052224"/>
    <w:rPr>
      <w:rFonts w:ascii="Times New Roman" w:hAnsi="Times New Roman"/>
      <w:snapToGrid w:val="0"/>
      <w:color w:val="FF0000"/>
      <w:sz w:val="22"/>
      <w:lang w:val="en-GB" w:eastAsia="zh-CN"/>
    </w:rPr>
  </w:style>
  <w:style w:type="character" w:customStyle="1" w:styleId="BodyTextIndentChar2">
    <w:name w:val="Body Text Indent Char2"/>
    <w:basedOn w:val="DefaultParagraphFont"/>
    <w:link w:val="BodyTextIndent"/>
    <w:rsid w:val="00052224"/>
    <w:rPr>
      <w:rFonts w:ascii="Times New Roman" w:hAnsi="Times New Roman"/>
      <w:color w:val="000000"/>
      <w:sz w:val="22"/>
      <w:lang w:val="en-GB" w:eastAsia="zh-CN"/>
    </w:rPr>
  </w:style>
  <w:style w:type="character" w:customStyle="1" w:styleId="DocumentMapChar1">
    <w:name w:val="Document Map Char1"/>
    <w:basedOn w:val="DefaultParagraphFont"/>
    <w:link w:val="DocumentMap"/>
    <w:semiHidden/>
    <w:rsid w:val="00052224"/>
    <w:rPr>
      <w:rFonts w:ascii="Tahoma" w:hAnsi="Tahoma"/>
      <w:color w:val="000000"/>
      <w:sz w:val="22"/>
      <w:shd w:val="clear" w:color="auto" w:fill="000080"/>
      <w:lang w:val="en-GB" w:eastAsia="zh-CN"/>
    </w:rPr>
  </w:style>
  <w:style w:type="character" w:customStyle="1" w:styleId="EndnoteTextChar1">
    <w:name w:val="Endnote Text Char1"/>
    <w:basedOn w:val="DefaultParagraphFont"/>
    <w:link w:val="EndnoteText"/>
    <w:semiHidden/>
    <w:rsid w:val="00052224"/>
    <w:rPr>
      <w:rFonts w:ascii="Times New Roman" w:hAnsi="Times New Roman"/>
      <w:i/>
      <w:noProof/>
      <w:sz w:val="18"/>
      <w:lang w:val="en-GB" w:eastAsia="zh-CN"/>
    </w:rPr>
  </w:style>
  <w:style w:type="character" w:customStyle="1" w:styleId="BodyTextFirstIndent2Char1">
    <w:name w:val="Body Text First Indent 2 Char1"/>
    <w:basedOn w:val="BodyTextIndentChar2"/>
    <w:link w:val="BodyTextFirstIndent2"/>
    <w:semiHidden/>
    <w:rsid w:val="00052224"/>
    <w:rPr>
      <w:rFonts w:ascii="Times New Roman" w:hAnsi="Times New Roman"/>
      <w:i/>
      <w:color w:val="000000"/>
      <w:sz w:val="24"/>
      <w:lang w:val="en-GB" w:eastAsia="zh-CN"/>
    </w:rPr>
  </w:style>
  <w:style w:type="character" w:customStyle="1" w:styleId="HTMLPreformattedChar1">
    <w:name w:val="HTML Preformatted Char1"/>
    <w:basedOn w:val="DefaultParagraphFont"/>
    <w:link w:val="HTMLPreformatted"/>
    <w:rsid w:val="00052224"/>
    <w:rPr>
      <w:rFonts w:ascii="Courier New" w:hAnsi="Courier New"/>
      <w:i/>
      <w:lang w:val="en-GB" w:eastAsia="zh-CN"/>
    </w:rPr>
  </w:style>
  <w:style w:type="character" w:customStyle="1" w:styleId="PlainTextChar1">
    <w:name w:val="Plain Text Char1"/>
    <w:aliases w:val=" Char Char1,Char Char6"/>
    <w:basedOn w:val="DefaultParagraphFont"/>
    <w:link w:val="PlainText"/>
    <w:rsid w:val="00052224"/>
    <w:rPr>
      <w:rFonts w:ascii="Courier" w:eastAsia="Times" w:hAnsi="Courier"/>
      <w:sz w:val="22"/>
      <w:lang w:val="en-GB" w:eastAsia="zh-CN"/>
    </w:rPr>
  </w:style>
  <w:style w:type="character" w:customStyle="1" w:styleId="SubtitleChar1">
    <w:name w:val="Subtitle Char1"/>
    <w:basedOn w:val="DefaultParagraphFont"/>
    <w:link w:val="Subtitle0"/>
    <w:rsid w:val="00052224"/>
    <w:rPr>
      <w:rFonts w:ascii="Times New Roman" w:eastAsia="MS Mincho" w:hAnsi="Times New Roman"/>
      <w:b/>
      <w:sz w:val="22"/>
      <w:lang w:eastAsia="zh-CN"/>
    </w:rPr>
  </w:style>
  <w:style w:type="character" w:customStyle="1" w:styleId="bumpedfont15">
    <w:name w:val="bumpedfont15"/>
    <w:basedOn w:val="DefaultParagraphFont"/>
    <w:rsid w:val="0060235A"/>
  </w:style>
  <w:style w:type="paragraph" w:customStyle="1" w:styleId="xxxmsonormal">
    <w:name w:val="x_x_xmsonormal"/>
    <w:basedOn w:val="Normal"/>
    <w:rsid w:val="0060235A"/>
    <w:pPr>
      <w:spacing w:after="0"/>
    </w:pPr>
    <w:rPr>
      <w:rFonts w:ascii="Calibri" w:eastAsiaTheme="minorEastAsia" w:hAnsi="Calibri" w:cs="Calibri"/>
      <w:color w:val="auto"/>
      <w:szCs w:val="22"/>
      <w:lang w:val="en-US" w:eastAsia="en-US"/>
    </w:rPr>
  </w:style>
  <w:style w:type="paragraph" w:customStyle="1" w:styleId="xxxmsolistparagraph">
    <w:name w:val="x_x_xmsolistparagraph"/>
    <w:basedOn w:val="Normal"/>
    <w:rsid w:val="0060235A"/>
    <w:pPr>
      <w:spacing w:after="0"/>
    </w:pPr>
    <w:rPr>
      <w:rFonts w:ascii="Calibri" w:eastAsiaTheme="minorEastAsia" w:hAnsi="Calibri" w:cs="Calibri"/>
      <w:color w:val="auto"/>
      <w:szCs w:val="22"/>
      <w:lang w:val="en-US" w:eastAsia="en-US"/>
    </w:rPr>
  </w:style>
  <w:style w:type="paragraph" w:customStyle="1" w:styleId="xmsonormal">
    <w:name w:val="x_msonormal"/>
    <w:basedOn w:val="Normal"/>
    <w:rsid w:val="0060235A"/>
    <w:pPr>
      <w:spacing w:before="100" w:beforeAutospacing="1" w:after="100" w:afterAutospacing="1"/>
    </w:pPr>
    <w:rPr>
      <w:color w:val="auto"/>
      <w:sz w:val="24"/>
      <w:szCs w:val="24"/>
      <w:lang w:val="en-US" w:eastAsia="en-US"/>
    </w:rPr>
  </w:style>
  <w:style w:type="paragraph" w:customStyle="1" w:styleId="BodyChar">
    <w:name w:val="Body Char"/>
    <w:link w:val="BodyCharChar"/>
    <w:rsid w:val="007F7C84"/>
    <w:pPr>
      <w:tabs>
        <w:tab w:val="left" w:pos="567"/>
      </w:tabs>
      <w:jc w:val="both"/>
    </w:pPr>
    <w:rPr>
      <w:color w:val="000000"/>
      <w:sz w:val="22"/>
      <w:szCs w:val="22"/>
      <w:lang w:val="ru-RU"/>
    </w:rPr>
  </w:style>
  <w:style w:type="character" w:customStyle="1" w:styleId="BodyCharChar">
    <w:name w:val="Body Char Char"/>
    <w:link w:val="BodyChar"/>
    <w:rsid w:val="007F7C84"/>
    <w:rPr>
      <w:color w:val="000000"/>
      <w:sz w:val="22"/>
      <w:szCs w:val="22"/>
      <w:lang w:val="ru-RU"/>
    </w:rPr>
  </w:style>
  <w:style w:type="paragraph" w:customStyle="1" w:styleId="Style16">
    <w:name w:val="Style16"/>
    <w:basedOn w:val="Heading2"/>
    <w:qFormat/>
    <w:rsid w:val="007F7C84"/>
    <w:pPr>
      <w:numPr>
        <w:numId w:val="53"/>
      </w:numPr>
    </w:pPr>
  </w:style>
  <w:style w:type="paragraph" w:customStyle="1" w:styleId="Style17">
    <w:name w:val="Style17"/>
    <w:basedOn w:val="Heading2"/>
    <w:autoRedefine/>
    <w:qFormat/>
    <w:rsid w:val="004C7778"/>
    <w:pPr>
      <w:ind w:left="1440"/>
    </w:pPr>
    <w:rPr>
      <w:szCs w:val="24"/>
    </w:rPr>
  </w:style>
  <w:style w:type="paragraph" w:customStyle="1" w:styleId="Style18">
    <w:name w:val="Style18"/>
    <w:basedOn w:val="Heading2"/>
    <w:autoRedefine/>
    <w:qFormat/>
    <w:rsid w:val="004C7778"/>
    <w:pPr>
      <w:ind w:left="1440"/>
    </w:pPr>
    <w:rPr>
      <w:szCs w:val="24"/>
    </w:rPr>
  </w:style>
  <w:style w:type="character" w:customStyle="1" w:styleId="UnresolvedMention6">
    <w:name w:val="Unresolved Mention6"/>
    <w:basedOn w:val="DefaultParagraphFont"/>
    <w:uiPriority w:val="99"/>
    <w:unhideWhenUsed/>
    <w:rsid w:val="00D34257"/>
    <w:rPr>
      <w:color w:val="605E5C"/>
      <w:shd w:val="clear" w:color="auto" w:fill="E1DFDD"/>
    </w:rPr>
  </w:style>
  <w:style w:type="character" w:customStyle="1" w:styleId="apple-tab-span">
    <w:name w:val="apple-tab-span"/>
    <w:basedOn w:val="DefaultParagraphFont"/>
    <w:rsid w:val="00CA0424"/>
  </w:style>
  <w:style w:type="paragraph" w:customStyle="1" w:styleId="style150">
    <w:name w:val="style15"/>
    <w:basedOn w:val="Normal"/>
    <w:rsid w:val="00556019"/>
    <w:pPr>
      <w:spacing w:before="100" w:beforeAutospacing="1" w:after="100" w:afterAutospacing="1"/>
    </w:pPr>
    <w:rPr>
      <w:rFonts w:ascii="Calibri" w:eastAsiaTheme="minorHAnsi" w:hAnsi="Calibri" w:cs="Calibri"/>
      <w:color w:val="auto"/>
      <w:szCs w:val="22"/>
      <w:lang w:val="en-US" w:eastAsia="en-US"/>
    </w:rPr>
  </w:style>
  <w:style w:type="character" w:customStyle="1" w:styleId="heading2char0">
    <w:name w:val="heading2char"/>
    <w:basedOn w:val="DefaultParagraphFont"/>
    <w:rsid w:val="00ED48BB"/>
  </w:style>
  <w:style w:type="character" w:styleId="UnresolvedMention">
    <w:name w:val="Unresolved Mention"/>
    <w:basedOn w:val="DefaultParagraphFont"/>
    <w:uiPriority w:val="99"/>
    <w:rsid w:val="00DC6357"/>
    <w:rPr>
      <w:color w:val="605E5C"/>
      <w:shd w:val="clear" w:color="auto" w:fill="E1DFDD"/>
    </w:rPr>
  </w:style>
  <w:style w:type="paragraph" w:customStyle="1" w:styleId="ydpd91b4acfmsonormal">
    <w:name w:val="ydpd91b4acfmsonormal"/>
    <w:basedOn w:val="Normal"/>
    <w:rsid w:val="00CA699F"/>
    <w:pPr>
      <w:spacing w:before="100" w:beforeAutospacing="1" w:after="100" w:afterAutospacing="1"/>
    </w:pPr>
    <w:rPr>
      <w:color w:val="auto"/>
      <w:sz w:val="24"/>
      <w:szCs w:val="24"/>
      <w:lang w:val="en-US" w:eastAsia="en-US"/>
    </w:rPr>
  </w:style>
  <w:style w:type="character" w:customStyle="1" w:styleId="cf01">
    <w:name w:val="cf01"/>
    <w:basedOn w:val="DefaultParagraphFont"/>
    <w:rsid w:val="005704A7"/>
    <w:rPr>
      <w:rFonts w:ascii="Segoe UI" w:hAnsi="Segoe UI" w:cs="Segoe UI" w:hint="default"/>
      <w:sz w:val="18"/>
      <w:szCs w:val="18"/>
    </w:rPr>
  </w:style>
  <w:style w:type="character" w:customStyle="1" w:styleId="cf11">
    <w:name w:val="cf11"/>
    <w:basedOn w:val="DefaultParagraphFont"/>
    <w:rsid w:val="005704A7"/>
    <w:rPr>
      <w:rFonts w:ascii="Segoe UI" w:hAnsi="Segoe UI" w:cs="Segoe UI" w:hint="default"/>
      <w:b/>
      <w:bCs/>
      <w:sz w:val="18"/>
      <w:szCs w:val="18"/>
    </w:rPr>
  </w:style>
  <w:style w:type="paragraph" w:customStyle="1" w:styleId="footnotedescription">
    <w:name w:val="footnote description"/>
    <w:next w:val="Normal"/>
    <w:link w:val="footnotedescriptionChar"/>
    <w:hidden/>
    <w:rsid w:val="002800E0"/>
    <w:pPr>
      <w:spacing w:line="259" w:lineRule="auto"/>
      <w:jc w:val="right"/>
    </w:pPr>
    <w:rPr>
      <w:rFonts w:ascii="Calibri" w:eastAsia="Calibri" w:hAnsi="Calibri" w:cs="Calibri"/>
      <w:color w:val="181717"/>
      <w:sz w:val="17"/>
      <w:szCs w:val="22"/>
      <w:lang w:val="en-NZ" w:eastAsia="en-NZ"/>
    </w:rPr>
  </w:style>
  <w:style w:type="character" w:customStyle="1" w:styleId="footnotedescriptionChar">
    <w:name w:val="footnote description Char"/>
    <w:link w:val="footnotedescription"/>
    <w:rsid w:val="002800E0"/>
    <w:rPr>
      <w:rFonts w:ascii="Calibri" w:eastAsia="Calibri" w:hAnsi="Calibri" w:cs="Calibri"/>
      <w:color w:val="181717"/>
      <w:sz w:val="17"/>
      <w:szCs w:val="22"/>
      <w:lang w:val="en-NZ" w:eastAsia="en-NZ"/>
    </w:rPr>
  </w:style>
  <w:style w:type="paragraph" w:styleId="z-TopofForm">
    <w:name w:val="HTML Top of Form"/>
    <w:basedOn w:val="Normal"/>
    <w:next w:val="Normal"/>
    <w:link w:val="z-TopofFormChar"/>
    <w:hidden/>
    <w:uiPriority w:val="99"/>
    <w:semiHidden/>
    <w:unhideWhenUsed/>
    <w:rsid w:val="00944FC9"/>
    <w:pPr>
      <w:pBdr>
        <w:bottom w:val="single" w:sz="6" w:space="1" w:color="auto"/>
      </w:pBdr>
      <w:spacing w:after="0"/>
      <w:jc w:val="center"/>
    </w:pPr>
    <w:rPr>
      <w:rFonts w:ascii="Arial" w:hAnsi="Arial" w:cs="Arial"/>
      <w:vanish/>
      <w:color w:val="auto"/>
      <w:sz w:val="16"/>
      <w:szCs w:val="16"/>
      <w:lang w:val="en-US" w:eastAsia="en-US"/>
    </w:rPr>
  </w:style>
  <w:style w:type="character" w:customStyle="1" w:styleId="z-TopofFormChar">
    <w:name w:val="z-Top of Form Char"/>
    <w:basedOn w:val="DefaultParagraphFont"/>
    <w:link w:val="z-TopofForm"/>
    <w:uiPriority w:val="99"/>
    <w:semiHidden/>
    <w:rsid w:val="00944FC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944FC9"/>
    <w:pPr>
      <w:pBdr>
        <w:top w:val="single" w:sz="6" w:space="1" w:color="auto"/>
      </w:pBdr>
      <w:spacing w:after="0"/>
      <w:jc w:val="center"/>
    </w:pPr>
    <w:rPr>
      <w:rFonts w:ascii="Arial" w:hAnsi="Arial" w:cs="Arial"/>
      <w:vanish/>
      <w:color w:val="auto"/>
      <w:sz w:val="16"/>
      <w:szCs w:val="16"/>
      <w:lang w:val="en-US" w:eastAsia="en-US"/>
    </w:rPr>
  </w:style>
  <w:style w:type="character" w:customStyle="1" w:styleId="z-BottomofFormChar">
    <w:name w:val="z-Bottom of Form Char"/>
    <w:basedOn w:val="DefaultParagraphFont"/>
    <w:link w:val="z-BottomofForm"/>
    <w:uiPriority w:val="99"/>
    <w:semiHidden/>
    <w:rsid w:val="00944FC9"/>
    <w:rPr>
      <w:rFonts w:ascii="Arial" w:hAnsi="Arial" w:cs="Arial"/>
      <w:vanish/>
      <w:sz w:val="16"/>
      <w:szCs w:val="16"/>
    </w:rPr>
  </w:style>
  <w:style w:type="character" w:customStyle="1" w:styleId="citation-doi">
    <w:name w:val="citation-doi"/>
    <w:basedOn w:val="DefaultParagraphFont"/>
    <w:rsid w:val="00944FC9"/>
  </w:style>
  <w:style w:type="paragraph" w:customStyle="1" w:styleId="FigureandTableTitle">
    <w:name w:val="Figure and Table Title"/>
    <w:basedOn w:val="Normal"/>
    <w:qFormat/>
    <w:rsid w:val="004E0D73"/>
    <w:pPr>
      <w:keepNext/>
      <w:tabs>
        <w:tab w:val="left" w:pos="1276"/>
      </w:tabs>
      <w:ind w:left="1276" w:hanging="1276"/>
    </w:pPr>
    <w:rPr>
      <w:rFonts w:eastAsia="SimSun"/>
      <w:b/>
      <w:bCs/>
      <w:lang w:val="en-AU"/>
    </w:rPr>
  </w:style>
  <w:style w:type="character" w:customStyle="1" w:styleId="ydp53ae054byiv1330592886ydpf6dbab34yiv2153615285">
    <w:name w:val="ydp53ae054byiv1330592886ydpf6dbab34yiv2153615285"/>
    <w:basedOn w:val="DefaultParagraphFont"/>
    <w:rsid w:val="00794ABE"/>
  </w:style>
  <w:style w:type="character" w:customStyle="1" w:styleId="ydp53ae054byiv1330592886ydpc2196accyiv2153615285">
    <w:name w:val="ydp53ae054byiv1330592886ydpc2196accyiv2153615285"/>
    <w:basedOn w:val="DefaultParagraphFont"/>
    <w:rsid w:val="00794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8283">
      <w:bodyDiv w:val="1"/>
      <w:marLeft w:val="0"/>
      <w:marRight w:val="0"/>
      <w:marTop w:val="0"/>
      <w:marBottom w:val="0"/>
      <w:divBdr>
        <w:top w:val="none" w:sz="0" w:space="0" w:color="auto"/>
        <w:left w:val="none" w:sz="0" w:space="0" w:color="auto"/>
        <w:bottom w:val="none" w:sz="0" w:space="0" w:color="auto"/>
        <w:right w:val="none" w:sz="0" w:space="0" w:color="auto"/>
      </w:divBdr>
    </w:div>
    <w:div w:id="103547826">
      <w:bodyDiv w:val="1"/>
      <w:marLeft w:val="0"/>
      <w:marRight w:val="0"/>
      <w:marTop w:val="0"/>
      <w:marBottom w:val="0"/>
      <w:divBdr>
        <w:top w:val="none" w:sz="0" w:space="0" w:color="auto"/>
        <w:left w:val="none" w:sz="0" w:space="0" w:color="auto"/>
        <w:bottom w:val="none" w:sz="0" w:space="0" w:color="auto"/>
        <w:right w:val="none" w:sz="0" w:space="0" w:color="auto"/>
      </w:divBdr>
      <w:divsChild>
        <w:div w:id="341319702">
          <w:marLeft w:val="0"/>
          <w:marRight w:val="0"/>
          <w:marTop w:val="0"/>
          <w:marBottom w:val="0"/>
          <w:divBdr>
            <w:top w:val="none" w:sz="0" w:space="0" w:color="auto"/>
            <w:left w:val="none" w:sz="0" w:space="0" w:color="auto"/>
            <w:bottom w:val="none" w:sz="0" w:space="0" w:color="auto"/>
            <w:right w:val="none" w:sz="0" w:space="0" w:color="auto"/>
          </w:divBdr>
        </w:div>
      </w:divsChild>
    </w:div>
    <w:div w:id="176313520">
      <w:bodyDiv w:val="1"/>
      <w:marLeft w:val="0"/>
      <w:marRight w:val="0"/>
      <w:marTop w:val="0"/>
      <w:marBottom w:val="0"/>
      <w:divBdr>
        <w:top w:val="none" w:sz="0" w:space="0" w:color="auto"/>
        <w:left w:val="none" w:sz="0" w:space="0" w:color="auto"/>
        <w:bottom w:val="none" w:sz="0" w:space="0" w:color="auto"/>
        <w:right w:val="none" w:sz="0" w:space="0" w:color="auto"/>
      </w:divBdr>
    </w:div>
    <w:div w:id="230121746">
      <w:bodyDiv w:val="1"/>
      <w:marLeft w:val="0"/>
      <w:marRight w:val="0"/>
      <w:marTop w:val="0"/>
      <w:marBottom w:val="0"/>
      <w:divBdr>
        <w:top w:val="none" w:sz="0" w:space="0" w:color="auto"/>
        <w:left w:val="none" w:sz="0" w:space="0" w:color="auto"/>
        <w:bottom w:val="none" w:sz="0" w:space="0" w:color="auto"/>
        <w:right w:val="none" w:sz="0" w:space="0" w:color="auto"/>
      </w:divBdr>
      <w:divsChild>
        <w:div w:id="604194367">
          <w:marLeft w:val="0"/>
          <w:marRight w:val="0"/>
          <w:marTop w:val="0"/>
          <w:marBottom w:val="0"/>
          <w:divBdr>
            <w:top w:val="none" w:sz="0" w:space="0" w:color="auto"/>
            <w:left w:val="none" w:sz="0" w:space="0" w:color="auto"/>
            <w:bottom w:val="none" w:sz="0" w:space="0" w:color="auto"/>
            <w:right w:val="none" w:sz="0" w:space="0" w:color="auto"/>
          </w:divBdr>
          <w:divsChild>
            <w:div w:id="172842655">
              <w:marLeft w:val="0"/>
              <w:marRight w:val="0"/>
              <w:marTop w:val="0"/>
              <w:marBottom w:val="0"/>
              <w:divBdr>
                <w:top w:val="none" w:sz="0" w:space="0" w:color="auto"/>
                <w:left w:val="none" w:sz="0" w:space="0" w:color="auto"/>
                <w:bottom w:val="none" w:sz="0" w:space="0" w:color="auto"/>
                <w:right w:val="none" w:sz="0" w:space="0" w:color="auto"/>
              </w:divBdr>
              <w:divsChild>
                <w:div w:id="821822324">
                  <w:marLeft w:val="0"/>
                  <w:marRight w:val="0"/>
                  <w:marTop w:val="0"/>
                  <w:marBottom w:val="0"/>
                  <w:divBdr>
                    <w:top w:val="none" w:sz="0" w:space="0" w:color="auto"/>
                    <w:left w:val="none" w:sz="0" w:space="0" w:color="auto"/>
                    <w:bottom w:val="none" w:sz="0" w:space="0" w:color="auto"/>
                    <w:right w:val="none" w:sz="0" w:space="0" w:color="auto"/>
                  </w:divBdr>
                  <w:divsChild>
                    <w:div w:id="902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664593">
      <w:bodyDiv w:val="1"/>
      <w:marLeft w:val="0"/>
      <w:marRight w:val="0"/>
      <w:marTop w:val="0"/>
      <w:marBottom w:val="0"/>
      <w:divBdr>
        <w:top w:val="none" w:sz="0" w:space="0" w:color="auto"/>
        <w:left w:val="none" w:sz="0" w:space="0" w:color="auto"/>
        <w:bottom w:val="none" w:sz="0" w:space="0" w:color="auto"/>
        <w:right w:val="none" w:sz="0" w:space="0" w:color="auto"/>
      </w:divBdr>
    </w:div>
    <w:div w:id="300351858">
      <w:bodyDiv w:val="1"/>
      <w:marLeft w:val="0"/>
      <w:marRight w:val="0"/>
      <w:marTop w:val="0"/>
      <w:marBottom w:val="0"/>
      <w:divBdr>
        <w:top w:val="none" w:sz="0" w:space="0" w:color="auto"/>
        <w:left w:val="none" w:sz="0" w:space="0" w:color="auto"/>
        <w:bottom w:val="none" w:sz="0" w:space="0" w:color="auto"/>
        <w:right w:val="none" w:sz="0" w:space="0" w:color="auto"/>
      </w:divBdr>
    </w:div>
    <w:div w:id="327830110">
      <w:bodyDiv w:val="1"/>
      <w:marLeft w:val="0"/>
      <w:marRight w:val="0"/>
      <w:marTop w:val="0"/>
      <w:marBottom w:val="0"/>
      <w:divBdr>
        <w:top w:val="none" w:sz="0" w:space="0" w:color="auto"/>
        <w:left w:val="none" w:sz="0" w:space="0" w:color="auto"/>
        <w:bottom w:val="none" w:sz="0" w:space="0" w:color="auto"/>
        <w:right w:val="none" w:sz="0" w:space="0" w:color="auto"/>
      </w:divBdr>
    </w:div>
    <w:div w:id="362364592">
      <w:bodyDiv w:val="1"/>
      <w:marLeft w:val="0"/>
      <w:marRight w:val="0"/>
      <w:marTop w:val="0"/>
      <w:marBottom w:val="0"/>
      <w:divBdr>
        <w:top w:val="none" w:sz="0" w:space="0" w:color="auto"/>
        <w:left w:val="none" w:sz="0" w:space="0" w:color="auto"/>
        <w:bottom w:val="none" w:sz="0" w:space="0" w:color="auto"/>
        <w:right w:val="none" w:sz="0" w:space="0" w:color="auto"/>
      </w:divBdr>
    </w:div>
    <w:div w:id="394855924">
      <w:bodyDiv w:val="1"/>
      <w:marLeft w:val="0"/>
      <w:marRight w:val="0"/>
      <w:marTop w:val="0"/>
      <w:marBottom w:val="0"/>
      <w:divBdr>
        <w:top w:val="none" w:sz="0" w:space="0" w:color="auto"/>
        <w:left w:val="none" w:sz="0" w:space="0" w:color="auto"/>
        <w:bottom w:val="none" w:sz="0" w:space="0" w:color="auto"/>
        <w:right w:val="none" w:sz="0" w:space="0" w:color="auto"/>
      </w:divBdr>
    </w:div>
    <w:div w:id="426999301">
      <w:bodyDiv w:val="1"/>
      <w:marLeft w:val="0"/>
      <w:marRight w:val="0"/>
      <w:marTop w:val="0"/>
      <w:marBottom w:val="0"/>
      <w:divBdr>
        <w:top w:val="none" w:sz="0" w:space="0" w:color="auto"/>
        <w:left w:val="none" w:sz="0" w:space="0" w:color="auto"/>
        <w:bottom w:val="none" w:sz="0" w:space="0" w:color="auto"/>
        <w:right w:val="none" w:sz="0" w:space="0" w:color="auto"/>
      </w:divBdr>
    </w:div>
    <w:div w:id="438767191">
      <w:bodyDiv w:val="1"/>
      <w:marLeft w:val="0"/>
      <w:marRight w:val="0"/>
      <w:marTop w:val="0"/>
      <w:marBottom w:val="0"/>
      <w:divBdr>
        <w:top w:val="none" w:sz="0" w:space="0" w:color="auto"/>
        <w:left w:val="none" w:sz="0" w:space="0" w:color="auto"/>
        <w:bottom w:val="none" w:sz="0" w:space="0" w:color="auto"/>
        <w:right w:val="none" w:sz="0" w:space="0" w:color="auto"/>
      </w:divBdr>
      <w:divsChild>
        <w:div w:id="1586109604">
          <w:marLeft w:val="0"/>
          <w:marRight w:val="0"/>
          <w:marTop w:val="0"/>
          <w:marBottom w:val="0"/>
          <w:divBdr>
            <w:top w:val="none" w:sz="0" w:space="0" w:color="auto"/>
            <w:left w:val="none" w:sz="0" w:space="0" w:color="auto"/>
            <w:bottom w:val="none" w:sz="0" w:space="0" w:color="auto"/>
            <w:right w:val="none" w:sz="0" w:space="0" w:color="auto"/>
          </w:divBdr>
        </w:div>
        <w:div w:id="1492062270">
          <w:marLeft w:val="0"/>
          <w:marRight w:val="0"/>
          <w:marTop w:val="0"/>
          <w:marBottom w:val="0"/>
          <w:divBdr>
            <w:top w:val="none" w:sz="0" w:space="0" w:color="auto"/>
            <w:left w:val="none" w:sz="0" w:space="0" w:color="auto"/>
            <w:bottom w:val="none" w:sz="0" w:space="0" w:color="auto"/>
            <w:right w:val="none" w:sz="0" w:space="0" w:color="auto"/>
          </w:divBdr>
        </w:div>
        <w:div w:id="704911653">
          <w:marLeft w:val="0"/>
          <w:marRight w:val="0"/>
          <w:marTop w:val="0"/>
          <w:marBottom w:val="0"/>
          <w:divBdr>
            <w:top w:val="none" w:sz="0" w:space="0" w:color="auto"/>
            <w:left w:val="none" w:sz="0" w:space="0" w:color="auto"/>
            <w:bottom w:val="none" w:sz="0" w:space="0" w:color="auto"/>
            <w:right w:val="none" w:sz="0" w:space="0" w:color="auto"/>
          </w:divBdr>
        </w:div>
        <w:div w:id="1013842544">
          <w:marLeft w:val="0"/>
          <w:marRight w:val="0"/>
          <w:marTop w:val="0"/>
          <w:marBottom w:val="0"/>
          <w:divBdr>
            <w:top w:val="none" w:sz="0" w:space="0" w:color="auto"/>
            <w:left w:val="none" w:sz="0" w:space="0" w:color="auto"/>
            <w:bottom w:val="none" w:sz="0" w:space="0" w:color="auto"/>
            <w:right w:val="none" w:sz="0" w:space="0" w:color="auto"/>
          </w:divBdr>
        </w:div>
        <w:div w:id="151458915">
          <w:marLeft w:val="0"/>
          <w:marRight w:val="0"/>
          <w:marTop w:val="0"/>
          <w:marBottom w:val="0"/>
          <w:divBdr>
            <w:top w:val="none" w:sz="0" w:space="0" w:color="auto"/>
            <w:left w:val="none" w:sz="0" w:space="0" w:color="auto"/>
            <w:bottom w:val="none" w:sz="0" w:space="0" w:color="auto"/>
            <w:right w:val="none" w:sz="0" w:space="0" w:color="auto"/>
          </w:divBdr>
        </w:div>
      </w:divsChild>
    </w:div>
    <w:div w:id="464079812">
      <w:bodyDiv w:val="1"/>
      <w:marLeft w:val="0"/>
      <w:marRight w:val="0"/>
      <w:marTop w:val="0"/>
      <w:marBottom w:val="0"/>
      <w:divBdr>
        <w:top w:val="none" w:sz="0" w:space="0" w:color="auto"/>
        <w:left w:val="none" w:sz="0" w:space="0" w:color="auto"/>
        <w:bottom w:val="none" w:sz="0" w:space="0" w:color="auto"/>
        <w:right w:val="none" w:sz="0" w:space="0" w:color="auto"/>
      </w:divBdr>
    </w:div>
    <w:div w:id="464154842">
      <w:bodyDiv w:val="1"/>
      <w:marLeft w:val="0"/>
      <w:marRight w:val="0"/>
      <w:marTop w:val="0"/>
      <w:marBottom w:val="0"/>
      <w:divBdr>
        <w:top w:val="none" w:sz="0" w:space="0" w:color="auto"/>
        <w:left w:val="none" w:sz="0" w:space="0" w:color="auto"/>
        <w:bottom w:val="none" w:sz="0" w:space="0" w:color="auto"/>
        <w:right w:val="none" w:sz="0" w:space="0" w:color="auto"/>
      </w:divBdr>
      <w:divsChild>
        <w:div w:id="1965773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950027">
              <w:marLeft w:val="0"/>
              <w:marRight w:val="0"/>
              <w:marTop w:val="0"/>
              <w:marBottom w:val="0"/>
              <w:divBdr>
                <w:top w:val="none" w:sz="0" w:space="0" w:color="auto"/>
                <w:left w:val="none" w:sz="0" w:space="0" w:color="auto"/>
                <w:bottom w:val="none" w:sz="0" w:space="0" w:color="auto"/>
                <w:right w:val="none" w:sz="0" w:space="0" w:color="auto"/>
              </w:divBdr>
              <w:divsChild>
                <w:div w:id="5175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052688">
      <w:bodyDiv w:val="1"/>
      <w:marLeft w:val="0"/>
      <w:marRight w:val="0"/>
      <w:marTop w:val="0"/>
      <w:marBottom w:val="0"/>
      <w:divBdr>
        <w:top w:val="none" w:sz="0" w:space="0" w:color="auto"/>
        <w:left w:val="none" w:sz="0" w:space="0" w:color="auto"/>
        <w:bottom w:val="none" w:sz="0" w:space="0" w:color="auto"/>
        <w:right w:val="none" w:sz="0" w:space="0" w:color="auto"/>
      </w:divBdr>
    </w:div>
    <w:div w:id="637687794">
      <w:bodyDiv w:val="1"/>
      <w:marLeft w:val="0"/>
      <w:marRight w:val="0"/>
      <w:marTop w:val="0"/>
      <w:marBottom w:val="0"/>
      <w:divBdr>
        <w:top w:val="none" w:sz="0" w:space="0" w:color="auto"/>
        <w:left w:val="none" w:sz="0" w:space="0" w:color="auto"/>
        <w:bottom w:val="none" w:sz="0" w:space="0" w:color="auto"/>
        <w:right w:val="none" w:sz="0" w:space="0" w:color="auto"/>
      </w:divBdr>
    </w:div>
    <w:div w:id="721447126">
      <w:bodyDiv w:val="1"/>
      <w:marLeft w:val="0"/>
      <w:marRight w:val="0"/>
      <w:marTop w:val="0"/>
      <w:marBottom w:val="0"/>
      <w:divBdr>
        <w:top w:val="none" w:sz="0" w:space="0" w:color="auto"/>
        <w:left w:val="none" w:sz="0" w:space="0" w:color="auto"/>
        <w:bottom w:val="none" w:sz="0" w:space="0" w:color="auto"/>
        <w:right w:val="none" w:sz="0" w:space="0" w:color="auto"/>
      </w:divBdr>
    </w:div>
    <w:div w:id="723144602">
      <w:bodyDiv w:val="1"/>
      <w:marLeft w:val="0"/>
      <w:marRight w:val="0"/>
      <w:marTop w:val="0"/>
      <w:marBottom w:val="0"/>
      <w:divBdr>
        <w:top w:val="none" w:sz="0" w:space="0" w:color="auto"/>
        <w:left w:val="none" w:sz="0" w:space="0" w:color="auto"/>
        <w:bottom w:val="none" w:sz="0" w:space="0" w:color="auto"/>
        <w:right w:val="none" w:sz="0" w:space="0" w:color="auto"/>
      </w:divBdr>
      <w:divsChild>
        <w:div w:id="208736077">
          <w:marLeft w:val="0"/>
          <w:marRight w:val="0"/>
          <w:marTop w:val="0"/>
          <w:marBottom w:val="0"/>
          <w:divBdr>
            <w:top w:val="none" w:sz="0" w:space="0" w:color="auto"/>
            <w:left w:val="none" w:sz="0" w:space="0" w:color="auto"/>
            <w:bottom w:val="none" w:sz="0" w:space="0" w:color="auto"/>
            <w:right w:val="none" w:sz="0" w:space="0" w:color="auto"/>
          </w:divBdr>
          <w:divsChild>
            <w:div w:id="783227836">
              <w:marLeft w:val="0"/>
              <w:marRight w:val="0"/>
              <w:marTop w:val="0"/>
              <w:marBottom w:val="0"/>
              <w:divBdr>
                <w:top w:val="none" w:sz="0" w:space="0" w:color="auto"/>
                <w:left w:val="none" w:sz="0" w:space="0" w:color="auto"/>
                <w:bottom w:val="none" w:sz="0" w:space="0" w:color="auto"/>
                <w:right w:val="none" w:sz="0" w:space="0" w:color="auto"/>
              </w:divBdr>
              <w:divsChild>
                <w:div w:id="1772897359">
                  <w:marLeft w:val="0"/>
                  <w:marRight w:val="0"/>
                  <w:marTop w:val="0"/>
                  <w:marBottom w:val="0"/>
                  <w:divBdr>
                    <w:top w:val="none" w:sz="0" w:space="0" w:color="auto"/>
                    <w:left w:val="none" w:sz="0" w:space="0" w:color="auto"/>
                    <w:bottom w:val="none" w:sz="0" w:space="0" w:color="auto"/>
                    <w:right w:val="none" w:sz="0" w:space="0" w:color="auto"/>
                  </w:divBdr>
                </w:div>
              </w:divsChild>
            </w:div>
            <w:div w:id="1168710107">
              <w:marLeft w:val="0"/>
              <w:marRight w:val="0"/>
              <w:marTop w:val="0"/>
              <w:marBottom w:val="0"/>
              <w:divBdr>
                <w:top w:val="none" w:sz="0" w:space="0" w:color="auto"/>
                <w:left w:val="none" w:sz="0" w:space="0" w:color="auto"/>
                <w:bottom w:val="none" w:sz="0" w:space="0" w:color="auto"/>
                <w:right w:val="none" w:sz="0" w:space="0" w:color="auto"/>
              </w:divBdr>
              <w:divsChild>
                <w:div w:id="1471244514">
                  <w:marLeft w:val="0"/>
                  <w:marRight w:val="0"/>
                  <w:marTop w:val="0"/>
                  <w:marBottom w:val="0"/>
                  <w:divBdr>
                    <w:top w:val="none" w:sz="0" w:space="0" w:color="auto"/>
                    <w:left w:val="none" w:sz="0" w:space="0" w:color="auto"/>
                    <w:bottom w:val="none" w:sz="0" w:space="0" w:color="auto"/>
                    <w:right w:val="none" w:sz="0" w:space="0" w:color="auto"/>
                  </w:divBdr>
                </w:div>
              </w:divsChild>
            </w:div>
            <w:div w:id="1198589501">
              <w:marLeft w:val="0"/>
              <w:marRight w:val="0"/>
              <w:marTop w:val="0"/>
              <w:marBottom w:val="0"/>
              <w:divBdr>
                <w:top w:val="none" w:sz="0" w:space="0" w:color="auto"/>
                <w:left w:val="none" w:sz="0" w:space="0" w:color="auto"/>
                <w:bottom w:val="none" w:sz="0" w:space="0" w:color="auto"/>
                <w:right w:val="none" w:sz="0" w:space="0" w:color="auto"/>
              </w:divBdr>
              <w:divsChild>
                <w:div w:id="168397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96475">
          <w:marLeft w:val="0"/>
          <w:marRight w:val="0"/>
          <w:marTop w:val="0"/>
          <w:marBottom w:val="0"/>
          <w:divBdr>
            <w:top w:val="none" w:sz="0" w:space="0" w:color="auto"/>
            <w:left w:val="none" w:sz="0" w:space="0" w:color="auto"/>
            <w:bottom w:val="none" w:sz="0" w:space="0" w:color="auto"/>
            <w:right w:val="none" w:sz="0" w:space="0" w:color="auto"/>
          </w:divBdr>
          <w:divsChild>
            <w:div w:id="616302351">
              <w:marLeft w:val="0"/>
              <w:marRight w:val="0"/>
              <w:marTop w:val="0"/>
              <w:marBottom w:val="0"/>
              <w:divBdr>
                <w:top w:val="none" w:sz="0" w:space="0" w:color="auto"/>
                <w:left w:val="none" w:sz="0" w:space="0" w:color="auto"/>
                <w:bottom w:val="none" w:sz="0" w:space="0" w:color="auto"/>
                <w:right w:val="none" w:sz="0" w:space="0" w:color="auto"/>
              </w:divBdr>
              <w:divsChild>
                <w:div w:id="32802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721500">
      <w:bodyDiv w:val="1"/>
      <w:marLeft w:val="0"/>
      <w:marRight w:val="0"/>
      <w:marTop w:val="0"/>
      <w:marBottom w:val="0"/>
      <w:divBdr>
        <w:top w:val="none" w:sz="0" w:space="0" w:color="auto"/>
        <w:left w:val="none" w:sz="0" w:space="0" w:color="auto"/>
        <w:bottom w:val="none" w:sz="0" w:space="0" w:color="auto"/>
        <w:right w:val="none" w:sz="0" w:space="0" w:color="auto"/>
      </w:divBdr>
    </w:div>
    <w:div w:id="742484642">
      <w:bodyDiv w:val="1"/>
      <w:marLeft w:val="0"/>
      <w:marRight w:val="0"/>
      <w:marTop w:val="0"/>
      <w:marBottom w:val="0"/>
      <w:divBdr>
        <w:top w:val="none" w:sz="0" w:space="0" w:color="auto"/>
        <w:left w:val="none" w:sz="0" w:space="0" w:color="auto"/>
        <w:bottom w:val="none" w:sz="0" w:space="0" w:color="auto"/>
        <w:right w:val="none" w:sz="0" w:space="0" w:color="auto"/>
      </w:divBdr>
    </w:div>
    <w:div w:id="771239296">
      <w:bodyDiv w:val="1"/>
      <w:marLeft w:val="0"/>
      <w:marRight w:val="0"/>
      <w:marTop w:val="0"/>
      <w:marBottom w:val="0"/>
      <w:divBdr>
        <w:top w:val="none" w:sz="0" w:space="0" w:color="auto"/>
        <w:left w:val="none" w:sz="0" w:space="0" w:color="auto"/>
        <w:bottom w:val="none" w:sz="0" w:space="0" w:color="auto"/>
        <w:right w:val="none" w:sz="0" w:space="0" w:color="auto"/>
      </w:divBdr>
    </w:div>
    <w:div w:id="783035977">
      <w:bodyDiv w:val="1"/>
      <w:marLeft w:val="0"/>
      <w:marRight w:val="0"/>
      <w:marTop w:val="0"/>
      <w:marBottom w:val="0"/>
      <w:divBdr>
        <w:top w:val="none" w:sz="0" w:space="0" w:color="auto"/>
        <w:left w:val="none" w:sz="0" w:space="0" w:color="auto"/>
        <w:bottom w:val="none" w:sz="0" w:space="0" w:color="auto"/>
        <w:right w:val="none" w:sz="0" w:space="0" w:color="auto"/>
      </w:divBdr>
    </w:div>
    <w:div w:id="834105819">
      <w:bodyDiv w:val="1"/>
      <w:marLeft w:val="0"/>
      <w:marRight w:val="0"/>
      <w:marTop w:val="0"/>
      <w:marBottom w:val="0"/>
      <w:divBdr>
        <w:top w:val="none" w:sz="0" w:space="0" w:color="auto"/>
        <w:left w:val="none" w:sz="0" w:space="0" w:color="auto"/>
        <w:bottom w:val="none" w:sz="0" w:space="0" w:color="auto"/>
        <w:right w:val="none" w:sz="0" w:space="0" w:color="auto"/>
      </w:divBdr>
    </w:div>
    <w:div w:id="843520273">
      <w:bodyDiv w:val="1"/>
      <w:marLeft w:val="0"/>
      <w:marRight w:val="0"/>
      <w:marTop w:val="0"/>
      <w:marBottom w:val="0"/>
      <w:divBdr>
        <w:top w:val="none" w:sz="0" w:space="0" w:color="auto"/>
        <w:left w:val="none" w:sz="0" w:space="0" w:color="auto"/>
        <w:bottom w:val="none" w:sz="0" w:space="0" w:color="auto"/>
        <w:right w:val="none" w:sz="0" w:space="0" w:color="auto"/>
      </w:divBdr>
    </w:div>
    <w:div w:id="1006521102">
      <w:bodyDiv w:val="1"/>
      <w:marLeft w:val="0"/>
      <w:marRight w:val="0"/>
      <w:marTop w:val="0"/>
      <w:marBottom w:val="0"/>
      <w:divBdr>
        <w:top w:val="none" w:sz="0" w:space="0" w:color="auto"/>
        <w:left w:val="none" w:sz="0" w:space="0" w:color="auto"/>
        <w:bottom w:val="none" w:sz="0" w:space="0" w:color="auto"/>
        <w:right w:val="none" w:sz="0" w:space="0" w:color="auto"/>
      </w:divBdr>
    </w:div>
    <w:div w:id="1039551488">
      <w:bodyDiv w:val="1"/>
      <w:marLeft w:val="0"/>
      <w:marRight w:val="0"/>
      <w:marTop w:val="0"/>
      <w:marBottom w:val="0"/>
      <w:divBdr>
        <w:top w:val="none" w:sz="0" w:space="0" w:color="auto"/>
        <w:left w:val="none" w:sz="0" w:space="0" w:color="auto"/>
        <w:bottom w:val="none" w:sz="0" w:space="0" w:color="auto"/>
        <w:right w:val="none" w:sz="0" w:space="0" w:color="auto"/>
      </w:divBdr>
    </w:div>
    <w:div w:id="1074741419">
      <w:bodyDiv w:val="1"/>
      <w:marLeft w:val="0"/>
      <w:marRight w:val="0"/>
      <w:marTop w:val="0"/>
      <w:marBottom w:val="0"/>
      <w:divBdr>
        <w:top w:val="none" w:sz="0" w:space="0" w:color="auto"/>
        <w:left w:val="none" w:sz="0" w:space="0" w:color="auto"/>
        <w:bottom w:val="none" w:sz="0" w:space="0" w:color="auto"/>
        <w:right w:val="none" w:sz="0" w:space="0" w:color="auto"/>
      </w:divBdr>
    </w:div>
    <w:div w:id="1092702352">
      <w:bodyDiv w:val="1"/>
      <w:marLeft w:val="0"/>
      <w:marRight w:val="0"/>
      <w:marTop w:val="0"/>
      <w:marBottom w:val="0"/>
      <w:divBdr>
        <w:top w:val="none" w:sz="0" w:space="0" w:color="auto"/>
        <w:left w:val="none" w:sz="0" w:space="0" w:color="auto"/>
        <w:bottom w:val="none" w:sz="0" w:space="0" w:color="auto"/>
        <w:right w:val="none" w:sz="0" w:space="0" w:color="auto"/>
      </w:divBdr>
    </w:div>
    <w:div w:id="1095783277">
      <w:bodyDiv w:val="1"/>
      <w:marLeft w:val="0"/>
      <w:marRight w:val="0"/>
      <w:marTop w:val="0"/>
      <w:marBottom w:val="0"/>
      <w:divBdr>
        <w:top w:val="none" w:sz="0" w:space="0" w:color="auto"/>
        <w:left w:val="none" w:sz="0" w:space="0" w:color="auto"/>
        <w:bottom w:val="none" w:sz="0" w:space="0" w:color="auto"/>
        <w:right w:val="none" w:sz="0" w:space="0" w:color="auto"/>
      </w:divBdr>
    </w:div>
    <w:div w:id="1117680849">
      <w:bodyDiv w:val="1"/>
      <w:marLeft w:val="0"/>
      <w:marRight w:val="0"/>
      <w:marTop w:val="0"/>
      <w:marBottom w:val="0"/>
      <w:divBdr>
        <w:top w:val="none" w:sz="0" w:space="0" w:color="auto"/>
        <w:left w:val="none" w:sz="0" w:space="0" w:color="auto"/>
        <w:bottom w:val="none" w:sz="0" w:space="0" w:color="auto"/>
        <w:right w:val="none" w:sz="0" w:space="0" w:color="auto"/>
      </w:divBdr>
      <w:divsChild>
        <w:div w:id="1848248769">
          <w:marLeft w:val="0"/>
          <w:marRight w:val="0"/>
          <w:marTop w:val="0"/>
          <w:marBottom w:val="0"/>
          <w:divBdr>
            <w:top w:val="none" w:sz="0" w:space="0" w:color="auto"/>
            <w:left w:val="none" w:sz="0" w:space="0" w:color="auto"/>
            <w:bottom w:val="none" w:sz="0" w:space="0" w:color="auto"/>
            <w:right w:val="none" w:sz="0" w:space="0" w:color="auto"/>
          </w:divBdr>
          <w:divsChild>
            <w:div w:id="1498497185">
              <w:marLeft w:val="0"/>
              <w:marRight w:val="0"/>
              <w:marTop w:val="0"/>
              <w:marBottom w:val="0"/>
              <w:divBdr>
                <w:top w:val="none" w:sz="0" w:space="0" w:color="auto"/>
                <w:left w:val="none" w:sz="0" w:space="0" w:color="auto"/>
                <w:bottom w:val="none" w:sz="0" w:space="0" w:color="auto"/>
                <w:right w:val="none" w:sz="0" w:space="0" w:color="auto"/>
              </w:divBdr>
              <w:divsChild>
                <w:div w:id="10449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7388">
      <w:bodyDiv w:val="1"/>
      <w:marLeft w:val="0"/>
      <w:marRight w:val="0"/>
      <w:marTop w:val="0"/>
      <w:marBottom w:val="0"/>
      <w:divBdr>
        <w:top w:val="none" w:sz="0" w:space="0" w:color="auto"/>
        <w:left w:val="none" w:sz="0" w:space="0" w:color="auto"/>
        <w:bottom w:val="none" w:sz="0" w:space="0" w:color="auto"/>
        <w:right w:val="none" w:sz="0" w:space="0" w:color="auto"/>
      </w:divBdr>
    </w:div>
    <w:div w:id="1204711220">
      <w:bodyDiv w:val="1"/>
      <w:marLeft w:val="0"/>
      <w:marRight w:val="0"/>
      <w:marTop w:val="0"/>
      <w:marBottom w:val="0"/>
      <w:divBdr>
        <w:top w:val="none" w:sz="0" w:space="0" w:color="auto"/>
        <w:left w:val="none" w:sz="0" w:space="0" w:color="auto"/>
        <w:bottom w:val="none" w:sz="0" w:space="0" w:color="auto"/>
        <w:right w:val="none" w:sz="0" w:space="0" w:color="auto"/>
      </w:divBdr>
      <w:divsChild>
        <w:div w:id="1757556376">
          <w:marLeft w:val="547"/>
          <w:marRight w:val="0"/>
          <w:marTop w:val="96"/>
          <w:marBottom w:val="0"/>
          <w:divBdr>
            <w:top w:val="none" w:sz="0" w:space="0" w:color="auto"/>
            <w:left w:val="none" w:sz="0" w:space="0" w:color="auto"/>
            <w:bottom w:val="none" w:sz="0" w:space="0" w:color="auto"/>
            <w:right w:val="none" w:sz="0" w:space="0" w:color="auto"/>
          </w:divBdr>
        </w:div>
        <w:div w:id="315302924">
          <w:marLeft w:val="547"/>
          <w:marRight w:val="0"/>
          <w:marTop w:val="96"/>
          <w:marBottom w:val="0"/>
          <w:divBdr>
            <w:top w:val="none" w:sz="0" w:space="0" w:color="auto"/>
            <w:left w:val="none" w:sz="0" w:space="0" w:color="auto"/>
            <w:bottom w:val="none" w:sz="0" w:space="0" w:color="auto"/>
            <w:right w:val="none" w:sz="0" w:space="0" w:color="auto"/>
          </w:divBdr>
        </w:div>
        <w:div w:id="2051373237">
          <w:marLeft w:val="1166"/>
          <w:marRight w:val="0"/>
          <w:marTop w:val="96"/>
          <w:marBottom w:val="0"/>
          <w:divBdr>
            <w:top w:val="none" w:sz="0" w:space="0" w:color="auto"/>
            <w:left w:val="none" w:sz="0" w:space="0" w:color="auto"/>
            <w:bottom w:val="none" w:sz="0" w:space="0" w:color="auto"/>
            <w:right w:val="none" w:sz="0" w:space="0" w:color="auto"/>
          </w:divBdr>
        </w:div>
        <w:div w:id="151995957">
          <w:marLeft w:val="1166"/>
          <w:marRight w:val="0"/>
          <w:marTop w:val="96"/>
          <w:marBottom w:val="0"/>
          <w:divBdr>
            <w:top w:val="none" w:sz="0" w:space="0" w:color="auto"/>
            <w:left w:val="none" w:sz="0" w:space="0" w:color="auto"/>
            <w:bottom w:val="none" w:sz="0" w:space="0" w:color="auto"/>
            <w:right w:val="none" w:sz="0" w:space="0" w:color="auto"/>
          </w:divBdr>
        </w:div>
        <w:div w:id="1069427601">
          <w:marLeft w:val="1166"/>
          <w:marRight w:val="0"/>
          <w:marTop w:val="96"/>
          <w:marBottom w:val="0"/>
          <w:divBdr>
            <w:top w:val="none" w:sz="0" w:space="0" w:color="auto"/>
            <w:left w:val="none" w:sz="0" w:space="0" w:color="auto"/>
            <w:bottom w:val="none" w:sz="0" w:space="0" w:color="auto"/>
            <w:right w:val="none" w:sz="0" w:space="0" w:color="auto"/>
          </w:divBdr>
        </w:div>
        <w:div w:id="565074228">
          <w:marLeft w:val="547"/>
          <w:marRight w:val="0"/>
          <w:marTop w:val="106"/>
          <w:marBottom w:val="0"/>
          <w:divBdr>
            <w:top w:val="none" w:sz="0" w:space="0" w:color="auto"/>
            <w:left w:val="none" w:sz="0" w:space="0" w:color="auto"/>
            <w:bottom w:val="none" w:sz="0" w:space="0" w:color="auto"/>
            <w:right w:val="none" w:sz="0" w:space="0" w:color="auto"/>
          </w:divBdr>
        </w:div>
      </w:divsChild>
    </w:div>
    <w:div w:id="1238973960">
      <w:bodyDiv w:val="1"/>
      <w:marLeft w:val="0"/>
      <w:marRight w:val="0"/>
      <w:marTop w:val="0"/>
      <w:marBottom w:val="0"/>
      <w:divBdr>
        <w:top w:val="none" w:sz="0" w:space="0" w:color="auto"/>
        <w:left w:val="none" w:sz="0" w:space="0" w:color="auto"/>
        <w:bottom w:val="none" w:sz="0" w:space="0" w:color="auto"/>
        <w:right w:val="none" w:sz="0" w:space="0" w:color="auto"/>
      </w:divBdr>
    </w:div>
    <w:div w:id="1283540857">
      <w:bodyDiv w:val="1"/>
      <w:marLeft w:val="0"/>
      <w:marRight w:val="0"/>
      <w:marTop w:val="0"/>
      <w:marBottom w:val="0"/>
      <w:divBdr>
        <w:top w:val="none" w:sz="0" w:space="0" w:color="auto"/>
        <w:left w:val="none" w:sz="0" w:space="0" w:color="auto"/>
        <w:bottom w:val="none" w:sz="0" w:space="0" w:color="auto"/>
        <w:right w:val="none" w:sz="0" w:space="0" w:color="auto"/>
      </w:divBdr>
    </w:div>
    <w:div w:id="1291477858">
      <w:bodyDiv w:val="1"/>
      <w:marLeft w:val="0"/>
      <w:marRight w:val="0"/>
      <w:marTop w:val="0"/>
      <w:marBottom w:val="0"/>
      <w:divBdr>
        <w:top w:val="none" w:sz="0" w:space="0" w:color="auto"/>
        <w:left w:val="none" w:sz="0" w:space="0" w:color="auto"/>
        <w:bottom w:val="none" w:sz="0" w:space="0" w:color="auto"/>
        <w:right w:val="none" w:sz="0" w:space="0" w:color="auto"/>
      </w:divBdr>
      <w:divsChild>
        <w:div w:id="3750874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384979">
              <w:marLeft w:val="0"/>
              <w:marRight w:val="0"/>
              <w:marTop w:val="0"/>
              <w:marBottom w:val="0"/>
              <w:divBdr>
                <w:top w:val="none" w:sz="0" w:space="0" w:color="auto"/>
                <w:left w:val="none" w:sz="0" w:space="0" w:color="auto"/>
                <w:bottom w:val="none" w:sz="0" w:space="0" w:color="auto"/>
                <w:right w:val="none" w:sz="0" w:space="0" w:color="auto"/>
              </w:divBdr>
              <w:divsChild>
                <w:div w:id="19738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10589">
      <w:bodyDiv w:val="1"/>
      <w:marLeft w:val="0"/>
      <w:marRight w:val="0"/>
      <w:marTop w:val="0"/>
      <w:marBottom w:val="0"/>
      <w:divBdr>
        <w:top w:val="none" w:sz="0" w:space="0" w:color="auto"/>
        <w:left w:val="none" w:sz="0" w:space="0" w:color="auto"/>
        <w:bottom w:val="none" w:sz="0" w:space="0" w:color="auto"/>
        <w:right w:val="none" w:sz="0" w:space="0" w:color="auto"/>
      </w:divBdr>
      <w:divsChild>
        <w:div w:id="1777362533">
          <w:marLeft w:val="0"/>
          <w:marRight w:val="0"/>
          <w:marTop w:val="0"/>
          <w:marBottom w:val="0"/>
          <w:divBdr>
            <w:top w:val="none" w:sz="0" w:space="0" w:color="auto"/>
            <w:left w:val="none" w:sz="0" w:space="0" w:color="auto"/>
            <w:bottom w:val="none" w:sz="0" w:space="0" w:color="auto"/>
            <w:right w:val="none" w:sz="0" w:space="0" w:color="auto"/>
          </w:divBdr>
        </w:div>
      </w:divsChild>
    </w:div>
    <w:div w:id="1354191237">
      <w:bodyDiv w:val="1"/>
      <w:marLeft w:val="0"/>
      <w:marRight w:val="0"/>
      <w:marTop w:val="0"/>
      <w:marBottom w:val="0"/>
      <w:divBdr>
        <w:top w:val="none" w:sz="0" w:space="0" w:color="auto"/>
        <w:left w:val="none" w:sz="0" w:space="0" w:color="auto"/>
        <w:bottom w:val="none" w:sz="0" w:space="0" w:color="auto"/>
        <w:right w:val="none" w:sz="0" w:space="0" w:color="auto"/>
      </w:divBdr>
      <w:divsChild>
        <w:div w:id="450443566">
          <w:marLeft w:val="0"/>
          <w:marRight w:val="0"/>
          <w:marTop w:val="0"/>
          <w:marBottom w:val="0"/>
          <w:divBdr>
            <w:top w:val="none" w:sz="0" w:space="0" w:color="auto"/>
            <w:left w:val="none" w:sz="0" w:space="0" w:color="auto"/>
            <w:bottom w:val="none" w:sz="0" w:space="0" w:color="auto"/>
            <w:right w:val="none" w:sz="0" w:space="0" w:color="auto"/>
          </w:divBdr>
        </w:div>
        <w:div w:id="723680402">
          <w:marLeft w:val="0"/>
          <w:marRight w:val="0"/>
          <w:marTop w:val="0"/>
          <w:marBottom w:val="0"/>
          <w:divBdr>
            <w:top w:val="none" w:sz="0" w:space="0" w:color="auto"/>
            <w:left w:val="none" w:sz="0" w:space="0" w:color="auto"/>
            <w:bottom w:val="none" w:sz="0" w:space="0" w:color="auto"/>
            <w:right w:val="none" w:sz="0" w:space="0" w:color="auto"/>
          </w:divBdr>
        </w:div>
        <w:div w:id="959606977">
          <w:marLeft w:val="0"/>
          <w:marRight w:val="0"/>
          <w:marTop w:val="0"/>
          <w:marBottom w:val="0"/>
          <w:divBdr>
            <w:top w:val="none" w:sz="0" w:space="0" w:color="auto"/>
            <w:left w:val="none" w:sz="0" w:space="0" w:color="auto"/>
            <w:bottom w:val="none" w:sz="0" w:space="0" w:color="auto"/>
            <w:right w:val="none" w:sz="0" w:space="0" w:color="auto"/>
          </w:divBdr>
        </w:div>
        <w:div w:id="1362586136">
          <w:marLeft w:val="0"/>
          <w:marRight w:val="0"/>
          <w:marTop w:val="0"/>
          <w:marBottom w:val="0"/>
          <w:divBdr>
            <w:top w:val="none" w:sz="0" w:space="0" w:color="auto"/>
            <w:left w:val="none" w:sz="0" w:space="0" w:color="auto"/>
            <w:bottom w:val="none" w:sz="0" w:space="0" w:color="auto"/>
            <w:right w:val="none" w:sz="0" w:space="0" w:color="auto"/>
          </w:divBdr>
        </w:div>
        <w:div w:id="1813601087">
          <w:marLeft w:val="0"/>
          <w:marRight w:val="0"/>
          <w:marTop w:val="0"/>
          <w:marBottom w:val="0"/>
          <w:divBdr>
            <w:top w:val="none" w:sz="0" w:space="0" w:color="auto"/>
            <w:left w:val="none" w:sz="0" w:space="0" w:color="auto"/>
            <w:bottom w:val="none" w:sz="0" w:space="0" w:color="auto"/>
            <w:right w:val="none" w:sz="0" w:space="0" w:color="auto"/>
          </w:divBdr>
        </w:div>
      </w:divsChild>
    </w:div>
    <w:div w:id="1408765464">
      <w:bodyDiv w:val="1"/>
      <w:marLeft w:val="0"/>
      <w:marRight w:val="0"/>
      <w:marTop w:val="0"/>
      <w:marBottom w:val="0"/>
      <w:divBdr>
        <w:top w:val="none" w:sz="0" w:space="0" w:color="auto"/>
        <w:left w:val="none" w:sz="0" w:space="0" w:color="auto"/>
        <w:bottom w:val="none" w:sz="0" w:space="0" w:color="auto"/>
        <w:right w:val="none" w:sz="0" w:space="0" w:color="auto"/>
      </w:divBdr>
      <w:divsChild>
        <w:div w:id="2086494620">
          <w:marLeft w:val="0"/>
          <w:marRight w:val="0"/>
          <w:marTop w:val="0"/>
          <w:marBottom w:val="0"/>
          <w:divBdr>
            <w:top w:val="none" w:sz="0" w:space="0" w:color="auto"/>
            <w:left w:val="none" w:sz="0" w:space="0" w:color="auto"/>
            <w:bottom w:val="none" w:sz="0" w:space="0" w:color="auto"/>
            <w:right w:val="none" w:sz="0" w:space="0" w:color="auto"/>
          </w:divBdr>
          <w:divsChild>
            <w:div w:id="1170488891">
              <w:marLeft w:val="0"/>
              <w:marRight w:val="0"/>
              <w:marTop w:val="0"/>
              <w:marBottom w:val="0"/>
              <w:divBdr>
                <w:top w:val="none" w:sz="0" w:space="0" w:color="auto"/>
                <w:left w:val="none" w:sz="0" w:space="0" w:color="auto"/>
                <w:bottom w:val="none" w:sz="0" w:space="0" w:color="auto"/>
                <w:right w:val="none" w:sz="0" w:space="0" w:color="auto"/>
              </w:divBdr>
              <w:divsChild>
                <w:div w:id="16435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5407">
      <w:bodyDiv w:val="1"/>
      <w:marLeft w:val="0"/>
      <w:marRight w:val="0"/>
      <w:marTop w:val="0"/>
      <w:marBottom w:val="0"/>
      <w:divBdr>
        <w:top w:val="none" w:sz="0" w:space="0" w:color="auto"/>
        <w:left w:val="none" w:sz="0" w:space="0" w:color="auto"/>
        <w:bottom w:val="none" w:sz="0" w:space="0" w:color="auto"/>
        <w:right w:val="none" w:sz="0" w:space="0" w:color="auto"/>
      </w:divBdr>
      <w:divsChild>
        <w:div w:id="1502815420">
          <w:marLeft w:val="0"/>
          <w:marRight w:val="0"/>
          <w:marTop w:val="0"/>
          <w:marBottom w:val="0"/>
          <w:divBdr>
            <w:top w:val="none" w:sz="0" w:space="0" w:color="auto"/>
            <w:left w:val="none" w:sz="0" w:space="0" w:color="auto"/>
            <w:bottom w:val="none" w:sz="0" w:space="0" w:color="auto"/>
            <w:right w:val="none" w:sz="0" w:space="0" w:color="auto"/>
          </w:divBdr>
          <w:divsChild>
            <w:div w:id="1277756408">
              <w:marLeft w:val="0"/>
              <w:marRight w:val="0"/>
              <w:marTop w:val="0"/>
              <w:marBottom w:val="0"/>
              <w:divBdr>
                <w:top w:val="none" w:sz="0" w:space="0" w:color="auto"/>
                <w:left w:val="none" w:sz="0" w:space="0" w:color="auto"/>
                <w:bottom w:val="none" w:sz="0" w:space="0" w:color="auto"/>
                <w:right w:val="none" w:sz="0" w:space="0" w:color="auto"/>
              </w:divBdr>
              <w:divsChild>
                <w:div w:id="91478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5137">
      <w:bodyDiv w:val="1"/>
      <w:marLeft w:val="0"/>
      <w:marRight w:val="0"/>
      <w:marTop w:val="0"/>
      <w:marBottom w:val="0"/>
      <w:divBdr>
        <w:top w:val="none" w:sz="0" w:space="0" w:color="auto"/>
        <w:left w:val="none" w:sz="0" w:space="0" w:color="auto"/>
        <w:bottom w:val="none" w:sz="0" w:space="0" w:color="auto"/>
        <w:right w:val="none" w:sz="0" w:space="0" w:color="auto"/>
      </w:divBdr>
      <w:divsChild>
        <w:div w:id="140317062">
          <w:marLeft w:val="0"/>
          <w:marRight w:val="0"/>
          <w:marTop w:val="0"/>
          <w:marBottom w:val="0"/>
          <w:divBdr>
            <w:top w:val="none" w:sz="0" w:space="0" w:color="auto"/>
            <w:left w:val="none" w:sz="0" w:space="0" w:color="auto"/>
            <w:bottom w:val="none" w:sz="0" w:space="0" w:color="auto"/>
            <w:right w:val="none" w:sz="0" w:space="0" w:color="auto"/>
          </w:divBdr>
        </w:div>
      </w:divsChild>
    </w:div>
    <w:div w:id="1659190514">
      <w:bodyDiv w:val="1"/>
      <w:marLeft w:val="0"/>
      <w:marRight w:val="0"/>
      <w:marTop w:val="0"/>
      <w:marBottom w:val="0"/>
      <w:divBdr>
        <w:top w:val="none" w:sz="0" w:space="0" w:color="auto"/>
        <w:left w:val="none" w:sz="0" w:space="0" w:color="auto"/>
        <w:bottom w:val="none" w:sz="0" w:space="0" w:color="auto"/>
        <w:right w:val="none" w:sz="0" w:space="0" w:color="auto"/>
      </w:divBdr>
    </w:div>
    <w:div w:id="1670400319">
      <w:bodyDiv w:val="1"/>
      <w:marLeft w:val="0"/>
      <w:marRight w:val="0"/>
      <w:marTop w:val="0"/>
      <w:marBottom w:val="0"/>
      <w:divBdr>
        <w:top w:val="none" w:sz="0" w:space="0" w:color="auto"/>
        <w:left w:val="none" w:sz="0" w:space="0" w:color="auto"/>
        <w:bottom w:val="none" w:sz="0" w:space="0" w:color="auto"/>
        <w:right w:val="none" w:sz="0" w:space="0" w:color="auto"/>
      </w:divBdr>
    </w:div>
    <w:div w:id="1762683679">
      <w:bodyDiv w:val="1"/>
      <w:marLeft w:val="0"/>
      <w:marRight w:val="0"/>
      <w:marTop w:val="0"/>
      <w:marBottom w:val="0"/>
      <w:divBdr>
        <w:top w:val="none" w:sz="0" w:space="0" w:color="auto"/>
        <w:left w:val="none" w:sz="0" w:space="0" w:color="auto"/>
        <w:bottom w:val="none" w:sz="0" w:space="0" w:color="auto"/>
        <w:right w:val="none" w:sz="0" w:space="0" w:color="auto"/>
      </w:divBdr>
    </w:div>
    <w:div w:id="1778522602">
      <w:bodyDiv w:val="1"/>
      <w:marLeft w:val="0"/>
      <w:marRight w:val="0"/>
      <w:marTop w:val="0"/>
      <w:marBottom w:val="0"/>
      <w:divBdr>
        <w:top w:val="none" w:sz="0" w:space="0" w:color="auto"/>
        <w:left w:val="none" w:sz="0" w:space="0" w:color="auto"/>
        <w:bottom w:val="none" w:sz="0" w:space="0" w:color="auto"/>
        <w:right w:val="none" w:sz="0" w:space="0" w:color="auto"/>
      </w:divBdr>
      <w:divsChild>
        <w:div w:id="1877765724">
          <w:marLeft w:val="0"/>
          <w:marRight w:val="0"/>
          <w:marTop w:val="0"/>
          <w:marBottom w:val="0"/>
          <w:divBdr>
            <w:top w:val="none" w:sz="0" w:space="0" w:color="auto"/>
            <w:left w:val="none" w:sz="0" w:space="0" w:color="auto"/>
            <w:bottom w:val="none" w:sz="0" w:space="0" w:color="auto"/>
            <w:right w:val="none" w:sz="0" w:space="0" w:color="auto"/>
          </w:divBdr>
          <w:divsChild>
            <w:div w:id="1812479624">
              <w:marLeft w:val="0"/>
              <w:marRight w:val="0"/>
              <w:marTop w:val="0"/>
              <w:marBottom w:val="0"/>
              <w:divBdr>
                <w:top w:val="none" w:sz="0" w:space="0" w:color="auto"/>
                <w:left w:val="none" w:sz="0" w:space="0" w:color="auto"/>
                <w:bottom w:val="none" w:sz="0" w:space="0" w:color="auto"/>
                <w:right w:val="none" w:sz="0" w:space="0" w:color="auto"/>
              </w:divBdr>
              <w:divsChild>
                <w:div w:id="182446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3850">
      <w:bodyDiv w:val="1"/>
      <w:marLeft w:val="0"/>
      <w:marRight w:val="0"/>
      <w:marTop w:val="0"/>
      <w:marBottom w:val="0"/>
      <w:divBdr>
        <w:top w:val="none" w:sz="0" w:space="0" w:color="auto"/>
        <w:left w:val="none" w:sz="0" w:space="0" w:color="auto"/>
        <w:bottom w:val="none" w:sz="0" w:space="0" w:color="auto"/>
        <w:right w:val="none" w:sz="0" w:space="0" w:color="auto"/>
      </w:divBdr>
    </w:div>
    <w:div w:id="1922639632">
      <w:bodyDiv w:val="1"/>
      <w:marLeft w:val="0"/>
      <w:marRight w:val="0"/>
      <w:marTop w:val="0"/>
      <w:marBottom w:val="0"/>
      <w:divBdr>
        <w:top w:val="none" w:sz="0" w:space="0" w:color="auto"/>
        <w:left w:val="none" w:sz="0" w:space="0" w:color="auto"/>
        <w:bottom w:val="none" w:sz="0" w:space="0" w:color="auto"/>
        <w:right w:val="none" w:sz="0" w:space="0" w:color="auto"/>
      </w:divBdr>
      <w:divsChild>
        <w:div w:id="679114940">
          <w:marLeft w:val="2160"/>
          <w:marRight w:val="0"/>
          <w:marTop w:val="120"/>
          <w:marBottom w:val="120"/>
          <w:divBdr>
            <w:top w:val="none" w:sz="0" w:space="0" w:color="auto"/>
            <w:left w:val="none" w:sz="0" w:space="0" w:color="auto"/>
            <w:bottom w:val="none" w:sz="0" w:space="0" w:color="auto"/>
            <w:right w:val="none" w:sz="0" w:space="0" w:color="auto"/>
          </w:divBdr>
        </w:div>
      </w:divsChild>
    </w:div>
    <w:div w:id="1926105908">
      <w:bodyDiv w:val="1"/>
      <w:marLeft w:val="0"/>
      <w:marRight w:val="0"/>
      <w:marTop w:val="0"/>
      <w:marBottom w:val="0"/>
      <w:divBdr>
        <w:top w:val="none" w:sz="0" w:space="0" w:color="auto"/>
        <w:left w:val="none" w:sz="0" w:space="0" w:color="auto"/>
        <w:bottom w:val="none" w:sz="0" w:space="0" w:color="auto"/>
        <w:right w:val="none" w:sz="0" w:space="0" w:color="auto"/>
      </w:divBdr>
    </w:div>
    <w:div w:id="1953315084">
      <w:bodyDiv w:val="1"/>
      <w:marLeft w:val="0"/>
      <w:marRight w:val="0"/>
      <w:marTop w:val="0"/>
      <w:marBottom w:val="0"/>
      <w:divBdr>
        <w:top w:val="none" w:sz="0" w:space="0" w:color="auto"/>
        <w:left w:val="none" w:sz="0" w:space="0" w:color="auto"/>
        <w:bottom w:val="none" w:sz="0" w:space="0" w:color="auto"/>
        <w:right w:val="none" w:sz="0" w:space="0" w:color="auto"/>
      </w:divBdr>
      <w:divsChild>
        <w:div w:id="155539262">
          <w:marLeft w:val="0"/>
          <w:marRight w:val="0"/>
          <w:marTop w:val="0"/>
          <w:marBottom w:val="0"/>
          <w:divBdr>
            <w:top w:val="none" w:sz="0" w:space="0" w:color="auto"/>
            <w:left w:val="none" w:sz="0" w:space="0" w:color="auto"/>
            <w:bottom w:val="none" w:sz="0" w:space="0" w:color="auto"/>
            <w:right w:val="none" w:sz="0" w:space="0" w:color="auto"/>
          </w:divBdr>
          <w:divsChild>
            <w:div w:id="711731246">
              <w:marLeft w:val="0"/>
              <w:marRight w:val="0"/>
              <w:marTop w:val="0"/>
              <w:marBottom w:val="0"/>
              <w:divBdr>
                <w:top w:val="none" w:sz="0" w:space="0" w:color="auto"/>
                <w:left w:val="none" w:sz="0" w:space="0" w:color="auto"/>
                <w:bottom w:val="none" w:sz="0" w:space="0" w:color="auto"/>
                <w:right w:val="none" w:sz="0" w:space="0" w:color="auto"/>
              </w:divBdr>
              <w:divsChild>
                <w:div w:id="797727982">
                  <w:marLeft w:val="0"/>
                  <w:marRight w:val="0"/>
                  <w:marTop w:val="0"/>
                  <w:marBottom w:val="0"/>
                  <w:divBdr>
                    <w:top w:val="none" w:sz="0" w:space="0" w:color="auto"/>
                    <w:left w:val="none" w:sz="0" w:space="0" w:color="auto"/>
                    <w:bottom w:val="none" w:sz="0" w:space="0" w:color="auto"/>
                    <w:right w:val="none" w:sz="0" w:space="0" w:color="auto"/>
                  </w:divBdr>
                  <w:divsChild>
                    <w:div w:id="6688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904275">
      <w:bodyDiv w:val="1"/>
      <w:marLeft w:val="0"/>
      <w:marRight w:val="0"/>
      <w:marTop w:val="0"/>
      <w:marBottom w:val="0"/>
      <w:divBdr>
        <w:top w:val="none" w:sz="0" w:space="0" w:color="auto"/>
        <w:left w:val="none" w:sz="0" w:space="0" w:color="auto"/>
        <w:bottom w:val="none" w:sz="0" w:space="0" w:color="auto"/>
        <w:right w:val="none" w:sz="0" w:space="0" w:color="auto"/>
      </w:divBdr>
    </w:div>
    <w:div w:id="2086413567">
      <w:bodyDiv w:val="1"/>
      <w:marLeft w:val="0"/>
      <w:marRight w:val="0"/>
      <w:marTop w:val="0"/>
      <w:marBottom w:val="0"/>
      <w:divBdr>
        <w:top w:val="none" w:sz="0" w:space="0" w:color="auto"/>
        <w:left w:val="none" w:sz="0" w:space="0" w:color="auto"/>
        <w:bottom w:val="none" w:sz="0" w:space="0" w:color="auto"/>
        <w:right w:val="none" w:sz="0" w:space="0" w:color="auto"/>
      </w:divBdr>
    </w:div>
    <w:div w:id="2120635246">
      <w:bodyDiv w:val="1"/>
      <w:marLeft w:val="0"/>
      <w:marRight w:val="0"/>
      <w:marTop w:val="0"/>
      <w:marBottom w:val="0"/>
      <w:divBdr>
        <w:top w:val="none" w:sz="0" w:space="0" w:color="auto"/>
        <w:left w:val="none" w:sz="0" w:space="0" w:color="auto"/>
        <w:bottom w:val="none" w:sz="0" w:space="0" w:color="auto"/>
        <w:right w:val="none" w:sz="0" w:space="0" w:color="auto"/>
      </w:divBdr>
      <w:divsChild>
        <w:div w:id="160972150">
          <w:marLeft w:val="547"/>
          <w:marRight w:val="0"/>
          <w:marTop w:val="86"/>
          <w:marBottom w:val="120"/>
          <w:divBdr>
            <w:top w:val="none" w:sz="0" w:space="0" w:color="auto"/>
            <w:left w:val="none" w:sz="0" w:space="0" w:color="auto"/>
            <w:bottom w:val="none" w:sz="0" w:space="0" w:color="auto"/>
            <w:right w:val="none" w:sz="0" w:space="0" w:color="auto"/>
          </w:divBdr>
        </w:div>
        <w:div w:id="1688561696">
          <w:marLeft w:val="547"/>
          <w:marRight w:val="0"/>
          <w:marTop w:val="86"/>
          <w:marBottom w:val="120"/>
          <w:divBdr>
            <w:top w:val="none" w:sz="0" w:space="0" w:color="auto"/>
            <w:left w:val="none" w:sz="0" w:space="0" w:color="auto"/>
            <w:bottom w:val="none" w:sz="0" w:space="0" w:color="auto"/>
            <w:right w:val="none" w:sz="0" w:space="0" w:color="auto"/>
          </w:divBdr>
        </w:div>
        <w:div w:id="483090148">
          <w:marLeft w:val="1166"/>
          <w:marRight w:val="0"/>
          <w:marTop w:val="77"/>
          <w:marBottom w:val="120"/>
          <w:divBdr>
            <w:top w:val="none" w:sz="0" w:space="0" w:color="auto"/>
            <w:left w:val="none" w:sz="0" w:space="0" w:color="auto"/>
            <w:bottom w:val="none" w:sz="0" w:space="0" w:color="auto"/>
            <w:right w:val="none" w:sz="0" w:space="0" w:color="auto"/>
          </w:divBdr>
        </w:div>
        <w:div w:id="1635519803">
          <w:marLeft w:val="1166"/>
          <w:marRight w:val="0"/>
          <w:marTop w:val="77"/>
          <w:marBottom w:val="120"/>
          <w:divBdr>
            <w:top w:val="none" w:sz="0" w:space="0" w:color="auto"/>
            <w:left w:val="none" w:sz="0" w:space="0" w:color="auto"/>
            <w:bottom w:val="none" w:sz="0" w:space="0" w:color="auto"/>
            <w:right w:val="none" w:sz="0" w:space="0" w:color="auto"/>
          </w:divBdr>
        </w:div>
        <w:div w:id="1040740951">
          <w:marLeft w:val="1166"/>
          <w:marRight w:val="0"/>
          <w:marTop w:val="77"/>
          <w:marBottom w:val="120"/>
          <w:divBdr>
            <w:top w:val="none" w:sz="0" w:space="0" w:color="auto"/>
            <w:left w:val="none" w:sz="0" w:space="0" w:color="auto"/>
            <w:bottom w:val="none" w:sz="0" w:space="0" w:color="auto"/>
            <w:right w:val="none" w:sz="0" w:space="0" w:color="auto"/>
          </w:divBdr>
        </w:div>
        <w:div w:id="1939365373">
          <w:marLeft w:val="1166"/>
          <w:marRight w:val="0"/>
          <w:marTop w:val="77"/>
          <w:marBottom w:val="120"/>
          <w:divBdr>
            <w:top w:val="none" w:sz="0" w:space="0" w:color="auto"/>
            <w:left w:val="none" w:sz="0" w:space="0" w:color="auto"/>
            <w:bottom w:val="none" w:sz="0" w:space="0" w:color="auto"/>
            <w:right w:val="none" w:sz="0" w:space="0" w:color="auto"/>
          </w:divBdr>
        </w:div>
        <w:div w:id="261576039">
          <w:marLeft w:val="547"/>
          <w:marRight w:val="0"/>
          <w:marTop w:val="86"/>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42" Type="http://schemas.openxmlformats.org/officeDocument/2006/relationships/image" Target="media/image11.png"/><Relationship Id="rId47" Type="http://schemas.openxmlformats.org/officeDocument/2006/relationships/image" Target="media/image12.png"/><Relationship Id="rId63" Type="http://schemas.openxmlformats.org/officeDocument/2006/relationships/hyperlink" Target="https://ozone.unep.org/science/assessment/teap" TargetMode="External"/><Relationship Id="rId68" Type="http://schemas.openxmlformats.org/officeDocument/2006/relationships/hyperlink" Target="https://plantprotection.gov.pk/tag/methyl-bromide/" TargetMode="External"/><Relationship Id="rId84" Type="http://schemas.openxmlformats.org/officeDocument/2006/relationships/hyperlink" Target="https://ozone.unep.org/science/assessment/teap/teap-expertise-required" TargetMode="Externa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eader" Target="header13.xml"/><Relationship Id="rId53" Type="http://schemas.openxmlformats.org/officeDocument/2006/relationships/hyperlink" Target="https://www.awe.gov.au/biosecurity-trade/import/arrival/treatments/treatment" TargetMode="External"/><Relationship Id="rId58" Type="http://schemas.openxmlformats.org/officeDocument/2006/relationships/hyperlink" Target="https://doi.org/10.1038/s41467-021-27779-3" TargetMode="External"/><Relationship Id="rId74" Type="http://schemas.openxmlformats.org/officeDocument/2006/relationships/hyperlink" Target="https://doi.org/10.3390/insects12050442" TargetMode="External"/><Relationship Id="rId79" Type="http://schemas.openxmlformats.org/officeDocument/2006/relationships/header" Target="header18.xml"/><Relationship Id="rId5" Type="http://schemas.openxmlformats.org/officeDocument/2006/relationships/numbering" Target="numbering.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chart" Target="charts/chart1.xml"/><Relationship Id="rId48" Type="http://schemas.openxmlformats.org/officeDocument/2006/relationships/hyperlink" Target="https://www.mpi.govt.nz/dmsdocument/46495/direct" TargetMode="External"/><Relationship Id="rId56" Type="http://schemas.openxmlformats.org/officeDocument/2006/relationships/hyperlink" Target="https://www.ippc.int/static/media/files/publication/en/2017/04/R_03_En_2017-04-26_Combined.pdf" TargetMode="External"/><Relationship Id="rId64" Type="http://schemas.openxmlformats.org/officeDocument/2006/relationships/hyperlink" Target="https://mbao.org/static/docs/confs/2020-online/papers/20_kawagoe_zachary___mbao_2020.pdf" TargetMode="External"/><Relationship Id="rId69" Type="http://schemas.openxmlformats.org/officeDocument/2006/relationships/hyperlink" Target="https://doi.org/10.17660/ActaHortic.2020.1270.31" TargetMode="External"/><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hyperlink" Target="https://www.sciencedirect.com/science/article/abs/pii/S0261219421000727?dgcid=raven_sd_via_email" TargetMode="External"/><Relationship Id="rId72" Type="http://schemas.openxmlformats.org/officeDocument/2006/relationships/hyperlink" Target="https://ozone.unep.org/science/assessment/teap" TargetMode="External"/><Relationship Id="rId80" Type="http://schemas.openxmlformats.org/officeDocument/2006/relationships/image" Target="media/image15.png"/><Relationship Id="rId85" Type="http://schemas.openxmlformats.org/officeDocument/2006/relationships/hyperlink" Target="https://ozone.unep.org/node/1953"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header" Target="header14.xml"/><Relationship Id="rId46" Type="http://schemas.openxmlformats.org/officeDocument/2006/relationships/hyperlink" Target="https://www.awe.gov.au/biosecurity-trade/import/arrival/treatments/treatment" TargetMode="External"/><Relationship Id="rId59" Type="http://schemas.openxmlformats.org/officeDocument/2006/relationships/hyperlink" Target="https://doi.org/10.1002/ps.6935" TargetMode="External"/><Relationship Id="rId67" Type="http://schemas.openxmlformats.org/officeDocument/2006/relationships/hyperlink" Target="https://mbao.org/static/docs/confs/2021-online/papers/17_gpa_presentation_advocacy_for_submitting_mb_qps_to_cue_2021.pdf" TargetMode="External"/><Relationship Id="rId20" Type="http://schemas.openxmlformats.org/officeDocument/2006/relationships/footer" Target="footer4.xml"/><Relationship Id="rId41" Type="http://schemas.openxmlformats.org/officeDocument/2006/relationships/image" Target="media/image10.png"/><Relationship Id="rId54" Type="http://schemas.openxmlformats.org/officeDocument/2006/relationships/hyperlink" Target="https://www.sciencedirect.com/science/article/pii/S0022474X20304823" TargetMode="External"/><Relationship Id="rId62" Type="http://schemas.openxmlformats.org/officeDocument/2006/relationships/hyperlink" Target="https://doi.org/10.1093/jee/toab074/" TargetMode="External"/><Relationship Id="rId70" Type="http://schemas.openxmlformats.org/officeDocument/2006/relationships/hyperlink" Target="http://ec.europa.eu/clima/events/docs/0039/conference_proceedings_en.pdf" TargetMode="External"/><Relationship Id="rId75" Type="http://schemas.openxmlformats.org/officeDocument/2006/relationships/image" Target="media/image13.png"/><Relationship Id="rId83" Type="http://schemas.openxmlformats.org/officeDocument/2006/relationships/hyperlink" Target="https://ozone.unep.org/science/assessment/teap/teap-expertise-required"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9.png"/><Relationship Id="rId49" Type="http://schemas.openxmlformats.org/officeDocument/2006/relationships/hyperlink" Target="https://www.ippc.int/en/core-activities/standards-setting/technical-panels/technical-panel-phytosanitary-treatments/phytosanitary-treatments-tool/" TargetMode="External"/><Relationship Id="rId57" Type="http://schemas.openxmlformats.org/officeDocument/2006/relationships/hyperlink" Target="http://www.fao.org/publications" TargetMode="External"/><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chart" Target="charts/chart2.xml"/><Relationship Id="rId52" Type="http://schemas.openxmlformats.org/officeDocument/2006/relationships/hyperlink" Target="https://doi.org/10.5194/acp-22-5157-2022" TargetMode="External"/><Relationship Id="rId60" Type="http://schemas.openxmlformats.org/officeDocument/2006/relationships/hyperlink" Target="https://doi.org/10.1186/s13765-021-00635-0" TargetMode="External"/><Relationship Id="rId65" Type="http://schemas.openxmlformats.org/officeDocument/2006/relationships/hyperlink" Target="https://www.mpi.govt.nz/dmsdocument/46495-Assessment-of-Methyl-Bromide-recapture-regimes" TargetMode="External"/><Relationship Id="rId73" Type="http://schemas.openxmlformats.org/officeDocument/2006/relationships/hyperlink" Target="https://doi.org/10.3390/horticulturae70601347" TargetMode="External"/><Relationship Id="rId78" Type="http://schemas.openxmlformats.org/officeDocument/2006/relationships/header" Target="header17.xml"/><Relationship Id="rId81" Type="http://schemas.openxmlformats.org/officeDocument/2006/relationships/hyperlink" Target="https://ozone.unep.org/science/assessment/teap"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6.xml"/><Relationship Id="rId34" Type="http://schemas.openxmlformats.org/officeDocument/2006/relationships/image" Target="media/image7.png"/><Relationship Id="rId50" Type="http://schemas.openxmlformats.org/officeDocument/2006/relationships/hyperlink" Target="https://www.awe.gov.au/sites/default/files/documents/lao-pdr_1.pdf" TargetMode="External"/><Relationship Id="rId55" Type="http://schemas.openxmlformats.org/officeDocument/2006/relationships/hyperlink" Target="https://doi.org/10.1029/2020JD034327" TargetMode="External"/><Relationship Id="rId76"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hyperlink" Target="https://www.sciencedirect.com/science/article/pii/S092552141630134X"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footer" Target="footer5.xml"/><Relationship Id="rId40" Type="http://schemas.openxmlformats.org/officeDocument/2006/relationships/header" Target="header15.xml"/><Relationship Id="rId45" Type="http://schemas.openxmlformats.org/officeDocument/2006/relationships/hyperlink" Target="https://www.mpi.govt.nz/dmsdocument/1555-Approved-Biosecurity-Treatments-for-Risk-Goods-MPI-ABTRT" TargetMode="External"/><Relationship Id="rId66" Type="http://schemas.openxmlformats.org/officeDocument/2006/relationships/hyperlink" Target="https://doi.org/10.1029/2021GL094756" TargetMode="External"/><Relationship Id="rId87" Type="http://schemas.openxmlformats.org/officeDocument/2006/relationships/theme" Target="theme/theme1.xml"/><Relationship Id="rId61" Type="http://schemas.openxmlformats.org/officeDocument/2006/relationships/hyperlink" Target="https://doi.org/10.1038/s41598-021-83463-y" TargetMode="External"/><Relationship Id="rId82" Type="http://schemas.openxmlformats.org/officeDocument/2006/relationships/hyperlink" Target="https://ozone.unep.org/node/1953"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38/s41467-019-13899-4" TargetMode="External"/><Relationship Id="rId13" Type="http://schemas.openxmlformats.org/officeDocument/2006/relationships/hyperlink" Target="https://doi.org/10.1039/C9RA04250D" TargetMode="External"/><Relationship Id="rId18" Type="http://schemas.openxmlformats.org/officeDocument/2006/relationships/hyperlink" Target="https://www.gsk.com/en-gb/media/press-releases/gsk-announces-major-renewable-energy-investment-and-low-carbon-inhaler-programme-alongside-life-sciences-sector-race-to-zero-breakthrough-at-nyc-climate-week/" TargetMode="External"/><Relationship Id="rId3" Type="http://schemas.openxmlformats.org/officeDocument/2006/relationships/hyperlink" Target="https://www.smithers.com/services/market-reports/materials/the-future-of-high-performance-foams-to-2021" TargetMode="External"/><Relationship Id="rId7" Type="http://schemas.openxmlformats.org/officeDocument/2006/relationships/hyperlink" Target="https://www.flightradar24.com/data/statistics" TargetMode="External"/><Relationship Id="rId12" Type="http://schemas.openxmlformats.org/officeDocument/2006/relationships/hyperlink" Target="https://doi.org/10.1073/pnas.2010914118" TargetMode="External"/><Relationship Id="rId17" Type="http://schemas.openxmlformats.org/officeDocument/2006/relationships/hyperlink" Target="https://www.chiesi.com/en/chiesi-outlines-350-million-investment-and-announces-first-carbon-minimal-pressurised-metered-dose-inhaler-pmdi-for-asthma-and-copd/" TargetMode="External"/><Relationship Id="rId2" Type="http://schemas.openxmlformats.org/officeDocument/2006/relationships/hyperlink" Target="https://www.grandviewresearch.com/industry-analysis/polymer-foam-market" TargetMode="External"/><Relationship Id="rId16" Type="http://schemas.openxmlformats.org/officeDocument/2006/relationships/hyperlink" Target="https://www.astrazeneca.com/media-centre/press-releases/2022/astrazeneca-progresses-ambition-zero-carbon-programme-with-honeywell-partnership-to-develop-next-generation-respiratory-inhalers.html" TargetMode="External"/><Relationship Id="rId20" Type="http://schemas.openxmlformats.org/officeDocument/2006/relationships/hyperlink" Target="https://www.kouraglobal.com/5899/" TargetMode="External"/><Relationship Id="rId1" Type="http://schemas.openxmlformats.org/officeDocument/2006/relationships/hyperlink" Target="https://agage.mit.edu/data/afeas-data" TargetMode="External"/><Relationship Id="rId6" Type="http://schemas.openxmlformats.org/officeDocument/2006/relationships/hyperlink" Target="https://urldefense.proofpoint.com/v2/url?u=https-3A__www.sciencedirect.com_user_error_ATP-2D2-3Fpii-3DS0957582019313734&amp;d=DwMGaQ&amp;c=zRqMG_fghhK--2M6Q5UUdA&amp;r=-jzvY25JnuGjKSSLAE4r2ZqHTqxARpG4WmGvKAM8BFE&amp;m=AeAEdbON1t2cBHHKI2pqMZLNJzuitjhp2vwSKAwkcxA&amp;s=FtZNz0eZcm7hkdA1ZLkGaePVSZJ_f6eMRbYkxYELKxk&amp;e=" TargetMode="External"/><Relationship Id="rId11" Type="http://schemas.openxmlformats.org/officeDocument/2006/relationships/hyperlink" Target="http://orcid.org/0000-0002-1550-3239" TargetMode="External"/><Relationship Id="rId5" Type="http://schemas.openxmlformats.org/officeDocument/2006/relationships/hyperlink" Target="http://www.multilateralfund.org/Our%20Work/DemonProject/Document%20Library/8311ax5_Thailand.pdf" TargetMode="External"/><Relationship Id="rId15" Type="http://schemas.openxmlformats.org/officeDocument/2006/relationships/hyperlink" Target="http://www.basel.int/Implementation/TechnicalMatters/DevelopmentofTechnicalGuidelines/TechnicalGuidelines/tabid/8025/Default.aspx" TargetMode="External"/><Relationship Id="rId10" Type="http://schemas.openxmlformats.org/officeDocument/2006/relationships/hyperlink" Target="http://orcid.org/0000-0002-8128-7247" TargetMode="External"/><Relationship Id="rId19" Type="http://schemas.openxmlformats.org/officeDocument/2006/relationships/hyperlink" Target="https://www.kindevadd.com/news/kindeva-drug-delivery-to-manufacture-new-greener-inhalers-at-uk-manufacturing-site-to-help-cut-carbon-emissions/" TargetMode="External"/><Relationship Id="rId4" Type="http://schemas.openxmlformats.org/officeDocument/2006/relationships/hyperlink" Target="https://www.marketsandmarkets.com/Market-Reports/cold-chains-frozen-food-market-811.html" TargetMode="External"/><Relationship Id="rId9" Type="http://schemas.openxmlformats.org/officeDocument/2006/relationships/hyperlink" Target="http://orcid.org/0000-0002-6637-4887" TargetMode="External"/><Relationship Id="rId14" Type="http://schemas.openxmlformats.org/officeDocument/2006/relationships/hyperlink" Target="https://doi.org/10.1038/s41467-019-13899-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martapizano%201%202%203\Library\Mobile%20Documents\com~apple~CloudDocs\Documents\Documents%20-%20Marta&#8217;s%20MacBook%20Pro%20(2)\Docs.%20de%20trabajo\MBTOC\MB%20Production%20and%20consumption\QPS%20production%20&amp;%20consumption\QPS%20consumption%202000-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Users\martapizano%201%202%203\Library\Mobile%20Documents\com~apple~CloudDocs\Documents\Documents%20-%20Marta&#8217;s%20MacBook%20Pro%20(2)\Docs.%20de%20trabajo\MBTOC\MB%20Production%20and%20consumption\QPS%20production%20&amp;%20consumption\QPS%20Consumption%20regional%201996-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08621898611774"/>
          <c:y val="1.8616471960612765E-2"/>
          <c:w val="0.81804413855330038"/>
          <c:h val="0.83955037483059713"/>
        </c:manualLayout>
      </c:layout>
      <c:lineChart>
        <c:grouping val="standard"/>
        <c:varyColors val="0"/>
        <c:ser>
          <c:idx val="0"/>
          <c:order val="0"/>
          <c:tx>
            <c:strRef>
              <c:f>'A5 vs Non A5'!$A$3</c:f>
              <c:strCache>
                <c:ptCount val="1"/>
                <c:pt idx="0">
                  <c:v>NA5</c:v>
                </c:pt>
              </c:strCache>
            </c:strRef>
          </c:tx>
          <c:spPr>
            <a:ln w="28575" cap="rnd">
              <a:solidFill>
                <a:schemeClr val="accent1"/>
              </a:solidFill>
              <a:round/>
            </a:ln>
            <a:effectLst/>
          </c:spPr>
          <c:marker>
            <c:symbol val="none"/>
          </c:marker>
          <c:cat>
            <c:numRef>
              <c:f>'A5 vs Non A5'!$B$2:$V$2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'A5 vs Non A5'!$B$3:$V$3</c:f>
              <c:numCache>
                <c:formatCode>General</c:formatCode>
                <c:ptCount val="21"/>
                <c:pt idx="0" formatCode="0.00">
                  <c:v>9646.07</c:v>
                </c:pt>
                <c:pt idx="1">
                  <c:v>6403.6819999999998</c:v>
                </c:pt>
                <c:pt idx="2" formatCode="0.00">
                  <c:v>7722.19</c:v>
                </c:pt>
                <c:pt idx="3">
                  <c:v>8657.0969999999998</c:v>
                </c:pt>
                <c:pt idx="4">
                  <c:v>7479.7079999999996</c:v>
                </c:pt>
                <c:pt idx="5">
                  <c:v>5678.4933000000001</c:v>
                </c:pt>
                <c:pt idx="6">
                  <c:v>7550.0569999999998</c:v>
                </c:pt>
                <c:pt idx="7">
                  <c:v>4933.2687999999998</c:v>
                </c:pt>
                <c:pt idx="8">
                  <c:v>3119.6010000000001</c:v>
                </c:pt>
                <c:pt idx="9" formatCode="0.00">
                  <c:v>3647.73</c:v>
                </c:pt>
                <c:pt idx="10">
                  <c:v>5355.0354500000003</c:v>
                </c:pt>
                <c:pt idx="11">
                  <c:v>3811.5806200000002</c:v>
                </c:pt>
                <c:pt idx="12">
                  <c:v>3018.19344</c:v>
                </c:pt>
                <c:pt idx="13">
                  <c:v>4302.8896299999997</c:v>
                </c:pt>
                <c:pt idx="14">
                  <c:v>6160.7827100000004</c:v>
                </c:pt>
                <c:pt idx="15">
                  <c:v>3487.6709999999998</c:v>
                </c:pt>
                <c:pt idx="16">
                  <c:v>2484.2280000000001</c:v>
                </c:pt>
                <c:pt idx="17">
                  <c:v>3382.8760779999998</c:v>
                </c:pt>
                <c:pt idx="18">
                  <c:v>4087.5320700000002</c:v>
                </c:pt>
                <c:pt idx="19">
                  <c:v>2805.8927761999998</c:v>
                </c:pt>
                <c:pt idx="20">
                  <c:v>3475.9931999999999</c:v>
                </c:pt>
              </c:numCache>
            </c:numRef>
          </c:val>
          <c:smooth val="0"/>
          <c:extLst>
            <c:ext xmlns:c16="http://schemas.microsoft.com/office/drawing/2014/chart" uri="{C3380CC4-5D6E-409C-BE32-E72D297353CC}">
              <c16:uniqueId val="{00000000-BF4B-8B44-A294-4E26C7694EA7}"/>
            </c:ext>
          </c:extLst>
        </c:ser>
        <c:ser>
          <c:idx val="1"/>
          <c:order val="1"/>
          <c:tx>
            <c:strRef>
              <c:f>'A5 vs Non A5'!$A$4</c:f>
              <c:strCache>
                <c:ptCount val="1"/>
                <c:pt idx="0">
                  <c:v>A5</c:v>
                </c:pt>
              </c:strCache>
            </c:strRef>
          </c:tx>
          <c:spPr>
            <a:ln w="28575" cap="rnd">
              <a:solidFill>
                <a:schemeClr val="accent2"/>
              </a:solidFill>
              <a:round/>
            </a:ln>
            <a:effectLst/>
          </c:spPr>
          <c:marker>
            <c:symbol val="none"/>
          </c:marker>
          <c:cat>
            <c:numRef>
              <c:f>'A5 vs Non A5'!$B$2:$V$2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'A5 vs Non A5'!$B$4:$V$4</c:f>
              <c:numCache>
                <c:formatCode>General</c:formatCode>
                <c:ptCount val="21"/>
                <c:pt idx="0">
                  <c:v>2322.4639999999999</c:v>
                </c:pt>
                <c:pt idx="1">
                  <c:v>3036.0729999999999</c:v>
                </c:pt>
                <c:pt idx="2">
                  <c:v>3089.9587000000001</c:v>
                </c:pt>
                <c:pt idx="3" formatCode="0.00">
                  <c:v>3627.78</c:v>
                </c:pt>
                <c:pt idx="4">
                  <c:v>4676.2910000000002</c:v>
                </c:pt>
                <c:pt idx="5">
                  <c:v>5764.0749999999998</c:v>
                </c:pt>
                <c:pt idx="6">
                  <c:v>5177.9340000000002</c:v>
                </c:pt>
                <c:pt idx="7">
                  <c:v>5776.8289999999997</c:v>
                </c:pt>
                <c:pt idx="8">
                  <c:v>5669.1094000000003</c:v>
                </c:pt>
                <c:pt idx="9">
                  <c:v>5481.8389699999998</c:v>
                </c:pt>
                <c:pt idx="10">
                  <c:v>5601.1145900000001</c:v>
                </c:pt>
                <c:pt idx="11">
                  <c:v>5888.3588499999996</c:v>
                </c:pt>
                <c:pt idx="12">
                  <c:v>5835.4304480000001</c:v>
                </c:pt>
                <c:pt idx="13">
                  <c:v>5520.5847599999997</c:v>
                </c:pt>
                <c:pt idx="14">
                  <c:v>4961.5624500000004</c:v>
                </c:pt>
                <c:pt idx="15">
                  <c:v>4686.4121999999998</c:v>
                </c:pt>
                <c:pt idx="16">
                  <c:v>5866.4490999999998</c:v>
                </c:pt>
                <c:pt idx="17">
                  <c:v>6616.1676799999996</c:v>
                </c:pt>
                <c:pt idx="18" formatCode="0.00">
                  <c:v>6596.52</c:v>
                </c:pt>
                <c:pt idx="19">
                  <c:v>6158.9449999999997</c:v>
                </c:pt>
                <c:pt idx="20">
                  <c:v>5995.9969000000001</c:v>
                </c:pt>
              </c:numCache>
            </c:numRef>
          </c:val>
          <c:smooth val="0"/>
          <c:extLst>
            <c:ext xmlns:c16="http://schemas.microsoft.com/office/drawing/2014/chart" uri="{C3380CC4-5D6E-409C-BE32-E72D297353CC}">
              <c16:uniqueId val="{00000001-BF4B-8B44-A294-4E26C7694EA7}"/>
            </c:ext>
          </c:extLst>
        </c:ser>
        <c:ser>
          <c:idx val="2"/>
          <c:order val="2"/>
          <c:tx>
            <c:strRef>
              <c:f>'A5 vs Non A5'!$A$5</c:f>
              <c:strCache>
                <c:ptCount val="1"/>
                <c:pt idx="0">
                  <c:v>Global</c:v>
                </c:pt>
              </c:strCache>
            </c:strRef>
          </c:tx>
          <c:spPr>
            <a:ln w="28575" cap="rnd">
              <a:solidFill>
                <a:schemeClr val="accent3"/>
              </a:solidFill>
              <a:round/>
            </a:ln>
            <a:effectLst/>
          </c:spPr>
          <c:marker>
            <c:symbol val="none"/>
          </c:marker>
          <c:cat>
            <c:numRef>
              <c:f>'A5 vs Non A5'!$B$2:$V$2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'A5 vs Non A5'!$B$5:$V$5</c:f>
              <c:numCache>
                <c:formatCode>General</c:formatCode>
                <c:ptCount val="21"/>
                <c:pt idx="0" formatCode="0.00">
                  <c:v>11968.534</c:v>
                </c:pt>
                <c:pt idx="1">
                  <c:v>9439.7549999999992</c:v>
                </c:pt>
                <c:pt idx="2" formatCode="0.00">
                  <c:v>10812.1487</c:v>
                </c:pt>
                <c:pt idx="3">
                  <c:v>12284.877</c:v>
                </c:pt>
                <c:pt idx="4" formatCode="0.00">
                  <c:v>12155.999</c:v>
                </c:pt>
                <c:pt idx="5">
                  <c:v>11442.568299999999</c:v>
                </c:pt>
                <c:pt idx="6" formatCode="0.00">
                  <c:v>12727.991</c:v>
                </c:pt>
                <c:pt idx="7">
                  <c:v>10710.0978</c:v>
                </c:pt>
                <c:pt idx="8" formatCode="0.00">
                  <c:v>8788.7103999999999</c:v>
                </c:pt>
                <c:pt idx="9" formatCode="0.00">
                  <c:v>9129.5689700000003</c:v>
                </c:pt>
                <c:pt idx="10" formatCode="0.00">
                  <c:v>10956.15004</c:v>
                </c:pt>
                <c:pt idx="11" formatCode="0.00">
                  <c:v>9699.9394699999993</c:v>
                </c:pt>
                <c:pt idx="12" formatCode="0.00">
                  <c:v>8853.6238880000001</c:v>
                </c:pt>
                <c:pt idx="13" formatCode="0.00">
                  <c:v>9823.4743899999994</c:v>
                </c:pt>
                <c:pt idx="14" formatCode="0.00">
                  <c:v>11122.345160000001</c:v>
                </c:pt>
                <c:pt idx="15" formatCode="0.00">
                  <c:v>8174.0831999999991</c:v>
                </c:pt>
                <c:pt idx="16" formatCode="0.00">
                  <c:v>8350.6771000000008</c:v>
                </c:pt>
                <c:pt idx="17" formatCode="0.00">
                  <c:v>9999.0437579999998</c:v>
                </c:pt>
                <c:pt idx="18" formatCode="0.00">
                  <c:v>10684.052070000002</c:v>
                </c:pt>
                <c:pt idx="19" formatCode="0.00">
                  <c:v>8964.8377762</c:v>
                </c:pt>
                <c:pt idx="20" formatCode="0.00">
                  <c:v>9471.9900999999991</c:v>
                </c:pt>
              </c:numCache>
            </c:numRef>
          </c:val>
          <c:smooth val="0"/>
          <c:extLst>
            <c:ext xmlns:c16="http://schemas.microsoft.com/office/drawing/2014/chart" uri="{C3380CC4-5D6E-409C-BE32-E72D297353CC}">
              <c16:uniqueId val="{00000002-BF4B-8B44-A294-4E26C7694EA7}"/>
            </c:ext>
          </c:extLst>
        </c:ser>
        <c:dLbls>
          <c:showLegendKey val="0"/>
          <c:showVal val="0"/>
          <c:showCatName val="0"/>
          <c:showSerName val="0"/>
          <c:showPercent val="0"/>
          <c:showBubbleSize val="0"/>
        </c:dLbls>
        <c:smooth val="0"/>
        <c:axId val="1917705791"/>
        <c:axId val="1933434959"/>
      </c:lineChart>
      <c:catAx>
        <c:axId val="191770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434959"/>
        <c:crosses val="autoZero"/>
        <c:auto val="1"/>
        <c:lblAlgn val="ctr"/>
        <c:lblOffset val="100"/>
        <c:noMultiLvlLbl val="0"/>
      </c:catAx>
      <c:valAx>
        <c:axId val="1933434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a:t>Methyl Bromide (metric tonnes)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7705791"/>
        <c:crosses val="autoZero"/>
        <c:crossBetween val="between"/>
      </c:valAx>
      <c:spPr>
        <a:noFill/>
        <a:ln>
          <a:noFill/>
        </a:ln>
        <a:effectLst/>
      </c:spPr>
    </c:plotArea>
    <c:legend>
      <c:legendPos val="b"/>
      <c:layout>
        <c:manualLayout>
          <c:xMode val="edge"/>
          <c:yMode val="edge"/>
          <c:x val="0.49954640151019047"/>
          <c:y val="3.6307961504811893E-2"/>
          <c:w val="0.41417479123259948"/>
          <c:h val="9.658964198102686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601923811527894"/>
          <c:y val="0.17219681739027903"/>
          <c:w val="0.80482374697745684"/>
          <c:h val="0.64712804853101435"/>
        </c:manualLayout>
      </c:layout>
      <c:lineChart>
        <c:grouping val="standard"/>
        <c:varyColors val="0"/>
        <c:ser>
          <c:idx val="0"/>
          <c:order val="0"/>
          <c:tx>
            <c:strRef>
              <c:f>Methyl_Bromide_QPS_Consumption.!$B$6</c:f>
              <c:strCache>
                <c:ptCount val="1"/>
                <c:pt idx="0">
                  <c:v>Africa</c:v>
                </c:pt>
              </c:strCache>
            </c:strRef>
          </c:tx>
          <c:marker>
            <c:symbol val="none"/>
          </c:marker>
          <c:cat>
            <c:numRef>
              <c:f>Methyl_Bromide_QPS_Consumption.!$C$5:$W$5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Methyl_Bromide_QPS_Consumption.!$C$6:$W$6</c:f>
              <c:numCache>
                <c:formatCode>General</c:formatCode>
                <c:ptCount val="21"/>
                <c:pt idx="0">
                  <c:v>53</c:v>
                </c:pt>
                <c:pt idx="1">
                  <c:v>45</c:v>
                </c:pt>
                <c:pt idx="2">
                  <c:v>210</c:v>
                </c:pt>
                <c:pt idx="3">
                  <c:v>108</c:v>
                </c:pt>
                <c:pt idx="4">
                  <c:v>192</c:v>
                </c:pt>
                <c:pt idx="5">
                  <c:v>292</c:v>
                </c:pt>
                <c:pt idx="6">
                  <c:v>215</c:v>
                </c:pt>
                <c:pt idx="7">
                  <c:v>237</c:v>
                </c:pt>
                <c:pt idx="8">
                  <c:v>528</c:v>
                </c:pt>
                <c:pt idx="9">
                  <c:v>477</c:v>
                </c:pt>
                <c:pt idx="10">
                  <c:v>483</c:v>
                </c:pt>
                <c:pt idx="11">
                  <c:v>373</c:v>
                </c:pt>
                <c:pt idx="12">
                  <c:v>473</c:v>
                </c:pt>
                <c:pt idx="13">
                  <c:v>309</c:v>
                </c:pt>
                <c:pt idx="14">
                  <c:v>257</c:v>
                </c:pt>
                <c:pt idx="15">
                  <c:v>295</c:v>
                </c:pt>
                <c:pt idx="16">
                  <c:v>383</c:v>
                </c:pt>
                <c:pt idx="17">
                  <c:v>495</c:v>
                </c:pt>
                <c:pt idx="18">
                  <c:v>417</c:v>
                </c:pt>
                <c:pt idx="19">
                  <c:v>336</c:v>
                </c:pt>
                <c:pt idx="20">
                  <c:v>218</c:v>
                </c:pt>
              </c:numCache>
            </c:numRef>
          </c:val>
          <c:smooth val="0"/>
          <c:extLst>
            <c:ext xmlns:c16="http://schemas.microsoft.com/office/drawing/2014/chart" uri="{C3380CC4-5D6E-409C-BE32-E72D297353CC}">
              <c16:uniqueId val="{00000000-3C2E-A04B-9F62-7A73D9473D34}"/>
            </c:ext>
          </c:extLst>
        </c:ser>
        <c:ser>
          <c:idx val="1"/>
          <c:order val="1"/>
          <c:tx>
            <c:strRef>
              <c:f>Methyl_Bromide_QPS_Consumption.!$B$7</c:f>
              <c:strCache>
                <c:ptCount val="1"/>
                <c:pt idx="0">
                  <c:v>Asia/ Pacific</c:v>
                </c:pt>
              </c:strCache>
            </c:strRef>
          </c:tx>
          <c:marker>
            <c:symbol val="none"/>
          </c:marker>
          <c:cat>
            <c:numRef>
              <c:f>Methyl_Bromide_QPS_Consumption.!$C$5:$W$5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Methyl_Bromide_QPS_Consumption.!$C$7:$W$7</c:f>
              <c:numCache>
                <c:formatCode>#,##0.00</c:formatCode>
                <c:ptCount val="21"/>
                <c:pt idx="0">
                  <c:v>3507</c:v>
                </c:pt>
                <c:pt idx="1">
                  <c:v>3657</c:v>
                </c:pt>
                <c:pt idx="2">
                  <c:v>4517</c:v>
                </c:pt>
                <c:pt idx="3">
                  <c:v>6572</c:v>
                </c:pt>
                <c:pt idx="4">
                  <c:v>5630</c:v>
                </c:pt>
                <c:pt idx="5">
                  <c:v>6302</c:v>
                </c:pt>
                <c:pt idx="6">
                  <c:v>5422</c:v>
                </c:pt>
                <c:pt idx="7">
                  <c:v>6113</c:v>
                </c:pt>
                <c:pt idx="8">
                  <c:v>5293</c:v>
                </c:pt>
                <c:pt idx="9">
                  <c:v>4917</c:v>
                </c:pt>
                <c:pt idx="10">
                  <c:v>4712</c:v>
                </c:pt>
                <c:pt idx="11">
                  <c:v>5233</c:v>
                </c:pt>
                <c:pt idx="12">
                  <c:v>4937</c:v>
                </c:pt>
                <c:pt idx="13">
                  <c:v>4641</c:v>
                </c:pt>
                <c:pt idx="14">
                  <c:v>4091</c:v>
                </c:pt>
                <c:pt idx="15">
                  <c:v>3797</c:v>
                </c:pt>
                <c:pt idx="16">
                  <c:v>4965</c:v>
                </c:pt>
                <c:pt idx="17">
                  <c:v>5445</c:v>
                </c:pt>
                <c:pt idx="18">
                  <c:v>5875</c:v>
                </c:pt>
                <c:pt idx="19">
                  <c:v>5452</c:v>
                </c:pt>
                <c:pt idx="20">
                  <c:v>5362</c:v>
                </c:pt>
              </c:numCache>
            </c:numRef>
          </c:val>
          <c:smooth val="0"/>
          <c:extLst>
            <c:ext xmlns:c16="http://schemas.microsoft.com/office/drawing/2014/chart" uri="{C3380CC4-5D6E-409C-BE32-E72D297353CC}">
              <c16:uniqueId val="{00000001-3C2E-A04B-9F62-7A73D9473D34}"/>
            </c:ext>
          </c:extLst>
        </c:ser>
        <c:ser>
          <c:idx val="2"/>
          <c:order val="2"/>
          <c:tx>
            <c:strRef>
              <c:f>Methyl_Bromide_QPS_Consumption.!$B$8</c:f>
              <c:strCache>
                <c:ptCount val="1"/>
                <c:pt idx="0">
                  <c:v>Eastern Europe</c:v>
                </c:pt>
              </c:strCache>
            </c:strRef>
          </c:tx>
          <c:marker>
            <c:symbol val="none"/>
          </c:marker>
          <c:cat>
            <c:numRef>
              <c:f>Methyl_Bromide_QPS_Consumption.!$C$5:$W$5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Methyl_Bromide_QPS_Consumption.!$C$8:$W$8</c:f>
              <c:numCache>
                <c:formatCode>General</c:formatCode>
                <c:ptCount val="21"/>
                <c:pt idx="0">
                  <c:v>605</c:v>
                </c:pt>
                <c:pt idx="1">
                  <c:v>188</c:v>
                </c:pt>
                <c:pt idx="2">
                  <c:v>278</c:v>
                </c:pt>
                <c:pt idx="3">
                  <c:v>228</c:v>
                </c:pt>
                <c:pt idx="4">
                  <c:v>237</c:v>
                </c:pt>
                <c:pt idx="5">
                  <c:v>248</c:v>
                </c:pt>
                <c:pt idx="6">
                  <c:v>180</c:v>
                </c:pt>
                <c:pt idx="7">
                  <c:v>70</c:v>
                </c:pt>
                <c:pt idx="8">
                  <c:v>23</c:v>
                </c:pt>
                <c:pt idx="9">
                  <c:v>28</c:v>
                </c:pt>
                <c:pt idx="10">
                  <c:v>2</c:v>
                </c:pt>
                <c:pt idx="11">
                  <c:v>0</c:v>
                </c:pt>
                <c:pt idx="12">
                  <c:v>2</c:v>
                </c:pt>
                <c:pt idx="13">
                  <c:v>0</c:v>
                </c:pt>
                <c:pt idx="14">
                  <c:v>0</c:v>
                </c:pt>
                <c:pt idx="15">
                  <c:v>0</c:v>
                </c:pt>
                <c:pt idx="16">
                  <c:v>0</c:v>
                </c:pt>
                <c:pt idx="17">
                  <c:v>0</c:v>
                </c:pt>
                <c:pt idx="18">
                  <c:v>0</c:v>
                </c:pt>
                <c:pt idx="19">
                  <c:v>0</c:v>
                </c:pt>
                <c:pt idx="20">
                  <c:v>0</c:v>
                </c:pt>
              </c:numCache>
            </c:numRef>
          </c:val>
          <c:smooth val="0"/>
          <c:extLst>
            <c:ext xmlns:c16="http://schemas.microsoft.com/office/drawing/2014/chart" uri="{C3380CC4-5D6E-409C-BE32-E72D297353CC}">
              <c16:uniqueId val="{00000002-3C2E-A04B-9F62-7A73D9473D34}"/>
            </c:ext>
          </c:extLst>
        </c:ser>
        <c:ser>
          <c:idx val="3"/>
          <c:order val="3"/>
          <c:tx>
            <c:strRef>
              <c:f>Methyl_Bromide_QPS_Consumption.!$B$9</c:f>
              <c:strCache>
                <c:ptCount val="1"/>
                <c:pt idx="0">
                  <c:v>Latin America &amp; Caribbean</c:v>
                </c:pt>
              </c:strCache>
            </c:strRef>
          </c:tx>
          <c:marker>
            <c:symbol val="none"/>
          </c:marker>
          <c:cat>
            <c:numRef>
              <c:f>Methyl_Bromide_QPS_Consumption.!$C$5:$W$5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Methyl_Bromide_QPS_Consumption.!$C$9:$W$9</c:f>
              <c:numCache>
                <c:formatCode>General</c:formatCode>
                <c:ptCount val="21"/>
                <c:pt idx="0">
                  <c:v>697</c:v>
                </c:pt>
                <c:pt idx="1">
                  <c:v>659</c:v>
                </c:pt>
                <c:pt idx="2">
                  <c:v>347</c:v>
                </c:pt>
                <c:pt idx="3">
                  <c:v>305</c:v>
                </c:pt>
                <c:pt idx="4">
                  <c:v>505</c:v>
                </c:pt>
                <c:pt idx="5">
                  <c:v>590</c:v>
                </c:pt>
                <c:pt idx="6">
                  <c:v>898</c:v>
                </c:pt>
                <c:pt idx="7">
                  <c:v>713</c:v>
                </c:pt>
                <c:pt idx="8">
                  <c:v>843</c:v>
                </c:pt>
                <c:pt idx="9">
                  <c:v>767</c:v>
                </c:pt>
                <c:pt idx="10">
                  <c:v>998</c:v>
                </c:pt>
                <c:pt idx="11">
                  <c:v>977</c:v>
                </c:pt>
                <c:pt idx="12">
                  <c:v>992</c:v>
                </c:pt>
                <c:pt idx="13">
                  <c:v>1096</c:v>
                </c:pt>
                <c:pt idx="14">
                  <c:v>1047</c:v>
                </c:pt>
                <c:pt idx="15">
                  <c:v>1017</c:v>
                </c:pt>
                <c:pt idx="16">
                  <c:v>912</c:v>
                </c:pt>
                <c:pt idx="17">
                  <c:v>1047</c:v>
                </c:pt>
                <c:pt idx="18">
                  <c:v>785</c:v>
                </c:pt>
                <c:pt idx="19">
                  <c:v>849</c:v>
                </c:pt>
                <c:pt idx="20">
                  <c:v>831</c:v>
                </c:pt>
              </c:numCache>
            </c:numRef>
          </c:val>
          <c:smooth val="0"/>
          <c:extLst>
            <c:ext xmlns:c16="http://schemas.microsoft.com/office/drawing/2014/chart" uri="{C3380CC4-5D6E-409C-BE32-E72D297353CC}">
              <c16:uniqueId val="{00000003-3C2E-A04B-9F62-7A73D9473D34}"/>
            </c:ext>
          </c:extLst>
        </c:ser>
        <c:ser>
          <c:idx val="4"/>
          <c:order val="4"/>
          <c:tx>
            <c:strRef>
              <c:f>Methyl_Bromide_QPS_Consumption.!$B$10</c:f>
              <c:strCache>
                <c:ptCount val="1"/>
                <c:pt idx="0">
                  <c:v>North America*</c:v>
                </c:pt>
              </c:strCache>
            </c:strRef>
          </c:tx>
          <c:marker>
            <c:symbol val="none"/>
          </c:marker>
          <c:cat>
            <c:numRef>
              <c:f>Methyl_Bromide_QPS_Consumption.!$C$5:$W$5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Methyl_Bromide_QPS_Consumption.!$C$10:$W$10</c:f>
              <c:numCache>
                <c:formatCode>General</c:formatCode>
                <c:ptCount val="21"/>
                <c:pt idx="0">
                  <c:v>3683</c:v>
                </c:pt>
                <c:pt idx="1">
                  <c:v>3104</c:v>
                </c:pt>
                <c:pt idx="2">
                  <c:v>4147</c:v>
                </c:pt>
                <c:pt idx="3">
                  <c:v>3734</c:v>
                </c:pt>
                <c:pt idx="4">
                  <c:v>4135</c:v>
                </c:pt>
                <c:pt idx="5">
                  <c:v>2953</c:v>
                </c:pt>
                <c:pt idx="6">
                  <c:v>5106</c:v>
                </c:pt>
                <c:pt idx="7">
                  <c:v>2935</c:v>
                </c:pt>
                <c:pt idx="8">
                  <c:v>1233</c:v>
                </c:pt>
                <c:pt idx="9">
                  <c:v>2116</c:v>
                </c:pt>
                <c:pt idx="10">
                  <c:v>3847</c:v>
                </c:pt>
                <c:pt idx="11">
                  <c:v>1917</c:v>
                </c:pt>
                <c:pt idx="12">
                  <c:v>1173</c:v>
                </c:pt>
                <c:pt idx="13">
                  <c:v>2528</c:v>
                </c:pt>
                <c:pt idx="14">
                  <c:v>4678</c:v>
                </c:pt>
                <c:pt idx="15">
                  <c:v>1680</c:v>
                </c:pt>
                <c:pt idx="16">
                  <c:v>790</c:v>
                </c:pt>
                <c:pt idx="17">
                  <c:v>1468</c:v>
                </c:pt>
                <c:pt idx="18">
                  <c:v>2664</c:v>
                </c:pt>
                <c:pt idx="19">
                  <c:v>862</c:v>
                </c:pt>
                <c:pt idx="20">
                  <c:v>1675</c:v>
                </c:pt>
              </c:numCache>
            </c:numRef>
          </c:val>
          <c:smooth val="0"/>
          <c:extLst>
            <c:ext xmlns:c16="http://schemas.microsoft.com/office/drawing/2014/chart" uri="{C3380CC4-5D6E-409C-BE32-E72D297353CC}">
              <c16:uniqueId val="{00000004-3C2E-A04B-9F62-7A73D9473D34}"/>
            </c:ext>
          </c:extLst>
        </c:ser>
        <c:ser>
          <c:idx val="5"/>
          <c:order val="5"/>
          <c:tx>
            <c:strRef>
              <c:f>Methyl_Bromide_QPS_Consumption.!$B$11</c:f>
              <c:strCache>
                <c:ptCount val="1"/>
                <c:pt idx="0">
                  <c:v>Aus &amp; NZ</c:v>
                </c:pt>
              </c:strCache>
            </c:strRef>
          </c:tx>
          <c:marker>
            <c:symbol val="none"/>
          </c:marker>
          <c:cat>
            <c:numRef>
              <c:f>Methyl_Bromide_QPS_Consumption.!$C$5:$W$5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Methyl_Bromide_QPS_Consumption.!$C$11:$W$11</c:f>
              <c:numCache>
                <c:formatCode>General</c:formatCode>
                <c:ptCount val="21"/>
                <c:pt idx="0">
                  <c:v>575</c:v>
                </c:pt>
                <c:pt idx="1">
                  <c:v>519</c:v>
                </c:pt>
                <c:pt idx="2">
                  <c:v>515</c:v>
                </c:pt>
                <c:pt idx="3">
                  <c:v>581</c:v>
                </c:pt>
                <c:pt idx="4">
                  <c:v>593</c:v>
                </c:pt>
                <c:pt idx="5">
                  <c:v>473</c:v>
                </c:pt>
                <c:pt idx="6">
                  <c:v>566</c:v>
                </c:pt>
                <c:pt idx="7">
                  <c:v>448</c:v>
                </c:pt>
                <c:pt idx="8">
                  <c:v>689</c:v>
                </c:pt>
                <c:pt idx="9">
                  <c:v>772</c:v>
                </c:pt>
                <c:pt idx="10">
                  <c:v>878</c:v>
                </c:pt>
                <c:pt idx="11">
                  <c:v>1159</c:v>
                </c:pt>
                <c:pt idx="12">
                  <c:v>1247</c:v>
                </c:pt>
                <c:pt idx="13">
                  <c:v>1186</c:v>
                </c:pt>
                <c:pt idx="14">
                  <c:v>1013</c:v>
                </c:pt>
                <c:pt idx="15">
                  <c:v>1387</c:v>
                </c:pt>
                <c:pt idx="16">
                  <c:v>1300</c:v>
                </c:pt>
                <c:pt idx="17">
                  <c:v>1483</c:v>
                </c:pt>
                <c:pt idx="18">
                  <c:v>1346</c:v>
                </c:pt>
                <c:pt idx="19">
                  <c:v>1467</c:v>
                </c:pt>
                <c:pt idx="20">
                  <c:v>1386</c:v>
                </c:pt>
              </c:numCache>
            </c:numRef>
          </c:val>
          <c:smooth val="0"/>
          <c:extLst>
            <c:ext xmlns:c16="http://schemas.microsoft.com/office/drawing/2014/chart" uri="{C3380CC4-5D6E-409C-BE32-E72D297353CC}">
              <c16:uniqueId val="{00000005-3C2E-A04B-9F62-7A73D9473D34}"/>
            </c:ext>
          </c:extLst>
        </c:ser>
        <c:ser>
          <c:idx val="6"/>
          <c:order val="6"/>
          <c:tx>
            <c:strRef>
              <c:f>Methyl_Bromide_QPS_Consumption.!$B$12</c:f>
              <c:strCache>
                <c:ptCount val="1"/>
                <c:pt idx="0">
                  <c:v>European Union</c:v>
                </c:pt>
              </c:strCache>
            </c:strRef>
          </c:tx>
          <c:marker>
            <c:symbol val="none"/>
          </c:marker>
          <c:cat>
            <c:numRef>
              <c:f>Methyl_Bromide_QPS_Consumption.!$C$5:$W$5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Methyl_Bromide_QPS_Consumption.!$C$12:$W$12</c:f>
              <c:numCache>
                <c:formatCode>#,##0.00</c:formatCode>
                <c:ptCount val="21"/>
                <c:pt idx="0">
                  <c:v>2855</c:v>
                </c:pt>
                <c:pt idx="1">
                  <c:v>830</c:v>
                </c:pt>
                <c:pt idx="2">
                  <c:v>800</c:v>
                </c:pt>
                <c:pt idx="3">
                  <c:v>758</c:v>
                </c:pt>
                <c:pt idx="4">
                  <c:v>880</c:v>
                </c:pt>
                <c:pt idx="5">
                  <c:v>586</c:v>
                </c:pt>
                <c:pt idx="6">
                  <c:v>342</c:v>
                </c:pt>
                <c:pt idx="7">
                  <c:v>193</c:v>
                </c:pt>
                <c:pt idx="8">
                  <c:v>195</c:v>
                </c:pt>
                <c:pt idx="9">
                  <c:v>53</c:v>
                </c:pt>
                <c:pt idx="10">
                  <c:v>0</c:v>
                </c:pt>
                <c:pt idx="11">
                  <c:v>0</c:v>
                </c:pt>
                <c:pt idx="12">
                  <c:v>0</c:v>
                </c:pt>
                <c:pt idx="13">
                  <c:v>0</c:v>
                </c:pt>
                <c:pt idx="14">
                  <c:v>0</c:v>
                </c:pt>
                <c:pt idx="15">
                  <c:v>0</c:v>
                </c:pt>
                <c:pt idx="16">
                  <c:v>0</c:v>
                </c:pt>
                <c:pt idx="17">
                  <c:v>0</c:v>
                </c:pt>
                <c:pt idx="18">
                  <c:v>0</c:v>
                </c:pt>
                <c:pt idx="19">
                  <c:v>0</c:v>
                </c:pt>
                <c:pt idx="20">
                  <c:v>0</c:v>
                </c:pt>
              </c:numCache>
            </c:numRef>
          </c:val>
          <c:smooth val="0"/>
          <c:extLst>
            <c:ext xmlns:c16="http://schemas.microsoft.com/office/drawing/2014/chart" uri="{C3380CC4-5D6E-409C-BE32-E72D297353CC}">
              <c16:uniqueId val="{00000006-3C2E-A04B-9F62-7A73D9473D34}"/>
            </c:ext>
          </c:extLst>
        </c:ser>
        <c:dLbls>
          <c:showLegendKey val="0"/>
          <c:showVal val="0"/>
          <c:showCatName val="0"/>
          <c:showSerName val="0"/>
          <c:showPercent val="0"/>
          <c:showBubbleSize val="0"/>
        </c:dLbls>
        <c:smooth val="0"/>
        <c:axId val="2113317464"/>
        <c:axId val="2113577320"/>
      </c:lineChart>
      <c:catAx>
        <c:axId val="2113317464"/>
        <c:scaling>
          <c:orientation val="minMax"/>
        </c:scaling>
        <c:delete val="0"/>
        <c:axPos val="b"/>
        <c:numFmt formatCode="General" sourceLinked="1"/>
        <c:majorTickMark val="out"/>
        <c:minorTickMark val="none"/>
        <c:tickLblPos val="nextTo"/>
        <c:txPr>
          <a:bodyPr rot="2400000"/>
          <a:lstStyle/>
          <a:p>
            <a:pPr>
              <a:defRPr sz="900" b="0"/>
            </a:pPr>
            <a:endParaRPr lang="en-US"/>
          </a:p>
        </c:txPr>
        <c:crossAx val="2113577320"/>
        <c:crosses val="autoZero"/>
        <c:auto val="1"/>
        <c:lblAlgn val="ctr"/>
        <c:lblOffset val="100"/>
        <c:noMultiLvlLbl val="0"/>
      </c:catAx>
      <c:valAx>
        <c:axId val="2113577320"/>
        <c:scaling>
          <c:orientation val="minMax"/>
        </c:scaling>
        <c:delete val="0"/>
        <c:axPos val="l"/>
        <c:majorGridlines/>
        <c:title>
          <c:tx>
            <c:rich>
              <a:bodyPr/>
              <a:lstStyle/>
              <a:p>
                <a:pPr>
                  <a:defRPr sz="900"/>
                </a:pPr>
                <a:r>
                  <a:rPr lang="en-US" sz="900"/>
                  <a:t>Methyl bromide (metric tonnes)</a:t>
                </a:r>
              </a:p>
            </c:rich>
          </c:tx>
          <c:layout>
            <c:manualLayout>
              <c:xMode val="edge"/>
              <c:yMode val="edge"/>
              <c:x val="1.7529092720398032E-2"/>
              <c:y val="0.1697332058811496"/>
            </c:manualLayout>
          </c:layout>
          <c:overlay val="0"/>
        </c:title>
        <c:numFmt formatCode="General" sourceLinked="1"/>
        <c:majorTickMark val="out"/>
        <c:minorTickMark val="none"/>
        <c:tickLblPos val="nextTo"/>
        <c:txPr>
          <a:bodyPr/>
          <a:lstStyle/>
          <a:p>
            <a:pPr>
              <a:defRPr sz="900" b="0"/>
            </a:pPr>
            <a:endParaRPr lang="en-US"/>
          </a:p>
        </c:txPr>
        <c:crossAx val="2113317464"/>
        <c:crosses val="autoZero"/>
        <c:crossBetween val="between"/>
      </c:valAx>
    </c:plotArea>
    <c:legend>
      <c:legendPos val="t"/>
      <c:layout>
        <c:manualLayout>
          <c:xMode val="edge"/>
          <c:yMode val="edge"/>
          <c:x val="9.8366013071895422E-2"/>
          <c:y val="0"/>
          <c:w val="0.84168633453863428"/>
          <c:h val="0.14167606735575597"/>
        </c:manualLayout>
      </c:layout>
      <c:overlay val="0"/>
      <c:txPr>
        <a:bodyPr/>
        <a:lstStyle/>
        <a:p>
          <a:pPr>
            <a:defRPr sz="1000"/>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DD21A8E26CE94896A76A5B5C124AE0" ma:contentTypeVersion="" ma:contentTypeDescription="Create a new document." ma:contentTypeScope="" ma:versionID="8b41045bbb1c00605e4c14a7f7a73e55">
  <xsd:schema xmlns:xsd="http://www.w3.org/2001/XMLSchema" xmlns:xs="http://www.w3.org/2001/XMLSchema" xmlns:p="http://schemas.microsoft.com/office/2006/metadata/properties" xmlns:ns2="E104F0B2-CDCC-419C-9245-21F8D836CFA0" xmlns:ns3="e104f0b2-cdcc-419c-9245-21f8d836cfa0" targetNamespace="http://schemas.microsoft.com/office/2006/metadata/properties" ma:root="true" ma:fieldsID="a983e15a753a597a232c04c0953373d9" ns2:_="" ns3:_="">
    <xsd:import namespace="E104F0B2-CDCC-419C-9245-21F8D836CFA0"/>
    <xsd:import namespace="e104f0b2-cdcc-419c-9245-21f8d836cfa0"/>
    <xsd:element name="properties">
      <xsd:complexType>
        <xsd:sequence>
          <xsd:element name="documentManagement">
            <xsd:complexType>
              <xsd:all>
                <xsd:element ref="ns2:Document_x0020_Symbol"/>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4F0B2-CDCC-419C-9245-21F8D836CFA0" elementFormDefault="qualified">
    <xsd:import namespace="http://schemas.microsoft.com/office/2006/documentManagement/types"/>
    <xsd:import namespace="http://schemas.microsoft.com/office/infopath/2007/PartnerControls"/>
    <xsd:element name="Document_x0020_Symbol" ma:index="8" ma:displayName="Document Symbol" ma:internalName="Document_x0020_Symbo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04f0b2-cdcc-419c-9245-21f8d836cfa0" elementFormDefault="qualified">
    <xsd:import namespace="http://schemas.microsoft.com/office/2006/documentManagement/types"/>
    <xsd:import namespace="http://schemas.microsoft.com/office/infopath/2007/PartnerControls"/>
    <xsd:element name="order0" ma:index="9" nillable="true" ma:displayName="order" ma:internalName="order0">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_x0020_Symbol xmlns="E104F0B2-CDCC-419C-9245-21F8D836CFA0">-</Document_x0020_Symbol>
    <order0 xmlns="e104f0b2-cdcc-419c-9245-21f8d836cfa0">1</order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2D882-B90F-4F76-A89C-2762FF285872}">
  <ds:schemaRefs>
    <ds:schemaRef ds:uri="http://schemas.microsoft.com/sharepoint/v3/contenttype/forms"/>
  </ds:schemaRefs>
</ds:datastoreItem>
</file>

<file path=customXml/itemProps2.xml><?xml version="1.0" encoding="utf-8"?>
<ds:datastoreItem xmlns:ds="http://schemas.openxmlformats.org/officeDocument/2006/customXml" ds:itemID="{7AB794EC-CCFF-46D6-8353-947793F89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4F0B2-CDCC-419C-9245-21F8D836CFA0"/>
    <ds:schemaRef ds:uri="e104f0b2-cdcc-419c-9245-21f8d836c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7F6A5F-8E26-4928-8F5C-9C77A9EAC137}">
  <ds:schemaRefs>
    <ds:schemaRef ds:uri="http://schemas.microsoft.com/office/2006/metadata/properties"/>
    <ds:schemaRef ds:uri="http://schemas.microsoft.com/office/infopath/2007/PartnerControls"/>
    <ds:schemaRef ds:uri="E104F0B2-CDCC-419C-9245-21F8D836CFA0"/>
    <ds:schemaRef ds:uri="e104f0b2-cdcc-419c-9245-21f8d836cfa0"/>
  </ds:schemaRefs>
</ds:datastoreItem>
</file>

<file path=customXml/itemProps4.xml><?xml version="1.0" encoding="utf-8"?>
<ds:datastoreItem xmlns:ds="http://schemas.openxmlformats.org/officeDocument/2006/customXml" ds:itemID="{DE828801-BCED-4C43-B13B-C3BE1F819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109</Pages>
  <Words>41011</Words>
  <Characters>233769</Characters>
  <Application>Microsoft Office Word</Application>
  <DocSecurity>0</DocSecurity>
  <Lines>1948</Lines>
  <Paragraphs>548</Paragraphs>
  <ScaleCrop>false</ScaleCrop>
  <HeadingPairs>
    <vt:vector size="2" baseType="variant">
      <vt:variant>
        <vt:lpstr>Title</vt:lpstr>
      </vt:variant>
      <vt:variant>
        <vt:i4>1</vt:i4>
      </vt:variant>
    </vt:vector>
  </HeadingPairs>
  <TitlesOfParts>
    <vt:vector size="1" baseType="lpstr">
      <vt:lpstr>TEAP May 2020: Progress Report (Volume 1) - Advance</vt:lpstr>
    </vt:vector>
  </TitlesOfParts>
  <Company>HP</Company>
  <LinksUpToDate>false</LinksUpToDate>
  <CharactersWithSpaces>274232</CharactersWithSpaces>
  <SharedDoc>false</SharedDoc>
  <HLinks>
    <vt:vector size="234" baseType="variant">
      <vt:variant>
        <vt:i4>3080316</vt:i4>
      </vt:variant>
      <vt:variant>
        <vt:i4>339</vt:i4>
      </vt:variant>
      <vt:variant>
        <vt:i4>0</vt:i4>
      </vt:variant>
      <vt:variant>
        <vt:i4>5</vt:i4>
      </vt:variant>
      <vt:variant>
        <vt:lpwstr>http://ozone.unep.org/en/assessment-panels/technology-and-economic-assessment-panel</vt:lpwstr>
      </vt:variant>
      <vt:variant>
        <vt:lpwstr/>
      </vt:variant>
      <vt:variant>
        <vt:i4>196621</vt:i4>
      </vt:variant>
      <vt:variant>
        <vt:i4>330</vt:i4>
      </vt:variant>
      <vt:variant>
        <vt:i4>0</vt:i4>
      </vt:variant>
      <vt:variant>
        <vt:i4>5</vt:i4>
      </vt:variant>
      <vt:variant>
        <vt:lpwstr>http://www.pbcrc.com.au/research/publications?f%5bauthor%5d=1202</vt:lpwstr>
      </vt:variant>
      <vt:variant>
        <vt:lpwstr/>
      </vt:variant>
      <vt:variant>
        <vt:i4>262153</vt:i4>
      </vt:variant>
      <vt:variant>
        <vt:i4>327</vt:i4>
      </vt:variant>
      <vt:variant>
        <vt:i4>0</vt:i4>
      </vt:variant>
      <vt:variant>
        <vt:i4>5</vt:i4>
      </vt:variant>
      <vt:variant>
        <vt:lpwstr>http://www.pbcrc.com.au/research/publications?f%5bauthor%5d=1443</vt:lpwstr>
      </vt:variant>
      <vt:variant>
        <vt:lpwstr/>
      </vt:variant>
      <vt:variant>
        <vt:i4>327689</vt:i4>
      </vt:variant>
      <vt:variant>
        <vt:i4>324</vt:i4>
      </vt:variant>
      <vt:variant>
        <vt:i4>0</vt:i4>
      </vt:variant>
      <vt:variant>
        <vt:i4>5</vt:i4>
      </vt:variant>
      <vt:variant>
        <vt:lpwstr>http://www.pbcrc.com.au/research/publications?f%5bauthor%5d=1442</vt:lpwstr>
      </vt:variant>
      <vt:variant>
        <vt:lpwstr/>
      </vt:variant>
      <vt:variant>
        <vt:i4>393225</vt:i4>
      </vt:variant>
      <vt:variant>
        <vt:i4>321</vt:i4>
      </vt:variant>
      <vt:variant>
        <vt:i4>0</vt:i4>
      </vt:variant>
      <vt:variant>
        <vt:i4>5</vt:i4>
      </vt:variant>
      <vt:variant>
        <vt:lpwstr>http://www.pbcrc.com.au/research/publications?f%5bauthor%5d=1441</vt:lpwstr>
      </vt:variant>
      <vt:variant>
        <vt:lpwstr/>
      </vt:variant>
      <vt:variant>
        <vt:i4>458761</vt:i4>
      </vt:variant>
      <vt:variant>
        <vt:i4>318</vt:i4>
      </vt:variant>
      <vt:variant>
        <vt:i4>0</vt:i4>
      </vt:variant>
      <vt:variant>
        <vt:i4>5</vt:i4>
      </vt:variant>
      <vt:variant>
        <vt:lpwstr>http://www.pbcrc.com.au/research/publications?f%5bauthor%5d=1440</vt:lpwstr>
      </vt:variant>
      <vt:variant>
        <vt:lpwstr/>
      </vt:variant>
      <vt:variant>
        <vt:i4>7143517</vt:i4>
      </vt:variant>
      <vt:variant>
        <vt:i4>315</vt:i4>
      </vt:variant>
      <vt:variant>
        <vt:i4>0</vt:i4>
      </vt:variant>
      <vt:variant>
        <vt:i4>5</vt:i4>
      </vt:variant>
      <vt:variant>
        <vt:lpwstr>https://www.sciencedirect.com/science/article/pii/S0929139317310570</vt:lpwstr>
      </vt:variant>
      <vt:variant>
        <vt:lpwstr>!</vt:lpwstr>
      </vt:variant>
      <vt:variant>
        <vt:i4>7143517</vt:i4>
      </vt:variant>
      <vt:variant>
        <vt:i4>312</vt:i4>
      </vt:variant>
      <vt:variant>
        <vt:i4>0</vt:i4>
      </vt:variant>
      <vt:variant>
        <vt:i4>5</vt:i4>
      </vt:variant>
      <vt:variant>
        <vt:lpwstr>https://www.sciencedirect.com/science/article/pii/S0929139317310570</vt:lpwstr>
      </vt:variant>
      <vt:variant>
        <vt:lpwstr>!</vt:lpwstr>
      </vt:variant>
      <vt:variant>
        <vt:i4>7143517</vt:i4>
      </vt:variant>
      <vt:variant>
        <vt:i4>309</vt:i4>
      </vt:variant>
      <vt:variant>
        <vt:i4>0</vt:i4>
      </vt:variant>
      <vt:variant>
        <vt:i4>5</vt:i4>
      </vt:variant>
      <vt:variant>
        <vt:lpwstr>https://www.sciencedirect.com/science/article/pii/S0929139317310570</vt:lpwstr>
      </vt:variant>
      <vt:variant>
        <vt:lpwstr>!</vt:lpwstr>
      </vt:variant>
      <vt:variant>
        <vt:i4>7143517</vt:i4>
      </vt:variant>
      <vt:variant>
        <vt:i4>306</vt:i4>
      </vt:variant>
      <vt:variant>
        <vt:i4>0</vt:i4>
      </vt:variant>
      <vt:variant>
        <vt:i4>5</vt:i4>
      </vt:variant>
      <vt:variant>
        <vt:lpwstr>https://www.sciencedirect.com/science/article/pii/S0929139317310570</vt:lpwstr>
      </vt:variant>
      <vt:variant>
        <vt:lpwstr>!</vt:lpwstr>
      </vt:variant>
      <vt:variant>
        <vt:i4>7143517</vt:i4>
      </vt:variant>
      <vt:variant>
        <vt:i4>303</vt:i4>
      </vt:variant>
      <vt:variant>
        <vt:i4>0</vt:i4>
      </vt:variant>
      <vt:variant>
        <vt:i4>5</vt:i4>
      </vt:variant>
      <vt:variant>
        <vt:lpwstr>https://www.sciencedirect.com/science/article/pii/S0929139317310570</vt:lpwstr>
      </vt:variant>
      <vt:variant>
        <vt:lpwstr>!</vt:lpwstr>
      </vt:variant>
      <vt:variant>
        <vt:i4>7143517</vt:i4>
      </vt:variant>
      <vt:variant>
        <vt:i4>300</vt:i4>
      </vt:variant>
      <vt:variant>
        <vt:i4>0</vt:i4>
      </vt:variant>
      <vt:variant>
        <vt:i4>5</vt:i4>
      </vt:variant>
      <vt:variant>
        <vt:lpwstr>https://www.sciencedirect.com/science/article/pii/S0929139317310570</vt:lpwstr>
      </vt:variant>
      <vt:variant>
        <vt:lpwstr>!</vt:lpwstr>
      </vt:variant>
      <vt:variant>
        <vt:i4>4390939</vt:i4>
      </vt:variant>
      <vt:variant>
        <vt:i4>297</vt:i4>
      </vt:variant>
      <vt:variant>
        <vt:i4>0</vt:i4>
      </vt:variant>
      <vt:variant>
        <vt:i4>5</vt:i4>
      </vt:variant>
      <vt:variant>
        <vt:lpwstr>http://booksandjournals.brillonline.com/content/journals/15685411</vt:lpwstr>
      </vt:variant>
      <vt:variant>
        <vt:lpwstr/>
      </vt:variant>
      <vt:variant>
        <vt:i4>7798825</vt:i4>
      </vt:variant>
      <vt:variant>
        <vt:i4>294</vt:i4>
      </vt:variant>
      <vt:variant>
        <vt:i4>0</vt:i4>
      </vt:variant>
      <vt:variant>
        <vt:i4>5</vt:i4>
      </vt:variant>
      <vt:variant>
        <vt:lpwstr>http://booksandjournals.brillonline.com/search?value1=&amp;option1=all&amp;value2=Ken+Evans&amp;option2=author</vt:lpwstr>
      </vt:variant>
      <vt:variant>
        <vt:lpwstr/>
      </vt:variant>
      <vt:variant>
        <vt:i4>6881384</vt:i4>
      </vt:variant>
      <vt:variant>
        <vt:i4>291</vt:i4>
      </vt:variant>
      <vt:variant>
        <vt:i4>0</vt:i4>
      </vt:variant>
      <vt:variant>
        <vt:i4>5</vt:i4>
      </vt:variant>
      <vt:variant>
        <vt:lpwstr>http://booksandjournals.brillonline.com/search?value1=&amp;option1=all&amp;value2=Ignacio+Cid+Del+Prado-Vera&amp;option2=author</vt:lpwstr>
      </vt:variant>
      <vt:variant>
        <vt:lpwstr/>
      </vt:variant>
      <vt:variant>
        <vt:i4>5636181</vt:i4>
      </vt:variant>
      <vt:variant>
        <vt:i4>288</vt:i4>
      </vt:variant>
      <vt:variant>
        <vt:i4>0</vt:i4>
      </vt:variant>
      <vt:variant>
        <vt:i4>5</vt:i4>
      </vt:variant>
      <vt:variant>
        <vt:lpwstr>http://booksandjournals.brillonline.com/search?value1=&amp;option1=all&amp;value2=Prometeo+S%C3%A1nchez-Garcia&amp;option2=author</vt:lpwstr>
      </vt:variant>
      <vt:variant>
        <vt:lpwstr/>
      </vt:variant>
      <vt:variant>
        <vt:i4>5439519</vt:i4>
      </vt:variant>
      <vt:variant>
        <vt:i4>285</vt:i4>
      </vt:variant>
      <vt:variant>
        <vt:i4>0</vt:i4>
      </vt:variant>
      <vt:variant>
        <vt:i4>5</vt:i4>
      </vt:variant>
      <vt:variant>
        <vt:lpwstr>http://booksandjournals.brillonline.com/search?value1=&amp;option1=all&amp;value2=Nah%C3%BAm+Marb%C3%A1n-M%C3%A9ndoza&amp;option2=author</vt:lpwstr>
      </vt:variant>
      <vt:variant>
        <vt:lpwstr/>
      </vt:variant>
      <vt:variant>
        <vt:i4>3539003</vt:i4>
      </vt:variant>
      <vt:variant>
        <vt:i4>282</vt:i4>
      </vt:variant>
      <vt:variant>
        <vt:i4>0</vt:i4>
      </vt:variant>
      <vt:variant>
        <vt:i4>5</vt:i4>
      </vt:variant>
      <vt:variant>
        <vt:lpwstr>http://booksandjournals.brillonline.com/search?value1=&amp;option1=all&amp;value2=Jairo+Crist%C3%B3bal-Alejo&amp;option2=author</vt:lpwstr>
      </vt:variant>
      <vt:variant>
        <vt:lpwstr/>
      </vt:variant>
      <vt:variant>
        <vt:i4>7929966</vt:i4>
      </vt:variant>
      <vt:variant>
        <vt:i4>279</vt:i4>
      </vt:variant>
      <vt:variant>
        <vt:i4>0</vt:i4>
      </vt:variant>
      <vt:variant>
        <vt:i4>5</vt:i4>
      </vt:variant>
      <vt:variant>
        <vt:lpwstr>http://db.koreascholar.com/article?code=306797</vt:lpwstr>
      </vt:variant>
      <vt:variant>
        <vt:lpwstr/>
      </vt:variant>
      <vt:variant>
        <vt:i4>4522071</vt:i4>
      </vt:variant>
      <vt:variant>
        <vt:i4>276</vt:i4>
      </vt:variant>
      <vt:variant>
        <vt:i4>0</vt:i4>
      </vt:variant>
      <vt:variant>
        <vt:i4>5</vt:i4>
      </vt:variant>
      <vt:variant>
        <vt:lpwstr>javascript:;</vt:lpwstr>
      </vt:variant>
      <vt:variant>
        <vt:lpwstr/>
      </vt:variant>
      <vt:variant>
        <vt:i4>4522071</vt:i4>
      </vt:variant>
      <vt:variant>
        <vt:i4>273</vt:i4>
      </vt:variant>
      <vt:variant>
        <vt:i4>0</vt:i4>
      </vt:variant>
      <vt:variant>
        <vt:i4>5</vt:i4>
      </vt:variant>
      <vt:variant>
        <vt:lpwstr>javascript:;</vt:lpwstr>
      </vt:variant>
      <vt:variant>
        <vt:lpwstr/>
      </vt:variant>
      <vt:variant>
        <vt:i4>4522071</vt:i4>
      </vt:variant>
      <vt:variant>
        <vt:i4>270</vt:i4>
      </vt:variant>
      <vt:variant>
        <vt:i4>0</vt:i4>
      </vt:variant>
      <vt:variant>
        <vt:i4>5</vt:i4>
      </vt:variant>
      <vt:variant>
        <vt:lpwstr>javascript:;</vt:lpwstr>
      </vt:variant>
      <vt:variant>
        <vt:lpwstr/>
      </vt:variant>
      <vt:variant>
        <vt:i4>4522071</vt:i4>
      </vt:variant>
      <vt:variant>
        <vt:i4>267</vt:i4>
      </vt:variant>
      <vt:variant>
        <vt:i4>0</vt:i4>
      </vt:variant>
      <vt:variant>
        <vt:i4>5</vt:i4>
      </vt:variant>
      <vt:variant>
        <vt:lpwstr>javascript:;</vt:lpwstr>
      </vt:variant>
      <vt:variant>
        <vt:lpwstr/>
      </vt:variant>
      <vt:variant>
        <vt:i4>4522071</vt:i4>
      </vt:variant>
      <vt:variant>
        <vt:i4>264</vt:i4>
      </vt:variant>
      <vt:variant>
        <vt:i4>0</vt:i4>
      </vt:variant>
      <vt:variant>
        <vt:i4>5</vt:i4>
      </vt:variant>
      <vt:variant>
        <vt:lpwstr>javascript:;</vt:lpwstr>
      </vt:variant>
      <vt:variant>
        <vt:lpwstr/>
      </vt:variant>
      <vt:variant>
        <vt:i4>5898306</vt:i4>
      </vt:variant>
      <vt:variant>
        <vt:i4>261</vt:i4>
      </vt:variant>
      <vt:variant>
        <vt:i4>0</vt:i4>
      </vt:variant>
      <vt:variant>
        <vt:i4>5</vt:i4>
      </vt:variant>
      <vt:variant>
        <vt:lpwstr>https://www.ipcc.ch/report/sroc/</vt:lpwstr>
      </vt:variant>
      <vt:variant>
        <vt:lpwstr/>
      </vt:variant>
      <vt:variant>
        <vt:i4>6160418</vt:i4>
      </vt:variant>
      <vt:variant>
        <vt:i4>42</vt:i4>
      </vt:variant>
      <vt:variant>
        <vt:i4>0</vt:i4>
      </vt:variant>
      <vt:variant>
        <vt:i4>5</vt:i4>
      </vt:variant>
      <vt:variant>
        <vt:lpwstr>https://www.epa.gov/sites/production/files/2018-04/documents/draft_report_the_us_phaseout_of_hcfcs_projected_servicing_demands_in_the_u.s._air_conditioning_refrigeration_and_fire_suppression_sector_2020-2030_0.pdf</vt:lpwstr>
      </vt:variant>
      <vt:variant>
        <vt:lpwstr/>
      </vt:variant>
      <vt:variant>
        <vt:i4>3735614</vt:i4>
      </vt:variant>
      <vt:variant>
        <vt:i4>39</vt:i4>
      </vt:variant>
      <vt:variant>
        <vt:i4>0</vt:i4>
      </vt:variant>
      <vt:variant>
        <vt:i4>5</vt:i4>
      </vt:variant>
      <vt:variant>
        <vt:lpwstr>http://www.est-systems.com/Application.html</vt:lpwstr>
      </vt:variant>
      <vt:variant>
        <vt:lpwstr/>
      </vt:variant>
      <vt:variant>
        <vt:i4>327711</vt:i4>
      </vt:variant>
      <vt:variant>
        <vt:i4>36</vt:i4>
      </vt:variant>
      <vt:variant>
        <vt:i4>0</vt:i4>
      </vt:variant>
      <vt:variant>
        <vt:i4>5</vt:i4>
      </vt:variant>
      <vt:variant>
        <vt:lpwstr>https://doi.org/10.1088/1748-9326/aa9c87</vt:lpwstr>
      </vt:variant>
      <vt:variant>
        <vt:lpwstr/>
      </vt:variant>
      <vt:variant>
        <vt:i4>6291513</vt:i4>
      </vt:variant>
      <vt:variant>
        <vt:i4>33</vt:i4>
      </vt:variant>
      <vt:variant>
        <vt:i4>0</vt:i4>
      </vt:variant>
      <vt:variant>
        <vt:i4>5</vt:i4>
      </vt:variant>
      <vt:variant>
        <vt:lpwstr>https://www.epa.gov/sites/production/files/2017-02/documents/1-bromopropane.pdf</vt:lpwstr>
      </vt:variant>
      <vt:variant>
        <vt:lpwstr/>
      </vt:variant>
      <vt:variant>
        <vt:i4>2359396</vt:i4>
      </vt:variant>
      <vt:variant>
        <vt:i4>30</vt:i4>
      </vt:variant>
      <vt:variant>
        <vt:i4>0</vt:i4>
      </vt:variant>
      <vt:variant>
        <vt:i4>5</vt:i4>
      </vt:variant>
      <vt:variant>
        <vt:lpwstr>https://www.epa.gov/assessing-and-managing-chemicals-under-tsca/risk-evaluation-1-bromopropane-1-bp</vt:lpwstr>
      </vt:variant>
      <vt:variant>
        <vt:lpwstr/>
      </vt:variant>
      <vt:variant>
        <vt:i4>7667751</vt:i4>
      </vt:variant>
      <vt:variant>
        <vt:i4>27</vt:i4>
      </vt:variant>
      <vt:variant>
        <vt:i4>0</vt:i4>
      </vt:variant>
      <vt:variant>
        <vt:i4>5</vt:i4>
      </vt:variant>
      <vt:variant>
        <vt:lpwstr>https://echa.europa.eu/brief-profile/-/briefprofile/100.003.133</vt:lpwstr>
      </vt:variant>
      <vt:variant>
        <vt:lpwstr/>
      </vt:variant>
      <vt:variant>
        <vt:i4>6225937</vt:i4>
      </vt:variant>
      <vt:variant>
        <vt:i4>24</vt:i4>
      </vt:variant>
      <vt:variant>
        <vt:i4>0</vt:i4>
      </vt:variant>
      <vt:variant>
        <vt:i4>5</vt:i4>
      </vt:variant>
      <vt:variant>
        <vt:lpwstr>https://echa.europa.eu/authorisation-list/-/dislist/details/0b0236e1804d5364</vt:lpwstr>
      </vt:variant>
      <vt:variant>
        <vt:lpwstr/>
      </vt:variant>
      <vt:variant>
        <vt:i4>6881326</vt:i4>
      </vt:variant>
      <vt:variant>
        <vt:i4>21</vt:i4>
      </vt:variant>
      <vt:variant>
        <vt:i4>0</vt:i4>
      </vt:variant>
      <vt:variant>
        <vt:i4>5</vt:i4>
      </vt:variant>
      <vt:variant>
        <vt:lpwstr>https://ntp.niehs.nih.gov/ntp/about_ntp/monopeerrvw/2013/march/draftroc1bpmonograph_508.pdf</vt:lpwstr>
      </vt:variant>
      <vt:variant>
        <vt:lpwstr/>
      </vt:variant>
      <vt:variant>
        <vt:i4>6291456</vt:i4>
      </vt:variant>
      <vt:variant>
        <vt:i4>18</vt:i4>
      </vt:variant>
      <vt:variant>
        <vt:i4>0</vt:i4>
      </vt:variant>
      <vt:variant>
        <vt:i4>5</vt:i4>
      </vt:variant>
      <vt:variant>
        <vt:lpwstr>https://echa.europa.eu/view-article/-/journal_content/title/new-practical-guide-on-intermediates-launched</vt:lpwstr>
      </vt:variant>
      <vt:variant>
        <vt:lpwstr/>
      </vt:variant>
      <vt:variant>
        <vt:i4>5963836</vt:i4>
      </vt:variant>
      <vt:variant>
        <vt:i4>15</vt:i4>
      </vt:variant>
      <vt:variant>
        <vt:i4>0</vt:i4>
      </vt:variant>
      <vt:variant>
        <vt:i4>5</vt:i4>
      </vt:variant>
      <vt:variant>
        <vt:lpwstr>http://www.ipcc-nggip.iges.or.jp/public/2006gl/pdf/3_Volume3/V3_3_Ch3_Chemical_Industry.pdf</vt:lpwstr>
      </vt:variant>
      <vt:variant>
        <vt:lpwstr/>
      </vt:variant>
      <vt:variant>
        <vt:i4>6160476</vt:i4>
      </vt:variant>
      <vt:variant>
        <vt:i4>12</vt:i4>
      </vt:variant>
      <vt:variant>
        <vt:i4>0</vt:i4>
      </vt:variant>
      <vt:variant>
        <vt:i4>5</vt:i4>
      </vt:variant>
      <vt:variant>
        <vt:lpwstr>http://prtr.ec.europa.eu/</vt:lpwstr>
      </vt:variant>
      <vt:variant>
        <vt:lpwstr/>
      </vt:variant>
      <vt:variant>
        <vt:i4>327711</vt:i4>
      </vt:variant>
      <vt:variant>
        <vt:i4>9</vt:i4>
      </vt:variant>
      <vt:variant>
        <vt:i4>0</vt:i4>
      </vt:variant>
      <vt:variant>
        <vt:i4>5</vt:i4>
      </vt:variant>
      <vt:variant>
        <vt:lpwstr>https://doi.org/10.1088/1748-9326/aa9c87</vt:lpwstr>
      </vt:variant>
      <vt:variant>
        <vt:lpwstr/>
      </vt:variant>
      <vt:variant>
        <vt:i4>4390979</vt:i4>
      </vt:variant>
      <vt:variant>
        <vt:i4>3</vt:i4>
      </vt:variant>
      <vt:variant>
        <vt:i4>0</vt:i4>
      </vt:variant>
      <vt:variant>
        <vt:i4>5</vt:i4>
      </vt:variant>
      <vt:variant>
        <vt:lpwstr>https://learntechnique.com/category/blog/</vt:lpwstr>
      </vt:variant>
      <vt:variant>
        <vt:lpwstr/>
      </vt:variant>
      <vt:variant>
        <vt:i4>2490402</vt:i4>
      </vt:variant>
      <vt:variant>
        <vt:i4>0</vt:i4>
      </vt:variant>
      <vt:variant>
        <vt:i4>0</vt:i4>
      </vt:variant>
      <vt:variant>
        <vt:i4>5</vt:i4>
      </vt:variant>
      <vt:variant>
        <vt:lpwstr>https://learntechnique.com/author/cory/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TEAP May 2020: Progress Report (Volume 1) - Advance</dc:title>
  <dc:subject/>
  <dc:creator>Walter Brunner</dc:creator>
  <cp:keywords/>
  <dc:description/>
  <cp:lastModifiedBy>Nay Lin Aung</cp:lastModifiedBy>
  <cp:revision>3</cp:revision>
  <cp:lastPrinted>2019-05-30T12:37:00Z</cp:lastPrinted>
  <dcterms:created xsi:type="dcterms:W3CDTF">2022-06-08T11:19:00Z</dcterms:created>
  <dcterms:modified xsi:type="dcterms:W3CDTF">2022-06-10T05:28:00Z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0x0101003BDD21A8E26CE94896A76A5B5C124AE0</vt:lpwstr>
  </property>
</Properties>
</file>