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8C56" w14:textId="77777777" w:rsidR="007618A6" w:rsidRPr="00A81971" w:rsidRDefault="007618A6" w:rsidP="5612F86F">
      <w:pPr>
        <w:spacing w:before="1080" w:after="240"/>
        <w:jc w:val="both"/>
        <w:rPr>
          <w:b/>
          <w:sz w:val="32"/>
          <w:szCs w:val="32"/>
        </w:rPr>
      </w:pPr>
      <w:bookmarkStart w:id="0" w:name="_Toc292105532"/>
      <w:bookmarkStart w:id="1" w:name="_Toc296606994"/>
      <w:bookmarkStart w:id="2" w:name="_Toc289639430"/>
      <w:bookmarkStart w:id="3" w:name="_Toc296606973"/>
    </w:p>
    <w:p w14:paraId="1A358AB3" w14:textId="77777777" w:rsidR="00515B68" w:rsidRPr="00A81971" w:rsidRDefault="0032495C" w:rsidP="00B15843">
      <w:pPr>
        <w:spacing w:before="1080" w:after="240"/>
        <w:jc w:val="center"/>
      </w:pPr>
      <w:r w:rsidRPr="00A81971">
        <w:rPr>
          <w:b/>
          <w:sz w:val="32"/>
          <w:szCs w:val="32"/>
        </w:rPr>
        <w:t>MONTREAL PROTOCOL</w:t>
      </w:r>
      <w:r w:rsidR="1425AF14" w:rsidRPr="00A81971">
        <w:rPr>
          <w:b/>
          <w:bCs/>
          <w:sz w:val="32"/>
          <w:szCs w:val="32"/>
        </w:rPr>
        <w:t xml:space="preserve"> </w:t>
      </w:r>
      <w:r w:rsidRPr="00A81971">
        <w:rPr>
          <w:b/>
          <w:sz w:val="32"/>
          <w:szCs w:val="32"/>
        </w:rPr>
        <w:t>ON SUBSTANCES THAT DEPLETE</w:t>
      </w:r>
      <w:r w:rsidR="1425AF14" w:rsidRPr="00A81971">
        <w:rPr>
          <w:b/>
          <w:bCs/>
          <w:sz w:val="32"/>
          <w:szCs w:val="32"/>
        </w:rPr>
        <w:t xml:space="preserve"> </w:t>
      </w:r>
      <w:r w:rsidRPr="00A81971">
        <w:rPr>
          <w:b/>
          <w:sz w:val="32"/>
          <w:szCs w:val="32"/>
        </w:rPr>
        <w:t>THE OZONE LAYER</w:t>
      </w:r>
    </w:p>
    <w:p w14:paraId="1316A522" w14:textId="77777777" w:rsidR="00515B68" w:rsidRPr="00A81971" w:rsidRDefault="0032495C" w:rsidP="003E3F0F">
      <w:pPr>
        <w:spacing w:before="1680" w:after="0"/>
        <w:jc w:val="center"/>
        <w:rPr>
          <w:b/>
          <w:smallCaps/>
          <w:sz w:val="32"/>
        </w:rPr>
      </w:pPr>
      <w:r w:rsidRPr="00A81971">
        <w:rPr>
          <w:b/>
          <w:smallCaps/>
          <w:sz w:val="32"/>
        </w:rPr>
        <w:t>Report Of The</w:t>
      </w:r>
    </w:p>
    <w:p w14:paraId="66C9D45A" w14:textId="77777777" w:rsidR="00515B68" w:rsidRPr="00A81971" w:rsidRDefault="0032495C">
      <w:pPr>
        <w:spacing w:after="0"/>
        <w:jc w:val="center"/>
        <w:rPr>
          <w:b/>
          <w:smallCaps/>
          <w:sz w:val="32"/>
        </w:rPr>
      </w:pPr>
      <w:r w:rsidRPr="00A81971">
        <w:rPr>
          <w:b/>
          <w:smallCaps/>
          <w:sz w:val="32"/>
        </w:rPr>
        <w:t>Technology And Economic Assessment Panel</w:t>
      </w:r>
    </w:p>
    <w:p w14:paraId="67E47A14" w14:textId="77777777" w:rsidR="008909C7" w:rsidRPr="00A81971" w:rsidRDefault="008909C7">
      <w:pPr>
        <w:spacing w:after="0"/>
        <w:jc w:val="center"/>
        <w:rPr>
          <w:b/>
          <w:smallCaps/>
          <w:sz w:val="32"/>
        </w:rPr>
      </w:pPr>
    </w:p>
    <w:p w14:paraId="432C34FF" w14:textId="77777777" w:rsidR="00515B68" w:rsidRPr="00A81971" w:rsidRDefault="0032495C">
      <w:pPr>
        <w:spacing w:after="0"/>
        <w:jc w:val="center"/>
        <w:rPr>
          <w:b/>
          <w:smallCaps/>
          <w:sz w:val="32"/>
        </w:rPr>
      </w:pPr>
      <w:r w:rsidRPr="00A81971">
        <w:rPr>
          <w:b/>
          <w:smallCaps/>
          <w:sz w:val="32"/>
        </w:rPr>
        <w:t xml:space="preserve">September </w:t>
      </w:r>
      <w:r w:rsidR="001546EF" w:rsidRPr="00A81971">
        <w:rPr>
          <w:b/>
          <w:smallCaps/>
          <w:sz w:val="32"/>
        </w:rPr>
        <w:t>202</w:t>
      </w:r>
      <w:r w:rsidR="00355DDB" w:rsidRPr="00A81971">
        <w:rPr>
          <w:b/>
          <w:smallCaps/>
          <w:sz w:val="32"/>
        </w:rPr>
        <w:t>6</w:t>
      </w:r>
    </w:p>
    <w:p w14:paraId="11F9EB6A" w14:textId="77777777" w:rsidR="005B538B" w:rsidRPr="00A81971" w:rsidRDefault="005B538B">
      <w:pPr>
        <w:spacing w:after="0"/>
        <w:jc w:val="center"/>
        <w:rPr>
          <w:b/>
          <w:smallCaps/>
          <w:sz w:val="32"/>
        </w:rPr>
      </w:pPr>
    </w:p>
    <w:p w14:paraId="3BC8EDA4" w14:textId="77777777" w:rsidR="005B538B" w:rsidRPr="00A81971" w:rsidRDefault="005B538B" w:rsidP="005B538B">
      <w:pPr>
        <w:spacing w:after="120"/>
        <w:jc w:val="center"/>
        <w:rPr>
          <w:b/>
          <w:smallCaps/>
          <w:sz w:val="32"/>
        </w:rPr>
      </w:pPr>
    </w:p>
    <w:p w14:paraId="265185E5" w14:textId="77777777" w:rsidR="00F75276" w:rsidRPr="00A81971" w:rsidRDefault="0032495C">
      <w:pPr>
        <w:tabs>
          <w:tab w:val="left" w:pos="1890"/>
        </w:tabs>
        <w:spacing w:after="120"/>
        <w:jc w:val="center"/>
        <w:rPr>
          <w:b/>
          <w:smallCaps/>
          <w:sz w:val="32"/>
          <w:shd w:val="clear" w:color="auto" w:fill="FFFFFF" w:themeFill="background1"/>
        </w:rPr>
      </w:pPr>
      <w:bookmarkStart w:id="4" w:name="_Hlk41990475"/>
      <w:r w:rsidRPr="00A81971">
        <w:rPr>
          <w:b/>
          <w:smallCaps/>
          <w:sz w:val="32"/>
          <w:shd w:val="clear" w:color="auto" w:fill="FFFFFF" w:themeFill="background1"/>
        </w:rPr>
        <w:t xml:space="preserve">Volume </w:t>
      </w:r>
      <w:r w:rsidR="00355DDB" w:rsidRPr="00A81971">
        <w:rPr>
          <w:b/>
          <w:smallCaps/>
          <w:sz w:val="32"/>
          <w:shd w:val="clear" w:color="auto" w:fill="FFFFFF" w:themeFill="background1"/>
        </w:rPr>
        <w:t>4</w:t>
      </w:r>
      <w:r w:rsidRPr="00A81971">
        <w:rPr>
          <w:b/>
          <w:smallCaps/>
          <w:sz w:val="32"/>
          <w:shd w:val="clear" w:color="auto" w:fill="FFFFFF" w:themeFill="background1"/>
        </w:rPr>
        <w:t>: Supplement to the May 202</w:t>
      </w:r>
      <w:r w:rsidR="00355DDB" w:rsidRPr="00A81971">
        <w:rPr>
          <w:b/>
          <w:smallCaps/>
          <w:sz w:val="32"/>
          <w:shd w:val="clear" w:color="auto" w:fill="FFFFFF" w:themeFill="background1"/>
        </w:rPr>
        <w:t>6</w:t>
      </w:r>
      <w:r w:rsidRPr="00A81971">
        <w:rPr>
          <w:b/>
          <w:smallCaps/>
          <w:sz w:val="32"/>
          <w:shd w:val="clear" w:color="auto" w:fill="FFFFFF" w:themeFill="background1"/>
        </w:rPr>
        <w:t xml:space="preserve"> TEAP Replenishment Task Force Report</w:t>
      </w:r>
    </w:p>
    <w:p w14:paraId="208A6973" w14:textId="77777777" w:rsidR="00515B68" w:rsidRPr="00A81971" w:rsidRDefault="0032495C">
      <w:pPr>
        <w:tabs>
          <w:tab w:val="left" w:pos="1890"/>
        </w:tabs>
        <w:spacing w:after="120"/>
        <w:jc w:val="center"/>
        <w:rPr>
          <w:smallCaps/>
          <w:sz w:val="32"/>
        </w:rPr>
      </w:pPr>
      <w:r w:rsidRPr="00A81971">
        <w:rPr>
          <w:b/>
          <w:smallCaps/>
          <w:sz w:val="32"/>
          <w:shd w:val="clear" w:color="auto" w:fill="FFFFFF" w:themeFill="background1"/>
        </w:rPr>
        <w:t>“</w:t>
      </w:r>
      <w:r w:rsidRPr="00A81971">
        <w:rPr>
          <w:b/>
          <w:smallCaps/>
          <w:sz w:val="32"/>
        </w:rPr>
        <w:t>Assessment of the Funding Requirement for the Replenishment of the Multilateral Fund for the Period 20</w:t>
      </w:r>
      <w:r w:rsidR="00551787" w:rsidRPr="00A81971">
        <w:rPr>
          <w:b/>
          <w:smallCaps/>
          <w:sz w:val="32"/>
        </w:rPr>
        <w:t>2</w:t>
      </w:r>
      <w:r w:rsidR="00355DDB" w:rsidRPr="00A81971">
        <w:rPr>
          <w:b/>
          <w:smallCaps/>
          <w:sz w:val="32"/>
        </w:rPr>
        <w:t>7</w:t>
      </w:r>
      <w:r w:rsidR="005C003F" w:rsidRPr="00A81971">
        <w:rPr>
          <w:b/>
          <w:smallCaps/>
          <w:sz w:val="32"/>
        </w:rPr>
        <w:t>–</w:t>
      </w:r>
      <w:r w:rsidRPr="00A81971">
        <w:rPr>
          <w:b/>
          <w:smallCaps/>
          <w:sz w:val="32"/>
        </w:rPr>
        <w:t>20</w:t>
      </w:r>
      <w:r w:rsidR="00EC643C" w:rsidRPr="00A81971">
        <w:rPr>
          <w:b/>
          <w:smallCaps/>
          <w:sz w:val="32"/>
        </w:rPr>
        <w:t>2</w:t>
      </w:r>
      <w:r w:rsidR="00355DDB" w:rsidRPr="00A81971">
        <w:rPr>
          <w:b/>
          <w:smallCaps/>
          <w:sz w:val="32"/>
        </w:rPr>
        <w:t>9</w:t>
      </w:r>
      <w:bookmarkEnd w:id="4"/>
      <w:r w:rsidRPr="00A81971">
        <w:rPr>
          <w:b/>
          <w:smallCaps/>
          <w:sz w:val="32"/>
        </w:rPr>
        <w:t>”</w:t>
      </w:r>
    </w:p>
    <w:p w14:paraId="78FC30A6" w14:textId="77777777" w:rsidR="002671F1" w:rsidRPr="00A81971" w:rsidRDefault="0032495C">
      <w:pPr>
        <w:spacing w:after="120"/>
        <w:ind w:left="720" w:hanging="720"/>
        <w:jc w:val="right"/>
        <w:rPr>
          <w:b/>
          <w:sz w:val="36"/>
        </w:rPr>
      </w:pPr>
      <w:r w:rsidRPr="00A81971">
        <w:rPr>
          <w:rFonts w:ascii="Roboto Bold" w:hAnsi="Roboto Bold"/>
          <w:noProof/>
          <w:color w:val="00AEEF"/>
          <w:lang w:eastAsia="en-CA"/>
        </w:rPr>
        <w:drawing>
          <wp:anchor distT="0" distB="0" distL="114300" distR="114300" simplePos="0" relativeHeight="251657216" behindDoc="1" locked="0" layoutInCell="1" allowOverlap="1" wp14:anchorId="22E5228C" wp14:editId="4B6B13E0">
            <wp:simplePos x="0" y="0"/>
            <wp:positionH relativeFrom="column">
              <wp:posOffset>4574745</wp:posOffset>
            </wp:positionH>
            <wp:positionV relativeFrom="paragraph">
              <wp:posOffset>1589501</wp:posOffset>
            </wp:positionV>
            <wp:extent cx="1438275" cy="10434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2"/>
                    <a:stretch>
                      <a:fillRect/>
                    </a:stretch>
                  </pic:blipFill>
                  <pic:spPr>
                    <a:xfrm>
                      <a:off x="0" y="0"/>
                      <a:ext cx="1438275" cy="1043454"/>
                    </a:xfrm>
                    <a:prstGeom prst="rect">
                      <a:avLst/>
                    </a:prstGeom>
                  </pic:spPr>
                </pic:pic>
              </a:graphicData>
            </a:graphic>
            <wp14:sizeRelH relativeFrom="page">
              <wp14:pctWidth>0</wp14:pctWidth>
            </wp14:sizeRelH>
            <wp14:sizeRelV relativeFrom="page">
              <wp14:pctHeight>0</wp14:pctHeight>
            </wp14:sizeRelV>
          </wp:anchor>
        </w:drawing>
      </w:r>
    </w:p>
    <w:p w14:paraId="7DE34244" w14:textId="77777777" w:rsidR="002671F1" w:rsidRPr="00A81971" w:rsidRDefault="002671F1">
      <w:pPr>
        <w:spacing w:after="120"/>
        <w:ind w:left="720" w:hanging="720"/>
        <w:jc w:val="right"/>
        <w:rPr>
          <w:b/>
          <w:sz w:val="36"/>
        </w:rPr>
        <w:sectPr w:rsidR="002671F1" w:rsidRPr="00A81971" w:rsidSect="00DE7CBB">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800" w:bottom="1440" w:left="1800" w:header="706" w:footer="706" w:gutter="0"/>
          <w:cols w:space="708"/>
          <w:docGrid w:linePitch="299"/>
        </w:sectPr>
      </w:pPr>
    </w:p>
    <w:p w14:paraId="1272358C" w14:textId="77777777" w:rsidR="0065312E" w:rsidRPr="00A81971" w:rsidRDefault="0032495C" w:rsidP="0065312E">
      <w:pPr>
        <w:spacing w:before="240" w:after="120"/>
        <w:jc w:val="right"/>
        <w:rPr>
          <w:rFonts w:eastAsia="Times New Roman"/>
          <w:b/>
          <w:color w:val="000000"/>
          <w:sz w:val="24"/>
          <w:szCs w:val="20"/>
          <w:lang w:eastAsia="zh-CN"/>
        </w:rPr>
      </w:pPr>
      <w:r w:rsidRPr="00A81971">
        <w:rPr>
          <w:rFonts w:eastAsia="Times New Roman"/>
          <w:b/>
          <w:color w:val="000000"/>
          <w:sz w:val="24"/>
          <w:szCs w:val="20"/>
          <w:lang w:eastAsia="zh-CN"/>
        </w:rPr>
        <w:lastRenderedPageBreak/>
        <w:t>Montreal Protocol on Substances that Deplete the Ozone Layer</w:t>
      </w:r>
    </w:p>
    <w:p w14:paraId="427D05AA" w14:textId="77777777" w:rsidR="0065312E" w:rsidRPr="00FE5C31" w:rsidRDefault="0032495C" w:rsidP="00295A1B">
      <w:pPr>
        <w:shd w:val="clear" w:color="auto" w:fill="FFFFFF" w:themeFill="background1"/>
        <w:tabs>
          <w:tab w:val="left" w:pos="720"/>
          <w:tab w:val="left" w:pos="1080"/>
        </w:tabs>
        <w:spacing w:after="0"/>
        <w:jc w:val="right"/>
        <w:rPr>
          <w:rFonts w:eastAsia="Times New Roman"/>
          <w:b/>
          <w:color w:val="000000"/>
          <w:sz w:val="24"/>
          <w:szCs w:val="24"/>
          <w:lang w:val="en-US" w:eastAsia="zh-CN"/>
        </w:rPr>
      </w:pPr>
      <w:r w:rsidRPr="00FE5C31">
        <w:rPr>
          <w:rFonts w:eastAsia="Times New Roman"/>
          <w:b/>
          <w:color w:val="000000" w:themeColor="text1"/>
          <w:sz w:val="24"/>
          <w:szCs w:val="24"/>
          <w:lang w:val="en-US" w:eastAsia="zh-CN"/>
        </w:rPr>
        <w:t>United Nations Environment Programme (UNEP)</w:t>
      </w:r>
    </w:p>
    <w:p w14:paraId="514F2160" w14:textId="77777777" w:rsidR="0065312E" w:rsidRPr="00A81971" w:rsidRDefault="0032495C" w:rsidP="00295A1B">
      <w:pPr>
        <w:shd w:val="clear" w:color="auto" w:fill="FFFFFF" w:themeFill="background1"/>
        <w:tabs>
          <w:tab w:val="left" w:pos="720"/>
          <w:tab w:val="left" w:pos="1080"/>
        </w:tabs>
        <w:spacing w:after="0"/>
        <w:jc w:val="right"/>
        <w:rPr>
          <w:rFonts w:eastAsia="Times New Roman"/>
          <w:b/>
          <w:color w:val="000000"/>
          <w:sz w:val="24"/>
          <w:szCs w:val="24"/>
          <w:lang w:eastAsia="zh-CN"/>
        </w:rPr>
      </w:pPr>
      <w:r w:rsidRPr="00A81971">
        <w:rPr>
          <w:rFonts w:eastAsia="Times New Roman"/>
          <w:b/>
          <w:color w:val="000000"/>
          <w:sz w:val="24"/>
          <w:szCs w:val="24"/>
          <w:lang w:eastAsia="zh-CN"/>
        </w:rPr>
        <w:t>Technology and Economic Assessment Pane</w:t>
      </w:r>
      <w:r w:rsidR="000A4367" w:rsidRPr="00A81971">
        <w:rPr>
          <w:rFonts w:eastAsia="Times New Roman"/>
          <w:b/>
          <w:color w:val="000000"/>
          <w:sz w:val="24"/>
          <w:szCs w:val="24"/>
          <w:lang w:eastAsia="zh-CN"/>
        </w:rPr>
        <w:t>l</w:t>
      </w:r>
    </w:p>
    <w:p w14:paraId="63C038D0" w14:textId="77777777" w:rsidR="00F75276" w:rsidRPr="00A81971" w:rsidRDefault="0032495C" w:rsidP="00295A1B">
      <w:pPr>
        <w:shd w:val="clear" w:color="auto" w:fill="FFFFFF" w:themeFill="background1"/>
        <w:tabs>
          <w:tab w:val="left" w:pos="720"/>
          <w:tab w:val="left" w:pos="1080"/>
        </w:tabs>
        <w:spacing w:after="0"/>
        <w:jc w:val="right"/>
        <w:rPr>
          <w:rFonts w:eastAsia="Times New Roman"/>
          <w:b/>
          <w:color w:val="000000"/>
          <w:sz w:val="24"/>
          <w:szCs w:val="24"/>
          <w:lang w:eastAsia="zh-CN"/>
        </w:rPr>
      </w:pPr>
      <w:r w:rsidRPr="00A81971">
        <w:rPr>
          <w:rFonts w:eastAsia="Times New Roman"/>
          <w:b/>
          <w:color w:val="000000"/>
          <w:sz w:val="24"/>
          <w:szCs w:val="24"/>
          <w:lang w:eastAsia="zh-CN"/>
        </w:rPr>
        <w:t>Replenishment Task Force</w:t>
      </w:r>
    </w:p>
    <w:p w14:paraId="605074B4" w14:textId="77777777" w:rsidR="0065312E" w:rsidRPr="00A81971" w:rsidRDefault="0065312E" w:rsidP="00295A1B">
      <w:pPr>
        <w:shd w:val="clear" w:color="auto" w:fill="FFFFFF" w:themeFill="background1"/>
        <w:tabs>
          <w:tab w:val="left" w:pos="720"/>
          <w:tab w:val="left" w:pos="1080"/>
        </w:tabs>
        <w:spacing w:after="0"/>
        <w:jc w:val="right"/>
        <w:rPr>
          <w:rFonts w:eastAsia="Times New Roman"/>
          <w:b/>
          <w:color w:val="000000"/>
          <w:sz w:val="24"/>
          <w:szCs w:val="24"/>
          <w:lang w:eastAsia="zh-CN"/>
        </w:rPr>
      </w:pPr>
    </w:p>
    <w:p w14:paraId="099A01E0" w14:textId="77777777" w:rsidR="0065312E" w:rsidRPr="00A81971" w:rsidRDefault="0032495C" w:rsidP="00295A1B">
      <w:pPr>
        <w:shd w:val="clear" w:color="auto" w:fill="FFFFFF" w:themeFill="background1"/>
        <w:tabs>
          <w:tab w:val="left" w:pos="720"/>
          <w:tab w:val="left" w:pos="1080"/>
        </w:tabs>
        <w:spacing w:after="0"/>
        <w:jc w:val="right"/>
        <w:rPr>
          <w:rFonts w:eastAsia="Times New Roman"/>
          <w:b/>
          <w:color w:val="000000"/>
          <w:sz w:val="24"/>
          <w:szCs w:val="24"/>
          <w:lang w:eastAsia="zh-CN"/>
        </w:rPr>
      </w:pPr>
      <w:r w:rsidRPr="00A81971">
        <w:rPr>
          <w:rFonts w:eastAsia="Times New Roman"/>
          <w:b/>
          <w:color w:val="000000"/>
          <w:sz w:val="24"/>
          <w:szCs w:val="24"/>
          <w:lang w:eastAsia="zh-CN"/>
        </w:rPr>
        <w:t>September 202</w:t>
      </w:r>
      <w:r w:rsidR="00355DDB" w:rsidRPr="00A81971">
        <w:rPr>
          <w:rFonts w:eastAsia="Times New Roman"/>
          <w:b/>
          <w:color w:val="000000"/>
          <w:sz w:val="24"/>
          <w:szCs w:val="24"/>
          <w:lang w:eastAsia="zh-CN"/>
        </w:rPr>
        <w:t>6</w:t>
      </w:r>
    </w:p>
    <w:p w14:paraId="744691BD" w14:textId="77777777" w:rsidR="0065312E" w:rsidRPr="00A81971" w:rsidRDefault="0065312E" w:rsidP="00295A1B">
      <w:pPr>
        <w:shd w:val="clear" w:color="auto" w:fill="FFFFFF" w:themeFill="background1"/>
        <w:spacing w:before="100" w:after="100"/>
        <w:outlineLvl w:val="0"/>
        <w:rPr>
          <w:rFonts w:eastAsia="Times New Roman"/>
          <w:b/>
          <w:smallCaps/>
          <w:color w:val="000000"/>
          <w:sz w:val="32"/>
          <w:szCs w:val="20"/>
          <w:lang w:eastAsia="zh-CN"/>
        </w:rPr>
      </w:pPr>
      <w:bookmarkStart w:id="5" w:name="_Toc8318739"/>
      <w:bookmarkStart w:id="6" w:name="_Toc8320264"/>
      <w:bookmarkStart w:id="7" w:name="_Toc8396730"/>
      <w:bookmarkStart w:id="8" w:name="_Toc8638141"/>
      <w:bookmarkStart w:id="9" w:name="_Toc8638202"/>
      <w:bookmarkStart w:id="10" w:name="_Toc8639531"/>
      <w:bookmarkStart w:id="11" w:name="_Toc8888495"/>
      <w:bookmarkStart w:id="12" w:name="_Toc9075746"/>
      <w:bookmarkStart w:id="13" w:name="_Toc9109556"/>
    </w:p>
    <w:p w14:paraId="5251F5AC" w14:textId="77777777" w:rsidR="0065312E" w:rsidRPr="00A81971" w:rsidRDefault="0032495C" w:rsidP="0060666C">
      <w:pPr>
        <w:rPr>
          <w:b/>
          <w:bCs/>
          <w:smallCaps/>
          <w:sz w:val="28"/>
          <w:szCs w:val="28"/>
        </w:rPr>
      </w:pPr>
      <w:bookmarkStart w:id="14" w:name="_Toc81931925"/>
      <w:bookmarkStart w:id="15" w:name="_Toc81932432"/>
      <w:bookmarkStart w:id="16" w:name="_Toc82020576"/>
      <w:bookmarkStart w:id="17" w:name="_Hlk64183782"/>
      <w:bookmarkEnd w:id="5"/>
      <w:bookmarkEnd w:id="6"/>
      <w:bookmarkEnd w:id="7"/>
      <w:bookmarkEnd w:id="8"/>
      <w:bookmarkEnd w:id="9"/>
      <w:bookmarkEnd w:id="10"/>
      <w:bookmarkEnd w:id="11"/>
      <w:bookmarkEnd w:id="12"/>
      <w:bookmarkEnd w:id="13"/>
      <w:r w:rsidRPr="00A81971">
        <w:rPr>
          <w:b/>
          <w:bCs/>
          <w:smallCaps/>
          <w:sz w:val="28"/>
          <w:szCs w:val="28"/>
        </w:rPr>
        <w:t xml:space="preserve">Volume </w:t>
      </w:r>
      <w:r w:rsidR="00355DDB" w:rsidRPr="00A81971">
        <w:rPr>
          <w:b/>
          <w:bCs/>
          <w:smallCaps/>
          <w:sz w:val="28"/>
          <w:szCs w:val="28"/>
        </w:rPr>
        <w:t>4</w:t>
      </w:r>
      <w:r w:rsidRPr="00A81971">
        <w:rPr>
          <w:b/>
          <w:bCs/>
          <w:smallCaps/>
          <w:sz w:val="28"/>
          <w:szCs w:val="28"/>
        </w:rPr>
        <w:t>: Supplement to the May 202</w:t>
      </w:r>
      <w:r w:rsidR="00355DDB" w:rsidRPr="00A81971">
        <w:rPr>
          <w:b/>
          <w:bCs/>
          <w:smallCaps/>
          <w:sz w:val="28"/>
          <w:szCs w:val="28"/>
        </w:rPr>
        <w:t>6</w:t>
      </w:r>
      <w:r w:rsidRPr="00A81971">
        <w:rPr>
          <w:b/>
          <w:bCs/>
          <w:smallCaps/>
          <w:sz w:val="28"/>
          <w:szCs w:val="28"/>
        </w:rPr>
        <w:t xml:space="preserve"> TEAP Replenishment Task Force Report “Assessment of the Funding Requirement for the Replenishment of the Multilateral Fund for the Period 202</w:t>
      </w:r>
      <w:r w:rsidR="00355DDB" w:rsidRPr="00A81971">
        <w:rPr>
          <w:b/>
          <w:bCs/>
          <w:smallCaps/>
          <w:sz w:val="28"/>
          <w:szCs w:val="28"/>
        </w:rPr>
        <w:t>7</w:t>
      </w:r>
      <w:r w:rsidR="005C003F" w:rsidRPr="00A81971">
        <w:rPr>
          <w:b/>
          <w:bCs/>
          <w:smallCaps/>
          <w:sz w:val="28"/>
          <w:szCs w:val="28"/>
        </w:rPr>
        <w:t>–</w:t>
      </w:r>
      <w:r w:rsidRPr="00A81971">
        <w:rPr>
          <w:b/>
          <w:bCs/>
          <w:smallCaps/>
          <w:sz w:val="28"/>
          <w:szCs w:val="28"/>
        </w:rPr>
        <w:t>202</w:t>
      </w:r>
      <w:r w:rsidR="00355DDB" w:rsidRPr="00A81971">
        <w:rPr>
          <w:b/>
          <w:bCs/>
          <w:smallCaps/>
          <w:sz w:val="28"/>
          <w:szCs w:val="28"/>
        </w:rPr>
        <w:t>9</w:t>
      </w:r>
      <w:bookmarkEnd w:id="14"/>
      <w:bookmarkEnd w:id="15"/>
      <w:bookmarkEnd w:id="16"/>
      <w:r w:rsidRPr="00A81971">
        <w:rPr>
          <w:b/>
          <w:bCs/>
          <w:smallCaps/>
          <w:sz w:val="28"/>
          <w:szCs w:val="28"/>
        </w:rPr>
        <w:t>”</w:t>
      </w:r>
    </w:p>
    <w:bookmarkEnd w:id="17"/>
    <w:p w14:paraId="2D4AA49F" w14:textId="77777777" w:rsidR="0065312E" w:rsidRPr="00A81971" w:rsidRDefault="0065312E" w:rsidP="00295A1B">
      <w:pPr>
        <w:shd w:val="clear" w:color="auto" w:fill="FFFFFF" w:themeFill="background1"/>
        <w:spacing w:before="100" w:after="100"/>
        <w:rPr>
          <w:rFonts w:eastAsia="Times New Roman"/>
          <w:color w:val="000000"/>
          <w:szCs w:val="20"/>
          <w:lang w:eastAsia="zh-CN"/>
        </w:rPr>
      </w:pPr>
    </w:p>
    <w:p w14:paraId="239A3923" w14:textId="77777777" w:rsidR="0065312E" w:rsidRPr="00A81971" w:rsidRDefault="0032495C" w:rsidP="00295A1B">
      <w:pPr>
        <w:shd w:val="clear" w:color="auto" w:fill="FFFFFF" w:themeFill="background1"/>
        <w:spacing w:before="100" w:after="100"/>
        <w:rPr>
          <w:rFonts w:eastAsia="Times New Roman"/>
          <w:color w:val="000000"/>
          <w:szCs w:val="20"/>
          <w:lang w:eastAsia="zh-CN"/>
        </w:rPr>
      </w:pPr>
      <w:r w:rsidRPr="00A81971">
        <w:rPr>
          <w:rFonts w:eastAsia="Times New Roman"/>
          <w:color w:val="000000"/>
          <w:szCs w:val="20"/>
          <w:lang w:eastAsia="zh-CN"/>
        </w:rPr>
        <w:t>The text of this report is composed in Times New Roman.</w:t>
      </w:r>
    </w:p>
    <w:p w14:paraId="6E8EB13A" w14:textId="77777777" w:rsidR="007D43BF" w:rsidRPr="00A81971" w:rsidRDefault="007D43BF" w:rsidP="00295A1B">
      <w:pPr>
        <w:shd w:val="clear" w:color="auto" w:fill="FFFFFF" w:themeFill="background1"/>
        <w:spacing w:before="100" w:after="100"/>
        <w:rPr>
          <w:rFonts w:eastAsia="Times New Roman"/>
          <w:color w:val="000000"/>
          <w:szCs w:val="20"/>
          <w:lang w:eastAsia="zh-CN"/>
        </w:rPr>
      </w:pPr>
    </w:p>
    <w:p w14:paraId="73320324" w14:textId="77777777" w:rsidR="00355DDB" w:rsidRPr="00A81971" w:rsidRDefault="0032495C" w:rsidP="007F57C0">
      <w:bookmarkStart w:id="18" w:name="_Toc8318740"/>
      <w:bookmarkStart w:id="19" w:name="_Toc8320265"/>
      <w:bookmarkStart w:id="20" w:name="_Toc8396731"/>
      <w:bookmarkStart w:id="21" w:name="_Toc8638142"/>
      <w:bookmarkStart w:id="22" w:name="_Toc8638203"/>
      <w:bookmarkStart w:id="23" w:name="_Toc8639532"/>
      <w:bookmarkStart w:id="24" w:name="_Toc8888496"/>
      <w:bookmarkStart w:id="25" w:name="_Toc9075747"/>
      <w:bookmarkStart w:id="26" w:name="_Toc9109557"/>
      <w:bookmarkStart w:id="27" w:name="_Toc40190250"/>
      <w:bookmarkStart w:id="28" w:name="_Toc40191876"/>
      <w:bookmarkStart w:id="29" w:name="_Toc40194835"/>
      <w:bookmarkStart w:id="30" w:name="_Toc40209771"/>
      <w:bookmarkStart w:id="31" w:name="_Toc40696029"/>
      <w:bookmarkStart w:id="32" w:name="_Toc40696298"/>
      <w:bookmarkStart w:id="33" w:name="_Toc40696688"/>
      <w:bookmarkStart w:id="34" w:name="_Toc40697450"/>
      <w:bookmarkStart w:id="35" w:name="_Toc40765280"/>
      <w:bookmarkStart w:id="36" w:name="_Toc40765501"/>
      <w:bookmarkStart w:id="37" w:name="_Toc41335666"/>
      <w:bookmarkStart w:id="38" w:name="_Toc41660036"/>
      <w:bookmarkStart w:id="39" w:name="_Toc41805943"/>
      <w:bookmarkStart w:id="40" w:name="_Toc41837738"/>
      <w:bookmarkStart w:id="41" w:name="_Toc81931926"/>
      <w:bookmarkStart w:id="42" w:name="_Toc81932433"/>
      <w:bookmarkStart w:id="43" w:name="_Toc82020577"/>
      <w:r w:rsidRPr="00A81971">
        <w:rPr>
          <w:b/>
          <w:bCs/>
        </w:rPr>
        <w:t>Co-ordination:</w:t>
      </w:r>
      <w:r w:rsidRPr="00A81971">
        <w:tab/>
      </w:r>
      <w:r w:rsidR="007F57C0" w:rsidRPr="00A81971">
        <w:tab/>
      </w:r>
      <w:r w:rsidRPr="00A81971">
        <w:tab/>
        <w:t>TEAP Decision XXXVII/6 Replenishment Task Force</w:t>
      </w:r>
    </w:p>
    <w:p w14:paraId="60AF6CB2" w14:textId="77777777" w:rsidR="0065312E" w:rsidRPr="00A81971" w:rsidRDefault="0032495C" w:rsidP="007F57C0">
      <w:r w:rsidRPr="00A81971">
        <w:t xml:space="preserve">Composition of the report: </w:t>
      </w:r>
      <w:r w:rsidRPr="00A81971">
        <w:tab/>
      </w:r>
      <w:r w:rsidR="00E15B58" w:rsidRPr="00A81971">
        <w:t>Suely Carvalho</w:t>
      </w:r>
      <w:r w:rsidRPr="00A81971">
        <w:t xml:space="preserve"> and</w:t>
      </w:r>
      <w:r w:rsidR="00E15B58" w:rsidRPr="00A81971">
        <w:t xml:space="preserve"> Bella Maranion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4E9C2CE" w14:textId="77777777" w:rsidR="0065312E" w:rsidRPr="00A81971" w:rsidRDefault="0032495C" w:rsidP="007F57C0">
      <w:r w:rsidRPr="00A81971">
        <w:t>Date:</w:t>
      </w:r>
      <w:r w:rsidRPr="00A81971">
        <w:tab/>
      </w:r>
      <w:r w:rsidR="00355DDB" w:rsidRPr="00A81971">
        <w:tab/>
      </w:r>
      <w:r w:rsidR="007F57C0" w:rsidRPr="00A81971">
        <w:tab/>
      </w:r>
      <w:r w:rsidR="007F57C0" w:rsidRPr="00A81971">
        <w:tab/>
      </w:r>
      <w:r w:rsidR="00F75276" w:rsidRPr="00A81971">
        <w:t xml:space="preserve">September </w:t>
      </w:r>
      <w:r w:rsidR="000A4367" w:rsidRPr="00A81971">
        <w:t>202</w:t>
      </w:r>
      <w:r w:rsidR="00355DDB" w:rsidRPr="00A81971">
        <w:t>6</w:t>
      </w:r>
    </w:p>
    <w:p w14:paraId="56E32004" w14:textId="77777777" w:rsidR="0065312E" w:rsidRPr="00A81971" w:rsidRDefault="0065312E" w:rsidP="0065312E">
      <w:pPr>
        <w:spacing w:before="100" w:after="100"/>
        <w:rPr>
          <w:rFonts w:eastAsia="Times New Roman"/>
          <w:color w:val="000000"/>
          <w:szCs w:val="20"/>
          <w:lang w:eastAsia="zh-CN"/>
        </w:rPr>
      </w:pPr>
    </w:p>
    <w:p w14:paraId="625028B8"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Under certain conditions, printed copies of this report are available from:</w:t>
      </w:r>
    </w:p>
    <w:p w14:paraId="383710EE" w14:textId="77777777" w:rsidR="0065312E" w:rsidRPr="00A81971" w:rsidRDefault="0065312E" w:rsidP="0065312E">
      <w:pPr>
        <w:tabs>
          <w:tab w:val="left" w:pos="720"/>
          <w:tab w:val="left" w:pos="1080"/>
        </w:tabs>
        <w:spacing w:after="0"/>
        <w:rPr>
          <w:rFonts w:eastAsia="Times New Roman"/>
          <w:b/>
          <w:color w:val="000000"/>
          <w:sz w:val="20"/>
          <w:szCs w:val="20"/>
          <w:lang w:eastAsia="zh-CN"/>
        </w:rPr>
      </w:pPr>
    </w:p>
    <w:p w14:paraId="33915E7E"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UNITED NATIONS ENVIRONMENT PROGRAMME</w:t>
      </w:r>
    </w:p>
    <w:p w14:paraId="6AE2CE0E"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Ozone Secretariat</w:t>
      </w:r>
    </w:p>
    <w:p w14:paraId="1A07D777"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P.O. Box 30552</w:t>
      </w:r>
    </w:p>
    <w:p w14:paraId="39E1A4C2"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Nairobi, Kenya</w:t>
      </w:r>
    </w:p>
    <w:p w14:paraId="207A669E" w14:textId="77777777" w:rsidR="0065312E" w:rsidRPr="00A81971" w:rsidRDefault="0065312E" w:rsidP="00FB4114">
      <w:pPr>
        <w:rPr>
          <w:rFonts w:eastAsia="Times New Roman"/>
          <w:color w:val="000000"/>
          <w:szCs w:val="20"/>
          <w:lang w:eastAsia="zh-CN"/>
        </w:rPr>
      </w:pPr>
    </w:p>
    <w:p w14:paraId="12BF8176" w14:textId="77777777" w:rsidR="0065312E" w:rsidRPr="00A81971" w:rsidRDefault="0032495C" w:rsidP="002C3306">
      <w:bookmarkStart w:id="44" w:name="_Toc8318741"/>
      <w:bookmarkStart w:id="45" w:name="_Toc8320266"/>
      <w:bookmarkStart w:id="46" w:name="_Toc8396732"/>
      <w:bookmarkStart w:id="47" w:name="_Toc8638143"/>
      <w:bookmarkStart w:id="48" w:name="_Toc8638204"/>
      <w:bookmarkStart w:id="49" w:name="_Toc8639533"/>
      <w:bookmarkStart w:id="50" w:name="_Toc8888497"/>
      <w:bookmarkStart w:id="51" w:name="_Toc9075748"/>
      <w:bookmarkStart w:id="52" w:name="_Toc9109558"/>
      <w:bookmarkStart w:id="53" w:name="_Toc40190251"/>
      <w:bookmarkStart w:id="54" w:name="_Toc40191877"/>
      <w:bookmarkStart w:id="55" w:name="_Toc40194836"/>
      <w:bookmarkStart w:id="56" w:name="_Toc40209772"/>
      <w:bookmarkStart w:id="57" w:name="_Toc40696030"/>
      <w:bookmarkStart w:id="58" w:name="_Toc40696299"/>
      <w:bookmarkStart w:id="59" w:name="_Toc40696689"/>
      <w:bookmarkStart w:id="60" w:name="_Toc40697451"/>
      <w:bookmarkStart w:id="61" w:name="_Toc40765281"/>
      <w:bookmarkStart w:id="62" w:name="_Toc40765502"/>
      <w:bookmarkStart w:id="63" w:name="_Toc41335667"/>
      <w:bookmarkStart w:id="64" w:name="_Toc41660037"/>
      <w:bookmarkStart w:id="65" w:name="_Toc41805944"/>
      <w:bookmarkStart w:id="66" w:name="_Toc41837739"/>
      <w:bookmarkStart w:id="67" w:name="_Toc81931927"/>
      <w:bookmarkStart w:id="68" w:name="_Toc81932434"/>
      <w:bookmarkStart w:id="69" w:name="_Toc82020578"/>
      <w:r w:rsidRPr="00A81971">
        <w:t>This document is also available in portable document format from the UNEP Ozone Secretariat's website: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57D638F9"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https://ozone.unep.org/science/assessment/teap</w:t>
      </w:r>
    </w:p>
    <w:p w14:paraId="50548FA2" w14:textId="77777777" w:rsidR="0065312E" w:rsidRPr="00A81971" w:rsidRDefault="0065312E" w:rsidP="0065312E">
      <w:pPr>
        <w:spacing w:before="100" w:after="100"/>
        <w:rPr>
          <w:rFonts w:eastAsia="Times New Roman"/>
          <w:color w:val="000000"/>
          <w:szCs w:val="20"/>
          <w:lang w:eastAsia="zh-CN"/>
        </w:rPr>
      </w:pPr>
    </w:p>
    <w:p w14:paraId="57171843" w14:textId="77777777" w:rsidR="0065312E" w:rsidRPr="00A81971" w:rsidRDefault="0032495C" w:rsidP="0065312E">
      <w:pPr>
        <w:spacing w:before="100" w:after="100"/>
        <w:rPr>
          <w:rFonts w:eastAsia="Times New Roman"/>
          <w:color w:val="000000"/>
          <w:szCs w:val="20"/>
          <w:lang w:eastAsia="zh-CN"/>
        </w:rPr>
      </w:pPr>
      <w:r w:rsidRPr="00A81971">
        <w:rPr>
          <w:rFonts w:eastAsia="Times New Roman"/>
          <w:color w:val="000000"/>
          <w:szCs w:val="20"/>
          <w:lang w:eastAsia="zh-CN"/>
        </w:rPr>
        <w:t>No copyright involved.  This publication may be freely copied, abstracted and cited, with acknowledgement of the source of the material.</w:t>
      </w:r>
    </w:p>
    <w:p w14:paraId="2C0A9716" w14:textId="77777777" w:rsidR="00610543" w:rsidRPr="00A81971" w:rsidRDefault="00610543">
      <w:pPr>
        <w:spacing w:after="0"/>
        <w:ind w:left="720" w:hanging="720"/>
        <w:jc w:val="right"/>
        <w:rPr>
          <w:b/>
          <w:smallCaps/>
          <w:sz w:val="30"/>
        </w:rPr>
      </w:pPr>
    </w:p>
    <w:p w14:paraId="2D52EB2E" w14:textId="09AED8B2" w:rsidR="00610543" w:rsidRPr="00FE5C31" w:rsidRDefault="0032495C" w:rsidP="00610543">
      <w:pPr>
        <w:pStyle w:val="paragraph"/>
        <w:spacing w:before="0" w:beforeAutospacing="0" w:after="0" w:afterAutospacing="0"/>
        <w:textAlignment w:val="baseline"/>
        <w:rPr>
          <w:rStyle w:val="normaltextrun"/>
          <w:rFonts w:eastAsia="SimSun"/>
          <w:b/>
          <w:bCs/>
          <w:sz w:val="22"/>
          <w:szCs w:val="22"/>
        </w:rPr>
      </w:pPr>
      <w:r w:rsidRPr="0069728B">
        <w:rPr>
          <w:b/>
        </w:rPr>
        <w:t>ISBN:</w:t>
      </w:r>
      <w:r w:rsidR="002E3156" w:rsidRPr="00FE5C31">
        <w:rPr>
          <w:b/>
          <w:bCs/>
        </w:rPr>
        <w:t xml:space="preserve"> 978-9914-733-71-6</w:t>
      </w:r>
    </w:p>
    <w:p w14:paraId="6115026D" w14:textId="77777777" w:rsidR="00A30E02" w:rsidRPr="0069728B" w:rsidRDefault="0032495C">
      <w:pPr>
        <w:spacing w:after="0"/>
        <w:rPr>
          <w:rFonts w:ascii="&amp;quot" w:eastAsia="Times New Roman" w:hAnsi="&amp;quot"/>
          <w:sz w:val="18"/>
          <w:szCs w:val="18"/>
          <w:lang w:val="en-US"/>
        </w:rPr>
      </w:pPr>
      <w:r w:rsidRPr="0069728B">
        <w:rPr>
          <w:rFonts w:ascii="&amp;quot" w:hAnsi="&amp;quot" w:hint="eastAsia"/>
          <w:sz w:val="18"/>
          <w:szCs w:val="18"/>
          <w:lang w:val="en-US"/>
        </w:rPr>
        <w:br w:type="page"/>
      </w:r>
    </w:p>
    <w:p w14:paraId="7E0AEAB5" w14:textId="77777777" w:rsidR="00A30E02" w:rsidRPr="0069728B" w:rsidRDefault="00A30E02" w:rsidP="00610543">
      <w:pPr>
        <w:pStyle w:val="paragraph"/>
        <w:spacing w:before="0" w:beforeAutospacing="0" w:after="0" w:afterAutospacing="0"/>
        <w:textAlignment w:val="baseline"/>
        <w:rPr>
          <w:rFonts w:ascii="&amp;quot" w:hAnsi="&amp;quot"/>
          <w:sz w:val="18"/>
          <w:szCs w:val="18"/>
        </w:rPr>
      </w:pPr>
    </w:p>
    <w:p w14:paraId="03DB1D2A" w14:textId="77777777" w:rsidR="008A2535" w:rsidRPr="00A81971" w:rsidRDefault="0032495C" w:rsidP="008A2535">
      <w:pPr>
        <w:keepNext/>
        <w:keepLines/>
        <w:tabs>
          <w:tab w:val="left" w:pos="0"/>
        </w:tabs>
        <w:spacing w:before="120" w:after="240"/>
        <w:ind w:left="709" w:hanging="709"/>
        <w:outlineLvl w:val="0"/>
        <w:rPr>
          <w:rFonts w:eastAsia="Calibri"/>
          <w:b/>
          <w:color w:val="000000"/>
          <w:sz w:val="28"/>
          <w:szCs w:val="28"/>
          <w:lang w:eastAsia="zh-CN"/>
        </w:rPr>
      </w:pPr>
      <w:bookmarkStart w:id="70" w:name="_Toc8318742"/>
      <w:bookmarkStart w:id="71" w:name="_Toc8320267"/>
      <w:bookmarkStart w:id="72" w:name="_Toc8396733"/>
      <w:bookmarkStart w:id="73" w:name="_Toc8638144"/>
      <w:bookmarkStart w:id="74" w:name="_Toc8638205"/>
      <w:bookmarkStart w:id="75" w:name="_Toc8639534"/>
      <w:bookmarkStart w:id="76" w:name="_Toc8888498"/>
      <w:bookmarkStart w:id="77" w:name="_Toc9075749"/>
      <w:bookmarkStart w:id="78" w:name="_Toc9109559"/>
      <w:bookmarkStart w:id="79" w:name="_Toc40190252"/>
      <w:bookmarkStart w:id="80" w:name="_Toc40191878"/>
      <w:bookmarkStart w:id="81" w:name="_Toc40194837"/>
      <w:bookmarkStart w:id="82" w:name="_Toc40209773"/>
      <w:bookmarkStart w:id="83" w:name="_Toc40696031"/>
      <w:bookmarkStart w:id="84" w:name="_Toc40696300"/>
      <w:bookmarkStart w:id="85" w:name="_Toc40696690"/>
      <w:bookmarkStart w:id="86" w:name="_Toc40697452"/>
      <w:bookmarkStart w:id="87" w:name="_Toc40765282"/>
      <w:bookmarkStart w:id="88" w:name="_Toc40765503"/>
      <w:bookmarkStart w:id="89" w:name="_Toc41335668"/>
      <w:bookmarkStart w:id="90" w:name="_Toc41660038"/>
      <w:bookmarkStart w:id="91" w:name="_Toc41805945"/>
      <w:bookmarkStart w:id="92" w:name="_Toc41837740"/>
      <w:bookmarkStart w:id="93" w:name="_Toc77868850"/>
      <w:bookmarkStart w:id="94" w:name="_Toc78040696"/>
      <w:bookmarkStart w:id="95" w:name="_Toc104396643"/>
      <w:bookmarkStart w:id="96" w:name="_Toc230099028"/>
      <w:bookmarkStart w:id="97" w:name="_Toc240987312"/>
      <w:r w:rsidRPr="00A81971">
        <w:rPr>
          <w:rFonts w:eastAsia="Calibri"/>
          <w:b/>
          <w:color w:val="000000"/>
          <w:sz w:val="28"/>
          <w:szCs w:val="28"/>
          <w:lang w:eastAsia="zh-CN"/>
        </w:rPr>
        <w:t>Disclaimer</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7FA8E08" w14:textId="77777777" w:rsidR="00A30E02" w:rsidRPr="00A81971" w:rsidRDefault="0032495C" w:rsidP="00681CD7">
      <w:pPr>
        <w:rPr>
          <w:sz w:val="20"/>
        </w:rPr>
      </w:pPr>
      <w:r w:rsidRPr="00A81971">
        <w:rPr>
          <w:sz w:val="20"/>
        </w:rPr>
        <w:t xml:space="preserve">The United Nations Environment Programme (UNEP), the Technology and Economic Assessment Panel (TEAP) Co-chairs and members, the Technical Options Committees Co-chairs and members, the TEAP Task Forces Co-chairs and members, and the companies and organisations that employ them do not endorse the performance, worker safety, or environmental acceptability of any of the technical options discussed.  Every industrial operation requires consideration of worker safety and proper disposal of contaminants and waste products. Moreover, as work continues - including additional toxicity evaluation </w:t>
      </w:r>
      <w:r w:rsidR="00355DDB" w:rsidRPr="00A81971">
        <w:rPr>
          <w:sz w:val="20"/>
        </w:rPr>
        <w:t xml:space="preserve">— </w:t>
      </w:r>
      <w:r w:rsidRPr="00A81971">
        <w:rPr>
          <w:sz w:val="20"/>
        </w:rPr>
        <w:t>more information on health, environmental and safety effects of alternatives and replacements will become available for use in selecting among the options discussed in this document.</w:t>
      </w:r>
    </w:p>
    <w:p w14:paraId="32277E1B" w14:textId="77777777" w:rsidR="00A30E02" w:rsidRPr="00A81971" w:rsidRDefault="0032495C" w:rsidP="00681CD7">
      <w:pPr>
        <w:pStyle w:val="MainTextNon-indent"/>
        <w:widowControl/>
        <w:spacing w:after="240" w:line="240" w:lineRule="auto"/>
        <w:rPr>
          <w:rFonts w:ascii="Times New Roman" w:hAnsi="Times New Roman"/>
          <w:lang w:val="en-GB"/>
        </w:rPr>
      </w:pPr>
      <w:r w:rsidRPr="00A81971">
        <w:rPr>
          <w:rFonts w:ascii="Times New Roman" w:hAnsi="Times New Roman"/>
          <w:lang w:val="en-GB"/>
        </w:rPr>
        <w:t>UNEP, the TEAP Co-chairs and members, the Technical Options Committees Co-chairs and members, and the TEAP Task Forces Co-chairs and members, in furnishing or distributing this information, do not make any warranty or representation, either express or implied, with respect to the accuracy, completeness, or utility; nor do they assume any liability of any kind whatsoever resulting from the use or reliance upon any information, material, or procedure contained herein, including but not limited to any claims regarding health, safety, environmental effect or fate, efficacy, or performance, made by the source of information.</w:t>
      </w:r>
    </w:p>
    <w:p w14:paraId="301DAA4D" w14:textId="77777777" w:rsidR="00610ADB" w:rsidRPr="00A81971" w:rsidRDefault="0032495C" w:rsidP="00681CD7">
      <w:pPr>
        <w:rPr>
          <w:sz w:val="20"/>
        </w:rPr>
      </w:pPr>
      <w:r w:rsidRPr="00A81971">
        <w:rPr>
          <w:sz w:val="20"/>
        </w:rPr>
        <w:t>Mention of any company, association, or product in this document is for information purposes only and does not constitute a recommendation of any such company, association, or product, either express or implied by UNEP, the TEAP Co-chairs or members, the Technical Options Committee Co-chairs or members, the TEAP Task Forces Co-chairs or members or the companies or organisations that employ them.</w:t>
      </w:r>
    </w:p>
    <w:p w14:paraId="7D1B134D" w14:textId="77777777" w:rsidR="00610ADB" w:rsidRPr="00A81971" w:rsidRDefault="00610ADB" w:rsidP="00681CD7">
      <w:pPr>
        <w:rPr>
          <w:sz w:val="20"/>
        </w:rPr>
      </w:pPr>
    </w:p>
    <w:p w14:paraId="12C06E2E" w14:textId="77777777" w:rsidR="00610ADB" w:rsidRPr="00A81971" w:rsidRDefault="00610ADB" w:rsidP="00681CD7">
      <w:pPr>
        <w:rPr>
          <w:sz w:val="20"/>
        </w:rPr>
      </w:pPr>
    </w:p>
    <w:p w14:paraId="7B4FA244" w14:textId="77777777" w:rsidR="00610ADB" w:rsidRPr="00A81971" w:rsidRDefault="00610ADB" w:rsidP="00681CD7">
      <w:pPr>
        <w:rPr>
          <w:sz w:val="20"/>
        </w:rPr>
      </w:pPr>
    </w:p>
    <w:p w14:paraId="3910F673" w14:textId="77777777" w:rsidR="00610ADB" w:rsidRPr="00A81971" w:rsidRDefault="00610ADB" w:rsidP="00681CD7">
      <w:pPr>
        <w:rPr>
          <w:sz w:val="20"/>
        </w:rPr>
      </w:pPr>
    </w:p>
    <w:p w14:paraId="5ACB7B68" w14:textId="77777777" w:rsidR="00610ADB" w:rsidRPr="00A81971" w:rsidRDefault="00610ADB" w:rsidP="00681CD7">
      <w:pPr>
        <w:rPr>
          <w:sz w:val="20"/>
        </w:rPr>
      </w:pPr>
    </w:p>
    <w:p w14:paraId="4B4A389F" w14:textId="77777777" w:rsidR="00610ADB" w:rsidRPr="00A81971" w:rsidRDefault="00610ADB" w:rsidP="00681CD7">
      <w:pPr>
        <w:rPr>
          <w:sz w:val="20"/>
        </w:rPr>
      </w:pPr>
    </w:p>
    <w:p w14:paraId="796AFE8E" w14:textId="77777777" w:rsidR="00610ADB" w:rsidRPr="00A81971" w:rsidRDefault="00610ADB" w:rsidP="00681CD7">
      <w:pPr>
        <w:rPr>
          <w:sz w:val="20"/>
        </w:rPr>
      </w:pPr>
    </w:p>
    <w:p w14:paraId="18B482C7" w14:textId="77777777" w:rsidR="00610ADB" w:rsidRPr="00A81971" w:rsidRDefault="0032495C" w:rsidP="00610ADB">
      <w:pPr>
        <w:keepNext/>
        <w:suppressAutoHyphens/>
        <w:spacing w:before="120"/>
        <w:ind w:right="244"/>
        <w:jc w:val="both"/>
        <w:rPr>
          <w:b/>
        </w:rPr>
      </w:pPr>
      <w:r w:rsidRPr="00A81971">
        <w:rPr>
          <w:b/>
        </w:rPr>
        <w:t>Acknowledgements</w:t>
      </w:r>
    </w:p>
    <w:p w14:paraId="6009C310" w14:textId="77777777" w:rsidR="00610ADB" w:rsidRPr="00A81971" w:rsidRDefault="0032495C" w:rsidP="00610ADB">
      <w:pPr>
        <w:jc w:val="both"/>
        <w:rPr>
          <w:sz w:val="20"/>
        </w:rPr>
      </w:pPr>
      <w:r w:rsidRPr="00A81971">
        <w:rPr>
          <w:sz w:val="20"/>
        </w:rPr>
        <w:t>The Technology and Economic Assessment Panel, its Technical Options Committees and the TEAP Task Force Co-chairs and members acknowledge with thanks the outstanding contributions from all the individuals and organisations that provided support to Panel, Committees and TEAP Task Force Co-chairs and members. The opinions expressed are those of the Panel, the Committees and TEAP Task Forces and do not necessarily reflect the reviews of any sponsoring or supporting organisation.</w:t>
      </w:r>
    </w:p>
    <w:p w14:paraId="718D348C" w14:textId="77777777" w:rsidR="00610ADB" w:rsidRPr="00A81971" w:rsidRDefault="0032495C">
      <w:pPr>
        <w:spacing w:after="0"/>
        <w:rPr>
          <w:sz w:val="20"/>
        </w:rPr>
      </w:pPr>
      <w:r w:rsidRPr="00A81971">
        <w:rPr>
          <w:sz w:val="20"/>
        </w:rPr>
        <w:br w:type="page"/>
      </w:r>
    </w:p>
    <w:p w14:paraId="5125C2BD" w14:textId="77777777" w:rsidR="00610ADB" w:rsidRPr="00A81971" w:rsidRDefault="0032495C" w:rsidP="00610ADB">
      <w:pPr>
        <w:keepNext/>
        <w:keepLines/>
        <w:tabs>
          <w:tab w:val="left" w:pos="0"/>
        </w:tabs>
        <w:spacing w:before="120" w:after="240"/>
        <w:ind w:left="709" w:hanging="709"/>
        <w:outlineLvl w:val="0"/>
        <w:rPr>
          <w:rFonts w:eastAsia="Calibri"/>
          <w:b/>
          <w:color w:val="000000"/>
          <w:sz w:val="28"/>
          <w:szCs w:val="28"/>
          <w:lang w:eastAsia="zh-CN"/>
        </w:rPr>
      </w:pPr>
      <w:bookmarkStart w:id="98" w:name="_Toc40696032"/>
      <w:bookmarkStart w:id="99" w:name="_Toc40696301"/>
      <w:bookmarkStart w:id="100" w:name="_Toc40696691"/>
      <w:bookmarkStart w:id="101" w:name="_Toc40697453"/>
      <w:bookmarkStart w:id="102" w:name="_Toc40765283"/>
      <w:bookmarkStart w:id="103" w:name="_Toc40765504"/>
      <w:bookmarkStart w:id="104" w:name="_Toc41335669"/>
      <w:bookmarkStart w:id="105" w:name="_Toc41660039"/>
      <w:bookmarkStart w:id="106" w:name="_Toc41805946"/>
      <w:bookmarkStart w:id="107" w:name="_Toc41837741"/>
      <w:bookmarkStart w:id="108" w:name="_Toc77868851"/>
      <w:bookmarkStart w:id="109" w:name="_Toc78040697"/>
      <w:bookmarkStart w:id="110" w:name="_Toc79066502"/>
      <w:bookmarkStart w:id="111" w:name="_Toc104396644"/>
      <w:bookmarkStart w:id="112" w:name="_Toc230099029"/>
      <w:bookmarkStart w:id="113" w:name="_Toc240987313"/>
      <w:r w:rsidRPr="00A81971">
        <w:rPr>
          <w:rFonts w:eastAsia="Calibri"/>
          <w:b/>
          <w:color w:val="000000"/>
          <w:sz w:val="28"/>
          <w:szCs w:val="28"/>
          <w:lang w:eastAsia="zh-CN"/>
        </w:rPr>
        <w:lastRenderedPageBreak/>
        <w:t>Foreword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30ACAB72" w14:textId="77777777" w:rsidR="00610ADB" w:rsidRPr="00A81971" w:rsidRDefault="0032495C" w:rsidP="00610ADB">
      <w:pPr>
        <w:tabs>
          <w:tab w:val="left" w:pos="0"/>
        </w:tabs>
        <w:spacing w:after="240"/>
        <w:rPr>
          <w:rFonts w:eastAsia="Times New Roman"/>
          <w:b/>
          <w:color w:val="000000"/>
        </w:rPr>
      </w:pPr>
      <w:r w:rsidRPr="00A81971">
        <w:rPr>
          <w:rFonts w:eastAsia="Times New Roman"/>
          <w:b/>
          <w:color w:val="000000"/>
        </w:rPr>
        <w:t>The TEAP Decision XXXVII/6 Replenishment Task Force:</w:t>
      </w:r>
    </w:p>
    <w:tbl>
      <w:tblPr>
        <w:tblStyle w:val="TableGrid13"/>
        <w:tblW w:w="8440" w:type="dxa"/>
        <w:tblLook w:val="04A0" w:firstRow="1" w:lastRow="0" w:firstColumn="1" w:lastColumn="0" w:noHBand="0" w:noVBand="1"/>
      </w:tblPr>
      <w:tblGrid>
        <w:gridCol w:w="2130"/>
        <w:gridCol w:w="4365"/>
        <w:gridCol w:w="1945"/>
      </w:tblGrid>
      <w:tr w:rsidR="00F90461" w14:paraId="19C0236D" w14:textId="77777777" w:rsidTr="00FE5C31">
        <w:trPr>
          <w:trHeight w:val="300"/>
        </w:trPr>
        <w:tc>
          <w:tcPr>
            <w:tcW w:w="2130" w:type="dxa"/>
            <w:shd w:val="clear" w:color="auto" w:fill="8EAADB" w:themeFill="accent1" w:themeFillTint="99"/>
            <w:vAlign w:val="center"/>
          </w:tcPr>
          <w:p w14:paraId="6B3A05A2" w14:textId="77777777" w:rsidR="00610ADB" w:rsidRPr="00A81971" w:rsidRDefault="0032495C" w:rsidP="0069728B">
            <w:pPr>
              <w:tabs>
                <w:tab w:val="left" w:pos="0"/>
              </w:tabs>
              <w:spacing w:after="0"/>
            </w:pPr>
            <w:r w:rsidRPr="00A81971">
              <w:t>Co-chairs</w:t>
            </w:r>
          </w:p>
        </w:tc>
        <w:tc>
          <w:tcPr>
            <w:tcW w:w="4365" w:type="dxa"/>
            <w:shd w:val="clear" w:color="auto" w:fill="8EAADB" w:themeFill="accent1" w:themeFillTint="99"/>
            <w:vAlign w:val="center"/>
          </w:tcPr>
          <w:p w14:paraId="2BF71429" w14:textId="77777777" w:rsidR="00610ADB" w:rsidRPr="00A81971" w:rsidRDefault="0032495C" w:rsidP="0069728B">
            <w:pPr>
              <w:tabs>
                <w:tab w:val="left" w:pos="0"/>
              </w:tabs>
              <w:spacing w:after="0"/>
            </w:pPr>
            <w:r w:rsidRPr="00A81971">
              <w:t>Affiliation</w:t>
            </w:r>
          </w:p>
        </w:tc>
        <w:tc>
          <w:tcPr>
            <w:tcW w:w="1945" w:type="dxa"/>
            <w:shd w:val="clear" w:color="auto" w:fill="8EAADB" w:themeFill="accent1" w:themeFillTint="99"/>
            <w:vAlign w:val="center"/>
          </w:tcPr>
          <w:p w14:paraId="40CD298F" w14:textId="77777777" w:rsidR="00610ADB" w:rsidRPr="00A81971" w:rsidRDefault="0032495C" w:rsidP="0069728B">
            <w:pPr>
              <w:tabs>
                <w:tab w:val="left" w:pos="0"/>
              </w:tabs>
              <w:spacing w:after="0"/>
            </w:pPr>
            <w:r w:rsidRPr="00A81971">
              <w:t>Country</w:t>
            </w:r>
          </w:p>
        </w:tc>
      </w:tr>
      <w:tr w:rsidR="00F90461" w14:paraId="29F4FC90" w14:textId="77777777" w:rsidTr="00FE5C31">
        <w:trPr>
          <w:trHeight w:val="300"/>
        </w:trPr>
        <w:tc>
          <w:tcPr>
            <w:tcW w:w="2130" w:type="dxa"/>
            <w:vAlign w:val="center"/>
          </w:tcPr>
          <w:p w14:paraId="7B1BC338" w14:textId="77777777" w:rsidR="00610ADB" w:rsidRPr="00A81971" w:rsidRDefault="0032495C" w:rsidP="0069728B">
            <w:pPr>
              <w:tabs>
                <w:tab w:val="left" w:pos="0"/>
              </w:tabs>
              <w:spacing w:after="0"/>
            </w:pPr>
            <w:r w:rsidRPr="00A81971">
              <w:t>Suely Carvalho</w:t>
            </w:r>
          </w:p>
        </w:tc>
        <w:tc>
          <w:tcPr>
            <w:tcW w:w="4365" w:type="dxa"/>
            <w:vAlign w:val="center"/>
          </w:tcPr>
          <w:p w14:paraId="731D2524" w14:textId="77777777" w:rsidR="00610ADB" w:rsidRPr="00A81971" w:rsidRDefault="0032495C" w:rsidP="0069728B">
            <w:pPr>
              <w:tabs>
                <w:tab w:val="left" w:pos="0"/>
              </w:tabs>
              <w:spacing w:after="0"/>
            </w:pPr>
            <w:r w:rsidRPr="00A81971">
              <w:t xml:space="preserve">TEAP Senior Expert </w:t>
            </w:r>
          </w:p>
        </w:tc>
        <w:tc>
          <w:tcPr>
            <w:tcW w:w="1945" w:type="dxa"/>
            <w:vAlign w:val="center"/>
          </w:tcPr>
          <w:p w14:paraId="4026C233" w14:textId="77777777" w:rsidR="00610ADB" w:rsidRPr="00A81971" w:rsidRDefault="0032495C" w:rsidP="0069728B">
            <w:pPr>
              <w:tabs>
                <w:tab w:val="left" w:pos="0"/>
              </w:tabs>
              <w:spacing w:after="0"/>
            </w:pPr>
            <w:r w:rsidRPr="00A81971">
              <w:t>Brazil</w:t>
            </w:r>
          </w:p>
        </w:tc>
      </w:tr>
      <w:tr w:rsidR="00F90461" w14:paraId="6F30021A" w14:textId="77777777" w:rsidTr="00FE5C31">
        <w:trPr>
          <w:trHeight w:val="300"/>
        </w:trPr>
        <w:tc>
          <w:tcPr>
            <w:tcW w:w="2130" w:type="dxa"/>
            <w:vAlign w:val="center"/>
          </w:tcPr>
          <w:p w14:paraId="3689F894" w14:textId="77777777" w:rsidR="00610ADB" w:rsidRPr="00A81971" w:rsidRDefault="0032495C" w:rsidP="0069728B">
            <w:pPr>
              <w:tabs>
                <w:tab w:val="left" w:pos="0"/>
              </w:tabs>
              <w:spacing w:after="0"/>
            </w:pPr>
            <w:r w:rsidRPr="00A81971">
              <w:t>Bella Maranion</w:t>
            </w:r>
          </w:p>
        </w:tc>
        <w:tc>
          <w:tcPr>
            <w:tcW w:w="4365" w:type="dxa"/>
            <w:vAlign w:val="center"/>
          </w:tcPr>
          <w:p w14:paraId="66121E8E" w14:textId="77777777" w:rsidR="00610ADB" w:rsidRPr="00A81971" w:rsidRDefault="0032495C" w:rsidP="0069728B">
            <w:pPr>
              <w:tabs>
                <w:tab w:val="left" w:pos="0"/>
              </w:tabs>
              <w:spacing w:after="0"/>
            </w:pPr>
            <w:r w:rsidRPr="00A81971">
              <w:t>TEAP Co-chair</w:t>
            </w:r>
          </w:p>
        </w:tc>
        <w:tc>
          <w:tcPr>
            <w:tcW w:w="1945" w:type="dxa"/>
            <w:vAlign w:val="center"/>
          </w:tcPr>
          <w:p w14:paraId="602B10CA" w14:textId="77777777" w:rsidR="00610ADB" w:rsidRPr="00A81971" w:rsidRDefault="0032495C" w:rsidP="0069728B">
            <w:pPr>
              <w:tabs>
                <w:tab w:val="left" w:pos="0"/>
              </w:tabs>
              <w:spacing w:after="0"/>
            </w:pPr>
            <w:r w:rsidRPr="00A81971">
              <w:t>United States of America (USA)</w:t>
            </w:r>
          </w:p>
        </w:tc>
      </w:tr>
      <w:tr w:rsidR="00F90461" w14:paraId="2BEBB23A" w14:textId="77777777" w:rsidTr="00FE5C31">
        <w:trPr>
          <w:trHeight w:val="300"/>
        </w:trPr>
        <w:tc>
          <w:tcPr>
            <w:tcW w:w="8440" w:type="dxa"/>
            <w:gridSpan w:val="3"/>
            <w:shd w:val="clear" w:color="auto" w:fill="8EAADB" w:themeFill="accent1" w:themeFillTint="99"/>
            <w:vAlign w:val="center"/>
          </w:tcPr>
          <w:p w14:paraId="1FCD8ECB" w14:textId="77777777" w:rsidR="00610ADB" w:rsidRPr="00A81971" w:rsidRDefault="0032495C" w:rsidP="0069728B">
            <w:pPr>
              <w:tabs>
                <w:tab w:val="left" w:pos="0"/>
              </w:tabs>
              <w:spacing w:after="0"/>
            </w:pPr>
            <w:r w:rsidRPr="00A81971">
              <w:t>Members</w:t>
            </w:r>
          </w:p>
        </w:tc>
      </w:tr>
      <w:tr w:rsidR="00F90461" w14:paraId="642B8A79" w14:textId="77777777" w:rsidTr="00FE5C31">
        <w:trPr>
          <w:trHeight w:val="300"/>
        </w:trPr>
        <w:tc>
          <w:tcPr>
            <w:tcW w:w="2130" w:type="dxa"/>
            <w:vAlign w:val="center"/>
          </w:tcPr>
          <w:p w14:paraId="0C21228E" w14:textId="77777777" w:rsidR="00610ADB" w:rsidRPr="00A81971" w:rsidRDefault="0032495C" w:rsidP="0069728B">
            <w:pPr>
              <w:tabs>
                <w:tab w:val="left" w:pos="0"/>
              </w:tabs>
              <w:spacing w:after="0"/>
            </w:pPr>
            <w:r w:rsidRPr="00A81971">
              <w:t>Omar Abdelaziz</w:t>
            </w:r>
          </w:p>
        </w:tc>
        <w:tc>
          <w:tcPr>
            <w:tcW w:w="4365" w:type="dxa"/>
            <w:vAlign w:val="center"/>
          </w:tcPr>
          <w:p w14:paraId="6E376000" w14:textId="77777777" w:rsidR="00610ADB" w:rsidRPr="00A81971" w:rsidRDefault="0032495C" w:rsidP="0069728B">
            <w:pPr>
              <w:tabs>
                <w:tab w:val="left" w:pos="0"/>
              </w:tabs>
              <w:spacing w:after="0"/>
            </w:pPr>
            <w:r w:rsidRPr="00A81971">
              <w:t>Refrigeration, Air Conditioning, and Heat Pumps Technical Options Committee (RTOC) Co-chair</w:t>
            </w:r>
          </w:p>
        </w:tc>
        <w:tc>
          <w:tcPr>
            <w:tcW w:w="1945" w:type="dxa"/>
            <w:vAlign w:val="center"/>
          </w:tcPr>
          <w:p w14:paraId="5D6AC59A" w14:textId="77777777" w:rsidR="00610ADB" w:rsidRPr="00A81971" w:rsidRDefault="0032495C" w:rsidP="0069728B">
            <w:pPr>
              <w:tabs>
                <w:tab w:val="left" w:pos="0"/>
              </w:tabs>
              <w:spacing w:after="0"/>
            </w:pPr>
            <w:r w:rsidRPr="00A81971">
              <w:t>Egypt</w:t>
            </w:r>
          </w:p>
        </w:tc>
      </w:tr>
      <w:tr w:rsidR="00F90461" w14:paraId="077FCD3C" w14:textId="77777777" w:rsidTr="00FE5C31">
        <w:trPr>
          <w:trHeight w:val="300"/>
        </w:trPr>
        <w:tc>
          <w:tcPr>
            <w:tcW w:w="2130" w:type="dxa"/>
            <w:vAlign w:val="center"/>
          </w:tcPr>
          <w:p w14:paraId="756C2283" w14:textId="77777777" w:rsidR="00610ADB" w:rsidRPr="00A81971" w:rsidRDefault="0032495C" w:rsidP="0069728B">
            <w:pPr>
              <w:tabs>
                <w:tab w:val="left" w:pos="0"/>
              </w:tabs>
              <w:spacing w:after="0"/>
            </w:pPr>
            <w:r w:rsidRPr="00A81971">
              <w:t>Adam Chattaway</w:t>
            </w:r>
          </w:p>
        </w:tc>
        <w:tc>
          <w:tcPr>
            <w:tcW w:w="4365" w:type="dxa"/>
            <w:vAlign w:val="center"/>
          </w:tcPr>
          <w:p w14:paraId="507504A2" w14:textId="77777777" w:rsidR="00610ADB" w:rsidRPr="00A81971" w:rsidRDefault="0032495C" w:rsidP="0069728B">
            <w:pPr>
              <w:tabs>
                <w:tab w:val="left" w:pos="0"/>
              </w:tabs>
              <w:spacing w:after="0"/>
            </w:pPr>
            <w:r w:rsidRPr="00A81971">
              <w:t>Fire Suppression Technical Options Committee (FSTOC) Co-chair</w:t>
            </w:r>
          </w:p>
        </w:tc>
        <w:tc>
          <w:tcPr>
            <w:tcW w:w="1945" w:type="dxa"/>
            <w:vAlign w:val="center"/>
          </w:tcPr>
          <w:p w14:paraId="343F9D3C" w14:textId="77777777" w:rsidR="00610ADB" w:rsidRPr="00A81971" w:rsidRDefault="0032495C" w:rsidP="0069728B">
            <w:pPr>
              <w:tabs>
                <w:tab w:val="left" w:pos="0"/>
              </w:tabs>
              <w:spacing w:after="0"/>
            </w:pPr>
            <w:r w:rsidRPr="00A81971">
              <w:t>United Kingdom (UK)</w:t>
            </w:r>
          </w:p>
        </w:tc>
      </w:tr>
      <w:tr w:rsidR="00F90461" w14:paraId="2C426434" w14:textId="77777777" w:rsidTr="00FE5C31">
        <w:trPr>
          <w:trHeight w:val="300"/>
        </w:trPr>
        <w:tc>
          <w:tcPr>
            <w:tcW w:w="2130" w:type="dxa"/>
            <w:vAlign w:val="center"/>
          </w:tcPr>
          <w:p w14:paraId="4CF12062" w14:textId="77777777" w:rsidR="00610ADB" w:rsidRPr="00A81971" w:rsidRDefault="0032495C" w:rsidP="0069728B">
            <w:pPr>
              <w:tabs>
                <w:tab w:val="left" w:pos="0"/>
              </w:tabs>
              <w:spacing w:after="0"/>
            </w:pPr>
            <w:r w:rsidRPr="00A81971">
              <w:t>Sukumar Devotta</w:t>
            </w:r>
          </w:p>
        </w:tc>
        <w:tc>
          <w:tcPr>
            <w:tcW w:w="4365" w:type="dxa"/>
            <w:vAlign w:val="center"/>
          </w:tcPr>
          <w:p w14:paraId="5974222C" w14:textId="77777777" w:rsidR="00610ADB" w:rsidRPr="00A81971" w:rsidRDefault="0032495C" w:rsidP="0069728B">
            <w:pPr>
              <w:tabs>
                <w:tab w:val="left" w:pos="0"/>
              </w:tabs>
              <w:spacing w:after="0"/>
            </w:pPr>
            <w:r w:rsidRPr="00A81971">
              <w:t>TEAP Senior Expert</w:t>
            </w:r>
          </w:p>
        </w:tc>
        <w:tc>
          <w:tcPr>
            <w:tcW w:w="1945" w:type="dxa"/>
            <w:vAlign w:val="center"/>
          </w:tcPr>
          <w:p w14:paraId="574FD244" w14:textId="77777777" w:rsidR="00610ADB" w:rsidRPr="00A81971" w:rsidRDefault="0032495C" w:rsidP="0069728B">
            <w:pPr>
              <w:tabs>
                <w:tab w:val="left" w:pos="0"/>
              </w:tabs>
              <w:spacing w:after="0"/>
            </w:pPr>
            <w:r w:rsidRPr="00A81971">
              <w:t>India</w:t>
            </w:r>
          </w:p>
        </w:tc>
      </w:tr>
      <w:tr w:rsidR="00F90461" w14:paraId="3AAF154D" w14:textId="77777777" w:rsidTr="00FE5C31">
        <w:trPr>
          <w:trHeight w:val="300"/>
        </w:trPr>
        <w:tc>
          <w:tcPr>
            <w:tcW w:w="2130" w:type="dxa"/>
            <w:vAlign w:val="center"/>
          </w:tcPr>
          <w:p w14:paraId="0A0AEF24" w14:textId="77777777" w:rsidR="00610ADB" w:rsidRPr="00A81971" w:rsidRDefault="0032495C" w:rsidP="0069728B">
            <w:pPr>
              <w:tabs>
                <w:tab w:val="left" w:pos="0"/>
              </w:tabs>
              <w:spacing w:after="0"/>
            </w:pPr>
            <w:r w:rsidRPr="00A81971">
              <w:t>Gabrielle Dreyfus</w:t>
            </w:r>
          </w:p>
        </w:tc>
        <w:tc>
          <w:tcPr>
            <w:tcW w:w="4365" w:type="dxa"/>
            <w:vAlign w:val="center"/>
          </w:tcPr>
          <w:p w14:paraId="60850028" w14:textId="77777777" w:rsidR="00610ADB" w:rsidRPr="00A81971" w:rsidRDefault="0032495C" w:rsidP="0069728B">
            <w:pPr>
              <w:tabs>
                <w:tab w:val="left" w:pos="0"/>
              </w:tabs>
              <w:spacing w:after="0"/>
            </w:pPr>
            <w:r w:rsidRPr="00A81971">
              <w:t>RTOC Member</w:t>
            </w:r>
          </w:p>
        </w:tc>
        <w:tc>
          <w:tcPr>
            <w:tcW w:w="1945" w:type="dxa"/>
            <w:vAlign w:val="center"/>
          </w:tcPr>
          <w:p w14:paraId="6963F4B1" w14:textId="77777777" w:rsidR="00610ADB" w:rsidRPr="00A81971" w:rsidRDefault="0032495C" w:rsidP="0069728B">
            <w:pPr>
              <w:tabs>
                <w:tab w:val="left" w:pos="0"/>
              </w:tabs>
              <w:spacing w:after="0"/>
            </w:pPr>
            <w:r w:rsidRPr="00A81971">
              <w:t>USA</w:t>
            </w:r>
          </w:p>
        </w:tc>
      </w:tr>
      <w:tr w:rsidR="00F90461" w14:paraId="5841D396" w14:textId="77777777" w:rsidTr="00FE5C31">
        <w:trPr>
          <w:trHeight w:val="300"/>
        </w:trPr>
        <w:tc>
          <w:tcPr>
            <w:tcW w:w="2130" w:type="dxa"/>
            <w:vAlign w:val="center"/>
          </w:tcPr>
          <w:p w14:paraId="69D0ED22" w14:textId="77777777" w:rsidR="00610ADB" w:rsidRPr="00A81971" w:rsidRDefault="0032495C" w:rsidP="0069728B">
            <w:pPr>
              <w:tabs>
                <w:tab w:val="left" w:pos="0"/>
              </w:tabs>
              <w:spacing w:after="0"/>
            </w:pPr>
            <w:r w:rsidRPr="00A81971">
              <w:t>Bassam Elassaad</w:t>
            </w:r>
          </w:p>
        </w:tc>
        <w:tc>
          <w:tcPr>
            <w:tcW w:w="4365" w:type="dxa"/>
            <w:vAlign w:val="center"/>
          </w:tcPr>
          <w:p w14:paraId="0F261A1B" w14:textId="77777777" w:rsidR="00610ADB" w:rsidRPr="00A81971" w:rsidRDefault="0032495C" w:rsidP="0069728B">
            <w:pPr>
              <w:tabs>
                <w:tab w:val="left" w:pos="0"/>
              </w:tabs>
              <w:spacing w:after="0"/>
            </w:pPr>
            <w:r>
              <w:t>TEAP Senior Expert and RTOC Member</w:t>
            </w:r>
          </w:p>
        </w:tc>
        <w:tc>
          <w:tcPr>
            <w:tcW w:w="1945" w:type="dxa"/>
            <w:vAlign w:val="center"/>
          </w:tcPr>
          <w:p w14:paraId="43C42EBD" w14:textId="77777777" w:rsidR="00610ADB" w:rsidRPr="00A81971" w:rsidRDefault="0032495C" w:rsidP="0069728B">
            <w:pPr>
              <w:tabs>
                <w:tab w:val="left" w:pos="0"/>
              </w:tabs>
              <w:spacing w:after="0"/>
            </w:pPr>
            <w:r w:rsidRPr="00A81971">
              <w:t>Lebanon</w:t>
            </w:r>
          </w:p>
        </w:tc>
      </w:tr>
      <w:tr w:rsidR="00F90461" w14:paraId="193E0E83" w14:textId="77777777" w:rsidTr="00FE5C31">
        <w:trPr>
          <w:trHeight w:val="300"/>
        </w:trPr>
        <w:tc>
          <w:tcPr>
            <w:tcW w:w="2130" w:type="dxa"/>
            <w:vAlign w:val="center"/>
          </w:tcPr>
          <w:p w14:paraId="705F13E8" w14:textId="77777777" w:rsidR="00610ADB" w:rsidRPr="00A81971" w:rsidRDefault="0032495C" w:rsidP="0069728B">
            <w:pPr>
              <w:tabs>
                <w:tab w:val="left" w:pos="0"/>
              </w:tabs>
              <w:spacing w:after="0"/>
            </w:pPr>
            <w:r w:rsidRPr="00A81971">
              <w:t>Carlos Froes Lima</w:t>
            </w:r>
          </w:p>
        </w:tc>
        <w:tc>
          <w:tcPr>
            <w:tcW w:w="4365" w:type="dxa"/>
            <w:vAlign w:val="center"/>
          </w:tcPr>
          <w:p w14:paraId="0A8B9323" w14:textId="77777777" w:rsidR="00610ADB" w:rsidRPr="00A81971" w:rsidRDefault="0032495C" w:rsidP="0069728B">
            <w:pPr>
              <w:tabs>
                <w:tab w:val="left" w:pos="0"/>
              </w:tabs>
              <w:spacing w:after="0"/>
            </w:pPr>
            <w:r w:rsidRPr="00A81971">
              <w:t>Independent consultant</w:t>
            </w:r>
          </w:p>
        </w:tc>
        <w:tc>
          <w:tcPr>
            <w:tcW w:w="1945" w:type="dxa"/>
            <w:vAlign w:val="center"/>
          </w:tcPr>
          <w:p w14:paraId="27984FE7" w14:textId="77777777" w:rsidR="00610ADB" w:rsidRPr="00A81971" w:rsidRDefault="0032495C" w:rsidP="0069728B">
            <w:pPr>
              <w:tabs>
                <w:tab w:val="left" w:pos="0"/>
              </w:tabs>
              <w:spacing w:after="0"/>
            </w:pPr>
            <w:r w:rsidRPr="00A81971">
              <w:t>Brazil</w:t>
            </w:r>
          </w:p>
        </w:tc>
      </w:tr>
      <w:tr w:rsidR="00F90461" w14:paraId="65AC1AF8" w14:textId="77777777" w:rsidTr="00FE5C31">
        <w:trPr>
          <w:trHeight w:val="300"/>
        </w:trPr>
        <w:tc>
          <w:tcPr>
            <w:tcW w:w="2130" w:type="dxa"/>
            <w:vAlign w:val="center"/>
          </w:tcPr>
          <w:p w14:paraId="7CBF76E7" w14:textId="77777777" w:rsidR="00610ADB" w:rsidRPr="00A81971" w:rsidRDefault="0032495C" w:rsidP="0069728B">
            <w:pPr>
              <w:tabs>
                <w:tab w:val="left" w:pos="0"/>
              </w:tabs>
              <w:spacing w:after="0"/>
            </w:pPr>
            <w:r w:rsidRPr="00A81971">
              <w:t>Marco Gonzalez</w:t>
            </w:r>
          </w:p>
        </w:tc>
        <w:tc>
          <w:tcPr>
            <w:tcW w:w="4365" w:type="dxa"/>
            <w:vAlign w:val="center"/>
          </w:tcPr>
          <w:p w14:paraId="5841686A" w14:textId="77777777" w:rsidR="00610ADB" w:rsidRPr="00A81971" w:rsidRDefault="0032495C" w:rsidP="0069728B">
            <w:pPr>
              <w:tabs>
                <w:tab w:val="left" w:pos="0"/>
              </w:tabs>
              <w:spacing w:after="0"/>
            </w:pPr>
            <w:r w:rsidRPr="00A81971">
              <w:t>TEAP Senior Expert</w:t>
            </w:r>
          </w:p>
        </w:tc>
        <w:tc>
          <w:tcPr>
            <w:tcW w:w="1945" w:type="dxa"/>
            <w:vAlign w:val="center"/>
          </w:tcPr>
          <w:p w14:paraId="604F84F2" w14:textId="77777777" w:rsidR="00610ADB" w:rsidRPr="00A81971" w:rsidRDefault="0032495C" w:rsidP="0069728B">
            <w:pPr>
              <w:tabs>
                <w:tab w:val="left" w:pos="0"/>
              </w:tabs>
              <w:spacing w:after="0"/>
            </w:pPr>
            <w:r w:rsidRPr="00A81971">
              <w:t>Costa Rica</w:t>
            </w:r>
          </w:p>
        </w:tc>
      </w:tr>
      <w:tr w:rsidR="00F90461" w14:paraId="3CDAEEA7" w14:textId="77777777" w:rsidTr="00FE5C31">
        <w:trPr>
          <w:trHeight w:val="300"/>
        </w:trPr>
        <w:tc>
          <w:tcPr>
            <w:tcW w:w="2130" w:type="dxa"/>
            <w:vAlign w:val="center"/>
          </w:tcPr>
          <w:p w14:paraId="16937AE2" w14:textId="77777777" w:rsidR="00610ADB" w:rsidRPr="00A81971" w:rsidRDefault="0032495C" w:rsidP="0069728B">
            <w:pPr>
              <w:tabs>
                <w:tab w:val="left" w:pos="0"/>
              </w:tabs>
              <w:spacing w:after="0"/>
            </w:pPr>
            <w:r w:rsidRPr="00A81971">
              <w:t>Mary Najjuma</w:t>
            </w:r>
          </w:p>
        </w:tc>
        <w:tc>
          <w:tcPr>
            <w:tcW w:w="4365" w:type="dxa"/>
            <w:vAlign w:val="center"/>
          </w:tcPr>
          <w:p w14:paraId="32DDDAF6" w14:textId="77777777" w:rsidR="00610ADB" w:rsidRPr="00A81971" w:rsidRDefault="0032495C" w:rsidP="0069728B">
            <w:pPr>
              <w:tabs>
                <w:tab w:val="left" w:pos="0"/>
              </w:tabs>
              <w:spacing w:after="0"/>
            </w:pPr>
            <w:r w:rsidRPr="00A81971">
              <w:t>Independent consultant</w:t>
            </w:r>
          </w:p>
        </w:tc>
        <w:tc>
          <w:tcPr>
            <w:tcW w:w="1945" w:type="dxa"/>
            <w:vAlign w:val="center"/>
          </w:tcPr>
          <w:p w14:paraId="0425E550" w14:textId="77777777" w:rsidR="00610ADB" w:rsidRPr="00A81971" w:rsidRDefault="0032495C" w:rsidP="0069728B">
            <w:pPr>
              <w:tabs>
                <w:tab w:val="left" w:pos="0"/>
              </w:tabs>
              <w:spacing w:after="0"/>
            </w:pPr>
            <w:r w:rsidRPr="00A81971">
              <w:t>Uganda</w:t>
            </w:r>
          </w:p>
        </w:tc>
      </w:tr>
      <w:tr w:rsidR="00F90461" w14:paraId="4DF82FF0" w14:textId="77777777" w:rsidTr="00FE5C31">
        <w:trPr>
          <w:trHeight w:val="300"/>
        </w:trPr>
        <w:tc>
          <w:tcPr>
            <w:tcW w:w="2130" w:type="dxa"/>
            <w:vAlign w:val="center"/>
          </w:tcPr>
          <w:p w14:paraId="3602462C" w14:textId="77777777" w:rsidR="00610ADB" w:rsidRPr="00A81971" w:rsidRDefault="0032495C" w:rsidP="0069728B">
            <w:pPr>
              <w:tabs>
                <w:tab w:val="left" w:pos="0"/>
              </w:tabs>
              <w:spacing w:after="0"/>
            </w:pPr>
            <w:r w:rsidRPr="00A81971">
              <w:t>Marta Pizano</w:t>
            </w:r>
          </w:p>
        </w:tc>
        <w:tc>
          <w:tcPr>
            <w:tcW w:w="4365" w:type="dxa"/>
            <w:vAlign w:val="center"/>
          </w:tcPr>
          <w:p w14:paraId="104AE718" w14:textId="77777777" w:rsidR="00610ADB" w:rsidRPr="00A81971" w:rsidRDefault="0032495C" w:rsidP="0069728B">
            <w:pPr>
              <w:tabs>
                <w:tab w:val="left" w:pos="0"/>
              </w:tabs>
              <w:spacing w:after="0"/>
            </w:pPr>
            <w:r w:rsidRPr="00A81971">
              <w:t>TEAP and Methyl Bromide Technical Options Committee (MBTOC) Co-chair</w:t>
            </w:r>
          </w:p>
        </w:tc>
        <w:tc>
          <w:tcPr>
            <w:tcW w:w="1945" w:type="dxa"/>
            <w:vAlign w:val="center"/>
          </w:tcPr>
          <w:p w14:paraId="249046C8" w14:textId="77777777" w:rsidR="00610ADB" w:rsidRPr="00A81971" w:rsidRDefault="0032495C" w:rsidP="0069728B">
            <w:pPr>
              <w:tabs>
                <w:tab w:val="left" w:pos="0"/>
              </w:tabs>
              <w:spacing w:after="0"/>
            </w:pPr>
            <w:r w:rsidRPr="00A81971">
              <w:t>Colombia</w:t>
            </w:r>
          </w:p>
        </w:tc>
      </w:tr>
      <w:tr w:rsidR="00F90461" w14:paraId="287A22D6" w14:textId="77777777" w:rsidTr="00FE5C31">
        <w:trPr>
          <w:trHeight w:val="300"/>
        </w:trPr>
        <w:tc>
          <w:tcPr>
            <w:tcW w:w="2130" w:type="dxa"/>
            <w:vAlign w:val="center"/>
          </w:tcPr>
          <w:p w14:paraId="4553D664" w14:textId="77777777" w:rsidR="00610ADB" w:rsidRPr="00A81971" w:rsidRDefault="0032495C" w:rsidP="0069728B">
            <w:pPr>
              <w:tabs>
                <w:tab w:val="left" w:pos="0"/>
              </w:tabs>
              <w:spacing w:after="0"/>
            </w:pPr>
            <w:r w:rsidRPr="00A81971">
              <w:t>Pallav Purohit</w:t>
            </w:r>
          </w:p>
        </w:tc>
        <w:tc>
          <w:tcPr>
            <w:tcW w:w="4365" w:type="dxa"/>
            <w:vAlign w:val="center"/>
          </w:tcPr>
          <w:p w14:paraId="3C5489C1" w14:textId="77777777" w:rsidR="00610ADB" w:rsidRPr="00A81971" w:rsidRDefault="0032495C" w:rsidP="0069728B">
            <w:pPr>
              <w:tabs>
                <w:tab w:val="left" w:pos="0"/>
              </w:tabs>
              <w:spacing w:after="0"/>
            </w:pPr>
            <w:r w:rsidRPr="00A81971">
              <w:t>RTOC Member</w:t>
            </w:r>
          </w:p>
        </w:tc>
        <w:tc>
          <w:tcPr>
            <w:tcW w:w="1945" w:type="dxa"/>
            <w:vAlign w:val="center"/>
          </w:tcPr>
          <w:p w14:paraId="12357946" w14:textId="77777777" w:rsidR="00610ADB" w:rsidRPr="00A81971" w:rsidRDefault="0032495C" w:rsidP="0069728B">
            <w:pPr>
              <w:tabs>
                <w:tab w:val="left" w:pos="0"/>
              </w:tabs>
              <w:spacing w:after="0"/>
            </w:pPr>
            <w:r w:rsidRPr="00A81971">
              <w:t>India</w:t>
            </w:r>
          </w:p>
        </w:tc>
      </w:tr>
      <w:tr w:rsidR="00F90461" w14:paraId="328B1B0D" w14:textId="77777777" w:rsidTr="00FE5C31">
        <w:trPr>
          <w:trHeight w:val="300"/>
        </w:trPr>
        <w:tc>
          <w:tcPr>
            <w:tcW w:w="2130" w:type="dxa"/>
            <w:vAlign w:val="center"/>
          </w:tcPr>
          <w:p w14:paraId="70972C41" w14:textId="77777777" w:rsidR="00610ADB" w:rsidRPr="00A81971" w:rsidRDefault="0032495C" w:rsidP="0069728B">
            <w:pPr>
              <w:tabs>
                <w:tab w:val="left" w:pos="0"/>
              </w:tabs>
              <w:spacing w:after="0"/>
            </w:pPr>
            <w:r w:rsidRPr="00A81971">
              <w:t>Rajan Rajendran</w:t>
            </w:r>
          </w:p>
        </w:tc>
        <w:tc>
          <w:tcPr>
            <w:tcW w:w="4365" w:type="dxa"/>
            <w:vAlign w:val="center"/>
          </w:tcPr>
          <w:p w14:paraId="7289A283" w14:textId="77777777" w:rsidR="00610ADB" w:rsidRPr="00A81971" w:rsidRDefault="0032495C" w:rsidP="0069728B">
            <w:pPr>
              <w:tabs>
                <w:tab w:val="left" w:pos="0"/>
              </w:tabs>
              <w:spacing w:after="0"/>
            </w:pPr>
            <w:r w:rsidRPr="00A81971">
              <w:t>RTOC Co-chair</w:t>
            </w:r>
          </w:p>
        </w:tc>
        <w:tc>
          <w:tcPr>
            <w:tcW w:w="1945" w:type="dxa"/>
            <w:vAlign w:val="center"/>
          </w:tcPr>
          <w:p w14:paraId="252C60D2" w14:textId="77777777" w:rsidR="00610ADB" w:rsidRPr="00A81971" w:rsidRDefault="0032495C" w:rsidP="0069728B">
            <w:pPr>
              <w:tabs>
                <w:tab w:val="left" w:pos="0"/>
              </w:tabs>
              <w:spacing w:after="0"/>
            </w:pPr>
            <w:r w:rsidRPr="00A81971">
              <w:t>USA</w:t>
            </w:r>
          </w:p>
        </w:tc>
      </w:tr>
      <w:tr w:rsidR="00F90461" w14:paraId="584064FD" w14:textId="77777777" w:rsidTr="00FE5C31">
        <w:trPr>
          <w:trHeight w:val="300"/>
        </w:trPr>
        <w:tc>
          <w:tcPr>
            <w:tcW w:w="2130" w:type="dxa"/>
            <w:vAlign w:val="center"/>
          </w:tcPr>
          <w:p w14:paraId="1D99957F" w14:textId="77777777" w:rsidR="00610ADB" w:rsidRPr="00A81971" w:rsidRDefault="0032495C" w:rsidP="0069728B">
            <w:pPr>
              <w:tabs>
                <w:tab w:val="left" w:pos="0"/>
              </w:tabs>
              <w:spacing w:after="0"/>
            </w:pPr>
            <w:r w:rsidRPr="00A81971">
              <w:t>Bettina Schreck</w:t>
            </w:r>
          </w:p>
        </w:tc>
        <w:tc>
          <w:tcPr>
            <w:tcW w:w="4365" w:type="dxa"/>
            <w:vAlign w:val="center"/>
          </w:tcPr>
          <w:p w14:paraId="2808DF76" w14:textId="77777777" w:rsidR="00610ADB" w:rsidRPr="00A81971" w:rsidRDefault="0032495C" w:rsidP="0069728B">
            <w:pPr>
              <w:tabs>
                <w:tab w:val="left" w:pos="0"/>
              </w:tabs>
              <w:spacing w:after="0"/>
            </w:pPr>
            <w:r w:rsidRPr="00A81971">
              <w:t>Medical and Chemical Technical Options Committee (MCTOC) Member</w:t>
            </w:r>
          </w:p>
        </w:tc>
        <w:tc>
          <w:tcPr>
            <w:tcW w:w="1945" w:type="dxa"/>
            <w:vAlign w:val="center"/>
          </w:tcPr>
          <w:p w14:paraId="77717FCA" w14:textId="77777777" w:rsidR="00610ADB" w:rsidRPr="00A81971" w:rsidRDefault="0032495C" w:rsidP="0069728B">
            <w:pPr>
              <w:tabs>
                <w:tab w:val="left" w:pos="0"/>
              </w:tabs>
              <w:spacing w:after="0"/>
            </w:pPr>
            <w:r w:rsidRPr="00A81971">
              <w:t>Argentina</w:t>
            </w:r>
          </w:p>
        </w:tc>
      </w:tr>
      <w:tr w:rsidR="00F90461" w14:paraId="49E1F9B9" w14:textId="77777777" w:rsidTr="00FE5C31">
        <w:trPr>
          <w:trHeight w:val="300"/>
        </w:trPr>
        <w:tc>
          <w:tcPr>
            <w:tcW w:w="2130" w:type="dxa"/>
            <w:vAlign w:val="center"/>
          </w:tcPr>
          <w:p w14:paraId="396F1A73" w14:textId="77777777" w:rsidR="00610ADB" w:rsidRPr="00A81971" w:rsidRDefault="0032495C" w:rsidP="0069728B">
            <w:pPr>
              <w:tabs>
                <w:tab w:val="left" w:pos="0"/>
              </w:tabs>
              <w:spacing w:after="0"/>
            </w:pPr>
            <w:r w:rsidRPr="00A81971">
              <w:t>John Telesford</w:t>
            </w:r>
          </w:p>
        </w:tc>
        <w:tc>
          <w:tcPr>
            <w:tcW w:w="4365" w:type="dxa"/>
            <w:vAlign w:val="center"/>
          </w:tcPr>
          <w:p w14:paraId="76566DC3" w14:textId="77777777" w:rsidR="00610ADB" w:rsidRPr="00A81971" w:rsidRDefault="0032495C" w:rsidP="0069728B">
            <w:pPr>
              <w:tabs>
                <w:tab w:val="left" w:pos="0"/>
              </w:tabs>
              <w:spacing w:after="0"/>
            </w:pPr>
            <w:r w:rsidRPr="00A81971">
              <w:t>Independent consultant</w:t>
            </w:r>
          </w:p>
        </w:tc>
        <w:tc>
          <w:tcPr>
            <w:tcW w:w="1945" w:type="dxa"/>
            <w:vAlign w:val="center"/>
          </w:tcPr>
          <w:p w14:paraId="6CBDD6AF" w14:textId="77777777" w:rsidR="00610ADB" w:rsidRPr="00A81971" w:rsidRDefault="0032495C" w:rsidP="0069728B">
            <w:pPr>
              <w:tabs>
                <w:tab w:val="left" w:pos="0"/>
              </w:tabs>
              <w:spacing w:after="0"/>
            </w:pPr>
            <w:r w:rsidRPr="00A81971">
              <w:t>Grenada</w:t>
            </w:r>
          </w:p>
        </w:tc>
      </w:tr>
      <w:tr w:rsidR="00F90461" w14:paraId="1082D8F6" w14:textId="77777777" w:rsidTr="00FE5C31">
        <w:trPr>
          <w:trHeight w:val="300"/>
        </w:trPr>
        <w:tc>
          <w:tcPr>
            <w:tcW w:w="2130" w:type="dxa"/>
            <w:vAlign w:val="center"/>
          </w:tcPr>
          <w:p w14:paraId="7D361BAD" w14:textId="77777777" w:rsidR="00610ADB" w:rsidRPr="00A81971" w:rsidRDefault="0032495C" w:rsidP="0069728B">
            <w:pPr>
              <w:tabs>
                <w:tab w:val="left" w:pos="0"/>
              </w:tabs>
              <w:spacing w:after="0"/>
            </w:pPr>
            <w:r w:rsidRPr="00A81971">
              <w:t>Helen Tope</w:t>
            </w:r>
          </w:p>
        </w:tc>
        <w:tc>
          <w:tcPr>
            <w:tcW w:w="4365" w:type="dxa"/>
            <w:vAlign w:val="center"/>
          </w:tcPr>
          <w:p w14:paraId="1FD0A426" w14:textId="77777777" w:rsidR="00610ADB" w:rsidRPr="00A81971" w:rsidRDefault="0032495C" w:rsidP="0069728B">
            <w:pPr>
              <w:tabs>
                <w:tab w:val="left" w:pos="0"/>
              </w:tabs>
              <w:spacing w:after="0"/>
            </w:pPr>
            <w:r w:rsidRPr="00A81971">
              <w:t>MCTOC Co-chair</w:t>
            </w:r>
          </w:p>
        </w:tc>
        <w:tc>
          <w:tcPr>
            <w:tcW w:w="1945" w:type="dxa"/>
            <w:vAlign w:val="center"/>
          </w:tcPr>
          <w:p w14:paraId="223619A7" w14:textId="77777777" w:rsidR="00610ADB" w:rsidRPr="00A81971" w:rsidRDefault="0032495C" w:rsidP="0069728B">
            <w:pPr>
              <w:tabs>
                <w:tab w:val="left" w:pos="0"/>
              </w:tabs>
              <w:spacing w:after="0"/>
            </w:pPr>
            <w:r w:rsidRPr="00A81971">
              <w:t>Australia</w:t>
            </w:r>
          </w:p>
        </w:tc>
      </w:tr>
      <w:tr w:rsidR="00F90461" w14:paraId="0FE5843F" w14:textId="77777777" w:rsidTr="00FE5C31">
        <w:trPr>
          <w:trHeight w:val="300"/>
        </w:trPr>
        <w:tc>
          <w:tcPr>
            <w:tcW w:w="2130" w:type="dxa"/>
            <w:vAlign w:val="center"/>
          </w:tcPr>
          <w:p w14:paraId="06CA1F2D" w14:textId="77777777" w:rsidR="00610ADB" w:rsidRPr="00A81971" w:rsidRDefault="0032495C" w:rsidP="0069728B">
            <w:pPr>
              <w:tabs>
                <w:tab w:val="left" w:pos="0"/>
              </w:tabs>
              <w:spacing w:after="0"/>
            </w:pPr>
            <w:r w:rsidRPr="00A81971">
              <w:t>Helen Walter-Terrinoni</w:t>
            </w:r>
          </w:p>
        </w:tc>
        <w:tc>
          <w:tcPr>
            <w:tcW w:w="4365" w:type="dxa"/>
            <w:vAlign w:val="center"/>
          </w:tcPr>
          <w:p w14:paraId="131AB19B" w14:textId="77777777" w:rsidR="00610ADB" w:rsidRPr="00A81971" w:rsidRDefault="0032495C" w:rsidP="0069728B">
            <w:pPr>
              <w:tabs>
                <w:tab w:val="left" w:pos="0"/>
              </w:tabs>
              <w:spacing w:after="0"/>
            </w:pPr>
            <w:r w:rsidRPr="00A81971">
              <w:t>Flexible and Rigid Foams Technical Options Committee (FTOC) Co-chair</w:t>
            </w:r>
          </w:p>
        </w:tc>
        <w:tc>
          <w:tcPr>
            <w:tcW w:w="1945" w:type="dxa"/>
            <w:vAlign w:val="center"/>
          </w:tcPr>
          <w:p w14:paraId="021C39E4" w14:textId="77777777" w:rsidR="00610ADB" w:rsidRPr="00A81971" w:rsidRDefault="0032495C" w:rsidP="0069728B">
            <w:pPr>
              <w:tabs>
                <w:tab w:val="left" w:pos="0"/>
              </w:tabs>
              <w:spacing w:after="0"/>
            </w:pPr>
            <w:r w:rsidRPr="00A81971">
              <w:t>USA</w:t>
            </w:r>
          </w:p>
        </w:tc>
      </w:tr>
      <w:tr w:rsidR="00F90461" w14:paraId="63F0B683" w14:textId="77777777" w:rsidTr="00FE5C31">
        <w:trPr>
          <w:trHeight w:val="300"/>
        </w:trPr>
        <w:tc>
          <w:tcPr>
            <w:tcW w:w="2130" w:type="dxa"/>
            <w:vAlign w:val="center"/>
          </w:tcPr>
          <w:p w14:paraId="730F2300" w14:textId="77777777" w:rsidR="00610ADB" w:rsidRPr="00A81971" w:rsidRDefault="0032495C" w:rsidP="0069728B">
            <w:pPr>
              <w:tabs>
                <w:tab w:val="left" w:pos="0"/>
              </w:tabs>
              <w:spacing w:after="0"/>
            </w:pPr>
            <w:r w:rsidRPr="00A81971">
              <w:t>Shiqiu Zhang</w:t>
            </w:r>
          </w:p>
        </w:tc>
        <w:tc>
          <w:tcPr>
            <w:tcW w:w="4365" w:type="dxa"/>
            <w:vAlign w:val="center"/>
          </w:tcPr>
          <w:p w14:paraId="26BEBE19" w14:textId="77777777" w:rsidR="00610ADB" w:rsidRPr="00A81971" w:rsidRDefault="0032495C" w:rsidP="0069728B">
            <w:pPr>
              <w:tabs>
                <w:tab w:val="left" w:pos="0"/>
              </w:tabs>
              <w:spacing w:after="0"/>
            </w:pPr>
            <w:r w:rsidRPr="00A81971">
              <w:t>TEAP Senior Expert</w:t>
            </w:r>
          </w:p>
        </w:tc>
        <w:tc>
          <w:tcPr>
            <w:tcW w:w="1945" w:type="dxa"/>
            <w:vAlign w:val="center"/>
          </w:tcPr>
          <w:p w14:paraId="7E8F8BBC" w14:textId="77777777" w:rsidR="00610ADB" w:rsidRPr="00A81971" w:rsidRDefault="0032495C" w:rsidP="0069728B">
            <w:pPr>
              <w:tabs>
                <w:tab w:val="left" w:pos="0"/>
              </w:tabs>
              <w:spacing w:after="0"/>
            </w:pPr>
            <w:r w:rsidRPr="00A81971">
              <w:t>People’s Republic of China</w:t>
            </w:r>
          </w:p>
        </w:tc>
      </w:tr>
      <w:tr w:rsidR="00F90461" w14:paraId="435D420B" w14:textId="77777777" w:rsidTr="00FE5C31">
        <w:trPr>
          <w:trHeight w:val="300"/>
        </w:trPr>
        <w:tc>
          <w:tcPr>
            <w:tcW w:w="8440" w:type="dxa"/>
            <w:gridSpan w:val="3"/>
            <w:shd w:val="clear" w:color="auto" w:fill="8EAADB" w:themeFill="accent1" w:themeFillTint="99"/>
            <w:vAlign w:val="center"/>
          </w:tcPr>
          <w:p w14:paraId="2496AC50" w14:textId="77777777" w:rsidR="00610ADB" w:rsidRPr="00A81971" w:rsidRDefault="0032495C" w:rsidP="0069728B">
            <w:pPr>
              <w:tabs>
                <w:tab w:val="left" w:pos="0"/>
              </w:tabs>
              <w:spacing w:after="0"/>
            </w:pPr>
            <w:r w:rsidRPr="00A81971">
              <w:t>Consulting Expert</w:t>
            </w:r>
          </w:p>
        </w:tc>
      </w:tr>
      <w:tr w:rsidR="00F90461" w14:paraId="50E2A443" w14:textId="77777777" w:rsidTr="00FE5C31">
        <w:trPr>
          <w:trHeight w:val="300"/>
        </w:trPr>
        <w:tc>
          <w:tcPr>
            <w:tcW w:w="2130" w:type="dxa"/>
            <w:vAlign w:val="center"/>
          </w:tcPr>
          <w:p w14:paraId="6BBB76B0" w14:textId="77777777" w:rsidR="00610ADB" w:rsidRPr="00A81971" w:rsidRDefault="0032495C" w:rsidP="0069728B">
            <w:pPr>
              <w:tabs>
                <w:tab w:val="left" w:pos="0"/>
              </w:tabs>
              <w:spacing w:after="0"/>
            </w:pPr>
            <w:r w:rsidRPr="00A81971">
              <w:t>Rick Cooke</w:t>
            </w:r>
          </w:p>
        </w:tc>
        <w:tc>
          <w:tcPr>
            <w:tcW w:w="4365" w:type="dxa"/>
            <w:vAlign w:val="center"/>
          </w:tcPr>
          <w:p w14:paraId="11C51DD9" w14:textId="77777777" w:rsidR="00610ADB" w:rsidRPr="00A81971" w:rsidRDefault="0032495C" w:rsidP="0069728B">
            <w:pPr>
              <w:tabs>
                <w:tab w:val="left" w:pos="0"/>
              </w:tabs>
              <w:spacing w:after="0"/>
            </w:pPr>
            <w:r w:rsidRPr="00A81971">
              <w:t>MCTOC Member</w:t>
            </w:r>
          </w:p>
        </w:tc>
        <w:tc>
          <w:tcPr>
            <w:tcW w:w="1945" w:type="dxa"/>
            <w:vAlign w:val="center"/>
          </w:tcPr>
          <w:p w14:paraId="5216D47D" w14:textId="77777777" w:rsidR="00610ADB" w:rsidRPr="00A81971" w:rsidRDefault="0032495C" w:rsidP="0069728B">
            <w:pPr>
              <w:tabs>
                <w:tab w:val="left" w:pos="0"/>
              </w:tabs>
              <w:spacing w:after="0"/>
            </w:pPr>
            <w:r w:rsidRPr="00A81971">
              <w:t>Canada</w:t>
            </w:r>
          </w:p>
        </w:tc>
      </w:tr>
    </w:tbl>
    <w:p w14:paraId="21C48AEA" w14:textId="77777777" w:rsidR="00610ADB" w:rsidRPr="00A81971" w:rsidRDefault="00610ADB" w:rsidP="00610ADB">
      <w:pPr>
        <w:tabs>
          <w:tab w:val="left" w:pos="0"/>
        </w:tabs>
        <w:spacing w:after="240"/>
        <w:rPr>
          <w:rFonts w:eastAsia="Times New Roman"/>
          <w:color w:val="000000"/>
        </w:rPr>
      </w:pPr>
    </w:p>
    <w:p w14:paraId="0C5565F0" w14:textId="77777777" w:rsidR="00DD223B" w:rsidRDefault="0032495C" w:rsidP="00610ADB">
      <w:pPr>
        <w:spacing w:after="0"/>
        <w:rPr>
          <w:rFonts w:eastAsia="Times New Roman"/>
          <w:color w:val="000000"/>
        </w:rPr>
        <w:sectPr w:rsidR="00DD223B" w:rsidSect="002E3156">
          <w:headerReference w:type="even" r:id="rId19"/>
          <w:headerReference w:type="default" r:id="rId20"/>
          <w:footerReference w:type="default" r:id="rId21"/>
          <w:headerReference w:type="first" r:id="rId22"/>
          <w:type w:val="oddPage"/>
          <w:pgSz w:w="11906" w:h="16838" w:code="9"/>
          <w:pgMar w:top="1411" w:right="1411" w:bottom="1411" w:left="1411" w:header="706" w:footer="706" w:gutter="0"/>
          <w:pgNumType w:fmt="lowerRoman" w:start="2"/>
          <w:cols w:space="708"/>
          <w:docGrid w:linePitch="360"/>
        </w:sectPr>
      </w:pPr>
      <w:r w:rsidRPr="00A81971">
        <w:rPr>
          <w:rFonts w:eastAsia="Times New Roman"/>
          <w:color w:val="000000"/>
        </w:rPr>
        <w:br w:type="page"/>
      </w:r>
    </w:p>
    <w:p w14:paraId="26E647A9" w14:textId="77777777" w:rsidR="00202379" w:rsidRPr="00A81971" w:rsidRDefault="0032495C" w:rsidP="00202379">
      <w:pPr>
        <w:tabs>
          <w:tab w:val="left" w:pos="0"/>
        </w:tabs>
        <w:spacing w:after="240"/>
        <w:jc w:val="right"/>
        <w:rPr>
          <w:rFonts w:eastAsia="Times New Roman"/>
          <w:b/>
          <w:smallCaps/>
          <w:color w:val="000000"/>
          <w:sz w:val="28"/>
          <w:szCs w:val="28"/>
          <w:lang w:eastAsia="zh-CN"/>
        </w:rPr>
      </w:pPr>
      <w:r w:rsidRPr="00A81971">
        <w:rPr>
          <w:rFonts w:eastAsia="Times New Roman"/>
          <w:b/>
          <w:smallCaps/>
          <w:color w:val="000000"/>
          <w:sz w:val="28"/>
          <w:szCs w:val="28"/>
          <w:lang w:eastAsia="zh-CN"/>
        </w:rPr>
        <w:lastRenderedPageBreak/>
        <w:t>UNEP</w:t>
      </w:r>
      <w:r w:rsidRPr="00A81971">
        <w:rPr>
          <w:rFonts w:eastAsia="Times New Roman"/>
          <w:b/>
          <w:smallCaps/>
          <w:color w:val="000000"/>
          <w:sz w:val="28"/>
          <w:szCs w:val="28"/>
          <w:lang w:eastAsia="zh-CN"/>
        </w:rPr>
        <w:br/>
        <w:t>Report of the</w:t>
      </w:r>
      <w:r w:rsidRPr="00A81971">
        <w:rPr>
          <w:rFonts w:eastAsia="Times New Roman"/>
          <w:b/>
          <w:smallCaps/>
          <w:color w:val="000000"/>
          <w:sz w:val="28"/>
          <w:szCs w:val="28"/>
          <w:lang w:eastAsia="zh-CN"/>
        </w:rPr>
        <w:br/>
        <w:t>TEAP Decision XXXVII/6 Replenishment Task Force</w:t>
      </w:r>
    </w:p>
    <w:p w14:paraId="6B57D730" w14:textId="77777777" w:rsidR="00202379" w:rsidRPr="00A81971" w:rsidRDefault="0032495C" w:rsidP="00202379">
      <w:pPr>
        <w:tabs>
          <w:tab w:val="left" w:pos="0"/>
        </w:tabs>
        <w:spacing w:after="240"/>
        <w:jc w:val="right"/>
        <w:rPr>
          <w:rFonts w:eastAsia="Times New Roman"/>
          <w:b/>
          <w:smallCaps/>
          <w:color w:val="000000"/>
          <w:sz w:val="28"/>
          <w:szCs w:val="28"/>
          <w:lang w:eastAsia="zh-CN"/>
        </w:rPr>
      </w:pPr>
      <w:r w:rsidRPr="00A81971">
        <w:rPr>
          <w:rFonts w:eastAsia="Times New Roman"/>
          <w:b/>
          <w:smallCaps/>
          <w:color w:val="000000"/>
          <w:sz w:val="28"/>
          <w:szCs w:val="28"/>
          <w:lang w:eastAsia="zh-CN"/>
        </w:rPr>
        <w:t>September 2026 Report</w:t>
      </w:r>
    </w:p>
    <w:p w14:paraId="23E74081" w14:textId="77777777" w:rsidR="00515B68" w:rsidRPr="00A81971" w:rsidRDefault="0032495C" w:rsidP="003B19D1">
      <w:pPr>
        <w:spacing w:after="0"/>
        <w:rPr>
          <w:b/>
          <w:bCs/>
          <w:sz w:val="28"/>
          <w:szCs w:val="28"/>
        </w:rPr>
      </w:pPr>
      <w:r w:rsidRPr="00A81971">
        <w:rPr>
          <w:b/>
          <w:bCs/>
          <w:sz w:val="28"/>
          <w:szCs w:val="28"/>
        </w:rPr>
        <w:t xml:space="preserve"> </w:t>
      </w:r>
    </w:p>
    <w:p w14:paraId="79A25646" w14:textId="77777777" w:rsidR="00EB0C7B" w:rsidRPr="00A81971" w:rsidRDefault="0032495C" w:rsidP="002C3306">
      <w:pPr>
        <w:rPr>
          <w:b/>
          <w:sz w:val="28"/>
          <w:szCs w:val="28"/>
          <w:highlight w:val="yellow"/>
        </w:rPr>
      </w:pPr>
      <w:bookmarkStart w:id="114" w:name="_Toc484366988"/>
      <w:bookmarkStart w:id="115" w:name="_Toc40367000"/>
      <w:bookmarkStart w:id="116" w:name="_Toc40367308"/>
      <w:bookmarkStart w:id="117" w:name="_Toc41924058"/>
      <w:bookmarkStart w:id="118" w:name="_Toc81931928"/>
      <w:bookmarkStart w:id="119" w:name="_Toc81932435"/>
      <w:bookmarkStart w:id="120" w:name="_Toc82020579"/>
      <w:bookmarkStart w:id="121" w:name="_Toc41495002"/>
      <w:bookmarkStart w:id="122" w:name="_Toc41839954"/>
      <w:bookmarkStart w:id="123" w:name="_Toc41841044"/>
      <w:r w:rsidRPr="00A81971">
        <w:rPr>
          <w:b/>
          <w:bCs/>
          <w:sz w:val="28"/>
          <w:szCs w:val="28"/>
        </w:rPr>
        <w:t>TABLE OF CONTENTS</w:t>
      </w:r>
      <w:bookmarkEnd w:id="114"/>
      <w:bookmarkEnd w:id="115"/>
      <w:bookmarkEnd w:id="116"/>
      <w:bookmarkEnd w:id="117"/>
      <w:bookmarkEnd w:id="118"/>
      <w:bookmarkEnd w:id="119"/>
      <w:bookmarkEnd w:id="120"/>
      <w:r w:rsidRPr="00A81971">
        <w:rPr>
          <w:b/>
          <w:bCs/>
          <w:sz w:val="28"/>
          <w:szCs w:val="28"/>
        </w:rPr>
        <w:t xml:space="preserve"> </w:t>
      </w:r>
      <w:bookmarkEnd w:id="121"/>
      <w:bookmarkEnd w:id="122"/>
      <w:bookmarkEnd w:id="123"/>
    </w:p>
    <w:bookmarkStart w:id="124" w:name="_Hlk144505810" w:displacedByCustomXml="next"/>
    <w:sdt>
      <w:sdtPr>
        <w:rPr>
          <w:caps w:val="0"/>
          <w:noProof w:val="0"/>
          <w:vanish/>
          <w:highlight w:val="yellow"/>
        </w:rPr>
        <w:id w:val="-151218847"/>
        <w:docPartObj>
          <w:docPartGallery w:val="Table of Contents"/>
          <w:docPartUnique/>
        </w:docPartObj>
      </w:sdtPr>
      <w:sdtEndPr>
        <w:rPr>
          <w:b/>
          <w:bCs/>
        </w:rPr>
      </w:sdtEndPr>
      <w:sdtContent>
        <w:p w14:paraId="63D4AB39" w14:textId="56A6B5DB" w:rsidR="0032568B" w:rsidRPr="006E18F6" w:rsidRDefault="0032495C">
          <w:pPr>
            <w:pStyle w:val="TOC1"/>
            <w:rPr>
              <w:rFonts w:asciiTheme="minorHAnsi" w:eastAsiaTheme="minorEastAsia" w:hAnsiTheme="minorHAnsi" w:cstheme="minorBidi"/>
              <w:caps w:val="0"/>
              <w:kern w:val="2"/>
              <w:sz w:val="24"/>
              <w:szCs w:val="24"/>
              <w:lang w:val="pt-BR" w:eastAsia="pt-BR"/>
              <w14:ligatures w14:val="standardContextual"/>
            </w:rPr>
          </w:pPr>
          <w:r>
            <w:rPr>
              <w:noProof w:val="0"/>
            </w:rPr>
            <w:fldChar w:fldCharType="begin"/>
          </w:r>
          <w:r w:rsidRPr="00546087">
            <w:rPr>
              <w:noProof w:val="0"/>
            </w:rPr>
            <w:instrText xml:space="preserve"> TOC \o "1-2" \h \z \u </w:instrText>
          </w:r>
          <w:r>
            <w:rPr>
              <w:noProof w:val="0"/>
            </w:rPr>
            <w:fldChar w:fldCharType="separate"/>
          </w:r>
          <w:hyperlink w:anchor="_Toc240987312" w:history="1">
            <w:r w:rsidR="0032568B" w:rsidRPr="006E18F6">
              <w:rPr>
                <w:rStyle w:val="Hyperlink"/>
                <w:rFonts w:eastAsia="Calibri"/>
                <w:lang w:eastAsia="zh-CN"/>
              </w:rPr>
              <w:t>Disclaimer</w:t>
            </w:r>
            <w:r w:rsidR="0032568B" w:rsidRPr="006E18F6">
              <w:rPr>
                <w:webHidden/>
              </w:rPr>
              <w:tab/>
            </w:r>
            <w:r w:rsidR="0032568B" w:rsidRPr="006E18F6">
              <w:rPr>
                <w:webHidden/>
              </w:rPr>
              <w:tab/>
            </w:r>
            <w:r w:rsidR="0032568B" w:rsidRPr="006E18F6">
              <w:rPr>
                <w:webHidden/>
              </w:rPr>
              <w:fldChar w:fldCharType="begin"/>
            </w:r>
            <w:r w:rsidR="0032568B" w:rsidRPr="006E18F6">
              <w:rPr>
                <w:webHidden/>
              </w:rPr>
              <w:instrText xml:space="preserve"> PAGEREF _Toc240987312 \h </w:instrText>
            </w:r>
            <w:r w:rsidR="0032568B" w:rsidRPr="006E18F6">
              <w:rPr>
                <w:webHidden/>
              </w:rPr>
            </w:r>
            <w:r w:rsidR="0032568B" w:rsidRPr="006E18F6">
              <w:rPr>
                <w:webHidden/>
              </w:rPr>
              <w:fldChar w:fldCharType="separate"/>
            </w:r>
            <w:r w:rsidR="006E18F6" w:rsidRPr="006E18F6">
              <w:rPr>
                <w:webHidden/>
              </w:rPr>
              <w:t>iv</w:t>
            </w:r>
            <w:r w:rsidR="0032568B" w:rsidRPr="006E18F6">
              <w:rPr>
                <w:webHidden/>
              </w:rPr>
              <w:fldChar w:fldCharType="end"/>
            </w:r>
          </w:hyperlink>
        </w:p>
        <w:p w14:paraId="70B983D8" w14:textId="372DC333" w:rsidR="0032568B" w:rsidRPr="006E18F6"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13" w:history="1">
            <w:r w:rsidRPr="006E18F6">
              <w:rPr>
                <w:rStyle w:val="Hyperlink"/>
                <w:rFonts w:eastAsia="Calibri"/>
                <w:lang w:eastAsia="zh-CN"/>
              </w:rPr>
              <w:t>Foreword</w:t>
            </w:r>
            <w:r w:rsidRPr="006E18F6">
              <w:rPr>
                <w:rStyle w:val="Hyperlink"/>
                <w:rFonts w:eastAsia="Calibri"/>
                <w:webHidden/>
                <w:lang w:eastAsia="zh-CN"/>
              </w:rPr>
              <w:tab/>
            </w:r>
            <w:r w:rsidRPr="006E18F6">
              <w:rPr>
                <w:webHidden/>
              </w:rPr>
              <w:tab/>
            </w:r>
            <w:r w:rsidRPr="006E18F6">
              <w:rPr>
                <w:webHidden/>
              </w:rPr>
              <w:fldChar w:fldCharType="begin"/>
            </w:r>
            <w:r w:rsidRPr="006E18F6">
              <w:rPr>
                <w:webHidden/>
              </w:rPr>
              <w:instrText xml:space="preserve"> PAGEREF _Toc240987313 \h </w:instrText>
            </w:r>
            <w:r w:rsidRPr="006E18F6">
              <w:rPr>
                <w:webHidden/>
              </w:rPr>
            </w:r>
            <w:r w:rsidRPr="006E18F6">
              <w:rPr>
                <w:webHidden/>
              </w:rPr>
              <w:fldChar w:fldCharType="separate"/>
            </w:r>
            <w:r w:rsidR="006E18F6" w:rsidRPr="006E18F6">
              <w:rPr>
                <w:webHidden/>
              </w:rPr>
              <w:t>v</w:t>
            </w:r>
            <w:r w:rsidRPr="006E18F6">
              <w:rPr>
                <w:webHidden/>
              </w:rPr>
              <w:fldChar w:fldCharType="end"/>
            </w:r>
          </w:hyperlink>
        </w:p>
        <w:p w14:paraId="1803E304" w14:textId="39609EBB"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14" w:history="1">
            <w:r w:rsidRPr="005D75C8">
              <w:rPr>
                <w:rStyle w:val="Hyperlink"/>
              </w:rPr>
              <w:t>EXECUTIVE SUMMARY</w:t>
            </w:r>
            <w:r>
              <w:rPr>
                <w:webHidden/>
              </w:rPr>
              <w:tab/>
            </w:r>
            <w:r>
              <w:rPr>
                <w:webHidden/>
              </w:rPr>
              <w:fldChar w:fldCharType="begin"/>
            </w:r>
            <w:r>
              <w:rPr>
                <w:webHidden/>
              </w:rPr>
              <w:instrText xml:space="preserve"> PAGEREF _Toc240987314 \h </w:instrText>
            </w:r>
            <w:r>
              <w:rPr>
                <w:webHidden/>
              </w:rPr>
            </w:r>
            <w:r>
              <w:rPr>
                <w:webHidden/>
              </w:rPr>
              <w:fldChar w:fldCharType="separate"/>
            </w:r>
            <w:r w:rsidR="006E18F6">
              <w:rPr>
                <w:webHidden/>
              </w:rPr>
              <w:t>1</w:t>
            </w:r>
            <w:r>
              <w:rPr>
                <w:webHidden/>
              </w:rPr>
              <w:fldChar w:fldCharType="end"/>
            </w:r>
          </w:hyperlink>
        </w:p>
        <w:p w14:paraId="6828D982" w14:textId="05B6012C"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15" w:history="1">
            <w:r w:rsidRPr="005D75C8">
              <w:rPr>
                <w:rStyle w:val="Hyperlink"/>
              </w:rPr>
              <w:t>CHAPTER 1 INTRODUCTION</w:t>
            </w:r>
            <w:r>
              <w:rPr>
                <w:webHidden/>
              </w:rPr>
              <w:tab/>
            </w:r>
            <w:r>
              <w:rPr>
                <w:webHidden/>
              </w:rPr>
              <w:fldChar w:fldCharType="begin"/>
            </w:r>
            <w:r>
              <w:rPr>
                <w:webHidden/>
              </w:rPr>
              <w:instrText xml:space="preserve"> PAGEREF _Toc240987315 \h </w:instrText>
            </w:r>
            <w:r>
              <w:rPr>
                <w:webHidden/>
              </w:rPr>
            </w:r>
            <w:r>
              <w:rPr>
                <w:webHidden/>
              </w:rPr>
              <w:fldChar w:fldCharType="separate"/>
            </w:r>
            <w:r w:rsidR="006E18F6">
              <w:rPr>
                <w:webHidden/>
              </w:rPr>
              <w:t>13</w:t>
            </w:r>
            <w:r>
              <w:rPr>
                <w:webHidden/>
              </w:rPr>
              <w:fldChar w:fldCharType="end"/>
            </w:r>
          </w:hyperlink>
        </w:p>
        <w:p w14:paraId="022D2DE4" w14:textId="4537AF6B"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16" w:history="1">
            <w:r w:rsidRPr="005D75C8">
              <w:rPr>
                <w:rStyle w:val="Hyperlink"/>
              </w:rPr>
              <w:t>1.1</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Terms of reference</w:t>
            </w:r>
            <w:r>
              <w:rPr>
                <w:webHidden/>
              </w:rPr>
              <w:tab/>
            </w:r>
            <w:r>
              <w:rPr>
                <w:webHidden/>
              </w:rPr>
              <w:fldChar w:fldCharType="begin"/>
            </w:r>
            <w:r>
              <w:rPr>
                <w:webHidden/>
              </w:rPr>
              <w:instrText xml:space="preserve"> PAGEREF _Toc240987316 \h </w:instrText>
            </w:r>
            <w:r>
              <w:rPr>
                <w:webHidden/>
              </w:rPr>
            </w:r>
            <w:r>
              <w:rPr>
                <w:webHidden/>
              </w:rPr>
              <w:fldChar w:fldCharType="separate"/>
            </w:r>
            <w:r w:rsidR="006E18F6">
              <w:rPr>
                <w:webHidden/>
              </w:rPr>
              <w:t>13</w:t>
            </w:r>
            <w:r>
              <w:rPr>
                <w:webHidden/>
              </w:rPr>
              <w:fldChar w:fldCharType="end"/>
            </w:r>
          </w:hyperlink>
        </w:p>
        <w:p w14:paraId="1A463941" w14:textId="4727CB8C"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17" w:history="1">
            <w:r w:rsidRPr="005D75C8">
              <w:rPr>
                <w:rStyle w:val="Hyperlink"/>
              </w:rPr>
              <w:t>1.2</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S</w:t>
            </w:r>
            <w:r>
              <w:rPr>
                <w:rStyle w:val="Hyperlink"/>
              </w:rPr>
              <w:t>cope and coverage</w:t>
            </w:r>
            <w:r>
              <w:rPr>
                <w:webHidden/>
              </w:rPr>
              <w:tab/>
            </w:r>
            <w:r>
              <w:rPr>
                <w:webHidden/>
              </w:rPr>
              <w:fldChar w:fldCharType="begin"/>
            </w:r>
            <w:r>
              <w:rPr>
                <w:webHidden/>
              </w:rPr>
              <w:instrText xml:space="preserve"> PAGEREF _Toc240987317 \h </w:instrText>
            </w:r>
            <w:r>
              <w:rPr>
                <w:webHidden/>
              </w:rPr>
            </w:r>
            <w:r>
              <w:rPr>
                <w:webHidden/>
              </w:rPr>
              <w:fldChar w:fldCharType="separate"/>
            </w:r>
            <w:r w:rsidR="006E18F6">
              <w:rPr>
                <w:webHidden/>
              </w:rPr>
              <w:t>13</w:t>
            </w:r>
            <w:r>
              <w:rPr>
                <w:webHidden/>
              </w:rPr>
              <w:fldChar w:fldCharType="end"/>
            </w:r>
          </w:hyperlink>
        </w:p>
        <w:p w14:paraId="130F39A7" w14:textId="57796440"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18" w:history="1">
            <w:r w:rsidRPr="005D75C8">
              <w:rPr>
                <w:rStyle w:val="Hyperlink"/>
              </w:rPr>
              <w:t>1.3</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TEAP May 2026 report and OEWG-48</w:t>
            </w:r>
            <w:r>
              <w:rPr>
                <w:webHidden/>
              </w:rPr>
              <w:tab/>
            </w:r>
            <w:r>
              <w:rPr>
                <w:webHidden/>
              </w:rPr>
              <w:fldChar w:fldCharType="begin"/>
            </w:r>
            <w:r>
              <w:rPr>
                <w:webHidden/>
              </w:rPr>
              <w:instrText xml:space="preserve"> PAGEREF _Toc240987318 \h </w:instrText>
            </w:r>
            <w:r>
              <w:rPr>
                <w:webHidden/>
              </w:rPr>
            </w:r>
            <w:r>
              <w:rPr>
                <w:webHidden/>
              </w:rPr>
              <w:fldChar w:fldCharType="separate"/>
            </w:r>
            <w:r w:rsidR="006E18F6">
              <w:rPr>
                <w:webHidden/>
              </w:rPr>
              <w:t>14</w:t>
            </w:r>
            <w:r>
              <w:rPr>
                <w:webHidden/>
              </w:rPr>
              <w:fldChar w:fldCharType="end"/>
            </w:r>
          </w:hyperlink>
        </w:p>
        <w:p w14:paraId="4A236747" w14:textId="21C516DC"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19" w:history="1">
            <w:r w:rsidRPr="005D75C8">
              <w:rPr>
                <w:rStyle w:val="Hyperlink"/>
              </w:rPr>
              <w:t>1.4</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Approach to supplementary report</w:t>
            </w:r>
            <w:r>
              <w:rPr>
                <w:webHidden/>
              </w:rPr>
              <w:tab/>
            </w:r>
            <w:r>
              <w:rPr>
                <w:webHidden/>
              </w:rPr>
              <w:fldChar w:fldCharType="begin"/>
            </w:r>
            <w:r>
              <w:rPr>
                <w:webHidden/>
              </w:rPr>
              <w:instrText xml:space="preserve"> PAGEREF _Toc240987319 \h </w:instrText>
            </w:r>
            <w:r>
              <w:rPr>
                <w:webHidden/>
              </w:rPr>
            </w:r>
            <w:r>
              <w:rPr>
                <w:webHidden/>
              </w:rPr>
              <w:fldChar w:fldCharType="separate"/>
            </w:r>
            <w:r w:rsidR="006E18F6">
              <w:rPr>
                <w:webHidden/>
              </w:rPr>
              <w:t>16</w:t>
            </w:r>
            <w:r>
              <w:rPr>
                <w:webHidden/>
              </w:rPr>
              <w:fldChar w:fldCharType="end"/>
            </w:r>
          </w:hyperlink>
        </w:p>
        <w:p w14:paraId="4B3DDDB1" w14:textId="282F514E"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20" w:history="1">
            <w:r w:rsidRPr="005D75C8">
              <w:rPr>
                <w:rStyle w:val="Hyperlink"/>
              </w:rPr>
              <w:t>CHAPTER 2</w:t>
            </w:r>
            <w:r>
              <w:rPr>
                <w:rFonts w:asciiTheme="minorHAnsi" w:eastAsiaTheme="minorEastAsia" w:hAnsiTheme="minorHAnsi" w:cstheme="minorBidi"/>
                <w:caps w:val="0"/>
                <w:kern w:val="2"/>
                <w:sz w:val="24"/>
                <w:szCs w:val="24"/>
                <w:lang w:val="pt-BR" w:eastAsia="pt-BR"/>
                <w14:ligatures w14:val="standardContextual"/>
              </w:rPr>
              <w:tab/>
            </w:r>
            <w:r w:rsidRPr="005D75C8">
              <w:rPr>
                <w:rStyle w:val="Hyperlink"/>
              </w:rPr>
              <w:t>Update to RTF may 2026 report for estimated funding requirement for 2027–2029 triennium and future triennia 2030-2032 and 2033-2035</w:t>
            </w:r>
            <w:r>
              <w:rPr>
                <w:webHidden/>
              </w:rPr>
              <w:tab/>
            </w:r>
            <w:r>
              <w:rPr>
                <w:webHidden/>
              </w:rPr>
              <w:fldChar w:fldCharType="begin"/>
            </w:r>
            <w:r>
              <w:rPr>
                <w:webHidden/>
              </w:rPr>
              <w:instrText xml:space="preserve"> PAGEREF _Toc240987320 \h </w:instrText>
            </w:r>
            <w:r>
              <w:rPr>
                <w:webHidden/>
              </w:rPr>
            </w:r>
            <w:r>
              <w:rPr>
                <w:webHidden/>
              </w:rPr>
              <w:fldChar w:fldCharType="separate"/>
            </w:r>
            <w:r w:rsidR="006E18F6">
              <w:rPr>
                <w:webHidden/>
              </w:rPr>
              <w:t>19</w:t>
            </w:r>
            <w:r>
              <w:rPr>
                <w:webHidden/>
              </w:rPr>
              <w:fldChar w:fldCharType="end"/>
            </w:r>
          </w:hyperlink>
        </w:p>
        <w:p w14:paraId="1F6EB368" w14:textId="39F2343C"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1" w:history="1">
            <w:r w:rsidRPr="005D75C8">
              <w:rPr>
                <w:rStyle w:val="Hyperlink"/>
              </w:rPr>
              <w:t>2.1</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Introduction</w:t>
            </w:r>
            <w:r>
              <w:rPr>
                <w:webHidden/>
              </w:rPr>
              <w:tab/>
            </w:r>
            <w:r>
              <w:rPr>
                <w:webHidden/>
              </w:rPr>
              <w:fldChar w:fldCharType="begin"/>
            </w:r>
            <w:r>
              <w:rPr>
                <w:webHidden/>
              </w:rPr>
              <w:instrText xml:space="preserve"> PAGEREF _Toc240987321 \h </w:instrText>
            </w:r>
            <w:r>
              <w:rPr>
                <w:webHidden/>
              </w:rPr>
            </w:r>
            <w:r>
              <w:rPr>
                <w:webHidden/>
              </w:rPr>
              <w:fldChar w:fldCharType="separate"/>
            </w:r>
            <w:r w:rsidR="006E18F6">
              <w:rPr>
                <w:webHidden/>
              </w:rPr>
              <w:t>19</w:t>
            </w:r>
            <w:r>
              <w:rPr>
                <w:webHidden/>
              </w:rPr>
              <w:fldChar w:fldCharType="end"/>
            </w:r>
          </w:hyperlink>
        </w:p>
        <w:p w14:paraId="74E56A08" w14:textId="7A7DEBFE"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2" w:history="1">
            <w:r w:rsidRPr="005D75C8">
              <w:rPr>
                <w:rStyle w:val="Hyperlink"/>
              </w:rPr>
              <w:t>2.2</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Update</w:t>
            </w:r>
            <w:r>
              <w:rPr>
                <w:rStyle w:val="Hyperlink"/>
              </w:rPr>
              <w:t>d</w:t>
            </w:r>
            <w:r w:rsidRPr="005D75C8">
              <w:rPr>
                <w:rStyle w:val="Hyperlink"/>
              </w:rPr>
              <w:t xml:space="preserve"> HCFC </w:t>
            </w:r>
            <w:r>
              <w:rPr>
                <w:rStyle w:val="Hyperlink"/>
              </w:rPr>
              <w:t>p</w:t>
            </w:r>
            <w:r w:rsidRPr="005D75C8">
              <w:rPr>
                <w:rStyle w:val="Hyperlink"/>
              </w:rPr>
              <w:t>hase-out estimated funding for 2027-2029 and future triennia</w:t>
            </w:r>
            <w:r>
              <w:rPr>
                <w:webHidden/>
              </w:rPr>
              <w:tab/>
            </w:r>
            <w:r>
              <w:rPr>
                <w:webHidden/>
              </w:rPr>
              <w:fldChar w:fldCharType="begin"/>
            </w:r>
            <w:r>
              <w:rPr>
                <w:webHidden/>
              </w:rPr>
              <w:instrText xml:space="preserve"> PAGEREF _Toc240987322 \h </w:instrText>
            </w:r>
            <w:r>
              <w:rPr>
                <w:webHidden/>
              </w:rPr>
            </w:r>
            <w:r>
              <w:rPr>
                <w:webHidden/>
              </w:rPr>
              <w:fldChar w:fldCharType="separate"/>
            </w:r>
            <w:r w:rsidR="006E18F6">
              <w:rPr>
                <w:webHidden/>
              </w:rPr>
              <w:t>20</w:t>
            </w:r>
            <w:r>
              <w:rPr>
                <w:webHidden/>
              </w:rPr>
              <w:fldChar w:fldCharType="end"/>
            </w:r>
          </w:hyperlink>
        </w:p>
        <w:p w14:paraId="2021992A" w14:textId="4E188452"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3" w:history="1">
            <w:r w:rsidRPr="005D75C8">
              <w:rPr>
                <w:rStyle w:val="Hyperlink"/>
              </w:rPr>
              <w:t>2.3</w:t>
            </w:r>
            <w:r>
              <w:rPr>
                <w:rFonts w:asciiTheme="minorHAnsi" w:eastAsiaTheme="minorEastAsia" w:hAnsiTheme="minorHAnsi" w:cstheme="minorBidi"/>
                <w:kern w:val="2"/>
                <w:sz w:val="24"/>
                <w:szCs w:val="24"/>
                <w:lang w:val="pt-BR" w:eastAsia="pt-BR"/>
                <w14:ligatures w14:val="standardContextual"/>
              </w:rPr>
              <w:tab/>
            </w:r>
            <w:r w:rsidRPr="00771C82">
              <w:rPr>
                <w:rFonts w:eastAsiaTheme="minorEastAsia"/>
                <w:kern w:val="2"/>
                <w:sz w:val="24"/>
                <w:szCs w:val="24"/>
                <w:lang w:val="pt-BR" w:eastAsia="pt-BR"/>
                <w14:ligatures w14:val="standardContextual"/>
              </w:rPr>
              <w:t xml:space="preserve">Updated HFC phase-down </w:t>
            </w:r>
            <w:r>
              <w:rPr>
                <w:rStyle w:val="Hyperlink"/>
              </w:rPr>
              <w:t>f</w:t>
            </w:r>
            <w:r w:rsidRPr="005D75C8">
              <w:rPr>
                <w:rStyle w:val="Hyperlink"/>
              </w:rPr>
              <w:t xml:space="preserve">unding </w:t>
            </w:r>
            <w:r>
              <w:rPr>
                <w:rStyle w:val="Hyperlink"/>
              </w:rPr>
              <w:t>r</w:t>
            </w:r>
            <w:r w:rsidRPr="005D75C8">
              <w:rPr>
                <w:rStyle w:val="Hyperlink"/>
              </w:rPr>
              <w:t xml:space="preserve">equirement for 2027-2029 </w:t>
            </w:r>
            <w:r>
              <w:rPr>
                <w:rStyle w:val="Hyperlink"/>
              </w:rPr>
              <w:t>and</w:t>
            </w:r>
            <w:r w:rsidRPr="005D75C8">
              <w:rPr>
                <w:rStyle w:val="Hyperlink"/>
              </w:rPr>
              <w:t xml:space="preserve"> future </w:t>
            </w:r>
            <w:r>
              <w:rPr>
                <w:rStyle w:val="Hyperlink"/>
              </w:rPr>
              <w:t>t</w:t>
            </w:r>
            <w:r w:rsidRPr="005D75C8">
              <w:rPr>
                <w:rStyle w:val="Hyperlink"/>
              </w:rPr>
              <w:t>riennia</w:t>
            </w:r>
            <w:r>
              <w:rPr>
                <w:webHidden/>
              </w:rPr>
              <w:tab/>
            </w:r>
            <w:r>
              <w:rPr>
                <w:webHidden/>
              </w:rPr>
              <w:fldChar w:fldCharType="begin"/>
            </w:r>
            <w:r>
              <w:rPr>
                <w:webHidden/>
              </w:rPr>
              <w:instrText xml:space="preserve"> PAGEREF _Toc240987323 \h </w:instrText>
            </w:r>
            <w:r>
              <w:rPr>
                <w:webHidden/>
              </w:rPr>
            </w:r>
            <w:r>
              <w:rPr>
                <w:webHidden/>
              </w:rPr>
              <w:fldChar w:fldCharType="separate"/>
            </w:r>
            <w:r w:rsidR="006E18F6">
              <w:rPr>
                <w:webHidden/>
              </w:rPr>
              <w:t>24</w:t>
            </w:r>
            <w:r>
              <w:rPr>
                <w:webHidden/>
              </w:rPr>
              <w:fldChar w:fldCharType="end"/>
            </w:r>
          </w:hyperlink>
        </w:p>
        <w:p w14:paraId="43FD953B" w14:textId="5A466F2E"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4" w:history="1">
            <w:r w:rsidRPr="005D75C8">
              <w:rPr>
                <w:rStyle w:val="Hyperlink"/>
              </w:rPr>
              <w:t>2.4</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 xml:space="preserve"> Institutional strengthening and standard activities</w:t>
            </w:r>
            <w:r>
              <w:rPr>
                <w:webHidden/>
              </w:rPr>
              <w:tab/>
            </w:r>
            <w:r>
              <w:rPr>
                <w:webHidden/>
              </w:rPr>
              <w:fldChar w:fldCharType="begin"/>
            </w:r>
            <w:r>
              <w:rPr>
                <w:webHidden/>
              </w:rPr>
              <w:instrText xml:space="preserve"> PAGEREF _Toc240987324 \h </w:instrText>
            </w:r>
            <w:r>
              <w:rPr>
                <w:webHidden/>
              </w:rPr>
            </w:r>
            <w:r>
              <w:rPr>
                <w:webHidden/>
              </w:rPr>
              <w:fldChar w:fldCharType="separate"/>
            </w:r>
            <w:r w:rsidR="006E18F6">
              <w:rPr>
                <w:webHidden/>
              </w:rPr>
              <w:t>28</w:t>
            </w:r>
            <w:r>
              <w:rPr>
                <w:webHidden/>
              </w:rPr>
              <w:fldChar w:fldCharType="end"/>
            </w:r>
          </w:hyperlink>
        </w:p>
        <w:p w14:paraId="7252E261" w14:textId="39909FE4"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5" w:history="1">
            <w:r w:rsidRPr="005D75C8">
              <w:rPr>
                <w:rStyle w:val="Hyperlink"/>
              </w:rPr>
              <w:t>2.5</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Summary of updated estimated funding for 2027-2029 and future triennia 2030-2032 and 2033-2035</w:t>
            </w:r>
            <w:r>
              <w:rPr>
                <w:webHidden/>
              </w:rPr>
              <w:tab/>
            </w:r>
            <w:r>
              <w:rPr>
                <w:webHidden/>
              </w:rPr>
              <w:fldChar w:fldCharType="begin"/>
            </w:r>
            <w:r>
              <w:rPr>
                <w:webHidden/>
              </w:rPr>
              <w:instrText xml:space="preserve"> PAGEREF _Toc240987325 \h </w:instrText>
            </w:r>
            <w:r>
              <w:rPr>
                <w:webHidden/>
              </w:rPr>
            </w:r>
            <w:r>
              <w:rPr>
                <w:webHidden/>
              </w:rPr>
              <w:fldChar w:fldCharType="separate"/>
            </w:r>
            <w:r w:rsidR="006E18F6">
              <w:rPr>
                <w:webHidden/>
              </w:rPr>
              <w:t>29</w:t>
            </w:r>
            <w:r>
              <w:rPr>
                <w:webHidden/>
              </w:rPr>
              <w:fldChar w:fldCharType="end"/>
            </w:r>
          </w:hyperlink>
        </w:p>
        <w:p w14:paraId="70C39D4B" w14:textId="7220D120"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26" w:history="1">
            <w:r w:rsidRPr="005D75C8">
              <w:rPr>
                <w:rStyle w:val="Hyperlink"/>
              </w:rPr>
              <w:t>CHAPTER 3</w:t>
            </w:r>
            <w:r>
              <w:rPr>
                <w:rFonts w:asciiTheme="minorHAnsi" w:eastAsiaTheme="minorEastAsia" w:hAnsiTheme="minorHAnsi" w:cstheme="minorBidi"/>
                <w:caps w:val="0"/>
                <w:kern w:val="2"/>
                <w:sz w:val="24"/>
                <w:szCs w:val="24"/>
                <w:lang w:val="pt-BR" w:eastAsia="pt-BR"/>
                <w14:ligatures w14:val="standardContextual"/>
              </w:rPr>
              <w:tab/>
            </w:r>
            <w:r w:rsidRPr="005D75C8">
              <w:rPr>
                <w:rStyle w:val="Hyperlink"/>
              </w:rPr>
              <w:t>Additional information and scenarios: overall suggestions/methodological approach</w:t>
            </w:r>
            <w:r>
              <w:rPr>
                <w:webHidden/>
              </w:rPr>
              <w:tab/>
            </w:r>
            <w:r>
              <w:rPr>
                <w:webHidden/>
              </w:rPr>
              <w:fldChar w:fldCharType="begin"/>
            </w:r>
            <w:r>
              <w:rPr>
                <w:webHidden/>
              </w:rPr>
              <w:instrText xml:space="preserve"> PAGEREF _Toc240987326 \h </w:instrText>
            </w:r>
            <w:r>
              <w:rPr>
                <w:webHidden/>
              </w:rPr>
            </w:r>
            <w:r>
              <w:rPr>
                <w:webHidden/>
              </w:rPr>
              <w:fldChar w:fldCharType="separate"/>
            </w:r>
            <w:r w:rsidR="006E18F6">
              <w:rPr>
                <w:webHidden/>
              </w:rPr>
              <w:t>31</w:t>
            </w:r>
            <w:r>
              <w:rPr>
                <w:webHidden/>
              </w:rPr>
              <w:fldChar w:fldCharType="end"/>
            </w:r>
          </w:hyperlink>
        </w:p>
        <w:p w14:paraId="1B764268" w14:textId="2BAF0A63" w:rsidR="0032568B" w:rsidRPr="00FE5C31" w:rsidRDefault="0032568B">
          <w:pPr>
            <w:pStyle w:val="TOC2"/>
            <w:rPr>
              <w:rStyle w:val="Hyperlink"/>
              <w:rFonts w:eastAsia="Calibri"/>
              <w:bCs/>
              <w:lang w:eastAsia="nl-NL"/>
            </w:rPr>
          </w:pPr>
          <w:hyperlink w:anchor="_Toc240987327" w:history="1">
            <w:r w:rsidRPr="00FE5C31">
              <w:rPr>
                <w:rStyle w:val="Hyperlink"/>
                <w:rFonts w:eastAsia="Calibri"/>
                <w:bCs/>
                <w:lang w:eastAsia="nl-NL"/>
              </w:rPr>
              <w:t>3.1</w:t>
            </w:r>
            <w:r w:rsidRPr="00FE5C31">
              <w:rPr>
                <w:rStyle w:val="Hyperlink"/>
                <w:rFonts w:eastAsia="Calibri"/>
                <w:bCs/>
                <w:lang w:eastAsia="nl-NL"/>
              </w:rPr>
              <w:tab/>
              <w:t>Introduction</w:t>
            </w:r>
            <w:r w:rsidRPr="00FE5C31">
              <w:rPr>
                <w:rStyle w:val="Hyperlink"/>
                <w:rFonts w:eastAsia="Calibri"/>
                <w:bCs/>
                <w:webHidden/>
                <w:lang w:eastAsia="nl-NL"/>
              </w:rPr>
              <w:tab/>
            </w:r>
            <w:r w:rsidRPr="00FE5C31">
              <w:rPr>
                <w:rStyle w:val="Hyperlink"/>
                <w:rFonts w:eastAsia="Calibri"/>
                <w:bCs/>
                <w:webHidden/>
                <w:lang w:eastAsia="nl-NL"/>
              </w:rPr>
              <w:fldChar w:fldCharType="begin"/>
            </w:r>
            <w:r w:rsidRPr="00FE5C31">
              <w:rPr>
                <w:rStyle w:val="Hyperlink"/>
                <w:rFonts w:eastAsia="Calibri"/>
                <w:bCs/>
                <w:webHidden/>
                <w:lang w:eastAsia="nl-NL"/>
              </w:rPr>
              <w:instrText xml:space="preserve"> PAGEREF _Toc240987327 \h </w:instrText>
            </w:r>
            <w:r w:rsidRPr="00FE5C31">
              <w:rPr>
                <w:rStyle w:val="Hyperlink"/>
                <w:rFonts w:eastAsia="Calibri"/>
                <w:bCs/>
                <w:webHidden/>
                <w:lang w:eastAsia="nl-NL"/>
              </w:rPr>
            </w:r>
            <w:r w:rsidRPr="00FE5C31">
              <w:rPr>
                <w:rStyle w:val="Hyperlink"/>
                <w:rFonts w:eastAsia="Calibri"/>
                <w:bCs/>
                <w:webHidden/>
                <w:lang w:eastAsia="nl-NL"/>
              </w:rPr>
              <w:fldChar w:fldCharType="separate"/>
            </w:r>
            <w:r w:rsidR="006E18F6">
              <w:rPr>
                <w:rStyle w:val="Hyperlink"/>
                <w:rFonts w:eastAsia="Calibri"/>
                <w:bCs/>
                <w:webHidden/>
                <w:lang w:eastAsia="nl-NL"/>
              </w:rPr>
              <w:t>31</w:t>
            </w:r>
            <w:r w:rsidRPr="00FE5C31">
              <w:rPr>
                <w:rStyle w:val="Hyperlink"/>
                <w:rFonts w:eastAsia="Calibri"/>
                <w:bCs/>
                <w:webHidden/>
                <w:lang w:eastAsia="nl-NL"/>
              </w:rPr>
              <w:fldChar w:fldCharType="end"/>
            </w:r>
          </w:hyperlink>
        </w:p>
        <w:p w14:paraId="22DE4283" w14:textId="64CD845D"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8" w:history="1">
            <w:r w:rsidRPr="005D75C8">
              <w:rPr>
                <w:rStyle w:val="Hyperlink"/>
                <w:rFonts w:eastAsia="Calibri"/>
                <w:bCs/>
                <w:lang w:eastAsia="nl-NL"/>
              </w:rPr>
              <w:t>3.2</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bCs/>
                <w:lang w:eastAsia="nl-NL"/>
              </w:rPr>
              <w:t>HPMPs New Scenarios applying CE factors</w:t>
            </w:r>
            <w:r>
              <w:rPr>
                <w:webHidden/>
              </w:rPr>
              <w:tab/>
            </w:r>
            <w:r>
              <w:rPr>
                <w:webHidden/>
              </w:rPr>
              <w:fldChar w:fldCharType="begin"/>
            </w:r>
            <w:r>
              <w:rPr>
                <w:webHidden/>
              </w:rPr>
              <w:instrText xml:space="preserve"> PAGEREF _Toc240987328 \h </w:instrText>
            </w:r>
            <w:r>
              <w:rPr>
                <w:webHidden/>
              </w:rPr>
            </w:r>
            <w:r>
              <w:rPr>
                <w:webHidden/>
              </w:rPr>
              <w:fldChar w:fldCharType="separate"/>
            </w:r>
            <w:r w:rsidR="006E18F6">
              <w:rPr>
                <w:webHidden/>
              </w:rPr>
              <w:t>32</w:t>
            </w:r>
            <w:r>
              <w:rPr>
                <w:webHidden/>
              </w:rPr>
              <w:fldChar w:fldCharType="end"/>
            </w:r>
          </w:hyperlink>
        </w:p>
        <w:p w14:paraId="43AA4DF1" w14:textId="37C7FB1E"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29" w:history="1">
            <w:r w:rsidRPr="005D75C8">
              <w:rPr>
                <w:rStyle w:val="Hyperlink"/>
                <w:rFonts w:eastAsia="Calibri"/>
              </w:rPr>
              <w:t xml:space="preserve">3.3 </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rPr>
              <w:t xml:space="preserve">HFC New Scenarios applying CE </w:t>
            </w:r>
            <w:r>
              <w:rPr>
                <w:rStyle w:val="Hyperlink"/>
                <w:rFonts w:eastAsia="Calibri"/>
              </w:rPr>
              <w:t>factors</w:t>
            </w:r>
            <w:r>
              <w:rPr>
                <w:webHidden/>
              </w:rPr>
              <w:tab/>
            </w:r>
            <w:r>
              <w:rPr>
                <w:webHidden/>
              </w:rPr>
              <w:fldChar w:fldCharType="begin"/>
            </w:r>
            <w:r>
              <w:rPr>
                <w:webHidden/>
              </w:rPr>
              <w:instrText xml:space="preserve"> PAGEREF _Toc240987329 \h </w:instrText>
            </w:r>
            <w:r>
              <w:rPr>
                <w:webHidden/>
              </w:rPr>
            </w:r>
            <w:r>
              <w:rPr>
                <w:webHidden/>
              </w:rPr>
              <w:fldChar w:fldCharType="separate"/>
            </w:r>
            <w:r w:rsidR="006E18F6">
              <w:rPr>
                <w:webHidden/>
              </w:rPr>
              <w:t>40</w:t>
            </w:r>
            <w:r>
              <w:rPr>
                <w:webHidden/>
              </w:rPr>
              <w:fldChar w:fldCharType="end"/>
            </w:r>
          </w:hyperlink>
        </w:p>
        <w:p w14:paraId="777CF2C9" w14:textId="3DAE497B"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0" w:history="1">
            <w:r w:rsidRPr="005D75C8">
              <w:rPr>
                <w:rStyle w:val="Hyperlink"/>
                <w:rFonts w:eastAsia="Calibri"/>
                <w:bCs/>
                <w:caps/>
                <w:lang w:eastAsia="nl-NL"/>
              </w:rPr>
              <w:t>3.4</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bCs/>
                <w:lang w:eastAsia="nl-NL"/>
              </w:rPr>
              <w:t>Additional scenarios for KIPs</w:t>
            </w:r>
            <w:r>
              <w:rPr>
                <w:webHidden/>
              </w:rPr>
              <w:tab/>
            </w:r>
            <w:r>
              <w:rPr>
                <w:webHidden/>
              </w:rPr>
              <w:fldChar w:fldCharType="begin"/>
            </w:r>
            <w:r>
              <w:rPr>
                <w:webHidden/>
              </w:rPr>
              <w:instrText xml:space="preserve"> PAGEREF _Toc240987330 \h </w:instrText>
            </w:r>
            <w:r>
              <w:rPr>
                <w:webHidden/>
              </w:rPr>
            </w:r>
            <w:r>
              <w:rPr>
                <w:webHidden/>
              </w:rPr>
              <w:fldChar w:fldCharType="separate"/>
            </w:r>
            <w:r w:rsidR="006E18F6">
              <w:rPr>
                <w:webHidden/>
              </w:rPr>
              <w:t>45</w:t>
            </w:r>
            <w:r>
              <w:rPr>
                <w:webHidden/>
              </w:rPr>
              <w:fldChar w:fldCharType="end"/>
            </w:r>
          </w:hyperlink>
        </w:p>
        <w:p w14:paraId="0F7AF9DD" w14:textId="778CEF37"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1" w:history="1">
            <w:r w:rsidRPr="005D75C8">
              <w:rPr>
                <w:rStyle w:val="Hyperlink"/>
              </w:rPr>
              <w:t>3.5</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 xml:space="preserve">Summary of updated ranges of total funding requirement for HCFC and HFC </w:t>
            </w:r>
            <w:r>
              <w:rPr>
                <w:rStyle w:val="Hyperlink"/>
              </w:rPr>
              <w:t>a</w:t>
            </w:r>
            <w:r w:rsidRPr="005D75C8">
              <w:rPr>
                <w:rStyle w:val="Hyperlink"/>
              </w:rPr>
              <w:t xml:space="preserve">ctivities in 2027-2029 </w:t>
            </w:r>
            <w:r>
              <w:rPr>
                <w:rStyle w:val="Hyperlink"/>
              </w:rPr>
              <w:t>t</w:t>
            </w:r>
            <w:r w:rsidRPr="005D75C8">
              <w:rPr>
                <w:rStyle w:val="Hyperlink"/>
              </w:rPr>
              <w:t>riennium</w:t>
            </w:r>
            <w:r>
              <w:rPr>
                <w:webHidden/>
              </w:rPr>
              <w:tab/>
            </w:r>
            <w:r>
              <w:rPr>
                <w:webHidden/>
              </w:rPr>
              <w:fldChar w:fldCharType="begin"/>
            </w:r>
            <w:r>
              <w:rPr>
                <w:webHidden/>
              </w:rPr>
              <w:instrText xml:space="preserve"> PAGEREF _Toc240987331 \h </w:instrText>
            </w:r>
            <w:r>
              <w:rPr>
                <w:webHidden/>
              </w:rPr>
            </w:r>
            <w:r>
              <w:rPr>
                <w:webHidden/>
              </w:rPr>
              <w:fldChar w:fldCharType="separate"/>
            </w:r>
            <w:r w:rsidR="006E18F6">
              <w:rPr>
                <w:webHidden/>
              </w:rPr>
              <w:t>51</w:t>
            </w:r>
            <w:r>
              <w:rPr>
                <w:webHidden/>
              </w:rPr>
              <w:fldChar w:fldCharType="end"/>
            </w:r>
          </w:hyperlink>
        </w:p>
        <w:p w14:paraId="7BD05C0A" w14:textId="1B5FAD29"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32" w:history="1">
            <w:r w:rsidRPr="005D75C8">
              <w:rPr>
                <w:rStyle w:val="Hyperlink"/>
              </w:rPr>
              <w:t>CHAPTER 4</w:t>
            </w:r>
            <w:r>
              <w:rPr>
                <w:rFonts w:asciiTheme="minorHAnsi" w:eastAsiaTheme="minorEastAsia" w:hAnsiTheme="minorHAnsi" w:cstheme="minorBidi"/>
                <w:caps w:val="0"/>
                <w:kern w:val="2"/>
                <w:sz w:val="24"/>
                <w:szCs w:val="24"/>
                <w:lang w:val="pt-BR" w:eastAsia="pt-BR"/>
                <w14:ligatures w14:val="standardContextual"/>
              </w:rPr>
              <w:tab/>
            </w:r>
            <w:r w:rsidRPr="005D75C8">
              <w:rPr>
                <w:rStyle w:val="Hyperlink"/>
              </w:rPr>
              <w:t>ADDITIONAL INFORMATION AND SCENARIOS: LVCS/VLVCs</w:t>
            </w:r>
            <w:r>
              <w:rPr>
                <w:webHidden/>
              </w:rPr>
              <w:tab/>
            </w:r>
            <w:r>
              <w:rPr>
                <w:webHidden/>
              </w:rPr>
              <w:fldChar w:fldCharType="begin"/>
            </w:r>
            <w:r>
              <w:rPr>
                <w:webHidden/>
              </w:rPr>
              <w:instrText xml:space="preserve"> PAGEREF _Toc240987332 \h </w:instrText>
            </w:r>
            <w:r>
              <w:rPr>
                <w:webHidden/>
              </w:rPr>
            </w:r>
            <w:r>
              <w:rPr>
                <w:webHidden/>
              </w:rPr>
              <w:fldChar w:fldCharType="separate"/>
            </w:r>
            <w:r w:rsidR="006E18F6">
              <w:rPr>
                <w:webHidden/>
              </w:rPr>
              <w:t>53</w:t>
            </w:r>
            <w:r>
              <w:rPr>
                <w:webHidden/>
              </w:rPr>
              <w:fldChar w:fldCharType="end"/>
            </w:r>
          </w:hyperlink>
        </w:p>
        <w:p w14:paraId="0367D3CA" w14:textId="13A11CDB"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3" w:history="1">
            <w:r w:rsidRPr="005D75C8">
              <w:rPr>
                <w:rStyle w:val="Hyperlink"/>
              </w:rPr>
              <w:t>4.1</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Introduction</w:t>
            </w:r>
            <w:r>
              <w:rPr>
                <w:webHidden/>
              </w:rPr>
              <w:tab/>
            </w:r>
            <w:r>
              <w:rPr>
                <w:webHidden/>
              </w:rPr>
              <w:fldChar w:fldCharType="begin"/>
            </w:r>
            <w:r>
              <w:rPr>
                <w:webHidden/>
              </w:rPr>
              <w:instrText xml:space="preserve"> PAGEREF _Toc240987333 \h </w:instrText>
            </w:r>
            <w:r>
              <w:rPr>
                <w:webHidden/>
              </w:rPr>
            </w:r>
            <w:r>
              <w:rPr>
                <w:webHidden/>
              </w:rPr>
              <w:fldChar w:fldCharType="separate"/>
            </w:r>
            <w:r w:rsidR="006E18F6">
              <w:rPr>
                <w:webHidden/>
              </w:rPr>
              <w:t>53</w:t>
            </w:r>
            <w:r>
              <w:rPr>
                <w:webHidden/>
              </w:rPr>
              <w:fldChar w:fldCharType="end"/>
            </w:r>
          </w:hyperlink>
        </w:p>
        <w:p w14:paraId="41348C14" w14:textId="71622158"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4" w:history="1">
            <w:r w:rsidRPr="005D75C8">
              <w:rPr>
                <w:rStyle w:val="Hyperlink"/>
              </w:rPr>
              <w:t>4.2</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S</w:t>
            </w:r>
            <w:r>
              <w:rPr>
                <w:rStyle w:val="Hyperlink"/>
              </w:rPr>
              <w:t>cenario: P</w:t>
            </w:r>
            <w:r w:rsidRPr="005D75C8">
              <w:rPr>
                <w:rStyle w:val="Hyperlink"/>
              </w:rPr>
              <w:t xml:space="preserve">ossible increase for </w:t>
            </w:r>
            <w:r>
              <w:rPr>
                <w:rStyle w:val="Hyperlink"/>
              </w:rPr>
              <w:t>LVC</w:t>
            </w:r>
            <w:r w:rsidRPr="005D75C8">
              <w:rPr>
                <w:rStyle w:val="Hyperlink"/>
              </w:rPr>
              <w:t xml:space="preserve"> and </w:t>
            </w:r>
            <w:r>
              <w:rPr>
                <w:rStyle w:val="Hyperlink"/>
              </w:rPr>
              <w:t>VLVC</w:t>
            </w:r>
            <w:r w:rsidRPr="005D75C8">
              <w:rPr>
                <w:rStyle w:val="Hyperlink"/>
              </w:rPr>
              <w:t xml:space="preserve"> countries for </w:t>
            </w:r>
            <w:r>
              <w:rPr>
                <w:rStyle w:val="Hyperlink"/>
              </w:rPr>
              <w:t>KIP</w:t>
            </w:r>
            <w:r w:rsidRPr="005D75C8">
              <w:rPr>
                <w:rStyle w:val="Hyperlink"/>
              </w:rPr>
              <w:t xml:space="preserve">s </w:t>
            </w:r>
            <w:r>
              <w:rPr>
                <w:rStyle w:val="Hyperlink"/>
              </w:rPr>
              <w:t>S</w:t>
            </w:r>
            <w:r w:rsidRPr="005D75C8">
              <w:rPr>
                <w:rStyle w:val="Hyperlink"/>
              </w:rPr>
              <w:t xml:space="preserve">tage </w:t>
            </w:r>
            <w:r>
              <w:rPr>
                <w:rStyle w:val="Hyperlink"/>
              </w:rPr>
              <w:t>II</w:t>
            </w:r>
            <w:r>
              <w:rPr>
                <w:webHidden/>
              </w:rPr>
              <w:tab/>
            </w:r>
            <w:r>
              <w:rPr>
                <w:webHidden/>
              </w:rPr>
              <w:fldChar w:fldCharType="begin"/>
            </w:r>
            <w:r>
              <w:rPr>
                <w:webHidden/>
              </w:rPr>
              <w:instrText xml:space="preserve"> PAGEREF _Toc240987334 \h </w:instrText>
            </w:r>
            <w:r>
              <w:rPr>
                <w:webHidden/>
              </w:rPr>
            </w:r>
            <w:r>
              <w:rPr>
                <w:webHidden/>
              </w:rPr>
              <w:fldChar w:fldCharType="separate"/>
            </w:r>
            <w:r w:rsidR="006E18F6">
              <w:rPr>
                <w:webHidden/>
              </w:rPr>
              <w:t>53</w:t>
            </w:r>
            <w:r>
              <w:rPr>
                <w:webHidden/>
              </w:rPr>
              <w:fldChar w:fldCharType="end"/>
            </w:r>
          </w:hyperlink>
        </w:p>
        <w:p w14:paraId="17EEAEBD" w14:textId="44CEC39F"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5" w:history="1">
            <w:r w:rsidRPr="005D75C8">
              <w:rPr>
                <w:rStyle w:val="Hyperlink"/>
              </w:rPr>
              <w:t>4.3</w:t>
            </w:r>
            <w:r>
              <w:rPr>
                <w:rStyle w:val="Hyperlink"/>
              </w:rPr>
              <w:tab/>
            </w:r>
            <w:r w:rsidRPr="005D75C8">
              <w:rPr>
                <w:rStyle w:val="Hyperlink"/>
              </w:rPr>
              <w:t xml:space="preserve">Capacity of </w:t>
            </w:r>
            <w:r>
              <w:rPr>
                <w:rStyle w:val="Hyperlink"/>
              </w:rPr>
              <w:t>LVC</w:t>
            </w:r>
            <w:r w:rsidRPr="005D75C8">
              <w:rPr>
                <w:rStyle w:val="Hyperlink"/>
              </w:rPr>
              <w:t xml:space="preserve"> and VLVC </w:t>
            </w:r>
            <w:r>
              <w:rPr>
                <w:rStyle w:val="Hyperlink"/>
              </w:rPr>
              <w:t>p</w:t>
            </w:r>
            <w:r w:rsidRPr="005D75C8">
              <w:rPr>
                <w:rStyle w:val="Hyperlink"/>
              </w:rPr>
              <w:t>arties to absorb increased funding</w:t>
            </w:r>
            <w:r>
              <w:rPr>
                <w:webHidden/>
              </w:rPr>
              <w:tab/>
            </w:r>
            <w:r>
              <w:rPr>
                <w:webHidden/>
              </w:rPr>
              <w:fldChar w:fldCharType="begin"/>
            </w:r>
            <w:r>
              <w:rPr>
                <w:webHidden/>
              </w:rPr>
              <w:instrText xml:space="preserve"> PAGEREF _Toc240987335 \h </w:instrText>
            </w:r>
            <w:r>
              <w:rPr>
                <w:webHidden/>
              </w:rPr>
            </w:r>
            <w:r>
              <w:rPr>
                <w:webHidden/>
              </w:rPr>
              <w:fldChar w:fldCharType="separate"/>
            </w:r>
            <w:r w:rsidR="006E18F6">
              <w:rPr>
                <w:webHidden/>
              </w:rPr>
              <w:t>55</w:t>
            </w:r>
            <w:r>
              <w:rPr>
                <w:webHidden/>
              </w:rPr>
              <w:fldChar w:fldCharType="end"/>
            </w:r>
          </w:hyperlink>
        </w:p>
        <w:p w14:paraId="3AB24979" w14:textId="1A9A1338"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6" w:history="1">
            <w:r w:rsidRPr="005D75C8">
              <w:rPr>
                <w:rStyle w:val="Hyperlink"/>
              </w:rPr>
              <w:t>4.4</w:t>
            </w:r>
            <w:r>
              <w:rPr>
                <w:rStyle w:val="Hyperlink"/>
              </w:rPr>
              <w:tab/>
              <w:t>A</w:t>
            </w:r>
            <w:r w:rsidRPr="005D75C8">
              <w:rPr>
                <w:rStyle w:val="Hyperlink"/>
              </w:rPr>
              <w:t xml:space="preserve">dditional considerations for funding KIP </w:t>
            </w:r>
            <w:r>
              <w:rPr>
                <w:rStyle w:val="Hyperlink"/>
              </w:rPr>
              <w:t>S</w:t>
            </w:r>
            <w:r w:rsidRPr="005D75C8">
              <w:rPr>
                <w:rStyle w:val="Hyperlink"/>
              </w:rPr>
              <w:t>tage II</w:t>
            </w:r>
            <w:r>
              <w:rPr>
                <w:webHidden/>
              </w:rPr>
              <w:tab/>
            </w:r>
            <w:r>
              <w:rPr>
                <w:webHidden/>
              </w:rPr>
              <w:fldChar w:fldCharType="begin"/>
            </w:r>
            <w:r>
              <w:rPr>
                <w:webHidden/>
              </w:rPr>
              <w:instrText xml:space="preserve"> PAGEREF _Toc240987336 \h </w:instrText>
            </w:r>
            <w:r>
              <w:rPr>
                <w:webHidden/>
              </w:rPr>
            </w:r>
            <w:r>
              <w:rPr>
                <w:webHidden/>
              </w:rPr>
              <w:fldChar w:fldCharType="separate"/>
            </w:r>
            <w:r w:rsidR="006E18F6">
              <w:rPr>
                <w:webHidden/>
              </w:rPr>
              <w:t>56</w:t>
            </w:r>
            <w:r>
              <w:rPr>
                <w:webHidden/>
              </w:rPr>
              <w:fldChar w:fldCharType="end"/>
            </w:r>
          </w:hyperlink>
        </w:p>
        <w:p w14:paraId="64B9855D" w14:textId="43449ACF"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37" w:history="1">
            <w:r w:rsidRPr="005D75C8">
              <w:rPr>
                <w:rStyle w:val="Hyperlink"/>
              </w:rPr>
              <w:t>CHAPTER 5</w:t>
            </w:r>
            <w:r>
              <w:rPr>
                <w:rFonts w:asciiTheme="minorHAnsi" w:eastAsiaTheme="minorEastAsia" w:hAnsiTheme="minorHAnsi" w:cstheme="minorBidi"/>
                <w:caps w:val="0"/>
                <w:kern w:val="2"/>
                <w:sz w:val="24"/>
                <w:szCs w:val="24"/>
                <w:lang w:val="pt-BR" w:eastAsia="pt-BR"/>
                <w14:ligatures w14:val="standardContextual"/>
              </w:rPr>
              <w:tab/>
            </w:r>
            <w:r w:rsidRPr="005D75C8">
              <w:rPr>
                <w:rStyle w:val="Hyperlink"/>
              </w:rPr>
              <w:t>ADDITIONAL INFORMATION AND SCENARIOS: Lifecycle Refrigerant Management</w:t>
            </w:r>
            <w:r>
              <w:rPr>
                <w:webHidden/>
              </w:rPr>
              <w:tab/>
            </w:r>
            <w:r>
              <w:rPr>
                <w:webHidden/>
              </w:rPr>
              <w:fldChar w:fldCharType="begin"/>
            </w:r>
            <w:r>
              <w:rPr>
                <w:webHidden/>
              </w:rPr>
              <w:instrText xml:space="preserve"> PAGEREF _Toc240987337 \h </w:instrText>
            </w:r>
            <w:r>
              <w:rPr>
                <w:webHidden/>
              </w:rPr>
            </w:r>
            <w:r>
              <w:rPr>
                <w:webHidden/>
              </w:rPr>
              <w:fldChar w:fldCharType="separate"/>
            </w:r>
            <w:r w:rsidR="006E18F6">
              <w:rPr>
                <w:webHidden/>
              </w:rPr>
              <w:t>58</w:t>
            </w:r>
            <w:r>
              <w:rPr>
                <w:webHidden/>
              </w:rPr>
              <w:fldChar w:fldCharType="end"/>
            </w:r>
          </w:hyperlink>
        </w:p>
        <w:p w14:paraId="3C3E3BE5" w14:textId="2173CFC4"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8" w:history="1">
            <w:r w:rsidRPr="005D75C8">
              <w:rPr>
                <w:rStyle w:val="Hyperlink"/>
              </w:rPr>
              <w:t>5.1</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Introduction</w:t>
            </w:r>
            <w:r>
              <w:rPr>
                <w:webHidden/>
              </w:rPr>
              <w:tab/>
            </w:r>
            <w:r>
              <w:rPr>
                <w:webHidden/>
              </w:rPr>
              <w:fldChar w:fldCharType="begin"/>
            </w:r>
            <w:r>
              <w:rPr>
                <w:webHidden/>
              </w:rPr>
              <w:instrText xml:space="preserve"> PAGEREF _Toc240987338 \h </w:instrText>
            </w:r>
            <w:r>
              <w:rPr>
                <w:webHidden/>
              </w:rPr>
            </w:r>
            <w:r>
              <w:rPr>
                <w:webHidden/>
              </w:rPr>
              <w:fldChar w:fldCharType="separate"/>
            </w:r>
            <w:r w:rsidR="006E18F6">
              <w:rPr>
                <w:webHidden/>
              </w:rPr>
              <w:t>58</w:t>
            </w:r>
            <w:r>
              <w:rPr>
                <w:webHidden/>
              </w:rPr>
              <w:fldChar w:fldCharType="end"/>
            </w:r>
          </w:hyperlink>
        </w:p>
        <w:p w14:paraId="3A8C8460" w14:textId="56536B80"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39" w:history="1">
            <w:r w:rsidRPr="005D75C8">
              <w:rPr>
                <w:rStyle w:val="Hyperlink"/>
              </w:rPr>
              <w:t>5.2</w:t>
            </w:r>
            <w:r>
              <w:rPr>
                <w:rFonts w:asciiTheme="minorHAnsi" w:eastAsiaTheme="minorEastAsia" w:hAnsiTheme="minorHAnsi" w:cstheme="minorBidi"/>
                <w:kern w:val="2"/>
                <w:sz w:val="24"/>
                <w:szCs w:val="24"/>
                <w:lang w:val="pt-BR" w:eastAsia="pt-BR"/>
                <w14:ligatures w14:val="standardContextual"/>
              </w:rPr>
              <w:tab/>
            </w:r>
            <w:r>
              <w:rPr>
                <w:rStyle w:val="Hyperlink"/>
              </w:rPr>
              <w:t>E</w:t>
            </w:r>
            <w:r w:rsidRPr="005D75C8">
              <w:rPr>
                <w:rStyle w:val="Hyperlink"/>
              </w:rPr>
              <w:t>stimated cost scenario for potential funding window</w:t>
            </w:r>
            <w:r>
              <w:rPr>
                <w:webHidden/>
              </w:rPr>
              <w:tab/>
            </w:r>
            <w:r>
              <w:rPr>
                <w:webHidden/>
              </w:rPr>
              <w:fldChar w:fldCharType="begin"/>
            </w:r>
            <w:r>
              <w:rPr>
                <w:webHidden/>
              </w:rPr>
              <w:instrText xml:space="preserve"> PAGEREF _Toc240987339 \h </w:instrText>
            </w:r>
            <w:r>
              <w:rPr>
                <w:webHidden/>
              </w:rPr>
            </w:r>
            <w:r>
              <w:rPr>
                <w:webHidden/>
              </w:rPr>
              <w:fldChar w:fldCharType="separate"/>
            </w:r>
            <w:r w:rsidR="006E18F6">
              <w:rPr>
                <w:webHidden/>
              </w:rPr>
              <w:t>58</w:t>
            </w:r>
            <w:r>
              <w:rPr>
                <w:webHidden/>
              </w:rPr>
              <w:fldChar w:fldCharType="end"/>
            </w:r>
          </w:hyperlink>
        </w:p>
        <w:p w14:paraId="3BBF3BF4" w14:textId="2ED8D654"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40" w:history="1">
            <w:r w:rsidRPr="005D75C8">
              <w:rPr>
                <w:rStyle w:val="Hyperlink"/>
              </w:rPr>
              <w:t>ANNEX 1: LIST OF PARTIES PENDING RATIFICATION OF THE KIGALI AMENDMENT (as of 10 AUGUST 2026)</w:t>
            </w:r>
            <w:r>
              <w:rPr>
                <w:webHidden/>
              </w:rPr>
              <w:tab/>
            </w:r>
            <w:r>
              <w:rPr>
                <w:webHidden/>
              </w:rPr>
              <w:fldChar w:fldCharType="begin"/>
            </w:r>
            <w:r>
              <w:rPr>
                <w:webHidden/>
              </w:rPr>
              <w:instrText xml:space="preserve"> PAGEREF _Toc240987340 \h </w:instrText>
            </w:r>
            <w:r>
              <w:rPr>
                <w:webHidden/>
              </w:rPr>
            </w:r>
            <w:r>
              <w:rPr>
                <w:webHidden/>
              </w:rPr>
              <w:fldChar w:fldCharType="separate"/>
            </w:r>
            <w:r w:rsidR="006E18F6">
              <w:rPr>
                <w:webHidden/>
              </w:rPr>
              <w:t>62</w:t>
            </w:r>
            <w:r>
              <w:rPr>
                <w:webHidden/>
              </w:rPr>
              <w:fldChar w:fldCharType="end"/>
            </w:r>
          </w:hyperlink>
        </w:p>
        <w:p w14:paraId="326BDAC1" w14:textId="7F485615"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41" w:history="1">
            <w:r w:rsidRPr="005D75C8">
              <w:rPr>
                <w:rStyle w:val="Hyperlink"/>
              </w:rPr>
              <w:t xml:space="preserve">ANNEX 2: ESTIMATED FUNDING METHODOLOGY FOR HCFC CONSUMPTION SECTOR (UPDATED RTF May 2026 report) </w:t>
            </w:r>
            <w:r>
              <w:rPr>
                <w:webHidden/>
              </w:rPr>
              <w:tab/>
            </w:r>
            <w:r>
              <w:rPr>
                <w:webHidden/>
              </w:rPr>
              <w:fldChar w:fldCharType="begin"/>
            </w:r>
            <w:r>
              <w:rPr>
                <w:webHidden/>
              </w:rPr>
              <w:instrText xml:space="preserve"> PAGEREF _Toc240987341 \h </w:instrText>
            </w:r>
            <w:r>
              <w:rPr>
                <w:webHidden/>
              </w:rPr>
            </w:r>
            <w:r>
              <w:rPr>
                <w:webHidden/>
              </w:rPr>
              <w:fldChar w:fldCharType="separate"/>
            </w:r>
            <w:r w:rsidR="006E18F6">
              <w:rPr>
                <w:webHidden/>
              </w:rPr>
              <w:t>63</w:t>
            </w:r>
            <w:r>
              <w:rPr>
                <w:webHidden/>
              </w:rPr>
              <w:fldChar w:fldCharType="end"/>
            </w:r>
          </w:hyperlink>
        </w:p>
        <w:p w14:paraId="6EB3F328" w14:textId="2645DD0A"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2" w:history="1">
            <w:r w:rsidRPr="005D75C8">
              <w:rPr>
                <w:rStyle w:val="Hyperlink"/>
              </w:rPr>
              <w:t>A2.1</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Sources of Information</w:t>
            </w:r>
            <w:r>
              <w:rPr>
                <w:webHidden/>
              </w:rPr>
              <w:tab/>
            </w:r>
            <w:r>
              <w:rPr>
                <w:webHidden/>
              </w:rPr>
              <w:fldChar w:fldCharType="begin"/>
            </w:r>
            <w:r>
              <w:rPr>
                <w:webHidden/>
              </w:rPr>
              <w:instrText xml:space="preserve"> PAGEREF _Toc240987342 \h </w:instrText>
            </w:r>
            <w:r>
              <w:rPr>
                <w:webHidden/>
              </w:rPr>
            </w:r>
            <w:r>
              <w:rPr>
                <w:webHidden/>
              </w:rPr>
              <w:fldChar w:fldCharType="separate"/>
            </w:r>
            <w:r w:rsidR="006E18F6">
              <w:rPr>
                <w:webHidden/>
              </w:rPr>
              <w:t>63</w:t>
            </w:r>
            <w:r>
              <w:rPr>
                <w:webHidden/>
              </w:rPr>
              <w:fldChar w:fldCharType="end"/>
            </w:r>
          </w:hyperlink>
        </w:p>
        <w:p w14:paraId="08842598" w14:textId="18256A45"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3" w:history="1">
            <w:r w:rsidRPr="005D75C8">
              <w:rPr>
                <w:rStyle w:val="Hyperlink"/>
              </w:rPr>
              <w:t>A2.2</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HCFC Phase-out funding methodology for the consumption sector</w:t>
            </w:r>
            <w:r>
              <w:rPr>
                <w:webHidden/>
              </w:rPr>
              <w:tab/>
            </w:r>
            <w:r>
              <w:rPr>
                <w:webHidden/>
              </w:rPr>
              <w:fldChar w:fldCharType="begin"/>
            </w:r>
            <w:r>
              <w:rPr>
                <w:webHidden/>
              </w:rPr>
              <w:instrText xml:space="preserve"> PAGEREF _Toc240987343 \h </w:instrText>
            </w:r>
            <w:r>
              <w:rPr>
                <w:webHidden/>
              </w:rPr>
            </w:r>
            <w:r>
              <w:rPr>
                <w:webHidden/>
              </w:rPr>
              <w:fldChar w:fldCharType="separate"/>
            </w:r>
            <w:r w:rsidR="006E18F6">
              <w:rPr>
                <w:webHidden/>
              </w:rPr>
              <w:t>64</w:t>
            </w:r>
            <w:r>
              <w:rPr>
                <w:webHidden/>
              </w:rPr>
              <w:fldChar w:fldCharType="end"/>
            </w:r>
          </w:hyperlink>
        </w:p>
        <w:p w14:paraId="50A2E699" w14:textId="1717716F"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4" w:history="1">
            <w:r w:rsidRPr="005D75C8">
              <w:rPr>
                <w:rStyle w:val="Hyperlink"/>
              </w:rPr>
              <w:t>A2.3</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Verification costs for HPMPs</w:t>
            </w:r>
            <w:r>
              <w:rPr>
                <w:webHidden/>
              </w:rPr>
              <w:tab/>
            </w:r>
            <w:r>
              <w:rPr>
                <w:webHidden/>
              </w:rPr>
              <w:fldChar w:fldCharType="begin"/>
            </w:r>
            <w:r>
              <w:rPr>
                <w:webHidden/>
              </w:rPr>
              <w:instrText xml:space="preserve"> PAGEREF _Toc240987344 \h </w:instrText>
            </w:r>
            <w:r>
              <w:rPr>
                <w:webHidden/>
              </w:rPr>
            </w:r>
            <w:r>
              <w:rPr>
                <w:webHidden/>
              </w:rPr>
              <w:fldChar w:fldCharType="separate"/>
            </w:r>
            <w:r w:rsidR="006E18F6">
              <w:rPr>
                <w:webHidden/>
              </w:rPr>
              <w:t>70</w:t>
            </w:r>
            <w:r>
              <w:rPr>
                <w:webHidden/>
              </w:rPr>
              <w:fldChar w:fldCharType="end"/>
            </w:r>
          </w:hyperlink>
        </w:p>
        <w:p w14:paraId="14756622" w14:textId="6C373FCC"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5" w:history="1">
            <w:r w:rsidRPr="005D75C8">
              <w:rPr>
                <w:rStyle w:val="Hyperlink"/>
              </w:rPr>
              <w:t>A2.4</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Project preparation for HPMPs</w:t>
            </w:r>
            <w:r>
              <w:rPr>
                <w:webHidden/>
              </w:rPr>
              <w:tab/>
            </w:r>
            <w:r>
              <w:rPr>
                <w:webHidden/>
              </w:rPr>
              <w:fldChar w:fldCharType="begin"/>
            </w:r>
            <w:r>
              <w:rPr>
                <w:webHidden/>
              </w:rPr>
              <w:instrText xml:space="preserve"> PAGEREF _Toc240987345 \h </w:instrText>
            </w:r>
            <w:r>
              <w:rPr>
                <w:webHidden/>
              </w:rPr>
            </w:r>
            <w:r>
              <w:rPr>
                <w:webHidden/>
              </w:rPr>
              <w:fldChar w:fldCharType="separate"/>
            </w:r>
            <w:r w:rsidR="006E18F6">
              <w:rPr>
                <w:webHidden/>
              </w:rPr>
              <w:t>70</w:t>
            </w:r>
            <w:r>
              <w:rPr>
                <w:webHidden/>
              </w:rPr>
              <w:fldChar w:fldCharType="end"/>
            </w:r>
          </w:hyperlink>
        </w:p>
        <w:p w14:paraId="76DBE510" w14:textId="66F83DBA"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6" w:history="1">
            <w:r w:rsidRPr="005D75C8">
              <w:rPr>
                <w:rStyle w:val="Hyperlink"/>
              </w:rPr>
              <w:t>A2.5</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Energy efficiency (Decision 89/6)</w:t>
            </w:r>
            <w:r>
              <w:rPr>
                <w:webHidden/>
              </w:rPr>
              <w:tab/>
            </w:r>
            <w:r>
              <w:rPr>
                <w:webHidden/>
              </w:rPr>
              <w:fldChar w:fldCharType="begin"/>
            </w:r>
            <w:r>
              <w:rPr>
                <w:webHidden/>
              </w:rPr>
              <w:instrText xml:space="preserve"> PAGEREF _Toc240987346 \h </w:instrText>
            </w:r>
            <w:r>
              <w:rPr>
                <w:webHidden/>
              </w:rPr>
            </w:r>
            <w:r>
              <w:rPr>
                <w:webHidden/>
              </w:rPr>
              <w:fldChar w:fldCharType="separate"/>
            </w:r>
            <w:r w:rsidR="006E18F6">
              <w:rPr>
                <w:webHidden/>
              </w:rPr>
              <w:t>71</w:t>
            </w:r>
            <w:r>
              <w:rPr>
                <w:webHidden/>
              </w:rPr>
              <w:fldChar w:fldCharType="end"/>
            </w:r>
          </w:hyperlink>
        </w:p>
        <w:p w14:paraId="6CEF9849" w14:textId="01C8FE59"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7" w:history="1">
            <w:r w:rsidRPr="005D75C8">
              <w:rPr>
                <w:rStyle w:val="Hyperlink"/>
              </w:rPr>
              <w:t>A2.6</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Updated estimated funding requirement for the total HCFC consumption sector phase-out</w:t>
            </w:r>
            <w:r>
              <w:rPr>
                <w:webHidden/>
              </w:rPr>
              <w:tab/>
            </w:r>
            <w:r>
              <w:rPr>
                <w:webHidden/>
              </w:rPr>
              <w:fldChar w:fldCharType="begin"/>
            </w:r>
            <w:r>
              <w:rPr>
                <w:webHidden/>
              </w:rPr>
              <w:instrText xml:space="preserve"> PAGEREF _Toc240987347 \h </w:instrText>
            </w:r>
            <w:r>
              <w:rPr>
                <w:webHidden/>
              </w:rPr>
            </w:r>
            <w:r>
              <w:rPr>
                <w:webHidden/>
              </w:rPr>
              <w:fldChar w:fldCharType="separate"/>
            </w:r>
            <w:r w:rsidR="006E18F6">
              <w:rPr>
                <w:webHidden/>
              </w:rPr>
              <w:t>71</w:t>
            </w:r>
            <w:r>
              <w:rPr>
                <w:webHidden/>
              </w:rPr>
              <w:fldChar w:fldCharType="end"/>
            </w:r>
          </w:hyperlink>
        </w:p>
        <w:p w14:paraId="3EB223ED" w14:textId="09EC629D"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48" w:history="1">
            <w:r w:rsidRPr="005D75C8">
              <w:rPr>
                <w:rStyle w:val="Hyperlink"/>
              </w:rPr>
              <w:t>ANNEX 3: METHODOLOGY TO ESTIMATE FUNDING REQUIREMENTS FOR HFC PHASE-DOWN IN THE CONSUMPTION SECTOR (UPDATED RTF May 2026 Report)</w:t>
            </w:r>
            <w:r>
              <w:rPr>
                <w:webHidden/>
              </w:rPr>
              <w:tab/>
            </w:r>
            <w:r>
              <w:rPr>
                <w:webHidden/>
              </w:rPr>
              <w:fldChar w:fldCharType="begin"/>
            </w:r>
            <w:r>
              <w:rPr>
                <w:webHidden/>
              </w:rPr>
              <w:instrText xml:space="preserve"> PAGEREF _Toc240987348 \h </w:instrText>
            </w:r>
            <w:r>
              <w:rPr>
                <w:webHidden/>
              </w:rPr>
            </w:r>
            <w:r>
              <w:rPr>
                <w:webHidden/>
              </w:rPr>
              <w:fldChar w:fldCharType="separate"/>
            </w:r>
            <w:r w:rsidR="006E18F6">
              <w:rPr>
                <w:webHidden/>
              </w:rPr>
              <w:t>73</w:t>
            </w:r>
            <w:r>
              <w:rPr>
                <w:webHidden/>
              </w:rPr>
              <w:fldChar w:fldCharType="end"/>
            </w:r>
          </w:hyperlink>
        </w:p>
        <w:p w14:paraId="53191B3B" w14:textId="54E71818"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49" w:history="1">
            <w:r w:rsidRPr="005D75C8">
              <w:rPr>
                <w:rStyle w:val="Hyperlink"/>
              </w:rPr>
              <w:t xml:space="preserve">A3.1     Sources of </w:t>
            </w:r>
            <w:r>
              <w:rPr>
                <w:rStyle w:val="Hyperlink"/>
              </w:rPr>
              <w:t>i</w:t>
            </w:r>
            <w:r w:rsidRPr="005D75C8">
              <w:rPr>
                <w:rStyle w:val="Hyperlink"/>
              </w:rPr>
              <w:t>nformation</w:t>
            </w:r>
            <w:r>
              <w:rPr>
                <w:webHidden/>
              </w:rPr>
              <w:tab/>
            </w:r>
            <w:r>
              <w:rPr>
                <w:webHidden/>
              </w:rPr>
              <w:fldChar w:fldCharType="begin"/>
            </w:r>
            <w:r>
              <w:rPr>
                <w:webHidden/>
              </w:rPr>
              <w:instrText xml:space="preserve"> PAGEREF _Toc240987349 \h </w:instrText>
            </w:r>
            <w:r>
              <w:rPr>
                <w:webHidden/>
              </w:rPr>
            </w:r>
            <w:r>
              <w:rPr>
                <w:webHidden/>
              </w:rPr>
              <w:fldChar w:fldCharType="separate"/>
            </w:r>
            <w:r w:rsidR="006E18F6">
              <w:rPr>
                <w:webHidden/>
              </w:rPr>
              <w:t>73</w:t>
            </w:r>
            <w:r>
              <w:rPr>
                <w:webHidden/>
              </w:rPr>
              <w:fldChar w:fldCharType="end"/>
            </w:r>
          </w:hyperlink>
        </w:p>
        <w:p w14:paraId="05368200" w14:textId="7E878E11" w:rsidR="0032568B" w:rsidRPr="00771C82" w:rsidRDefault="0032568B">
          <w:pPr>
            <w:pStyle w:val="TOC2"/>
            <w:rPr>
              <w:rFonts w:eastAsiaTheme="minorEastAsia"/>
              <w:kern w:val="2"/>
              <w:sz w:val="24"/>
              <w:szCs w:val="24"/>
              <w:lang w:val="pt-BR" w:eastAsia="pt-BR"/>
              <w14:ligatures w14:val="standardContextual"/>
            </w:rPr>
          </w:pPr>
          <w:hyperlink w:anchor="_Toc240987350" w:history="1">
            <w:r w:rsidRPr="00771C82">
              <w:rPr>
                <w:rStyle w:val="Hyperlink"/>
              </w:rPr>
              <w:t>A3.2</w:t>
            </w:r>
            <w:r w:rsidRPr="00771C82">
              <w:rPr>
                <w:rFonts w:eastAsiaTheme="minorEastAsia"/>
                <w:kern w:val="2"/>
                <w:sz w:val="24"/>
                <w:szCs w:val="24"/>
                <w:lang w:val="pt-BR" w:eastAsia="pt-BR"/>
                <w14:ligatures w14:val="standardContextual"/>
              </w:rPr>
              <w:tab/>
            </w:r>
            <w:r w:rsidRPr="00771C82">
              <w:rPr>
                <w:rStyle w:val="Hyperlink"/>
              </w:rPr>
              <w:t xml:space="preserve">HFC Phase-down </w:t>
            </w:r>
            <w:r>
              <w:rPr>
                <w:rStyle w:val="Hyperlink"/>
              </w:rPr>
              <w:t>f</w:t>
            </w:r>
            <w:r w:rsidRPr="00771C82">
              <w:rPr>
                <w:rStyle w:val="Hyperlink"/>
              </w:rPr>
              <w:t xml:space="preserve">unding </w:t>
            </w:r>
            <w:r>
              <w:rPr>
                <w:rStyle w:val="Hyperlink"/>
              </w:rPr>
              <w:t>m</w:t>
            </w:r>
            <w:r w:rsidRPr="00771C82">
              <w:rPr>
                <w:rStyle w:val="Hyperlink"/>
              </w:rPr>
              <w:t xml:space="preserve">ethodology for the </w:t>
            </w:r>
            <w:r>
              <w:rPr>
                <w:rStyle w:val="Hyperlink"/>
              </w:rPr>
              <w:t>c</w:t>
            </w:r>
            <w:r w:rsidRPr="00771C82">
              <w:rPr>
                <w:rStyle w:val="Hyperlink"/>
              </w:rPr>
              <w:t xml:space="preserve">onsumption </w:t>
            </w:r>
            <w:r>
              <w:rPr>
                <w:rStyle w:val="Hyperlink"/>
              </w:rPr>
              <w:t>s</w:t>
            </w:r>
            <w:r w:rsidRPr="00771C82">
              <w:rPr>
                <w:rStyle w:val="Hyperlink"/>
              </w:rPr>
              <w:t>ector</w:t>
            </w:r>
            <w:r w:rsidRPr="00771C82">
              <w:rPr>
                <w:webHidden/>
              </w:rPr>
              <w:tab/>
            </w:r>
            <w:r w:rsidRPr="00771C82">
              <w:rPr>
                <w:webHidden/>
              </w:rPr>
              <w:fldChar w:fldCharType="begin"/>
            </w:r>
            <w:r w:rsidRPr="00771C82">
              <w:rPr>
                <w:webHidden/>
              </w:rPr>
              <w:instrText xml:space="preserve"> PAGEREF _Toc240987350 \h </w:instrText>
            </w:r>
            <w:r w:rsidRPr="00771C82">
              <w:rPr>
                <w:webHidden/>
              </w:rPr>
            </w:r>
            <w:r w:rsidRPr="00771C82">
              <w:rPr>
                <w:webHidden/>
              </w:rPr>
              <w:fldChar w:fldCharType="separate"/>
            </w:r>
            <w:r w:rsidR="006E18F6">
              <w:rPr>
                <w:webHidden/>
              </w:rPr>
              <w:t>73</w:t>
            </w:r>
            <w:r w:rsidRPr="00771C82">
              <w:rPr>
                <w:webHidden/>
              </w:rPr>
              <w:fldChar w:fldCharType="end"/>
            </w:r>
          </w:hyperlink>
        </w:p>
        <w:p w14:paraId="1725EC21" w14:textId="31B71FE0" w:rsidR="0032568B" w:rsidRPr="00771C82" w:rsidRDefault="0032568B">
          <w:pPr>
            <w:pStyle w:val="TOC2"/>
            <w:rPr>
              <w:rFonts w:eastAsiaTheme="minorEastAsia"/>
              <w:kern w:val="2"/>
              <w:sz w:val="24"/>
              <w:szCs w:val="24"/>
              <w:lang w:val="pt-BR" w:eastAsia="pt-BR"/>
              <w14:ligatures w14:val="standardContextual"/>
            </w:rPr>
          </w:pPr>
          <w:hyperlink w:anchor="_Toc240987351" w:history="1">
            <w:r w:rsidRPr="00771C82">
              <w:rPr>
                <w:rStyle w:val="Hyperlink"/>
              </w:rPr>
              <w:t>A3.3</w:t>
            </w:r>
            <w:r w:rsidRPr="00771C82">
              <w:rPr>
                <w:rFonts w:eastAsiaTheme="minorEastAsia"/>
                <w:kern w:val="2"/>
                <w:sz w:val="24"/>
                <w:szCs w:val="24"/>
                <w:lang w:val="pt-BR" w:eastAsia="pt-BR"/>
                <w14:ligatures w14:val="standardContextual"/>
              </w:rPr>
              <w:tab/>
            </w:r>
            <w:r w:rsidRPr="00771C82">
              <w:rPr>
                <w:rStyle w:val="Hyperlink"/>
              </w:rPr>
              <w:t xml:space="preserve"> HFC S</w:t>
            </w:r>
            <w:r>
              <w:rPr>
                <w:rStyle w:val="Hyperlink"/>
              </w:rPr>
              <w:t>cenario</w:t>
            </w:r>
            <w:r w:rsidRPr="00771C82">
              <w:rPr>
                <w:rStyle w:val="Hyperlink"/>
              </w:rPr>
              <w:t xml:space="preserve"> 1 updated estimated funding</w:t>
            </w:r>
            <w:r w:rsidRPr="00771C82">
              <w:rPr>
                <w:webHidden/>
              </w:rPr>
              <w:tab/>
            </w:r>
            <w:r w:rsidRPr="00771C82">
              <w:rPr>
                <w:webHidden/>
              </w:rPr>
              <w:fldChar w:fldCharType="begin"/>
            </w:r>
            <w:r w:rsidRPr="00771C82">
              <w:rPr>
                <w:webHidden/>
              </w:rPr>
              <w:instrText xml:space="preserve"> PAGEREF _Toc240987351 \h </w:instrText>
            </w:r>
            <w:r w:rsidRPr="00771C82">
              <w:rPr>
                <w:webHidden/>
              </w:rPr>
            </w:r>
            <w:r w:rsidRPr="00771C82">
              <w:rPr>
                <w:webHidden/>
              </w:rPr>
              <w:fldChar w:fldCharType="separate"/>
            </w:r>
            <w:r w:rsidR="006E18F6">
              <w:rPr>
                <w:webHidden/>
              </w:rPr>
              <w:t>79</w:t>
            </w:r>
            <w:r w:rsidRPr="00771C82">
              <w:rPr>
                <w:webHidden/>
              </w:rPr>
              <w:fldChar w:fldCharType="end"/>
            </w:r>
          </w:hyperlink>
        </w:p>
        <w:p w14:paraId="24E07552" w14:textId="46234C0E" w:rsidR="0032568B" w:rsidRPr="00771C82" w:rsidRDefault="0032568B">
          <w:pPr>
            <w:pStyle w:val="TOC2"/>
            <w:rPr>
              <w:rFonts w:eastAsiaTheme="minorEastAsia"/>
              <w:kern w:val="2"/>
              <w:sz w:val="24"/>
              <w:szCs w:val="24"/>
              <w:lang w:val="pt-BR" w:eastAsia="pt-BR"/>
              <w14:ligatures w14:val="standardContextual"/>
            </w:rPr>
          </w:pPr>
          <w:hyperlink w:anchor="_Toc240987352" w:history="1">
            <w:r w:rsidRPr="00771C82">
              <w:rPr>
                <w:rStyle w:val="Hyperlink"/>
              </w:rPr>
              <w:t>A3.4</w:t>
            </w:r>
            <w:r w:rsidRPr="00771C82">
              <w:rPr>
                <w:rFonts w:eastAsiaTheme="minorEastAsia"/>
                <w:kern w:val="2"/>
                <w:sz w:val="24"/>
                <w:szCs w:val="24"/>
                <w:lang w:val="pt-BR" w:eastAsia="pt-BR"/>
                <w14:ligatures w14:val="standardContextual"/>
              </w:rPr>
              <w:tab/>
            </w:r>
            <w:r w:rsidRPr="00771C82">
              <w:rPr>
                <w:rStyle w:val="Hyperlink"/>
              </w:rPr>
              <w:t xml:space="preserve">HFC </w:t>
            </w:r>
            <w:r>
              <w:rPr>
                <w:rStyle w:val="Hyperlink"/>
              </w:rPr>
              <w:t>S</w:t>
            </w:r>
            <w:r w:rsidRPr="00771C82">
              <w:rPr>
                <w:rStyle w:val="Hyperlink"/>
              </w:rPr>
              <w:t>cenario 2 updated estimated funding</w:t>
            </w:r>
            <w:r w:rsidRPr="00771C82">
              <w:rPr>
                <w:webHidden/>
              </w:rPr>
              <w:tab/>
            </w:r>
            <w:r w:rsidRPr="00771C82">
              <w:rPr>
                <w:webHidden/>
              </w:rPr>
              <w:fldChar w:fldCharType="begin"/>
            </w:r>
            <w:r w:rsidRPr="00771C82">
              <w:rPr>
                <w:webHidden/>
              </w:rPr>
              <w:instrText xml:space="preserve"> PAGEREF _Toc240987352 \h </w:instrText>
            </w:r>
            <w:r w:rsidRPr="00771C82">
              <w:rPr>
                <w:webHidden/>
              </w:rPr>
            </w:r>
            <w:r w:rsidRPr="00771C82">
              <w:rPr>
                <w:webHidden/>
              </w:rPr>
              <w:fldChar w:fldCharType="separate"/>
            </w:r>
            <w:r w:rsidR="006E18F6">
              <w:rPr>
                <w:webHidden/>
              </w:rPr>
              <w:t>83</w:t>
            </w:r>
            <w:r w:rsidRPr="00771C82">
              <w:rPr>
                <w:webHidden/>
              </w:rPr>
              <w:fldChar w:fldCharType="end"/>
            </w:r>
          </w:hyperlink>
        </w:p>
        <w:p w14:paraId="5201A1A1" w14:textId="196871AE" w:rsidR="0032568B" w:rsidRPr="00771C82" w:rsidRDefault="0032568B">
          <w:pPr>
            <w:pStyle w:val="TOC2"/>
            <w:rPr>
              <w:rFonts w:eastAsiaTheme="minorEastAsia"/>
              <w:kern w:val="2"/>
              <w:sz w:val="24"/>
              <w:szCs w:val="24"/>
              <w:lang w:val="pt-BR" w:eastAsia="pt-BR"/>
              <w14:ligatures w14:val="standardContextual"/>
            </w:rPr>
          </w:pPr>
          <w:hyperlink w:anchor="_Toc240987353" w:history="1">
            <w:r w:rsidRPr="00771C82">
              <w:rPr>
                <w:rStyle w:val="Hyperlink"/>
              </w:rPr>
              <w:t>A3.5</w:t>
            </w:r>
            <w:r w:rsidRPr="00771C82">
              <w:rPr>
                <w:rFonts w:eastAsiaTheme="minorEastAsia"/>
                <w:kern w:val="2"/>
                <w:sz w:val="24"/>
                <w:szCs w:val="24"/>
                <w:lang w:val="pt-BR" w:eastAsia="pt-BR"/>
                <w14:ligatures w14:val="standardContextual"/>
              </w:rPr>
              <w:tab/>
            </w:r>
            <w:r w:rsidRPr="00771C82">
              <w:rPr>
                <w:rStyle w:val="Hyperlink"/>
              </w:rPr>
              <w:t xml:space="preserve">Verification: </w:t>
            </w:r>
            <w:r>
              <w:rPr>
                <w:rStyle w:val="Hyperlink"/>
              </w:rPr>
              <w:t>C</w:t>
            </w:r>
            <w:r w:rsidRPr="00771C82">
              <w:rPr>
                <w:rStyle w:val="Hyperlink"/>
              </w:rPr>
              <w:t>onsumption sector</w:t>
            </w:r>
            <w:r w:rsidRPr="00771C82">
              <w:rPr>
                <w:webHidden/>
              </w:rPr>
              <w:tab/>
            </w:r>
            <w:r w:rsidRPr="00771C82">
              <w:rPr>
                <w:webHidden/>
              </w:rPr>
              <w:fldChar w:fldCharType="begin"/>
            </w:r>
            <w:r w:rsidRPr="00771C82">
              <w:rPr>
                <w:webHidden/>
              </w:rPr>
              <w:instrText xml:space="preserve"> PAGEREF _Toc240987353 \h </w:instrText>
            </w:r>
            <w:r w:rsidRPr="00771C82">
              <w:rPr>
                <w:webHidden/>
              </w:rPr>
            </w:r>
            <w:r w:rsidRPr="00771C82">
              <w:rPr>
                <w:webHidden/>
              </w:rPr>
              <w:fldChar w:fldCharType="separate"/>
            </w:r>
            <w:r w:rsidR="006E18F6">
              <w:rPr>
                <w:webHidden/>
              </w:rPr>
              <w:t>87</w:t>
            </w:r>
            <w:r w:rsidRPr="00771C82">
              <w:rPr>
                <w:webHidden/>
              </w:rPr>
              <w:fldChar w:fldCharType="end"/>
            </w:r>
          </w:hyperlink>
        </w:p>
        <w:p w14:paraId="23A28B56" w14:textId="26B39E22" w:rsidR="0032568B" w:rsidRPr="00771C82" w:rsidRDefault="0032568B">
          <w:pPr>
            <w:pStyle w:val="TOC2"/>
            <w:rPr>
              <w:rFonts w:eastAsiaTheme="minorEastAsia"/>
              <w:kern w:val="2"/>
              <w:sz w:val="24"/>
              <w:szCs w:val="24"/>
              <w:lang w:val="pt-BR" w:eastAsia="pt-BR"/>
              <w14:ligatures w14:val="standardContextual"/>
            </w:rPr>
          </w:pPr>
          <w:hyperlink w:anchor="_Toc240987354" w:history="1">
            <w:r w:rsidRPr="00771C82">
              <w:rPr>
                <w:rStyle w:val="Hyperlink"/>
              </w:rPr>
              <w:t>A3.6</w:t>
            </w:r>
            <w:r w:rsidRPr="00771C82">
              <w:rPr>
                <w:rFonts w:eastAsiaTheme="minorEastAsia"/>
                <w:kern w:val="2"/>
                <w:sz w:val="24"/>
                <w:szCs w:val="24"/>
                <w:lang w:val="pt-BR" w:eastAsia="pt-BR"/>
                <w14:ligatures w14:val="standardContextual"/>
              </w:rPr>
              <w:tab/>
              <w:t>P</w:t>
            </w:r>
            <w:r w:rsidRPr="00771C82">
              <w:rPr>
                <w:rStyle w:val="Hyperlink"/>
              </w:rPr>
              <w:t>roject preparation: consumption sector</w:t>
            </w:r>
            <w:r w:rsidRPr="00771C82">
              <w:rPr>
                <w:webHidden/>
              </w:rPr>
              <w:tab/>
            </w:r>
            <w:r w:rsidRPr="00771C82">
              <w:rPr>
                <w:webHidden/>
              </w:rPr>
              <w:fldChar w:fldCharType="begin"/>
            </w:r>
            <w:r w:rsidRPr="00771C82">
              <w:rPr>
                <w:webHidden/>
              </w:rPr>
              <w:instrText xml:space="preserve"> PAGEREF _Toc240987354 \h </w:instrText>
            </w:r>
            <w:r w:rsidRPr="00771C82">
              <w:rPr>
                <w:webHidden/>
              </w:rPr>
            </w:r>
            <w:r w:rsidRPr="00771C82">
              <w:rPr>
                <w:webHidden/>
              </w:rPr>
              <w:fldChar w:fldCharType="separate"/>
            </w:r>
            <w:r w:rsidR="006E18F6">
              <w:rPr>
                <w:webHidden/>
              </w:rPr>
              <w:t>87</w:t>
            </w:r>
            <w:r w:rsidRPr="00771C82">
              <w:rPr>
                <w:webHidden/>
              </w:rPr>
              <w:fldChar w:fldCharType="end"/>
            </w:r>
          </w:hyperlink>
        </w:p>
        <w:p w14:paraId="2DC820A9" w14:textId="47A5AB78" w:rsidR="0032568B" w:rsidRPr="00771C82" w:rsidRDefault="0032568B">
          <w:pPr>
            <w:pStyle w:val="TOC2"/>
            <w:rPr>
              <w:rFonts w:eastAsiaTheme="minorEastAsia"/>
              <w:kern w:val="2"/>
              <w:sz w:val="24"/>
              <w:szCs w:val="24"/>
              <w:lang w:val="pt-BR" w:eastAsia="pt-BR"/>
              <w14:ligatures w14:val="standardContextual"/>
            </w:rPr>
          </w:pPr>
          <w:hyperlink w:anchor="_Toc240987355" w:history="1">
            <w:r w:rsidRPr="00771C82">
              <w:rPr>
                <w:rStyle w:val="Hyperlink"/>
              </w:rPr>
              <w:t>A3.7</w:t>
            </w:r>
            <w:r w:rsidRPr="00771C82">
              <w:rPr>
                <w:rFonts w:eastAsiaTheme="minorEastAsia"/>
                <w:kern w:val="2"/>
                <w:sz w:val="24"/>
                <w:szCs w:val="24"/>
                <w:lang w:val="pt-BR" w:eastAsia="pt-BR"/>
                <w14:ligatures w14:val="standardContextual"/>
              </w:rPr>
              <w:tab/>
              <w:t>E</w:t>
            </w:r>
            <w:r w:rsidRPr="00771C82">
              <w:rPr>
                <w:rStyle w:val="Hyperlink"/>
              </w:rPr>
              <w:t>nergy efficiency (decisions 91/65, 94/60, and 95/87)</w:t>
            </w:r>
            <w:r w:rsidRPr="00771C82">
              <w:rPr>
                <w:webHidden/>
              </w:rPr>
              <w:tab/>
            </w:r>
            <w:r w:rsidRPr="00771C82">
              <w:rPr>
                <w:webHidden/>
              </w:rPr>
              <w:fldChar w:fldCharType="begin"/>
            </w:r>
            <w:r w:rsidRPr="00771C82">
              <w:rPr>
                <w:webHidden/>
              </w:rPr>
              <w:instrText xml:space="preserve"> PAGEREF _Toc240987355 \h </w:instrText>
            </w:r>
            <w:r w:rsidRPr="00771C82">
              <w:rPr>
                <w:webHidden/>
              </w:rPr>
            </w:r>
            <w:r w:rsidRPr="00771C82">
              <w:rPr>
                <w:webHidden/>
              </w:rPr>
              <w:fldChar w:fldCharType="separate"/>
            </w:r>
            <w:r w:rsidR="006E18F6">
              <w:rPr>
                <w:webHidden/>
              </w:rPr>
              <w:t>87</w:t>
            </w:r>
            <w:r w:rsidRPr="00771C82">
              <w:rPr>
                <w:webHidden/>
              </w:rPr>
              <w:fldChar w:fldCharType="end"/>
            </w:r>
          </w:hyperlink>
        </w:p>
        <w:p w14:paraId="7199B2A2" w14:textId="4144B41C" w:rsidR="0032568B" w:rsidRPr="00771C82" w:rsidRDefault="0032568B">
          <w:pPr>
            <w:pStyle w:val="TOC2"/>
            <w:rPr>
              <w:rFonts w:eastAsiaTheme="minorEastAsia"/>
              <w:kern w:val="2"/>
              <w:sz w:val="24"/>
              <w:szCs w:val="24"/>
              <w:lang w:val="pt-BR" w:eastAsia="pt-BR"/>
              <w14:ligatures w14:val="standardContextual"/>
            </w:rPr>
          </w:pPr>
          <w:hyperlink w:anchor="_Toc240987356" w:history="1">
            <w:r w:rsidRPr="00771C82">
              <w:rPr>
                <w:rStyle w:val="Hyperlink"/>
              </w:rPr>
              <w:t>A3.8</w:t>
            </w:r>
            <w:r w:rsidRPr="00771C82">
              <w:rPr>
                <w:rFonts w:eastAsiaTheme="minorEastAsia"/>
                <w:kern w:val="2"/>
                <w:sz w:val="24"/>
                <w:szCs w:val="24"/>
                <w:lang w:val="pt-BR" w:eastAsia="pt-BR"/>
                <w14:ligatures w14:val="standardContextual"/>
              </w:rPr>
              <w:tab/>
              <w:t>P</w:t>
            </w:r>
            <w:r w:rsidRPr="00771C82">
              <w:rPr>
                <w:rStyle w:val="Hyperlink"/>
              </w:rPr>
              <w:t>ilot projects to enhance regional atmospheric monitoring</w:t>
            </w:r>
            <w:r w:rsidRPr="00771C82">
              <w:rPr>
                <w:webHidden/>
              </w:rPr>
              <w:tab/>
            </w:r>
            <w:r w:rsidRPr="00771C82">
              <w:rPr>
                <w:webHidden/>
              </w:rPr>
              <w:fldChar w:fldCharType="begin"/>
            </w:r>
            <w:r w:rsidRPr="00771C82">
              <w:rPr>
                <w:webHidden/>
              </w:rPr>
              <w:instrText xml:space="preserve"> PAGEREF _Toc240987356 \h </w:instrText>
            </w:r>
            <w:r w:rsidRPr="00771C82">
              <w:rPr>
                <w:webHidden/>
              </w:rPr>
            </w:r>
            <w:r w:rsidRPr="00771C82">
              <w:rPr>
                <w:webHidden/>
              </w:rPr>
              <w:fldChar w:fldCharType="separate"/>
            </w:r>
            <w:r w:rsidR="006E18F6">
              <w:rPr>
                <w:webHidden/>
              </w:rPr>
              <w:t>89</w:t>
            </w:r>
            <w:r w:rsidRPr="00771C82">
              <w:rPr>
                <w:webHidden/>
              </w:rPr>
              <w:fldChar w:fldCharType="end"/>
            </w:r>
          </w:hyperlink>
        </w:p>
        <w:p w14:paraId="3066D661" w14:textId="546CEE97" w:rsidR="0032568B" w:rsidRPr="00771C82" w:rsidRDefault="0032568B">
          <w:pPr>
            <w:pStyle w:val="TOC2"/>
            <w:rPr>
              <w:rFonts w:eastAsiaTheme="minorEastAsia"/>
              <w:kern w:val="2"/>
              <w:sz w:val="24"/>
              <w:szCs w:val="24"/>
              <w:lang w:val="pt-BR" w:eastAsia="pt-BR"/>
              <w14:ligatures w14:val="standardContextual"/>
            </w:rPr>
          </w:pPr>
          <w:hyperlink w:anchor="_Toc240987357" w:history="1">
            <w:r w:rsidRPr="00771C82">
              <w:rPr>
                <w:rStyle w:val="Hyperlink"/>
              </w:rPr>
              <w:t>A3.9</w:t>
            </w:r>
            <w:r w:rsidRPr="00771C82">
              <w:rPr>
                <w:rFonts w:eastAsiaTheme="minorEastAsia"/>
                <w:kern w:val="2"/>
                <w:sz w:val="24"/>
                <w:szCs w:val="24"/>
                <w:lang w:val="pt-BR" w:eastAsia="pt-BR"/>
                <w14:ligatures w14:val="standardContextual"/>
              </w:rPr>
              <w:tab/>
              <w:t>U</w:t>
            </w:r>
            <w:r w:rsidRPr="00771C82">
              <w:rPr>
                <w:rStyle w:val="Hyperlink"/>
              </w:rPr>
              <w:t>pdated total estimated funding requirement for the HFC consumption sector</w:t>
            </w:r>
            <w:r w:rsidRPr="00771C82">
              <w:rPr>
                <w:webHidden/>
              </w:rPr>
              <w:tab/>
            </w:r>
            <w:r w:rsidRPr="00771C82">
              <w:rPr>
                <w:webHidden/>
              </w:rPr>
              <w:fldChar w:fldCharType="begin"/>
            </w:r>
            <w:r w:rsidRPr="00771C82">
              <w:rPr>
                <w:webHidden/>
              </w:rPr>
              <w:instrText xml:space="preserve"> PAGEREF _Toc240987357 \h </w:instrText>
            </w:r>
            <w:r w:rsidRPr="00771C82">
              <w:rPr>
                <w:webHidden/>
              </w:rPr>
            </w:r>
            <w:r w:rsidRPr="00771C82">
              <w:rPr>
                <w:webHidden/>
              </w:rPr>
              <w:fldChar w:fldCharType="separate"/>
            </w:r>
            <w:r w:rsidR="006E18F6">
              <w:rPr>
                <w:webHidden/>
              </w:rPr>
              <w:t>91</w:t>
            </w:r>
            <w:r w:rsidRPr="00771C82">
              <w:rPr>
                <w:webHidden/>
              </w:rPr>
              <w:fldChar w:fldCharType="end"/>
            </w:r>
          </w:hyperlink>
        </w:p>
        <w:p w14:paraId="743B25DF" w14:textId="151B4773"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58" w:history="1">
            <w:r w:rsidRPr="005D75C8">
              <w:rPr>
                <w:rStyle w:val="Hyperlink"/>
              </w:rPr>
              <w:t>Annex 4: MLFS information to support new scenario 1c : CE based on average funding levels for each a5 party over the past six years</w:t>
            </w:r>
            <w:r>
              <w:rPr>
                <w:webHidden/>
              </w:rPr>
              <w:tab/>
            </w:r>
            <w:r>
              <w:rPr>
                <w:webHidden/>
              </w:rPr>
              <w:fldChar w:fldCharType="begin"/>
            </w:r>
            <w:r>
              <w:rPr>
                <w:webHidden/>
              </w:rPr>
              <w:instrText xml:space="preserve"> PAGEREF _Toc240987358 \h </w:instrText>
            </w:r>
            <w:r>
              <w:rPr>
                <w:webHidden/>
              </w:rPr>
            </w:r>
            <w:r>
              <w:rPr>
                <w:webHidden/>
              </w:rPr>
              <w:fldChar w:fldCharType="separate"/>
            </w:r>
            <w:r w:rsidR="006E18F6">
              <w:rPr>
                <w:webHidden/>
              </w:rPr>
              <w:t>95</w:t>
            </w:r>
            <w:r>
              <w:rPr>
                <w:webHidden/>
              </w:rPr>
              <w:fldChar w:fldCharType="end"/>
            </w:r>
          </w:hyperlink>
        </w:p>
        <w:p w14:paraId="1C28C5AA" w14:textId="04AE4D03"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59" w:history="1">
            <w:r w:rsidRPr="005D75C8">
              <w:rPr>
                <w:rStyle w:val="Hyperlink"/>
              </w:rPr>
              <w:t>ANNEX 5: Fixed-cost and activity-based scale-up analyses</w:t>
            </w:r>
            <w:r>
              <w:rPr>
                <w:webHidden/>
              </w:rPr>
              <w:tab/>
            </w:r>
            <w:r>
              <w:rPr>
                <w:webHidden/>
              </w:rPr>
              <w:fldChar w:fldCharType="begin"/>
            </w:r>
            <w:r>
              <w:rPr>
                <w:webHidden/>
              </w:rPr>
              <w:instrText xml:space="preserve"> PAGEREF _Toc240987359 \h </w:instrText>
            </w:r>
            <w:r>
              <w:rPr>
                <w:webHidden/>
              </w:rPr>
            </w:r>
            <w:r>
              <w:rPr>
                <w:webHidden/>
              </w:rPr>
              <w:fldChar w:fldCharType="separate"/>
            </w:r>
            <w:r w:rsidR="006E18F6">
              <w:rPr>
                <w:webHidden/>
              </w:rPr>
              <w:t>97</w:t>
            </w:r>
            <w:r>
              <w:rPr>
                <w:webHidden/>
              </w:rPr>
              <w:fldChar w:fldCharType="end"/>
            </w:r>
          </w:hyperlink>
        </w:p>
        <w:p w14:paraId="6333C2BA" w14:textId="1C22DE35"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0" w:history="1">
            <w:r w:rsidRPr="005D75C8">
              <w:rPr>
                <w:rStyle w:val="Hyperlink"/>
              </w:rPr>
              <w:t xml:space="preserve">A5.1 </w:t>
            </w:r>
            <w:r>
              <w:rPr>
                <w:rFonts w:asciiTheme="minorHAnsi" w:eastAsiaTheme="minorEastAsia" w:hAnsiTheme="minorHAnsi" w:cstheme="minorBidi"/>
                <w:kern w:val="2"/>
                <w:sz w:val="24"/>
                <w:szCs w:val="24"/>
                <w:lang w:val="pt-BR" w:eastAsia="pt-BR"/>
                <w14:ligatures w14:val="standardContextual"/>
              </w:rPr>
              <w:tab/>
            </w:r>
            <w:r w:rsidRPr="005D75C8">
              <w:rPr>
                <w:rStyle w:val="Hyperlink"/>
              </w:rPr>
              <w:t>Fixed-cost analysis</w:t>
            </w:r>
            <w:r>
              <w:rPr>
                <w:webHidden/>
              </w:rPr>
              <w:tab/>
            </w:r>
            <w:r>
              <w:rPr>
                <w:webHidden/>
              </w:rPr>
              <w:fldChar w:fldCharType="begin"/>
            </w:r>
            <w:r>
              <w:rPr>
                <w:webHidden/>
              </w:rPr>
              <w:instrText xml:space="preserve"> PAGEREF _Toc240987360 \h </w:instrText>
            </w:r>
            <w:r>
              <w:rPr>
                <w:webHidden/>
              </w:rPr>
            </w:r>
            <w:r>
              <w:rPr>
                <w:webHidden/>
              </w:rPr>
              <w:fldChar w:fldCharType="separate"/>
            </w:r>
            <w:r w:rsidR="006E18F6">
              <w:rPr>
                <w:webHidden/>
              </w:rPr>
              <w:t>97</w:t>
            </w:r>
            <w:r>
              <w:rPr>
                <w:webHidden/>
              </w:rPr>
              <w:fldChar w:fldCharType="end"/>
            </w:r>
          </w:hyperlink>
        </w:p>
        <w:p w14:paraId="53C24DB5" w14:textId="62DD1CFE"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1" w:history="1">
            <w:r w:rsidRPr="005D75C8">
              <w:rPr>
                <w:rStyle w:val="Hyperlink"/>
              </w:rPr>
              <w:t>A5.2</w:t>
            </w:r>
            <w:r>
              <w:rPr>
                <w:rStyle w:val="Hyperlink"/>
              </w:rPr>
              <w:tab/>
            </w:r>
            <w:r w:rsidRPr="005D75C8">
              <w:rPr>
                <w:rStyle w:val="Hyperlink"/>
              </w:rPr>
              <w:t>Activity-based scale-up analysis</w:t>
            </w:r>
            <w:r>
              <w:rPr>
                <w:webHidden/>
              </w:rPr>
              <w:tab/>
            </w:r>
            <w:r>
              <w:rPr>
                <w:webHidden/>
              </w:rPr>
              <w:fldChar w:fldCharType="begin"/>
            </w:r>
            <w:r>
              <w:rPr>
                <w:webHidden/>
              </w:rPr>
              <w:instrText xml:space="preserve"> PAGEREF _Toc240987361 \h </w:instrText>
            </w:r>
            <w:r>
              <w:rPr>
                <w:webHidden/>
              </w:rPr>
            </w:r>
            <w:r>
              <w:rPr>
                <w:webHidden/>
              </w:rPr>
              <w:fldChar w:fldCharType="separate"/>
            </w:r>
            <w:r w:rsidR="006E18F6">
              <w:rPr>
                <w:webHidden/>
              </w:rPr>
              <w:t>98</w:t>
            </w:r>
            <w:r>
              <w:rPr>
                <w:webHidden/>
              </w:rPr>
              <w:fldChar w:fldCharType="end"/>
            </w:r>
          </w:hyperlink>
        </w:p>
        <w:p w14:paraId="602C076C" w14:textId="15996820"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2" w:history="1">
            <w:r w:rsidRPr="005D75C8">
              <w:rPr>
                <w:rStyle w:val="Hyperlink"/>
              </w:rPr>
              <w:t>A5.3</w:t>
            </w:r>
            <w:r>
              <w:rPr>
                <w:rStyle w:val="Hyperlink"/>
              </w:rPr>
              <w:tab/>
            </w:r>
            <w:r w:rsidRPr="005D75C8">
              <w:rPr>
                <w:rStyle w:val="Hyperlink"/>
              </w:rPr>
              <w:t>Bracket-level calculations</w:t>
            </w:r>
            <w:r>
              <w:rPr>
                <w:webHidden/>
              </w:rPr>
              <w:tab/>
            </w:r>
            <w:r>
              <w:rPr>
                <w:webHidden/>
              </w:rPr>
              <w:fldChar w:fldCharType="begin"/>
            </w:r>
            <w:r>
              <w:rPr>
                <w:webHidden/>
              </w:rPr>
              <w:instrText xml:space="preserve"> PAGEREF _Toc240987362 \h </w:instrText>
            </w:r>
            <w:r>
              <w:rPr>
                <w:webHidden/>
              </w:rPr>
            </w:r>
            <w:r>
              <w:rPr>
                <w:webHidden/>
              </w:rPr>
              <w:fldChar w:fldCharType="separate"/>
            </w:r>
            <w:r w:rsidR="006E18F6">
              <w:rPr>
                <w:webHidden/>
              </w:rPr>
              <w:t>100</w:t>
            </w:r>
            <w:r>
              <w:rPr>
                <w:webHidden/>
              </w:rPr>
              <w:fldChar w:fldCharType="end"/>
            </w:r>
          </w:hyperlink>
        </w:p>
        <w:p w14:paraId="14259EF1" w14:textId="1FAAFB42"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3" w:history="1">
            <w:r w:rsidRPr="005D75C8">
              <w:rPr>
                <w:rStyle w:val="Hyperlink"/>
              </w:rPr>
              <w:t>A5.4</w:t>
            </w:r>
            <w:r>
              <w:rPr>
                <w:rStyle w:val="Hyperlink"/>
              </w:rPr>
              <w:tab/>
            </w:r>
            <w:r w:rsidRPr="005D75C8">
              <w:rPr>
                <w:rStyle w:val="Hyperlink"/>
              </w:rPr>
              <w:t>Aggregate results and interpretation</w:t>
            </w:r>
            <w:r>
              <w:rPr>
                <w:webHidden/>
              </w:rPr>
              <w:tab/>
            </w:r>
            <w:r>
              <w:rPr>
                <w:webHidden/>
              </w:rPr>
              <w:fldChar w:fldCharType="begin"/>
            </w:r>
            <w:r>
              <w:rPr>
                <w:webHidden/>
              </w:rPr>
              <w:instrText xml:space="preserve"> PAGEREF _Toc240987363 \h </w:instrText>
            </w:r>
            <w:r>
              <w:rPr>
                <w:webHidden/>
              </w:rPr>
            </w:r>
            <w:r>
              <w:rPr>
                <w:webHidden/>
              </w:rPr>
              <w:fldChar w:fldCharType="separate"/>
            </w:r>
            <w:r w:rsidR="006E18F6">
              <w:rPr>
                <w:webHidden/>
              </w:rPr>
              <w:t>103</w:t>
            </w:r>
            <w:r>
              <w:rPr>
                <w:webHidden/>
              </w:rPr>
              <w:fldChar w:fldCharType="end"/>
            </w:r>
          </w:hyperlink>
        </w:p>
        <w:p w14:paraId="024F3BD3" w14:textId="4AAC12DF"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64" w:history="1">
            <w:r w:rsidRPr="005D75C8">
              <w:rPr>
                <w:rStyle w:val="Hyperlink"/>
              </w:rPr>
              <w:t>ANNEX 6: Description of LRM calculation model</w:t>
            </w:r>
            <w:r>
              <w:rPr>
                <w:webHidden/>
              </w:rPr>
              <w:tab/>
            </w:r>
            <w:r>
              <w:rPr>
                <w:webHidden/>
              </w:rPr>
              <w:fldChar w:fldCharType="begin"/>
            </w:r>
            <w:r>
              <w:rPr>
                <w:webHidden/>
              </w:rPr>
              <w:instrText xml:space="preserve"> PAGEREF _Toc240987364 \h </w:instrText>
            </w:r>
            <w:r>
              <w:rPr>
                <w:webHidden/>
              </w:rPr>
            </w:r>
            <w:r>
              <w:rPr>
                <w:webHidden/>
              </w:rPr>
              <w:fldChar w:fldCharType="separate"/>
            </w:r>
            <w:r w:rsidR="006E18F6">
              <w:rPr>
                <w:webHidden/>
              </w:rPr>
              <w:t>105</w:t>
            </w:r>
            <w:r>
              <w:rPr>
                <w:webHidden/>
              </w:rPr>
              <w:fldChar w:fldCharType="end"/>
            </w:r>
          </w:hyperlink>
        </w:p>
        <w:p w14:paraId="34B6D0F0" w14:textId="2A0EE210"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5" w:history="1">
            <w:r w:rsidRPr="005D75C8">
              <w:rPr>
                <w:rStyle w:val="Hyperlink"/>
                <w:rFonts w:eastAsia="Calibri"/>
              </w:rPr>
              <w:t>A6.1</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rPr>
              <w:t>Module 1 – Recovery</w:t>
            </w:r>
            <w:r>
              <w:rPr>
                <w:webHidden/>
              </w:rPr>
              <w:tab/>
            </w:r>
            <w:r>
              <w:rPr>
                <w:webHidden/>
              </w:rPr>
              <w:fldChar w:fldCharType="begin"/>
            </w:r>
            <w:r>
              <w:rPr>
                <w:webHidden/>
              </w:rPr>
              <w:instrText xml:space="preserve"> PAGEREF _Toc240987365 \h </w:instrText>
            </w:r>
            <w:r>
              <w:rPr>
                <w:webHidden/>
              </w:rPr>
            </w:r>
            <w:r>
              <w:rPr>
                <w:webHidden/>
              </w:rPr>
              <w:fldChar w:fldCharType="separate"/>
            </w:r>
            <w:r w:rsidR="006E18F6">
              <w:rPr>
                <w:webHidden/>
              </w:rPr>
              <w:t>105</w:t>
            </w:r>
            <w:r>
              <w:rPr>
                <w:webHidden/>
              </w:rPr>
              <w:fldChar w:fldCharType="end"/>
            </w:r>
          </w:hyperlink>
        </w:p>
        <w:p w14:paraId="647A655F" w14:textId="684F6065"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6" w:history="1">
            <w:r w:rsidRPr="005D75C8">
              <w:rPr>
                <w:rStyle w:val="Hyperlink"/>
                <w:rFonts w:eastAsia="Calibri"/>
              </w:rPr>
              <w:t>A6.2</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rPr>
              <w:t>Module 2–Reclamation</w:t>
            </w:r>
            <w:r>
              <w:rPr>
                <w:webHidden/>
              </w:rPr>
              <w:tab/>
            </w:r>
            <w:r>
              <w:rPr>
                <w:webHidden/>
              </w:rPr>
              <w:fldChar w:fldCharType="begin"/>
            </w:r>
            <w:r>
              <w:rPr>
                <w:webHidden/>
              </w:rPr>
              <w:instrText xml:space="preserve"> PAGEREF _Toc240987366 \h </w:instrText>
            </w:r>
            <w:r>
              <w:rPr>
                <w:webHidden/>
              </w:rPr>
            </w:r>
            <w:r>
              <w:rPr>
                <w:webHidden/>
              </w:rPr>
              <w:fldChar w:fldCharType="separate"/>
            </w:r>
            <w:r w:rsidR="006E18F6">
              <w:rPr>
                <w:webHidden/>
              </w:rPr>
              <w:t>109</w:t>
            </w:r>
            <w:r>
              <w:rPr>
                <w:webHidden/>
              </w:rPr>
              <w:fldChar w:fldCharType="end"/>
            </w:r>
          </w:hyperlink>
        </w:p>
        <w:p w14:paraId="468FEAB8" w14:textId="4780387D" w:rsidR="0032568B" w:rsidRDefault="0032568B">
          <w:pPr>
            <w:pStyle w:val="TOC2"/>
            <w:rPr>
              <w:rFonts w:asciiTheme="minorHAnsi" w:eastAsiaTheme="minorEastAsia" w:hAnsiTheme="minorHAnsi" w:cstheme="minorBidi"/>
              <w:kern w:val="2"/>
              <w:sz w:val="24"/>
              <w:szCs w:val="24"/>
              <w:lang w:val="pt-BR" w:eastAsia="pt-BR"/>
              <w14:ligatures w14:val="standardContextual"/>
            </w:rPr>
          </w:pPr>
          <w:hyperlink w:anchor="_Toc240987367" w:history="1">
            <w:r w:rsidRPr="005D75C8">
              <w:rPr>
                <w:rStyle w:val="Hyperlink"/>
                <w:rFonts w:eastAsia="Calibri"/>
              </w:rPr>
              <w:t>A6.3</w:t>
            </w:r>
            <w:r>
              <w:rPr>
                <w:rFonts w:asciiTheme="minorHAnsi" w:eastAsiaTheme="minorEastAsia" w:hAnsiTheme="minorHAnsi" w:cstheme="minorBidi"/>
                <w:kern w:val="2"/>
                <w:sz w:val="24"/>
                <w:szCs w:val="24"/>
                <w:lang w:val="pt-BR" w:eastAsia="pt-BR"/>
                <w14:ligatures w14:val="standardContextual"/>
              </w:rPr>
              <w:tab/>
            </w:r>
            <w:r w:rsidRPr="005D75C8">
              <w:rPr>
                <w:rStyle w:val="Hyperlink"/>
                <w:rFonts w:eastAsia="Calibri"/>
              </w:rPr>
              <w:t>Module 3 – destruction - generates conditions for destruction, by enabling local facilities to destroy F-gases</w:t>
            </w:r>
            <w:r>
              <w:rPr>
                <w:webHidden/>
              </w:rPr>
              <w:tab/>
            </w:r>
            <w:r>
              <w:rPr>
                <w:webHidden/>
              </w:rPr>
              <w:fldChar w:fldCharType="begin"/>
            </w:r>
            <w:r>
              <w:rPr>
                <w:webHidden/>
              </w:rPr>
              <w:instrText xml:space="preserve"> PAGEREF _Toc240987367 \h </w:instrText>
            </w:r>
            <w:r>
              <w:rPr>
                <w:webHidden/>
              </w:rPr>
            </w:r>
            <w:r>
              <w:rPr>
                <w:webHidden/>
              </w:rPr>
              <w:fldChar w:fldCharType="separate"/>
            </w:r>
            <w:r w:rsidR="006E18F6">
              <w:rPr>
                <w:webHidden/>
              </w:rPr>
              <w:t>111</w:t>
            </w:r>
            <w:r>
              <w:rPr>
                <w:webHidden/>
              </w:rPr>
              <w:fldChar w:fldCharType="end"/>
            </w:r>
          </w:hyperlink>
        </w:p>
        <w:p w14:paraId="1A2C5C54" w14:textId="0F0B3F08" w:rsidR="0032568B" w:rsidRDefault="0032568B">
          <w:pPr>
            <w:pStyle w:val="TOC1"/>
            <w:rPr>
              <w:rFonts w:asciiTheme="minorHAnsi" w:eastAsiaTheme="minorEastAsia" w:hAnsiTheme="minorHAnsi" w:cstheme="minorBidi"/>
              <w:caps w:val="0"/>
              <w:kern w:val="2"/>
              <w:sz w:val="24"/>
              <w:szCs w:val="24"/>
              <w:lang w:val="pt-BR" w:eastAsia="pt-BR"/>
              <w14:ligatures w14:val="standardContextual"/>
            </w:rPr>
          </w:pPr>
          <w:hyperlink w:anchor="_Toc240987368" w:history="1">
            <w:r w:rsidRPr="005D75C8">
              <w:rPr>
                <w:rStyle w:val="Hyperlink"/>
              </w:rPr>
              <w:t>Annex 7: project preparation for kips and cost details</w:t>
            </w:r>
            <w:r>
              <w:rPr>
                <w:webHidden/>
              </w:rPr>
              <w:tab/>
            </w:r>
            <w:r>
              <w:rPr>
                <w:webHidden/>
              </w:rPr>
              <w:fldChar w:fldCharType="begin"/>
            </w:r>
            <w:r>
              <w:rPr>
                <w:webHidden/>
              </w:rPr>
              <w:instrText xml:space="preserve"> PAGEREF _Toc240987368 \h </w:instrText>
            </w:r>
            <w:r>
              <w:rPr>
                <w:webHidden/>
              </w:rPr>
            </w:r>
            <w:r>
              <w:rPr>
                <w:webHidden/>
              </w:rPr>
              <w:fldChar w:fldCharType="separate"/>
            </w:r>
            <w:r w:rsidR="006E18F6">
              <w:rPr>
                <w:webHidden/>
              </w:rPr>
              <w:t>115</w:t>
            </w:r>
            <w:r>
              <w:rPr>
                <w:webHidden/>
              </w:rPr>
              <w:fldChar w:fldCharType="end"/>
            </w:r>
          </w:hyperlink>
        </w:p>
        <w:p w14:paraId="32DEC0EF" w14:textId="77777777" w:rsidR="00C719C3" w:rsidRPr="00A81971" w:rsidRDefault="0032495C" w:rsidP="2E7655E2">
          <w:pPr>
            <w:rPr>
              <w:b/>
              <w:bCs/>
              <w:color w:val="FF0000"/>
            </w:rPr>
          </w:pPr>
          <w:r>
            <w:fldChar w:fldCharType="end"/>
          </w:r>
        </w:p>
      </w:sdtContent>
    </w:sdt>
    <w:bookmarkEnd w:id="124" w:displacedByCustomXml="prev"/>
    <w:bookmarkEnd w:id="3" w:displacedByCustomXml="prev"/>
    <w:p w14:paraId="269C5011" w14:textId="77777777" w:rsidR="00AB1063" w:rsidRPr="00A81971" w:rsidRDefault="0032495C" w:rsidP="00472565">
      <w:pPr>
        <w:spacing w:after="0"/>
        <w:rPr>
          <w:b/>
        </w:rPr>
      </w:pPr>
      <w:r w:rsidRPr="00A81971">
        <w:rPr>
          <w:b/>
        </w:rPr>
        <w:br w:type="page"/>
      </w:r>
      <w:r w:rsidR="00472565" w:rsidRPr="00A81971">
        <w:rPr>
          <w:b/>
        </w:rPr>
        <w:lastRenderedPageBreak/>
        <w:t>A</w:t>
      </w:r>
      <w:r w:rsidRPr="00A81971">
        <w:rPr>
          <w:b/>
        </w:rPr>
        <w:t>CRONYMS</w:t>
      </w:r>
    </w:p>
    <w:p w14:paraId="55B85B57" w14:textId="77777777" w:rsidR="008D0694" w:rsidRPr="00A81971" w:rsidRDefault="0032495C">
      <w:pPr>
        <w:spacing w:after="0"/>
      </w:pPr>
      <w:r w:rsidRPr="00A81971">
        <w:t>A5</w:t>
      </w:r>
      <w:r w:rsidRPr="00A81971">
        <w:tab/>
      </w:r>
      <w:r w:rsidRPr="00A81971">
        <w:tab/>
        <w:t>Article 5</w:t>
      </w:r>
    </w:p>
    <w:p w14:paraId="1C94F72B" w14:textId="77777777" w:rsidR="00864148" w:rsidRPr="00A81971" w:rsidRDefault="0032495C">
      <w:pPr>
        <w:spacing w:after="0"/>
      </w:pPr>
      <w:r w:rsidRPr="00A81971">
        <w:t>A7</w:t>
      </w:r>
      <w:r w:rsidRPr="00A81971">
        <w:tab/>
      </w:r>
      <w:r w:rsidRPr="00A81971">
        <w:tab/>
        <w:t>Article 7</w:t>
      </w:r>
    </w:p>
    <w:p w14:paraId="19DAE8F1" w14:textId="77777777" w:rsidR="004A6005" w:rsidRPr="00A81971" w:rsidRDefault="0032495C" w:rsidP="6F288DB5">
      <w:pPr>
        <w:spacing w:after="0"/>
      </w:pPr>
      <w:r w:rsidRPr="00A81971">
        <w:t>AC</w:t>
      </w:r>
      <w:r w:rsidR="00EA4E57" w:rsidRPr="00A81971">
        <w:tab/>
      </w:r>
      <w:r w:rsidR="00EA4E57" w:rsidRPr="00A81971">
        <w:tab/>
      </w:r>
      <w:r w:rsidRPr="00A81971">
        <w:t>Air conditioning</w:t>
      </w:r>
    </w:p>
    <w:p w14:paraId="7E27217D" w14:textId="77777777" w:rsidR="5148CA48" w:rsidRPr="00A81971" w:rsidRDefault="0032495C" w:rsidP="5148CA48">
      <w:pPr>
        <w:spacing w:after="0"/>
      </w:pPr>
      <w:r w:rsidRPr="00A81971">
        <w:t>ACC</w:t>
      </w:r>
      <w:r w:rsidR="18425ECF" w:rsidRPr="00A81971">
        <w:tab/>
      </w:r>
      <w:r w:rsidR="18425ECF" w:rsidRPr="00A81971">
        <w:tab/>
      </w:r>
      <w:r w:rsidRPr="00A81971">
        <w:t>Additional capital cost</w:t>
      </w:r>
    </w:p>
    <w:p w14:paraId="3E3CC49A" w14:textId="77777777" w:rsidR="0E659562" w:rsidRPr="00A81971" w:rsidRDefault="0032495C" w:rsidP="0E659562">
      <w:pPr>
        <w:spacing w:after="0"/>
      </w:pPr>
      <w:r w:rsidRPr="00A81971">
        <w:t>AOC</w:t>
      </w:r>
      <w:r w:rsidR="18425ECF" w:rsidRPr="00A81971">
        <w:tab/>
      </w:r>
      <w:r w:rsidR="18425ECF" w:rsidRPr="00A81971">
        <w:tab/>
      </w:r>
      <w:r w:rsidRPr="00A81971">
        <w:t>Additional operating cost</w:t>
      </w:r>
    </w:p>
    <w:p w14:paraId="3C4F1C17" w14:textId="77777777" w:rsidR="00AA1B33" w:rsidRPr="00A81971" w:rsidRDefault="0032495C" w:rsidP="1AB6E3AA">
      <w:pPr>
        <w:spacing w:after="0"/>
      </w:pPr>
      <w:r w:rsidRPr="00A81971">
        <w:t>ASP</w:t>
      </w:r>
      <w:r w:rsidRPr="00A81971">
        <w:tab/>
      </w:r>
      <w:r w:rsidRPr="00A81971">
        <w:tab/>
        <w:t>Asia and the Pacific</w:t>
      </w:r>
    </w:p>
    <w:p w14:paraId="41F57785" w14:textId="77777777" w:rsidR="00A62B6A" w:rsidRPr="00A81971" w:rsidRDefault="0032495C" w:rsidP="1AB6E3AA">
      <w:pPr>
        <w:spacing w:after="0"/>
      </w:pPr>
      <w:r w:rsidRPr="00A81971">
        <w:t>BAT</w:t>
      </w:r>
      <w:r w:rsidRPr="00A81971">
        <w:tab/>
      </w:r>
      <w:r w:rsidRPr="00A81971">
        <w:tab/>
        <w:t xml:space="preserve">Best-available technology </w:t>
      </w:r>
    </w:p>
    <w:p w14:paraId="00F70901" w14:textId="77777777" w:rsidR="00A62B6A" w:rsidRPr="00A81971" w:rsidRDefault="0032495C" w:rsidP="6F288DB5">
      <w:pPr>
        <w:spacing w:after="0"/>
      </w:pPr>
      <w:r w:rsidRPr="00A81971">
        <w:t>BAU</w:t>
      </w:r>
      <w:r w:rsidRPr="00A81971">
        <w:tab/>
      </w:r>
      <w:r w:rsidRPr="00A81971">
        <w:tab/>
        <w:t>Business-as-usual</w:t>
      </w:r>
    </w:p>
    <w:p w14:paraId="20211D1E" w14:textId="77777777" w:rsidR="004E25F5" w:rsidRPr="00A81971" w:rsidRDefault="0032495C">
      <w:pPr>
        <w:spacing w:after="0"/>
        <w:rPr>
          <w:lang w:eastAsia="zh-CN"/>
        </w:rPr>
      </w:pPr>
      <w:r w:rsidRPr="00A81971">
        <w:rPr>
          <w:rFonts w:hint="eastAsia"/>
          <w:lang w:eastAsia="zh-CN"/>
        </w:rPr>
        <w:t>B</w:t>
      </w:r>
      <w:r w:rsidRPr="00A81971">
        <w:rPr>
          <w:lang w:eastAsia="zh-CN"/>
        </w:rPr>
        <w:t>P</w:t>
      </w:r>
      <w:r w:rsidRPr="00A81971">
        <w:rPr>
          <w:lang w:eastAsia="zh-CN"/>
        </w:rPr>
        <w:tab/>
      </w:r>
      <w:r w:rsidRPr="00A81971">
        <w:rPr>
          <w:lang w:eastAsia="zh-CN"/>
        </w:rPr>
        <w:tab/>
        <w:t>Business Plan</w:t>
      </w:r>
    </w:p>
    <w:p w14:paraId="3166D2C1" w14:textId="77777777" w:rsidR="00792B4E" w:rsidRPr="00A81971" w:rsidRDefault="0032495C">
      <w:pPr>
        <w:spacing w:after="0"/>
        <w:rPr>
          <w:lang w:eastAsia="zh-CN"/>
        </w:rPr>
      </w:pPr>
      <w:r w:rsidRPr="00A81971">
        <w:rPr>
          <w:lang w:eastAsia="zh-CN"/>
        </w:rPr>
        <w:t>CAP</w:t>
      </w:r>
      <w:r w:rsidRPr="00A81971">
        <w:rPr>
          <w:lang w:eastAsia="zh-CN"/>
        </w:rPr>
        <w:tab/>
      </w:r>
      <w:r w:rsidRPr="00A81971">
        <w:rPr>
          <w:lang w:eastAsia="zh-CN"/>
        </w:rPr>
        <w:tab/>
        <w:t>Compliance Assistance Programme</w:t>
      </w:r>
    </w:p>
    <w:p w14:paraId="50B006B3" w14:textId="77777777" w:rsidR="00FF58FD" w:rsidRPr="00A81971" w:rsidRDefault="0032495C">
      <w:pPr>
        <w:spacing w:after="0"/>
      </w:pPr>
      <w:r w:rsidRPr="00A81971">
        <w:t>CE</w:t>
      </w:r>
      <w:r w:rsidRPr="00A81971">
        <w:tab/>
      </w:r>
      <w:r w:rsidRPr="00A81971">
        <w:tab/>
        <w:t>Cost-effectiveness</w:t>
      </w:r>
    </w:p>
    <w:p w14:paraId="0BFDD54A" w14:textId="77777777" w:rsidR="00D33ED4" w:rsidRPr="00A81971" w:rsidRDefault="0032495C">
      <w:pPr>
        <w:spacing w:after="0"/>
      </w:pPr>
      <w:r w:rsidRPr="00A81971">
        <w:t>EE</w:t>
      </w:r>
      <w:r w:rsidRPr="00A81971">
        <w:tab/>
      </w:r>
      <w:r w:rsidRPr="00A81971">
        <w:tab/>
        <w:t xml:space="preserve">Energy </w:t>
      </w:r>
      <w:r w:rsidR="00CB6A4D" w:rsidRPr="00A81971">
        <w:t>E</w:t>
      </w:r>
      <w:r w:rsidRPr="00A81971">
        <w:t>fficiency</w:t>
      </w:r>
    </w:p>
    <w:p w14:paraId="23EC21FF" w14:textId="77777777" w:rsidR="00ED1FFD" w:rsidRPr="00A81971" w:rsidRDefault="0032495C">
      <w:pPr>
        <w:spacing w:after="0"/>
      </w:pPr>
      <w:r w:rsidRPr="00A81971">
        <w:t>EPR</w:t>
      </w:r>
      <w:r w:rsidRPr="00A81971">
        <w:tab/>
      </w:r>
      <w:r w:rsidRPr="00A81971">
        <w:tab/>
        <w:t>Extended Producer Responsibility</w:t>
      </w:r>
    </w:p>
    <w:p w14:paraId="34E0EA43" w14:textId="77777777" w:rsidR="00291FB4" w:rsidRPr="00A81971" w:rsidRDefault="0032495C">
      <w:pPr>
        <w:spacing w:after="0"/>
      </w:pPr>
      <w:r w:rsidRPr="00A81971">
        <w:t>ExCom</w:t>
      </w:r>
      <w:r w:rsidRPr="00A81971">
        <w:tab/>
      </w:r>
      <w:r w:rsidRPr="00A81971">
        <w:tab/>
        <w:t>Executive Committee of the Multilateral Fund</w:t>
      </w:r>
    </w:p>
    <w:p w14:paraId="3387CFC7" w14:textId="77777777" w:rsidR="00211B9D" w:rsidRPr="00A81971" w:rsidRDefault="0032495C">
      <w:pPr>
        <w:spacing w:after="0"/>
        <w:rPr>
          <w:lang w:eastAsia="zh-CN"/>
        </w:rPr>
      </w:pPr>
      <w:r w:rsidRPr="00A81971">
        <w:rPr>
          <w:lang w:eastAsia="zh-CN"/>
        </w:rPr>
        <w:t>FERM</w:t>
      </w:r>
      <w:r w:rsidRPr="00A81971">
        <w:tab/>
      </w:r>
      <w:r w:rsidRPr="00A81971">
        <w:tab/>
      </w:r>
      <w:r w:rsidRPr="00A81971">
        <w:rPr>
          <w:lang w:eastAsia="zh-CN"/>
        </w:rPr>
        <w:t>Fixed</w:t>
      </w:r>
      <w:r w:rsidR="00590BE4" w:rsidRPr="00A81971">
        <w:rPr>
          <w:lang w:eastAsia="zh-CN"/>
        </w:rPr>
        <w:t>-</w:t>
      </w:r>
      <w:r w:rsidR="00E621B4" w:rsidRPr="00A81971">
        <w:rPr>
          <w:lang w:eastAsia="zh-CN"/>
        </w:rPr>
        <w:t>e</w:t>
      </w:r>
      <w:r w:rsidRPr="00A81971">
        <w:rPr>
          <w:lang w:eastAsia="zh-CN"/>
        </w:rPr>
        <w:t>xchange</w:t>
      </w:r>
      <w:r w:rsidR="00977E76" w:rsidRPr="00A81971">
        <w:rPr>
          <w:lang w:eastAsia="zh-CN"/>
        </w:rPr>
        <w:t>-</w:t>
      </w:r>
      <w:r w:rsidR="00E621B4" w:rsidRPr="00A81971">
        <w:rPr>
          <w:lang w:eastAsia="zh-CN"/>
        </w:rPr>
        <w:t>r</w:t>
      </w:r>
      <w:r w:rsidRPr="00A81971">
        <w:rPr>
          <w:lang w:eastAsia="zh-CN"/>
        </w:rPr>
        <w:t xml:space="preserve">ate </w:t>
      </w:r>
      <w:r w:rsidR="00E621B4" w:rsidRPr="00A81971">
        <w:rPr>
          <w:lang w:eastAsia="zh-CN"/>
        </w:rPr>
        <w:t>m</w:t>
      </w:r>
      <w:r w:rsidRPr="00A81971">
        <w:rPr>
          <w:lang w:eastAsia="zh-CN"/>
        </w:rPr>
        <w:t>echanism</w:t>
      </w:r>
    </w:p>
    <w:p w14:paraId="7C3ACB0C" w14:textId="77777777" w:rsidR="1425AF14" w:rsidRPr="00A81971" w:rsidRDefault="0032495C" w:rsidP="1425AF14">
      <w:pPr>
        <w:spacing w:after="0"/>
        <w:rPr>
          <w:lang w:eastAsia="zh-CN"/>
        </w:rPr>
      </w:pPr>
      <w:r w:rsidRPr="00A81971">
        <w:rPr>
          <w:lang w:eastAsia="zh-CN"/>
        </w:rPr>
        <w:t>EOL</w:t>
      </w:r>
      <w:r w:rsidRPr="00A81971">
        <w:tab/>
      </w:r>
      <w:r w:rsidRPr="00A81971">
        <w:tab/>
      </w:r>
      <w:r w:rsidRPr="00A81971">
        <w:rPr>
          <w:lang w:eastAsia="zh-CN"/>
        </w:rPr>
        <w:t>End-of-life management and disposal</w:t>
      </w:r>
    </w:p>
    <w:p w14:paraId="768C8FAE" w14:textId="77777777" w:rsidR="1425AF14" w:rsidRPr="00A81971" w:rsidRDefault="0032495C" w:rsidP="1425AF14">
      <w:pPr>
        <w:spacing w:after="0"/>
        <w:rPr>
          <w:lang w:eastAsia="zh-CN"/>
        </w:rPr>
      </w:pPr>
      <w:r w:rsidRPr="00A81971">
        <w:rPr>
          <w:lang w:eastAsia="zh-CN"/>
        </w:rPr>
        <w:t>GCF</w:t>
      </w:r>
      <w:r w:rsidRPr="00A81971">
        <w:tab/>
      </w:r>
      <w:r w:rsidRPr="00A81971">
        <w:tab/>
      </w:r>
      <w:r w:rsidRPr="00A81971">
        <w:rPr>
          <w:lang w:eastAsia="zh-CN"/>
        </w:rPr>
        <w:t xml:space="preserve">Green Climate </w:t>
      </w:r>
      <w:r w:rsidR="2D48AEEF" w:rsidRPr="00A81971">
        <w:rPr>
          <w:lang w:eastAsia="zh-CN"/>
        </w:rPr>
        <w:t>Fund</w:t>
      </w:r>
    </w:p>
    <w:p w14:paraId="0970FE06" w14:textId="77777777" w:rsidR="1425AF14" w:rsidRPr="00A81971" w:rsidRDefault="0032495C" w:rsidP="1425AF14">
      <w:pPr>
        <w:spacing w:after="0"/>
        <w:rPr>
          <w:lang w:eastAsia="zh-CN"/>
        </w:rPr>
      </w:pPr>
      <w:r w:rsidRPr="00A81971">
        <w:rPr>
          <w:lang w:eastAsia="zh-CN"/>
        </w:rPr>
        <w:t>GEF</w:t>
      </w:r>
      <w:r w:rsidRPr="00A81971">
        <w:tab/>
      </w:r>
      <w:r w:rsidRPr="00A81971">
        <w:tab/>
      </w:r>
      <w:r w:rsidRPr="00A81971">
        <w:rPr>
          <w:lang w:eastAsia="zh-CN"/>
        </w:rPr>
        <w:t>Global Environment Facility</w:t>
      </w:r>
    </w:p>
    <w:p w14:paraId="4ECDF0BD" w14:textId="77777777" w:rsidR="000738FA" w:rsidRPr="00A81971" w:rsidRDefault="0032495C" w:rsidP="1425AF14">
      <w:pPr>
        <w:spacing w:after="0"/>
        <w:rPr>
          <w:lang w:eastAsia="zh-CN"/>
        </w:rPr>
      </w:pPr>
      <w:r w:rsidRPr="00A81971">
        <w:rPr>
          <w:lang w:eastAsia="zh-CN"/>
        </w:rPr>
        <w:t>GTF</w:t>
      </w:r>
      <w:r w:rsidRPr="00A81971">
        <w:rPr>
          <w:lang w:eastAsia="zh-CN"/>
        </w:rPr>
        <w:tab/>
      </w:r>
      <w:r w:rsidRPr="00A81971">
        <w:rPr>
          <w:lang w:eastAsia="zh-CN"/>
        </w:rPr>
        <w:tab/>
        <w:t>General Trust Fund</w:t>
      </w:r>
    </w:p>
    <w:p w14:paraId="4D996437" w14:textId="77777777" w:rsidR="008D0694" w:rsidRPr="00A81971" w:rsidRDefault="0032495C">
      <w:pPr>
        <w:spacing w:after="0"/>
      </w:pPr>
      <w:r w:rsidRPr="00A81971">
        <w:t>GWP</w:t>
      </w:r>
      <w:r w:rsidRPr="00A81971">
        <w:tab/>
      </w:r>
      <w:r w:rsidRPr="00A81971">
        <w:tab/>
        <w:t>Global Warming Potential</w:t>
      </w:r>
    </w:p>
    <w:p w14:paraId="10A67EDB" w14:textId="77777777" w:rsidR="008D0694" w:rsidRPr="00A81971" w:rsidRDefault="0032495C">
      <w:pPr>
        <w:spacing w:after="0"/>
      </w:pPr>
      <w:r w:rsidRPr="00A81971">
        <w:t>HCFC</w:t>
      </w:r>
      <w:r w:rsidRPr="00A81971">
        <w:tab/>
      </w:r>
      <w:r w:rsidRPr="00A81971">
        <w:tab/>
        <w:t>Hydrochlorofluorocarbon</w:t>
      </w:r>
    </w:p>
    <w:p w14:paraId="5E5D481C" w14:textId="77777777" w:rsidR="008D0694" w:rsidRPr="00A81971" w:rsidRDefault="0032495C">
      <w:pPr>
        <w:spacing w:after="0"/>
      </w:pPr>
      <w:r w:rsidRPr="00A81971">
        <w:t>HFC</w:t>
      </w:r>
      <w:r w:rsidRPr="00A81971">
        <w:tab/>
      </w:r>
      <w:r w:rsidRPr="00A81971">
        <w:tab/>
        <w:t>Hydrofluorocarbon</w:t>
      </w:r>
    </w:p>
    <w:p w14:paraId="3BA44EFC" w14:textId="77777777" w:rsidR="008D0694" w:rsidRPr="00A81971" w:rsidRDefault="0032495C">
      <w:pPr>
        <w:spacing w:after="0"/>
      </w:pPr>
      <w:r w:rsidRPr="00A81971">
        <w:t>HFO</w:t>
      </w:r>
      <w:r w:rsidRPr="00A81971">
        <w:tab/>
      </w:r>
      <w:r w:rsidRPr="00A81971">
        <w:tab/>
        <w:t>Hydrofluoroolefin</w:t>
      </w:r>
    </w:p>
    <w:p w14:paraId="2976FA35" w14:textId="77777777" w:rsidR="008D0694" w:rsidRPr="00A81971" w:rsidRDefault="0032495C">
      <w:pPr>
        <w:spacing w:after="0"/>
      </w:pPr>
      <w:r w:rsidRPr="00A81971">
        <w:t>HPMP</w:t>
      </w:r>
      <w:r w:rsidRPr="00A81971">
        <w:tab/>
      </w:r>
      <w:r w:rsidRPr="00A81971">
        <w:tab/>
        <w:t>HCFC Phase-out Management Plan</w:t>
      </w:r>
    </w:p>
    <w:p w14:paraId="546982DE" w14:textId="77777777" w:rsidR="008D0694" w:rsidRPr="00A81971" w:rsidRDefault="0032495C">
      <w:pPr>
        <w:spacing w:after="0"/>
      </w:pPr>
      <w:r w:rsidRPr="00A81971">
        <w:t>HPPMP</w:t>
      </w:r>
      <w:r w:rsidRPr="00A81971">
        <w:tab/>
        <w:t>HCFC Production Phase-out Management Plan</w:t>
      </w:r>
    </w:p>
    <w:p w14:paraId="6ECE60A7" w14:textId="77777777" w:rsidR="00381AE6" w:rsidRPr="00A81971" w:rsidRDefault="0032495C">
      <w:pPr>
        <w:spacing w:after="0"/>
      </w:pPr>
      <w:r w:rsidRPr="00A81971">
        <w:t>IBRD</w:t>
      </w:r>
      <w:r w:rsidRPr="00A81971">
        <w:tab/>
      </w:r>
      <w:r w:rsidRPr="00A81971">
        <w:tab/>
        <w:t>International Bank for Reconstruction and Development (World Bank)</w:t>
      </w:r>
    </w:p>
    <w:p w14:paraId="7E5ED6FB" w14:textId="77777777" w:rsidR="1425AF14" w:rsidRPr="00A81971" w:rsidRDefault="0032495C" w:rsidP="1425AF14">
      <w:pPr>
        <w:spacing w:after="0"/>
      </w:pPr>
      <w:r w:rsidRPr="00A81971">
        <w:t>ICR</w:t>
      </w:r>
      <w:r w:rsidRPr="00A81971">
        <w:tab/>
      </w:r>
      <w:r w:rsidRPr="00A81971">
        <w:tab/>
        <w:t xml:space="preserve">Industrial and Commercial Refrigeration </w:t>
      </w:r>
    </w:p>
    <w:p w14:paraId="176A662E" w14:textId="77777777" w:rsidR="14C4FCD5" w:rsidRPr="00A81971" w:rsidRDefault="0032495C" w:rsidP="14C4FCD5">
      <w:pPr>
        <w:spacing w:after="0"/>
      </w:pPr>
      <w:r w:rsidRPr="00A81971">
        <w:t>IOC</w:t>
      </w:r>
      <w:r w:rsidR="36C0D0E2" w:rsidRPr="00A81971">
        <w:tab/>
      </w:r>
      <w:r w:rsidR="36C0D0E2" w:rsidRPr="00A81971">
        <w:tab/>
      </w:r>
      <w:r w:rsidRPr="00A81971">
        <w:t>Incremental operating costs</w:t>
      </w:r>
    </w:p>
    <w:p w14:paraId="67DEA416" w14:textId="77777777" w:rsidR="004E25F5" w:rsidRPr="00A81971" w:rsidRDefault="0032495C">
      <w:pPr>
        <w:spacing w:after="0"/>
        <w:rPr>
          <w:lang w:eastAsia="zh-CN"/>
        </w:rPr>
      </w:pPr>
      <w:r w:rsidRPr="00A81971">
        <w:rPr>
          <w:rFonts w:hint="eastAsia"/>
          <w:lang w:eastAsia="zh-CN"/>
        </w:rPr>
        <w:t>I</w:t>
      </w:r>
      <w:r w:rsidRPr="00A81971">
        <w:rPr>
          <w:lang w:eastAsia="zh-CN"/>
        </w:rPr>
        <w:t>S</w:t>
      </w:r>
      <w:r w:rsidRPr="00A81971">
        <w:rPr>
          <w:lang w:eastAsia="zh-CN"/>
        </w:rPr>
        <w:tab/>
      </w:r>
      <w:r w:rsidRPr="00A81971">
        <w:rPr>
          <w:lang w:eastAsia="zh-CN"/>
        </w:rPr>
        <w:tab/>
        <w:t>Institutional Strengthening</w:t>
      </w:r>
    </w:p>
    <w:p w14:paraId="6349D4BB" w14:textId="77777777" w:rsidR="007C39F4" w:rsidRPr="00A81971" w:rsidRDefault="0032495C">
      <w:pPr>
        <w:spacing w:after="0"/>
        <w:rPr>
          <w:lang w:eastAsia="zh-CN"/>
        </w:rPr>
      </w:pPr>
      <w:r w:rsidRPr="00A81971">
        <w:rPr>
          <w:lang w:eastAsia="zh-CN"/>
        </w:rPr>
        <w:t>KA</w:t>
      </w:r>
      <w:r w:rsidRPr="00A81971">
        <w:rPr>
          <w:lang w:eastAsia="zh-CN"/>
        </w:rPr>
        <w:tab/>
      </w:r>
      <w:r w:rsidRPr="00A81971">
        <w:rPr>
          <w:lang w:eastAsia="zh-CN"/>
        </w:rPr>
        <w:tab/>
        <w:t>Kigali Amendment</w:t>
      </w:r>
    </w:p>
    <w:p w14:paraId="2272E3A0" w14:textId="77777777" w:rsidR="002E6697" w:rsidRPr="00A81971" w:rsidRDefault="0032495C">
      <w:pPr>
        <w:spacing w:after="0"/>
      </w:pPr>
      <w:r w:rsidRPr="00A81971">
        <w:t xml:space="preserve">KIPs </w:t>
      </w:r>
      <w:r w:rsidR="00DF49EC" w:rsidRPr="00A81971">
        <w:tab/>
      </w:r>
      <w:r w:rsidR="00DF49EC" w:rsidRPr="00A81971">
        <w:tab/>
      </w:r>
      <w:r w:rsidRPr="00A81971">
        <w:t>Kigali HFC Implementation Plans</w:t>
      </w:r>
    </w:p>
    <w:p w14:paraId="2C9334DD" w14:textId="77777777" w:rsidR="008D0694" w:rsidRPr="00A81971" w:rsidRDefault="0032495C">
      <w:pPr>
        <w:spacing w:after="0"/>
      </w:pPr>
      <w:r w:rsidRPr="00A81971">
        <w:t>KPPMP</w:t>
      </w:r>
      <w:r w:rsidRPr="00A81971">
        <w:tab/>
      </w:r>
      <w:bookmarkStart w:id="125" w:name="_Hlk78895924"/>
      <w:r w:rsidRPr="00A81971">
        <w:t xml:space="preserve">Kigali HFC Production </w:t>
      </w:r>
      <w:r w:rsidR="59B56C67" w:rsidRPr="00A81971">
        <w:t>Phase-down</w:t>
      </w:r>
      <w:r w:rsidRPr="00A81971">
        <w:t xml:space="preserve"> Management Plan</w:t>
      </w:r>
      <w:bookmarkEnd w:id="125"/>
    </w:p>
    <w:p w14:paraId="265FBD8E" w14:textId="77777777" w:rsidR="00291FB4" w:rsidRPr="00A81971" w:rsidRDefault="0032495C">
      <w:pPr>
        <w:spacing w:after="0"/>
      </w:pPr>
      <w:r w:rsidRPr="00A81971">
        <w:t>LVC</w:t>
      </w:r>
      <w:r w:rsidRPr="00A81971">
        <w:tab/>
      </w:r>
      <w:r w:rsidRPr="00A81971">
        <w:tab/>
        <w:t>Low-volume consuming</w:t>
      </w:r>
    </w:p>
    <w:p w14:paraId="41F7BE10" w14:textId="77777777" w:rsidR="1425AF14" w:rsidRPr="00A81971" w:rsidRDefault="0032495C" w:rsidP="1425AF14">
      <w:pPr>
        <w:spacing w:after="0"/>
      </w:pPr>
      <w:r w:rsidRPr="00A81971">
        <w:t>MAC</w:t>
      </w:r>
      <w:r w:rsidRPr="00A81971">
        <w:tab/>
      </w:r>
      <w:r w:rsidRPr="00A81971">
        <w:tab/>
        <w:t xml:space="preserve">Mobile Air Conditioning </w:t>
      </w:r>
    </w:p>
    <w:p w14:paraId="58433E9B" w14:textId="77777777" w:rsidR="005734C5" w:rsidRPr="00A81971" w:rsidRDefault="0032495C">
      <w:pPr>
        <w:spacing w:after="0"/>
      </w:pPr>
      <w:r w:rsidRPr="00A81971">
        <w:t>MEPS</w:t>
      </w:r>
      <w:r w:rsidRPr="00A81971">
        <w:tab/>
      </w:r>
      <w:r w:rsidRPr="00A81971">
        <w:tab/>
        <w:t>Minimum Energy Performance Standards</w:t>
      </w:r>
    </w:p>
    <w:p w14:paraId="26C5B580" w14:textId="77777777" w:rsidR="00AB1063" w:rsidRPr="00A81971" w:rsidRDefault="0032495C">
      <w:pPr>
        <w:spacing w:after="0"/>
      </w:pPr>
      <w:r w:rsidRPr="00A81971">
        <w:t>MLF</w:t>
      </w:r>
      <w:r w:rsidRPr="00A81971">
        <w:tab/>
      </w:r>
      <w:r w:rsidRPr="00A81971">
        <w:tab/>
        <w:t>Multilateral Fund</w:t>
      </w:r>
    </w:p>
    <w:p w14:paraId="09D0A647" w14:textId="77777777" w:rsidR="00291FB4" w:rsidRPr="00A81971" w:rsidRDefault="0032495C">
      <w:pPr>
        <w:spacing w:after="0"/>
      </w:pPr>
      <w:r w:rsidRPr="00A81971">
        <w:t>M</w:t>
      </w:r>
      <w:r w:rsidR="00E15B58" w:rsidRPr="00A81971">
        <w:t>L</w:t>
      </w:r>
      <w:r w:rsidRPr="00A81971">
        <w:t>FS</w:t>
      </w:r>
      <w:r w:rsidRPr="00A81971">
        <w:tab/>
      </w:r>
      <w:r w:rsidRPr="00A81971">
        <w:tab/>
        <w:t>Multilateral Fund Secretariat</w:t>
      </w:r>
    </w:p>
    <w:p w14:paraId="24879CCE" w14:textId="77777777" w:rsidR="00291FB4" w:rsidRPr="003103E1" w:rsidRDefault="0032495C">
      <w:pPr>
        <w:spacing w:after="0"/>
        <w:rPr>
          <w:lang w:val="fr-FR"/>
        </w:rPr>
      </w:pPr>
      <w:r w:rsidRPr="003103E1">
        <w:rPr>
          <w:lang w:val="fr-FR"/>
        </w:rPr>
        <w:t>MMTCO</w:t>
      </w:r>
      <w:r w:rsidRPr="003103E1">
        <w:rPr>
          <w:vertAlign w:val="subscript"/>
          <w:lang w:val="fr-FR"/>
        </w:rPr>
        <w:t>2</w:t>
      </w:r>
      <w:r w:rsidRPr="003103E1">
        <w:rPr>
          <w:lang w:val="fr-FR"/>
        </w:rPr>
        <w:t>eq</w:t>
      </w:r>
      <w:r w:rsidRPr="003103E1">
        <w:rPr>
          <w:lang w:val="fr-FR"/>
        </w:rPr>
        <w:tab/>
        <w:t>Million metric ton</w:t>
      </w:r>
      <w:r w:rsidR="00E46153" w:rsidRPr="003103E1">
        <w:rPr>
          <w:lang w:val="fr-FR"/>
        </w:rPr>
        <w:t>ne</w:t>
      </w:r>
      <w:r w:rsidRPr="003103E1">
        <w:rPr>
          <w:lang w:val="fr-FR"/>
        </w:rPr>
        <w:t>s carbon dioxide equivalent</w:t>
      </w:r>
    </w:p>
    <w:p w14:paraId="0197485B" w14:textId="77777777" w:rsidR="003E78BB" w:rsidRPr="00A81971" w:rsidRDefault="0032495C">
      <w:pPr>
        <w:spacing w:after="0"/>
      </w:pPr>
      <w:r w:rsidRPr="00A81971">
        <w:t>M</w:t>
      </w:r>
      <w:r w:rsidR="00E46153" w:rsidRPr="00A81971">
        <w:t>T</w:t>
      </w:r>
      <w:r w:rsidRPr="00A81971">
        <w:tab/>
      </w:r>
      <w:r w:rsidR="007834DB" w:rsidRPr="00A81971">
        <w:tab/>
      </w:r>
      <w:r w:rsidR="00E46153" w:rsidRPr="00A81971">
        <w:t>Metric tonnes</w:t>
      </w:r>
    </w:p>
    <w:p w14:paraId="23BF8368" w14:textId="77777777" w:rsidR="00AB1063" w:rsidRPr="00A81971" w:rsidRDefault="0032495C">
      <w:pPr>
        <w:spacing w:after="0"/>
      </w:pPr>
      <w:r w:rsidRPr="00A81971">
        <w:t>MOP</w:t>
      </w:r>
      <w:r w:rsidRPr="00A81971">
        <w:tab/>
      </w:r>
      <w:r w:rsidRPr="00A81971">
        <w:tab/>
        <w:t>Meeting of the Parties</w:t>
      </w:r>
    </w:p>
    <w:p w14:paraId="0520F70A" w14:textId="77777777" w:rsidR="00FF58FD" w:rsidRPr="00A81971" w:rsidRDefault="0032495C">
      <w:pPr>
        <w:spacing w:after="0"/>
      </w:pPr>
      <w:r w:rsidRPr="00A81971">
        <w:t>MYA</w:t>
      </w:r>
      <w:r w:rsidRPr="00A81971">
        <w:tab/>
      </w:r>
      <w:r w:rsidRPr="00A81971">
        <w:tab/>
        <w:t xml:space="preserve">Multi-year </w:t>
      </w:r>
      <w:r w:rsidR="00EF2217" w:rsidRPr="00A81971">
        <w:t>A</w:t>
      </w:r>
      <w:r w:rsidRPr="00A81971">
        <w:t>greement</w:t>
      </w:r>
    </w:p>
    <w:p w14:paraId="5CB1F9D5" w14:textId="77777777" w:rsidR="004A6005" w:rsidRPr="00A81971" w:rsidRDefault="0032495C">
      <w:pPr>
        <w:spacing w:after="0"/>
      </w:pPr>
      <w:r w:rsidRPr="00A81971">
        <w:rPr>
          <w:color w:val="000000" w:themeColor="text1"/>
        </w:rPr>
        <w:t xml:space="preserve">NOU </w:t>
      </w:r>
      <w:r w:rsidRPr="00A81971">
        <w:rPr>
          <w:color w:val="000000" w:themeColor="text1"/>
        </w:rPr>
        <w:tab/>
      </w:r>
      <w:r w:rsidRPr="00A81971">
        <w:rPr>
          <w:color w:val="000000" w:themeColor="text1"/>
        </w:rPr>
        <w:tab/>
        <w:t>National Ozone Unit</w:t>
      </w:r>
    </w:p>
    <w:p w14:paraId="32CA559B" w14:textId="77777777" w:rsidR="00E621B4" w:rsidRPr="00A81971" w:rsidRDefault="0032495C">
      <w:pPr>
        <w:spacing w:after="0"/>
      </w:pPr>
      <w:r w:rsidRPr="00A81971">
        <w:t>NPP</w:t>
      </w:r>
      <w:r w:rsidRPr="00A81971">
        <w:tab/>
      </w:r>
      <w:r w:rsidRPr="00A81971">
        <w:tab/>
        <w:t xml:space="preserve">National </w:t>
      </w:r>
      <w:r w:rsidR="00EF2217" w:rsidRPr="00A81971">
        <w:t>P</w:t>
      </w:r>
      <w:r w:rsidRPr="00A81971">
        <w:t xml:space="preserve">hase-out </w:t>
      </w:r>
      <w:r w:rsidR="00EF2217" w:rsidRPr="00A81971">
        <w:t>P</w:t>
      </w:r>
      <w:r w:rsidRPr="00A81971">
        <w:t xml:space="preserve">lans </w:t>
      </w:r>
    </w:p>
    <w:p w14:paraId="1742E8CA" w14:textId="77777777" w:rsidR="00DD1E30" w:rsidRPr="00A81971" w:rsidRDefault="0032495C">
      <w:pPr>
        <w:spacing w:after="0"/>
      </w:pPr>
      <w:r w:rsidRPr="00A81971">
        <w:t>ODP</w:t>
      </w:r>
      <w:r w:rsidRPr="00A81971">
        <w:tab/>
      </w:r>
      <w:r w:rsidRPr="00A81971">
        <w:tab/>
        <w:t>Ozone depletion potential</w:t>
      </w:r>
    </w:p>
    <w:p w14:paraId="7CE939D0" w14:textId="77777777" w:rsidR="00291FB4" w:rsidRPr="00A81971" w:rsidRDefault="0032495C">
      <w:pPr>
        <w:spacing w:after="0"/>
      </w:pPr>
      <w:r w:rsidRPr="00A81971">
        <w:t>ODS</w:t>
      </w:r>
      <w:r w:rsidRPr="00A81971">
        <w:tab/>
      </w:r>
      <w:r w:rsidRPr="00A81971">
        <w:tab/>
        <w:t>Ozone-depleting substances</w:t>
      </w:r>
    </w:p>
    <w:p w14:paraId="1A5BD5C1" w14:textId="77777777" w:rsidR="008D0694" w:rsidRPr="00A81971" w:rsidRDefault="0032495C">
      <w:pPr>
        <w:spacing w:after="0"/>
      </w:pPr>
      <w:r w:rsidRPr="00A81971">
        <w:t>OEWG</w:t>
      </w:r>
      <w:r w:rsidRPr="00A81971">
        <w:tab/>
      </w:r>
      <w:r w:rsidRPr="00A81971">
        <w:tab/>
        <w:t>Open-Ended Working Group</w:t>
      </w:r>
    </w:p>
    <w:p w14:paraId="502403E3" w14:textId="77777777" w:rsidR="005D04C7" w:rsidRPr="00A81971" w:rsidRDefault="0032495C">
      <w:pPr>
        <w:spacing w:after="0"/>
        <w:rPr>
          <w:lang w:eastAsia="zh-CN"/>
        </w:rPr>
      </w:pPr>
      <w:r w:rsidRPr="00A81971">
        <w:rPr>
          <w:rFonts w:hint="eastAsia"/>
          <w:lang w:eastAsia="zh-CN"/>
        </w:rPr>
        <w:t>O</w:t>
      </w:r>
      <w:r w:rsidRPr="00A81971">
        <w:rPr>
          <w:lang w:eastAsia="zh-CN"/>
        </w:rPr>
        <w:t>S</w:t>
      </w:r>
      <w:r w:rsidRPr="00A81971">
        <w:rPr>
          <w:lang w:eastAsia="zh-CN"/>
        </w:rPr>
        <w:tab/>
      </w:r>
      <w:r w:rsidRPr="00A81971">
        <w:rPr>
          <w:lang w:eastAsia="zh-CN"/>
        </w:rPr>
        <w:tab/>
        <w:t>Ozone Secretariat</w:t>
      </w:r>
    </w:p>
    <w:p w14:paraId="10B5ECD7" w14:textId="77777777" w:rsidR="00B426E7" w:rsidRPr="00A81971" w:rsidRDefault="0032495C">
      <w:pPr>
        <w:spacing w:after="0"/>
        <w:rPr>
          <w:lang w:eastAsia="zh-CN"/>
        </w:rPr>
      </w:pPr>
      <w:r w:rsidRPr="00A81971">
        <w:rPr>
          <w:lang w:eastAsia="zh-CN"/>
        </w:rPr>
        <w:t>PIC</w:t>
      </w:r>
      <w:r w:rsidRPr="00A81971">
        <w:rPr>
          <w:lang w:eastAsia="zh-CN"/>
        </w:rPr>
        <w:tab/>
      </w:r>
      <w:r w:rsidRPr="00A81971">
        <w:rPr>
          <w:lang w:eastAsia="zh-CN"/>
        </w:rPr>
        <w:tab/>
        <w:t>Prior Informed Consent</w:t>
      </w:r>
    </w:p>
    <w:p w14:paraId="2E4BB19F" w14:textId="77777777" w:rsidR="00460BD0" w:rsidRPr="00A81971" w:rsidRDefault="0032495C">
      <w:pPr>
        <w:spacing w:after="0"/>
      </w:pPr>
      <w:r w:rsidRPr="00A81971">
        <w:t xml:space="preserve">PMU </w:t>
      </w:r>
      <w:r w:rsidRPr="00A81971">
        <w:tab/>
      </w:r>
      <w:r w:rsidRPr="00A81971">
        <w:tab/>
        <w:t>Project Management Unit</w:t>
      </w:r>
    </w:p>
    <w:p w14:paraId="28E9FF79" w14:textId="77777777" w:rsidR="00036DD4" w:rsidRPr="00A81971" w:rsidRDefault="0032495C" w:rsidP="1425AF14">
      <w:pPr>
        <w:spacing w:after="0"/>
      </w:pPr>
      <w:r w:rsidRPr="00A81971">
        <w:t>PRP</w:t>
      </w:r>
      <w:r w:rsidRPr="00A81971">
        <w:tab/>
      </w:r>
      <w:r w:rsidRPr="00A81971">
        <w:tab/>
        <w:t xml:space="preserve">Project </w:t>
      </w:r>
      <w:r w:rsidR="00CB6A4D" w:rsidRPr="00A81971">
        <w:t>P</w:t>
      </w:r>
      <w:r w:rsidRPr="00A81971">
        <w:t>reparation</w:t>
      </w:r>
    </w:p>
    <w:p w14:paraId="33FA8F36" w14:textId="77777777" w:rsidR="00EA6826" w:rsidRPr="00A81971" w:rsidRDefault="0032495C" w:rsidP="1425AF14">
      <w:pPr>
        <w:spacing w:after="0"/>
      </w:pPr>
      <w:r w:rsidRPr="00A81971">
        <w:t xml:space="preserve">PUR </w:t>
      </w:r>
      <w:r w:rsidRPr="00A81971">
        <w:tab/>
      </w:r>
      <w:r w:rsidRPr="00A81971">
        <w:tab/>
        <w:t>Polyurethane</w:t>
      </w:r>
    </w:p>
    <w:p w14:paraId="2E54E4AF" w14:textId="77777777" w:rsidR="1425AF14" w:rsidRPr="00A81971" w:rsidRDefault="0032495C" w:rsidP="1425AF14">
      <w:pPr>
        <w:spacing w:after="0"/>
      </w:pPr>
      <w:r w:rsidRPr="00A81971">
        <w:t>RAC</w:t>
      </w:r>
      <w:r w:rsidRPr="00A81971">
        <w:tab/>
      </w:r>
      <w:r w:rsidRPr="00A81971">
        <w:tab/>
        <w:t xml:space="preserve">Refrigeration and </w:t>
      </w:r>
      <w:r w:rsidR="00CB6A4D" w:rsidRPr="00A81971">
        <w:t>A</w:t>
      </w:r>
      <w:r w:rsidRPr="00A81971">
        <w:t xml:space="preserve">ir </w:t>
      </w:r>
      <w:r w:rsidR="00CB6A4D" w:rsidRPr="00A81971">
        <w:t>C</w:t>
      </w:r>
      <w:r w:rsidRPr="00A81971">
        <w:t xml:space="preserve">onditioning   </w:t>
      </w:r>
    </w:p>
    <w:p w14:paraId="09D5CDCB" w14:textId="77777777" w:rsidR="008D0694" w:rsidRPr="00A81971" w:rsidRDefault="0032495C">
      <w:pPr>
        <w:spacing w:after="0"/>
      </w:pPr>
      <w:r w:rsidRPr="00A81971">
        <w:t>RACHP</w:t>
      </w:r>
      <w:r w:rsidRPr="00A81971">
        <w:tab/>
        <w:t>Refrigeration Air-conditioning and Heat-</w:t>
      </w:r>
      <w:r w:rsidR="2D48AEEF" w:rsidRPr="00A81971">
        <w:t>pump</w:t>
      </w:r>
    </w:p>
    <w:p w14:paraId="6A448B68" w14:textId="77777777" w:rsidR="008D0694" w:rsidRPr="00A81971" w:rsidRDefault="0032495C">
      <w:pPr>
        <w:spacing w:after="0"/>
      </w:pPr>
      <w:r w:rsidRPr="00A81971">
        <w:t>RTF</w:t>
      </w:r>
      <w:r w:rsidRPr="00A81971">
        <w:tab/>
      </w:r>
      <w:r w:rsidRPr="00A81971">
        <w:tab/>
        <w:t>Replenishment Task Force</w:t>
      </w:r>
    </w:p>
    <w:p w14:paraId="62A50A7E" w14:textId="77777777" w:rsidR="00E621B4" w:rsidRPr="00A81971" w:rsidRDefault="0032495C">
      <w:pPr>
        <w:spacing w:after="0"/>
      </w:pPr>
      <w:r w:rsidRPr="00A81971">
        <w:lastRenderedPageBreak/>
        <w:t>RMP</w:t>
      </w:r>
      <w:r w:rsidRPr="00A81971">
        <w:tab/>
      </w:r>
      <w:r w:rsidRPr="00A81971">
        <w:tab/>
        <w:t xml:space="preserve">Refrigerant Management Plan </w:t>
      </w:r>
    </w:p>
    <w:p w14:paraId="70906B52" w14:textId="77777777" w:rsidR="008D0694" w:rsidRPr="00A81971" w:rsidRDefault="0032495C">
      <w:pPr>
        <w:spacing w:after="0"/>
      </w:pPr>
      <w:r w:rsidRPr="00A81971">
        <w:t>RTOC</w:t>
      </w:r>
      <w:r w:rsidRPr="00A81971">
        <w:tab/>
      </w:r>
      <w:r w:rsidRPr="00A81971">
        <w:tab/>
        <w:t>Refrigeration, Air Conditioning and Heat Pumps Technical Options Committee</w:t>
      </w:r>
    </w:p>
    <w:p w14:paraId="6F722A0A" w14:textId="77777777" w:rsidR="00A97B7C" w:rsidRPr="00A81971" w:rsidRDefault="0032495C">
      <w:pPr>
        <w:spacing w:after="0"/>
      </w:pPr>
      <w:r w:rsidRPr="00A81971">
        <w:t>SA</w:t>
      </w:r>
      <w:r w:rsidRPr="00A81971">
        <w:tab/>
      </w:r>
      <w:r w:rsidRPr="00A81971">
        <w:tab/>
        <w:t>Standard Activities</w:t>
      </w:r>
    </w:p>
    <w:p w14:paraId="09C3A837" w14:textId="77777777" w:rsidR="002A2478" w:rsidRPr="00A81971" w:rsidRDefault="0032495C">
      <w:pPr>
        <w:spacing w:after="0"/>
      </w:pPr>
      <w:r w:rsidRPr="00A81971">
        <w:t>SMEs</w:t>
      </w:r>
      <w:r w:rsidRPr="00A81971">
        <w:tab/>
      </w:r>
      <w:r w:rsidRPr="00A81971">
        <w:tab/>
        <w:t xml:space="preserve">Small and </w:t>
      </w:r>
      <w:r w:rsidR="00CB6A4D" w:rsidRPr="00A81971">
        <w:t>M</w:t>
      </w:r>
      <w:r w:rsidRPr="00A81971">
        <w:t xml:space="preserve">edium-sized </w:t>
      </w:r>
      <w:r w:rsidR="00CB6A4D" w:rsidRPr="00A81971">
        <w:t>E</w:t>
      </w:r>
      <w:r w:rsidRPr="00A81971">
        <w:t>nterprises</w:t>
      </w:r>
    </w:p>
    <w:p w14:paraId="3218ECB8" w14:textId="77777777" w:rsidR="00AB1063" w:rsidRPr="00A81971" w:rsidRDefault="0032495C">
      <w:pPr>
        <w:spacing w:after="0"/>
      </w:pPr>
      <w:r w:rsidRPr="00A81971">
        <w:t>TEAP</w:t>
      </w:r>
      <w:r w:rsidRPr="00A81971">
        <w:tab/>
      </w:r>
      <w:r w:rsidRPr="00A81971">
        <w:tab/>
        <w:t>Technology and Economic Assessment Panel</w:t>
      </w:r>
    </w:p>
    <w:p w14:paraId="013E252A" w14:textId="77777777" w:rsidR="00DD1E30" w:rsidRPr="00A81971" w:rsidRDefault="0032495C">
      <w:pPr>
        <w:spacing w:after="0"/>
      </w:pPr>
      <w:r w:rsidRPr="00A81971">
        <w:t>TOR</w:t>
      </w:r>
      <w:r w:rsidRPr="00A81971">
        <w:tab/>
      </w:r>
      <w:r w:rsidRPr="00A81971">
        <w:tab/>
        <w:t>Terms of reference</w:t>
      </w:r>
    </w:p>
    <w:p w14:paraId="48247953" w14:textId="77777777" w:rsidR="00AB1063" w:rsidRPr="00A81971" w:rsidRDefault="0032495C">
      <w:pPr>
        <w:spacing w:after="0"/>
      </w:pPr>
      <w:r w:rsidRPr="00A81971">
        <w:t>TOC</w:t>
      </w:r>
      <w:r w:rsidRPr="00A81971">
        <w:tab/>
      </w:r>
      <w:r w:rsidRPr="00A81971">
        <w:tab/>
        <w:t>Technical Options Committee</w:t>
      </w:r>
    </w:p>
    <w:p w14:paraId="3A4F406B" w14:textId="77777777" w:rsidR="00295E0D" w:rsidRPr="00A81971" w:rsidRDefault="0032495C">
      <w:pPr>
        <w:spacing w:after="0"/>
      </w:pPr>
      <w:r w:rsidRPr="00A81971">
        <w:t>UNDP</w:t>
      </w:r>
      <w:r w:rsidRPr="00A81971">
        <w:tab/>
      </w:r>
      <w:r w:rsidRPr="00A81971">
        <w:tab/>
        <w:t>United Nations Development Programme</w:t>
      </w:r>
      <w:r w:rsidRPr="00A81971">
        <w:tab/>
      </w:r>
    </w:p>
    <w:p w14:paraId="0D6710F5" w14:textId="77777777" w:rsidR="00D24D76" w:rsidRPr="00A81971" w:rsidRDefault="0032495C">
      <w:pPr>
        <w:spacing w:after="0"/>
      </w:pPr>
      <w:r w:rsidRPr="00A81971">
        <w:t>UNEP</w:t>
      </w:r>
      <w:r w:rsidRPr="00A81971">
        <w:tab/>
      </w:r>
      <w:r w:rsidRPr="00A81971">
        <w:tab/>
        <w:t>United Nations Environment Programme</w:t>
      </w:r>
    </w:p>
    <w:p w14:paraId="46023070" w14:textId="77777777" w:rsidR="00F24A69" w:rsidRPr="00A81971" w:rsidRDefault="0032495C">
      <w:pPr>
        <w:spacing w:after="0"/>
      </w:pPr>
      <w:r w:rsidRPr="00A81971">
        <w:t>UNIDO</w:t>
      </w:r>
      <w:r w:rsidRPr="00A81971">
        <w:tab/>
        <w:t>United Nations Industrial Development Organization</w:t>
      </w:r>
      <w:r w:rsidRPr="00A81971">
        <w:tab/>
      </w:r>
    </w:p>
    <w:p w14:paraId="5D0923AF" w14:textId="77777777" w:rsidR="002E1E83" w:rsidRPr="00A81971" w:rsidRDefault="0032495C">
      <w:pPr>
        <w:spacing w:after="0"/>
      </w:pPr>
      <w:r w:rsidRPr="00A81971">
        <w:t>VER</w:t>
      </w:r>
      <w:r w:rsidRPr="00A81971">
        <w:tab/>
      </w:r>
      <w:r w:rsidRPr="00A81971">
        <w:tab/>
        <w:t>Verification</w:t>
      </w:r>
    </w:p>
    <w:p w14:paraId="42AAD919" w14:textId="77777777" w:rsidR="00E621B4" w:rsidRPr="00A81971" w:rsidRDefault="0032495C" w:rsidP="00E621B4">
      <w:pPr>
        <w:spacing w:after="0"/>
      </w:pPr>
      <w:r w:rsidRPr="00A81971">
        <w:t>VLVC</w:t>
      </w:r>
      <w:r w:rsidRPr="00A81971">
        <w:tab/>
      </w:r>
      <w:r w:rsidRPr="00A81971">
        <w:tab/>
        <w:t>Very low-volume consuming</w:t>
      </w:r>
    </w:p>
    <w:p w14:paraId="2F577CD5" w14:textId="77777777" w:rsidR="00E621B4" w:rsidRPr="00A81971" w:rsidRDefault="0032495C" w:rsidP="00E621B4">
      <w:pPr>
        <w:spacing w:after="0"/>
      </w:pPr>
      <w:r w:rsidRPr="00A81971">
        <w:t>XPS</w:t>
      </w:r>
      <w:r w:rsidRPr="00A81971">
        <w:tab/>
      </w:r>
      <w:r w:rsidRPr="00A81971">
        <w:tab/>
        <w:t xml:space="preserve">Extruded Polystyrene </w:t>
      </w:r>
    </w:p>
    <w:p w14:paraId="4A5CCEAC" w14:textId="77777777" w:rsidR="0061231F" w:rsidRPr="00A81971" w:rsidRDefault="0061231F">
      <w:pPr>
        <w:spacing w:after="0"/>
        <w:rPr>
          <w:b/>
          <w:bCs/>
          <w:sz w:val="24"/>
          <w:szCs w:val="24"/>
        </w:rPr>
      </w:pPr>
    </w:p>
    <w:p w14:paraId="65716769" w14:textId="77777777" w:rsidR="003C7E17" w:rsidRPr="00A81971" w:rsidRDefault="003C7E17">
      <w:pPr>
        <w:spacing w:after="0"/>
        <w:rPr>
          <w:b/>
          <w:bCs/>
          <w:sz w:val="24"/>
          <w:szCs w:val="24"/>
        </w:rPr>
      </w:pPr>
    </w:p>
    <w:p w14:paraId="4A99198F" w14:textId="77777777" w:rsidR="003C7E17" w:rsidRPr="00A81971" w:rsidRDefault="003C7E17">
      <w:pPr>
        <w:spacing w:after="0"/>
        <w:rPr>
          <w:b/>
          <w:bCs/>
          <w:sz w:val="24"/>
          <w:szCs w:val="24"/>
        </w:rPr>
      </w:pPr>
    </w:p>
    <w:p w14:paraId="6E766ACC" w14:textId="77777777" w:rsidR="00792818" w:rsidRPr="00A81971" w:rsidRDefault="00792818" w:rsidP="00696E14">
      <w:pPr>
        <w:pStyle w:val="Heading1"/>
      </w:pPr>
    </w:p>
    <w:p w14:paraId="7A3510C8" w14:textId="77777777" w:rsidR="002E3156" w:rsidRDefault="0032495C" w:rsidP="2069CF0C">
      <w:pPr>
        <w:sectPr w:rsidR="002E3156" w:rsidSect="002E3156">
          <w:type w:val="oddPage"/>
          <w:pgSz w:w="11906" w:h="16838" w:code="9"/>
          <w:pgMar w:top="1411" w:right="1411" w:bottom="1411" w:left="1411" w:header="706" w:footer="706" w:gutter="0"/>
          <w:pgNumType w:fmt="lowerRoman" w:start="2"/>
          <w:cols w:space="708"/>
          <w:docGrid w:linePitch="360"/>
        </w:sectPr>
      </w:pPr>
      <w:r w:rsidRPr="00A81971">
        <w:br w:type="page"/>
      </w:r>
    </w:p>
    <w:p w14:paraId="2D69E31B" w14:textId="77777777" w:rsidR="00792818" w:rsidRPr="00A81971" w:rsidRDefault="0032495C" w:rsidP="00696E14">
      <w:pPr>
        <w:pStyle w:val="Heading1"/>
      </w:pPr>
      <w:bookmarkStart w:id="126" w:name="_Toc41839955"/>
      <w:bookmarkStart w:id="127" w:name="_Toc41841045"/>
      <w:bookmarkStart w:id="128" w:name="_Toc145692835"/>
      <w:bookmarkStart w:id="129" w:name="_Toc240987314"/>
      <w:r w:rsidRPr="00A81971">
        <w:lastRenderedPageBreak/>
        <w:t>EXECUTIVE SUMMARY</w:t>
      </w:r>
      <w:bookmarkEnd w:id="126"/>
      <w:bookmarkEnd w:id="127"/>
      <w:bookmarkEnd w:id="128"/>
      <w:bookmarkEnd w:id="129"/>
    </w:p>
    <w:p w14:paraId="523A5155" w14:textId="77777777" w:rsidR="00D03B25" w:rsidRPr="00A81971" w:rsidRDefault="00D03B25" w:rsidP="00B6614E">
      <w:pPr>
        <w:rPr>
          <w:lang w:eastAsia="zh-CN"/>
        </w:rPr>
      </w:pPr>
      <w:bookmarkStart w:id="130" w:name="_Toc390721934"/>
    </w:p>
    <w:p w14:paraId="224F1182" w14:textId="0CECCA75" w:rsidR="003B5790" w:rsidRPr="00A81971" w:rsidRDefault="0032495C" w:rsidP="003B5790">
      <w:bookmarkStart w:id="131" w:name="_Hlk133537113"/>
      <w:r w:rsidRPr="00A81971">
        <w:t xml:space="preserve">The replenishment of the Multilateral Fund </w:t>
      </w:r>
      <w:r w:rsidR="00432732" w:rsidRPr="00A81971">
        <w:t xml:space="preserve">(MLF) </w:t>
      </w:r>
      <w:r w:rsidRPr="00A81971">
        <w:t xml:space="preserve">for the Montreal Protocol on Substances that Deplete the Ozone Layer for the 2027-2029 triennium will provide financing to Article 5 (A5) parties for the incremental costs </w:t>
      </w:r>
      <w:r w:rsidR="46A3B0F3" w:rsidRPr="00A81971">
        <w:t>of completing</w:t>
      </w:r>
      <w:r w:rsidRPr="00A81971">
        <w:t xml:space="preserve"> the phase-out of </w:t>
      </w:r>
      <w:r w:rsidR="00875A33" w:rsidRPr="00A81971">
        <w:t>ozone-depleting substances (</w:t>
      </w:r>
      <w:r w:rsidRPr="00A81971">
        <w:t>ODS</w:t>
      </w:r>
      <w:r w:rsidR="00875A33" w:rsidRPr="00A81971">
        <w:t>)</w:t>
      </w:r>
      <w:r w:rsidRPr="00A81971">
        <w:t xml:space="preserve"> and </w:t>
      </w:r>
      <w:r w:rsidR="46A3B0F3" w:rsidRPr="00A81971">
        <w:t>continuing</w:t>
      </w:r>
      <w:r w:rsidRPr="00A81971">
        <w:t xml:space="preserve"> the phase-down of hydrofluorocarbons (HFCs). Annex C Group I (hydrochlorofluorocarbons (HCFCs) and Annex F (HFCs) substances are the only substances under the Montreal Protocol where consumption and production are still allowed.</w:t>
      </w:r>
    </w:p>
    <w:p w14:paraId="4E5F63B8" w14:textId="3C949724" w:rsidR="003B5790" w:rsidRPr="00A81971" w:rsidRDefault="0032495C" w:rsidP="003B5790">
      <w:pPr>
        <w:numPr>
          <w:ilvl w:val="0"/>
          <w:numId w:val="6"/>
        </w:numPr>
        <w:spacing w:after="0"/>
      </w:pPr>
      <w:r w:rsidRPr="00A81971">
        <w:t xml:space="preserve">For Annex C, Group 1, controlled substances (HCFCs), the compliance target for the 2027-2029 triennium </w:t>
      </w:r>
      <w:r w:rsidR="15157685" w:rsidRPr="00A81971">
        <w:t xml:space="preserve">for A5 parties </w:t>
      </w:r>
      <w:r w:rsidRPr="00A81971">
        <w:t>is a 97.5% reduction from baseline by 1 January 2030</w:t>
      </w:r>
      <w:r w:rsidRPr="00A81971">
        <w:rPr>
          <w:vertAlign w:val="superscript"/>
        </w:rPr>
        <w:t>.</w:t>
      </w:r>
      <w:r>
        <w:rPr>
          <w:vertAlign w:val="superscript"/>
        </w:rPr>
        <w:footnoteReference w:id="2"/>
      </w:r>
      <w:r w:rsidRPr="00A81971">
        <w:rPr>
          <w:vertAlign w:val="superscript"/>
        </w:rPr>
        <w:t xml:space="preserve"> </w:t>
      </w:r>
    </w:p>
    <w:p w14:paraId="3C816C3A" w14:textId="00BFB718" w:rsidR="003B5790" w:rsidRPr="00A81971" w:rsidRDefault="0032495C" w:rsidP="00054B18">
      <w:pPr>
        <w:numPr>
          <w:ilvl w:val="0"/>
          <w:numId w:val="6"/>
        </w:numPr>
        <w:spacing w:before="120" w:after="0"/>
        <w:ind w:left="777" w:hanging="357"/>
      </w:pPr>
      <w:r w:rsidRPr="00A81971">
        <w:t xml:space="preserve">Annex F controlled substances (HFCs), the compliance targets for the 2027-2029 and the subsequent two triennia </w:t>
      </w:r>
      <w:r w:rsidR="21CE9B87" w:rsidRPr="00A81971">
        <w:t xml:space="preserve">for A5 parties </w:t>
      </w:r>
      <w:r w:rsidRPr="00A81971">
        <w:t>are as follows:</w:t>
      </w:r>
    </w:p>
    <w:p w14:paraId="4C21B381" w14:textId="77777777" w:rsidR="003B5790" w:rsidRPr="00A81971" w:rsidRDefault="0032495C" w:rsidP="00054B18">
      <w:pPr>
        <w:numPr>
          <w:ilvl w:val="1"/>
          <w:numId w:val="6"/>
        </w:numPr>
        <w:spacing w:before="120" w:after="0"/>
        <w:ind w:left="1497" w:hanging="357"/>
      </w:pPr>
      <w:r w:rsidRPr="00A81971">
        <w:t>Group 1 parties: A 10% reduction from baseline by 1 January 2029 and a 30% reduction from baseline by 1 January 2035.</w:t>
      </w:r>
    </w:p>
    <w:p w14:paraId="43F02BD0" w14:textId="77777777" w:rsidR="003B5790" w:rsidRPr="00A81971" w:rsidRDefault="0032495C" w:rsidP="00054B18">
      <w:pPr>
        <w:numPr>
          <w:ilvl w:val="1"/>
          <w:numId w:val="6"/>
        </w:numPr>
        <w:spacing w:before="60"/>
        <w:ind w:left="1497" w:hanging="357"/>
      </w:pPr>
      <w:r w:rsidRPr="00A81971">
        <w:t>Group 2 parties</w:t>
      </w:r>
      <w:r>
        <w:rPr>
          <w:vertAlign w:val="superscript"/>
        </w:rPr>
        <w:footnoteReference w:id="3"/>
      </w:r>
      <w:r w:rsidRPr="00A81971">
        <w:t>: A freeze of production and consumption by 1 January 2028 and a 10% reduction from baseline by 1 January 2032.</w:t>
      </w:r>
    </w:p>
    <w:p w14:paraId="6FCD9D22" w14:textId="77777777" w:rsidR="00B82CC2" w:rsidRPr="00A81971" w:rsidRDefault="0032495C" w:rsidP="00B82CC2">
      <w:pPr>
        <w:tabs>
          <w:tab w:val="left" w:pos="2160"/>
          <w:tab w:val="left" w:pos="2880"/>
          <w:tab w:val="left" w:pos="3600"/>
          <w:tab w:val="left" w:pos="4320"/>
          <w:tab w:val="left" w:pos="5040"/>
          <w:tab w:val="left" w:pos="6480"/>
          <w:tab w:val="left" w:pos="7200"/>
          <w:tab w:val="left" w:pos="7920"/>
        </w:tabs>
        <w:spacing w:after="240"/>
      </w:pPr>
      <w:r w:rsidRPr="00A81971">
        <w:t xml:space="preserve">At the Thirty-seventh Meeting of the Parties to the Montreal Protocol (MOP-37), parties adopted Decision XXXVII/6 which provided the terms of reference (TOR) for the work of the Technology and Economic Assessment Panel (TEAP) to prepare a report on the appropriate level of the replenishment of the MLF for the triennium 2027-2029. The parties requested the TEAP to prepare a report for submission to MOP-38, and presentation to the Open-ended Working Group at its Forty-eighth Meeting (OEWG-48), to enable parties at MOP-38 to take a decision. </w:t>
      </w:r>
    </w:p>
    <w:p w14:paraId="3E1201A3" w14:textId="77777777" w:rsidR="00B82CC2" w:rsidRPr="00A81971" w:rsidRDefault="0032495C" w:rsidP="00B82CC2">
      <w:pPr>
        <w:tabs>
          <w:tab w:val="left" w:pos="2160"/>
          <w:tab w:val="left" w:pos="2880"/>
          <w:tab w:val="left" w:pos="3600"/>
          <w:tab w:val="left" w:pos="4320"/>
          <w:tab w:val="left" w:pos="5040"/>
          <w:tab w:val="left" w:pos="6480"/>
          <w:tab w:val="left" w:pos="7200"/>
          <w:tab w:val="left" w:pos="7920"/>
        </w:tabs>
        <w:spacing w:after="240"/>
      </w:pPr>
      <w:r w:rsidRPr="00A81971">
        <w:t xml:space="preserve">The TEAP established a Decision XXXVII/6 Replenishment Task Force (RTF), with members from TEAP, its Technical Options Committees, and other outside experts. The RTF presented its “May 2026 TEAP Decision XXXVII/6 Replenishment Task Force </w:t>
      </w:r>
      <w:r w:rsidR="34B0439A" w:rsidRPr="00A81971">
        <w:t xml:space="preserve">Report” </w:t>
      </w:r>
      <w:r>
        <w:rPr>
          <w:vertAlign w:val="superscript"/>
        </w:rPr>
        <w:footnoteReference w:id="4"/>
      </w:r>
      <w:r w:rsidR="34B0439A" w:rsidRPr="00A81971">
        <w:t xml:space="preserve"> (May 2026 Report) at OEWG-48 and responded to clarifying questions from parties. Subsequently, the Working Group established a Contact Group to further consider the report. During the discussions, the RTF provided clarification and additional information for the members of the Contact Group. The Contact Group then discussed several topics and agreed on a list of suggestions</w:t>
      </w:r>
      <w:r>
        <w:rPr>
          <w:vertAlign w:val="superscript"/>
        </w:rPr>
        <w:footnoteReference w:id="5"/>
      </w:r>
      <w:r w:rsidR="34B0439A" w:rsidRPr="00A81971">
        <w:t xml:space="preserve"> for additional analysis to be addressed by the RTF in a supplementary report on MLF replenishment for the period 2027-2029. </w:t>
      </w:r>
    </w:p>
    <w:p w14:paraId="53D58D6D" w14:textId="4BEAE382" w:rsidR="003B5790" w:rsidRPr="00A81971" w:rsidRDefault="0032495C" w:rsidP="00B82CC2">
      <w:pPr>
        <w:tabs>
          <w:tab w:val="left" w:pos="2160"/>
          <w:tab w:val="left" w:pos="2880"/>
          <w:tab w:val="left" w:pos="3600"/>
          <w:tab w:val="left" w:pos="4320"/>
          <w:tab w:val="left" w:pos="5040"/>
          <w:tab w:val="left" w:pos="6480"/>
          <w:tab w:val="left" w:pos="7200"/>
          <w:tab w:val="left" w:pos="7920"/>
        </w:tabs>
        <w:spacing w:after="240"/>
      </w:pPr>
      <w:r w:rsidRPr="00A81971">
        <w:rPr>
          <w:rFonts w:eastAsia="DengXian"/>
        </w:rPr>
        <w:t>Table ES</w:t>
      </w:r>
      <w:r w:rsidR="00E83EBE">
        <w:rPr>
          <w:rFonts w:eastAsia="DengXian"/>
        </w:rPr>
        <w:t>.</w:t>
      </w:r>
      <w:r w:rsidRPr="00A81971">
        <w:rPr>
          <w:rFonts w:eastAsia="DengXian"/>
        </w:rPr>
        <w:t xml:space="preserve">1 indicates the relevant chapters of this report where the suggestions are addressed. </w:t>
      </w:r>
    </w:p>
    <w:p w14:paraId="429F65D0" w14:textId="77777777" w:rsidR="00921888" w:rsidRDefault="0032495C">
      <w:pPr>
        <w:spacing w:after="0"/>
        <w:rPr>
          <w:rFonts w:eastAsia="Yu Mincho"/>
          <w:b/>
          <w:bCs/>
          <w:color w:val="000000"/>
          <w:lang w:val="en-CA"/>
        </w:rPr>
      </w:pPr>
      <w:r>
        <w:rPr>
          <w:rFonts w:eastAsia="Yu Mincho"/>
          <w:b/>
          <w:bCs/>
          <w:color w:val="000000"/>
          <w:lang w:val="en-CA"/>
        </w:rPr>
        <w:br w:type="page"/>
      </w:r>
    </w:p>
    <w:p w14:paraId="7811C6E2" w14:textId="77777777" w:rsidR="00450713" w:rsidRDefault="0032495C" w:rsidP="00450713">
      <w:pPr>
        <w:tabs>
          <w:tab w:val="left" w:pos="0"/>
          <w:tab w:val="left" w:pos="1250"/>
          <w:tab w:val="left" w:pos="1418"/>
        </w:tabs>
        <w:spacing w:after="240"/>
        <w:ind w:left="1418" w:hanging="1418"/>
        <w:rPr>
          <w:b/>
          <w:bCs/>
        </w:rPr>
      </w:pPr>
      <w:r w:rsidRPr="0006445E">
        <w:rPr>
          <w:rFonts w:eastAsia="Yu Mincho"/>
          <w:b/>
          <w:bCs/>
          <w:color w:val="000000"/>
          <w:lang w:val="en-CA"/>
        </w:rPr>
        <w:lastRenderedPageBreak/>
        <w:t xml:space="preserve">Table </w:t>
      </w:r>
      <w:r>
        <w:rPr>
          <w:rFonts w:eastAsia="Yu Mincho"/>
          <w:b/>
          <w:bCs/>
          <w:color w:val="000000"/>
          <w:lang w:val="en-CA"/>
        </w:rPr>
        <w:t>ES.1</w:t>
      </w:r>
      <w:r w:rsidR="00175129">
        <w:rPr>
          <w:rFonts w:eastAsia="Yu Mincho"/>
          <w:b/>
          <w:bCs/>
          <w:color w:val="000000"/>
          <w:lang w:val="en-CA"/>
        </w:rPr>
        <w:t>:</w:t>
      </w:r>
      <w:r w:rsidRPr="0006445E">
        <w:rPr>
          <w:rFonts w:eastAsia="Times New Roman"/>
          <w:color w:val="000000"/>
          <w:lang w:val="en-CA"/>
        </w:rPr>
        <w:tab/>
      </w:r>
      <w:r w:rsidRPr="00A81971">
        <w:rPr>
          <w:b/>
          <w:bCs/>
        </w:rPr>
        <w:t>Suggestions/Scenarios: Potential changes to funding requirement for 2027–2029</w:t>
      </w:r>
    </w:p>
    <w:tbl>
      <w:tblPr>
        <w:tblStyle w:val="TableGrid1"/>
        <w:tblW w:w="9085" w:type="dxa"/>
        <w:jc w:val="center"/>
        <w:tblLayout w:type="fixed"/>
        <w:tblCellMar>
          <w:left w:w="0" w:type="dxa"/>
          <w:right w:w="0" w:type="dxa"/>
        </w:tblCellMar>
        <w:tblLook w:val="04A0" w:firstRow="1" w:lastRow="0" w:firstColumn="1" w:lastColumn="0" w:noHBand="0" w:noVBand="1"/>
      </w:tblPr>
      <w:tblGrid>
        <w:gridCol w:w="1255"/>
        <w:gridCol w:w="6300"/>
        <w:gridCol w:w="1530"/>
      </w:tblGrid>
      <w:tr w:rsidR="00F90461" w14:paraId="7E5392BF" w14:textId="77777777" w:rsidTr="2E7655E2">
        <w:trPr>
          <w:trHeight w:val="423"/>
          <w:tblHeader/>
          <w:jc w:val="center"/>
        </w:trPr>
        <w:tc>
          <w:tcPr>
            <w:tcW w:w="1255" w:type="dxa"/>
            <w:shd w:val="clear" w:color="auto" w:fill="D9E2F3" w:themeFill="accent1" w:themeFillTint="33"/>
            <w:noWrap/>
            <w:tcMar>
              <w:top w:w="0" w:type="dxa"/>
              <w:left w:w="108" w:type="dxa"/>
              <w:bottom w:w="0" w:type="dxa"/>
              <w:right w:w="108" w:type="dxa"/>
            </w:tcMar>
            <w:vAlign w:val="center"/>
          </w:tcPr>
          <w:p w14:paraId="5D07C2A3" w14:textId="77777777" w:rsidR="003B5790" w:rsidRPr="00A81971" w:rsidRDefault="0032495C" w:rsidP="00A709C3">
            <w:pPr>
              <w:keepNext/>
              <w:keepLines/>
              <w:autoSpaceDE w:val="0"/>
              <w:autoSpaceDN w:val="0"/>
              <w:adjustRightInd w:val="0"/>
              <w:spacing w:after="0"/>
              <w:jc w:val="center"/>
              <w:rPr>
                <w:rFonts w:eastAsia="Times New Roman"/>
                <w:b/>
                <w:color w:val="000000"/>
                <w:sz w:val="20"/>
                <w:szCs w:val="20"/>
                <w:lang w:eastAsia="zh-CN"/>
              </w:rPr>
            </w:pPr>
            <w:r w:rsidRPr="00A81971">
              <w:rPr>
                <w:rFonts w:eastAsia="Times New Roman"/>
                <w:b/>
                <w:color w:val="000000"/>
                <w:sz w:val="20"/>
                <w:szCs w:val="20"/>
                <w:lang w:eastAsia="zh-CN"/>
              </w:rPr>
              <w:t>Item</w:t>
            </w:r>
          </w:p>
        </w:tc>
        <w:tc>
          <w:tcPr>
            <w:tcW w:w="6300" w:type="dxa"/>
            <w:shd w:val="clear" w:color="auto" w:fill="D9E2F3" w:themeFill="accent1" w:themeFillTint="33"/>
            <w:vAlign w:val="center"/>
          </w:tcPr>
          <w:p w14:paraId="0DC2CED8" w14:textId="77777777" w:rsidR="003B5790" w:rsidRPr="00A81971" w:rsidRDefault="0032495C" w:rsidP="0032053D">
            <w:pPr>
              <w:keepNext/>
              <w:keepLines/>
              <w:autoSpaceDE w:val="0"/>
              <w:autoSpaceDN w:val="0"/>
              <w:adjustRightInd w:val="0"/>
              <w:spacing w:after="0"/>
              <w:jc w:val="center"/>
              <w:rPr>
                <w:rFonts w:eastAsia="Times New Roman"/>
                <w:b/>
                <w:caps/>
                <w:color w:val="000000"/>
                <w:sz w:val="20"/>
                <w:szCs w:val="20"/>
                <w:lang w:eastAsia="zh-CN"/>
              </w:rPr>
            </w:pPr>
            <w:r w:rsidRPr="00A81971">
              <w:rPr>
                <w:rFonts w:eastAsia="Times New Roman"/>
                <w:b/>
                <w:color w:val="000000"/>
                <w:sz w:val="20"/>
                <w:szCs w:val="20"/>
                <w:lang w:eastAsia="zh-CN"/>
              </w:rPr>
              <w:t>Suggestions/Scenarios</w:t>
            </w:r>
          </w:p>
        </w:tc>
        <w:tc>
          <w:tcPr>
            <w:tcW w:w="1530" w:type="dxa"/>
            <w:shd w:val="clear" w:color="auto" w:fill="D9E2F3" w:themeFill="accent1" w:themeFillTint="33"/>
            <w:vAlign w:val="center"/>
          </w:tcPr>
          <w:p w14:paraId="0585EFF7" w14:textId="77777777" w:rsidR="003B5790" w:rsidRPr="00A81971" w:rsidRDefault="0032495C" w:rsidP="0032053D">
            <w:pPr>
              <w:keepNext/>
              <w:keepLines/>
              <w:autoSpaceDE w:val="0"/>
              <w:autoSpaceDN w:val="0"/>
              <w:adjustRightInd w:val="0"/>
              <w:spacing w:after="0"/>
              <w:jc w:val="center"/>
              <w:rPr>
                <w:rFonts w:ascii="Times New Roman Bold" w:eastAsia="Times New Roman" w:hAnsi="Times New Roman Bold"/>
                <w:b/>
                <w:color w:val="000000"/>
                <w:sz w:val="20"/>
                <w:szCs w:val="20"/>
                <w:lang w:eastAsia="zh-CN"/>
              </w:rPr>
            </w:pPr>
            <w:r w:rsidRPr="00A81971">
              <w:rPr>
                <w:rFonts w:ascii="Times New Roman Bold" w:eastAsia="Times New Roman" w:hAnsi="Times New Roman Bold"/>
                <w:b/>
                <w:color w:val="000000"/>
                <w:sz w:val="20"/>
                <w:szCs w:val="20"/>
                <w:lang w:eastAsia="zh-CN"/>
              </w:rPr>
              <w:t>Relevant chapter</w:t>
            </w:r>
          </w:p>
        </w:tc>
      </w:tr>
      <w:tr w:rsidR="00F90461" w14:paraId="745B5905" w14:textId="77777777" w:rsidTr="2E7655E2">
        <w:trPr>
          <w:trHeight w:val="423"/>
          <w:jc w:val="center"/>
        </w:trPr>
        <w:tc>
          <w:tcPr>
            <w:tcW w:w="9085" w:type="dxa"/>
            <w:gridSpan w:val="3"/>
            <w:shd w:val="clear" w:color="auto" w:fill="E2EFD9" w:themeFill="accent6" w:themeFillTint="33"/>
            <w:vAlign w:val="center"/>
          </w:tcPr>
          <w:p w14:paraId="6731962E" w14:textId="77777777" w:rsidR="003B5790" w:rsidRPr="00A81971" w:rsidRDefault="0032495C" w:rsidP="003B5790">
            <w:pPr>
              <w:keepNext/>
              <w:keepLines/>
              <w:autoSpaceDE w:val="0"/>
              <w:autoSpaceDN w:val="0"/>
              <w:adjustRightInd w:val="0"/>
              <w:spacing w:after="0"/>
              <w:rPr>
                <w:rFonts w:ascii="Times New Roman Bold" w:eastAsia="Times New Roman" w:hAnsi="Times New Roman Bold"/>
                <w:b/>
                <w:color w:val="000000"/>
                <w:sz w:val="20"/>
                <w:szCs w:val="20"/>
                <w:lang w:eastAsia="zh-CN"/>
              </w:rPr>
            </w:pPr>
            <w:r w:rsidRPr="00A81971">
              <w:rPr>
                <w:rFonts w:eastAsia="Times New Roman"/>
                <w:b/>
                <w:bCs/>
                <w:color w:val="000000"/>
                <w:sz w:val="20"/>
                <w:szCs w:val="20"/>
                <w:lang w:eastAsia="zh-CN"/>
              </w:rPr>
              <w:t>ExCom-98 Decisions</w:t>
            </w:r>
          </w:p>
        </w:tc>
      </w:tr>
      <w:tr w:rsidR="00F90461" w14:paraId="179CDCAF" w14:textId="77777777" w:rsidTr="2E7655E2">
        <w:trPr>
          <w:trHeight w:val="372"/>
          <w:jc w:val="center"/>
        </w:trPr>
        <w:tc>
          <w:tcPr>
            <w:tcW w:w="1255" w:type="dxa"/>
            <w:noWrap/>
            <w:tcMar>
              <w:top w:w="0" w:type="dxa"/>
              <w:left w:w="108" w:type="dxa"/>
              <w:bottom w:w="0" w:type="dxa"/>
              <w:right w:w="108" w:type="dxa"/>
            </w:tcMar>
          </w:tcPr>
          <w:p w14:paraId="6F730DC0" w14:textId="77777777" w:rsidR="003B5790" w:rsidRPr="00A81971" w:rsidRDefault="0032495C" w:rsidP="003B5790">
            <w:pPr>
              <w:keepNext/>
              <w:keepLines/>
              <w:autoSpaceDE w:val="0"/>
              <w:autoSpaceDN w:val="0"/>
              <w:adjustRightInd w:val="0"/>
              <w:spacing w:after="0"/>
              <w:jc w:val="center"/>
              <w:rPr>
                <w:rFonts w:eastAsia="Times New Roman"/>
                <w:color w:val="000000"/>
                <w:sz w:val="20"/>
                <w:szCs w:val="20"/>
                <w:lang w:eastAsia="zh-CN"/>
              </w:rPr>
            </w:pPr>
            <w:r w:rsidRPr="00A81971">
              <w:rPr>
                <w:rFonts w:eastAsia="Times New Roman"/>
                <w:color w:val="000000"/>
                <w:sz w:val="20"/>
                <w:szCs w:val="20"/>
                <w:lang w:eastAsia="zh-CN"/>
              </w:rPr>
              <w:t>1</w:t>
            </w:r>
          </w:p>
        </w:tc>
        <w:tc>
          <w:tcPr>
            <w:tcW w:w="6300" w:type="dxa"/>
          </w:tcPr>
          <w:p w14:paraId="2BE35F2F" w14:textId="77777777" w:rsidR="003B5790" w:rsidRPr="00A81971" w:rsidRDefault="0032495C" w:rsidP="003B5790">
            <w:pPr>
              <w:spacing w:before="40" w:after="40"/>
              <w:rPr>
                <w:rFonts w:eastAsia="Times New Roman"/>
                <w:color w:val="000000"/>
                <w:sz w:val="20"/>
                <w:szCs w:val="20"/>
                <w:lang w:eastAsia="zh-CN"/>
              </w:rPr>
            </w:pPr>
            <w:r w:rsidRPr="00A81971">
              <w:rPr>
                <w:color w:val="000000" w:themeColor="text1"/>
                <w:sz w:val="20"/>
                <w:szCs w:val="20"/>
                <w:lang w:eastAsia="nl-NL"/>
              </w:rPr>
              <w:t xml:space="preserve">Adjust all elements of the funding requirements based on relevant decisions taken at the 98th meeting of the Executive Committee and make any additional necessary updates to accurately reflect amounts in approved </w:t>
            </w:r>
            <w:r w:rsidR="350041B7" w:rsidRPr="00A81971">
              <w:rPr>
                <w:color w:val="000000" w:themeColor="text1"/>
                <w:sz w:val="20"/>
                <w:szCs w:val="20"/>
                <w:lang w:eastAsia="nl-NL"/>
              </w:rPr>
              <w:t>HCFC Phase-out Management Plans (</w:t>
            </w:r>
            <w:r w:rsidRPr="00A81971">
              <w:rPr>
                <w:color w:val="000000" w:themeColor="text1"/>
                <w:sz w:val="20"/>
                <w:szCs w:val="20"/>
                <w:lang w:eastAsia="nl-NL"/>
              </w:rPr>
              <w:t>HPMPs</w:t>
            </w:r>
            <w:r w:rsidR="350041B7" w:rsidRPr="00A81971">
              <w:rPr>
                <w:color w:val="000000" w:themeColor="text1"/>
                <w:sz w:val="20"/>
                <w:szCs w:val="20"/>
                <w:lang w:eastAsia="nl-NL"/>
              </w:rPr>
              <w:t>)</w:t>
            </w:r>
            <w:r w:rsidRPr="00A81971">
              <w:rPr>
                <w:color w:val="000000" w:themeColor="text1"/>
                <w:sz w:val="20"/>
                <w:szCs w:val="20"/>
                <w:lang w:eastAsia="nl-NL"/>
              </w:rPr>
              <w:t xml:space="preserve"> and </w:t>
            </w:r>
            <w:r w:rsidR="350041B7" w:rsidRPr="00A81971">
              <w:rPr>
                <w:color w:val="000000" w:themeColor="text1"/>
                <w:sz w:val="20"/>
                <w:szCs w:val="20"/>
                <w:lang w:eastAsia="nl-NL"/>
              </w:rPr>
              <w:t>Kigali Implementation Plans (</w:t>
            </w:r>
            <w:r w:rsidRPr="00A81971">
              <w:rPr>
                <w:color w:val="000000" w:themeColor="text1"/>
                <w:sz w:val="20"/>
                <w:szCs w:val="20"/>
                <w:lang w:eastAsia="nl-NL"/>
              </w:rPr>
              <w:t>KIPs</w:t>
            </w:r>
            <w:r w:rsidR="350041B7" w:rsidRPr="00A81971">
              <w:rPr>
                <w:color w:val="000000" w:themeColor="text1"/>
                <w:sz w:val="20"/>
                <w:szCs w:val="20"/>
                <w:lang w:eastAsia="nl-NL"/>
              </w:rPr>
              <w:t>);</w:t>
            </w:r>
          </w:p>
        </w:tc>
        <w:tc>
          <w:tcPr>
            <w:tcW w:w="1530" w:type="dxa"/>
          </w:tcPr>
          <w:p w14:paraId="4CC75F39" w14:textId="77777777" w:rsidR="003B5790" w:rsidRPr="00A81971" w:rsidRDefault="0032495C" w:rsidP="003B5790">
            <w:pPr>
              <w:keepNext/>
              <w:keepLines/>
              <w:autoSpaceDE w:val="0"/>
              <w:autoSpaceDN w:val="0"/>
              <w:adjustRightInd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2</w:t>
            </w:r>
          </w:p>
        </w:tc>
      </w:tr>
      <w:tr w:rsidR="00F90461" w14:paraId="3E8ABBA6" w14:textId="77777777" w:rsidTr="2E7655E2">
        <w:trPr>
          <w:trHeight w:val="372"/>
          <w:jc w:val="center"/>
        </w:trPr>
        <w:tc>
          <w:tcPr>
            <w:tcW w:w="9085" w:type="dxa"/>
            <w:gridSpan w:val="3"/>
            <w:shd w:val="clear" w:color="auto" w:fill="E2EFD9" w:themeFill="accent6" w:themeFillTint="33"/>
            <w:vAlign w:val="center"/>
          </w:tcPr>
          <w:p w14:paraId="77CAEA48" w14:textId="77777777" w:rsidR="003B5790" w:rsidRPr="00A81971" w:rsidRDefault="0032495C" w:rsidP="003B5790">
            <w:pPr>
              <w:spacing w:before="40" w:after="40"/>
              <w:rPr>
                <w:rFonts w:eastAsia="Times New Roman"/>
                <w:b/>
                <w:bCs/>
                <w:color w:val="000000"/>
                <w:sz w:val="20"/>
                <w:szCs w:val="20"/>
                <w:lang w:eastAsia="zh-CN"/>
              </w:rPr>
            </w:pPr>
            <w:r w:rsidRPr="00A81971">
              <w:rPr>
                <w:rFonts w:ascii="Times New Roman Bold" w:eastAsia="Times New Roman" w:hAnsi="Times New Roman Bold"/>
                <w:b/>
                <w:color w:val="000000"/>
                <w:sz w:val="20"/>
                <w:szCs w:val="20"/>
                <w:lang w:eastAsia="zh-CN"/>
              </w:rPr>
              <w:t>Overall Suggestions</w:t>
            </w:r>
          </w:p>
        </w:tc>
      </w:tr>
      <w:tr w:rsidR="00F90461" w14:paraId="64FD61D6" w14:textId="77777777" w:rsidTr="2E7655E2">
        <w:trPr>
          <w:trHeight w:val="372"/>
          <w:jc w:val="center"/>
        </w:trPr>
        <w:tc>
          <w:tcPr>
            <w:tcW w:w="1255" w:type="dxa"/>
            <w:noWrap/>
            <w:tcMar>
              <w:top w:w="0" w:type="dxa"/>
              <w:left w:w="108" w:type="dxa"/>
              <w:bottom w:w="0" w:type="dxa"/>
              <w:right w:w="108" w:type="dxa"/>
            </w:tcMar>
          </w:tcPr>
          <w:p w14:paraId="6B4DB3EE" w14:textId="77777777" w:rsidR="003B5790" w:rsidRPr="00A81971" w:rsidRDefault="0032495C" w:rsidP="003B5790">
            <w:pPr>
              <w:autoSpaceDE w:val="0"/>
              <w:autoSpaceDN w:val="0"/>
              <w:adjustRightInd w:val="0"/>
              <w:spacing w:after="0"/>
              <w:jc w:val="center"/>
              <w:rPr>
                <w:rFonts w:eastAsia="Times New Roman"/>
                <w:color w:val="000000"/>
                <w:sz w:val="20"/>
                <w:szCs w:val="20"/>
                <w:highlight w:val="yellow"/>
                <w:lang w:eastAsia="zh-CN"/>
              </w:rPr>
            </w:pPr>
            <w:r w:rsidRPr="00A81971">
              <w:rPr>
                <w:rFonts w:eastAsia="Times New Roman"/>
                <w:color w:val="000000"/>
                <w:sz w:val="20"/>
                <w:szCs w:val="20"/>
                <w:lang w:eastAsia="zh-CN"/>
              </w:rPr>
              <w:t>2</w:t>
            </w:r>
          </w:p>
        </w:tc>
        <w:tc>
          <w:tcPr>
            <w:tcW w:w="6300" w:type="dxa"/>
          </w:tcPr>
          <w:p w14:paraId="1EFCAF7E" w14:textId="77777777" w:rsidR="003B5790" w:rsidRPr="00A81971" w:rsidRDefault="0032495C" w:rsidP="003B5790">
            <w:pPr>
              <w:keepNext/>
              <w:keepLines/>
              <w:autoSpaceDE w:val="0"/>
              <w:autoSpaceDN w:val="0"/>
              <w:adjustRightInd w:val="0"/>
              <w:spacing w:before="40" w:after="40"/>
              <w:rPr>
                <w:lang w:eastAsia="zh-CN"/>
              </w:rPr>
            </w:pPr>
            <w:r w:rsidRPr="00A81971">
              <w:rPr>
                <w:rFonts w:eastAsia="Times New Roman"/>
                <w:color w:val="000000"/>
                <w:sz w:val="20"/>
                <w:szCs w:val="20"/>
                <w:lang w:eastAsia="zh-CN"/>
              </w:rPr>
              <w:t xml:space="preserve">When estimating the funding requirements for HPMPs and KIPs, apply CE factors according to three scenarios: </w:t>
            </w:r>
          </w:p>
          <w:p w14:paraId="5EE53C54" w14:textId="77777777" w:rsidR="003B5790" w:rsidRPr="00A81971" w:rsidRDefault="0032495C" w:rsidP="007A20BD">
            <w:pPr>
              <w:keepNext/>
              <w:keepLines/>
              <w:numPr>
                <w:ilvl w:val="0"/>
                <w:numId w:val="56"/>
              </w:numPr>
              <w:autoSpaceDE w:val="0"/>
              <w:autoSpaceDN w:val="0"/>
              <w:adjustRightInd w:val="0"/>
              <w:spacing w:before="40" w:after="40"/>
              <w:contextualSpacing/>
              <w:rPr>
                <w:lang w:eastAsia="zh-CN"/>
              </w:rPr>
            </w:pPr>
            <w:r w:rsidRPr="00A81971">
              <w:rPr>
                <w:rFonts w:eastAsia="Times New Roman"/>
                <w:color w:val="000000" w:themeColor="text1"/>
                <w:sz w:val="20"/>
                <w:szCs w:val="20"/>
                <w:lang w:eastAsia="zh-CN"/>
              </w:rPr>
              <w:t xml:space="preserve">one based on historical </w:t>
            </w:r>
            <w:r w:rsidR="350041B7" w:rsidRPr="00A81971">
              <w:rPr>
                <w:rFonts w:eastAsia="Times New Roman"/>
                <w:color w:val="000000" w:themeColor="text1"/>
                <w:sz w:val="20"/>
                <w:szCs w:val="20"/>
                <w:lang w:eastAsia="zh-CN"/>
              </w:rPr>
              <w:t>Cost-effectiveness (</w:t>
            </w:r>
            <w:r w:rsidRPr="00A81971">
              <w:rPr>
                <w:rFonts w:eastAsia="Times New Roman"/>
                <w:color w:val="000000" w:themeColor="text1"/>
                <w:sz w:val="20"/>
                <w:szCs w:val="20"/>
                <w:lang w:eastAsia="zh-CN"/>
              </w:rPr>
              <w:t>CEs</w:t>
            </w:r>
            <w:r w:rsidR="350041B7" w:rsidRPr="00A81971">
              <w:rPr>
                <w:rFonts w:eastAsia="Times New Roman"/>
                <w:color w:val="000000" w:themeColor="text1"/>
                <w:sz w:val="20"/>
                <w:szCs w:val="20"/>
                <w:lang w:eastAsia="zh-CN"/>
              </w:rPr>
              <w:t>);</w:t>
            </w:r>
            <w:r w:rsidRPr="00A81971">
              <w:rPr>
                <w:rFonts w:eastAsia="Times New Roman"/>
                <w:color w:val="000000" w:themeColor="text1"/>
                <w:sz w:val="20"/>
                <w:szCs w:val="20"/>
                <w:lang w:eastAsia="zh-CN"/>
              </w:rPr>
              <w:t xml:space="preserve"> </w:t>
            </w:r>
          </w:p>
          <w:p w14:paraId="1B484E44" w14:textId="77777777" w:rsidR="003B5790" w:rsidRPr="00A81971" w:rsidRDefault="0032495C" w:rsidP="007A20BD">
            <w:pPr>
              <w:keepNext/>
              <w:keepLines/>
              <w:numPr>
                <w:ilvl w:val="0"/>
                <w:numId w:val="56"/>
              </w:numPr>
              <w:autoSpaceDE w:val="0"/>
              <w:autoSpaceDN w:val="0"/>
              <w:adjustRightInd w:val="0"/>
              <w:spacing w:before="40" w:after="40"/>
              <w:contextualSpacing/>
              <w:rPr>
                <w:lang w:eastAsia="zh-CN"/>
              </w:rPr>
            </w:pPr>
            <w:r w:rsidRPr="00A81971">
              <w:rPr>
                <w:rFonts w:eastAsia="Times New Roman"/>
                <w:color w:val="000000"/>
                <w:sz w:val="20"/>
                <w:szCs w:val="20"/>
                <w:lang w:eastAsia="zh-CN"/>
              </w:rPr>
              <w:t xml:space="preserve">a second one based on CE factors for each A5 party over the past 6 years; and </w:t>
            </w:r>
          </w:p>
          <w:p w14:paraId="3FEF41D2" w14:textId="77777777" w:rsidR="003B5790" w:rsidRPr="00A81971" w:rsidRDefault="0032495C" w:rsidP="007A20BD">
            <w:pPr>
              <w:keepNext/>
              <w:keepLines/>
              <w:numPr>
                <w:ilvl w:val="0"/>
                <w:numId w:val="56"/>
              </w:numPr>
              <w:autoSpaceDE w:val="0"/>
              <w:autoSpaceDN w:val="0"/>
              <w:adjustRightInd w:val="0"/>
              <w:spacing w:before="40" w:after="40"/>
              <w:contextualSpacing/>
              <w:rPr>
                <w:color w:val="000000"/>
                <w:sz w:val="20"/>
                <w:szCs w:val="20"/>
                <w:lang w:eastAsia="nl-NL"/>
              </w:rPr>
            </w:pPr>
            <w:r w:rsidRPr="00A81971">
              <w:rPr>
                <w:rFonts w:eastAsia="Times New Roman"/>
                <w:color w:val="000000"/>
                <w:sz w:val="20"/>
                <w:szCs w:val="20"/>
                <w:lang w:eastAsia="zh-CN"/>
              </w:rPr>
              <w:t>a third one based on average funding levels for each A5 party over the past 6 years</w:t>
            </w:r>
          </w:p>
        </w:tc>
        <w:tc>
          <w:tcPr>
            <w:tcW w:w="1530" w:type="dxa"/>
          </w:tcPr>
          <w:p w14:paraId="58BCFB31" w14:textId="77777777" w:rsidR="003B5790" w:rsidRPr="00A81971" w:rsidRDefault="0032495C" w:rsidP="003B5790">
            <w:pPr>
              <w:jc w:val="center"/>
              <w:rPr>
                <w:rFonts w:eastAsia="Times New Roman"/>
                <w:color w:val="000000"/>
                <w:sz w:val="20"/>
                <w:szCs w:val="20"/>
                <w:lang w:eastAsia="zh-CN"/>
              </w:rPr>
            </w:pPr>
            <w:r w:rsidRPr="00A81971">
              <w:rPr>
                <w:rFonts w:eastAsia="Times New Roman"/>
                <w:color w:val="000000"/>
                <w:sz w:val="20"/>
                <w:szCs w:val="20"/>
                <w:lang w:eastAsia="zh-CN"/>
              </w:rPr>
              <w:t>3</w:t>
            </w:r>
          </w:p>
        </w:tc>
      </w:tr>
      <w:tr w:rsidR="00F90461" w14:paraId="48C30B56" w14:textId="77777777" w:rsidTr="2E7655E2">
        <w:trPr>
          <w:trHeight w:val="372"/>
          <w:jc w:val="center"/>
        </w:trPr>
        <w:tc>
          <w:tcPr>
            <w:tcW w:w="1255" w:type="dxa"/>
            <w:vMerge w:val="restart"/>
            <w:noWrap/>
            <w:tcMar>
              <w:top w:w="0" w:type="dxa"/>
              <w:left w:w="108" w:type="dxa"/>
              <w:bottom w:w="0" w:type="dxa"/>
              <w:right w:w="108" w:type="dxa"/>
            </w:tcMar>
          </w:tcPr>
          <w:p w14:paraId="679F432E" w14:textId="77777777" w:rsidR="003B5790" w:rsidRPr="00A81971" w:rsidRDefault="0032495C" w:rsidP="003B5790">
            <w:pPr>
              <w:autoSpaceDE w:val="0"/>
              <w:autoSpaceDN w:val="0"/>
              <w:adjustRightInd w:val="0"/>
              <w:spacing w:after="0"/>
              <w:jc w:val="center"/>
              <w:rPr>
                <w:rFonts w:eastAsia="Times New Roman"/>
                <w:color w:val="000000"/>
                <w:sz w:val="20"/>
                <w:szCs w:val="20"/>
                <w:highlight w:val="yellow"/>
                <w:lang w:eastAsia="zh-CN"/>
              </w:rPr>
            </w:pPr>
            <w:r w:rsidRPr="00A81971">
              <w:rPr>
                <w:rFonts w:eastAsia="Times New Roman"/>
                <w:color w:val="000000"/>
                <w:sz w:val="20"/>
                <w:szCs w:val="20"/>
                <w:lang w:eastAsia="zh-CN"/>
              </w:rPr>
              <w:t>3</w:t>
            </w:r>
          </w:p>
        </w:tc>
        <w:tc>
          <w:tcPr>
            <w:tcW w:w="6300" w:type="dxa"/>
          </w:tcPr>
          <w:p w14:paraId="63E11FE3" w14:textId="77777777" w:rsidR="003B5790" w:rsidRPr="00A81971" w:rsidRDefault="0032495C" w:rsidP="003B5790">
            <w:pPr>
              <w:spacing w:before="40" w:after="40"/>
              <w:rPr>
                <w:color w:val="000000"/>
                <w:sz w:val="20"/>
                <w:szCs w:val="20"/>
                <w:lang w:eastAsia="nl-NL"/>
              </w:rPr>
            </w:pPr>
            <w:r w:rsidRPr="00A81971">
              <w:rPr>
                <w:color w:val="000000"/>
                <w:sz w:val="20"/>
                <w:szCs w:val="20"/>
                <w:lang w:eastAsia="nl-NL"/>
              </w:rPr>
              <w:t>To request the Panel to present revised funding ranges with alternative scenarios that assess the impact of the following:</w:t>
            </w:r>
          </w:p>
          <w:p w14:paraId="4E91420C" w14:textId="77777777" w:rsidR="003B5790" w:rsidRPr="00A81971" w:rsidRDefault="0032495C" w:rsidP="007A20BD">
            <w:pPr>
              <w:numPr>
                <w:ilvl w:val="0"/>
                <w:numId w:val="11"/>
              </w:numPr>
              <w:spacing w:before="40" w:after="40"/>
              <w:rPr>
                <w:color w:val="000000"/>
                <w:sz w:val="20"/>
                <w:szCs w:val="20"/>
                <w:lang w:eastAsia="nl-NL"/>
              </w:rPr>
            </w:pPr>
            <w:r w:rsidRPr="00A81971">
              <w:rPr>
                <w:color w:val="000000" w:themeColor="text1"/>
                <w:sz w:val="20"/>
                <w:szCs w:val="20"/>
                <w:lang w:eastAsia="nl-NL"/>
              </w:rPr>
              <w:t>A low-end scenario based on the most recently reported consumption data for HCFCs and HFCs and a high-end scenario based on established HFC baselines and HCFC remaining eligible consumption</w:t>
            </w:r>
          </w:p>
        </w:tc>
        <w:tc>
          <w:tcPr>
            <w:tcW w:w="1530" w:type="dxa"/>
          </w:tcPr>
          <w:p w14:paraId="359FA67E" w14:textId="77777777" w:rsidR="003B5790" w:rsidRPr="00A81971" w:rsidRDefault="0032495C" w:rsidP="003B5790">
            <w:pPr>
              <w:wordWrap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3</w:t>
            </w:r>
          </w:p>
        </w:tc>
      </w:tr>
      <w:tr w:rsidR="00F90461" w14:paraId="5300AC5C" w14:textId="77777777" w:rsidTr="2E7655E2">
        <w:trPr>
          <w:trHeight w:val="372"/>
          <w:jc w:val="center"/>
        </w:trPr>
        <w:tc>
          <w:tcPr>
            <w:tcW w:w="1255" w:type="dxa"/>
            <w:vMerge/>
            <w:noWrap/>
            <w:tcMar>
              <w:top w:w="0" w:type="dxa"/>
              <w:left w:w="108" w:type="dxa"/>
              <w:bottom w:w="0" w:type="dxa"/>
              <w:right w:w="108" w:type="dxa"/>
            </w:tcMar>
          </w:tcPr>
          <w:p w14:paraId="7D96BABB" w14:textId="77777777" w:rsidR="003B5790" w:rsidRPr="00A81971" w:rsidRDefault="003B5790" w:rsidP="003B5790">
            <w:pPr>
              <w:autoSpaceDE w:val="0"/>
              <w:autoSpaceDN w:val="0"/>
              <w:adjustRightInd w:val="0"/>
              <w:spacing w:after="0"/>
              <w:jc w:val="center"/>
              <w:rPr>
                <w:rFonts w:eastAsia="Times New Roman"/>
                <w:color w:val="000000"/>
                <w:sz w:val="20"/>
                <w:szCs w:val="20"/>
                <w:lang w:eastAsia="zh-CN"/>
              </w:rPr>
            </w:pPr>
          </w:p>
        </w:tc>
        <w:tc>
          <w:tcPr>
            <w:tcW w:w="6300" w:type="dxa"/>
          </w:tcPr>
          <w:p w14:paraId="1A8685A2" w14:textId="77777777" w:rsidR="003B5790" w:rsidRPr="00A81971" w:rsidRDefault="0032495C" w:rsidP="007A20BD">
            <w:pPr>
              <w:numPr>
                <w:ilvl w:val="0"/>
                <w:numId w:val="11"/>
              </w:numPr>
              <w:spacing w:before="40" w:after="40"/>
              <w:rPr>
                <w:color w:val="000000"/>
                <w:sz w:val="20"/>
                <w:szCs w:val="20"/>
                <w:lang w:eastAsia="nl-NL"/>
              </w:rPr>
            </w:pPr>
            <w:r w:rsidRPr="00A81971">
              <w:rPr>
                <w:color w:val="000000" w:themeColor="text1"/>
                <w:sz w:val="20"/>
                <w:szCs w:val="20"/>
                <w:lang w:eastAsia="nl-NL"/>
              </w:rPr>
              <w:t xml:space="preserve">Realistic project implementation timelines such as modifying resources allocation schedule A for </w:t>
            </w:r>
            <w:r w:rsidR="00771C82">
              <w:rPr>
                <w:color w:val="000000" w:themeColor="text1"/>
                <w:sz w:val="20"/>
                <w:szCs w:val="20"/>
                <w:lang w:eastAsia="nl-NL"/>
              </w:rPr>
              <w:t>Stage</w:t>
            </w:r>
            <w:r w:rsidRPr="00A81971">
              <w:rPr>
                <w:color w:val="000000" w:themeColor="text1"/>
                <w:sz w:val="20"/>
                <w:szCs w:val="20"/>
                <w:lang w:eastAsia="nl-NL"/>
              </w:rPr>
              <w:t xml:space="preserve"> II KIPs and to take into account rates of ratification for remaining non-parties to the Kigali Amendment</w:t>
            </w:r>
          </w:p>
        </w:tc>
        <w:tc>
          <w:tcPr>
            <w:tcW w:w="1530" w:type="dxa"/>
          </w:tcPr>
          <w:p w14:paraId="35C14855" w14:textId="77777777" w:rsidR="003B5790" w:rsidRPr="00A81971" w:rsidRDefault="0032495C" w:rsidP="003B5790">
            <w:pPr>
              <w:wordWrap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3</w:t>
            </w:r>
          </w:p>
        </w:tc>
      </w:tr>
      <w:tr w:rsidR="00F90461" w14:paraId="4BBDED83" w14:textId="77777777" w:rsidTr="2E7655E2">
        <w:trPr>
          <w:trHeight w:val="372"/>
          <w:jc w:val="center"/>
        </w:trPr>
        <w:tc>
          <w:tcPr>
            <w:tcW w:w="1255" w:type="dxa"/>
            <w:vMerge/>
            <w:noWrap/>
            <w:tcMar>
              <w:top w:w="0" w:type="dxa"/>
              <w:left w:w="108" w:type="dxa"/>
              <w:bottom w:w="0" w:type="dxa"/>
              <w:right w:w="108" w:type="dxa"/>
            </w:tcMar>
          </w:tcPr>
          <w:p w14:paraId="5BE12A33" w14:textId="77777777" w:rsidR="003B5790" w:rsidRPr="00A81971" w:rsidRDefault="003B5790" w:rsidP="003B5790">
            <w:pPr>
              <w:autoSpaceDE w:val="0"/>
              <w:autoSpaceDN w:val="0"/>
              <w:adjustRightInd w:val="0"/>
              <w:spacing w:after="0"/>
              <w:jc w:val="center"/>
              <w:rPr>
                <w:rFonts w:eastAsia="Times New Roman"/>
                <w:color w:val="000000"/>
                <w:sz w:val="20"/>
                <w:szCs w:val="20"/>
                <w:lang w:eastAsia="zh-CN"/>
              </w:rPr>
            </w:pPr>
          </w:p>
        </w:tc>
        <w:tc>
          <w:tcPr>
            <w:tcW w:w="6300" w:type="dxa"/>
          </w:tcPr>
          <w:p w14:paraId="681CCC21" w14:textId="77777777" w:rsidR="003B5790" w:rsidRPr="00A81971" w:rsidRDefault="0032495C" w:rsidP="007A20BD">
            <w:pPr>
              <w:numPr>
                <w:ilvl w:val="0"/>
                <w:numId w:val="11"/>
              </w:numPr>
              <w:spacing w:before="40" w:after="40"/>
              <w:rPr>
                <w:color w:val="000000"/>
                <w:sz w:val="20"/>
                <w:szCs w:val="20"/>
                <w:lang w:eastAsia="nl-NL"/>
              </w:rPr>
            </w:pPr>
            <w:r w:rsidRPr="00A81971">
              <w:rPr>
                <w:color w:val="000000" w:themeColor="text1"/>
                <w:sz w:val="20"/>
                <w:szCs w:val="20"/>
                <w:lang w:eastAsia="nl-NL"/>
              </w:rPr>
              <w:t xml:space="preserve">HFC-23 mitigation scenarios that account for the ongoing operating costs, IOCs of approved MLF projects </w:t>
            </w:r>
          </w:p>
        </w:tc>
        <w:tc>
          <w:tcPr>
            <w:tcW w:w="1530" w:type="dxa"/>
          </w:tcPr>
          <w:p w14:paraId="33CFF384" w14:textId="77777777" w:rsidR="003B5790" w:rsidRPr="00A81971" w:rsidRDefault="0032495C" w:rsidP="003B5790">
            <w:pPr>
              <w:wordWrap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2</w:t>
            </w:r>
          </w:p>
        </w:tc>
      </w:tr>
      <w:tr w:rsidR="00F90461" w14:paraId="077E09AE" w14:textId="77777777" w:rsidTr="2E7655E2">
        <w:trPr>
          <w:trHeight w:val="372"/>
          <w:jc w:val="center"/>
        </w:trPr>
        <w:tc>
          <w:tcPr>
            <w:tcW w:w="1255" w:type="dxa"/>
            <w:vMerge/>
            <w:noWrap/>
            <w:tcMar>
              <w:top w:w="0" w:type="dxa"/>
              <w:left w:w="108" w:type="dxa"/>
              <w:bottom w:w="0" w:type="dxa"/>
              <w:right w:w="108" w:type="dxa"/>
            </w:tcMar>
          </w:tcPr>
          <w:p w14:paraId="504D9D45" w14:textId="77777777" w:rsidR="003B5790" w:rsidRPr="00A81971" w:rsidRDefault="003B5790" w:rsidP="003B5790">
            <w:pPr>
              <w:autoSpaceDE w:val="0"/>
              <w:autoSpaceDN w:val="0"/>
              <w:adjustRightInd w:val="0"/>
              <w:spacing w:after="0"/>
              <w:jc w:val="center"/>
              <w:rPr>
                <w:rFonts w:eastAsia="Times New Roman"/>
                <w:color w:val="000000"/>
                <w:sz w:val="20"/>
                <w:szCs w:val="20"/>
                <w:lang w:eastAsia="zh-CN"/>
              </w:rPr>
            </w:pPr>
          </w:p>
        </w:tc>
        <w:tc>
          <w:tcPr>
            <w:tcW w:w="6300" w:type="dxa"/>
          </w:tcPr>
          <w:p w14:paraId="4C97425F" w14:textId="77777777" w:rsidR="003B5790" w:rsidRPr="00A81971" w:rsidRDefault="0032495C" w:rsidP="007A20BD">
            <w:pPr>
              <w:numPr>
                <w:ilvl w:val="0"/>
                <w:numId w:val="11"/>
              </w:numPr>
              <w:spacing w:before="40" w:after="40"/>
              <w:rPr>
                <w:color w:val="000000"/>
                <w:sz w:val="20"/>
                <w:szCs w:val="20"/>
                <w:lang w:eastAsia="nl-NL"/>
              </w:rPr>
            </w:pPr>
            <w:r w:rsidRPr="00A81971">
              <w:rPr>
                <w:color w:val="000000" w:themeColor="text1"/>
                <w:sz w:val="20"/>
                <w:szCs w:val="20"/>
                <w:lang w:eastAsia="nl-NL"/>
              </w:rPr>
              <w:t xml:space="preserve">A low-end scenario for </w:t>
            </w:r>
            <w:r w:rsidR="350041B7" w:rsidRPr="00A81971">
              <w:rPr>
                <w:color w:val="000000" w:themeColor="text1"/>
                <w:sz w:val="20"/>
                <w:szCs w:val="20"/>
                <w:lang w:eastAsia="nl-NL"/>
              </w:rPr>
              <w:t>energy efficiency (</w:t>
            </w:r>
            <w:r w:rsidRPr="00A81971">
              <w:rPr>
                <w:color w:val="000000" w:themeColor="text1"/>
                <w:sz w:val="20"/>
                <w:szCs w:val="20"/>
                <w:lang w:eastAsia="nl-NL"/>
              </w:rPr>
              <w:t>EE</w:t>
            </w:r>
            <w:r w:rsidR="350041B7" w:rsidRPr="00A81971">
              <w:rPr>
                <w:color w:val="000000" w:themeColor="text1"/>
                <w:sz w:val="20"/>
                <w:szCs w:val="20"/>
                <w:lang w:eastAsia="nl-NL"/>
              </w:rPr>
              <w:t>)</w:t>
            </w:r>
            <w:r w:rsidRPr="00A81971">
              <w:rPr>
                <w:color w:val="000000" w:themeColor="text1"/>
                <w:sz w:val="20"/>
                <w:szCs w:val="20"/>
                <w:lang w:eastAsia="nl-NL"/>
              </w:rPr>
              <w:t xml:space="preserve"> (decision 94/60) based on projects included in the business plan of the MLF and a high-end scenario reflecting full utilization of remaining funds in the 94/60 funding window aimed at promoting EE improvements in the context of the HFC phase down in the next triennium</w:t>
            </w:r>
          </w:p>
        </w:tc>
        <w:tc>
          <w:tcPr>
            <w:tcW w:w="1530" w:type="dxa"/>
          </w:tcPr>
          <w:p w14:paraId="61DA1C56" w14:textId="77777777" w:rsidR="003B5790" w:rsidRPr="00A81971" w:rsidRDefault="0032495C" w:rsidP="003B5790">
            <w:pPr>
              <w:wordWrap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2</w:t>
            </w:r>
          </w:p>
        </w:tc>
      </w:tr>
      <w:tr w:rsidR="00F90461" w14:paraId="4F55015B" w14:textId="77777777" w:rsidTr="2E7655E2">
        <w:trPr>
          <w:trHeight w:val="372"/>
          <w:jc w:val="center"/>
        </w:trPr>
        <w:tc>
          <w:tcPr>
            <w:tcW w:w="1255" w:type="dxa"/>
            <w:vMerge/>
            <w:noWrap/>
            <w:tcMar>
              <w:top w:w="0" w:type="dxa"/>
              <w:left w:w="108" w:type="dxa"/>
              <w:bottom w:w="0" w:type="dxa"/>
              <w:right w:w="108" w:type="dxa"/>
            </w:tcMar>
          </w:tcPr>
          <w:p w14:paraId="0946040C" w14:textId="77777777" w:rsidR="003B5790" w:rsidRPr="00A81971" w:rsidRDefault="003B5790" w:rsidP="003B5790">
            <w:pPr>
              <w:autoSpaceDE w:val="0"/>
              <w:autoSpaceDN w:val="0"/>
              <w:adjustRightInd w:val="0"/>
              <w:spacing w:after="0"/>
              <w:jc w:val="center"/>
              <w:rPr>
                <w:rFonts w:eastAsia="Times New Roman"/>
                <w:color w:val="000000"/>
                <w:sz w:val="20"/>
                <w:szCs w:val="20"/>
                <w:lang w:eastAsia="zh-CN"/>
              </w:rPr>
            </w:pPr>
          </w:p>
        </w:tc>
        <w:tc>
          <w:tcPr>
            <w:tcW w:w="6300" w:type="dxa"/>
          </w:tcPr>
          <w:p w14:paraId="5E15FDCD" w14:textId="77777777" w:rsidR="00A06CA9" w:rsidRPr="00817A19" w:rsidRDefault="0032495C" w:rsidP="007A20BD">
            <w:pPr>
              <w:numPr>
                <w:ilvl w:val="0"/>
                <w:numId w:val="57"/>
              </w:numPr>
              <w:spacing w:before="40" w:after="40"/>
              <w:contextualSpacing/>
              <w:rPr>
                <w:color w:val="000000"/>
                <w:sz w:val="20"/>
                <w:szCs w:val="20"/>
                <w:lang w:eastAsia="nl-NL"/>
              </w:rPr>
            </w:pPr>
            <w:r w:rsidRPr="00A81971">
              <w:rPr>
                <w:color w:val="000000" w:themeColor="text1"/>
                <w:sz w:val="20"/>
                <w:szCs w:val="20"/>
                <w:lang w:eastAsia="nl-NL"/>
              </w:rPr>
              <w:t>The distribution of funding across different levels of country consumption to address the needs of A5 parties to enable compliance is adequately reflected</w:t>
            </w:r>
          </w:p>
        </w:tc>
        <w:tc>
          <w:tcPr>
            <w:tcW w:w="1530" w:type="dxa"/>
          </w:tcPr>
          <w:p w14:paraId="0CB67938" w14:textId="77777777" w:rsidR="003B5790" w:rsidRPr="00A81971" w:rsidRDefault="0032495C" w:rsidP="003B5790">
            <w:pPr>
              <w:wordWrap w:val="0"/>
              <w:spacing w:before="40" w:after="40"/>
              <w:jc w:val="center"/>
              <w:rPr>
                <w:rFonts w:eastAsia="Times New Roman"/>
                <w:color w:val="000000"/>
                <w:sz w:val="20"/>
                <w:szCs w:val="20"/>
                <w:lang w:eastAsia="zh-CN"/>
              </w:rPr>
            </w:pPr>
            <w:r w:rsidRPr="00A81971">
              <w:rPr>
                <w:rFonts w:eastAsia="Times New Roman"/>
                <w:color w:val="000000"/>
                <w:sz w:val="20"/>
                <w:szCs w:val="20"/>
                <w:lang w:eastAsia="zh-CN"/>
              </w:rPr>
              <w:t>2</w:t>
            </w:r>
          </w:p>
        </w:tc>
      </w:tr>
      <w:tr w:rsidR="00F90461" w14:paraId="2CAB5E7D" w14:textId="77777777" w:rsidTr="2E7655E2">
        <w:trPr>
          <w:trHeight w:val="372"/>
          <w:jc w:val="center"/>
        </w:trPr>
        <w:tc>
          <w:tcPr>
            <w:tcW w:w="9085" w:type="dxa"/>
            <w:gridSpan w:val="3"/>
            <w:shd w:val="clear" w:color="auto" w:fill="E2EFD9" w:themeFill="accent6" w:themeFillTint="33"/>
            <w:vAlign w:val="center"/>
          </w:tcPr>
          <w:p w14:paraId="0B21D9C0" w14:textId="77777777" w:rsidR="003B5790" w:rsidRPr="00A81971" w:rsidRDefault="0032495C" w:rsidP="003B5790">
            <w:pPr>
              <w:spacing w:before="40" w:after="40" w:line="259" w:lineRule="auto"/>
              <w:rPr>
                <w:b/>
                <w:bCs/>
                <w:sz w:val="20"/>
                <w:szCs w:val="20"/>
                <w:lang w:eastAsia="zh-CN"/>
              </w:rPr>
            </w:pPr>
            <w:r w:rsidRPr="00A81971">
              <w:rPr>
                <w:b/>
                <w:bCs/>
                <w:sz w:val="20"/>
                <w:szCs w:val="20"/>
                <w:lang w:eastAsia="zh-CN"/>
              </w:rPr>
              <w:t>Low Volume Consuming (LVCs) and Very Low Volume Consuming (VLVCs) Parties</w:t>
            </w:r>
          </w:p>
        </w:tc>
      </w:tr>
      <w:tr w:rsidR="00F90461" w14:paraId="4980AF66" w14:textId="77777777" w:rsidTr="2E7655E2">
        <w:trPr>
          <w:trHeight w:val="372"/>
          <w:jc w:val="center"/>
        </w:trPr>
        <w:tc>
          <w:tcPr>
            <w:tcW w:w="1255" w:type="dxa"/>
            <w:noWrap/>
            <w:tcMar>
              <w:top w:w="0" w:type="dxa"/>
              <w:left w:w="108" w:type="dxa"/>
              <w:bottom w:w="0" w:type="dxa"/>
              <w:right w:w="108" w:type="dxa"/>
            </w:tcMar>
          </w:tcPr>
          <w:p w14:paraId="45549CAE" w14:textId="77777777" w:rsidR="003B5790" w:rsidRPr="00A81971" w:rsidRDefault="0032495C" w:rsidP="003B5790">
            <w:pPr>
              <w:spacing w:after="0"/>
              <w:jc w:val="center"/>
              <w:rPr>
                <w:sz w:val="20"/>
                <w:szCs w:val="20"/>
                <w:lang w:eastAsia="zh-CN"/>
              </w:rPr>
            </w:pPr>
            <w:r w:rsidRPr="00A81971">
              <w:rPr>
                <w:sz w:val="20"/>
                <w:szCs w:val="20"/>
                <w:lang w:eastAsia="zh-CN"/>
              </w:rPr>
              <w:t>4</w:t>
            </w:r>
          </w:p>
        </w:tc>
        <w:tc>
          <w:tcPr>
            <w:tcW w:w="6300" w:type="dxa"/>
          </w:tcPr>
          <w:p w14:paraId="5A0B8CAF" w14:textId="77777777" w:rsidR="00B82CC2" w:rsidRDefault="0032495C" w:rsidP="003B5790">
            <w:pPr>
              <w:spacing w:before="40" w:after="40" w:line="259" w:lineRule="auto"/>
              <w:rPr>
                <w:sz w:val="20"/>
                <w:szCs w:val="20"/>
                <w:lang w:eastAsia="zh-CN"/>
              </w:rPr>
            </w:pPr>
            <w:r w:rsidRPr="00A81971">
              <w:rPr>
                <w:sz w:val="20"/>
                <w:szCs w:val="20"/>
                <w:lang w:eastAsia="zh-CN"/>
              </w:rPr>
              <w:t>To</w:t>
            </w:r>
            <w:r w:rsidR="003B5790" w:rsidRPr="00A81971">
              <w:rPr>
                <w:sz w:val="20"/>
                <w:szCs w:val="20"/>
                <w:lang w:eastAsia="zh-CN"/>
              </w:rPr>
              <w:t xml:space="preserve">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p w14:paraId="08210EBD" w14:textId="77777777" w:rsidR="001879BC" w:rsidRPr="00A81971" w:rsidRDefault="001879BC" w:rsidP="003B5790">
            <w:pPr>
              <w:spacing w:before="40" w:after="40" w:line="259" w:lineRule="auto"/>
              <w:rPr>
                <w:sz w:val="20"/>
                <w:szCs w:val="20"/>
                <w:lang w:eastAsia="zh-CN"/>
              </w:rPr>
            </w:pPr>
          </w:p>
        </w:tc>
        <w:tc>
          <w:tcPr>
            <w:tcW w:w="1530" w:type="dxa"/>
          </w:tcPr>
          <w:p w14:paraId="773F111E" w14:textId="77777777" w:rsidR="003B5790" w:rsidRPr="00A81971" w:rsidRDefault="0032495C" w:rsidP="003B5790">
            <w:pPr>
              <w:spacing w:before="40" w:after="40" w:line="259" w:lineRule="auto"/>
              <w:jc w:val="center"/>
              <w:rPr>
                <w:rFonts w:eastAsia="Times New Roman"/>
                <w:color w:val="000000"/>
                <w:sz w:val="20"/>
                <w:szCs w:val="20"/>
                <w:lang w:eastAsia="zh-CN"/>
              </w:rPr>
            </w:pPr>
            <w:r w:rsidRPr="00A81971">
              <w:rPr>
                <w:rFonts w:eastAsia="Times New Roman"/>
                <w:color w:val="000000"/>
                <w:sz w:val="20"/>
                <w:szCs w:val="20"/>
                <w:lang w:eastAsia="zh-CN"/>
              </w:rPr>
              <w:t>4</w:t>
            </w:r>
          </w:p>
        </w:tc>
      </w:tr>
      <w:tr w:rsidR="00F90461" w14:paraId="686DF258" w14:textId="77777777" w:rsidTr="2E7655E2">
        <w:trPr>
          <w:trHeight w:val="372"/>
          <w:jc w:val="center"/>
        </w:trPr>
        <w:tc>
          <w:tcPr>
            <w:tcW w:w="9085" w:type="dxa"/>
            <w:gridSpan w:val="3"/>
            <w:shd w:val="clear" w:color="auto" w:fill="E2EFD9" w:themeFill="accent6" w:themeFillTint="33"/>
            <w:vAlign w:val="center"/>
          </w:tcPr>
          <w:p w14:paraId="68D5AD80" w14:textId="77777777" w:rsidR="003B5790" w:rsidRPr="00A81971" w:rsidRDefault="0032495C" w:rsidP="003B5790">
            <w:pPr>
              <w:spacing w:before="40" w:after="40" w:line="259" w:lineRule="auto"/>
              <w:rPr>
                <w:b/>
                <w:bCs/>
                <w:sz w:val="20"/>
                <w:szCs w:val="20"/>
                <w:lang w:eastAsia="zh-CN"/>
              </w:rPr>
            </w:pPr>
            <w:r w:rsidRPr="00A81971">
              <w:rPr>
                <w:b/>
                <w:bCs/>
                <w:sz w:val="20"/>
                <w:szCs w:val="20"/>
                <w:lang w:eastAsia="zh-CN"/>
              </w:rPr>
              <w:t>Lifecycle Refrigerant Management (LRM)</w:t>
            </w:r>
          </w:p>
        </w:tc>
      </w:tr>
      <w:tr w:rsidR="00F90461" w14:paraId="2F60CA76" w14:textId="77777777" w:rsidTr="2E7655E2">
        <w:trPr>
          <w:trHeight w:val="372"/>
          <w:jc w:val="center"/>
        </w:trPr>
        <w:tc>
          <w:tcPr>
            <w:tcW w:w="1255" w:type="dxa"/>
            <w:noWrap/>
            <w:tcMar>
              <w:top w:w="0" w:type="dxa"/>
              <w:left w:w="108" w:type="dxa"/>
              <w:bottom w:w="0" w:type="dxa"/>
              <w:right w:w="108" w:type="dxa"/>
            </w:tcMar>
          </w:tcPr>
          <w:p w14:paraId="5CF71AEB" w14:textId="77777777" w:rsidR="003B5790" w:rsidRPr="00A81971" w:rsidRDefault="0032495C" w:rsidP="003B5790">
            <w:pPr>
              <w:spacing w:after="0"/>
              <w:jc w:val="center"/>
              <w:rPr>
                <w:sz w:val="20"/>
                <w:szCs w:val="20"/>
                <w:lang w:eastAsia="zh-CN"/>
              </w:rPr>
            </w:pPr>
            <w:r w:rsidRPr="00A81971">
              <w:rPr>
                <w:sz w:val="20"/>
                <w:szCs w:val="20"/>
                <w:lang w:eastAsia="zh-CN"/>
              </w:rPr>
              <w:t>5</w:t>
            </w:r>
          </w:p>
        </w:tc>
        <w:tc>
          <w:tcPr>
            <w:tcW w:w="6300" w:type="dxa"/>
          </w:tcPr>
          <w:p w14:paraId="0ED09A5E" w14:textId="77777777" w:rsidR="00B82CC2" w:rsidRDefault="0032495C" w:rsidP="003B5790">
            <w:pPr>
              <w:spacing w:before="40" w:after="40" w:line="259" w:lineRule="auto"/>
              <w:rPr>
                <w:sz w:val="20"/>
                <w:szCs w:val="20"/>
                <w:lang w:eastAsia="zh-CN"/>
              </w:rPr>
            </w:pPr>
            <w:r w:rsidRPr="00A81971">
              <w:rPr>
                <w:sz w:val="20"/>
                <w:szCs w:val="20"/>
                <w:lang w:eastAsia="zh-CN"/>
              </w:rPr>
              <w:t>Include a cost estimate for a high-end scenario for the potential funding window to be considered at the 100</w:t>
            </w:r>
            <w:r w:rsidRPr="00A81971">
              <w:rPr>
                <w:sz w:val="20"/>
                <w:szCs w:val="20"/>
                <w:vertAlign w:val="superscript"/>
                <w:lang w:eastAsia="zh-CN"/>
              </w:rPr>
              <w:t>th</w:t>
            </w:r>
            <w:r w:rsidRPr="00A81971">
              <w:rPr>
                <w:sz w:val="20"/>
                <w:szCs w:val="20"/>
                <w:lang w:eastAsia="zh-CN"/>
              </w:rPr>
              <w:t xml:space="preserve"> ExCom meeting for the period 2027-2029 to support the implementation of national plans developed pursuant to decision 91/66, taking into account that activities to recover, recycle and reclaim refrigerants are also financed under HPMPs and KIPs</w:t>
            </w:r>
          </w:p>
          <w:p w14:paraId="73BEB853" w14:textId="77777777" w:rsidR="00817A19" w:rsidRPr="001879BC" w:rsidRDefault="00817A19" w:rsidP="003B5790">
            <w:pPr>
              <w:spacing w:before="40" w:after="40" w:line="259" w:lineRule="auto"/>
              <w:rPr>
                <w:sz w:val="20"/>
                <w:szCs w:val="20"/>
                <w:lang w:eastAsia="zh-CN"/>
              </w:rPr>
            </w:pPr>
          </w:p>
        </w:tc>
        <w:tc>
          <w:tcPr>
            <w:tcW w:w="1530" w:type="dxa"/>
          </w:tcPr>
          <w:p w14:paraId="76B2407C" w14:textId="77777777" w:rsidR="003B5790" w:rsidRPr="00A81971" w:rsidRDefault="0032495C" w:rsidP="003B5790">
            <w:pPr>
              <w:spacing w:before="40" w:after="40" w:line="259" w:lineRule="auto"/>
              <w:jc w:val="center"/>
              <w:rPr>
                <w:rFonts w:eastAsia="Times New Roman"/>
                <w:color w:val="000000"/>
                <w:sz w:val="20"/>
                <w:szCs w:val="20"/>
                <w:lang w:eastAsia="zh-CN"/>
              </w:rPr>
            </w:pPr>
            <w:r w:rsidRPr="00A81971">
              <w:rPr>
                <w:rFonts w:eastAsia="Times New Roman"/>
                <w:color w:val="000000"/>
                <w:sz w:val="20"/>
                <w:szCs w:val="20"/>
                <w:lang w:eastAsia="zh-CN"/>
              </w:rPr>
              <w:t>5</w:t>
            </w:r>
          </w:p>
        </w:tc>
      </w:tr>
    </w:tbl>
    <w:p w14:paraId="2F43DC9F" w14:textId="77777777" w:rsidR="2E7655E2" w:rsidRDefault="2E7655E2" w:rsidP="2E7655E2">
      <w:pPr>
        <w:tabs>
          <w:tab w:val="left" w:pos="2160"/>
          <w:tab w:val="left" w:pos="2880"/>
          <w:tab w:val="left" w:pos="3600"/>
          <w:tab w:val="left" w:pos="4320"/>
          <w:tab w:val="left" w:pos="5040"/>
          <w:tab w:val="left" w:pos="6480"/>
          <w:tab w:val="left" w:pos="7200"/>
          <w:tab w:val="left" w:pos="7920"/>
        </w:tabs>
        <w:spacing w:after="240"/>
        <w:rPr>
          <w:b/>
          <w:bCs/>
          <w:sz w:val="24"/>
          <w:szCs w:val="24"/>
        </w:rPr>
      </w:pPr>
    </w:p>
    <w:p w14:paraId="59738BBD" w14:textId="77777777" w:rsidR="003B5790" w:rsidRPr="00A81971" w:rsidRDefault="0032495C" w:rsidP="003B5790">
      <w:pPr>
        <w:tabs>
          <w:tab w:val="left" w:pos="2160"/>
          <w:tab w:val="left" w:pos="2880"/>
          <w:tab w:val="left" w:pos="3600"/>
          <w:tab w:val="left" w:pos="4320"/>
          <w:tab w:val="left" w:pos="5040"/>
          <w:tab w:val="left" w:pos="6480"/>
          <w:tab w:val="left" w:pos="7200"/>
          <w:tab w:val="left" w:pos="7920"/>
        </w:tabs>
        <w:spacing w:after="240"/>
        <w:rPr>
          <w:b/>
          <w:bCs/>
          <w:sz w:val="24"/>
          <w:szCs w:val="24"/>
        </w:rPr>
      </w:pPr>
      <w:r w:rsidRPr="00A81971">
        <w:rPr>
          <w:b/>
          <w:bCs/>
          <w:sz w:val="24"/>
          <w:szCs w:val="24"/>
        </w:rPr>
        <w:lastRenderedPageBreak/>
        <w:t>Approach to Supplementary Report</w:t>
      </w:r>
    </w:p>
    <w:p w14:paraId="40C4B28B" w14:textId="77777777" w:rsidR="003B5790" w:rsidRPr="00A81971" w:rsidRDefault="0032495C" w:rsidP="003B5790">
      <w:r w:rsidRPr="00A81971">
        <w:t xml:space="preserve">For this supplementary report (September 2026 Report), the RTF’s approach was to first update its estimates using the same modelling approach as in its May 2026 Report </w:t>
      </w:r>
      <w:r w:rsidR="00BB21AF" w:rsidRPr="00A81971">
        <w:t>(</w:t>
      </w:r>
      <w:r w:rsidR="00862147" w:rsidRPr="00A81971">
        <w:t>TEAP, 2026</w:t>
      </w:r>
      <w:r w:rsidR="00BB21AF" w:rsidRPr="00A81971">
        <w:t xml:space="preserve">) </w:t>
      </w:r>
      <w:r w:rsidRPr="00A81971">
        <w:t>with updated data and available information since that report was finalised, including the following:</w:t>
      </w:r>
    </w:p>
    <w:p w14:paraId="55025304"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ExCom documents and decisions, including cost guidelines, up to and including ExCom-98;</w:t>
      </w:r>
    </w:p>
    <w:p w14:paraId="55379618"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A7 consumption data as reported to the Ozone Secretariat (OS), as of 17 July 2026;</w:t>
      </w:r>
    </w:p>
    <w:p w14:paraId="50860829"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 xml:space="preserve">Country Programme data submitted to the </w:t>
      </w:r>
      <w:r w:rsidR="578B40F9" w:rsidRPr="00A81971">
        <w:rPr>
          <w:rFonts w:eastAsia="Times New Roman"/>
        </w:rPr>
        <w:t>MLF Secretariat (</w:t>
      </w:r>
      <w:r w:rsidRPr="00A81971">
        <w:rPr>
          <w:rFonts w:eastAsia="Times New Roman"/>
        </w:rPr>
        <w:t>MLFS</w:t>
      </w:r>
      <w:r w:rsidR="17784AA3" w:rsidRPr="00A81971">
        <w:rPr>
          <w:rFonts w:eastAsia="Times New Roman"/>
        </w:rPr>
        <w:t>)</w:t>
      </w:r>
      <w:r w:rsidRPr="00A81971">
        <w:rPr>
          <w:rFonts w:eastAsia="Times New Roman"/>
        </w:rPr>
        <w:t>, as of 17 July 2026;</w:t>
      </w:r>
    </w:p>
    <w:p w14:paraId="40F3E6E2"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Information provided by the MLFS on approved HCFC Phase-out Management Plans (HPMPs) and Kigali HFC Implementation Plans (KIPs), including agreed reductions from baseline consumption, funding and tranche schedules, project preparation and verification activities, as well as updated information on HFC-23 mitigation and energy efficiency (EE) and the status of funding windows;</w:t>
      </w:r>
    </w:p>
    <w:p w14:paraId="67ED4BB5"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 xml:space="preserve">Maintained the classification of low-volume consuming countries (LVCs) based on HCFC and HFC baseline consumption (as presented in Annex 5 of the RTF May 2026 </w:t>
      </w:r>
      <w:r w:rsidR="00726974" w:rsidRPr="00A81971">
        <w:rPr>
          <w:rFonts w:eastAsia="Times New Roman"/>
        </w:rPr>
        <w:t>R</w:t>
      </w:r>
      <w:r w:rsidRPr="00A81971">
        <w:rPr>
          <w:rFonts w:eastAsia="Times New Roman"/>
        </w:rPr>
        <w:t>eport);</w:t>
      </w:r>
    </w:p>
    <w:p w14:paraId="157E5644" w14:textId="77777777" w:rsidR="003B5790" w:rsidRPr="00A81971" w:rsidRDefault="0032495C" w:rsidP="007A20BD">
      <w:pPr>
        <w:numPr>
          <w:ilvl w:val="0"/>
          <w:numId w:val="23"/>
        </w:numPr>
        <w:tabs>
          <w:tab w:val="left" w:pos="0"/>
          <w:tab w:val="left" w:pos="720"/>
        </w:tabs>
        <w:spacing w:after="240" w:line="259" w:lineRule="auto"/>
        <w:contextualSpacing/>
        <w:rPr>
          <w:rFonts w:eastAsia="Times New Roman"/>
        </w:rPr>
      </w:pPr>
      <w:r w:rsidRPr="00A81971">
        <w:rPr>
          <w:rFonts w:eastAsia="Times New Roman"/>
        </w:rPr>
        <w:t xml:space="preserve">RTF continued to rely on the Consolidated Business Plan of the Multilateral Fund for 2026-2028 (BP), as </w:t>
      </w:r>
      <w:r w:rsidRPr="00A81971">
        <w:rPr>
          <w:rFonts w:eastAsia="Times New Roman"/>
          <w:color w:val="000000" w:themeColor="text1"/>
        </w:rPr>
        <w:t>the 2027-2029 Business Plan is not yet available, and would only be available once the MLFS finalises the (pre-session) 2027-2029 business plan;</w:t>
      </w:r>
      <w:r w:rsidRPr="00A81971">
        <w:rPr>
          <w:rFonts w:eastAsia="Times New Roman"/>
        </w:rPr>
        <w:t xml:space="preserve">  </w:t>
      </w:r>
    </w:p>
    <w:p w14:paraId="2AC03DAE" w14:textId="77777777" w:rsidR="003B5790" w:rsidRPr="00A81971" w:rsidRDefault="0032495C" w:rsidP="007A20BD">
      <w:pPr>
        <w:numPr>
          <w:ilvl w:val="0"/>
          <w:numId w:val="23"/>
        </w:numPr>
        <w:tabs>
          <w:tab w:val="left" w:pos="0"/>
          <w:tab w:val="left" w:pos="720"/>
        </w:tabs>
        <w:spacing w:after="240"/>
        <w:contextualSpacing/>
        <w:rPr>
          <w:rFonts w:eastAsia="Times New Roman"/>
        </w:rPr>
      </w:pPr>
      <w:r w:rsidRPr="00A81971">
        <w:rPr>
          <w:rFonts w:eastAsia="Times New Roman"/>
        </w:rPr>
        <w:t xml:space="preserve">Parties’ ratification status of the Kigali Amendment (KA), as of 10 August 2026 (Annex 2 of this report); </w:t>
      </w:r>
    </w:p>
    <w:p w14:paraId="2C0B00EC" w14:textId="77777777" w:rsidR="003B5790" w:rsidRPr="00A81971" w:rsidRDefault="0032495C" w:rsidP="007A20BD">
      <w:pPr>
        <w:numPr>
          <w:ilvl w:val="0"/>
          <w:numId w:val="23"/>
        </w:numPr>
        <w:tabs>
          <w:tab w:val="left" w:pos="0"/>
          <w:tab w:val="left" w:pos="720"/>
        </w:tabs>
        <w:spacing w:after="240"/>
        <w:contextualSpacing/>
        <w:rPr>
          <w:rFonts w:eastAsia="Times New Roman"/>
          <w:color w:val="000000"/>
        </w:rPr>
      </w:pPr>
      <w:r w:rsidRPr="00A81971">
        <w:rPr>
          <w:rFonts w:eastAsia="Times New Roman"/>
        </w:rPr>
        <w:t>Included applicable project management unit (PMU) costs to non-LVC parties (</w:t>
      </w:r>
      <w:r w:rsidRPr="00A81971">
        <w:rPr>
          <w:rFonts w:eastAsia="Times New Roman"/>
          <w:color w:val="000000" w:themeColor="text1"/>
        </w:rPr>
        <w:t>5 % for the largest consuming A5 party, 7% for the next top 10 A5 consuming parties, and 10% for remaining A5 parties)</w:t>
      </w:r>
      <w:r w:rsidR="00726974" w:rsidRPr="00A81971">
        <w:rPr>
          <w:rFonts w:eastAsia="Times New Roman"/>
          <w:color w:val="000000" w:themeColor="text1"/>
        </w:rPr>
        <w:t xml:space="preserve"> (not included in the RTF May 2026 Report)</w:t>
      </w:r>
      <w:r w:rsidRPr="00A81971">
        <w:rPr>
          <w:rFonts w:eastAsia="Times New Roman"/>
          <w:color w:val="000000" w:themeColor="text1"/>
        </w:rPr>
        <w:t xml:space="preserve">; </w:t>
      </w:r>
    </w:p>
    <w:p w14:paraId="3D2F26DD" w14:textId="77777777" w:rsidR="003B5790" w:rsidRPr="00A81971" w:rsidRDefault="0032495C" w:rsidP="007A20BD">
      <w:pPr>
        <w:numPr>
          <w:ilvl w:val="0"/>
          <w:numId w:val="23"/>
        </w:numPr>
        <w:tabs>
          <w:tab w:val="left" w:pos="0"/>
          <w:tab w:val="left" w:pos="720"/>
        </w:tabs>
        <w:spacing w:after="240"/>
        <w:contextualSpacing/>
        <w:rPr>
          <w:rFonts w:eastAsia="Times New Roman"/>
          <w:color w:val="000000"/>
        </w:rPr>
      </w:pPr>
      <w:r w:rsidRPr="00A81971">
        <w:rPr>
          <w:rFonts w:eastAsia="Times New Roman"/>
          <w:color w:val="000000" w:themeColor="text1"/>
        </w:rPr>
        <w:t xml:space="preserve">Maintained the estimates for institutional strengthening and standard activities (IS and SA) as in the </w:t>
      </w:r>
      <w:r w:rsidR="00616BBA" w:rsidRPr="00A81971">
        <w:rPr>
          <w:rFonts w:eastAsia="Times New Roman"/>
          <w:color w:val="000000" w:themeColor="text1"/>
        </w:rPr>
        <w:t xml:space="preserve">RTF </w:t>
      </w:r>
      <w:r w:rsidRPr="00A81971">
        <w:rPr>
          <w:rFonts w:eastAsia="Times New Roman"/>
          <w:color w:val="000000" w:themeColor="text1"/>
        </w:rPr>
        <w:t>May 2026 Report; and</w:t>
      </w:r>
    </w:p>
    <w:p w14:paraId="54F2D0EA" w14:textId="77777777" w:rsidR="003B5790" w:rsidRPr="00A81971" w:rsidRDefault="0032495C" w:rsidP="007A20BD">
      <w:pPr>
        <w:numPr>
          <w:ilvl w:val="0"/>
          <w:numId w:val="23"/>
        </w:numPr>
        <w:tabs>
          <w:tab w:val="left" w:pos="0"/>
          <w:tab w:val="left" w:pos="720"/>
        </w:tabs>
        <w:spacing w:after="240"/>
        <w:contextualSpacing/>
      </w:pPr>
      <w:r w:rsidRPr="00A81971">
        <w:rPr>
          <w:rFonts w:eastAsia="Times New Roman"/>
          <w:color w:val="000000"/>
        </w:rPr>
        <w:t>Continued to apply average 9.6% for agency support costs and 15% discount for foreign ownership for manufacturing sectors.</w:t>
      </w:r>
    </w:p>
    <w:p w14:paraId="024578AE" w14:textId="77777777" w:rsidR="009B50ED" w:rsidRPr="00A81971" w:rsidRDefault="009B50ED" w:rsidP="009B50ED">
      <w:pPr>
        <w:tabs>
          <w:tab w:val="left" w:pos="0"/>
          <w:tab w:val="left" w:pos="720"/>
        </w:tabs>
        <w:spacing w:after="240"/>
        <w:ind w:left="720"/>
        <w:contextualSpacing/>
      </w:pPr>
    </w:p>
    <w:p w14:paraId="3E334C41" w14:textId="77777777" w:rsidR="350041B7" w:rsidRPr="00A81971" w:rsidRDefault="0032495C" w:rsidP="350041B7">
      <w:pPr>
        <w:spacing w:before="40" w:after="40"/>
        <w:contextualSpacing/>
      </w:pPr>
      <w:r w:rsidRPr="00A81971">
        <w:rPr>
          <w:rFonts w:eastAsia="Times New Roman"/>
          <w:color w:val="000000" w:themeColor="text1"/>
        </w:rPr>
        <w:t xml:space="preserve">With the above updates, the </w:t>
      </w:r>
      <w:r w:rsidR="00CF31C4" w:rsidRPr="00A81971">
        <w:rPr>
          <w:rFonts w:eastAsia="Times New Roman"/>
          <w:color w:val="000000" w:themeColor="text1"/>
        </w:rPr>
        <w:t xml:space="preserve">RTF </w:t>
      </w:r>
      <w:r w:rsidRPr="00A81971">
        <w:rPr>
          <w:rFonts w:eastAsia="Times New Roman"/>
          <w:color w:val="000000" w:themeColor="text1"/>
        </w:rPr>
        <w:t>May 2026 Report is referred to as the</w:t>
      </w:r>
      <w:r w:rsidRPr="00A81971">
        <w:rPr>
          <w:rFonts w:eastAsia="Times New Roman"/>
          <w:b/>
          <w:bCs/>
          <w:color w:val="000000" w:themeColor="text1"/>
        </w:rPr>
        <w:t xml:space="preserve"> “Updated RTF May Report”</w:t>
      </w:r>
      <w:r w:rsidRPr="00A81971">
        <w:rPr>
          <w:rFonts w:eastAsia="Times New Roman"/>
          <w:color w:val="000000" w:themeColor="text1"/>
        </w:rPr>
        <w:t>.</w:t>
      </w:r>
      <w:r w:rsidRPr="00A81971">
        <w:t xml:space="preserve">  </w:t>
      </w:r>
    </w:p>
    <w:p w14:paraId="5101376D" w14:textId="77777777" w:rsidR="350041B7" w:rsidRPr="00A81971" w:rsidRDefault="350041B7" w:rsidP="350041B7">
      <w:pPr>
        <w:spacing w:before="40" w:after="40"/>
        <w:contextualSpacing/>
      </w:pPr>
    </w:p>
    <w:p w14:paraId="36B82AF6" w14:textId="77777777" w:rsidR="350041B7" w:rsidRPr="00A81971" w:rsidRDefault="0032495C" w:rsidP="46A3B0F3">
      <w:pPr>
        <w:spacing w:before="40" w:after="40"/>
        <w:contextualSpacing/>
      </w:pPr>
      <w:r w:rsidRPr="00A81971">
        <w:t xml:space="preserve">Once the above updates to funding estimates were made, then RTF addressed the suggestions from OEWG-48, described in the remaining chapters of this report. </w:t>
      </w:r>
    </w:p>
    <w:p w14:paraId="5254FB74" w14:textId="77777777" w:rsidR="350041B7" w:rsidRPr="00A81971" w:rsidRDefault="350041B7" w:rsidP="46A3B0F3">
      <w:pPr>
        <w:spacing w:before="40" w:after="40"/>
        <w:contextualSpacing/>
      </w:pPr>
    </w:p>
    <w:p w14:paraId="213F740C" w14:textId="77777777" w:rsidR="003B5790" w:rsidRPr="00A81971" w:rsidRDefault="0032495C" w:rsidP="46A3B0F3">
      <w:pPr>
        <w:tabs>
          <w:tab w:val="left" w:pos="0"/>
          <w:tab w:val="left" w:pos="720"/>
        </w:tabs>
        <w:rPr>
          <w:sz w:val="24"/>
          <w:szCs w:val="24"/>
        </w:rPr>
      </w:pPr>
      <w:r w:rsidRPr="00A81971">
        <w:rPr>
          <w:b/>
          <w:bCs/>
          <w:sz w:val="24"/>
          <w:szCs w:val="24"/>
        </w:rPr>
        <w:t>U</w:t>
      </w:r>
      <w:r w:rsidR="00133822" w:rsidRPr="00A81971">
        <w:rPr>
          <w:b/>
          <w:bCs/>
          <w:sz w:val="24"/>
          <w:szCs w:val="24"/>
        </w:rPr>
        <w:t>PDATES TO THE RTF MAY 2026 REPORT</w:t>
      </w:r>
    </w:p>
    <w:p w14:paraId="1A53C136" w14:textId="2494D82B" w:rsidR="003B5790" w:rsidRPr="00A81971" w:rsidRDefault="0032495C" w:rsidP="003B5790">
      <w:pPr>
        <w:tabs>
          <w:tab w:val="left" w:pos="0"/>
          <w:tab w:val="left" w:pos="720"/>
        </w:tabs>
        <w:spacing w:after="240"/>
      </w:pPr>
      <w:r w:rsidRPr="00A81971">
        <w:t>Chapter 2 of this report provides further discussion and the updated estimates as in Table ES</w:t>
      </w:r>
      <w:r w:rsidR="00E83EBE">
        <w:t>.</w:t>
      </w:r>
      <w:r w:rsidRPr="00A81971">
        <w:t xml:space="preserve">2 below based on the above information and assumptions. RTF notes that </w:t>
      </w:r>
      <w:r w:rsidR="3F46B2C4" w:rsidRPr="00A81971">
        <w:t>these</w:t>
      </w:r>
      <w:r w:rsidRPr="00A81971">
        <w:t xml:space="preserve"> updates also incorporate the following suggestions from parties from OEWG-48 as in Table ES</w:t>
      </w:r>
      <w:r w:rsidR="00E83EBE">
        <w:t>.</w:t>
      </w:r>
      <w:r w:rsidRPr="00A81971">
        <w:t>1:</w:t>
      </w:r>
    </w:p>
    <w:p w14:paraId="1A27E7B9" w14:textId="77777777" w:rsidR="003B5790" w:rsidRPr="00A81971" w:rsidRDefault="0032495C" w:rsidP="007A20BD">
      <w:pPr>
        <w:numPr>
          <w:ilvl w:val="0"/>
          <w:numId w:val="58"/>
        </w:numPr>
        <w:tabs>
          <w:tab w:val="left" w:pos="0"/>
          <w:tab w:val="left" w:pos="720"/>
        </w:tabs>
        <w:spacing w:after="240"/>
        <w:contextualSpacing/>
        <w:rPr>
          <w:i/>
          <w:iCs/>
        </w:rPr>
      </w:pPr>
      <w:r w:rsidRPr="00A81971">
        <w:rPr>
          <w:i/>
          <w:iCs/>
        </w:rPr>
        <w:t>Adjust all elements of the funding requirements based on relevant decisions taken at the 98th meeting of the Executive Committee and make any additional necessary updates to accurately reflect amounts in approved HPMPs and KIPs;</w:t>
      </w:r>
    </w:p>
    <w:p w14:paraId="07F1530A" w14:textId="77777777" w:rsidR="003B5790" w:rsidRPr="00A81971" w:rsidRDefault="0032495C" w:rsidP="007A20BD">
      <w:pPr>
        <w:numPr>
          <w:ilvl w:val="0"/>
          <w:numId w:val="58"/>
        </w:numPr>
        <w:tabs>
          <w:tab w:val="left" w:pos="0"/>
          <w:tab w:val="left" w:pos="720"/>
        </w:tabs>
        <w:spacing w:after="240"/>
        <w:contextualSpacing/>
        <w:rPr>
          <w:i/>
          <w:iCs/>
        </w:rPr>
      </w:pPr>
      <w:r w:rsidRPr="00A81971">
        <w:rPr>
          <w:i/>
          <w:iCs/>
        </w:rPr>
        <w:t>HFC-23 mitigation scenarios that account for the ongoing operating costs, IOCs of approved MLF projects;</w:t>
      </w:r>
    </w:p>
    <w:p w14:paraId="500B6E43" w14:textId="77777777" w:rsidR="003B5790" w:rsidRPr="00A81971" w:rsidRDefault="0032495C" w:rsidP="007A20BD">
      <w:pPr>
        <w:numPr>
          <w:ilvl w:val="0"/>
          <w:numId w:val="58"/>
        </w:numPr>
        <w:tabs>
          <w:tab w:val="left" w:pos="0"/>
          <w:tab w:val="left" w:pos="720"/>
        </w:tabs>
        <w:spacing w:after="240"/>
        <w:contextualSpacing/>
        <w:rPr>
          <w:i/>
          <w:iCs/>
        </w:rPr>
      </w:pPr>
      <w:r w:rsidRPr="00A81971">
        <w:rPr>
          <w:i/>
          <w:iCs/>
        </w:rPr>
        <w:t xml:space="preserve">A low-end scenario for EE (decision 94/60) based on projects included in the business plan of the MLF and a high-end scenario reflecting full utilization of remaining funds in the 94/60 funding window aimed at promoting EE improvements in the context of the HFC phase down in the next triennium; and </w:t>
      </w:r>
    </w:p>
    <w:p w14:paraId="6191F30E" w14:textId="77777777" w:rsidR="00AA6223" w:rsidRPr="00A81971" w:rsidRDefault="0032495C" w:rsidP="007A20BD">
      <w:pPr>
        <w:numPr>
          <w:ilvl w:val="0"/>
          <w:numId w:val="58"/>
        </w:numPr>
        <w:tabs>
          <w:tab w:val="left" w:pos="0"/>
          <w:tab w:val="left" w:pos="720"/>
        </w:tabs>
        <w:spacing w:after="240"/>
        <w:contextualSpacing/>
        <w:rPr>
          <w:rFonts w:eastAsia="Times New Roman"/>
          <w:color w:val="6D5700"/>
          <w:u w:val="single"/>
        </w:rPr>
      </w:pPr>
      <w:r w:rsidRPr="00A81971">
        <w:rPr>
          <w:i/>
          <w:iCs/>
        </w:rPr>
        <w:t xml:space="preserve">The distribution of funding across different levels of country consumption to address the needs of A5 parties to enable compliance is adequately reflected. </w:t>
      </w:r>
    </w:p>
    <w:p w14:paraId="37263D73" w14:textId="77777777" w:rsidR="00AA6223" w:rsidRPr="00A81971" w:rsidRDefault="00AA6223" w:rsidP="002330F0">
      <w:pPr>
        <w:tabs>
          <w:tab w:val="left" w:pos="0"/>
          <w:tab w:val="left" w:pos="720"/>
        </w:tabs>
        <w:spacing w:after="240"/>
        <w:ind w:left="720"/>
        <w:contextualSpacing/>
        <w:rPr>
          <w:rFonts w:eastAsia="Times New Roman"/>
          <w:color w:val="6D5700"/>
          <w:u w:val="single"/>
        </w:rPr>
      </w:pPr>
    </w:p>
    <w:p w14:paraId="511024B1" w14:textId="77777777" w:rsidR="1E375DFC" w:rsidRPr="00A81971" w:rsidRDefault="0032495C" w:rsidP="00940F29">
      <w:pPr>
        <w:tabs>
          <w:tab w:val="left" w:pos="0"/>
          <w:tab w:val="left" w:pos="720"/>
        </w:tabs>
        <w:spacing w:after="240"/>
        <w:contextualSpacing/>
        <w:rPr>
          <w:rFonts w:eastAsia="Times New Roman"/>
          <w:color w:val="6D5700"/>
          <w:u w:val="single"/>
        </w:rPr>
      </w:pPr>
      <w:r w:rsidRPr="00A81971">
        <w:lastRenderedPageBreak/>
        <w:t xml:space="preserve">Important to note that the model developed by </w:t>
      </w:r>
      <w:r w:rsidRPr="00A81971">
        <w:rPr>
          <w:rFonts w:eastAsia="Times New Roman"/>
        </w:rPr>
        <w:t xml:space="preserve">RTF to estimate funding needs already considers </w:t>
      </w:r>
      <w:r w:rsidR="009250F4" w:rsidRPr="00A81971">
        <w:rPr>
          <w:rFonts w:eastAsia="Times New Roman"/>
        </w:rPr>
        <w:t>the last</w:t>
      </w:r>
      <w:r w:rsidRPr="00A81971">
        <w:rPr>
          <w:rFonts w:eastAsia="Times New Roman"/>
        </w:rPr>
        <w:t xml:space="preserve"> suggestion</w:t>
      </w:r>
      <w:r w:rsidR="009250F4" w:rsidRPr="00A81971">
        <w:rPr>
          <w:rFonts w:eastAsia="Times New Roman"/>
        </w:rPr>
        <w:t>, t</w:t>
      </w:r>
      <w:r w:rsidRPr="00A81971">
        <w:rPr>
          <w:rFonts w:eastAsia="Times New Roman"/>
        </w:rPr>
        <w:t xml:space="preserve">herefore, no </w:t>
      </w:r>
      <w:r w:rsidR="0025732E" w:rsidRPr="00A81971">
        <w:rPr>
          <w:rFonts w:eastAsia="Times New Roman"/>
        </w:rPr>
        <w:t xml:space="preserve">further </w:t>
      </w:r>
      <w:r w:rsidRPr="00A81971">
        <w:rPr>
          <w:rFonts w:eastAsia="Times New Roman"/>
        </w:rPr>
        <w:t xml:space="preserve">action was </w:t>
      </w:r>
      <w:r w:rsidR="002330F0" w:rsidRPr="00A81971">
        <w:rPr>
          <w:rFonts w:eastAsia="Times New Roman"/>
        </w:rPr>
        <w:t xml:space="preserve">taken </w:t>
      </w:r>
      <w:r w:rsidRPr="00A81971">
        <w:rPr>
          <w:rFonts w:eastAsia="Times New Roman"/>
        </w:rPr>
        <w:t>by RTF</w:t>
      </w:r>
      <w:r w:rsidR="002330F0" w:rsidRPr="00A81971">
        <w:rPr>
          <w:rFonts w:eastAsia="Times New Roman"/>
        </w:rPr>
        <w:t xml:space="preserve"> to address this suggestion</w:t>
      </w:r>
      <w:r w:rsidRPr="00A81971">
        <w:rPr>
          <w:rFonts w:eastAsia="Times New Roman"/>
        </w:rPr>
        <w:t>.</w:t>
      </w:r>
    </w:p>
    <w:p w14:paraId="735C71D0" w14:textId="77777777" w:rsidR="009B50ED" w:rsidRPr="00A81971" w:rsidRDefault="009B50ED" w:rsidP="003B5790">
      <w:pPr>
        <w:spacing w:after="0"/>
      </w:pPr>
    </w:p>
    <w:p w14:paraId="3C873EC2" w14:textId="77777777" w:rsidR="003B5790" w:rsidRPr="00A81971" w:rsidRDefault="0032495C" w:rsidP="1EB17688">
      <w:pPr>
        <w:spacing w:after="0" w:line="259" w:lineRule="auto"/>
      </w:pPr>
      <w:r w:rsidRPr="00A81971">
        <w:t xml:space="preserve">The updated ranges of total estimated funding requirements based on the updated information as provided in Chapter 2 </w:t>
      </w:r>
      <w:r w:rsidR="5D210E88" w:rsidRPr="00A81971">
        <w:t xml:space="preserve">for the triennium 2027-2029 </w:t>
      </w:r>
      <w:r w:rsidRPr="00A81971">
        <w:t>are shown in Table ES</w:t>
      </w:r>
      <w:r w:rsidR="00D43E61">
        <w:t>.</w:t>
      </w:r>
      <w:r w:rsidRPr="00A81971">
        <w:t>2</w:t>
      </w:r>
      <w:r w:rsidR="00A709C3" w:rsidRPr="00A81971">
        <w:t>.</w:t>
      </w:r>
    </w:p>
    <w:p w14:paraId="2B7F7E9B" w14:textId="77777777" w:rsidR="001879BC" w:rsidRDefault="001879BC" w:rsidP="001879BC">
      <w:pPr>
        <w:tabs>
          <w:tab w:val="left" w:pos="0"/>
        </w:tabs>
        <w:spacing w:after="0" w:line="259" w:lineRule="auto"/>
        <w:jc w:val="both"/>
        <w:rPr>
          <w:rFonts w:eastAsia="Times New Roman"/>
          <w:color w:val="000000"/>
          <w:sz w:val="24"/>
          <w:szCs w:val="24"/>
          <w:lang w:val="en-CA"/>
        </w:rPr>
      </w:pPr>
    </w:p>
    <w:p w14:paraId="5528C9E3" w14:textId="77777777" w:rsidR="003B5790" w:rsidRPr="00A81971" w:rsidRDefault="0032495C" w:rsidP="00450713">
      <w:pPr>
        <w:tabs>
          <w:tab w:val="left" w:pos="0"/>
          <w:tab w:val="left" w:pos="1250"/>
          <w:tab w:val="left" w:pos="1418"/>
        </w:tabs>
        <w:spacing w:after="240"/>
        <w:ind w:left="1418" w:hanging="1418"/>
        <w:rPr>
          <w:b/>
          <w:bCs/>
        </w:rPr>
      </w:pPr>
      <w:r w:rsidRPr="0006445E">
        <w:rPr>
          <w:rFonts w:eastAsia="Yu Mincho"/>
          <w:b/>
          <w:bCs/>
          <w:color w:val="000000"/>
          <w:lang w:val="en-CA"/>
        </w:rPr>
        <w:t xml:space="preserve">Table </w:t>
      </w:r>
      <w:r>
        <w:rPr>
          <w:rFonts w:eastAsia="Yu Mincho"/>
          <w:b/>
          <w:bCs/>
          <w:color w:val="000000"/>
          <w:lang w:val="en-CA"/>
        </w:rPr>
        <w:t>ES.2</w:t>
      </w:r>
      <w:r w:rsidR="009C1FEA">
        <w:rPr>
          <w:rFonts w:eastAsia="Yu Mincho"/>
          <w:b/>
          <w:bCs/>
          <w:color w:val="000000"/>
          <w:lang w:val="en-CA"/>
        </w:rPr>
        <w:t>:</w:t>
      </w:r>
      <w:r w:rsidRPr="0006445E">
        <w:rPr>
          <w:rFonts w:eastAsia="Times New Roman"/>
          <w:color w:val="000000"/>
          <w:lang w:val="en-CA"/>
        </w:rPr>
        <w:tab/>
      </w:r>
      <w:r w:rsidRPr="00A81971">
        <w:rPr>
          <w:b/>
          <w:bCs/>
        </w:rPr>
        <w:t>Updated ranges of total funding requirement for the replenishment of the MLF 2027–2029 (US$ million)</w:t>
      </w:r>
      <w:r w:rsidRPr="0006445E">
        <w:rPr>
          <w:rFonts w:eastAsia="Times New Roman"/>
          <w:b/>
          <w:bCs/>
          <w:color w:val="000000"/>
          <w:lang w:val="en-CA"/>
        </w:rPr>
        <w:t xml:space="preserve"> </w:t>
      </w:r>
    </w:p>
    <w:tbl>
      <w:tblPr>
        <w:tblW w:w="90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961"/>
        <w:gridCol w:w="2850"/>
        <w:gridCol w:w="3253"/>
      </w:tblGrid>
      <w:tr w:rsidR="00F90461" w14:paraId="5FDD22A6" w14:textId="77777777" w:rsidTr="00C07CCB">
        <w:trPr>
          <w:trHeight w:val="60"/>
        </w:trPr>
        <w:tc>
          <w:tcPr>
            <w:tcW w:w="2961" w:type="dxa"/>
            <w:shd w:val="clear" w:color="auto" w:fill="D9E2F3" w:themeFill="accent1" w:themeFillTint="33"/>
            <w:vAlign w:val="center"/>
            <w:hideMark/>
          </w:tcPr>
          <w:p w14:paraId="18D5F18B" w14:textId="77777777" w:rsidR="003B5790" w:rsidRPr="00A81971" w:rsidRDefault="0032495C" w:rsidP="00FE5C31">
            <w:pPr>
              <w:spacing w:after="0"/>
              <w:jc w:val="center"/>
              <w:rPr>
                <w:b/>
                <w:bCs/>
              </w:rPr>
            </w:pPr>
            <w:r w:rsidRPr="00A81971">
              <w:rPr>
                <w:b/>
                <w:bCs/>
              </w:rPr>
              <w:t>2027-2029 Triennium</w:t>
            </w:r>
          </w:p>
        </w:tc>
        <w:tc>
          <w:tcPr>
            <w:tcW w:w="2850" w:type="dxa"/>
            <w:shd w:val="clear" w:color="auto" w:fill="D9E2F3" w:themeFill="accent1" w:themeFillTint="33"/>
            <w:vAlign w:val="center"/>
            <w:hideMark/>
          </w:tcPr>
          <w:p w14:paraId="62A0206F" w14:textId="77777777" w:rsidR="003B5790" w:rsidRPr="00A81971" w:rsidRDefault="0032495C" w:rsidP="003B5790">
            <w:pPr>
              <w:spacing w:after="0"/>
              <w:rPr>
                <w:b/>
                <w:bCs/>
              </w:rPr>
            </w:pPr>
            <w:r w:rsidRPr="00A81971">
              <w:rPr>
                <w:b/>
                <w:bCs/>
              </w:rPr>
              <w:t>May 2026 Report Estimates</w:t>
            </w:r>
            <w:r>
              <w:rPr>
                <w:b/>
                <w:bCs/>
                <w:vertAlign w:val="superscript"/>
              </w:rPr>
              <w:footnoteReference w:id="6"/>
            </w:r>
          </w:p>
        </w:tc>
        <w:tc>
          <w:tcPr>
            <w:tcW w:w="3253" w:type="dxa"/>
            <w:shd w:val="clear" w:color="auto" w:fill="D9E2F3" w:themeFill="accent1" w:themeFillTint="33"/>
            <w:vAlign w:val="center"/>
            <w:hideMark/>
          </w:tcPr>
          <w:p w14:paraId="34093258" w14:textId="77777777" w:rsidR="003B5790" w:rsidRPr="00A81971" w:rsidRDefault="0032495C" w:rsidP="003B5790">
            <w:pPr>
              <w:spacing w:after="0"/>
              <w:rPr>
                <w:b/>
                <w:bCs/>
              </w:rPr>
            </w:pPr>
            <w:r w:rsidRPr="00A81971">
              <w:rPr>
                <w:b/>
                <w:bCs/>
              </w:rPr>
              <w:t>Updated May Report Estimates</w:t>
            </w:r>
            <w:r>
              <w:rPr>
                <w:b/>
                <w:bCs/>
                <w:vertAlign w:val="superscript"/>
              </w:rPr>
              <w:footnoteReference w:id="7"/>
            </w:r>
          </w:p>
        </w:tc>
      </w:tr>
      <w:tr w:rsidR="00F90461" w14:paraId="3F433C45" w14:textId="77777777" w:rsidTr="00C07CCB">
        <w:trPr>
          <w:trHeight w:val="285"/>
        </w:trPr>
        <w:tc>
          <w:tcPr>
            <w:tcW w:w="2961" w:type="dxa"/>
            <w:shd w:val="clear" w:color="auto" w:fill="E2EFD9" w:themeFill="accent6" w:themeFillTint="33"/>
            <w:vAlign w:val="bottom"/>
          </w:tcPr>
          <w:p w14:paraId="41871B7D" w14:textId="77777777" w:rsidR="003B5790" w:rsidRPr="00A81971" w:rsidRDefault="0032495C" w:rsidP="003B5790">
            <w:pPr>
              <w:spacing w:after="0"/>
              <w:rPr>
                <w:b/>
                <w:bCs/>
              </w:rPr>
            </w:pPr>
            <w:r w:rsidRPr="00A81971">
              <w:rPr>
                <w:b/>
                <w:bCs/>
              </w:rPr>
              <w:t>SUBTOTAL – HCFC ACTIVITIES</w:t>
            </w:r>
          </w:p>
        </w:tc>
        <w:tc>
          <w:tcPr>
            <w:tcW w:w="2850" w:type="dxa"/>
            <w:shd w:val="clear" w:color="auto" w:fill="FFFFFF" w:themeFill="background1"/>
            <w:vAlign w:val="center"/>
          </w:tcPr>
          <w:p w14:paraId="77365470" w14:textId="77777777" w:rsidR="003B5790" w:rsidRPr="00A81971" w:rsidRDefault="0032495C" w:rsidP="003B5790">
            <w:pPr>
              <w:spacing w:after="0"/>
              <w:jc w:val="center"/>
              <w:rPr>
                <w:b/>
                <w:bCs/>
              </w:rPr>
            </w:pPr>
            <w:r w:rsidRPr="00A81971">
              <w:rPr>
                <w:b/>
              </w:rPr>
              <w:t>451 – 573</w:t>
            </w:r>
          </w:p>
        </w:tc>
        <w:tc>
          <w:tcPr>
            <w:tcW w:w="3253" w:type="dxa"/>
            <w:shd w:val="clear" w:color="auto" w:fill="FFFFFF" w:themeFill="background1"/>
            <w:vAlign w:val="center"/>
          </w:tcPr>
          <w:p w14:paraId="7A523835" w14:textId="77777777" w:rsidR="003B5790" w:rsidRPr="00A81971" w:rsidRDefault="0032495C" w:rsidP="003B5790">
            <w:pPr>
              <w:spacing w:after="0"/>
              <w:jc w:val="center"/>
              <w:rPr>
                <w:b/>
                <w:bCs/>
              </w:rPr>
            </w:pPr>
            <w:r w:rsidRPr="00A81971">
              <w:rPr>
                <w:b/>
                <w:bCs/>
              </w:rPr>
              <w:t>437 – 564</w:t>
            </w:r>
          </w:p>
        </w:tc>
      </w:tr>
      <w:tr w:rsidR="00F90461" w14:paraId="2EA9998E" w14:textId="77777777" w:rsidTr="00C07CCB">
        <w:trPr>
          <w:trHeight w:val="285"/>
        </w:trPr>
        <w:tc>
          <w:tcPr>
            <w:tcW w:w="2961" w:type="dxa"/>
            <w:shd w:val="clear" w:color="auto" w:fill="E2EFD9" w:themeFill="accent6" w:themeFillTint="33"/>
            <w:vAlign w:val="bottom"/>
          </w:tcPr>
          <w:p w14:paraId="116BF604" w14:textId="77777777" w:rsidR="003B5790" w:rsidRPr="00A81971" w:rsidRDefault="0032495C" w:rsidP="003B5790">
            <w:pPr>
              <w:spacing w:after="0"/>
              <w:rPr>
                <w:b/>
                <w:bCs/>
              </w:rPr>
            </w:pPr>
            <w:r w:rsidRPr="00A81971">
              <w:rPr>
                <w:b/>
                <w:bCs/>
              </w:rPr>
              <w:t xml:space="preserve">SUBTOTAL – HFC </w:t>
            </w:r>
            <w:r w:rsidR="350041B7" w:rsidRPr="00A81971">
              <w:rPr>
                <w:b/>
                <w:bCs/>
              </w:rPr>
              <w:t>ACTIVITIES</w:t>
            </w:r>
          </w:p>
        </w:tc>
        <w:tc>
          <w:tcPr>
            <w:tcW w:w="2850" w:type="dxa"/>
            <w:shd w:val="clear" w:color="auto" w:fill="FFFFFF" w:themeFill="background1"/>
            <w:vAlign w:val="center"/>
          </w:tcPr>
          <w:p w14:paraId="75C9ADD9" w14:textId="77777777" w:rsidR="003B5790" w:rsidRPr="00A81971" w:rsidRDefault="0032495C" w:rsidP="003B5790">
            <w:pPr>
              <w:spacing w:after="0"/>
              <w:jc w:val="center"/>
              <w:rPr>
                <w:b/>
                <w:bCs/>
              </w:rPr>
            </w:pPr>
            <w:r w:rsidRPr="00A81971">
              <w:rPr>
                <w:b/>
                <w:bCs/>
              </w:rPr>
              <w:t>702 – 1,053</w:t>
            </w:r>
          </w:p>
        </w:tc>
        <w:tc>
          <w:tcPr>
            <w:tcW w:w="3253" w:type="dxa"/>
            <w:shd w:val="clear" w:color="auto" w:fill="FFFFFF" w:themeFill="background1"/>
            <w:vAlign w:val="center"/>
          </w:tcPr>
          <w:p w14:paraId="551F5917" w14:textId="77777777" w:rsidR="003B5790" w:rsidRPr="00A81971" w:rsidRDefault="0032495C" w:rsidP="1E375DFC">
            <w:pPr>
              <w:spacing w:after="0"/>
              <w:jc w:val="center"/>
              <w:rPr>
                <w:b/>
                <w:bCs/>
              </w:rPr>
            </w:pPr>
            <w:r w:rsidRPr="00A81971">
              <w:rPr>
                <w:b/>
                <w:bCs/>
              </w:rPr>
              <w:t>664 – 999</w:t>
            </w:r>
          </w:p>
        </w:tc>
      </w:tr>
      <w:tr w:rsidR="00F90461" w14:paraId="43D636E2" w14:textId="77777777" w:rsidTr="00C07CCB">
        <w:trPr>
          <w:trHeight w:val="285"/>
        </w:trPr>
        <w:tc>
          <w:tcPr>
            <w:tcW w:w="2961" w:type="dxa"/>
            <w:shd w:val="clear" w:color="auto" w:fill="E2EFD9" w:themeFill="accent6" w:themeFillTint="33"/>
            <w:vAlign w:val="bottom"/>
          </w:tcPr>
          <w:p w14:paraId="3B749A07" w14:textId="77777777" w:rsidR="003B5790" w:rsidRPr="00A81971" w:rsidRDefault="0032495C" w:rsidP="003B5790">
            <w:pPr>
              <w:spacing w:after="0"/>
              <w:rPr>
                <w:b/>
                <w:bCs/>
              </w:rPr>
            </w:pPr>
            <w:r w:rsidRPr="00A81971">
              <w:rPr>
                <w:b/>
                <w:bCs/>
              </w:rPr>
              <w:t>SUBTOTAL – IS &amp; SA</w:t>
            </w:r>
          </w:p>
        </w:tc>
        <w:tc>
          <w:tcPr>
            <w:tcW w:w="2850" w:type="dxa"/>
            <w:shd w:val="clear" w:color="auto" w:fill="FFFFFF" w:themeFill="background1"/>
            <w:vAlign w:val="center"/>
          </w:tcPr>
          <w:p w14:paraId="0345D64A" w14:textId="77777777" w:rsidR="003B5790" w:rsidRPr="00A81971" w:rsidRDefault="0032495C" w:rsidP="003B5790">
            <w:pPr>
              <w:spacing w:after="0"/>
              <w:jc w:val="center"/>
              <w:rPr>
                <w:b/>
                <w:bCs/>
              </w:rPr>
            </w:pPr>
            <w:r w:rsidRPr="00A81971">
              <w:rPr>
                <w:b/>
              </w:rPr>
              <w:t>129</w:t>
            </w:r>
          </w:p>
        </w:tc>
        <w:tc>
          <w:tcPr>
            <w:tcW w:w="3253" w:type="dxa"/>
            <w:shd w:val="clear" w:color="auto" w:fill="FFFFFF" w:themeFill="background1"/>
            <w:vAlign w:val="center"/>
          </w:tcPr>
          <w:p w14:paraId="293A7CE5" w14:textId="77777777" w:rsidR="003B5790" w:rsidRPr="00A81971" w:rsidRDefault="0032495C" w:rsidP="003B5790">
            <w:pPr>
              <w:spacing w:after="0"/>
              <w:jc w:val="center"/>
              <w:rPr>
                <w:b/>
                <w:bCs/>
              </w:rPr>
            </w:pPr>
            <w:r w:rsidRPr="00A81971">
              <w:rPr>
                <w:b/>
                <w:bCs/>
              </w:rPr>
              <w:t>129</w:t>
            </w:r>
          </w:p>
        </w:tc>
      </w:tr>
      <w:tr w:rsidR="00F90461" w14:paraId="4C9C87E1" w14:textId="77777777" w:rsidTr="00C07CCB">
        <w:trPr>
          <w:trHeight w:val="285"/>
        </w:trPr>
        <w:tc>
          <w:tcPr>
            <w:tcW w:w="2961" w:type="dxa"/>
            <w:shd w:val="clear" w:color="auto" w:fill="FFFF00"/>
            <w:vAlign w:val="bottom"/>
          </w:tcPr>
          <w:p w14:paraId="0C0456D8" w14:textId="77777777" w:rsidR="003B5790" w:rsidRPr="00A81971" w:rsidRDefault="0032495C" w:rsidP="003B5790">
            <w:pPr>
              <w:spacing w:after="0"/>
            </w:pPr>
            <w:r w:rsidRPr="00A81971">
              <w:rPr>
                <w:b/>
                <w:bCs/>
              </w:rPr>
              <w:t xml:space="preserve">GRAND TOTAL </w:t>
            </w:r>
          </w:p>
          <w:p w14:paraId="1D844EAC" w14:textId="77777777" w:rsidR="003B5790" w:rsidRPr="00A81971" w:rsidRDefault="0032495C" w:rsidP="003B5790">
            <w:pPr>
              <w:spacing w:after="0"/>
              <w:rPr>
                <w:b/>
                <w:bCs/>
              </w:rPr>
            </w:pPr>
            <w:r w:rsidRPr="00A81971">
              <w:rPr>
                <w:b/>
                <w:bCs/>
              </w:rPr>
              <w:t>(US$ million)</w:t>
            </w:r>
          </w:p>
        </w:tc>
        <w:tc>
          <w:tcPr>
            <w:tcW w:w="2850" w:type="dxa"/>
            <w:shd w:val="clear" w:color="auto" w:fill="FFFF00"/>
            <w:vAlign w:val="center"/>
          </w:tcPr>
          <w:p w14:paraId="77CAEAC8" w14:textId="77777777" w:rsidR="003B5790" w:rsidRPr="00A81971" w:rsidRDefault="0032495C" w:rsidP="003B5790">
            <w:pPr>
              <w:spacing w:after="0"/>
              <w:jc w:val="center"/>
              <w:rPr>
                <w:b/>
                <w:bCs/>
              </w:rPr>
            </w:pPr>
            <w:r w:rsidRPr="00A81971">
              <w:rPr>
                <w:b/>
                <w:bCs/>
              </w:rPr>
              <w:t>1,282 – 1,755</w:t>
            </w:r>
          </w:p>
        </w:tc>
        <w:tc>
          <w:tcPr>
            <w:tcW w:w="3253" w:type="dxa"/>
            <w:shd w:val="clear" w:color="auto" w:fill="FFFF00"/>
            <w:vAlign w:val="center"/>
          </w:tcPr>
          <w:p w14:paraId="3E9DF3BE" w14:textId="77777777" w:rsidR="003B5790" w:rsidRPr="00A81971" w:rsidRDefault="0032495C" w:rsidP="003B5790">
            <w:pPr>
              <w:spacing w:after="0"/>
              <w:jc w:val="center"/>
              <w:rPr>
                <w:b/>
                <w:bCs/>
              </w:rPr>
            </w:pPr>
            <w:r w:rsidRPr="00A81971">
              <w:rPr>
                <w:b/>
                <w:bCs/>
              </w:rPr>
              <w:t>1,230 – 1,692</w:t>
            </w:r>
          </w:p>
        </w:tc>
      </w:tr>
    </w:tbl>
    <w:p w14:paraId="2C15A3FF" w14:textId="77777777" w:rsidR="350041B7" w:rsidRPr="00A81971" w:rsidRDefault="350041B7" w:rsidP="350041B7">
      <w:pPr>
        <w:spacing w:after="0"/>
      </w:pPr>
    </w:p>
    <w:p w14:paraId="55413EA2" w14:textId="77777777" w:rsidR="5D210E88" w:rsidRPr="00A81971" w:rsidRDefault="0032495C" w:rsidP="5D210E88">
      <w:pPr>
        <w:spacing w:after="0"/>
        <w:rPr>
          <w:rFonts w:eastAsia="Times New Roman"/>
        </w:rPr>
      </w:pPr>
      <w:r w:rsidRPr="00A81971">
        <w:rPr>
          <w:rFonts w:eastAsia="Times New Roman"/>
        </w:rPr>
        <w:t xml:space="preserve">The funding ranges for the Updated May Report </w:t>
      </w:r>
      <w:r w:rsidR="00005B91" w:rsidRPr="00A81971">
        <w:rPr>
          <w:rFonts w:eastAsia="Times New Roman"/>
        </w:rPr>
        <w:t xml:space="preserve">applied </w:t>
      </w:r>
      <w:r w:rsidR="00791D8D" w:rsidRPr="00A81971">
        <w:rPr>
          <w:rFonts w:eastAsia="Times New Roman"/>
        </w:rPr>
        <w:t xml:space="preserve">the same HCFC </w:t>
      </w:r>
      <w:r w:rsidR="00683D06" w:rsidRPr="00A81971">
        <w:rPr>
          <w:rFonts w:eastAsia="Times New Roman"/>
        </w:rPr>
        <w:t>and HFC scenarios and proposed resource allocations as in the RTF May 2026 Report</w:t>
      </w:r>
      <w:r w:rsidR="00005B91" w:rsidRPr="00A81971">
        <w:rPr>
          <w:rFonts w:eastAsia="Times New Roman"/>
        </w:rPr>
        <w:t>.</w:t>
      </w:r>
    </w:p>
    <w:p w14:paraId="430CB441" w14:textId="77777777" w:rsidR="5D210E88" w:rsidRPr="00A81971" w:rsidRDefault="5D210E88" w:rsidP="5D210E88">
      <w:pPr>
        <w:spacing w:after="0"/>
      </w:pPr>
    </w:p>
    <w:p w14:paraId="596BEE90" w14:textId="77777777" w:rsidR="350041B7" w:rsidRPr="005E2C0A" w:rsidRDefault="0032495C" w:rsidP="005E2C0A">
      <w:pPr>
        <w:pStyle w:val="ListParagraph"/>
        <w:numPr>
          <w:ilvl w:val="0"/>
          <w:numId w:val="74"/>
        </w:numPr>
        <w:spacing w:after="0"/>
        <w:rPr>
          <w:b/>
          <w:bCs/>
        </w:rPr>
      </w:pPr>
      <w:r w:rsidRPr="005E2C0A">
        <w:rPr>
          <w:b/>
          <w:bCs/>
        </w:rPr>
        <w:t>The updated range for the total estimated funding requirement (including support costs) for the replenishment of the MLF in the 2027–2029 trienniu</w:t>
      </w:r>
      <w:r w:rsidR="5D210E88" w:rsidRPr="005E2C0A">
        <w:rPr>
          <w:b/>
          <w:bCs/>
        </w:rPr>
        <w:t>m is US$ 1,230</w:t>
      </w:r>
      <w:r w:rsidR="00510211" w:rsidRPr="005E2C0A">
        <w:rPr>
          <w:b/>
          <w:bCs/>
        </w:rPr>
        <w:t xml:space="preserve"> </w:t>
      </w:r>
      <w:r w:rsidR="5D210E88" w:rsidRPr="005E2C0A">
        <w:rPr>
          <w:b/>
          <w:bCs/>
        </w:rPr>
        <w:t>–</w:t>
      </w:r>
      <w:r w:rsidR="00510211" w:rsidRPr="005E2C0A">
        <w:rPr>
          <w:b/>
          <w:bCs/>
        </w:rPr>
        <w:t xml:space="preserve"> </w:t>
      </w:r>
      <w:r w:rsidR="5D210E88" w:rsidRPr="005E2C0A">
        <w:rPr>
          <w:b/>
          <w:bCs/>
        </w:rPr>
        <w:t>1,692 million</w:t>
      </w:r>
      <w:r>
        <w:rPr>
          <w:vertAlign w:val="superscript"/>
        </w:rPr>
        <w:footnoteReference w:id="8"/>
      </w:r>
      <w:r w:rsidR="5D210E88" w:rsidRPr="005E2C0A">
        <w:rPr>
          <w:b/>
          <w:bCs/>
        </w:rPr>
        <w:t>.</w:t>
      </w:r>
    </w:p>
    <w:p w14:paraId="1CABF90F" w14:textId="77777777" w:rsidR="350041B7" w:rsidRPr="00A81971" w:rsidRDefault="350041B7" w:rsidP="5D210E88">
      <w:pPr>
        <w:spacing w:after="0"/>
        <w:rPr>
          <w:b/>
          <w:bCs/>
        </w:rPr>
      </w:pPr>
    </w:p>
    <w:p w14:paraId="0C7E79C3" w14:textId="77777777" w:rsidR="350041B7" w:rsidRPr="00A81971" w:rsidRDefault="350041B7" w:rsidP="1EB17688">
      <w:pPr>
        <w:spacing w:after="0"/>
      </w:pPr>
    </w:p>
    <w:p w14:paraId="6B11E1FD" w14:textId="77777777" w:rsidR="003B5790" w:rsidRPr="00A81971" w:rsidRDefault="0032495C" w:rsidP="091457C3">
      <w:pPr>
        <w:spacing w:after="0"/>
        <w:rPr>
          <w:rFonts w:eastAsia="Times New Roman"/>
          <w:b/>
          <w:bCs/>
          <w:color w:val="000000" w:themeColor="text1"/>
          <w:sz w:val="24"/>
          <w:szCs w:val="24"/>
        </w:rPr>
      </w:pPr>
      <w:r w:rsidRPr="00A81971">
        <w:rPr>
          <w:rFonts w:eastAsia="Times New Roman"/>
          <w:b/>
          <w:bCs/>
          <w:color w:val="000000" w:themeColor="text1"/>
          <w:sz w:val="24"/>
          <w:szCs w:val="24"/>
        </w:rPr>
        <w:t xml:space="preserve">OEWG-48 </w:t>
      </w:r>
      <w:r w:rsidR="00133822" w:rsidRPr="00A81971">
        <w:rPr>
          <w:rFonts w:eastAsia="Times New Roman"/>
          <w:b/>
          <w:bCs/>
          <w:color w:val="000000" w:themeColor="text1"/>
          <w:sz w:val="24"/>
          <w:szCs w:val="24"/>
        </w:rPr>
        <w:t xml:space="preserve">CONTACT GROUP SUGGESTIONS AND </w:t>
      </w:r>
      <w:r w:rsidR="00F76CB8" w:rsidRPr="00A81971">
        <w:rPr>
          <w:rFonts w:eastAsia="Times New Roman"/>
          <w:b/>
          <w:bCs/>
          <w:color w:val="000000" w:themeColor="text1"/>
          <w:sz w:val="24"/>
          <w:szCs w:val="24"/>
        </w:rPr>
        <w:t xml:space="preserve">RTF </w:t>
      </w:r>
      <w:r w:rsidR="00133822" w:rsidRPr="00A81971">
        <w:rPr>
          <w:rFonts w:eastAsia="Times New Roman"/>
          <w:b/>
          <w:bCs/>
          <w:color w:val="000000" w:themeColor="text1"/>
          <w:sz w:val="24"/>
          <w:szCs w:val="24"/>
        </w:rPr>
        <w:t>APPROACH</w:t>
      </w:r>
    </w:p>
    <w:p w14:paraId="281790EF" w14:textId="77777777" w:rsidR="003B5790" w:rsidRPr="00A81971" w:rsidRDefault="003B5790" w:rsidP="091457C3">
      <w:pPr>
        <w:spacing w:after="0"/>
        <w:rPr>
          <w:rFonts w:eastAsia="Times New Roman"/>
          <w:b/>
          <w:bCs/>
          <w:color w:val="000000" w:themeColor="text1"/>
          <w:sz w:val="24"/>
          <w:szCs w:val="24"/>
        </w:rPr>
      </w:pPr>
    </w:p>
    <w:p w14:paraId="2B1FFB90" w14:textId="77777777" w:rsidR="00573173" w:rsidRPr="00A81971" w:rsidRDefault="0032495C" w:rsidP="00573173">
      <w:pPr>
        <w:spacing w:after="0"/>
        <w:rPr>
          <w:rFonts w:eastAsia="Times New Roman"/>
        </w:rPr>
      </w:pPr>
      <w:r w:rsidRPr="00A81971">
        <w:t xml:space="preserve">In Chapters 3, 4, and 5 of this report, the RTF addresses the suggestions from parties at OEWG-48 for additional funding scenarios. Given the varied scenarios requested by parties, the RTF presents these scenarios without presuming which ones the parties may wish to use, combine, or discard. The range of funding for this triennium would then be dependent on these choices. </w:t>
      </w:r>
      <w:r w:rsidRPr="00A81971">
        <w:rPr>
          <w:rFonts w:eastAsia="Times New Roman"/>
        </w:rPr>
        <w:t xml:space="preserve">Prior to addressing the OEWG-48 </w:t>
      </w:r>
      <w:r w:rsidRPr="00A81971">
        <w:rPr>
          <w:rFonts w:eastAsia="Times New Roman"/>
          <w:b/>
          <w:bCs/>
        </w:rPr>
        <w:t xml:space="preserve">new scenarios, </w:t>
      </w:r>
      <w:r w:rsidRPr="00A81971">
        <w:rPr>
          <w:rFonts w:eastAsia="Times New Roman"/>
        </w:rPr>
        <w:t>RTF had consultations with the MLFS to discuss the approach and clarify information the Secretariat provided.</w:t>
      </w:r>
    </w:p>
    <w:p w14:paraId="05029BE2" w14:textId="77777777" w:rsidR="00573173" w:rsidRPr="00A81971" w:rsidRDefault="00573173" w:rsidP="00573173">
      <w:pPr>
        <w:spacing w:after="0"/>
        <w:rPr>
          <w:rFonts w:eastAsia="Times New Roman"/>
        </w:rPr>
      </w:pPr>
    </w:p>
    <w:p w14:paraId="5022D50A" w14:textId="77777777" w:rsidR="0004276E" w:rsidRPr="00A81971" w:rsidRDefault="0032495C" w:rsidP="0004276E">
      <w:pPr>
        <w:tabs>
          <w:tab w:val="left" w:pos="2160"/>
          <w:tab w:val="left" w:pos="2880"/>
          <w:tab w:val="left" w:pos="3600"/>
          <w:tab w:val="left" w:pos="4320"/>
          <w:tab w:val="left" w:pos="5040"/>
          <w:tab w:val="left" w:pos="6480"/>
          <w:tab w:val="left" w:pos="7200"/>
          <w:tab w:val="left" w:pos="7920"/>
        </w:tabs>
        <w:spacing w:after="240"/>
        <w:rPr>
          <w:rFonts w:eastAsia="Times New Roman"/>
          <w:lang w:eastAsia="zh-CN"/>
        </w:rPr>
      </w:pPr>
      <w:r w:rsidRPr="00A81971">
        <w:rPr>
          <w:rFonts w:eastAsia="Times New Roman"/>
        </w:rPr>
        <w:t xml:space="preserve">Following parties' guidance and discussions at OEWG-48 and understanding the need to present a wider range of funding to guide parties at MOP-38, the RTF applied the new CEs (and other parameters requested in the new scenarios), mostly to the low-end of the funding range, unless the suggestion specifically instructs the application to the high-end estimated funding, such as in the suggested new LVCs/VLVCs scenario.  </w:t>
      </w:r>
    </w:p>
    <w:p w14:paraId="6353B35A" w14:textId="77777777" w:rsidR="003B5790" w:rsidRPr="00A81971" w:rsidRDefault="0032495C" w:rsidP="350041B7">
      <w:pPr>
        <w:tabs>
          <w:tab w:val="left" w:pos="2160"/>
          <w:tab w:val="left" w:pos="2880"/>
          <w:tab w:val="left" w:pos="3600"/>
          <w:tab w:val="left" w:pos="4320"/>
          <w:tab w:val="left" w:pos="5040"/>
          <w:tab w:val="left" w:pos="6480"/>
          <w:tab w:val="left" w:pos="7200"/>
          <w:tab w:val="left" w:pos="7920"/>
        </w:tabs>
        <w:spacing w:after="240"/>
        <w:rPr>
          <w:rFonts w:eastAsia="Times New Roman"/>
          <w:u w:val="single"/>
        </w:rPr>
      </w:pPr>
      <w:r w:rsidRPr="00A81971">
        <w:rPr>
          <w:rFonts w:eastAsia="Times New Roman"/>
        </w:rPr>
        <w:t xml:space="preserve">The updates to the </w:t>
      </w:r>
      <w:r w:rsidR="00E2655D" w:rsidRPr="00A81971">
        <w:rPr>
          <w:rFonts w:eastAsia="Times New Roman"/>
        </w:rPr>
        <w:t xml:space="preserve">RTF </w:t>
      </w:r>
      <w:r w:rsidRPr="00A81971">
        <w:rPr>
          <w:rFonts w:eastAsia="Times New Roman"/>
        </w:rPr>
        <w:t xml:space="preserve">May 2026 Report, as presented in Chapter 2, provide the basis for the new scenarios. As an example, the use of the Updated RTF May Report model </w:t>
      </w:r>
      <w:r w:rsidR="00E2655D" w:rsidRPr="00A81971">
        <w:rPr>
          <w:rFonts w:eastAsia="Times New Roman"/>
        </w:rPr>
        <w:t>as</w:t>
      </w:r>
      <w:r w:rsidRPr="00A81971">
        <w:rPr>
          <w:rFonts w:eastAsia="Times New Roman"/>
        </w:rPr>
        <w:t xml:space="preserve"> </w:t>
      </w:r>
      <w:r w:rsidR="00291CF3" w:rsidRPr="00A81971">
        <w:rPr>
          <w:rFonts w:eastAsia="Times New Roman"/>
        </w:rPr>
        <w:t xml:space="preserve">a </w:t>
      </w:r>
      <w:r w:rsidRPr="00A81971">
        <w:rPr>
          <w:rFonts w:eastAsia="Times New Roman"/>
        </w:rPr>
        <w:t xml:space="preserve">Scenario 1 allowed RTF to compare low-end funding ranges with the new estimates </w:t>
      </w:r>
      <w:r w:rsidR="00291CF3" w:rsidRPr="00A81971">
        <w:rPr>
          <w:rFonts w:eastAsia="Times New Roman"/>
        </w:rPr>
        <w:t>from</w:t>
      </w:r>
      <w:r w:rsidRPr="00A81971">
        <w:rPr>
          <w:rFonts w:eastAsia="Times New Roman"/>
        </w:rPr>
        <w:t xml:space="preserve"> the OEWG-48 suggested scenarios.</w:t>
      </w:r>
    </w:p>
    <w:p w14:paraId="1D1471EB" w14:textId="77777777" w:rsidR="00CE178B" w:rsidRPr="00A81971" w:rsidRDefault="0032495C" w:rsidP="003B5790">
      <w:pPr>
        <w:spacing w:after="0"/>
        <w:rPr>
          <w:rFonts w:eastAsia="Times New Roman"/>
        </w:rPr>
      </w:pPr>
      <w:r w:rsidRPr="00A81971">
        <w:rPr>
          <w:rFonts w:eastAsia="Times New Roman"/>
        </w:rPr>
        <w:t>RTF named the new scenarios suggested by the OEWG-48</w:t>
      </w:r>
      <w:r w:rsidR="00AC6D98" w:rsidRPr="00A81971">
        <w:rPr>
          <w:rFonts w:eastAsia="Times New Roman"/>
        </w:rPr>
        <w:t xml:space="preserve"> as indicated in Table ES.3</w:t>
      </w:r>
      <w:r w:rsidRPr="00A81971">
        <w:rPr>
          <w:rFonts w:eastAsia="Times New Roman"/>
        </w:rPr>
        <w:t>.</w:t>
      </w:r>
    </w:p>
    <w:p w14:paraId="3462FF44" w14:textId="77777777" w:rsidR="00CE178B" w:rsidRPr="00A81971" w:rsidRDefault="00CE178B" w:rsidP="003B5790">
      <w:pPr>
        <w:spacing w:after="0"/>
        <w:rPr>
          <w:rFonts w:eastAsia="Times New Roman"/>
        </w:rPr>
      </w:pPr>
    </w:p>
    <w:p w14:paraId="54E7A4B3" w14:textId="77777777" w:rsidR="00756345" w:rsidRPr="00A81971" w:rsidRDefault="0032495C">
      <w:pPr>
        <w:spacing w:after="0"/>
        <w:rPr>
          <w:rFonts w:eastAsia="Yu Mincho"/>
          <w:b/>
          <w:bCs/>
          <w:color w:val="000000"/>
        </w:rPr>
      </w:pPr>
      <w:r w:rsidRPr="00A81971">
        <w:rPr>
          <w:rFonts w:eastAsia="Yu Mincho"/>
          <w:b/>
          <w:bCs/>
          <w:color w:val="000000"/>
        </w:rPr>
        <w:br w:type="page"/>
      </w:r>
    </w:p>
    <w:p w14:paraId="55A64E6D" w14:textId="77777777" w:rsidR="00CE178B" w:rsidRPr="00A81971" w:rsidRDefault="0032495C" w:rsidP="00756345">
      <w:pPr>
        <w:tabs>
          <w:tab w:val="left" w:pos="0"/>
          <w:tab w:val="left" w:pos="1250"/>
          <w:tab w:val="left" w:pos="1418"/>
        </w:tabs>
        <w:spacing w:after="240"/>
        <w:ind w:left="1418" w:hanging="1418"/>
        <w:rPr>
          <w:b/>
          <w:bCs/>
        </w:rPr>
      </w:pPr>
      <w:r w:rsidRPr="0006445E">
        <w:rPr>
          <w:rFonts w:eastAsia="Yu Mincho"/>
          <w:b/>
          <w:bCs/>
          <w:color w:val="000000"/>
          <w:lang w:val="en-CA"/>
        </w:rPr>
        <w:lastRenderedPageBreak/>
        <w:t xml:space="preserve">Table </w:t>
      </w:r>
      <w:r>
        <w:rPr>
          <w:rFonts w:eastAsia="Yu Mincho"/>
          <w:b/>
          <w:bCs/>
          <w:color w:val="000000"/>
          <w:lang w:val="en-CA"/>
        </w:rPr>
        <w:t>ES.3</w:t>
      </w:r>
      <w:r w:rsidR="009C1FEA">
        <w:rPr>
          <w:rFonts w:eastAsia="Yu Mincho"/>
          <w:b/>
          <w:bCs/>
          <w:color w:val="000000"/>
          <w:lang w:val="en-CA"/>
        </w:rPr>
        <w:t>:</w:t>
      </w:r>
      <w:r w:rsidRPr="0006445E">
        <w:rPr>
          <w:rFonts w:eastAsia="Times New Roman"/>
          <w:color w:val="000000"/>
          <w:lang w:val="en-CA"/>
        </w:rPr>
        <w:tab/>
      </w:r>
      <w:r w:rsidRPr="00A81971">
        <w:rPr>
          <w:b/>
          <w:bCs/>
        </w:rPr>
        <w:t>OEWG-48 suggestions and new scenarios</w:t>
      </w:r>
      <w:r>
        <w:rPr>
          <w:rFonts w:eastAsia="Times New Roman"/>
          <w:b/>
          <w:bCs/>
          <w:color w:val="000000"/>
          <w:lang w:val="en-CA"/>
        </w:rPr>
        <w:t xml:space="preserve"> </w:t>
      </w:r>
    </w:p>
    <w:tbl>
      <w:tblPr>
        <w:tblStyle w:val="TableGrid1"/>
        <w:tblW w:w="8905" w:type="dxa"/>
        <w:tblLayout w:type="fixed"/>
        <w:tblCellMar>
          <w:left w:w="0" w:type="dxa"/>
          <w:right w:w="0" w:type="dxa"/>
        </w:tblCellMar>
        <w:tblLook w:val="04A0" w:firstRow="1" w:lastRow="0" w:firstColumn="1" w:lastColumn="0" w:noHBand="0" w:noVBand="1"/>
      </w:tblPr>
      <w:tblGrid>
        <w:gridCol w:w="6655"/>
        <w:gridCol w:w="2250"/>
      </w:tblGrid>
      <w:tr w:rsidR="00F90461" w14:paraId="1908A4A4" w14:textId="77777777" w:rsidTr="002F0A22">
        <w:trPr>
          <w:trHeight w:val="423"/>
          <w:tblHeader/>
        </w:trPr>
        <w:tc>
          <w:tcPr>
            <w:tcW w:w="6655" w:type="dxa"/>
            <w:shd w:val="clear" w:color="auto" w:fill="D9E2F3" w:themeFill="accent1" w:themeFillTint="33"/>
            <w:vAlign w:val="center"/>
          </w:tcPr>
          <w:p w14:paraId="681B9EE9" w14:textId="77777777" w:rsidR="00581213" w:rsidRPr="00987965" w:rsidRDefault="0032495C">
            <w:pPr>
              <w:keepNext/>
              <w:keepLines/>
              <w:autoSpaceDE w:val="0"/>
              <w:autoSpaceDN w:val="0"/>
              <w:adjustRightInd w:val="0"/>
              <w:spacing w:after="0"/>
              <w:jc w:val="center"/>
              <w:rPr>
                <w:rFonts w:eastAsia="Times New Roman"/>
                <w:b/>
                <w:caps/>
                <w:color w:val="000000"/>
                <w:lang w:eastAsia="zh-CN"/>
              </w:rPr>
            </w:pPr>
            <w:r w:rsidRPr="00987965">
              <w:rPr>
                <w:rFonts w:eastAsia="Times New Roman"/>
                <w:b/>
                <w:color w:val="000000"/>
                <w:lang w:eastAsia="zh-CN"/>
              </w:rPr>
              <w:t>OEWG-48 Suggestion</w:t>
            </w:r>
            <w:r w:rsidR="00C23474" w:rsidRPr="00987965">
              <w:rPr>
                <w:rFonts w:eastAsia="Times New Roman"/>
                <w:b/>
                <w:color w:val="000000"/>
                <w:lang w:eastAsia="zh-CN"/>
              </w:rPr>
              <w:t>s</w:t>
            </w:r>
          </w:p>
        </w:tc>
        <w:tc>
          <w:tcPr>
            <w:tcW w:w="2250" w:type="dxa"/>
            <w:shd w:val="clear" w:color="auto" w:fill="D9E2F3" w:themeFill="accent1" w:themeFillTint="33"/>
            <w:vAlign w:val="center"/>
          </w:tcPr>
          <w:p w14:paraId="06AC3F64" w14:textId="77777777" w:rsidR="00581213" w:rsidRPr="00987965" w:rsidRDefault="0032495C">
            <w:pPr>
              <w:keepNext/>
              <w:keepLines/>
              <w:autoSpaceDE w:val="0"/>
              <w:autoSpaceDN w:val="0"/>
              <w:adjustRightInd w:val="0"/>
              <w:spacing w:after="0"/>
              <w:jc w:val="center"/>
              <w:rPr>
                <w:rFonts w:ascii="Times New Roman Bold" w:eastAsia="Times New Roman" w:hAnsi="Times New Roman Bold"/>
                <w:b/>
                <w:color w:val="000000"/>
                <w:lang w:eastAsia="zh-CN"/>
              </w:rPr>
            </w:pPr>
            <w:r w:rsidRPr="00987965">
              <w:rPr>
                <w:rFonts w:ascii="Times New Roman Bold" w:eastAsia="Times New Roman" w:hAnsi="Times New Roman Bold"/>
                <w:b/>
                <w:color w:val="000000"/>
                <w:lang w:eastAsia="zh-CN"/>
              </w:rPr>
              <w:t>New Scenario</w:t>
            </w:r>
            <w:r w:rsidR="00D634BC" w:rsidRPr="00987965">
              <w:rPr>
                <w:rFonts w:ascii="Times New Roman Bold" w:eastAsia="Times New Roman" w:hAnsi="Times New Roman Bold"/>
                <w:b/>
                <w:color w:val="000000"/>
                <w:lang w:eastAsia="zh-CN"/>
              </w:rPr>
              <w:t>s</w:t>
            </w:r>
          </w:p>
        </w:tc>
      </w:tr>
      <w:tr w:rsidR="00F90461" w14:paraId="651A5898" w14:textId="77777777" w:rsidTr="00481EE2">
        <w:trPr>
          <w:trHeight w:val="423"/>
          <w:tblHeader/>
        </w:trPr>
        <w:tc>
          <w:tcPr>
            <w:tcW w:w="8905" w:type="dxa"/>
            <w:gridSpan w:val="2"/>
            <w:shd w:val="clear" w:color="auto" w:fill="E2EFD9" w:themeFill="accent6" w:themeFillTint="33"/>
            <w:vAlign w:val="center"/>
          </w:tcPr>
          <w:p w14:paraId="7BA0DBBA" w14:textId="77777777" w:rsidR="00581213" w:rsidRPr="00987965" w:rsidRDefault="0032495C" w:rsidP="00581213">
            <w:pPr>
              <w:keepNext/>
              <w:keepLines/>
              <w:autoSpaceDE w:val="0"/>
              <w:autoSpaceDN w:val="0"/>
              <w:adjustRightInd w:val="0"/>
              <w:spacing w:after="0"/>
              <w:rPr>
                <w:rFonts w:ascii="Times New Roman Bold" w:eastAsia="Times New Roman" w:hAnsi="Times New Roman Bold"/>
                <w:b/>
                <w:color w:val="000000"/>
                <w:lang w:eastAsia="zh-CN"/>
              </w:rPr>
            </w:pPr>
            <w:r w:rsidRPr="00987965">
              <w:rPr>
                <w:rFonts w:eastAsia="Times New Roman"/>
                <w:b/>
                <w:color w:val="000000"/>
                <w:lang w:eastAsia="zh-CN"/>
              </w:rPr>
              <w:t>Overall Suggestions</w:t>
            </w:r>
          </w:p>
        </w:tc>
      </w:tr>
      <w:tr w:rsidR="00F90461" w14:paraId="728DB353" w14:textId="77777777" w:rsidTr="002F0A22">
        <w:trPr>
          <w:trHeight w:val="372"/>
        </w:trPr>
        <w:tc>
          <w:tcPr>
            <w:tcW w:w="6655" w:type="dxa"/>
          </w:tcPr>
          <w:p w14:paraId="3EC599F5" w14:textId="77777777" w:rsidR="00581213" w:rsidRPr="00987965" w:rsidRDefault="0032495C" w:rsidP="007A20BD">
            <w:pPr>
              <w:pStyle w:val="ListParagraph"/>
              <w:keepNext/>
              <w:keepLines/>
              <w:numPr>
                <w:ilvl w:val="0"/>
                <w:numId w:val="69"/>
              </w:numPr>
              <w:autoSpaceDE w:val="0"/>
              <w:autoSpaceDN w:val="0"/>
              <w:adjustRightInd w:val="0"/>
              <w:spacing w:before="40" w:after="40"/>
              <w:rPr>
                <w:lang w:eastAsia="zh-CN"/>
              </w:rPr>
            </w:pPr>
            <w:r w:rsidRPr="00987965">
              <w:rPr>
                <w:rFonts w:eastAsia="Times New Roman"/>
                <w:color w:val="000000"/>
                <w:lang w:eastAsia="zh-CN"/>
              </w:rPr>
              <w:t xml:space="preserve">When estimating the funding requirements for HPMPs and KIPs, apply CE factors according to three scenarios: </w:t>
            </w:r>
          </w:p>
          <w:p w14:paraId="3DB02492" w14:textId="77777777" w:rsidR="00581213" w:rsidRPr="00987965" w:rsidRDefault="0032495C" w:rsidP="007A20BD">
            <w:pPr>
              <w:keepNext/>
              <w:keepLines/>
              <w:numPr>
                <w:ilvl w:val="0"/>
                <w:numId w:val="67"/>
              </w:numPr>
              <w:autoSpaceDE w:val="0"/>
              <w:autoSpaceDN w:val="0"/>
              <w:adjustRightInd w:val="0"/>
              <w:spacing w:before="40" w:after="40"/>
              <w:contextualSpacing/>
              <w:rPr>
                <w:lang w:eastAsia="zh-CN"/>
              </w:rPr>
            </w:pPr>
            <w:r w:rsidRPr="00987965">
              <w:rPr>
                <w:rFonts w:eastAsia="Times New Roman"/>
                <w:color w:val="000000" w:themeColor="text1"/>
                <w:lang w:eastAsia="zh-CN"/>
              </w:rPr>
              <w:t xml:space="preserve">one based on historical Cost-effectiveness (CEs); </w:t>
            </w:r>
          </w:p>
        </w:tc>
        <w:tc>
          <w:tcPr>
            <w:tcW w:w="2250" w:type="dxa"/>
            <w:vAlign w:val="center"/>
          </w:tcPr>
          <w:p w14:paraId="2977C357" w14:textId="77777777" w:rsidR="00581213" w:rsidRPr="00987965" w:rsidRDefault="0032495C" w:rsidP="00C33CAF">
            <w:pPr>
              <w:spacing w:before="40" w:after="40"/>
              <w:jc w:val="center"/>
              <w:rPr>
                <w:rFonts w:eastAsia="Times New Roman"/>
                <w:b/>
                <w:bCs/>
                <w:color w:val="000000"/>
                <w:lang w:eastAsia="zh-CN"/>
              </w:rPr>
            </w:pPr>
            <w:r w:rsidRPr="00987965">
              <w:rPr>
                <w:rFonts w:eastAsia="Times New Roman"/>
                <w:b/>
                <w:bCs/>
                <w:color w:val="000000"/>
                <w:lang w:eastAsia="zh-CN"/>
              </w:rPr>
              <w:t>1a</w:t>
            </w:r>
            <w:r w:rsidR="00D53ADD" w:rsidRPr="00987965">
              <w:rPr>
                <w:rFonts w:eastAsia="Times New Roman"/>
                <w:b/>
                <w:bCs/>
                <w:color w:val="000000"/>
                <w:lang w:eastAsia="zh-CN"/>
              </w:rPr>
              <w:t>:</w:t>
            </w:r>
            <w:r w:rsidRPr="00987965">
              <w:rPr>
                <w:rFonts w:eastAsia="Times New Roman"/>
                <w:b/>
                <w:bCs/>
                <w:color w:val="000000"/>
                <w:lang w:eastAsia="zh-CN"/>
              </w:rPr>
              <w:t xml:space="preserve"> HPMP </w:t>
            </w:r>
            <w:r w:rsidR="00D53ADD" w:rsidRPr="00987965">
              <w:rPr>
                <w:rFonts w:eastAsia="Times New Roman"/>
                <w:b/>
                <w:bCs/>
                <w:color w:val="000000"/>
                <w:lang w:eastAsia="zh-CN"/>
              </w:rPr>
              <w:t xml:space="preserve">and </w:t>
            </w:r>
            <w:r w:rsidRPr="00987965">
              <w:rPr>
                <w:rFonts w:eastAsia="Times New Roman"/>
                <w:b/>
                <w:bCs/>
                <w:color w:val="000000"/>
                <w:lang w:eastAsia="zh-CN"/>
              </w:rPr>
              <w:t>KIPs</w:t>
            </w:r>
          </w:p>
        </w:tc>
      </w:tr>
      <w:tr w:rsidR="00F90461" w14:paraId="17420C70" w14:textId="77777777" w:rsidTr="002F0A22">
        <w:trPr>
          <w:trHeight w:val="372"/>
        </w:trPr>
        <w:tc>
          <w:tcPr>
            <w:tcW w:w="6655" w:type="dxa"/>
          </w:tcPr>
          <w:p w14:paraId="4125655F" w14:textId="77777777" w:rsidR="00581213" w:rsidRPr="00987965" w:rsidRDefault="0032495C" w:rsidP="007A20BD">
            <w:pPr>
              <w:keepNext/>
              <w:keepLines/>
              <w:numPr>
                <w:ilvl w:val="0"/>
                <w:numId w:val="67"/>
              </w:numPr>
              <w:autoSpaceDE w:val="0"/>
              <w:autoSpaceDN w:val="0"/>
              <w:adjustRightInd w:val="0"/>
              <w:spacing w:before="40" w:after="40"/>
              <w:contextualSpacing/>
              <w:rPr>
                <w:rFonts w:eastAsia="Times New Roman"/>
                <w:color w:val="000000"/>
                <w:lang w:eastAsia="zh-CN"/>
              </w:rPr>
            </w:pPr>
            <w:r w:rsidRPr="00987965">
              <w:rPr>
                <w:rFonts w:eastAsia="Times New Roman"/>
                <w:color w:val="000000"/>
                <w:lang w:eastAsia="zh-CN"/>
              </w:rPr>
              <w:t xml:space="preserve">a second one based on CE factors for each A5 party over the past 6 years; and </w:t>
            </w:r>
          </w:p>
        </w:tc>
        <w:tc>
          <w:tcPr>
            <w:tcW w:w="2250" w:type="dxa"/>
            <w:vAlign w:val="center"/>
          </w:tcPr>
          <w:p w14:paraId="52AECED8" w14:textId="77777777" w:rsidR="00581213" w:rsidRPr="00987965" w:rsidRDefault="0032495C" w:rsidP="00C33CAF">
            <w:pPr>
              <w:spacing w:before="40" w:after="40"/>
              <w:jc w:val="center"/>
              <w:rPr>
                <w:rFonts w:eastAsia="Times New Roman"/>
                <w:b/>
                <w:bCs/>
                <w:color w:val="000000"/>
                <w:lang w:eastAsia="zh-CN"/>
              </w:rPr>
            </w:pPr>
            <w:r w:rsidRPr="00987965">
              <w:rPr>
                <w:rFonts w:eastAsia="Times New Roman"/>
                <w:b/>
                <w:bCs/>
                <w:color w:val="000000"/>
                <w:lang w:eastAsia="zh-CN"/>
              </w:rPr>
              <w:t>1b</w:t>
            </w:r>
            <w:r w:rsidR="00D53ADD" w:rsidRPr="00987965">
              <w:rPr>
                <w:rFonts w:eastAsia="Times New Roman"/>
                <w:b/>
                <w:bCs/>
                <w:color w:val="000000"/>
                <w:lang w:eastAsia="zh-CN"/>
              </w:rPr>
              <w:t xml:space="preserve">: </w:t>
            </w:r>
            <w:r w:rsidRPr="00987965">
              <w:rPr>
                <w:rFonts w:eastAsia="Times New Roman"/>
                <w:b/>
                <w:bCs/>
                <w:color w:val="000000"/>
                <w:lang w:eastAsia="zh-CN"/>
              </w:rPr>
              <w:t>HPMP and</w:t>
            </w:r>
            <w:r w:rsidR="00C33CAF" w:rsidRPr="00987965">
              <w:rPr>
                <w:rFonts w:eastAsia="Times New Roman"/>
                <w:b/>
                <w:bCs/>
                <w:color w:val="000000"/>
                <w:lang w:eastAsia="zh-CN"/>
              </w:rPr>
              <w:t xml:space="preserve"> </w:t>
            </w:r>
            <w:r w:rsidRPr="00987965">
              <w:rPr>
                <w:rFonts w:eastAsia="Times New Roman"/>
                <w:b/>
                <w:bCs/>
                <w:color w:val="000000"/>
                <w:lang w:eastAsia="zh-CN"/>
              </w:rPr>
              <w:t>KIPs</w:t>
            </w:r>
          </w:p>
        </w:tc>
      </w:tr>
      <w:tr w:rsidR="00F90461" w14:paraId="124E6614" w14:textId="77777777" w:rsidTr="002F0A22">
        <w:trPr>
          <w:trHeight w:val="372"/>
        </w:trPr>
        <w:tc>
          <w:tcPr>
            <w:tcW w:w="6655" w:type="dxa"/>
          </w:tcPr>
          <w:p w14:paraId="5BE3E19A" w14:textId="77777777" w:rsidR="00581213" w:rsidRPr="00987965" w:rsidRDefault="0032495C" w:rsidP="007A20BD">
            <w:pPr>
              <w:pStyle w:val="ListParagraph"/>
              <w:keepNext/>
              <w:keepLines/>
              <w:numPr>
                <w:ilvl w:val="0"/>
                <w:numId w:val="68"/>
              </w:numPr>
              <w:autoSpaceDE w:val="0"/>
              <w:autoSpaceDN w:val="0"/>
              <w:adjustRightInd w:val="0"/>
              <w:spacing w:before="40" w:after="40"/>
              <w:rPr>
                <w:rFonts w:eastAsia="Times New Roman"/>
                <w:color w:val="000000"/>
                <w:lang w:eastAsia="zh-CN"/>
              </w:rPr>
            </w:pPr>
            <w:r w:rsidRPr="00987965">
              <w:rPr>
                <w:rFonts w:eastAsia="Times New Roman"/>
                <w:color w:val="000000"/>
                <w:lang w:eastAsia="zh-CN"/>
              </w:rPr>
              <w:t>a third one based on average funding levels for each A5 party over the past 6 years</w:t>
            </w:r>
          </w:p>
        </w:tc>
        <w:tc>
          <w:tcPr>
            <w:tcW w:w="2250" w:type="dxa"/>
            <w:vAlign w:val="center"/>
          </w:tcPr>
          <w:p w14:paraId="5052C4A2" w14:textId="77777777" w:rsidR="00581213" w:rsidRPr="00987965" w:rsidRDefault="0032495C" w:rsidP="00C33CAF">
            <w:pPr>
              <w:spacing w:before="40" w:after="40"/>
              <w:jc w:val="center"/>
              <w:rPr>
                <w:rFonts w:eastAsia="Times New Roman"/>
                <w:b/>
                <w:bCs/>
                <w:color w:val="000000"/>
                <w:lang w:eastAsia="zh-CN"/>
              </w:rPr>
            </w:pPr>
            <w:r w:rsidRPr="00987965">
              <w:rPr>
                <w:rFonts w:eastAsia="Times New Roman"/>
                <w:b/>
                <w:bCs/>
                <w:color w:val="000000"/>
                <w:lang w:eastAsia="zh-CN"/>
              </w:rPr>
              <w:t>1c</w:t>
            </w:r>
            <w:r w:rsidR="00D31605" w:rsidRPr="00987965">
              <w:rPr>
                <w:rFonts w:eastAsia="Times New Roman"/>
                <w:b/>
                <w:bCs/>
                <w:color w:val="000000"/>
                <w:lang w:eastAsia="zh-CN"/>
              </w:rPr>
              <w:t xml:space="preserve">: </w:t>
            </w:r>
            <w:r w:rsidRPr="00987965">
              <w:rPr>
                <w:rFonts w:eastAsia="Times New Roman"/>
                <w:b/>
                <w:bCs/>
                <w:color w:val="000000"/>
                <w:lang w:eastAsia="zh-CN"/>
              </w:rPr>
              <w:t>HPMP and</w:t>
            </w:r>
            <w:r w:rsidR="00C33CAF" w:rsidRPr="00987965">
              <w:rPr>
                <w:rFonts w:eastAsia="Times New Roman"/>
                <w:b/>
                <w:bCs/>
                <w:color w:val="000000"/>
                <w:lang w:eastAsia="zh-CN"/>
              </w:rPr>
              <w:t xml:space="preserve"> </w:t>
            </w:r>
            <w:r w:rsidRPr="00987965">
              <w:rPr>
                <w:rFonts w:eastAsia="Times New Roman"/>
                <w:b/>
                <w:bCs/>
                <w:color w:val="000000"/>
                <w:lang w:eastAsia="zh-CN"/>
              </w:rPr>
              <w:t>KIPs</w:t>
            </w:r>
          </w:p>
        </w:tc>
      </w:tr>
      <w:tr w:rsidR="00F90461" w14:paraId="1EBDD7D0" w14:textId="77777777" w:rsidTr="002F0A22">
        <w:trPr>
          <w:trHeight w:val="372"/>
        </w:trPr>
        <w:tc>
          <w:tcPr>
            <w:tcW w:w="6655" w:type="dxa"/>
          </w:tcPr>
          <w:p w14:paraId="64AEBDF8" w14:textId="77777777" w:rsidR="00581213" w:rsidRPr="00987965" w:rsidRDefault="0032495C" w:rsidP="007A20BD">
            <w:pPr>
              <w:pStyle w:val="ListParagraph"/>
              <w:numPr>
                <w:ilvl w:val="0"/>
                <w:numId w:val="70"/>
              </w:numPr>
              <w:spacing w:before="40" w:after="40"/>
              <w:rPr>
                <w:color w:val="000000"/>
                <w:lang w:eastAsia="nl-NL"/>
              </w:rPr>
            </w:pPr>
            <w:r w:rsidRPr="00987965">
              <w:rPr>
                <w:color w:val="000000"/>
                <w:lang w:eastAsia="nl-NL"/>
              </w:rPr>
              <w:t>To request the Panel to present revised funding ranges with alternative scenarios that assess the impact of the following:</w:t>
            </w:r>
          </w:p>
          <w:p w14:paraId="1EBAAF7C" w14:textId="77777777" w:rsidR="00581213" w:rsidRPr="00987965" w:rsidRDefault="0032495C" w:rsidP="007A20BD">
            <w:pPr>
              <w:numPr>
                <w:ilvl w:val="0"/>
                <w:numId w:val="71"/>
              </w:numPr>
              <w:spacing w:before="40" w:after="40"/>
              <w:rPr>
                <w:color w:val="000000"/>
                <w:lang w:eastAsia="nl-NL"/>
              </w:rPr>
            </w:pPr>
            <w:r w:rsidRPr="00987965">
              <w:rPr>
                <w:color w:val="000000" w:themeColor="text1"/>
                <w:lang w:eastAsia="nl-NL"/>
              </w:rPr>
              <w:t>A low-end scenario based on the most recently reported consumption data for HCFCs and HFCs and a high-end scenario based on established HFC baselines and HCFC remaining eligible consumption</w:t>
            </w:r>
          </w:p>
        </w:tc>
        <w:tc>
          <w:tcPr>
            <w:tcW w:w="2250" w:type="dxa"/>
            <w:vAlign w:val="center"/>
          </w:tcPr>
          <w:p w14:paraId="7AEADA19" w14:textId="77777777" w:rsidR="00581213" w:rsidRPr="00987965" w:rsidRDefault="0032495C" w:rsidP="00C33CAF">
            <w:pPr>
              <w:wordWrap w:val="0"/>
              <w:spacing w:before="40" w:after="40"/>
              <w:jc w:val="center"/>
              <w:rPr>
                <w:rFonts w:eastAsia="Times New Roman"/>
                <w:b/>
                <w:bCs/>
                <w:color w:val="000000"/>
                <w:lang w:eastAsia="zh-CN"/>
              </w:rPr>
            </w:pPr>
            <w:r w:rsidRPr="00987965">
              <w:rPr>
                <w:rFonts w:eastAsia="Times New Roman"/>
                <w:b/>
                <w:bCs/>
                <w:color w:val="000000"/>
                <w:lang w:eastAsia="zh-CN"/>
              </w:rPr>
              <w:t>2a</w:t>
            </w:r>
            <w:r w:rsidR="00D31605" w:rsidRPr="00987965">
              <w:rPr>
                <w:rFonts w:eastAsia="Times New Roman"/>
                <w:b/>
                <w:bCs/>
                <w:color w:val="000000"/>
                <w:lang w:eastAsia="zh-CN"/>
              </w:rPr>
              <w:t>:</w:t>
            </w:r>
            <w:r w:rsidRPr="00987965">
              <w:rPr>
                <w:rFonts w:eastAsia="Times New Roman"/>
                <w:b/>
                <w:bCs/>
                <w:color w:val="000000"/>
                <w:lang w:eastAsia="zh-CN"/>
              </w:rPr>
              <w:t xml:space="preserve"> HPMP and</w:t>
            </w:r>
            <w:r w:rsidR="00C33CAF" w:rsidRPr="00987965">
              <w:rPr>
                <w:rFonts w:eastAsia="Times New Roman"/>
                <w:b/>
                <w:bCs/>
                <w:color w:val="000000"/>
                <w:lang w:eastAsia="zh-CN"/>
              </w:rPr>
              <w:t xml:space="preserve"> </w:t>
            </w:r>
            <w:r w:rsidRPr="00987965">
              <w:rPr>
                <w:rFonts w:eastAsia="Times New Roman"/>
                <w:b/>
                <w:bCs/>
                <w:color w:val="000000"/>
                <w:lang w:eastAsia="zh-CN"/>
              </w:rPr>
              <w:t>KIPs</w:t>
            </w:r>
          </w:p>
        </w:tc>
      </w:tr>
      <w:tr w:rsidR="00F90461" w14:paraId="2C7ADF21" w14:textId="77777777" w:rsidTr="002F0A22">
        <w:trPr>
          <w:trHeight w:val="372"/>
        </w:trPr>
        <w:tc>
          <w:tcPr>
            <w:tcW w:w="6655" w:type="dxa"/>
          </w:tcPr>
          <w:p w14:paraId="740CFB3C" w14:textId="77777777" w:rsidR="00581213" w:rsidRPr="00987965" w:rsidRDefault="0032495C" w:rsidP="007A20BD">
            <w:pPr>
              <w:numPr>
                <w:ilvl w:val="0"/>
                <w:numId w:val="71"/>
              </w:numPr>
              <w:spacing w:before="40" w:after="40"/>
              <w:rPr>
                <w:color w:val="000000"/>
                <w:lang w:eastAsia="nl-NL"/>
              </w:rPr>
            </w:pPr>
            <w:r w:rsidRPr="00987965">
              <w:rPr>
                <w:color w:val="000000" w:themeColor="text1"/>
                <w:lang w:eastAsia="nl-NL"/>
              </w:rPr>
              <w:t xml:space="preserve">Realistic project implementation timelines such as modifying resources allocation schedule A for </w:t>
            </w:r>
            <w:r w:rsidR="00771C82">
              <w:rPr>
                <w:color w:val="000000" w:themeColor="text1"/>
                <w:lang w:eastAsia="nl-NL"/>
              </w:rPr>
              <w:t>Stage</w:t>
            </w:r>
            <w:r w:rsidRPr="00987965">
              <w:rPr>
                <w:color w:val="000000" w:themeColor="text1"/>
                <w:lang w:eastAsia="nl-NL"/>
              </w:rPr>
              <w:t xml:space="preserve"> II KIPs and to take into account rates of ratification for remaining non-parties to the Kigali Amendment</w:t>
            </w:r>
          </w:p>
        </w:tc>
        <w:tc>
          <w:tcPr>
            <w:tcW w:w="2250" w:type="dxa"/>
            <w:vAlign w:val="center"/>
          </w:tcPr>
          <w:p w14:paraId="310F213D" w14:textId="77777777" w:rsidR="00581213" w:rsidRPr="00987965" w:rsidRDefault="0032495C" w:rsidP="007E7908">
            <w:pPr>
              <w:wordWrap w:val="0"/>
              <w:spacing w:before="40" w:after="40"/>
              <w:jc w:val="center"/>
              <w:rPr>
                <w:rFonts w:eastAsia="Times New Roman"/>
                <w:b/>
                <w:bCs/>
                <w:color w:val="000000"/>
                <w:lang w:eastAsia="zh-CN"/>
              </w:rPr>
            </w:pPr>
            <w:r w:rsidRPr="00987965">
              <w:rPr>
                <w:rFonts w:eastAsia="Times New Roman"/>
                <w:b/>
                <w:bCs/>
                <w:color w:val="000000"/>
                <w:lang w:eastAsia="zh-CN"/>
              </w:rPr>
              <w:t>2b</w:t>
            </w:r>
            <w:r w:rsidR="00D31605" w:rsidRPr="00987965">
              <w:rPr>
                <w:rFonts w:eastAsia="Times New Roman"/>
                <w:b/>
                <w:bCs/>
                <w:color w:val="000000"/>
                <w:lang w:eastAsia="zh-CN"/>
              </w:rPr>
              <w:t>:</w:t>
            </w:r>
            <w:r w:rsidRPr="00987965">
              <w:rPr>
                <w:rFonts w:eastAsia="Times New Roman"/>
                <w:b/>
                <w:bCs/>
                <w:color w:val="000000"/>
                <w:lang w:eastAsia="zh-CN"/>
              </w:rPr>
              <w:t xml:space="preserve"> KIPs</w:t>
            </w:r>
          </w:p>
        </w:tc>
      </w:tr>
      <w:tr w:rsidR="00F90461" w14:paraId="1460C08D" w14:textId="77777777" w:rsidTr="00481EE2">
        <w:trPr>
          <w:trHeight w:val="372"/>
        </w:trPr>
        <w:tc>
          <w:tcPr>
            <w:tcW w:w="8905" w:type="dxa"/>
            <w:gridSpan w:val="2"/>
            <w:shd w:val="clear" w:color="auto" w:fill="E2EFD9" w:themeFill="accent6" w:themeFillTint="33"/>
          </w:tcPr>
          <w:p w14:paraId="00CEB0C9" w14:textId="77777777" w:rsidR="00A25E94" w:rsidRPr="00987965" w:rsidRDefault="0032495C" w:rsidP="00A25E94">
            <w:pPr>
              <w:wordWrap w:val="0"/>
              <w:spacing w:before="40" w:after="40"/>
              <w:rPr>
                <w:rFonts w:eastAsia="Times New Roman"/>
                <w:b/>
                <w:bCs/>
                <w:color w:val="000000"/>
                <w:lang w:eastAsia="zh-CN"/>
              </w:rPr>
            </w:pPr>
            <w:r w:rsidRPr="00987965">
              <w:rPr>
                <w:rFonts w:eastAsia="Times New Roman"/>
                <w:b/>
                <w:bCs/>
                <w:color w:val="000000"/>
                <w:lang w:eastAsia="zh-CN"/>
              </w:rPr>
              <w:t>LVCs</w:t>
            </w:r>
            <w:r w:rsidR="007E7908" w:rsidRPr="00987965">
              <w:rPr>
                <w:rFonts w:eastAsia="Times New Roman"/>
                <w:b/>
                <w:bCs/>
                <w:color w:val="000000"/>
                <w:lang w:eastAsia="zh-CN"/>
              </w:rPr>
              <w:t xml:space="preserve"> and </w:t>
            </w:r>
            <w:r w:rsidRPr="00987965">
              <w:rPr>
                <w:rFonts w:eastAsia="Times New Roman"/>
                <w:b/>
                <w:bCs/>
                <w:color w:val="000000"/>
                <w:lang w:eastAsia="zh-CN"/>
              </w:rPr>
              <w:t>VLVCs</w:t>
            </w:r>
          </w:p>
        </w:tc>
      </w:tr>
      <w:tr w:rsidR="00F90461" w14:paraId="42AA56FF" w14:textId="77777777" w:rsidTr="002F0A22">
        <w:trPr>
          <w:trHeight w:val="372"/>
        </w:trPr>
        <w:tc>
          <w:tcPr>
            <w:tcW w:w="6655" w:type="dxa"/>
          </w:tcPr>
          <w:p w14:paraId="5EC7972C" w14:textId="77777777" w:rsidR="00581213" w:rsidRPr="00987965" w:rsidRDefault="0032495C">
            <w:pPr>
              <w:spacing w:before="40" w:after="40" w:line="259" w:lineRule="auto"/>
              <w:rPr>
                <w:lang w:eastAsia="zh-CN"/>
              </w:rPr>
            </w:pPr>
            <w:r w:rsidRPr="00987965">
              <w:rPr>
                <w:lang w:eastAsia="zh-CN"/>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tc>
        <w:tc>
          <w:tcPr>
            <w:tcW w:w="2250" w:type="dxa"/>
            <w:vAlign w:val="center"/>
          </w:tcPr>
          <w:p w14:paraId="29FF4FEF" w14:textId="77777777" w:rsidR="00581213" w:rsidRPr="00987965" w:rsidRDefault="0032495C" w:rsidP="007E7908">
            <w:pPr>
              <w:spacing w:before="40" w:after="40" w:line="259" w:lineRule="auto"/>
              <w:jc w:val="center"/>
              <w:rPr>
                <w:rFonts w:eastAsia="Times New Roman"/>
                <w:b/>
                <w:bCs/>
                <w:color w:val="000000"/>
                <w:lang w:eastAsia="zh-CN"/>
              </w:rPr>
            </w:pPr>
            <w:r w:rsidRPr="00987965">
              <w:rPr>
                <w:rFonts w:eastAsia="Times New Roman"/>
                <w:b/>
                <w:bCs/>
                <w:color w:val="000000"/>
                <w:lang w:eastAsia="zh-CN"/>
              </w:rPr>
              <w:t>LVC</w:t>
            </w:r>
            <w:r w:rsidR="00434616" w:rsidRPr="00987965">
              <w:rPr>
                <w:rFonts w:eastAsia="Times New Roman"/>
                <w:b/>
                <w:bCs/>
                <w:color w:val="000000"/>
                <w:lang w:eastAsia="zh-CN"/>
              </w:rPr>
              <w:t>s</w:t>
            </w:r>
            <w:r w:rsidRPr="00987965">
              <w:rPr>
                <w:rFonts w:eastAsia="Times New Roman"/>
                <w:b/>
                <w:bCs/>
                <w:color w:val="000000"/>
                <w:lang w:eastAsia="zh-CN"/>
              </w:rPr>
              <w:t>/VLVCs</w:t>
            </w:r>
          </w:p>
        </w:tc>
      </w:tr>
      <w:tr w:rsidR="00F90461" w14:paraId="4243FDE0" w14:textId="77777777" w:rsidTr="002F0A22">
        <w:trPr>
          <w:trHeight w:val="372"/>
        </w:trPr>
        <w:tc>
          <w:tcPr>
            <w:tcW w:w="6655" w:type="dxa"/>
            <w:shd w:val="clear" w:color="auto" w:fill="E2EFD9" w:themeFill="accent6" w:themeFillTint="33"/>
          </w:tcPr>
          <w:p w14:paraId="1BD83FF1" w14:textId="77777777" w:rsidR="00A25E94" w:rsidRPr="00987965" w:rsidRDefault="0032495C" w:rsidP="00A25E94">
            <w:pPr>
              <w:spacing w:before="40" w:after="40" w:line="259" w:lineRule="auto"/>
              <w:rPr>
                <w:b/>
                <w:bCs/>
                <w:lang w:eastAsia="zh-CN"/>
              </w:rPr>
            </w:pPr>
            <w:r w:rsidRPr="00987965">
              <w:rPr>
                <w:b/>
                <w:bCs/>
                <w:lang w:eastAsia="zh-CN"/>
              </w:rPr>
              <w:t>LRM</w:t>
            </w:r>
          </w:p>
        </w:tc>
        <w:tc>
          <w:tcPr>
            <w:tcW w:w="2250" w:type="dxa"/>
            <w:shd w:val="clear" w:color="auto" w:fill="E2EFD9" w:themeFill="accent6" w:themeFillTint="33"/>
          </w:tcPr>
          <w:p w14:paraId="5219C915" w14:textId="77777777" w:rsidR="00A25E94" w:rsidRPr="00987965" w:rsidRDefault="00A25E94" w:rsidP="00A25E94">
            <w:pPr>
              <w:spacing w:before="40" w:after="40" w:line="259" w:lineRule="auto"/>
              <w:rPr>
                <w:rFonts w:eastAsia="Times New Roman"/>
                <w:b/>
                <w:bCs/>
                <w:color w:val="000000"/>
                <w:lang w:eastAsia="zh-CN"/>
              </w:rPr>
            </w:pPr>
          </w:p>
        </w:tc>
      </w:tr>
      <w:tr w:rsidR="00F90461" w14:paraId="71AB8019" w14:textId="77777777" w:rsidTr="002F0A22">
        <w:trPr>
          <w:trHeight w:val="372"/>
        </w:trPr>
        <w:tc>
          <w:tcPr>
            <w:tcW w:w="6655" w:type="dxa"/>
          </w:tcPr>
          <w:p w14:paraId="456F4CA5" w14:textId="77777777" w:rsidR="00581213" w:rsidRPr="00987965" w:rsidRDefault="0032495C">
            <w:pPr>
              <w:spacing w:before="40" w:after="40" w:line="259" w:lineRule="auto"/>
              <w:rPr>
                <w:lang w:eastAsia="zh-CN"/>
              </w:rPr>
            </w:pPr>
            <w:r w:rsidRPr="00987965">
              <w:rPr>
                <w:lang w:eastAsia="zh-CN"/>
              </w:rPr>
              <w:t>Include a cost estimate for a high-end scenario for the potential funding window to be considered at the 100</w:t>
            </w:r>
            <w:r w:rsidRPr="00987965">
              <w:rPr>
                <w:vertAlign w:val="superscript"/>
                <w:lang w:eastAsia="zh-CN"/>
              </w:rPr>
              <w:t>th</w:t>
            </w:r>
            <w:r w:rsidRPr="00987965">
              <w:rPr>
                <w:lang w:eastAsia="zh-CN"/>
              </w:rPr>
              <w:t xml:space="preserve"> ExCom meeting for the period 2027-2029 to support the implementation of national plans developed pursuant to decision 91/66, taking into account that activities to recover, recycle and reclaim refrigerants are also financed under HPMPs and KIPs</w:t>
            </w:r>
          </w:p>
        </w:tc>
        <w:tc>
          <w:tcPr>
            <w:tcW w:w="2250" w:type="dxa"/>
            <w:vAlign w:val="center"/>
          </w:tcPr>
          <w:p w14:paraId="59DC40B7" w14:textId="77777777" w:rsidR="00581213" w:rsidRPr="00987965" w:rsidRDefault="0032495C" w:rsidP="007E7908">
            <w:pPr>
              <w:spacing w:before="40" w:after="40" w:line="259" w:lineRule="auto"/>
              <w:jc w:val="center"/>
              <w:rPr>
                <w:rFonts w:eastAsia="Times New Roman"/>
                <w:b/>
                <w:bCs/>
                <w:color w:val="000000"/>
                <w:lang w:eastAsia="zh-CN"/>
              </w:rPr>
            </w:pPr>
            <w:r w:rsidRPr="00987965">
              <w:rPr>
                <w:rFonts w:eastAsia="Times New Roman"/>
                <w:b/>
                <w:bCs/>
                <w:color w:val="000000"/>
                <w:lang w:eastAsia="zh-CN"/>
              </w:rPr>
              <w:t>LRM</w:t>
            </w:r>
          </w:p>
        </w:tc>
      </w:tr>
    </w:tbl>
    <w:p w14:paraId="5B5E3432" w14:textId="77777777" w:rsidR="00CE178B" w:rsidRPr="00A81971" w:rsidRDefault="00CE178B" w:rsidP="003B5790">
      <w:pPr>
        <w:spacing w:after="0"/>
        <w:rPr>
          <w:rFonts w:eastAsia="Times New Roman"/>
        </w:rPr>
      </w:pPr>
    </w:p>
    <w:p w14:paraId="48053868" w14:textId="77777777" w:rsidR="003B5790" w:rsidRPr="00A81971" w:rsidRDefault="0032495C" w:rsidP="003B5790">
      <w:pPr>
        <w:spacing w:after="0"/>
      </w:pPr>
      <w:r w:rsidRPr="00A81971">
        <w:rPr>
          <w:rFonts w:eastAsia="Times New Roman"/>
          <w:b/>
          <w:bCs/>
          <w:sz w:val="24"/>
          <w:szCs w:val="24"/>
        </w:rPr>
        <w:t>ADDRESSING NEW OEWG-48 SUGGESTED NEW SCENARIOS</w:t>
      </w:r>
    </w:p>
    <w:p w14:paraId="0B51CA3F" w14:textId="77777777" w:rsidR="003B5790" w:rsidRPr="00A81971" w:rsidRDefault="003B5790" w:rsidP="350041B7">
      <w:pPr>
        <w:spacing w:after="0"/>
        <w:rPr>
          <w:rFonts w:eastAsia="Times New Roman"/>
          <w:b/>
          <w:bCs/>
          <w:sz w:val="24"/>
          <w:szCs w:val="24"/>
        </w:rPr>
      </w:pPr>
    </w:p>
    <w:p w14:paraId="5BC88BE8" w14:textId="77777777" w:rsidR="003B5790" w:rsidRPr="00A81971" w:rsidRDefault="0032495C" w:rsidP="003B5790">
      <w:pPr>
        <w:spacing w:after="0"/>
        <w:rPr>
          <w:rFonts w:eastAsia="Times New Roman"/>
          <w:b/>
          <w:bCs/>
          <w:sz w:val="24"/>
          <w:szCs w:val="24"/>
        </w:rPr>
      </w:pPr>
      <w:r w:rsidRPr="00A81971">
        <w:rPr>
          <w:rFonts w:eastAsia="Times New Roman"/>
          <w:b/>
          <w:bCs/>
          <w:sz w:val="24"/>
          <w:szCs w:val="24"/>
        </w:rPr>
        <w:t>HCFC New Scenarios</w:t>
      </w:r>
    </w:p>
    <w:p w14:paraId="37AC25E3" w14:textId="77777777" w:rsidR="003B5790" w:rsidRPr="00A81971" w:rsidRDefault="003B5790" w:rsidP="003B5790">
      <w:pPr>
        <w:tabs>
          <w:tab w:val="left" w:pos="2281"/>
        </w:tabs>
        <w:spacing w:after="0"/>
        <w:rPr>
          <w:rFonts w:eastAsia="Times New Roman"/>
          <w:b/>
          <w:u w:val="single"/>
        </w:rPr>
      </w:pPr>
    </w:p>
    <w:p w14:paraId="623650CD" w14:textId="77777777" w:rsidR="003B5790" w:rsidRPr="00A81971" w:rsidRDefault="0032495C" w:rsidP="003B5790">
      <w:pPr>
        <w:tabs>
          <w:tab w:val="left" w:pos="2281"/>
        </w:tabs>
        <w:spacing w:after="0" w:line="259" w:lineRule="auto"/>
        <w:rPr>
          <w:rFonts w:eastAsia="Times New Roman"/>
        </w:rPr>
      </w:pPr>
      <w:r w:rsidRPr="00A81971">
        <w:rPr>
          <w:rFonts w:eastAsia="Times New Roman"/>
        </w:rPr>
        <w:t xml:space="preserve">The low-end funding range for all HCFC activities for the 2027-2029 triennium, with 90% resource allocation applied and using </w:t>
      </w:r>
      <w:r w:rsidR="00AB4810" w:rsidRPr="00A81971">
        <w:rPr>
          <w:rFonts w:eastAsia="Times New Roman"/>
        </w:rPr>
        <w:t xml:space="preserve">as </w:t>
      </w:r>
      <w:r w:rsidRPr="00A81971">
        <w:rPr>
          <w:rFonts w:eastAsia="Times New Roman"/>
        </w:rPr>
        <w:t>Scenario 1 the “Updated RTF May Report”</w:t>
      </w:r>
      <w:r w:rsidR="006267DF" w:rsidRPr="00A81971">
        <w:rPr>
          <w:rFonts w:eastAsia="Times New Roman"/>
        </w:rPr>
        <w:t>,</w:t>
      </w:r>
      <w:r w:rsidRPr="00A81971">
        <w:rPr>
          <w:rFonts w:eastAsia="Times New Roman"/>
        </w:rPr>
        <w:t xml:space="preserve"> is US$ 437 million, which includes US$ 408</w:t>
      </w:r>
      <w:r w:rsidR="006267DF" w:rsidRPr="00A81971">
        <w:rPr>
          <w:rFonts w:eastAsia="Times New Roman"/>
        </w:rPr>
        <w:t xml:space="preserve"> million</w:t>
      </w:r>
      <w:r w:rsidRPr="00A81971">
        <w:rPr>
          <w:rFonts w:eastAsia="Times New Roman"/>
        </w:rPr>
        <w:t xml:space="preserve"> for HPMPs</w:t>
      </w:r>
      <w:r w:rsidR="46A3B0F3" w:rsidRPr="00A81971">
        <w:rPr>
          <w:rFonts w:eastAsia="Times New Roman"/>
        </w:rPr>
        <w:t xml:space="preserve"> (without</w:t>
      </w:r>
      <w:r w:rsidRPr="00A81971">
        <w:rPr>
          <w:rFonts w:eastAsia="Times New Roman"/>
        </w:rPr>
        <w:t xml:space="preserve"> </w:t>
      </w:r>
      <w:r w:rsidR="003D2845" w:rsidRPr="00A81971">
        <w:rPr>
          <w:rFonts w:eastAsia="Times New Roman"/>
        </w:rPr>
        <w:t xml:space="preserve">funding for </w:t>
      </w:r>
      <w:r w:rsidRPr="00A81971">
        <w:rPr>
          <w:rFonts w:eastAsia="Times New Roman"/>
        </w:rPr>
        <w:t xml:space="preserve">production sector, project preparation, verification, </w:t>
      </w:r>
      <w:r w:rsidR="00C9746D" w:rsidRPr="00A81971">
        <w:rPr>
          <w:rFonts w:eastAsia="Times New Roman"/>
        </w:rPr>
        <w:t xml:space="preserve">and </w:t>
      </w:r>
      <w:r w:rsidRPr="00A81971">
        <w:rPr>
          <w:rFonts w:eastAsia="Times New Roman"/>
        </w:rPr>
        <w:t>EE for LVCs</w:t>
      </w:r>
      <w:r w:rsidR="46A3B0F3" w:rsidRPr="00A81971">
        <w:rPr>
          <w:rFonts w:eastAsia="Times New Roman"/>
        </w:rPr>
        <w:t>).</w:t>
      </w:r>
      <w:r w:rsidRPr="00A81971">
        <w:rPr>
          <w:rFonts w:eastAsia="Times New Roman"/>
        </w:rPr>
        <w:t xml:space="preserve">  </w:t>
      </w:r>
      <w:r w:rsidR="00BB70EC" w:rsidRPr="00A81971">
        <w:rPr>
          <w:rFonts w:eastAsia="Times New Roman"/>
        </w:rPr>
        <w:t>For the application of the new CEs in scenarios, t</w:t>
      </w:r>
      <w:r w:rsidR="004D40AA" w:rsidRPr="00A81971">
        <w:rPr>
          <w:rFonts w:eastAsia="Times New Roman"/>
        </w:rPr>
        <w:t>he estimated funding for t</w:t>
      </w:r>
      <w:r w:rsidRPr="00A81971">
        <w:rPr>
          <w:rFonts w:eastAsia="Times New Roman"/>
        </w:rPr>
        <w:t>he production sector, project preparation, verification, and EE were modelled separately and included in the final funding figures</w:t>
      </w:r>
      <w:r w:rsidR="00AA278D" w:rsidRPr="00A81971">
        <w:rPr>
          <w:rFonts w:eastAsia="Times New Roman"/>
        </w:rPr>
        <w:t>.</w:t>
      </w:r>
      <w:r w:rsidR="004D40AA" w:rsidRPr="00A81971">
        <w:rPr>
          <w:rFonts w:eastAsia="Times New Roman"/>
        </w:rPr>
        <w:t xml:space="preserve"> </w:t>
      </w:r>
      <w:r w:rsidRPr="00A81971">
        <w:rPr>
          <w:rFonts w:eastAsia="Times New Roman"/>
        </w:rPr>
        <w:t xml:space="preserve">As these amounts remain constant across all scenarios, they are presented only in the final </w:t>
      </w:r>
      <w:r w:rsidR="00AA278D" w:rsidRPr="00A81971">
        <w:rPr>
          <w:rFonts w:eastAsia="Times New Roman"/>
        </w:rPr>
        <w:t xml:space="preserve">total funding estimate </w:t>
      </w:r>
      <w:r w:rsidRPr="00A81971">
        <w:rPr>
          <w:rFonts w:eastAsia="Times New Roman"/>
        </w:rPr>
        <w:t>and do not affect the modelling conditions or the comparison of results among scenarios.</w:t>
      </w:r>
    </w:p>
    <w:p w14:paraId="58C6B26C" w14:textId="77777777" w:rsidR="003B5790" w:rsidRPr="00A81971" w:rsidRDefault="003B5790" w:rsidP="003B5790">
      <w:pPr>
        <w:tabs>
          <w:tab w:val="left" w:pos="2281"/>
        </w:tabs>
        <w:spacing w:after="0" w:line="259" w:lineRule="auto"/>
        <w:rPr>
          <w:rFonts w:eastAsia="Times New Roman"/>
        </w:rPr>
      </w:pPr>
    </w:p>
    <w:p w14:paraId="59B7ACEE" w14:textId="77777777" w:rsidR="00F30981" w:rsidRPr="00A81971" w:rsidRDefault="0032495C" w:rsidP="00F30981">
      <w:pPr>
        <w:spacing w:after="0"/>
        <w:rPr>
          <w:rFonts w:eastAsia="Times New Roman"/>
          <w:color w:val="000000" w:themeColor="text1"/>
        </w:rPr>
      </w:pPr>
      <w:r w:rsidRPr="00A81971">
        <w:rPr>
          <w:rFonts w:eastAsia="Times New Roman"/>
          <w:b/>
          <w:bCs/>
          <w:i/>
          <w:iCs/>
          <w:color w:val="000000" w:themeColor="text1"/>
        </w:rPr>
        <w:lastRenderedPageBreak/>
        <w:t>New Scenario</w:t>
      </w:r>
      <w:r w:rsidR="00CB03D6" w:rsidRPr="00A81971">
        <w:rPr>
          <w:rFonts w:eastAsia="Times New Roman"/>
          <w:b/>
          <w:bCs/>
          <w:i/>
          <w:iCs/>
          <w:color w:val="000000" w:themeColor="text1"/>
        </w:rPr>
        <w:t>s</w:t>
      </w:r>
      <w:r w:rsidR="0093675B" w:rsidRPr="00A81971">
        <w:rPr>
          <w:rFonts w:eastAsia="Times New Roman"/>
          <w:b/>
          <w:bCs/>
          <w:i/>
          <w:iCs/>
          <w:color w:val="000000" w:themeColor="text1"/>
        </w:rPr>
        <w:t xml:space="preserve"> </w:t>
      </w:r>
      <w:r w:rsidRPr="00A81971">
        <w:rPr>
          <w:rFonts w:eastAsia="Times New Roman"/>
          <w:b/>
          <w:bCs/>
          <w:i/>
          <w:iCs/>
          <w:color w:val="000000" w:themeColor="text1"/>
        </w:rPr>
        <w:t>for HCFCs</w:t>
      </w:r>
      <w:r w:rsidR="00DD61C6" w:rsidRPr="00A81971">
        <w:rPr>
          <w:rFonts w:eastAsia="Times New Roman"/>
          <w:b/>
          <w:bCs/>
          <w:i/>
          <w:iCs/>
          <w:color w:val="000000" w:themeColor="text1"/>
        </w:rPr>
        <w:t xml:space="preserve"> a</w:t>
      </w:r>
      <w:r w:rsidR="00697CE9" w:rsidRPr="00A81971">
        <w:rPr>
          <w:rFonts w:eastAsia="Times New Roman"/>
          <w:b/>
          <w:bCs/>
          <w:i/>
          <w:iCs/>
          <w:color w:val="000000" w:themeColor="text1"/>
        </w:rPr>
        <w:t>pplying CE factors</w:t>
      </w:r>
      <w:r w:rsidR="00C568AE" w:rsidRPr="00A81971">
        <w:rPr>
          <w:rFonts w:eastAsia="Times New Roman"/>
          <w:b/>
          <w:bCs/>
          <w:i/>
          <w:iCs/>
          <w:color w:val="000000" w:themeColor="text1"/>
        </w:rPr>
        <w:t xml:space="preserve"> based on</w:t>
      </w:r>
      <w:r w:rsidR="0093675B" w:rsidRPr="00A81971">
        <w:rPr>
          <w:rFonts w:eastAsia="Times New Roman"/>
          <w:b/>
          <w:bCs/>
          <w:i/>
          <w:iCs/>
          <w:color w:val="000000" w:themeColor="text1"/>
        </w:rPr>
        <w:t xml:space="preserve"> 1a)</w:t>
      </w:r>
      <w:r w:rsidR="00C568AE" w:rsidRPr="00A81971">
        <w:rPr>
          <w:rFonts w:eastAsia="Times New Roman"/>
          <w:b/>
          <w:bCs/>
          <w:i/>
          <w:iCs/>
          <w:color w:val="000000" w:themeColor="text1"/>
        </w:rPr>
        <w:t xml:space="preserve"> historical CEs, </w:t>
      </w:r>
      <w:r w:rsidR="0093675B" w:rsidRPr="00A81971">
        <w:rPr>
          <w:rFonts w:eastAsia="Times New Roman"/>
          <w:b/>
          <w:bCs/>
          <w:i/>
          <w:iCs/>
          <w:color w:val="000000" w:themeColor="text1"/>
        </w:rPr>
        <w:t xml:space="preserve">1b) </w:t>
      </w:r>
      <w:r w:rsidR="00323448" w:rsidRPr="00A81971">
        <w:rPr>
          <w:rFonts w:eastAsia="Times New Roman"/>
          <w:b/>
          <w:bCs/>
          <w:i/>
          <w:iCs/>
          <w:color w:val="000000" w:themeColor="text1"/>
        </w:rPr>
        <w:t xml:space="preserve">CE factors for each A5 party over the past 6 years, and </w:t>
      </w:r>
      <w:r w:rsidR="0093675B" w:rsidRPr="00A81971">
        <w:rPr>
          <w:rFonts w:eastAsia="Times New Roman"/>
          <w:b/>
          <w:bCs/>
          <w:i/>
          <w:iCs/>
          <w:color w:val="000000" w:themeColor="text1"/>
        </w:rPr>
        <w:t xml:space="preserve">1c) </w:t>
      </w:r>
      <w:r w:rsidR="00C568AE" w:rsidRPr="00A81971">
        <w:rPr>
          <w:rFonts w:eastAsia="Times New Roman"/>
          <w:b/>
          <w:bCs/>
          <w:i/>
          <w:iCs/>
          <w:color w:val="000000" w:themeColor="text1"/>
        </w:rPr>
        <w:t>average funding levels for each A5 party over the past 6 years</w:t>
      </w:r>
    </w:p>
    <w:p w14:paraId="7671FC2D" w14:textId="77777777" w:rsidR="00F30981" w:rsidRPr="00A81971" w:rsidRDefault="00F30981" w:rsidP="003B5790">
      <w:pPr>
        <w:tabs>
          <w:tab w:val="left" w:pos="2281"/>
        </w:tabs>
        <w:spacing w:after="0" w:line="259" w:lineRule="auto"/>
        <w:rPr>
          <w:rFonts w:eastAsia="Times New Roman"/>
        </w:rPr>
      </w:pPr>
    </w:p>
    <w:p w14:paraId="0DE442C3" w14:textId="77777777" w:rsidR="003B5790" w:rsidRPr="00A81971" w:rsidRDefault="0032495C" w:rsidP="34B0439A">
      <w:pPr>
        <w:tabs>
          <w:tab w:val="left" w:pos="2281"/>
        </w:tabs>
        <w:spacing w:after="0"/>
        <w:rPr>
          <w:rFonts w:eastAsia="Times New Roman"/>
          <w:color w:val="FF0000"/>
        </w:rPr>
      </w:pPr>
      <w:r w:rsidRPr="2E7655E2">
        <w:rPr>
          <w:rFonts w:eastAsia="Times New Roman"/>
        </w:rPr>
        <w:t xml:space="preserve">The results of the new estimates calculated for HCFC activities when applying OEWG-48 </w:t>
      </w:r>
      <w:r w:rsidRPr="2E7655E2">
        <w:rPr>
          <w:rFonts w:eastAsia="Times New Roman"/>
          <w:b/>
          <w:bCs/>
        </w:rPr>
        <w:t>New Scenarios 1a, 1b, and 1c for HPMP</w:t>
      </w:r>
      <w:r w:rsidRPr="2E7655E2">
        <w:rPr>
          <w:rFonts w:eastAsia="Times New Roman"/>
        </w:rPr>
        <w:t xml:space="preserve">s, and compared to the Updated RTF May Report estimates are in Table ES.4 below. The three new scenarios are discussed in detail in Chapter 3. </w:t>
      </w:r>
      <w:r w:rsidRPr="2E7655E2">
        <w:rPr>
          <w:rFonts w:eastAsia="Times New Roman"/>
          <w:color w:val="FF0000"/>
        </w:rPr>
        <w:t xml:space="preserve"> </w:t>
      </w:r>
    </w:p>
    <w:p w14:paraId="08E1E26C" w14:textId="77777777" w:rsidR="00D43E61" w:rsidRDefault="00D43E61" w:rsidP="00D43E61">
      <w:pPr>
        <w:tabs>
          <w:tab w:val="left" w:pos="0"/>
        </w:tabs>
        <w:spacing w:after="0" w:line="259" w:lineRule="auto"/>
        <w:jc w:val="both"/>
        <w:rPr>
          <w:rFonts w:eastAsia="Times New Roman"/>
          <w:color w:val="000000"/>
          <w:sz w:val="24"/>
          <w:szCs w:val="24"/>
          <w:lang w:val="en-CA"/>
        </w:rPr>
      </w:pPr>
    </w:p>
    <w:p w14:paraId="5CB809D2" w14:textId="77777777" w:rsidR="003B5790" w:rsidRPr="00A81971" w:rsidRDefault="0032495C" w:rsidP="2E7655E2">
      <w:pPr>
        <w:tabs>
          <w:tab w:val="left" w:pos="0"/>
          <w:tab w:val="left" w:pos="1276"/>
        </w:tabs>
        <w:spacing w:after="120"/>
        <w:ind w:left="1282" w:hanging="1282"/>
        <w:rPr>
          <w:rFonts w:eastAsia="Times New Roman"/>
          <w:color w:val="000000" w:themeColor="text1"/>
          <w:lang w:val="en-CA"/>
        </w:rPr>
      </w:pPr>
      <w:r w:rsidRPr="2E7655E2">
        <w:rPr>
          <w:rFonts w:eastAsia="Yu Mincho"/>
          <w:b/>
          <w:bCs/>
          <w:color w:val="000000" w:themeColor="text1"/>
          <w:lang w:val="en-CA"/>
        </w:rPr>
        <w:t>Table ES.4:</w:t>
      </w:r>
      <w:r w:rsidR="00D43E61">
        <w:tab/>
      </w:r>
      <w:r w:rsidRPr="2E7655E2">
        <w:rPr>
          <w:rFonts w:eastAsia="Times New Roman"/>
          <w:b/>
          <w:bCs/>
          <w:color w:val="000000" w:themeColor="text1"/>
        </w:rPr>
        <w:t>Summary of estimated funding 2027-2029 for HCFC phase-out applying New Scenarios 1a, 1b, and 1c and compared to Updated RTF May Report estimates (US$ million)</w:t>
      </w:r>
    </w:p>
    <w:tbl>
      <w:tblPr>
        <w:tblStyle w:val="TableGrid"/>
        <w:tblW w:w="9356" w:type="dxa"/>
        <w:tblInd w:w="-10" w:type="dxa"/>
        <w:tblLook w:val="04A0" w:firstRow="1" w:lastRow="0" w:firstColumn="1" w:lastColumn="0" w:noHBand="0" w:noVBand="1"/>
      </w:tblPr>
      <w:tblGrid>
        <w:gridCol w:w="2411"/>
        <w:gridCol w:w="1417"/>
        <w:gridCol w:w="1843"/>
        <w:gridCol w:w="1843"/>
        <w:gridCol w:w="1842"/>
      </w:tblGrid>
      <w:tr w:rsidR="00F90461" w14:paraId="0C5828EA" w14:textId="77777777" w:rsidTr="00FE5C31">
        <w:trPr>
          <w:trHeight w:val="285"/>
        </w:trPr>
        <w:tc>
          <w:tcPr>
            <w:tcW w:w="2411"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73C8B8A3" w14:textId="71E6AF72" w:rsidR="003B5790" w:rsidRPr="00A81971" w:rsidRDefault="0032495C" w:rsidP="00FE5C31">
            <w:pPr>
              <w:spacing w:after="0"/>
              <w:jc w:val="center"/>
              <w:rPr>
                <w:rFonts w:eastAsia="Times New Roman"/>
                <w:b/>
                <w:bCs/>
                <w:sz w:val="20"/>
                <w:szCs w:val="20"/>
                <w:lang w:eastAsia="zh-CN"/>
              </w:rPr>
            </w:pPr>
            <w:r w:rsidRPr="00A81971">
              <w:rPr>
                <w:rFonts w:eastAsia="Times New Roman"/>
                <w:b/>
                <w:bCs/>
                <w:color w:val="000000" w:themeColor="text1"/>
                <w:sz w:val="20"/>
                <w:szCs w:val="20"/>
                <w:lang w:eastAsia="zh-CN"/>
              </w:rPr>
              <w:t>H</w:t>
            </w:r>
            <w:r w:rsidRPr="00A81971">
              <w:rPr>
                <w:rFonts w:eastAsia="Times New Roman"/>
                <w:b/>
                <w:bCs/>
                <w:sz w:val="20"/>
                <w:szCs w:val="20"/>
                <w:lang w:eastAsia="zh-CN"/>
              </w:rPr>
              <w:t>CFCs Consumption and Production Sector Activities for Low-End Scenario 2027-2029 using 90% Resource Allocation Schedule</w:t>
            </w:r>
          </w:p>
        </w:tc>
        <w:tc>
          <w:tcPr>
            <w:tcW w:w="1417"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76602EA3" w14:textId="77777777" w:rsidR="003B5790" w:rsidRPr="00A81971" w:rsidRDefault="0032495C" w:rsidP="0098616B">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Updated RTF May Report Estimates</w:t>
            </w:r>
          </w:p>
          <w:p w14:paraId="62EA12EE" w14:textId="77777777" w:rsidR="003B5790" w:rsidRPr="00A81971" w:rsidRDefault="0032495C" w:rsidP="0098616B">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2027-2029</w:t>
            </w:r>
            <w:r w:rsidR="350041B7" w:rsidRPr="00A81971">
              <w:rPr>
                <w:rFonts w:eastAsia="Times New Roman"/>
                <w:b/>
                <w:bCs/>
                <w:color w:val="000000" w:themeColor="text1"/>
                <w:sz w:val="20"/>
                <w:szCs w:val="20"/>
                <w:lang w:eastAsia="zh-CN"/>
              </w:rPr>
              <w:t xml:space="preserve"> Triennium</w:t>
            </w:r>
          </w:p>
          <w:p w14:paraId="48E52E12" w14:textId="77777777" w:rsidR="003B5790" w:rsidRPr="00A81971" w:rsidRDefault="003B5790" w:rsidP="0098616B">
            <w:pPr>
              <w:spacing w:after="0"/>
              <w:jc w:val="center"/>
              <w:rPr>
                <w:rFonts w:eastAsia="Times New Roman"/>
                <w:b/>
                <w:bCs/>
                <w:color w:val="000000"/>
                <w:sz w:val="20"/>
                <w:szCs w:val="20"/>
                <w:lang w:eastAsia="zh-CN"/>
              </w:rPr>
            </w:pPr>
          </w:p>
        </w:tc>
        <w:tc>
          <w:tcPr>
            <w:tcW w:w="1843"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1B253AD0" w14:textId="77777777" w:rsidR="003B5790" w:rsidRPr="00A81971" w:rsidRDefault="0032495C" w:rsidP="0098616B">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New Scenario 1a (CE historical)</w:t>
            </w:r>
          </w:p>
          <w:p w14:paraId="7E4E01F8" w14:textId="77777777" w:rsidR="003B5790" w:rsidRPr="00A81971" w:rsidRDefault="003B5790" w:rsidP="0098616B">
            <w:pPr>
              <w:spacing w:after="0"/>
              <w:jc w:val="center"/>
              <w:rPr>
                <w:rFonts w:eastAsia="Times New Roman"/>
                <w:b/>
                <w:bCs/>
                <w:sz w:val="20"/>
                <w:szCs w:val="20"/>
                <w:lang w:eastAsia="zh-CN"/>
              </w:rPr>
            </w:pPr>
          </w:p>
        </w:tc>
        <w:tc>
          <w:tcPr>
            <w:tcW w:w="1843"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11AE8115" w14:textId="77777777" w:rsidR="003B5790" w:rsidRPr="00A81971" w:rsidRDefault="0032495C" w:rsidP="0098616B">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New Scenario 1b (CE past 6 years)</w:t>
            </w:r>
          </w:p>
          <w:p w14:paraId="6E9AAB03" w14:textId="1D94DAFB" w:rsidR="003B5790" w:rsidRPr="00A81971" w:rsidRDefault="003B5790" w:rsidP="0098616B">
            <w:pPr>
              <w:spacing w:after="0"/>
              <w:jc w:val="center"/>
              <w:rPr>
                <w:rFonts w:eastAsia="Times New Roman"/>
                <w:b/>
                <w:bCs/>
                <w:color w:val="000000"/>
                <w:sz w:val="20"/>
                <w:szCs w:val="20"/>
                <w:lang w:eastAsia="zh-CN"/>
              </w:rPr>
            </w:pPr>
          </w:p>
          <w:p w14:paraId="3E9F8E9F" w14:textId="77777777" w:rsidR="003B5790" w:rsidRPr="00A81971" w:rsidRDefault="003B5790" w:rsidP="0098616B">
            <w:pPr>
              <w:spacing w:after="0"/>
              <w:jc w:val="center"/>
              <w:rPr>
                <w:rFonts w:eastAsia="Times New Roman"/>
                <w:b/>
                <w:bCs/>
                <w:color w:val="000000"/>
                <w:sz w:val="20"/>
                <w:szCs w:val="20"/>
                <w:lang w:eastAsia="zh-CN"/>
              </w:rPr>
            </w:pPr>
          </w:p>
        </w:tc>
        <w:tc>
          <w:tcPr>
            <w:tcW w:w="1842"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0A2F3F69" w14:textId="77777777" w:rsidR="003B5790" w:rsidRPr="00A81971" w:rsidRDefault="0032495C" w:rsidP="0098616B">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New Scenario 1c (CE average funding past 6 years)</w:t>
            </w:r>
          </w:p>
          <w:p w14:paraId="51A043DC" w14:textId="77777777" w:rsidR="003B5790" w:rsidRPr="00A81971" w:rsidRDefault="003B5790" w:rsidP="0098616B">
            <w:pPr>
              <w:spacing w:after="0"/>
              <w:jc w:val="center"/>
              <w:rPr>
                <w:rFonts w:eastAsia="Times New Roman"/>
                <w:b/>
                <w:bCs/>
                <w:color w:val="000000"/>
                <w:sz w:val="20"/>
                <w:szCs w:val="20"/>
                <w:lang w:eastAsia="zh-CN"/>
              </w:rPr>
            </w:pPr>
          </w:p>
        </w:tc>
      </w:tr>
      <w:tr w:rsidR="00F90461" w14:paraId="0905F39A" w14:textId="77777777" w:rsidTr="00FE5C31">
        <w:trPr>
          <w:trHeight w:val="285"/>
        </w:trPr>
        <w:tc>
          <w:tcPr>
            <w:tcW w:w="241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2D265241" w14:textId="77777777" w:rsidR="003B5790" w:rsidRPr="00A81971" w:rsidRDefault="0032495C" w:rsidP="00FE5C31">
            <w:pPr>
              <w:spacing w:after="0"/>
              <w:jc w:val="center"/>
              <w:rPr>
                <w:rFonts w:eastAsia="Times New Roman"/>
                <w:b/>
                <w:bCs/>
                <w:color w:val="000000"/>
                <w:sz w:val="20"/>
                <w:szCs w:val="20"/>
                <w:lang w:eastAsia="zh-CN"/>
              </w:rPr>
            </w:pPr>
            <w:r w:rsidRPr="00A81971">
              <w:rPr>
                <w:rFonts w:eastAsia="Times New Roman"/>
                <w:b/>
                <w:bCs/>
                <w:color w:val="000000" w:themeColor="text1"/>
                <w:sz w:val="20"/>
                <w:szCs w:val="20"/>
                <w:lang w:eastAsia="zh-CN"/>
              </w:rPr>
              <w:t xml:space="preserve">New Scenarios </w:t>
            </w:r>
            <w:r w:rsidR="46A3B0F3" w:rsidRPr="00A81971">
              <w:rPr>
                <w:rFonts w:eastAsia="Times New Roman"/>
                <w:b/>
                <w:bCs/>
                <w:color w:val="000000" w:themeColor="text1"/>
                <w:sz w:val="20"/>
                <w:szCs w:val="20"/>
                <w:lang w:eastAsia="zh-CN"/>
              </w:rPr>
              <w:t>Reduction</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E58C3" w14:textId="77777777" w:rsidR="003B5790" w:rsidRPr="00A81971" w:rsidRDefault="0032495C" w:rsidP="00A413B5">
            <w:pPr>
              <w:spacing w:after="0"/>
              <w:jc w:val="center"/>
              <w:rPr>
                <w:rFonts w:eastAsia="Times New Roman"/>
                <w:color w:val="000000"/>
                <w:sz w:val="20"/>
                <w:szCs w:val="20"/>
                <w:lang w:eastAsia="zh-CN"/>
              </w:rPr>
            </w:pPr>
            <w:r w:rsidRPr="00A81971">
              <w:rPr>
                <w:rFonts w:eastAsia="Times New Roman"/>
                <w:color w:val="000000"/>
                <w:sz w:val="20"/>
                <w:szCs w:val="20"/>
                <w:lang w:eastAsia="zh-CN"/>
              </w:rPr>
              <w:t>NA</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FFFD1" w14:textId="77777777" w:rsidR="003B5790" w:rsidRPr="00A81971" w:rsidRDefault="0032495C" w:rsidP="00A413B5">
            <w:pPr>
              <w:spacing w:after="0"/>
              <w:jc w:val="center"/>
              <w:rPr>
                <w:rFonts w:eastAsia="Times New Roman"/>
                <w:color w:val="000000"/>
                <w:sz w:val="20"/>
                <w:szCs w:val="20"/>
                <w:lang w:eastAsia="zh-CN"/>
              </w:rPr>
            </w:pPr>
            <w:r w:rsidRPr="00A81971">
              <w:rPr>
                <w:rFonts w:eastAsia="Times New Roman"/>
                <w:color w:val="000000"/>
                <w:sz w:val="20"/>
                <w:szCs w:val="20"/>
                <w:lang w:eastAsia="zh-CN"/>
              </w:rPr>
              <w:t>87.10</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5B9A2" w14:textId="77777777" w:rsidR="003B5790" w:rsidRPr="00A81971" w:rsidRDefault="0032495C" w:rsidP="00A413B5">
            <w:pPr>
              <w:spacing w:after="0"/>
              <w:jc w:val="center"/>
              <w:rPr>
                <w:rFonts w:eastAsia="Times New Roman"/>
                <w:color w:val="000000"/>
                <w:sz w:val="20"/>
                <w:szCs w:val="20"/>
                <w:lang w:eastAsia="zh-CN"/>
              </w:rPr>
            </w:pPr>
            <w:r w:rsidRPr="00A81971">
              <w:rPr>
                <w:rFonts w:eastAsia="Times New Roman"/>
                <w:color w:val="000000" w:themeColor="text1"/>
                <w:sz w:val="20"/>
                <w:szCs w:val="20"/>
                <w:lang w:eastAsia="zh-CN"/>
              </w:rPr>
              <w:t>201.</w:t>
            </w:r>
            <w:r w:rsidR="46A3B0F3" w:rsidRPr="00A81971">
              <w:rPr>
                <w:rFonts w:eastAsia="Times New Roman"/>
                <w:color w:val="000000" w:themeColor="text1"/>
                <w:sz w:val="20"/>
                <w:szCs w:val="20"/>
                <w:lang w:eastAsia="zh-CN"/>
              </w:rPr>
              <w:t>8</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F6B58" w14:textId="77777777" w:rsidR="003B5790" w:rsidRPr="00A81971" w:rsidRDefault="0032495C" w:rsidP="00A413B5">
            <w:pPr>
              <w:spacing w:after="0"/>
              <w:jc w:val="center"/>
              <w:rPr>
                <w:rFonts w:eastAsia="Times New Roman"/>
                <w:color w:val="000000"/>
                <w:sz w:val="20"/>
                <w:szCs w:val="20"/>
                <w:lang w:eastAsia="zh-CN"/>
              </w:rPr>
            </w:pPr>
            <w:r w:rsidRPr="00A81971">
              <w:rPr>
                <w:rFonts w:eastAsia="Times New Roman"/>
                <w:color w:val="000000" w:themeColor="text1"/>
                <w:sz w:val="20"/>
                <w:szCs w:val="20"/>
                <w:lang w:eastAsia="zh-CN"/>
              </w:rPr>
              <w:t>207.</w:t>
            </w:r>
            <w:r w:rsidR="46A3B0F3" w:rsidRPr="00A81971">
              <w:rPr>
                <w:rFonts w:eastAsia="Times New Roman"/>
                <w:color w:val="000000" w:themeColor="text1"/>
                <w:sz w:val="20"/>
                <w:szCs w:val="20"/>
                <w:lang w:eastAsia="zh-CN"/>
              </w:rPr>
              <w:t>1</w:t>
            </w:r>
          </w:p>
        </w:tc>
      </w:tr>
      <w:tr w:rsidR="00F90461" w14:paraId="7DC60AB3" w14:textId="77777777" w:rsidTr="00FE5C31">
        <w:trPr>
          <w:trHeight w:val="300"/>
        </w:trPr>
        <w:tc>
          <w:tcPr>
            <w:tcW w:w="2411"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445F0C40" w14:textId="625D9F77" w:rsidR="003B5790" w:rsidRPr="00A81971" w:rsidRDefault="0032495C" w:rsidP="00A413B5">
            <w:pPr>
              <w:spacing w:after="0"/>
              <w:rPr>
                <w:rFonts w:eastAsia="Times New Roman"/>
                <w:b/>
                <w:bCs/>
                <w:color w:val="000000"/>
                <w:sz w:val="20"/>
                <w:szCs w:val="20"/>
                <w:lang w:eastAsia="zh-CN"/>
              </w:rPr>
            </w:pPr>
            <w:r w:rsidRPr="00A81971">
              <w:rPr>
                <w:rFonts w:eastAsia="Times New Roman"/>
                <w:b/>
                <w:bCs/>
                <w:color w:val="000000"/>
                <w:sz w:val="20"/>
                <w:szCs w:val="20"/>
                <w:lang w:eastAsia="zh-CN"/>
              </w:rPr>
              <w:t>Total*</w:t>
            </w:r>
          </w:p>
        </w:tc>
        <w:tc>
          <w:tcPr>
            <w:tcW w:w="1417"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0D65BAA9" w14:textId="77777777" w:rsidR="003B5790" w:rsidRPr="00A81971" w:rsidRDefault="0032495C" w:rsidP="00A413B5">
            <w:pPr>
              <w:spacing w:after="0"/>
              <w:jc w:val="center"/>
              <w:rPr>
                <w:rFonts w:eastAsia="Times New Roman"/>
                <w:b/>
                <w:bCs/>
                <w:color w:val="000000"/>
                <w:sz w:val="20"/>
                <w:szCs w:val="20"/>
                <w:lang w:eastAsia="zh-CN"/>
              </w:rPr>
            </w:pPr>
            <w:r w:rsidRPr="00A81971">
              <w:rPr>
                <w:rFonts w:eastAsia="Times New Roman"/>
                <w:b/>
                <w:bCs/>
                <w:color w:val="000000"/>
                <w:sz w:val="20"/>
                <w:szCs w:val="20"/>
                <w:lang w:eastAsia="zh-CN"/>
              </w:rPr>
              <w:t>437</w:t>
            </w:r>
          </w:p>
        </w:tc>
        <w:tc>
          <w:tcPr>
            <w:tcW w:w="1843"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12B69CD8" w14:textId="77777777" w:rsidR="003B5790" w:rsidRPr="00A81971" w:rsidRDefault="0032495C" w:rsidP="00A413B5">
            <w:pPr>
              <w:spacing w:after="0"/>
              <w:jc w:val="center"/>
              <w:rPr>
                <w:rFonts w:eastAsia="Times New Roman"/>
                <w:b/>
                <w:bCs/>
                <w:color w:val="000000"/>
                <w:sz w:val="20"/>
                <w:szCs w:val="20"/>
                <w:lang w:eastAsia="zh-CN"/>
              </w:rPr>
            </w:pPr>
            <w:r w:rsidRPr="00A81971">
              <w:rPr>
                <w:rFonts w:eastAsia="Times New Roman"/>
                <w:b/>
                <w:bCs/>
                <w:sz w:val="20"/>
                <w:szCs w:val="20"/>
                <w:lang w:eastAsia="zh-CN"/>
              </w:rPr>
              <w:t>350</w:t>
            </w:r>
          </w:p>
        </w:tc>
        <w:tc>
          <w:tcPr>
            <w:tcW w:w="1843"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02ABCDD5" w14:textId="77777777" w:rsidR="003B5790" w:rsidRPr="00A81971" w:rsidRDefault="0032495C" w:rsidP="00A413B5">
            <w:pPr>
              <w:spacing w:after="0"/>
              <w:jc w:val="center"/>
              <w:rPr>
                <w:rFonts w:eastAsia="Times New Roman"/>
                <w:b/>
                <w:bCs/>
                <w:sz w:val="20"/>
                <w:szCs w:val="20"/>
                <w:lang w:eastAsia="zh-CN"/>
              </w:rPr>
            </w:pPr>
            <w:r w:rsidRPr="00A81971">
              <w:rPr>
                <w:rFonts w:eastAsia="Times New Roman"/>
                <w:b/>
                <w:bCs/>
                <w:color w:val="000000"/>
                <w:sz w:val="20"/>
                <w:szCs w:val="20"/>
                <w:lang w:eastAsia="zh-CN"/>
              </w:rPr>
              <w:t>2</w:t>
            </w:r>
            <w:r w:rsidRPr="00A81971">
              <w:rPr>
                <w:rFonts w:eastAsia="Times New Roman"/>
                <w:b/>
                <w:bCs/>
                <w:sz w:val="20"/>
                <w:szCs w:val="20"/>
                <w:lang w:eastAsia="zh-CN"/>
              </w:rPr>
              <w:t>35</w:t>
            </w:r>
          </w:p>
        </w:tc>
        <w:tc>
          <w:tcPr>
            <w:tcW w:w="1842"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1404232C" w14:textId="77777777" w:rsidR="003B5790" w:rsidRPr="00A81971" w:rsidRDefault="0032495C" w:rsidP="00A413B5">
            <w:pPr>
              <w:spacing w:after="0"/>
              <w:jc w:val="center"/>
              <w:rPr>
                <w:rFonts w:eastAsia="Times New Roman"/>
                <w:b/>
                <w:bCs/>
                <w:color w:val="000000"/>
                <w:sz w:val="20"/>
                <w:szCs w:val="20"/>
                <w:highlight w:val="yellow"/>
                <w:lang w:eastAsia="zh-CN"/>
              </w:rPr>
            </w:pPr>
            <w:r w:rsidRPr="00A81971">
              <w:rPr>
                <w:rFonts w:eastAsia="Times New Roman"/>
                <w:b/>
                <w:bCs/>
                <w:color w:val="000000"/>
                <w:sz w:val="20"/>
                <w:szCs w:val="20"/>
                <w:lang w:eastAsia="zh-CN"/>
              </w:rPr>
              <w:t>230</w:t>
            </w:r>
          </w:p>
        </w:tc>
      </w:tr>
    </w:tbl>
    <w:p w14:paraId="31958351" w14:textId="77777777" w:rsidR="003B5790" w:rsidRPr="00A81971" w:rsidRDefault="0032495C" w:rsidP="003B5790">
      <w:pPr>
        <w:spacing w:after="0"/>
        <w:rPr>
          <w:rFonts w:eastAsia="Times New Roman"/>
          <w:sz w:val="18"/>
          <w:szCs w:val="18"/>
        </w:rPr>
      </w:pPr>
      <w:r w:rsidRPr="00A81971">
        <w:rPr>
          <w:rFonts w:eastAsia="Times New Roman"/>
          <w:sz w:val="18"/>
          <w:szCs w:val="18"/>
        </w:rPr>
        <w:t>*Numbers may differ slightly from figures in Chapter 3 due to rounding.</w:t>
      </w:r>
    </w:p>
    <w:p w14:paraId="4FDB91DE" w14:textId="77777777" w:rsidR="003B5790" w:rsidRPr="00A81971" w:rsidRDefault="003B5790" w:rsidP="003B5790">
      <w:pPr>
        <w:spacing w:after="0"/>
        <w:rPr>
          <w:rFonts w:eastAsia="Times New Roman"/>
          <w:b/>
          <w:i/>
        </w:rPr>
      </w:pPr>
    </w:p>
    <w:p w14:paraId="3577CA84" w14:textId="77777777" w:rsidR="00DE4B5C" w:rsidRPr="00A81971" w:rsidRDefault="0032495C" w:rsidP="0015769B">
      <w:pPr>
        <w:spacing w:after="0"/>
        <w:rPr>
          <w:rFonts w:eastAsia="Times New Roman"/>
          <w:iCs/>
          <w:color w:val="000000" w:themeColor="text1"/>
        </w:rPr>
      </w:pPr>
      <w:r w:rsidRPr="00A81971">
        <w:rPr>
          <w:rFonts w:eastAsia="Times New Roman"/>
          <w:iCs/>
          <w:color w:val="000000" w:themeColor="text1"/>
        </w:rPr>
        <w:t>In summary:</w:t>
      </w:r>
    </w:p>
    <w:p w14:paraId="4FA0EDC3" w14:textId="77777777" w:rsidR="003B5790" w:rsidRPr="00A81971" w:rsidRDefault="0032495C" w:rsidP="007A20BD">
      <w:pPr>
        <w:pStyle w:val="ListParagraph"/>
        <w:numPr>
          <w:ilvl w:val="0"/>
          <w:numId w:val="66"/>
        </w:numPr>
        <w:spacing w:after="0"/>
        <w:rPr>
          <w:rFonts w:eastAsia="Times New Roman"/>
          <w:iCs/>
          <w:color w:val="000000" w:themeColor="text1"/>
        </w:rPr>
      </w:pPr>
      <w:r w:rsidRPr="00A81971">
        <w:rPr>
          <w:rFonts w:eastAsia="Times New Roman"/>
          <w:iCs/>
        </w:rPr>
        <w:t xml:space="preserve">The impact of the New Scenario 1a-HPMPs (based on the application of historical CE factors) </w:t>
      </w:r>
      <w:r w:rsidRPr="00A81971">
        <w:rPr>
          <w:rFonts w:eastAsia="Times New Roman"/>
          <w:iCs/>
          <w:lang w:eastAsia="nl-NL"/>
        </w:rPr>
        <w:t>is</w:t>
      </w:r>
      <w:r w:rsidRPr="00A81971">
        <w:rPr>
          <w:rFonts w:eastAsia="Times New Roman"/>
          <w:iCs/>
          <w:color w:val="000000" w:themeColor="text1"/>
        </w:rPr>
        <w:t xml:space="preserve"> a </w:t>
      </w:r>
      <w:r w:rsidRPr="00A81971">
        <w:rPr>
          <w:rFonts w:eastAsia="Times New Roman"/>
          <w:b/>
          <w:bCs/>
          <w:iCs/>
          <w:color w:val="000000" w:themeColor="text1"/>
        </w:rPr>
        <w:t>reduction of US$ 87.10 million</w:t>
      </w:r>
      <w:r w:rsidRPr="00A81971">
        <w:rPr>
          <w:rFonts w:eastAsia="Times New Roman"/>
          <w:iCs/>
          <w:color w:val="000000" w:themeColor="text1"/>
        </w:rPr>
        <w:t xml:space="preserve"> from the Updated RTF May Report Scenario 1 (low-end)”. </w:t>
      </w:r>
    </w:p>
    <w:p w14:paraId="6BCE3A70" w14:textId="77777777" w:rsidR="003B5790" w:rsidRPr="00A81971" w:rsidRDefault="0032495C" w:rsidP="007A20BD">
      <w:pPr>
        <w:pStyle w:val="ListParagraph"/>
        <w:numPr>
          <w:ilvl w:val="0"/>
          <w:numId w:val="66"/>
        </w:numPr>
        <w:spacing w:before="240" w:after="0"/>
        <w:rPr>
          <w:rFonts w:eastAsia="Times New Roman"/>
          <w:iCs/>
          <w:color w:val="000000"/>
        </w:rPr>
      </w:pPr>
      <w:r w:rsidRPr="00A81971">
        <w:rPr>
          <w:rFonts w:eastAsia="Calibri"/>
          <w:iCs/>
          <w:color w:val="000000" w:themeColor="text1"/>
          <w:lang w:eastAsia="nl-NL"/>
        </w:rPr>
        <w:t>The impact of the New Scenario 1b-HPMPs (based on CE factors for each A5 party over</w:t>
      </w:r>
      <w:r w:rsidR="00110543" w:rsidRPr="00A81971">
        <w:rPr>
          <w:rFonts w:eastAsia="Calibri"/>
          <w:iCs/>
          <w:color w:val="000000" w:themeColor="text1"/>
          <w:lang w:eastAsia="nl-NL"/>
        </w:rPr>
        <w:t xml:space="preserve"> the</w:t>
      </w:r>
      <w:r w:rsidRPr="00A81971">
        <w:rPr>
          <w:rFonts w:eastAsia="Calibri"/>
          <w:iCs/>
          <w:color w:val="000000" w:themeColor="text1"/>
          <w:lang w:eastAsia="nl-NL"/>
        </w:rPr>
        <w:t xml:space="preserve"> past 6 years) </w:t>
      </w:r>
      <w:r w:rsidRPr="00A81971">
        <w:rPr>
          <w:rFonts w:eastAsia="Times New Roman"/>
          <w:iCs/>
          <w:color w:val="000000" w:themeColor="text1"/>
        </w:rPr>
        <w:t xml:space="preserve">is a </w:t>
      </w:r>
      <w:r w:rsidRPr="00A81971">
        <w:rPr>
          <w:rFonts w:eastAsia="Times New Roman"/>
          <w:b/>
          <w:bCs/>
          <w:iCs/>
          <w:color w:val="000000" w:themeColor="text1"/>
        </w:rPr>
        <w:t>reduction of US$ 201.82 million</w:t>
      </w:r>
      <w:r w:rsidRPr="00A81971">
        <w:rPr>
          <w:rFonts w:eastAsia="Times New Roman"/>
          <w:iCs/>
          <w:color w:val="000000" w:themeColor="text1"/>
        </w:rPr>
        <w:t xml:space="preserve"> from the “Updated RTF May Report-Scenario 1 (low-end)”.</w:t>
      </w:r>
    </w:p>
    <w:p w14:paraId="61A4CA67" w14:textId="77777777" w:rsidR="003B5790" w:rsidRPr="00A81971" w:rsidRDefault="0032495C" w:rsidP="007A20BD">
      <w:pPr>
        <w:pStyle w:val="ListParagraph"/>
        <w:numPr>
          <w:ilvl w:val="0"/>
          <w:numId w:val="66"/>
        </w:numPr>
        <w:spacing w:after="0"/>
        <w:rPr>
          <w:rFonts w:eastAsia="Times New Roman"/>
          <w:iCs/>
          <w:color w:val="000000" w:themeColor="text1"/>
        </w:rPr>
      </w:pPr>
      <w:r w:rsidRPr="00A81971">
        <w:rPr>
          <w:rFonts w:eastAsia="Times New Roman"/>
          <w:iCs/>
          <w:lang w:eastAsia="nl-NL"/>
        </w:rPr>
        <w:t>The impact of the New Scenario 1c-HPMPs (CE based on average funding levels for each A5 party over the past 6 years) is</w:t>
      </w:r>
      <w:r w:rsidRPr="00A81971">
        <w:rPr>
          <w:rFonts w:eastAsia="Times New Roman"/>
          <w:iCs/>
          <w:color w:val="000000" w:themeColor="text1"/>
        </w:rPr>
        <w:t xml:space="preserve"> a </w:t>
      </w:r>
      <w:r w:rsidRPr="00A81971">
        <w:rPr>
          <w:rFonts w:eastAsia="Times New Roman"/>
          <w:b/>
          <w:bCs/>
          <w:iCs/>
          <w:color w:val="000000" w:themeColor="text1"/>
        </w:rPr>
        <w:t>reduction of US$ 207.10 million</w:t>
      </w:r>
      <w:r w:rsidRPr="00A81971">
        <w:rPr>
          <w:rFonts w:eastAsia="Times New Roman"/>
          <w:iCs/>
          <w:color w:val="000000" w:themeColor="text1"/>
        </w:rPr>
        <w:t xml:space="preserve"> from the “Updated RTF May Report-Scenario 1 (low-end)”.</w:t>
      </w:r>
    </w:p>
    <w:p w14:paraId="09F5CB08" w14:textId="77777777" w:rsidR="003B5790" w:rsidRPr="00A81971" w:rsidRDefault="003B5790" w:rsidP="003B5790">
      <w:pPr>
        <w:spacing w:after="0"/>
        <w:rPr>
          <w:rFonts w:eastAsia="Times New Roman"/>
          <w:b/>
          <w:bCs/>
          <w:i/>
          <w:iCs/>
          <w:lang w:eastAsia="nl-NL"/>
        </w:rPr>
      </w:pPr>
    </w:p>
    <w:p w14:paraId="357A9DD1" w14:textId="77777777" w:rsidR="003B5790" w:rsidRPr="00A81971" w:rsidRDefault="0032495C" w:rsidP="46A3B0F3">
      <w:pPr>
        <w:spacing w:after="0"/>
        <w:rPr>
          <w:rFonts w:eastAsia="Times New Roman"/>
          <w:color w:val="000000" w:themeColor="text1"/>
        </w:rPr>
      </w:pPr>
      <w:r w:rsidRPr="00A81971">
        <w:rPr>
          <w:rFonts w:eastAsia="Times New Roman"/>
          <w:b/>
          <w:bCs/>
          <w:i/>
          <w:iCs/>
          <w:color w:val="000000" w:themeColor="text1"/>
        </w:rPr>
        <w:t>Additional New Scenario 2a for HCFCs: A low-end scenario based on the most recently reported consumption data for HCFCs and a high-end scenario based on HCFC remaining eligible consumption</w:t>
      </w:r>
    </w:p>
    <w:p w14:paraId="3C051F56" w14:textId="77777777" w:rsidR="46A3B0F3" w:rsidRPr="00A81971" w:rsidRDefault="46A3B0F3" w:rsidP="46A3B0F3">
      <w:pPr>
        <w:tabs>
          <w:tab w:val="left" w:pos="2281"/>
        </w:tabs>
        <w:spacing w:after="0"/>
        <w:rPr>
          <w:rFonts w:eastAsia="Times New Roman"/>
          <w:color w:val="000000" w:themeColor="text1"/>
        </w:rPr>
      </w:pPr>
    </w:p>
    <w:p w14:paraId="2B8FF9DD" w14:textId="77777777" w:rsidR="003B5790" w:rsidRPr="00B242F8" w:rsidRDefault="0032495C" w:rsidP="00B242F8">
      <w:pPr>
        <w:tabs>
          <w:tab w:val="left" w:pos="2281"/>
        </w:tabs>
        <w:spacing w:after="0" w:line="259" w:lineRule="auto"/>
        <w:rPr>
          <w:rFonts w:eastAsia="Times New Roman"/>
          <w:color w:val="000000" w:themeColor="text1"/>
        </w:rPr>
      </w:pPr>
      <w:r w:rsidRPr="00B242F8">
        <w:rPr>
          <w:rFonts w:eastAsia="Times New Roman"/>
          <w:color w:val="000000" w:themeColor="text1"/>
        </w:rPr>
        <w:t>For HCFCs, w</w:t>
      </w:r>
      <w:r w:rsidRPr="00B242F8">
        <w:rPr>
          <w:rFonts w:eastAsia="Times New Roman"/>
        </w:rPr>
        <w:t>here the eligible remaining consumption differs from the most recently reported A7 data, the lower of the two values was used in the calculation. The f</w:t>
      </w:r>
      <w:r w:rsidRPr="00B242F8">
        <w:rPr>
          <w:rFonts w:eastAsia="Times New Roman"/>
          <w:color w:val="000000" w:themeColor="text1"/>
        </w:rPr>
        <w:t xml:space="preserve">unding estimates and adjustments presented in the “Updated </w:t>
      </w:r>
      <w:r w:rsidR="00CB1E51" w:rsidRPr="00B242F8">
        <w:rPr>
          <w:rFonts w:eastAsia="Times New Roman"/>
          <w:color w:val="000000" w:themeColor="text1"/>
        </w:rPr>
        <w:t xml:space="preserve">RTF </w:t>
      </w:r>
      <w:r w:rsidRPr="00B242F8">
        <w:rPr>
          <w:rFonts w:eastAsia="Times New Roman"/>
          <w:color w:val="000000" w:themeColor="text1"/>
        </w:rPr>
        <w:t>May Report” scenarios and funding ranges, already take th</w:t>
      </w:r>
      <w:r w:rsidR="00B23700" w:rsidRPr="00B242F8">
        <w:rPr>
          <w:rFonts w:eastAsia="Times New Roman"/>
          <w:color w:val="000000" w:themeColor="text1"/>
        </w:rPr>
        <w:t xml:space="preserve">is </w:t>
      </w:r>
      <w:r w:rsidRPr="00B242F8">
        <w:rPr>
          <w:rFonts w:eastAsia="Times New Roman"/>
          <w:color w:val="000000" w:themeColor="text1"/>
        </w:rPr>
        <w:t>suggestion into consideration. Therefore, the funding estimates presented in the “Updated RTF May Report” are the same for this new scenario.</w:t>
      </w:r>
    </w:p>
    <w:p w14:paraId="4D716209" w14:textId="77777777" w:rsidR="003B5790" w:rsidRPr="00A81971" w:rsidRDefault="003B5790" w:rsidP="46A3B0F3">
      <w:pPr>
        <w:tabs>
          <w:tab w:val="left" w:pos="2281"/>
        </w:tabs>
        <w:spacing w:after="0"/>
        <w:rPr>
          <w:rFonts w:eastAsia="Times New Roman"/>
          <w:color w:val="000000" w:themeColor="text1"/>
        </w:rPr>
      </w:pPr>
    </w:p>
    <w:p w14:paraId="11CAC971" w14:textId="77777777" w:rsidR="003B5790" w:rsidRPr="00A81971" w:rsidRDefault="0032495C" w:rsidP="091457C3">
      <w:pPr>
        <w:spacing w:after="0"/>
        <w:rPr>
          <w:rFonts w:eastAsia="Times New Roman"/>
        </w:rPr>
      </w:pPr>
      <w:r w:rsidRPr="00A81971">
        <w:rPr>
          <w:rFonts w:eastAsia="Times New Roman"/>
        </w:rPr>
        <w:t>The new estimated ranges considering all new scenarios are presented in Table ES</w:t>
      </w:r>
      <w:r w:rsidR="00B242F8">
        <w:rPr>
          <w:rFonts w:eastAsia="Times New Roman"/>
        </w:rPr>
        <w:t>.</w:t>
      </w:r>
      <w:r w:rsidRPr="00A81971">
        <w:rPr>
          <w:rFonts w:eastAsia="Times New Roman"/>
        </w:rPr>
        <w:t xml:space="preserve">5.  </w:t>
      </w:r>
    </w:p>
    <w:p w14:paraId="2B9EA32F" w14:textId="77777777" w:rsidR="350041B7" w:rsidRPr="00A81971" w:rsidRDefault="350041B7" w:rsidP="350041B7">
      <w:pPr>
        <w:spacing w:after="0"/>
        <w:rPr>
          <w:rFonts w:eastAsia="Times New Roman"/>
          <w:color w:val="000000" w:themeColor="text1"/>
        </w:rPr>
      </w:pPr>
    </w:p>
    <w:p w14:paraId="7FE6FF36" w14:textId="77777777" w:rsidR="003B5790" w:rsidRPr="00A81971" w:rsidRDefault="0032495C" w:rsidP="2E7655E2">
      <w:pPr>
        <w:tabs>
          <w:tab w:val="left" w:pos="0"/>
          <w:tab w:val="left" w:pos="1276"/>
        </w:tabs>
        <w:spacing w:after="120"/>
        <w:ind w:left="1282" w:hanging="1282"/>
        <w:rPr>
          <w:rFonts w:eastAsia="Times New Roman"/>
          <w:color w:val="000000" w:themeColor="text1"/>
        </w:rPr>
      </w:pPr>
      <w:r w:rsidRPr="2E7655E2">
        <w:rPr>
          <w:rFonts w:eastAsia="Yu Mincho"/>
          <w:b/>
          <w:bCs/>
          <w:color w:val="000000" w:themeColor="text1"/>
          <w:lang w:val="en-CA"/>
        </w:rPr>
        <w:t>Table ES.5:</w:t>
      </w:r>
      <w:r w:rsidR="00653160">
        <w:tab/>
      </w:r>
      <w:r w:rsidRPr="2E7655E2">
        <w:rPr>
          <w:rFonts w:eastAsia="Times New Roman"/>
          <w:b/>
          <w:bCs/>
        </w:rPr>
        <w:t>Summary of estimated funding 2027-2029 for HCFC phase-out applying the lowest funding in a New Scenario, compared to the "Updated RTF May Report" estimates (US$ million)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76"/>
        <w:gridCol w:w="2551"/>
        <w:gridCol w:w="2837"/>
      </w:tblGrid>
      <w:tr w:rsidR="00F90461" w14:paraId="6E21724D" w14:textId="77777777" w:rsidTr="46A3B0F3">
        <w:trPr>
          <w:trHeight w:val="60"/>
        </w:trPr>
        <w:tc>
          <w:tcPr>
            <w:tcW w:w="3676"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5BD9C336" w14:textId="77777777" w:rsidR="003B5790" w:rsidRPr="00A81971" w:rsidRDefault="0032495C" w:rsidP="003B5790">
            <w:pPr>
              <w:spacing w:after="0"/>
              <w:jc w:val="center"/>
              <w:rPr>
                <w:rFonts w:eastAsia="Times New Roman"/>
                <w:color w:val="000000"/>
              </w:rPr>
            </w:pPr>
            <w:r w:rsidRPr="00A81971">
              <w:rPr>
                <w:rFonts w:eastAsia="Times New Roman"/>
                <w:b/>
                <w:bCs/>
                <w:color w:val="000000"/>
              </w:rPr>
              <w:t>2027-2029 Triennium</w:t>
            </w:r>
          </w:p>
        </w:tc>
        <w:tc>
          <w:tcPr>
            <w:tcW w:w="2551"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4C22CD8D" w14:textId="39CE1BA8" w:rsidR="003B5790" w:rsidRPr="00A81971" w:rsidRDefault="0032495C" w:rsidP="003B5790">
            <w:pPr>
              <w:spacing w:after="0"/>
              <w:jc w:val="center"/>
              <w:rPr>
                <w:rFonts w:eastAsia="Times New Roman"/>
                <w:color w:val="000000"/>
              </w:rPr>
            </w:pPr>
            <w:r w:rsidRPr="00A81971">
              <w:rPr>
                <w:rFonts w:eastAsia="Times New Roman"/>
                <w:b/>
                <w:bCs/>
                <w:color w:val="000000"/>
              </w:rPr>
              <w:t xml:space="preserve">Updated </w:t>
            </w:r>
            <w:r w:rsidRPr="00A81971">
              <w:rPr>
                <w:rFonts w:eastAsia="Times New Roman"/>
                <w:b/>
                <w:bCs/>
              </w:rPr>
              <w:t xml:space="preserve">May Report Estimates </w:t>
            </w:r>
          </w:p>
        </w:tc>
        <w:tc>
          <w:tcPr>
            <w:tcW w:w="2837"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E347961" w14:textId="77777777" w:rsidR="003B5790" w:rsidRPr="00A81971" w:rsidRDefault="0032495C" w:rsidP="003B5790">
            <w:pPr>
              <w:spacing w:after="0"/>
              <w:jc w:val="center"/>
              <w:rPr>
                <w:rFonts w:eastAsia="Times New Roman"/>
                <w:b/>
                <w:bCs/>
                <w:color w:val="000000"/>
              </w:rPr>
            </w:pPr>
            <w:r w:rsidRPr="00A81971">
              <w:rPr>
                <w:rFonts w:eastAsia="Times New Roman"/>
                <w:b/>
                <w:bCs/>
                <w:color w:val="000000"/>
              </w:rPr>
              <w:t>Supplementary Report Estimates Applying New Scenarios</w:t>
            </w:r>
          </w:p>
        </w:tc>
      </w:tr>
      <w:tr w:rsidR="00F90461" w14:paraId="61F67044" w14:textId="77777777" w:rsidTr="00C95B13">
        <w:trPr>
          <w:trHeight w:val="423"/>
        </w:trPr>
        <w:tc>
          <w:tcPr>
            <w:tcW w:w="3676" w:type="dxa"/>
            <w:tcBorders>
              <w:top w:val="single" w:sz="8" w:space="0" w:color="auto"/>
              <w:left w:val="single" w:sz="8" w:space="0" w:color="auto"/>
              <w:bottom w:val="single" w:sz="8" w:space="0" w:color="auto"/>
              <w:right w:val="single" w:sz="8" w:space="0" w:color="auto"/>
            </w:tcBorders>
            <w:shd w:val="clear" w:color="auto" w:fill="FFFF00"/>
            <w:vAlign w:val="center"/>
          </w:tcPr>
          <w:p w14:paraId="142ADBC0" w14:textId="77777777" w:rsidR="003B5790" w:rsidRPr="00C95B13" w:rsidRDefault="0032495C" w:rsidP="00C95B13">
            <w:pPr>
              <w:spacing w:after="0"/>
              <w:jc w:val="center"/>
              <w:rPr>
                <w:rFonts w:eastAsia="Times New Roman"/>
                <w:b/>
                <w:bCs/>
                <w:color w:val="000000"/>
              </w:rPr>
            </w:pPr>
            <w:r w:rsidRPr="00A81971">
              <w:rPr>
                <w:rFonts w:eastAsia="Times New Roman"/>
                <w:b/>
                <w:bCs/>
                <w:color w:val="000000"/>
              </w:rPr>
              <w:t>SUBTOTAL – HCFC ACTIVITIES</w:t>
            </w:r>
          </w:p>
        </w:tc>
        <w:tc>
          <w:tcPr>
            <w:tcW w:w="2551" w:type="dxa"/>
            <w:tcBorders>
              <w:top w:val="single" w:sz="8" w:space="0" w:color="auto"/>
              <w:left w:val="single" w:sz="8" w:space="0" w:color="auto"/>
              <w:bottom w:val="single" w:sz="8" w:space="0" w:color="auto"/>
              <w:right w:val="single" w:sz="8" w:space="0" w:color="auto"/>
            </w:tcBorders>
            <w:shd w:val="clear" w:color="auto" w:fill="FFFF00"/>
            <w:vAlign w:val="center"/>
          </w:tcPr>
          <w:p w14:paraId="4B3D1E41" w14:textId="77777777" w:rsidR="003B5790" w:rsidRPr="00A81971" w:rsidRDefault="0032495C" w:rsidP="00C95B13">
            <w:pPr>
              <w:spacing w:after="0"/>
              <w:jc w:val="center"/>
              <w:rPr>
                <w:rFonts w:eastAsia="Times New Roman"/>
                <w:color w:val="000000"/>
              </w:rPr>
            </w:pPr>
            <w:r w:rsidRPr="00A81971">
              <w:rPr>
                <w:rFonts w:eastAsia="Times New Roman"/>
                <w:b/>
                <w:bCs/>
                <w:color w:val="000000"/>
              </w:rPr>
              <w:t>437 – 564</w:t>
            </w:r>
          </w:p>
        </w:tc>
        <w:tc>
          <w:tcPr>
            <w:tcW w:w="2837" w:type="dxa"/>
            <w:tcBorders>
              <w:top w:val="single" w:sz="8" w:space="0" w:color="auto"/>
              <w:left w:val="single" w:sz="8" w:space="0" w:color="auto"/>
              <w:bottom w:val="single" w:sz="8" w:space="0" w:color="auto"/>
              <w:right w:val="single" w:sz="8" w:space="0" w:color="auto"/>
            </w:tcBorders>
            <w:shd w:val="clear" w:color="auto" w:fill="FFFF00"/>
            <w:vAlign w:val="center"/>
          </w:tcPr>
          <w:p w14:paraId="02BE84B9" w14:textId="77777777" w:rsidR="003B5790" w:rsidRPr="00A81971" w:rsidRDefault="0032495C" w:rsidP="00C95B13">
            <w:pPr>
              <w:spacing w:after="0"/>
              <w:jc w:val="center"/>
              <w:rPr>
                <w:rFonts w:eastAsia="Times New Roman"/>
                <w:b/>
                <w:bCs/>
                <w:color w:val="000000"/>
              </w:rPr>
            </w:pPr>
            <w:r w:rsidRPr="00A81971">
              <w:rPr>
                <w:rFonts w:eastAsia="Times New Roman"/>
                <w:b/>
                <w:bCs/>
                <w:color w:val="000000"/>
              </w:rPr>
              <w:t>230</w:t>
            </w:r>
            <w:r w:rsidR="00001DC2" w:rsidRPr="00A81971">
              <w:rPr>
                <w:rFonts w:eastAsia="Times New Roman"/>
                <w:b/>
                <w:bCs/>
                <w:color w:val="000000"/>
              </w:rPr>
              <w:t xml:space="preserve"> </w:t>
            </w:r>
            <w:r w:rsidRPr="00A81971">
              <w:rPr>
                <w:rFonts w:eastAsia="Times New Roman"/>
                <w:b/>
                <w:bCs/>
                <w:color w:val="000000"/>
              </w:rPr>
              <w:t>– 564</w:t>
            </w:r>
          </w:p>
        </w:tc>
      </w:tr>
    </w:tbl>
    <w:p w14:paraId="463DD059" w14:textId="77777777" w:rsidR="00E24C83" w:rsidRPr="00A81971" w:rsidRDefault="00E24C83" w:rsidP="00E24C83">
      <w:pPr>
        <w:pStyle w:val="ListParagraph"/>
        <w:spacing w:after="0" w:line="259" w:lineRule="auto"/>
        <w:rPr>
          <w:rFonts w:eastAsia="Times New Roman"/>
          <w:color w:val="000000" w:themeColor="text1"/>
        </w:rPr>
      </w:pPr>
    </w:p>
    <w:p w14:paraId="4C6EC989" w14:textId="77777777" w:rsidR="00E34DE2" w:rsidRPr="00A81971" w:rsidRDefault="0032495C" w:rsidP="00E24C83">
      <w:pPr>
        <w:spacing w:after="0" w:line="259" w:lineRule="auto"/>
        <w:rPr>
          <w:rFonts w:eastAsia="Times New Roman"/>
        </w:rPr>
      </w:pPr>
      <w:r w:rsidRPr="2E7655E2">
        <w:rPr>
          <w:rFonts w:eastAsia="Times New Roman"/>
        </w:rPr>
        <w:lastRenderedPageBreak/>
        <w:t>The l</w:t>
      </w:r>
      <w:r w:rsidRPr="2E7655E2">
        <w:rPr>
          <w:rFonts w:eastAsia="Times New Roman"/>
          <w:color w:val="000000" w:themeColor="text1"/>
        </w:rPr>
        <w:t xml:space="preserve">owest funding estimate is from applying New Scenario 1c, a reduction of US$ 207 million, providing the </w:t>
      </w:r>
      <w:r w:rsidRPr="2E7655E2">
        <w:rPr>
          <w:rFonts w:eastAsia="Times New Roman"/>
        </w:rPr>
        <w:t>low-end of the estimated funding range for this RTF Supplementary Report, that is US$ 230 million. The high-end funding estimated of US$ 564 million is kept the same as in the Updated RTF May Report.</w:t>
      </w:r>
    </w:p>
    <w:p w14:paraId="5136797D" w14:textId="77777777" w:rsidR="00E24C83" w:rsidRPr="00A81971" w:rsidRDefault="00E24C83" w:rsidP="00E24C83">
      <w:pPr>
        <w:spacing w:after="0" w:line="259" w:lineRule="auto"/>
        <w:rPr>
          <w:rFonts w:eastAsia="Times New Roman"/>
          <w:color w:val="000000" w:themeColor="text1"/>
        </w:rPr>
      </w:pPr>
    </w:p>
    <w:p w14:paraId="31DF9FC1" w14:textId="77777777" w:rsidR="00E34DE2" w:rsidRPr="00793076" w:rsidRDefault="0032495C" w:rsidP="00793076">
      <w:pPr>
        <w:pStyle w:val="ListParagraph"/>
        <w:numPr>
          <w:ilvl w:val="0"/>
          <w:numId w:val="74"/>
        </w:numPr>
        <w:spacing w:after="0" w:line="259" w:lineRule="auto"/>
        <w:rPr>
          <w:rFonts w:eastAsia="Times New Roman"/>
          <w:b/>
          <w:bCs/>
          <w:color w:val="000000" w:themeColor="text1"/>
        </w:rPr>
      </w:pPr>
      <w:r w:rsidRPr="00793076">
        <w:rPr>
          <w:rFonts w:eastAsia="Times New Roman"/>
          <w:b/>
          <w:bCs/>
        </w:rPr>
        <w:t xml:space="preserve">The estimated funding range for HCFC activities for the 2027-2029 triennium is US$ </w:t>
      </w:r>
      <w:r w:rsidRPr="00793076">
        <w:rPr>
          <w:rFonts w:eastAsia="Times New Roman"/>
          <w:b/>
          <w:bCs/>
          <w:color w:val="000000" w:themeColor="text1"/>
        </w:rPr>
        <w:t>230-564 million (as in Table ES</w:t>
      </w:r>
      <w:r w:rsidR="003768A9" w:rsidRPr="00793076">
        <w:rPr>
          <w:rFonts w:eastAsia="Times New Roman"/>
          <w:b/>
          <w:bCs/>
          <w:color w:val="000000" w:themeColor="text1"/>
        </w:rPr>
        <w:t>.</w:t>
      </w:r>
      <w:r w:rsidRPr="00793076">
        <w:rPr>
          <w:rFonts w:eastAsia="Times New Roman"/>
          <w:b/>
          <w:bCs/>
          <w:color w:val="000000" w:themeColor="text1"/>
        </w:rPr>
        <w:t>5).</w:t>
      </w:r>
    </w:p>
    <w:p w14:paraId="6B0085CE" w14:textId="77777777" w:rsidR="003B5790" w:rsidRPr="00A81971" w:rsidRDefault="003B5790" w:rsidP="003B5790">
      <w:pPr>
        <w:spacing w:after="0"/>
        <w:rPr>
          <w:rFonts w:eastAsia="Times New Roman"/>
          <w:color w:val="000000" w:themeColor="text1"/>
          <w:sz w:val="18"/>
          <w:szCs w:val="18"/>
        </w:rPr>
      </w:pPr>
    </w:p>
    <w:p w14:paraId="0E1A0FBF" w14:textId="77777777" w:rsidR="46A3B0F3" w:rsidRPr="00A81971" w:rsidRDefault="46A3B0F3" w:rsidP="46A3B0F3">
      <w:pPr>
        <w:spacing w:after="0"/>
        <w:rPr>
          <w:rFonts w:eastAsia="Times New Roman"/>
        </w:rPr>
      </w:pPr>
    </w:p>
    <w:p w14:paraId="18DAD90C" w14:textId="77777777" w:rsidR="003B5790" w:rsidRPr="00A81971" w:rsidRDefault="0032495C" w:rsidP="003B5790">
      <w:pPr>
        <w:spacing w:after="0"/>
        <w:rPr>
          <w:rFonts w:eastAsia="Times New Roman"/>
          <w:b/>
          <w:bCs/>
          <w:color w:val="000000"/>
          <w:sz w:val="24"/>
          <w:szCs w:val="24"/>
        </w:rPr>
      </w:pPr>
      <w:r w:rsidRPr="00A81971">
        <w:rPr>
          <w:rFonts w:eastAsia="Times New Roman"/>
          <w:b/>
          <w:bCs/>
          <w:color w:val="000000" w:themeColor="text1"/>
          <w:sz w:val="24"/>
          <w:szCs w:val="24"/>
        </w:rPr>
        <w:t>KIPs New Scenarios</w:t>
      </w:r>
    </w:p>
    <w:p w14:paraId="1EC55FDA" w14:textId="77777777" w:rsidR="003B5790" w:rsidRPr="00A81971" w:rsidRDefault="003B5790" w:rsidP="003B5790">
      <w:pPr>
        <w:spacing w:after="0"/>
        <w:rPr>
          <w:rFonts w:eastAsia="Times New Roman"/>
          <w:b/>
          <w:bCs/>
          <w:color w:val="000000"/>
          <w:u w:val="single"/>
        </w:rPr>
      </w:pPr>
    </w:p>
    <w:p w14:paraId="14FAF468" w14:textId="77777777" w:rsidR="003B5790" w:rsidRPr="00A81971" w:rsidRDefault="0032495C" w:rsidP="003B5790">
      <w:pPr>
        <w:spacing w:line="259" w:lineRule="auto"/>
        <w:rPr>
          <w:rFonts w:eastAsia="Times New Roman"/>
          <w:color w:val="000000"/>
        </w:rPr>
      </w:pPr>
      <w:r w:rsidRPr="00A81971">
        <w:rPr>
          <w:rFonts w:eastAsia="Calibri"/>
          <w:color w:val="000000" w:themeColor="text1"/>
          <w:lang w:eastAsia="nl-NL"/>
        </w:rPr>
        <w:t xml:space="preserve">The OEWG-48 suggestions for </w:t>
      </w:r>
      <w:r w:rsidR="00CD6EB3" w:rsidRPr="00A81971">
        <w:rPr>
          <w:rFonts w:eastAsia="Calibri"/>
          <w:color w:val="000000" w:themeColor="text1"/>
          <w:lang w:eastAsia="nl-NL"/>
        </w:rPr>
        <w:t>New S</w:t>
      </w:r>
      <w:r w:rsidRPr="00A81971">
        <w:rPr>
          <w:rFonts w:eastAsia="Calibri"/>
          <w:color w:val="000000" w:themeColor="text1"/>
          <w:lang w:eastAsia="nl-NL"/>
        </w:rPr>
        <w:t xml:space="preserve">cenarios 1 (a, b, and c) were also applied for HFCs. </w:t>
      </w:r>
      <w:r w:rsidRPr="00A81971">
        <w:rPr>
          <w:rFonts w:eastAsia="Times New Roman"/>
          <w:color w:val="000000" w:themeColor="text1"/>
        </w:rPr>
        <w:t xml:space="preserve">The estimates from the Updated May Report </w:t>
      </w:r>
      <w:r w:rsidR="00A82ECA" w:rsidRPr="00A81971">
        <w:rPr>
          <w:rFonts w:eastAsia="Times New Roman"/>
          <w:color w:val="000000" w:themeColor="text1"/>
        </w:rPr>
        <w:t xml:space="preserve">as a </w:t>
      </w:r>
      <w:r w:rsidRPr="00A81971">
        <w:rPr>
          <w:rFonts w:eastAsia="Times New Roman"/>
          <w:color w:val="000000" w:themeColor="text1"/>
        </w:rPr>
        <w:t xml:space="preserve">Scenario 1 (low-end) for the 2027-2029 triennium were used as the basis to compare with the estimates calculated for the </w:t>
      </w:r>
      <w:r w:rsidR="350041B7" w:rsidRPr="00A81971">
        <w:rPr>
          <w:rFonts w:eastAsia="Times New Roman"/>
          <w:color w:val="000000" w:themeColor="text1"/>
        </w:rPr>
        <w:t xml:space="preserve">CE-based </w:t>
      </w:r>
      <w:r w:rsidR="00A82ECA" w:rsidRPr="00A81971">
        <w:rPr>
          <w:rFonts w:eastAsia="Times New Roman"/>
          <w:color w:val="000000" w:themeColor="text1"/>
        </w:rPr>
        <w:t>N</w:t>
      </w:r>
      <w:r w:rsidR="350041B7" w:rsidRPr="00A81971">
        <w:rPr>
          <w:rFonts w:eastAsia="Times New Roman"/>
          <w:color w:val="000000" w:themeColor="text1"/>
        </w:rPr>
        <w:t>ew</w:t>
      </w:r>
      <w:r w:rsidRPr="00A81971">
        <w:rPr>
          <w:rFonts w:eastAsia="Times New Roman"/>
          <w:color w:val="000000" w:themeColor="text1"/>
        </w:rPr>
        <w:t xml:space="preserve"> </w:t>
      </w:r>
      <w:r w:rsidR="00A82ECA" w:rsidRPr="00A81971">
        <w:rPr>
          <w:rFonts w:eastAsia="Times New Roman"/>
          <w:color w:val="000000" w:themeColor="text1"/>
        </w:rPr>
        <w:t>S</w:t>
      </w:r>
      <w:r w:rsidRPr="00A81971">
        <w:rPr>
          <w:rFonts w:eastAsia="Times New Roman"/>
          <w:color w:val="000000" w:themeColor="text1"/>
        </w:rPr>
        <w:t>cenarios.</w:t>
      </w:r>
    </w:p>
    <w:p w14:paraId="7A7EF4D2" w14:textId="77777777" w:rsidR="003B5790" w:rsidRPr="00A81971" w:rsidRDefault="0032495C" w:rsidP="003B5790">
      <w:pPr>
        <w:spacing w:line="259" w:lineRule="auto"/>
        <w:rPr>
          <w:rFonts w:eastAsia="Calibri"/>
          <w:b/>
          <w:bCs/>
          <w:color w:val="000000"/>
          <w:lang w:eastAsia="nl-NL"/>
        </w:rPr>
      </w:pPr>
      <w:r w:rsidRPr="00A81971">
        <w:rPr>
          <w:rFonts w:eastAsia="Calibri"/>
          <w:b/>
          <w:bCs/>
          <w:i/>
          <w:iCs/>
          <w:color w:val="000000"/>
          <w:lang w:eastAsia="nl-NL"/>
        </w:rPr>
        <w:t>New</w:t>
      </w:r>
      <w:r w:rsidRPr="00A81971">
        <w:rPr>
          <w:rFonts w:eastAsia="Calibri"/>
          <w:i/>
          <w:iCs/>
          <w:color w:val="000000"/>
          <w:lang w:eastAsia="nl-NL"/>
        </w:rPr>
        <w:t xml:space="preserve"> </w:t>
      </w:r>
      <w:r w:rsidRPr="00A81971">
        <w:rPr>
          <w:rFonts w:eastAsia="Calibri"/>
          <w:b/>
          <w:bCs/>
          <w:i/>
          <w:iCs/>
          <w:color w:val="000000"/>
          <w:lang w:eastAsia="nl-NL"/>
        </w:rPr>
        <w:t>Scenario 1a for KIPs (based on historical CEs)</w:t>
      </w:r>
      <w:r w:rsidRPr="00A81971">
        <w:rPr>
          <w:rFonts w:eastAsia="Calibri"/>
          <w:b/>
          <w:bCs/>
          <w:color w:val="000000"/>
          <w:lang w:eastAsia="nl-NL"/>
        </w:rPr>
        <w:t xml:space="preserve"> </w:t>
      </w:r>
    </w:p>
    <w:p w14:paraId="73832195" w14:textId="77777777" w:rsidR="00ED08F1" w:rsidRDefault="0032495C" w:rsidP="00327673">
      <w:pPr>
        <w:spacing w:after="0" w:line="259" w:lineRule="auto"/>
        <w:rPr>
          <w:rFonts w:eastAsia="Times New Roman"/>
          <w:color w:val="000000" w:themeColor="text1"/>
        </w:rPr>
      </w:pPr>
      <w:r w:rsidRPr="00A81971">
        <w:rPr>
          <w:rFonts w:eastAsia="Calibri"/>
          <w:color w:val="000000" w:themeColor="text1"/>
          <w:lang w:eastAsia="nl-NL"/>
        </w:rPr>
        <w:t>RTF used the information provided by the MLF</w:t>
      </w:r>
      <w:r w:rsidR="00327673" w:rsidRPr="00A81971">
        <w:rPr>
          <w:rFonts w:eastAsia="Calibri"/>
          <w:color w:val="000000" w:themeColor="text1"/>
          <w:lang w:eastAsia="nl-NL"/>
        </w:rPr>
        <w:t>S</w:t>
      </w:r>
      <w:r w:rsidRPr="00A81971">
        <w:rPr>
          <w:rFonts w:eastAsia="Calibri"/>
          <w:color w:val="000000" w:themeColor="text1"/>
          <w:lang w:eastAsia="nl-NL"/>
        </w:rPr>
        <w:t xml:space="preserve"> on CEs by investment projects (across different manufacturing sectors for approved KIPs)</w:t>
      </w:r>
      <w:r w:rsidR="00327673" w:rsidRPr="00A81971">
        <w:rPr>
          <w:rFonts w:eastAsia="Calibri"/>
          <w:color w:val="000000" w:themeColor="text1"/>
          <w:lang w:eastAsia="nl-NL"/>
        </w:rPr>
        <w:t xml:space="preserve"> </w:t>
      </w:r>
      <w:r w:rsidRPr="00A81971">
        <w:rPr>
          <w:rFonts w:eastAsia="Calibri"/>
          <w:color w:val="000000" w:themeColor="text1"/>
          <w:lang w:eastAsia="nl-NL"/>
        </w:rPr>
        <w:t xml:space="preserve">based on 37 HFC conversion projects in 18 parties. The CE values vary widely, from </w:t>
      </w:r>
      <w:r w:rsidRPr="00A81971">
        <w:rPr>
          <w:rFonts w:eastAsia="Times New Roman"/>
          <w:color w:val="000000" w:themeColor="text1"/>
        </w:rPr>
        <w:t xml:space="preserve">2.64 </w:t>
      </w:r>
      <w:r w:rsidR="00327673" w:rsidRPr="00A81971">
        <w:rPr>
          <w:rFonts w:eastAsia="Times New Roman"/>
          <w:color w:val="000000" w:themeColor="text1"/>
        </w:rPr>
        <w:t xml:space="preserve">US$/kg </w:t>
      </w:r>
      <w:r w:rsidRPr="00A81971">
        <w:rPr>
          <w:rFonts w:eastAsia="Times New Roman"/>
          <w:color w:val="000000" w:themeColor="text1"/>
        </w:rPr>
        <w:t xml:space="preserve">for </w:t>
      </w:r>
      <w:r w:rsidR="006B55CB" w:rsidRPr="00A81971">
        <w:rPr>
          <w:rFonts w:eastAsia="Times New Roman"/>
          <w:color w:val="000000" w:themeColor="text1"/>
        </w:rPr>
        <w:t>polyurethane (</w:t>
      </w:r>
      <w:r w:rsidRPr="00A81971">
        <w:rPr>
          <w:rFonts w:eastAsia="Times New Roman"/>
          <w:color w:val="000000" w:themeColor="text1"/>
        </w:rPr>
        <w:t>PU</w:t>
      </w:r>
      <w:r w:rsidR="006B55CB" w:rsidRPr="00A81971">
        <w:rPr>
          <w:rFonts w:eastAsia="Times New Roman"/>
          <w:color w:val="000000" w:themeColor="text1"/>
        </w:rPr>
        <w:t>)</w:t>
      </w:r>
      <w:r w:rsidRPr="00A81971">
        <w:rPr>
          <w:rFonts w:eastAsia="Times New Roman"/>
          <w:color w:val="000000" w:themeColor="text1"/>
        </w:rPr>
        <w:t xml:space="preserve"> foam to 116.8 </w:t>
      </w:r>
      <w:r w:rsidR="00327673" w:rsidRPr="00A81971">
        <w:rPr>
          <w:rFonts w:eastAsia="Times New Roman"/>
          <w:color w:val="000000" w:themeColor="text1"/>
        </w:rPr>
        <w:t xml:space="preserve">US$/kg </w:t>
      </w:r>
      <w:r w:rsidRPr="00A81971">
        <w:rPr>
          <w:rFonts w:eastAsia="Times New Roman"/>
          <w:color w:val="000000" w:themeColor="text1"/>
        </w:rPr>
        <w:t xml:space="preserve">for </w:t>
      </w:r>
      <w:r w:rsidR="006B55CB" w:rsidRPr="00A81971">
        <w:rPr>
          <w:rFonts w:eastAsia="Times New Roman"/>
          <w:color w:val="000000" w:themeColor="text1"/>
        </w:rPr>
        <w:t>mobile air conditioning (</w:t>
      </w:r>
      <w:r w:rsidRPr="00A81971">
        <w:rPr>
          <w:rFonts w:eastAsia="Times New Roman"/>
          <w:color w:val="000000" w:themeColor="text1"/>
        </w:rPr>
        <w:t>MAC</w:t>
      </w:r>
      <w:r w:rsidR="006B55CB" w:rsidRPr="00A81971">
        <w:rPr>
          <w:rFonts w:eastAsia="Times New Roman"/>
          <w:color w:val="000000" w:themeColor="text1"/>
        </w:rPr>
        <w:t>)</w:t>
      </w:r>
      <w:r w:rsidR="00C62F6D" w:rsidRPr="00A81971">
        <w:rPr>
          <w:rFonts w:eastAsia="Times New Roman"/>
          <w:color w:val="000000" w:themeColor="text1"/>
        </w:rPr>
        <w:t>.</w:t>
      </w:r>
      <w:r w:rsidRPr="00A81971">
        <w:rPr>
          <w:rFonts w:eastAsia="Times New Roman"/>
          <w:b/>
          <w:bCs/>
          <w:color w:val="000000" w:themeColor="text1"/>
        </w:rPr>
        <w:t xml:space="preserve"> </w:t>
      </w:r>
      <w:r w:rsidRPr="00A81971">
        <w:rPr>
          <w:rFonts w:eastAsia="Calibri"/>
          <w:color w:val="000000" w:themeColor="text1"/>
          <w:lang w:eastAsia="nl-NL"/>
        </w:rPr>
        <w:t>Chapter 3 details the CEs applied and the way RTF used the information provided by the MLFS.</w:t>
      </w:r>
      <w:r w:rsidR="00C62F6D" w:rsidRPr="00A81971">
        <w:rPr>
          <w:rFonts w:eastAsia="Calibri"/>
          <w:color w:val="000000" w:themeColor="text1"/>
          <w:lang w:eastAsia="nl-NL"/>
        </w:rPr>
        <w:t xml:space="preserve"> </w:t>
      </w:r>
      <w:r w:rsidRPr="00A81971">
        <w:rPr>
          <w:rFonts w:eastAsia="Times New Roman"/>
          <w:color w:val="000000" w:themeColor="text1"/>
        </w:rPr>
        <w:t xml:space="preserve">In order to estimate funding based on this new scenario, RTF applied the new sector CEs to the model for the “Updated RTF May Report Scenario 1” (low-end), using the same Resource Allocation Schedules A and B. </w:t>
      </w:r>
    </w:p>
    <w:p w14:paraId="08AC56BB" w14:textId="77777777" w:rsidR="00ED08F1" w:rsidRDefault="00ED08F1" w:rsidP="00327673">
      <w:pPr>
        <w:spacing w:after="0" w:line="259" w:lineRule="auto"/>
        <w:rPr>
          <w:rFonts w:eastAsia="Times New Roman"/>
          <w:color w:val="000000" w:themeColor="text1"/>
        </w:rPr>
      </w:pPr>
    </w:p>
    <w:p w14:paraId="5687F250" w14:textId="77777777" w:rsidR="003B5790" w:rsidRPr="00ED08F1" w:rsidRDefault="0032495C" w:rsidP="00ED08F1">
      <w:pPr>
        <w:pStyle w:val="ListParagraph"/>
        <w:numPr>
          <w:ilvl w:val="0"/>
          <w:numId w:val="73"/>
        </w:numPr>
        <w:spacing w:after="0" w:line="259" w:lineRule="auto"/>
        <w:rPr>
          <w:rFonts w:eastAsia="Calibri"/>
          <w:color w:val="000000"/>
          <w:lang w:eastAsia="nl-NL"/>
        </w:rPr>
      </w:pPr>
      <w:r w:rsidRPr="00ED08F1">
        <w:rPr>
          <w:rFonts w:eastAsia="Times New Roman"/>
          <w:b/>
          <w:bCs/>
          <w:lang w:eastAsia="nl-NL"/>
        </w:rPr>
        <w:t>The impact of applying new Scenario 1a for KIPs using Allocation Schedule A is a reduction of US$ 65.2 million</w:t>
      </w:r>
      <w:r w:rsidR="00130BFA" w:rsidRPr="00ED08F1">
        <w:rPr>
          <w:rFonts w:eastAsia="Times New Roman"/>
          <w:b/>
          <w:bCs/>
          <w:lang w:eastAsia="nl-NL"/>
        </w:rPr>
        <w:t xml:space="preserve"> and using</w:t>
      </w:r>
      <w:r w:rsidRPr="00ED08F1">
        <w:rPr>
          <w:rFonts w:eastAsia="Times New Roman"/>
          <w:b/>
          <w:bCs/>
          <w:lang w:eastAsia="nl-NL"/>
        </w:rPr>
        <w:t xml:space="preserve"> Allocation Schedule B is a reduction of US$ 38 million, as detailed in Chapter 3.</w:t>
      </w:r>
      <w:r w:rsidRPr="00ED08F1">
        <w:rPr>
          <w:rFonts w:eastAsia="Times New Roman"/>
          <w:lang w:eastAsia="nl-NL"/>
        </w:rPr>
        <w:t xml:space="preserve"> </w:t>
      </w:r>
    </w:p>
    <w:p w14:paraId="3867D19C" w14:textId="77777777" w:rsidR="003B5790" w:rsidRPr="00A81971" w:rsidRDefault="003B5790" w:rsidP="008C605D">
      <w:pPr>
        <w:spacing w:after="0" w:line="259" w:lineRule="auto"/>
        <w:ind w:left="708"/>
        <w:rPr>
          <w:rFonts w:eastAsia="Calibri"/>
          <w:color w:val="000000"/>
          <w:lang w:eastAsia="nl-NL"/>
        </w:rPr>
      </w:pPr>
    </w:p>
    <w:p w14:paraId="01E132C1" w14:textId="77777777" w:rsidR="003B5790" w:rsidRPr="00A81971" w:rsidRDefault="0032495C" w:rsidP="00796787">
      <w:pPr>
        <w:spacing w:after="0"/>
        <w:rPr>
          <w:rFonts w:eastAsia="Calibri"/>
          <w:color w:val="000000"/>
          <w:lang w:eastAsia="nl-NL"/>
        </w:rPr>
      </w:pPr>
      <w:r w:rsidRPr="00A81971">
        <w:rPr>
          <w:rFonts w:eastAsia="Calibri"/>
          <w:color w:val="000000" w:themeColor="text1"/>
          <w:lang w:eastAsia="nl-NL"/>
        </w:rPr>
        <w:t xml:space="preserve">The new funding estimates when applying </w:t>
      </w:r>
      <w:r w:rsidR="091457C3" w:rsidRPr="00A81971">
        <w:rPr>
          <w:rFonts w:eastAsia="Calibri"/>
          <w:b/>
          <w:bCs/>
          <w:color w:val="000000" w:themeColor="text1"/>
          <w:lang w:eastAsia="nl-NL"/>
        </w:rPr>
        <w:t>New Scenario</w:t>
      </w:r>
      <w:r w:rsidRPr="00A81971">
        <w:rPr>
          <w:rFonts w:eastAsia="Calibri"/>
          <w:b/>
          <w:bCs/>
          <w:color w:val="000000" w:themeColor="text1"/>
          <w:lang w:eastAsia="nl-NL"/>
        </w:rPr>
        <w:t xml:space="preserve"> 1a for KIPs</w:t>
      </w:r>
      <w:r w:rsidRPr="00A81971">
        <w:rPr>
          <w:rFonts w:eastAsia="Calibri"/>
          <w:color w:val="000000" w:themeColor="text1"/>
          <w:lang w:eastAsia="nl-NL"/>
        </w:rPr>
        <w:t xml:space="preserve"> </w:t>
      </w:r>
      <w:r w:rsidR="091457C3" w:rsidRPr="00A81971">
        <w:rPr>
          <w:rFonts w:eastAsia="Calibri"/>
          <w:color w:val="000000" w:themeColor="text1"/>
          <w:lang w:eastAsia="nl-NL"/>
        </w:rPr>
        <w:t>are</w:t>
      </w:r>
      <w:r w:rsidRPr="00A81971">
        <w:rPr>
          <w:rFonts w:eastAsia="Calibri"/>
          <w:color w:val="000000" w:themeColor="text1"/>
          <w:lang w:eastAsia="nl-NL"/>
        </w:rPr>
        <w:t xml:space="preserve"> summari</w:t>
      </w:r>
      <w:r w:rsidR="00C45803" w:rsidRPr="00A81971">
        <w:rPr>
          <w:rFonts w:eastAsia="Calibri"/>
          <w:color w:val="000000" w:themeColor="text1"/>
          <w:lang w:eastAsia="nl-NL"/>
        </w:rPr>
        <w:t>s</w:t>
      </w:r>
      <w:r w:rsidRPr="00A81971">
        <w:rPr>
          <w:rFonts w:eastAsia="Calibri"/>
          <w:color w:val="000000" w:themeColor="text1"/>
          <w:lang w:eastAsia="nl-NL"/>
        </w:rPr>
        <w:t>ed in Table ES</w:t>
      </w:r>
      <w:r w:rsidR="00C95B13">
        <w:rPr>
          <w:rFonts w:eastAsia="Calibri"/>
          <w:color w:val="000000" w:themeColor="text1"/>
          <w:lang w:eastAsia="nl-NL"/>
        </w:rPr>
        <w:t>.6</w:t>
      </w:r>
      <w:r w:rsidRPr="00A81971">
        <w:rPr>
          <w:rFonts w:eastAsia="Calibri"/>
          <w:color w:val="000000" w:themeColor="text1"/>
          <w:lang w:eastAsia="nl-NL"/>
        </w:rPr>
        <w:t>.</w:t>
      </w:r>
    </w:p>
    <w:p w14:paraId="3764CADD" w14:textId="77777777" w:rsidR="000A1B99" w:rsidRPr="00A81971" w:rsidRDefault="000A1B99" w:rsidP="003B5790">
      <w:pPr>
        <w:spacing w:after="0"/>
        <w:rPr>
          <w:rFonts w:eastAsia="Times New Roman"/>
          <w:lang w:eastAsia="nl-NL"/>
        </w:rPr>
      </w:pPr>
    </w:p>
    <w:p w14:paraId="30C75555" w14:textId="77777777" w:rsidR="003B5790" w:rsidRPr="00A81971" w:rsidRDefault="0032495C" w:rsidP="00C95B13">
      <w:pPr>
        <w:tabs>
          <w:tab w:val="left" w:pos="0"/>
          <w:tab w:val="left" w:pos="1276"/>
        </w:tabs>
        <w:spacing w:after="120"/>
        <w:ind w:left="1282" w:hanging="1282"/>
        <w:rPr>
          <w:b/>
          <w:bCs/>
        </w:rPr>
      </w:pPr>
      <w:r w:rsidRPr="2E7655E2">
        <w:rPr>
          <w:rFonts w:eastAsia="Yu Mincho"/>
          <w:b/>
          <w:bCs/>
          <w:color w:val="000000" w:themeColor="text1"/>
          <w:lang w:val="en-CA"/>
        </w:rPr>
        <w:t>Table ES.6:</w:t>
      </w:r>
      <w:r w:rsidR="00C95B13">
        <w:tab/>
      </w:r>
      <w:r w:rsidRPr="2E7655E2">
        <w:rPr>
          <w:rFonts w:eastAsia="Calibri"/>
          <w:b/>
          <w:bCs/>
          <w:color w:val="000000" w:themeColor="text1"/>
          <w:lang w:eastAsia="nl-NL"/>
        </w:rPr>
        <w:t>Summary of the 2027-2029 estimated funding for HFC phase-down applying Historical CEs (US$ million) *</w:t>
      </w:r>
      <w:r w:rsidR="00C95B13">
        <w:tab/>
      </w:r>
      <w:r w:rsidRPr="2E7655E2">
        <w:rPr>
          <w:rFonts w:eastAsia="Calibri"/>
          <w:b/>
          <w:bCs/>
          <w:color w:val="000000" w:themeColor="text1"/>
          <w:lang w:eastAsia="nl-NL"/>
        </w:rPr>
        <w:t xml:space="preserve"> </w:t>
      </w:r>
    </w:p>
    <w:tbl>
      <w:tblPr>
        <w:tblStyle w:val="TableGrid"/>
        <w:tblW w:w="9000" w:type="dxa"/>
        <w:tblInd w:w="-10" w:type="dxa"/>
        <w:tblLook w:val="04A0" w:firstRow="1" w:lastRow="0" w:firstColumn="1" w:lastColumn="0" w:noHBand="0" w:noVBand="1"/>
      </w:tblPr>
      <w:tblGrid>
        <w:gridCol w:w="2021"/>
        <w:gridCol w:w="1744"/>
        <w:gridCol w:w="1745"/>
        <w:gridCol w:w="1745"/>
        <w:gridCol w:w="1745"/>
      </w:tblGrid>
      <w:tr w:rsidR="00F90461" w14:paraId="112BE20E" w14:textId="77777777" w:rsidTr="00897002">
        <w:trPr>
          <w:trHeight w:val="1512"/>
        </w:trPr>
        <w:tc>
          <w:tcPr>
            <w:tcW w:w="2021"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6A216E93" w14:textId="77777777" w:rsidR="003B5790" w:rsidRPr="00A81971" w:rsidRDefault="0032495C" w:rsidP="00897002">
            <w:pPr>
              <w:spacing w:after="0"/>
              <w:jc w:val="center"/>
              <w:rPr>
                <w:rFonts w:eastAsia="Times New Roman"/>
                <w:b/>
                <w:bCs/>
                <w:u w:val="single"/>
                <w:lang w:eastAsia="zh-CN"/>
              </w:rPr>
            </w:pPr>
            <w:r w:rsidRPr="00A81971">
              <w:rPr>
                <w:rFonts w:eastAsia="Times New Roman"/>
                <w:b/>
                <w:bCs/>
                <w:lang w:eastAsia="zh-CN"/>
              </w:rPr>
              <w:t>HFCs Consumption and Production Sector Activities for Low-End Scenario 1 Allocation Schedules A and B</w:t>
            </w:r>
          </w:p>
        </w:tc>
        <w:tc>
          <w:tcPr>
            <w:tcW w:w="174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1F9BEF4C"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Updated May Report</w:t>
            </w:r>
          </w:p>
          <w:p w14:paraId="3C37EDAF"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2027-2029</w:t>
            </w:r>
          </w:p>
          <w:p w14:paraId="48A61975"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Scenario 1</w:t>
            </w:r>
          </w:p>
          <w:p w14:paraId="272B70E7"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Resource</w:t>
            </w:r>
          </w:p>
          <w:p w14:paraId="489707C3"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themeColor="text1"/>
                <w:u w:val="single"/>
                <w:lang w:eastAsia="zh-CN"/>
              </w:rPr>
              <w:t>Allocation A</w:t>
            </w:r>
          </w:p>
        </w:tc>
        <w:tc>
          <w:tcPr>
            <w:tcW w:w="1745"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6511A65E" w14:textId="77777777" w:rsidR="003B5790" w:rsidRPr="00A81971" w:rsidRDefault="0032495C" w:rsidP="00897002">
            <w:pPr>
              <w:spacing w:after="0"/>
              <w:jc w:val="center"/>
              <w:rPr>
                <w:rFonts w:eastAsia="Times New Roman"/>
                <w:b/>
                <w:bCs/>
                <w:color w:val="000000"/>
                <w:lang w:eastAsia="zh-CN"/>
              </w:rPr>
            </w:pPr>
            <w:r>
              <w:rPr>
                <w:rFonts w:eastAsia="Times New Roman"/>
                <w:b/>
                <w:bCs/>
                <w:color w:val="000000"/>
                <w:lang w:eastAsia="zh-CN"/>
              </w:rPr>
              <w:t>N</w:t>
            </w:r>
            <w:r w:rsidRPr="00A81971">
              <w:rPr>
                <w:rFonts w:eastAsia="Times New Roman"/>
                <w:b/>
                <w:bCs/>
                <w:color w:val="000000"/>
                <w:lang w:eastAsia="zh-CN"/>
              </w:rPr>
              <w:t>ew Scenario 1a (CE Historical)</w:t>
            </w:r>
          </w:p>
          <w:p w14:paraId="71285EE1"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Allocation A</w:t>
            </w:r>
          </w:p>
          <w:p w14:paraId="34CCCBCF" w14:textId="77777777" w:rsidR="003B5790" w:rsidRPr="00A81971" w:rsidRDefault="003B5790" w:rsidP="00897002">
            <w:pPr>
              <w:spacing w:after="0"/>
              <w:jc w:val="center"/>
              <w:rPr>
                <w:rFonts w:eastAsia="Times New Roman"/>
                <w:b/>
                <w:bCs/>
                <w:color w:val="000000"/>
                <w:u w:val="single"/>
                <w:lang w:eastAsia="zh-CN"/>
              </w:rPr>
            </w:pPr>
          </w:p>
        </w:tc>
        <w:tc>
          <w:tcPr>
            <w:tcW w:w="174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2FB39799"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Updated May Report</w:t>
            </w:r>
          </w:p>
          <w:p w14:paraId="17CB826E"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2027-2029</w:t>
            </w:r>
          </w:p>
          <w:p w14:paraId="75577220"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themeColor="text1"/>
                <w:lang w:eastAsia="zh-CN"/>
              </w:rPr>
              <w:t xml:space="preserve">Scenario 1 Resource </w:t>
            </w:r>
            <w:r w:rsidRPr="00A81971">
              <w:rPr>
                <w:rFonts w:eastAsia="Times New Roman"/>
                <w:b/>
                <w:bCs/>
                <w:color w:val="000000" w:themeColor="text1"/>
                <w:u w:val="single"/>
                <w:lang w:eastAsia="zh-CN"/>
              </w:rPr>
              <w:t>Allocation B</w:t>
            </w:r>
          </w:p>
        </w:tc>
        <w:tc>
          <w:tcPr>
            <w:tcW w:w="174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36C2305C" w14:textId="77777777" w:rsidR="003B5790" w:rsidRPr="00A81971" w:rsidRDefault="0032495C" w:rsidP="00897002">
            <w:pPr>
              <w:spacing w:after="0"/>
              <w:jc w:val="center"/>
              <w:rPr>
                <w:rFonts w:eastAsia="Times New Roman"/>
                <w:b/>
                <w:bCs/>
                <w:color w:val="000000"/>
                <w:lang w:eastAsia="zh-CN"/>
              </w:rPr>
            </w:pPr>
            <w:r w:rsidRPr="00A81971">
              <w:rPr>
                <w:rFonts w:eastAsia="Times New Roman"/>
                <w:b/>
                <w:bCs/>
                <w:color w:val="000000"/>
                <w:lang w:eastAsia="zh-CN"/>
              </w:rPr>
              <w:t>New Scenario 1a (CE Historical)</w:t>
            </w:r>
          </w:p>
          <w:p w14:paraId="52C60147" w14:textId="77777777" w:rsidR="003B5790" w:rsidRPr="00A81971" w:rsidRDefault="0032495C" w:rsidP="00897002">
            <w:pPr>
              <w:spacing w:after="0"/>
              <w:jc w:val="center"/>
              <w:rPr>
                <w:rFonts w:eastAsia="Times New Roman"/>
                <w:b/>
                <w:bCs/>
                <w:color w:val="000000"/>
                <w:u w:val="single"/>
                <w:lang w:eastAsia="zh-CN"/>
              </w:rPr>
            </w:pPr>
            <w:r w:rsidRPr="00A81971">
              <w:rPr>
                <w:rFonts w:eastAsia="Times New Roman"/>
                <w:b/>
                <w:bCs/>
                <w:color w:val="000000"/>
                <w:lang w:eastAsia="zh-CN"/>
              </w:rPr>
              <w:t>Allocation B</w:t>
            </w:r>
          </w:p>
        </w:tc>
      </w:tr>
      <w:tr w:rsidR="00F90461" w14:paraId="41EF5CDC" w14:textId="77777777" w:rsidTr="007F3540">
        <w:trPr>
          <w:trHeight w:val="285"/>
        </w:trPr>
        <w:tc>
          <w:tcPr>
            <w:tcW w:w="202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B8BDDB8" w14:textId="77777777" w:rsidR="003B5790" w:rsidRPr="00A81971" w:rsidRDefault="0032495C" w:rsidP="003B5790">
            <w:pPr>
              <w:spacing w:after="0"/>
              <w:rPr>
                <w:rFonts w:eastAsia="Times New Roman"/>
                <w:b/>
                <w:bCs/>
                <w:lang w:eastAsia="zh-CN"/>
              </w:rPr>
            </w:pPr>
            <w:r w:rsidRPr="00A81971">
              <w:rPr>
                <w:rFonts w:eastAsia="Times New Roman"/>
                <w:b/>
                <w:bCs/>
                <w:shd w:val="clear" w:color="auto" w:fill="E2EFD9"/>
                <w:lang w:eastAsia="zh-CN"/>
              </w:rPr>
              <w:t>New Scenario 1a</w:t>
            </w:r>
            <w:r w:rsidRPr="00A81971">
              <w:rPr>
                <w:rFonts w:eastAsia="Times New Roman"/>
                <w:b/>
                <w:bCs/>
                <w:lang w:eastAsia="zh-CN"/>
              </w:rPr>
              <w:t xml:space="preserve"> Reduction</w:t>
            </w:r>
          </w:p>
        </w:tc>
        <w:tc>
          <w:tcPr>
            <w:tcW w:w="17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5C33F" w14:textId="77777777" w:rsidR="003B5790" w:rsidRPr="00A81971" w:rsidRDefault="0032495C" w:rsidP="001F1931">
            <w:pPr>
              <w:spacing w:after="0"/>
              <w:jc w:val="center"/>
              <w:rPr>
                <w:rFonts w:eastAsia="Times New Roman"/>
                <w:color w:val="000000"/>
                <w:lang w:eastAsia="zh-CN"/>
              </w:rPr>
            </w:pPr>
            <w:r w:rsidRPr="00A81971">
              <w:rPr>
                <w:rFonts w:eastAsia="Times New Roman"/>
                <w:color w:val="000000"/>
                <w:lang w:eastAsia="zh-CN"/>
              </w:rPr>
              <w:t>NA</w:t>
            </w:r>
          </w:p>
        </w:tc>
        <w:tc>
          <w:tcPr>
            <w:tcW w:w="174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0E014D8" w14:textId="77777777" w:rsidR="003B5790" w:rsidRPr="00A81971" w:rsidRDefault="0032495C" w:rsidP="001F1931">
            <w:pPr>
              <w:spacing w:after="0"/>
              <w:jc w:val="center"/>
              <w:rPr>
                <w:rFonts w:eastAsia="Times New Roman"/>
                <w:color w:val="000000"/>
                <w:lang w:eastAsia="zh-CN"/>
              </w:rPr>
            </w:pPr>
            <w:r w:rsidRPr="00A81971">
              <w:rPr>
                <w:rFonts w:eastAsia="Times New Roman"/>
                <w:color w:val="000000"/>
                <w:lang w:eastAsia="zh-CN"/>
              </w:rPr>
              <w:t>65.2</w:t>
            </w:r>
          </w:p>
        </w:tc>
        <w:tc>
          <w:tcPr>
            <w:tcW w:w="17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C447D" w14:textId="77777777" w:rsidR="003B5790" w:rsidRPr="00A81971" w:rsidRDefault="0032495C" w:rsidP="001F1931">
            <w:pPr>
              <w:spacing w:after="0"/>
              <w:jc w:val="center"/>
              <w:rPr>
                <w:rFonts w:eastAsia="Times New Roman"/>
                <w:color w:val="000000"/>
                <w:lang w:eastAsia="zh-CN"/>
              </w:rPr>
            </w:pPr>
            <w:r w:rsidRPr="00A81971">
              <w:rPr>
                <w:rFonts w:eastAsia="Times New Roman"/>
                <w:color w:val="000000"/>
                <w:lang w:eastAsia="zh-CN"/>
              </w:rPr>
              <w:t>NA</w:t>
            </w:r>
          </w:p>
        </w:tc>
        <w:tc>
          <w:tcPr>
            <w:tcW w:w="174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332C34B9" w14:textId="77777777" w:rsidR="003B5790" w:rsidRPr="00A81971" w:rsidRDefault="0032495C" w:rsidP="001F1931">
            <w:pPr>
              <w:spacing w:after="0"/>
              <w:jc w:val="center"/>
              <w:rPr>
                <w:rFonts w:eastAsia="Times New Roman"/>
                <w:color w:val="000000"/>
                <w:lang w:eastAsia="zh-CN"/>
              </w:rPr>
            </w:pPr>
            <w:r w:rsidRPr="00A81971">
              <w:rPr>
                <w:rFonts w:eastAsia="Times New Roman"/>
                <w:color w:val="000000"/>
                <w:lang w:eastAsia="zh-CN"/>
              </w:rPr>
              <w:t>38</w:t>
            </w:r>
          </w:p>
        </w:tc>
      </w:tr>
      <w:tr w:rsidR="00F90461" w14:paraId="10A77E33" w14:textId="77777777" w:rsidTr="007F3540">
        <w:trPr>
          <w:trHeight w:val="285"/>
        </w:trPr>
        <w:tc>
          <w:tcPr>
            <w:tcW w:w="2021"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6CA363C" w14:textId="77777777" w:rsidR="003B5790" w:rsidRPr="00A81971" w:rsidRDefault="0032495C" w:rsidP="003B5790">
            <w:pPr>
              <w:spacing w:after="0"/>
              <w:rPr>
                <w:rFonts w:eastAsia="Times New Roman"/>
                <w:b/>
                <w:bCs/>
                <w:color w:val="000000"/>
                <w:lang w:eastAsia="zh-CN"/>
              </w:rPr>
            </w:pPr>
            <w:r w:rsidRPr="00A81971">
              <w:rPr>
                <w:rFonts w:eastAsia="Times New Roman"/>
                <w:b/>
                <w:bCs/>
                <w:color w:val="000000" w:themeColor="text1"/>
                <w:lang w:eastAsia="zh-CN"/>
              </w:rPr>
              <w:t>Total HFC Activities</w:t>
            </w:r>
          </w:p>
        </w:tc>
        <w:tc>
          <w:tcPr>
            <w:tcW w:w="174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68F508B" w14:textId="77777777" w:rsidR="003B5790" w:rsidRPr="00A81971" w:rsidRDefault="0032495C" w:rsidP="001F1931">
            <w:pPr>
              <w:spacing w:after="0"/>
              <w:jc w:val="center"/>
              <w:rPr>
                <w:rFonts w:eastAsia="Times New Roman"/>
                <w:b/>
                <w:bCs/>
                <w:color w:val="000000"/>
                <w:lang w:eastAsia="zh-CN"/>
              </w:rPr>
            </w:pPr>
            <w:r w:rsidRPr="00A81971">
              <w:rPr>
                <w:rFonts w:eastAsia="Times New Roman"/>
                <w:b/>
                <w:bCs/>
                <w:color w:val="000000"/>
                <w:lang w:eastAsia="zh-CN"/>
              </w:rPr>
              <w:t>96</w:t>
            </w:r>
            <w:r w:rsidR="00543A1A">
              <w:rPr>
                <w:rFonts w:eastAsia="Times New Roman"/>
                <w:b/>
                <w:bCs/>
                <w:color w:val="000000"/>
                <w:lang w:eastAsia="zh-CN"/>
              </w:rPr>
              <w:t>2</w:t>
            </w:r>
          </w:p>
        </w:tc>
        <w:tc>
          <w:tcPr>
            <w:tcW w:w="1745" w:type="dxa"/>
            <w:tcBorders>
              <w:top w:val="single" w:sz="8" w:space="0" w:color="auto"/>
              <w:left w:val="single" w:sz="8" w:space="0" w:color="auto"/>
              <w:bottom w:val="single" w:sz="8" w:space="0" w:color="auto"/>
              <w:right w:val="single" w:sz="8" w:space="0" w:color="auto"/>
            </w:tcBorders>
            <w:shd w:val="clear" w:color="auto" w:fill="FFFF00"/>
            <w:vAlign w:val="center"/>
          </w:tcPr>
          <w:p w14:paraId="2311DFE8" w14:textId="77777777" w:rsidR="003B5790" w:rsidRPr="00A81971" w:rsidRDefault="0032495C" w:rsidP="001F1931">
            <w:pPr>
              <w:spacing w:after="0"/>
              <w:jc w:val="center"/>
              <w:rPr>
                <w:rFonts w:eastAsia="Times New Roman"/>
                <w:b/>
                <w:bCs/>
                <w:color w:val="000000"/>
                <w:lang w:eastAsia="zh-CN"/>
              </w:rPr>
            </w:pPr>
            <w:r w:rsidRPr="00A81971">
              <w:rPr>
                <w:rFonts w:eastAsia="Times New Roman"/>
                <w:b/>
                <w:bCs/>
                <w:color w:val="000000"/>
                <w:lang w:eastAsia="zh-CN"/>
              </w:rPr>
              <w:t>896</w:t>
            </w:r>
          </w:p>
        </w:tc>
        <w:tc>
          <w:tcPr>
            <w:tcW w:w="174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FC780F9" w14:textId="77777777" w:rsidR="003B5790" w:rsidRPr="00A81971" w:rsidRDefault="0032495C" w:rsidP="001F1931">
            <w:pPr>
              <w:spacing w:after="0"/>
              <w:jc w:val="center"/>
              <w:rPr>
                <w:rFonts w:eastAsia="Times New Roman"/>
                <w:b/>
                <w:bCs/>
                <w:color w:val="000000"/>
                <w:lang w:eastAsia="zh-CN"/>
              </w:rPr>
            </w:pPr>
            <w:r w:rsidRPr="00A81971">
              <w:rPr>
                <w:rFonts w:eastAsia="Times New Roman"/>
                <w:b/>
                <w:bCs/>
                <w:color w:val="000000"/>
                <w:lang w:eastAsia="zh-CN"/>
              </w:rPr>
              <w:t>663</w:t>
            </w:r>
          </w:p>
        </w:tc>
        <w:tc>
          <w:tcPr>
            <w:tcW w:w="174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23ABCB6B" w14:textId="77777777" w:rsidR="003B5790" w:rsidRPr="00A81971" w:rsidRDefault="0032495C" w:rsidP="001F1931">
            <w:pPr>
              <w:spacing w:after="0"/>
              <w:jc w:val="center"/>
              <w:rPr>
                <w:rFonts w:eastAsia="Times New Roman"/>
                <w:b/>
                <w:bCs/>
                <w:color w:val="000000"/>
                <w:lang w:eastAsia="zh-CN"/>
              </w:rPr>
            </w:pPr>
            <w:r w:rsidRPr="00A81971">
              <w:rPr>
                <w:rFonts w:eastAsia="Times New Roman"/>
                <w:b/>
                <w:bCs/>
                <w:color w:val="000000"/>
                <w:lang w:eastAsia="zh-CN"/>
              </w:rPr>
              <w:t>625</w:t>
            </w:r>
          </w:p>
        </w:tc>
      </w:tr>
    </w:tbl>
    <w:p w14:paraId="04A11218" w14:textId="77777777" w:rsidR="003B5790" w:rsidRPr="00322A5C" w:rsidRDefault="0032495C" w:rsidP="003B5790">
      <w:pPr>
        <w:rPr>
          <w:rFonts w:eastAsia="Calibri"/>
          <w:color w:val="000000"/>
          <w:sz w:val="18"/>
          <w:szCs w:val="18"/>
          <w:lang w:eastAsia="nl-NL"/>
        </w:rPr>
      </w:pPr>
      <w:r w:rsidRPr="00322A5C">
        <w:rPr>
          <w:rFonts w:eastAsia="Calibri"/>
          <w:color w:val="000000" w:themeColor="text1"/>
          <w:sz w:val="18"/>
          <w:szCs w:val="18"/>
          <w:lang w:eastAsia="nl-NL"/>
        </w:rPr>
        <w:t>*</w:t>
      </w:r>
      <w:r w:rsidRPr="00322A5C">
        <w:rPr>
          <w:rFonts w:eastAsia="Times New Roman"/>
          <w:color w:val="000000" w:themeColor="text1"/>
          <w:sz w:val="18"/>
          <w:szCs w:val="18"/>
        </w:rPr>
        <w:t xml:space="preserve">Compared with Updated </w:t>
      </w:r>
      <w:r w:rsidR="00BE4A90" w:rsidRPr="00322A5C">
        <w:rPr>
          <w:rFonts w:eastAsia="Times New Roman"/>
          <w:color w:val="000000" w:themeColor="text1"/>
          <w:sz w:val="18"/>
          <w:szCs w:val="18"/>
        </w:rPr>
        <w:t xml:space="preserve">RTF </w:t>
      </w:r>
      <w:r w:rsidRPr="00322A5C">
        <w:rPr>
          <w:rFonts w:eastAsia="Times New Roman"/>
          <w:color w:val="000000" w:themeColor="text1"/>
          <w:sz w:val="18"/>
          <w:szCs w:val="18"/>
        </w:rPr>
        <w:t xml:space="preserve">May </w:t>
      </w:r>
      <w:r w:rsidR="00BE4A90" w:rsidRPr="00322A5C">
        <w:rPr>
          <w:rFonts w:eastAsia="Times New Roman"/>
          <w:color w:val="000000" w:themeColor="text1"/>
          <w:sz w:val="18"/>
          <w:szCs w:val="18"/>
        </w:rPr>
        <w:t>R</w:t>
      </w:r>
      <w:r w:rsidRPr="00322A5C">
        <w:rPr>
          <w:rFonts w:eastAsia="Times New Roman"/>
          <w:color w:val="000000" w:themeColor="text1"/>
          <w:sz w:val="18"/>
          <w:szCs w:val="18"/>
        </w:rPr>
        <w:t>eport</w:t>
      </w:r>
      <w:r w:rsidR="00BE4A90" w:rsidRPr="00322A5C">
        <w:rPr>
          <w:rFonts w:eastAsia="Times New Roman"/>
          <w:color w:val="000000" w:themeColor="text1"/>
          <w:sz w:val="18"/>
          <w:szCs w:val="18"/>
        </w:rPr>
        <w:t xml:space="preserve"> Scenario 1</w:t>
      </w:r>
      <w:r w:rsidRPr="00322A5C">
        <w:rPr>
          <w:rFonts w:eastAsia="Times New Roman"/>
          <w:color w:val="000000" w:themeColor="text1"/>
          <w:sz w:val="18"/>
          <w:szCs w:val="18"/>
        </w:rPr>
        <w:t>, low-end. S</w:t>
      </w:r>
      <w:r w:rsidRPr="00322A5C">
        <w:rPr>
          <w:rFonts w:eastAsia="Times New Roman"/>
          <w:sz w:val="18"/>
          <w:szCs w:val="18"/>
        </w:rPr>
        <w:t>ome numbers may differ slightly due to rounding</w:t>
      </w:r>
    </w:p>
    <w:p w14:paraId="323FD299" w14:textId="77777777" w:rsidR="003B5790" w:rsidRPr="00A81971" w:rsidRDefault="0032495C" w:rsidP="003B5790">
      <w:pPr>
        <w:spacing w:before="240"/>
        <w:rPr>
          <w:rFonts w:eastAsia="Times New Roman"/>
          <w:u w:val="single"/>
          <w:lang w:eastAsia="nl-NL"/>
        </w:rPr>
      </w:pPr>
      <w:r w:rsidRPr="00A81971">
        <w:rPr>
          <w:rFonts w:eastAsia="Times New Roman"/>
          <w:b/>
          <w:i/>
          <w:iCs/>
          <w:color w:val="000000"/>
          <w:lang w:eastAsia="nl-NL"/>
        </w:rPr>
        <w:t xml:space="preserve">New Scenario 1b for KIPs: Based on </w:t>
      </w:r>
      <w:r w:rsidRPr="00A81971">
        <w:rPr>
          <w:rFonts w:eastAsia="Times New Roman"/>
          <w:b/>
          <w:i/>
          <w:iCs/>
          <w:lang w:eastAsia="nl-NL"/>
        </w:rPr>
        <w:t>CE factors for each A5 party over the past 6 years</w:t>
      </w:r>
    </w:p>
    <w:p w14:paraId="557F140B" w14:textId="77777777" w:rsidR="003B5790" w:rsidRPr="00A81971" w:rsidRDefault="0032495C" w:rsidP="002F6410">
      <w:pPr>
        <w:spacing w:before="240"/>
        <w:rPr>
          <w:rFonts w:eastAsia="Times New Roman"/>
          <w:color w:val="000000"/>
          <w:lang w:eastAsia="nl-NL"/>
        </w:rPr>
      </w:pPr>
      <w:r w:rsidRPr="00A81971">
        <w:rPr>
          <w:rFonts w:eastAsia="Times New Roman"/>
          <w:color w:val="000000" w:themeColor="text1"/>
          <w:lang w:eastAsia="nl-NL"/>
        </w:rPr>
        <w:t xml:space="preserve">It was not feasible for RTF to address this </w:t>
      </w:r>
      <w:r w:rsidRPr="00A81971">
        <w:rPr>
          <w:rFonts w:eastAsia="Times New Roman"/>
          <w:lang w:eastAsia="nl-NL"/>
        </w:rPr>
        <w:t xml:space="preserve">request for lack of information on CE factors for each A5 party over the past 6 years. </w:t>
      </w:r>
      <w:r w:rsidRPr="00A81971">
        <w:rPr>
          <w:rFonts w:eastAsia="Times New Roman"/>
          <w:color w:val="000000" w:themeColor="text1"/>
          <w:lang w:eastAsia="nl-NL"/>
        </w:rPr>
        <w:t xml:space="preserve">While CEs for 37 HFC investment projects in 18 countries in the period 2020-2025 were compiled by the MLFS and shared with RTF, the information was used to calculate the estimated funding under Scenario 1a- for KIPs (historical CE). No additional information was </w:t>
      </w:r>
      <w:r w:rsidRPr="00A81971">
        <w:rPr>
          <w:rFonts w:eastAsia="Times New Roman"/>
          <w:color w:val="000000" w:themeColor="text1"/>
          <w:lang w:eastAsia="nl-NL"/>
        </w:rPr>
        <w:lastRenderedPageBreak/>
        <w:t>available or could be compiled for each party. Many of the 91 approved KIPs are for LVC countries</w:t>
      </w:r>
      <w:r w:rsidR="6DF386AC" w:rsidRPr="00A81971">
        <w:rPr>
          <w:rFonts w:eastAsia="Times New Roman"/>
          <w:color w:val="000000" w:themeColor="text1"/>
          <w:lang w:eastAsia="nl-NL"/>
        </w:rPr>
        <w:t xml:space="preserve"> </w:t>
      </w:r>
      <w:r w:rsidRPr="00A81971">
        <w:rPr>
          <w:rFonts w:eastAsia="Times New Roman"/>
          <w:color w:val="000000" w:themeColor="text1"/>
          <w:lang w:eastAsia="nl-NL"/>
        </w:rPr>
        <w:t>(</w:t>
      </w:r>
      <w:r w:rsidR="46FAF9C3" w:rsidRPr="00A81971">
        <w:rPr>
          <w:rFonts w:eastAsia="Times New Roman"/>
          <w:color w:val="000000" w:themeColor="text1"/>
          <w:lang w:eastAsia="nl-NL"/>
        </w:rPr>
        <w:t>with only servicing sector</w:t>
      </w:r>
      <w:r w:rsidRPr="00A81971">
        <w:rPr>
          <w:rFonts w:eastAsia="Times New Roman"/>
          <w:color w:val="000000" w:themeColor="text1"/>
          <w:lang w:eastAsia="nl-NL"/>
        </w:rPr>
        <w:t>).</w:t>
      </w:r>
    </w:p>
    <w:p w14:paraId="0730C962" w14:textId="77777777" w:rsidR="003B5790" w:rsidRPr="00A81971" w:rsidRDefault="0032495C" w:rsidP="003B5790">
      <w:pPr>
        <w:rPr>
          <w:rFonts w:eastAsia="Calibri"/>
          <w:b/>
          <w:bCs/>
          <w:i/>
          <w:iCs/>
          <w:color w:val="000000"/>
          <w:lang w:eastAsia="nl-NL"/>
        </w:rPr>
      </w:pPr>
      <w:r w:rsidRPr="00A81971">
        <w:rPr>
          <w:rFonts w:eastAsia="Calibri"/>
          <w:b/>
          <w:bCs/>
          <w:i/>
          <w:iCs/>
          <w:color w:val="000000"/>
          <w:lang w:eastAsia="nl-NL"/>
        </w:rPr>
        <w:t xml:space="preserve">New </w:t>
      </w:r>
      <w:r w:rsidRPr="00A81971">
        <w:rPr>
          <w:rFonts w:eastAsia="Calibri"/>
          <w:b/>
          <w:bCs/>
          <w:i/>
          <w:iCs/>
          <w:color w:val="000000"/>
        </w:rPr>
        <w:t>Scenario 1</w:t>
      </w:r>
      <w:r w:rsidRPr="00A81971">
        <w:rPr>
          <w:rFonts w:eastAsia="Calibri"/>
          <w:b/>
          <w:bCs/>
          <w:i/>
          <w:iCs/>
          <w:color w:val="000000"/>
          <w:lang w:eastAsia="nl-NL"/>
        </w:rPr>
        <w:t>c for KIPs: CEs based on average funding levels for each A5 party over the past 6 years</w:t>
      </w:r>
    </w:p>
    <w:p w14:paraId="75AA70D7" w14:textId="77777777" w:rsidR="003B5790" w:rsidRPr="00A81971" w:rsidRDefault="0032495C" w:rsidP="002F6410">
      <w:pPr>
        <w:rPr>
          <w:rFonts w:eastAsia="Calibri"/>
          <w:color w:val="000000"/>
          <w:lang w:eastAsia="nl-NL"/>
        </w:rPr>
      </w:pPr>
      <w:r w:rsidRPr="00A81971">
        <w:rPr>
          <w:rFonts w:eastAsia="Calibri"/>
          <w:color w:val="000000" w:themeColor="text1"/>
          <w:lang w:eastAsia="nl-NL"/>
        </w:rPr>
        <w:t>MLFS provided for each A5 party with approved KIP, the funding level for that KIP for the last 6 years (2020-2025</w:t>
      </w:r>
      <w:r w:rsidR="46A3B0F3" w:rsidRPr="00A81971">
        <w:rPr>
          <w:rFonts w:eastAsia="Calibri"/>
          <w:color w:val="000000" w:themeColor="text1"/>
          <w:lang w:eastAsia="nl-NL"/>
        </w:rPr>
        <w:t xml:space="preserve">). Information is </w:t>
      </w:r>
      <w:r w:rsidRPr="00A81971">
        <w:rPr>
          <w:rFonts w:eastAsia="Calibri"/>
          <w:color w:val="000000" w:themeColor="text1"/>
          <w:lang w:eastAsia="nl-NL"/>
        </w:rPr>
        <w:t xml:space="preserve">presented in Chapter 3. From this information, </w:t>
      </w:r>
      <w:r w:rsidR="46A3B0F3" w:rsidRPr="00A81971">
        <w:rPr>
          <w:rFonts w:eastAsia="Calibri"/>
          <w:color w:val="000000" w:themeColor="text1"/>
          <w:lang w:eastAsia="nl-NL"/>
        </w:rPr>
        <w:t>it</w:t>
      </w:r>
      <w:r w:rsidRPr="00A81971">
        <w:rPr>
          <w:rFonts w:eastAsia="Calibri"/>
          <w:color w:val="000000" w:themeColor="text1"/>
          <w:lang w:eastAsia="nl-NL"/>
        </w:rPr>
        <w:t xml:space="preserve"> was </w:t>
      </w:r>
      <w:r w:rsidR="46A3B0F3" w:rsidRPr="00A81971">
        <w:rPr>
          <w:rFonts w:eastAsia="Calibri"/>
          <w:color w:val="000000" w:themeColor="text1"/>
          <w:lang w:eastAsia="nl-NL"/>
        </w:rPr>
        <w:t>not feasible</w:t>
      </w:r>
      <w:r w:rsidRPr="00A81971">
        <w:rPr>
          <w:rFonts w:eastAsia="Calibri"/>
          <w:color w:val="000000" w:themeColor="text1"/>
          <w:lang w:eastAsia="nl-NL"/>
        </w:rPr>
        <w:t xml:space="preserve"> to extract CEs thresholds based on the average funding for each party for the period 2020-2025. The definition of CEs thresholds used by the MLF is sector-based, and generating CEs from funding received in a 6-year period represents a new concept which requires discussion based on proper understanding of its desired output. RTF discussed with the MLFS, and the understanding was that without an ExCom approved metric to define CEs from average funding levels to be applied to all parties, the RTF could only present without further analysis the financial data compiled on the funding amounts per party in the 2020-2025 period. There are a large number of LVCs and smaller countries with KIPs approved; funding information available for approved KIPs does not include the largest HFC consumption party nor all the G1 parties under the “top 10” cluster consumption category (that did not have a KIP approved as of ExCom-97), and none of the G2 parties who do not have an approved KIP. Therefore, RTF could not derive CEs based on funding information that is missing for </w:t>
      </w:r>
      <w:r w:rsidR="496D4DD1" w:rsidRPr="00A81971">
        <w:rPr>
          <w:rFonts w:eastAsia="Calibri"/>
          <w:color w:val="000000" w:themeColor="text1"/>
          <w:lang w:eastAsia="nl-NL"/>
        </w:rPr>
        <w:t xml:space="preserve">a </w:t>
      </w:r>
      <w:r w:rsidRPr="00A81971">
        <w:rPr>
          <w:rFonts w:eastAsia="Calibri"/>
          <w:color w:val="000000" w:themeColor="text1"/>
          <w:lang w:eastAsia="nl-NL"/>
        </w:rPr>
        <w:t>significant number of large consuming parties and therefore cannot be representative of all A5 parties.</w:t>
      </w:r>
    </w:p>
    <w:p w14:paraId="26B7E9CF" w14:textId="77777777" w:rsidR="003B5790" w:rsidRPr="00A81971" w:rsidRDefault="0032495C" w:rsidP="46A3B0F3">
      <w:pPr>
        <w:spacing w:after="0"/>
        <w:rPr>
          <w:rFonts w:eastAsia="Calibri"/>
          <w:color w:val="000000" w:themeColor="text1"/>
          <w:lang w:eastAsia="nl-NL"/>
        </w:rPr>
      </w:pPr>
      <w:r w:rsidRPr="00A81971">
        <w:rPr>
          <w:rFonts w:eastAsia="Calibri"/>
          <w:color w:val="000000" w:themeColor="text1"/>
          <w:lang w:eastAsia="nl-NL"/>
        </w:rPr>
        <w:t>Table ES</w:t>
      </w:r>
      <w:r w:rsidR="00C95B13">
        <w:rPr>
          <w:rFonts w:eastAsia="Calibri"/>
          <w:color w:val="000000" w:themeColor="text1"/>
          <w:lang w:eastAsia="nl-NL"/>
        </w:rPr>
        <w:t>.7</w:t>
      </w:r>
      <w:r w:rsidRPr="00A81971">
        <w:rPr>
          <w:rFonts w:eastAsia="Calibri"/>
          <w:color w:val="000000" w:themeColor="text1"/>
          <w:lang w:eastAsia="nl-NL"/>
        </w:rPr>
        <w:t xml:space="preserve"> summari</w:t>
      </w:r>
      <w:r w:rsidR="00992EF5">
        <w:rPr>
          <w:rFonts w:eastAsia="Calibri"/>
          <w:color w:val="000000" w:themeColor="text1"/>
          <w:lang w:eastAsia="nl-NL"/>
        </w:rPr>
        <w:t>s</w:t>
      </w:r>
      <w:r w:rsidRPr="00A81971">
        <w:rPr>
          <w:rFonts w:eastAsia="Calibri"/>
          <w:color w:val="000000" w:themeColor="text1"/>
          <w:lang w:eastAsia="nl-NL"/>
        </w:rPr>
        <w:t xml:space="preserve">es the estimated funding for HFC activities comparing the </w:t>
      </w:r>
      <w:r w:rsidRPr="00A81971">
        <w:rPr>
          <w:rFonts w:eastAsia="Calibri"/>
          <w:b/>
          <w:bCs/>
          <w:color w:val="000000" w:themeColor="text1"/>
          <w:lang w:eastAsia="nl-NL"/>
        </w:rPr>
        <w:t>New Scenario 1a for KIPs</w:t>
      </w:r>
      <w:r w:rsidRPr="00A81971">
        <w:rPr>
          <w:rFonts w:eastAsia="Calibri"/>
          <w:color w:val="000000" w:themeColor="text1"/>
          <w:lang w:eastAsia="nl-NL"/>
        </w:rPr>
        <w:t xml:space="preserve"> with the "Updated </w:t>
      </w:r>
      <w:r w:rsidR="00231FF3" w:rsidRPr="00A81971">
        <w:rPr>
          <w:rFonts w:eastAsia="Calibri"/>
          <w:color w:val="000000" w:themeColor="text1"/>
          <w:lang w:eastAsia="nl-NL"/>
        </w:rPr>
        <w:t xml:space="preserve">RTF </w:t>
      </w:r>
      <w:r w:rsidRPr="00A81971">
        <w:rPr>
          <w:rFonts w:eastAsia="Calibri"/>
          <w:color w:val="000000" w:themeColor="text1"/>
          <w:lang w:eastAsia="nl-NL"/>
        </w:rPr>
        <w:t>May Report" and providing a low- and high-end funding range.</w:t>
      </w:r>
    </w:p>
    <w:p w14:paraId="78916DDB" w14:textId="77777777" w:rsidR="004C6347" w:rsidRDefault="004C6347">
      <w:pPr>
        <w:spacing w:after="0"/>
        <w:rPr>
          <w:rFonts w:eastAsia="Yu Mincho"/>
          <w:b/>
          <w:bCs/>
          <w:color w:val="000000"/>
          <w:lang w:val="en-CA"/>
        </w:rPr>
      </w:pPr>
    </w:p>
    <w:p w14:paraId="7E306B95" w14:textId="77777777" w:rsidR="004C6347" w:rsidRDefault="0032495C" w:rsidP="004C6347">
      <w:pPr>
        <w:tabs>
          <w:tab w:val="left" w:pos="0"/>
          <w:tab w:val="left" w:pos="1276"/>
        </w:tabs>
        <w:spacing w:after="120"/>
        <w:ind w:left="1282" w:hanging="1282"/>
        <w:rPr>
          <w:rFonts w:eastAsia="Calibri"/>
          <w:b/>
          <w:bCs/>
          <w:color w:val="000000" w:themeColor="text1"/>
          <w:lang w:eastAsia="nl-NL"/>
        </w:rPr>
      </w:pPr>
      <w:r w:rsidRPr="0006445E">
        <w:rPr>
          <w:rFonts w:eastAsia="Yu Mincho"/>
          <w:b/>
          <w:bCs/>
          <w:color w:val="000000"/>
          <w:lang w:val="en-CA"/>
        </w:rPr>
        <w:t xml:space="preserve">Table </w:t>
      </w:r>
      <w:r>
        <w:rPr>
          <w:rFonts w:eastAsia="Yu Mincho"/>
          <w:b/>
          <w:bCs/>
          <w:color w:val="000000"/>
          <w:lang w:val="en-CA"/>
        </w:rPr>
        <w:t>ES.7:</w:t>
      </w:r>
      <w:r w:rsidRPr="0006445E">
        <w:rPr>
          <w:rFonts w:eastAsia="Times New Roman"/>
          <w:color w:val="000000"/>
          <w:lang w:val="en-CA"/>
        </w:rPr>
        <w:tab/>
      </w:r>
      <w:r w:rsidRPr="00A81971">
        <w:rPr>
          <w:rFonts w:eastAsia="Calibri"/>
          <w:b/>
          <w:bCs/>
          <w:color w:val="000000" w:themeColor="text1"/>
          <w:lang w:eastAsia="nl-NL"/>
        </w:rPr>
        <w:t>Summary of estimated funding 2027-2029 for HFC phase-down applying New Scenario 1a and compared to Updated RTF May Report estimates (US$ million)</w:t>
      </w:r>
    </w:p>
    <w:p w14:paraId="229C2B3E" w14:textId="77777777" w:rsidR="004C6347" w:rsidRPr="00A81971" w:rsidRDefault="004C6347" w:rsidP="004C6347">
      <w:pPr>
        <w:tabs>
          <w:tab w:val="left" w:pos="0"/>
          <w:tab w:val="left" w:pos="1276"/>
        </w:tabs>
        <w:spacing w:after="120"/>
        <w:ind w:left="1282" w:hanging="1282"/>
        <w:rPr>
          <w:rFonts w:eastAsia="Calibri"/>
          <w:b/>
          <w:bCs/>
          <w:color w:val="000000" w:themeColor="text1"/>
          <w:lang w:eastAsia="nl-N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92"/>
        <w:gridCol w:w="2835"/>
        <w:gridCol w:w="2743"/>
      </w:tblGrid>
      <w:tr w:rsidR="00F90461" w14:paraId="7F12DE71" w14:textId="77777777" w:rsidTr="34B0439A">
        <w:trPr>
          <w:trHeight w:val="60"/>
        </w:trPr>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5C33A397" w14:textId="77777777" w:rsidR="003B5790" w:rsidRPr="00A81971" w:rsidRDefault="0032495C" w:rsidP="00CF2612">
            <w:pPr>
              <w:spacing w:after="0"/>
              <w:jc w:val="center"/>
              <w:rPr>
                <w:rFonts w:eastAsia="Times New Roman"/>
                <w:color w:val="000000"/>
              </w:rPr>
            </w:pPr>
            <w:r w:rsidRPr="00A81971">
              <w:rPr>
                <w:rFonts w:eastAsia="Times New Roman"/>
                <w:b/>
                <w:bCs/>
                <w:color w:val="000000"/>
              </w:rPr>
              <w:t>2027-2029 Triennium</w:t>
            </w:r>
          </w:p>
        </w:tc>
        <w:tc>
          <w:tcPr>
            <w:tcW w:w="2835"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4417CF4B" w14:textId="4AED287D" w:rsidR="003B5790" w:rsidRPr="00A81971" w:rsidRDefault="0032495C" w:rsidP="003B5790">
            <w:pPr>
              <w:spacing w:after="0"/>
              <w:jc w:val="center"/>
              <w:rPr>
                <w:rFonts w:eastAsia="Times New Roman"/>
                <w:color w:val="000000"/>
              </w:rPr>
            </w:pPr>
            <w:r w:rsidRPr="00A81971">
              <w:rPr>
                <w:rFonts w:eastAsia="Times New Roman"/>
                <w:b/>
                <w:bCs/>
                <w:color w:val="000000"/>
              </w:rPr>
              <w:t xml:space="preserve">Updated </w:t>
            </w:r>
            <w:r w:rsidRPr="00A81971">
              <w:rPr>
                <w:rFonts w:eastAsia="Times New Roman"/>
                <w:b/>
                <w:bCs/>
              </w:rPr>
              <w:t xml:space="preserve">May Report Estimates </w:t>
            </w:r>
          </w:p>
        </w:tc>
        <w:tc>
          <w:tcPr>
            <w:tcW w:w="274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0783840" w14:textId="77777777" w:rsidR="003B5790" w:rsidRPr="00A81971" w:rsidRDefault="0032495C" w:rsidP="003B5790">
            <w:pPr>
              <w:spacing w:after="0"/>
              <w:jc w:val="center"/>
              <w:rPr>
                <w:rFonts w:eastAsia="Times New Roman"/>
                <w:b/>
                <w:bCs/>
                <w:color w:val="000000"/>
              </w:rPr>
            </w:pPr>
            <w:r w:rsidRPr="00A81971">
              <w:rPr>
                <w:rFonts w:eastAsia="Times New Roman"/>
                <w:b/>
                <w:bCs/>
                <w:color w:val="000000"/>
              </w:rPr>
              <w:t>Supplementary Report Estimates Applying New Scenarios</w:t>
            </w:r>
          </w:p>
        </w:tc>
      </w:tr>
      <w:tr w:rsidR="00F90461" w14:paraId="1348E988" w14:textId="77777777" w:rsidTr="00285E46">
        <w:trPr>
          <w:trHeight w:val="729"/>
        </w:trPr>
        <w:tc>
          <w:tcPr>
            <w:tcW w:w="3392" w:type="dxa"/>
            <w:tcBorders>
              <w:top w:val="single" w:sz="8" w:space="0" w:color="auto"/>
              <w:left w:val="single" w:sz="8" w:space="0" w:color="auto"/>
              <w:bottom w:val="single" w:sz="8" w:space="0" w:color="auto"/>
              <w:right w:val="single" w:sz="8" w:space="0" w:color="auto"/>
            </w:tcBorders>
            <w:shd w:val="clear" w:color="auto" w:fill="FFFF00"/>
            <w:vAlign w:val="center"/>
          </w:tcPr>
          <w:p w14:paraId="11EC842C" w14:textId="77777777" w:rsidR="003B5790" w:rsidRPr="00285E46" w:rsidRDefault="0032495C" w:rsidP="00285E46">
            <w:pPr>
              <w:spacing w:after="0"/>
              <w:jc w:val="center"/>
              <w:rPr>
                <w:rFonts w:eastAsia="Times New Roman"/>
                <w:b/>
                <w:bCs/>
                <w:color w:val="000000"/>
              </w:rPr>
            </w:pPr>
            <w:r w:rsidRPr="00A81971">
              <w:rPr>
                <w:rFonts w:eastAsia="Times New Roman"/>
                <w:b/>
                <w:bCs/>
                <w:color w:val="000000" w:themeColor="text1"/>
              </w:rPr>
              <w:t xml:space="preserve">SUBTOTAL – HFC </w:t>
            </w:r>
            <w:r w:rsidR="350041B7" w:rsidRPr="00A81971">
              <w:rPr>
                <w:rFonts w:eastAsia="Times New Roman"/>
                <w:b/>
                <w:bCs/>
                <w:color w:val="000000" w:themeColor="text1"/>
              </w:rPr>
              <w:t>ACTIVITIES</w:t>
            </w:r>
          </w:p>
        </w:tc>
        <w:tc>
          <w:tcPr>
            <w:tcW w:w="2835" w:type="dxa"/>
            <w:tcBorders>
              <w:top w:val="single" w:sz="8" w:space="0" w:color="auto"/>
              <w:left w:val="single" w:sz="8" w:space="0" w:color="auto"/>
              <w:bottom w:val="single" w:sz="8" w:space="0" w:color="auto"/>
              <w:right w:val="single" w:sz="8" w:space="0" w:color="auto"/>
            </w:tcBorders>
            <w:shd w:val="clear" w:color="auto" w:fill="FFFF00"/>
            <w:vAlign w:val="center"/>
          </w:tcPr>
          <w:p w14:paraId="39974DD9" w14:textId="77777777" w:rsidR="003B5790" w:rsidRPr="00A81971" w:rsidRDefault="0032495C" w:rsidP="00285E46">
            <w:pPr>
              <w:spacing w:after="0"/>
              <w:jc w:val="center"/>
              <w:rPr>
                <w:rFonts w:eastAsia="Times New Roman"/>
                <w:b/>
                <w:bCs/>
                <w:highlight w:val="yellow"/>
              </w:rPr>
            </w:pPr>
            <w:r w:rsidRPr="00A81971">
              <w:rPr>
                <w:rFonts w:eastAsia="Times New Roman"/>
                <w:b/>
                <w:bCs/>
                <w:color w:val="000000" w:themeColor="text1"/>
                <w:highlight w:val="yellow"/>
              </w:rPr>
              <w:t>664</w:t>
            </w:r>
            <w:r w:rsidRPr="00A81971">
              <w:rPr>
                <w:rFonts w:eastAsia="Times New Roman"/>
                <w:b/>
                <w:bCs/>
                <w:highlight w:val="yellow"/>
              </w:rPr>
              <w:t>– 999</w:t>
            </w:r>
          </w:p>
        </w:tc>
        <w:tc>
          <w:tcPr>
            <w:tcW w:w="2743" w:type="dxa"/>
            <w:tcBorders>
              <w:top w:val="single" w:sz="8" w:space="0" w:color="auto"/>
              <w:left w:val="single" w:sz="8" w:space="0" w:color="auto"/>
              <w:bottom w:val="single" w:sz="8" w:space="0" w:color="auto"/>
              <w:right w:val="single" w:sz="8" w:space="0" w:color="auto"/>
            </w:tcBorders>
            <w:shd w:val="clear" w:color="auto" w:fill="FFFF00"/>
            <w:vAlign w:val="center"/>
          </w:tcPr>
          <w:p w14:paraId="7C924AB5" w14:textId="77777777" w:rsidR="003B5790" w:rsidRPr="00A81971" w:rsidRDefault="0032495C" w:rsidP="00285E46">
            <w:pPr>
              <w:spacing w:after="0"/>
              <w:jc w:val="center"/>
              <w:rPr>
                <w:rFonts w:eastAsia="Times New Roman"/>
                <w:b/>
                <w:bCs/>
                <w:highlight w:val="yellow"/>
              </w:rPr>
            </w:pPr>
            <w:r w:rsidRPr="00A81971">
              <w:rPr>
                <w:rFonts w:eastAsia="Times New Roman"/>
                <w:b/>
                <w:bCs/>
                <w:color w:val="000000" w:themeColor="text1"/>
              </w:rPr>
              <w:t>625*</w:t>
            </w:r>
            <w:r w:rsidRPr="00A81971">
              <w:rPr>
                <w:rFonts w:eastAsia="Times New Roman"/>
                <w:b/>
                <w:bCs/>
              </w:rPr>
              <w:t xml:space="preserve"> – 99</w:t>
            </w:r>
            <w:r w:rsidRPr="00A81971">
              <w:rPr>
                <w:rFonts w:eastAsia="Times New Roman"/>
                <w:b/>
                <w:bCs/>
                <w:highlight w:val="yellow"/>
              </w:rPr>
              <w:t>9</w:t>
            </w:r>
          </w:p>
        </w:tc>
      </w:tr>
    </w:tbl>
    <w:p w14:paraId="6F33CFE9" w14:textId="77777777" w:rsidR="003B5790" w:rsidRPr="00A81971" w:rsidRDefault="0032495C" w:rsidP="003B5790">
      <w:pPr>
        <w:spacing w:after="0"/>
        <w:rPr>
          <w:rFonts w:eastAsia="Times New Roman"/>
          <w:color w:val="000000"/>
          <w:sz w:val="18"/>
          <w:szCs w:val="18"/>
        </w:rPr>
      </w:pPr>
      <w:r w:rsidRPr="00A81971">
        <w:rPr>
          <w:rFonts w:eastAsia="Calibri"/>
          <w:color w:val="000000" w:themeColor="text1"/>
          <w:sz w:val="18"/>
          <w:szCs w:val="18"/>
          <w:lang w:eastAsia="nl-NL"/>
        </w:rPr>
        <w:t>*</w:t>
      </w:r>
      <w:r w:rsidR="34B0439A" w:rsidRPr="00A81971">
        <w:rPr>
          <w:rFonts w:eastAsia="Times New Roman"/>
          <w:color w:val="000000" w:themeColor="text1"/>
          <w:sz w:val="18"/>
          <w:szCs w:val="18"/>
        </w:rPr>
        <w:t xml:space="preserve"> New Scenario 1a</w:t>
      </w:r>
      <w:r w:rsidR="34B0439A" w:rsidRPr="00A81971">
        <w:rPr>
          <w:rFonts w:eastAsia="Times New Roman"/>
          <w:color w:val="000000" w:themeColor="text1"/>
          <w:sz w:val="20"/>
          <w:szCs w:val="20"/>
        </w:rPr>
        <w:t xml:space="preserve"> </w:t>
      </w:r>
      <w:r w:rsidR="34B0439A" w:rsidRPr="00A81971">
        <w:rPr>
          <w:rFonts w:eastAsia="Times New Roman"/>
          <w:b/>
          <w:bCs/>
          <w:sz w:val="20"/>
          <w:szCs w:val="20"/>
        </w:rPr>
        <w:t>–</w:t>
      </w:r>
      <w:r w:rsidR="34B0439A" w:rsidRPr="00A81971">
        <w:rPr>
          <w:rFonts w:eastAsia="Times New Roman"/>
          <w:b/>
          <w:bCs/>
        </w:rPr>
        <w:t xml:space="preserve"> </w:t>
      </w:r>
      <w:r w:rsidR="34B0439A" w:rsidRPr="00A81971">
        <w:rPr>
          <w:rFonts w:eastAsia="Times New Roman"/>
          <w:color w:val="000000" w:themeColor="text1"/>
          <w:sz w:val="18"/>
          <w:szCs w:val="18"/>
        </w:rPr>
        <w:t xml:space="preserve">CE historical for KIPs with Resource </w:t>
      </w:r>
      <w:r w:rsidR="34B0439A" w:rsidRPr="00A81971">
        <w:rPr>
          <w:rFonts w:eastAsia="Times New Roman"/>
          <w:b/>
          <w:bCs/>
          <w:color w:val="000000" w:themeColor="text1"/>
          <w:sz w:val="18"/>
          <w:szCs w:val="18"/>
        </w:rPr>
        <w:t>Allocation B</w:t>
      </w:r>
      <w:r w:rsidR="34B0439A" w:rsidRPr="00A81971">
        <w:rPr>
          <w:rFonts w:eastAsia="Times New Roman"/>
          <w:color w:val="000000" w:themeColor="text1"/>
          <w:sz w:val="18"/>
          <w:szCs w:val="18"/>
        </w:rPr>
        <w:t xml:space="preserve"> </w:t>
      </w:r>
    </w:p>
    <w:p w14:paraId="31BBFEC1" w14:textId="77777777" w:rsidR="003B5790" w:rsidRPr="00A81971" w:rsidRDefault="003B5790" w:rsidP="34B0439A">
      <w:pPr>
        <w:spacing w:after="0"/>
        <w:rPr>
          <w:rFonts w:eastAsia="Times New Roman"/>
          <w:color w:val="FF0000"/>
          <w:sz w:val="18"/>
          <w:szCs w:val="18"/>
        </w:rPr>
      </w:pPr>
    </w:p>
    <w:p w14:paraId="1428F52D" w14:textId="39E5A266" w:rsidR="003B5790" w:rsidRPr="00A81971" w:rsidRDefault="0032495C" w:rsidP="350041B7">
      <w:pPr>
        <w:spacing w:after="0"/>
        <w:rPr>
          <w:rFonts w:eastAsia="Times New Roman"/>
        </w:rPr>
      </w:pPr>
      <w:r w:rsidRPr="00A81971">
        <w:rPr>
          <w:rFonts w:eastAsia="Times New Roman"/>
        </w:rPr>
        <w:t xml:space="preserve">Funding ranges for the Updated </w:t>
      </w:r>
      <w:r w:rsidR="003903E4" w:rsidRPr="00A81971">
        <w:rPr>
          <w:rFonts w:eastAsia="Times New Roman"/>
        </w:rPr>
        <w:t xml:space="preserve">RTF </w:t>
      </w:r>
      <w:r w:rsidRPr="00A81971">
        <w:rPr>
          <w:rFonts w:eastAsia="Times New Roman"/>
        </w:rPr>
        <w:t xml:space="preserve">May Report </w:t>
      </w:r>
      <w:r w:rsidR="008926E5" w:rsidRPr="00A81971">
        <w:rPr>
          <w:rFonts w:eastAsia="Times New Roman"/>
        </w:rPr>
        <w:t>as</w:t>
      </w:r>
      <w:r w:rsidRPr="00A81971">
        <w:rPr>
          <w:rFonts w:eastAsia="Times New Roman"/>
        </w:rPr>
        <w:t xml:space="preserve"> in Table ES</w:t>
      </w:r>
      <w:r w:rsidR="00E83EBE">
        <w:rPr>
          <w:rFonts w:eastAsia="Times New Roman"/>
        </w:rPr>
        <w:t>.</w:t>
      </w:r>
      <w:r w:rsidRPr="00A81971">
        <w:rPr>
          <w:rFonts w:eastAsia="Times New Roman"/>
        </w:rPr>
        <w:t xml:space="preserve">2 were selected by considering the low-end and high-end values according to both </w:t>
      </w:r>
      <w:r w:rsidR="002B582C" w:rsidRPr="00A81971">
        <w:rPr>
          <w:rFonts w:eastAsia="Times New Roman"/>
        </w:rPr>
        <w:t xml:space="preserve">HFC </w:t>
      </w:r>
      <w:r w:rsidRPr="00A81971">
        <w:rPr>
          <w:rFonts w:eastAsia="Times New Roman"/>
        </w:rPr>
        <w:t>Scenario</w:t>
      </w:r>
      <w:r w:rsidR="002B582C" w:rsidRPr="00A81971">
        <w:rPr>
          <w:rFonts w:eastAsia="Times New Roman"/>
        </w:rPr>
        <w:t>s</w:t>
      </w:r>
      <w:r w:rsidRPr="00A81971">
        <w:rPr>
          <w:rFonts w:eastAsia="Times New Roman"/>
        </w:rPr>
        <w:t xml:space="preserve"> 1 and 2 and their respective </w:t>
      </w:r>
      <w:r w:rsidR="002B582C" w:rsidRPr="00A81971">
        <w:rPr>
          <w:rFonts w:eastAsia="Times New Roman"/>
        </w:rPr>
        <w:t xml:space="preserve">Resource </w:t>
      </w:r>
      <w:r w:rsidRPr="00A81971">
        <w:rPr>
          <w:rFonts w:eastAsia="Times New Roman"/>
        </w:rPr>
        <w:t xml:space="preserve">Allocations A and B. </w:t>
      </w:r>
      <w:r w:rsidR="46A3B0F3" w:rsidRPr="00A81971">
        <w:rPr>
          <w:rFonts w:eastAsia="Times New Roman"/>
        </w:rPr>
        <w:t>For</w:t>
      </w:r>
      <w:r w:rsidRPr="00A81971">
        <w:rPr>
          <w:rFonts w:eastAsia="Times New Roman"/>
        </w:rPr>
        <w:t xml:space="preserve"> th</w:t>
      </w:r>
      <w:r w:rsidR="002B582C" w:rsidRPr="00A81971">
        <w:rPr>
          <w:rFonts w:eastAsia="Times New Roman"/>
        </w:rPr>
        <w:t>is S</w:t>
      </w:r>
      <w:r w:rsidRPr="00A81971">
        <w:rPr>
          <w:rFonts w:eastAsia="Times New Roman"/>
        </w:rPr>
        <w:t xml:space="preserve">upplementary Report, </w:t>
      </w:r>
      <w:r w:rsidR="46A3B0F3" w:rsidRPr="00A81971">
        <w:rPr>
          <w:rFonts w:eastAsia="Times New Roman"/>
        </w:rPr>
        <w:t xml:space="preserve">ranges </w:t>
      </w:r>
      <w:r w:rsidRPr="00A81971">
        <w:rPr>
          <w:rFonts w:eastAsia="Times New Roman"/>
        </w:rPr>
        <w:t>considered only Scenario 1(</w:t>
      </w:r>
      <w:r w:rsidR="000C439D">
        <w:rPr>
          <w:rFonts w:eastAsia="Times New Roman"/>
        </w:rPr>
        <w:t>l</w:t>
      </w:r>
      <w:r w:rsidRPr="00A81971">
        <w:rPr>
          <w:rFonts w:eastAsia="Times New Roman"/>
        </w:rPr>
        <w:t>ow-</w:t>
      </w:r>
      <w:r w:rsidR="000C439D">
        <w:rPr>
          <w:rFonts w:eastAsia="Times New Roman"/>
        </w:rPr>
        <w:t>e</w:t>
      </w:r>
      <w:r w:rsidRPr="00A81971">
        <w:rPr>
          <w:rFonts w:eastAsia="Times New Roman"/>
        </w:rPr>
        <w:t xml:space="preserve">nd) of the Updated May Report as the basis for comparison with the </w:t>
      </w:r>
      <w:r w:rsidR="00927B1C" w:rsidRPr="00A81971">
        <w:rPr>
          <w:rFonts w:eastAsia="Times New Roman"/>
        </w:rPr>
        <w:t>New Scenarios low-end ranges</w:t>
      </w:r>
      <w:r w:rsidRPr="00A81971">
        <w:rPr>
          <w:rFonts w:eastAsia="Times New Roman"/>
        </w:rPr>
        <w:t>.</w:t>
      </w:r>
    </w:p>
    <w:p w14:paraId="025288A2" w14:textId="77777777" w:rsidR="003B5790" w:rsidRPr="00A81971" w:rsidRDefault="003B5790" w:rsidP="34B0439A">
      <w:pPr>
        <w:spacing w:after="0"/>
        <w:rPr>
          <w:rFonts w:eastAsia="Times New Roman"/>
          <w:color w:val="FF0000"/>
        </w:rPr>
      </w:pPr>
    </w:p>
    <w:p w14:paraId="335054B1" w14:textId="77777777" w:rsidR="003B5790" w:rsidRPr="00A81971" w:rsidRDefault="003B5790" w:rsidP="003B5790">
      <w:pPr>
        <w:spacing w:after="0"/>
        <w:rPr>
          <w:rFonts w:eastAsia="Times New Roman"/>
          <w:color w:val="000000"/>
          <w:sz w:val="20"/>
          <w:szCs w:val="20"/>
          <w:u w:val="single"/>
        </w:rPr>
      </w:pPr>
    </w:p>
    <w:p w14:paraId="2BCDD9BB" w14:textId="77777777" w:rsidR="091457C3" w:rsidRPr="00A81971" w:rsidRDefault="0032495C" w:rsidP="091457C3">
      <w:pPr>
        <w:keepNext/>
        <w:spacing w:after="0" w:line="240" w:lineRule="atLeast"/>
      </w:pPr>
      <w:r w:rsidRPr="2E7655E2">
        <w:rPr>
          <w:rFonts w:eastAsia="Calibri"/>
          <w:b/>
          <w:bCs/>
          <w:color w:val="000000" w:themeColor="text1"/>
          <w:sz w:val="24"/>
          <w:szCs w:val="24"/>
          <w:lang w:eastAsia="nl-NL"/>
        </w:rPr>
        <w:t>Additional New Scenarios for KIPs</w:t>
      </w:r>
    </w:p>
    <w:p w14:paraId="132693BB" w14:textId="77777777" w:rsidR="0055518B" w:rsidRDefault="0055518B" w:rsidP="091457C3">
      <w:pPr>
        <w:keepNext/>
        <w:spacing w:after="0" w:line="240" w:lineRule="atLeast"/>
        <w:rPr>
          <w:rFonts w:eastAsia="Times New Roman"/>
          <w:b/>
          <w:bCs/>
          <w:i/>
          <w:iCs/>
          <w:color w:val="000000" w:themeColor="text1"/>
        </w:rPr>
      </w:pPr>
    </w:p>
    <w:p w14:paraId="49FE3AA2" w14:textId="77777777" w:rsidR="091457C3" w:rsidRPr="00A81971" w:rsidRDefault="0032495C" w:rsidP="091457C3">
      <w:pPr>
        <w:keepNext/>
        <w:spacing w:after="0" w:line="240" w:lineRule="atLeast"/>
      </w:pPr>
      <w:r w:rsidRPr="2E7655E2">
        <w:rPr>
          <w:rFonts w:eastAsia="Times New Roman"/>
          <w:b/>
          <w:bCs/>
          <w:i/>
          <w:iCs/>
          <w:color w:val="000000" w:themeColor="text1"/>
        </w:rPr>
        <w:t>New Scenario 2a for KIPs: A low-end scenario based on the most recently reported consumption data for HCFCs and HFCs and a high-end scenario based on established HFC baselines and HCFC remaining eligible consumption.</w:t>
      </w:r>
    </w:p>
    <w:p w14:paraId="391C408E" w14:textId="77777777" w:rsidR="008978BA" w:rsidRDefault="008978BA" w:rsidP="091457C3">
      <w:pPr>
        <w:keepNext/>
        <w:spacing w:after="0" w:line="240" w:lineRule="atLeast"/>
        <w:rPr>
          <w:rFonts w:eastAsia="Times New Roman"/>
        </w:rPr>
      </w:pPr>
    </w:p>
    <w:p w14:paraId="0BE54A0D" w14:textId="77777777" w:rsidR="091457C3" w:rsidRPr="00A81971" w:rsidRDefault="0032495C" w:rsidP="091457C3">
      <w:pPr>
        <w:keepNext/>
        <w:spacing w:after="0" w:line="240" w:lineRule="atLeast"/>
      </w:pPr>
      <w:r w:rsidRPr="2E7655E2">
        <w:rPr>
          <w:rFonts w:eastAsia="Times New Roman"/>
        </w:rPr>
        <w:t xml:space="preserve">To estimate funding for New </w:t>
      </w:r>
      <w:r w:rsidRPr="2E7655E2">
        <w:rPr>
          <w:rFonts w:eastAsia="Times New Roman"/>
          <w:b/>
          <w:bCs/>
        </w:rPr>
        <w:t>Scenario 2a</w:t>
      </w:r>
      <w:r w:rsidRPr="2E7655E2">
        <w:rPr>
          <w:rFonts w:eastAsia="Times New Roman"/>
        </w:rPr>
        <w:t xml:space="preserve">, RTF considered the most recently reported A7 HFC consumption data for all parties that had reported data.  The Updated RTF May Report methodology considered the Kigali Amendment HFC established baselines. To address Scenario 2a, RTF had to introduce a considerable change in methodology. Nevertheless, for parties </w:t>
      </w:r>
      <w:r w:rsidRPr="2E7655E2">
        <w:rPr>
          <w:rFonts w:eastAsia="Times New Roman"/>
          <w:b/>
          <w:bCs/>
          <w:i/>
          <w:iCs/>
        </w:rPr>
        <w:t>with KIPs approved</w:t>
      </w:r>
      <w:r w:rsidRPr="2E7655E2">
        <w:rPr>
          <w:rFonts w:eastAsia="Times New Roman"/>
        </w:rPr>
        <w:t xml:space="preserve">, and because RTF cannot modify the funding commitments nor the agreed percentage reductions targets with the ExCom, the new methodology could not be applied. For A5 parties </w:t>
      </w:r>
      <w:r w:rsidRPr="2E7655E2">
        <w:rPr>
          <w:rFonts w:eastAsia="Times New Roman"/>
          <w:b/>
          <w:bCs/>
          <w:i/>
          <w:iCs/>
        </w:rPr>
        <w:t>without KIPs approved</w:t>
      </w:r>
      <w:r w:rsidRPr="2E7655E2">
        <w:rPr>
          <w:rFonts w:eastAsia="Times New Roman"/>
        </w:rPr>
        <w:t xml:space="preserve">, </w:t>
      </w:r>
      <w:r w:rsidRPr="2E7655E2">
        <w:rPr>
          <w:rFonts w:eastAsia="Times New Roman"/>
        </w:rPr>
        <w:lastRenderedPageBreak/>
        <w:t xml:space="preserve">the most recently reported consumption data for HFCs was used, as requested in </w:t>
      </w:r>
      <w:r w:rsidRPr="2E7655E2">
        <w:rPr>
          <w:rFonts w:eastAsia="Times New Roman"/>
          <w:b/>
          <w:bCs/>
        </w:rPr>
        <w:t>New Scenario 2a.</w:t>
      </w:r>
      <w:r w:rsidRPr="2E7655E2">
        <w:rPr>
          <w:rFonts w:eastAsia="Times New Roman"/>
        </w:rPr>
        <w:t xml:space="preserve"> Chapter 3 presents details on the sector distribution and data used. </w:t>
      </w:r>
    </w:p>
    <w:p w14:paraId="76568C9E" w14:textId="77777777" w:rsidR="0055518B" w:rsidRDefault="0055518B" w:rsidP="2E7655E2">
      <w:pPr>
        <w:keepNext/>
        <w:spacing w:after="0" w:line="240" w:lineRule="atLeast"/>
        <w:rPr>
          <w:rFonts w:eastAsia="Times New Roman"/>
          <w:b/>
          <w:bCs/>
          <w:color w:val="000000" w:themeColor="text1"/>
        </w:rPr>
      </w:pPr>
    </w:p>
    <w:p w14:paraId="715D7691" w14:textId="77777777" w:rsidR="46A3B0F3" w:rsidRPr="00A81971" w:rsidRDefault="0032495C" w:rsidP="007A20BD">
      <w:pPr>
        <w:pStyle w:val="ListParagraph"/>
        <w:keepNext/>
        <w:numPr>
          <w:ilvl w:val="0"/>
          <w:numId w:val="72"/>
        </w:numPr>
        <w:spacing w:after="0" w:line="240" w:lineRule="atLeast"/>
      </w:pPr>
      <w:r w:rsidRPr="008263C4">
        <w:rPr>
          <w:rFonts w:eastAsia="Times New Roman"/>
          <w:b/>
          <w:bCs/>
          <w:color w:val="000000" w:themeColor="text1"/>
        </w:rPr>
        <w:t>The funding estimated for New Scenario 2a for KIPs indicated a reduction of US$ 146 million and US$ 117 million from the Updated RTF May 2026 report, when applying schedule</w:t>
      </w:r>
      <w:r w:rsidR="00670549">
        <w:rPr>
          <w:rFonts w:eastAsia="Times New Roman"/>
          <w:b/>
          <w:bCs/>
          <w:color w:val="000000" w:themeColor="text1"/>
        </w:rPr>
        <w:t>s</w:t>
      </w:r>
      <w:r w:rsidRPr="008263C4">
        <w:rPr>
          <w:rFonts w:eastAsia="Times New Roman"/>
          <w:b/>
          <w:bCs/>
          <w:color w:val="000000" w:themeColor="text1"/>
        </w:rPr>
        <w:t xml:space="preserve"> A and schedule B, respectively.</w:t>
      </w:r>
    </w:p>
    <w:p w14:paraId="299A8B8B" w14:textId="77777777" w:rsidR="46A3B0F3" w:rsidRPr="00A81971" w:rsidRDefault="46A3B0F3" w:rsidP="2E7655E2">
      <w:pPr>
        <w:keepNext/>
        <w:spacing w:after="0" w:line="240" w:lineRule="atLeast"/>
        <w:rPr>
          <w:rFonts w:eastAsia="Times New Roman"/>
          <w:strike/>
          <w:color w:val="CC3595"/>
          <w:highlight w:val="yellow"/>
        </w:rPr>
      </w:pPr>
    </w:p>
    <w:p w14:paraId="28E81882" w14:textId="77777777" w:rsidR="46A3B0F3" w:rsidRPr="0091348E" w:rsidRDefault="0032495C" w:rsidP="2E7655E2">
      <w:pPr>
        <w:rPr>
          <w:rFonts w:eastAsia="Times New Roman Bold"/>
          <w:color w:val="242424"/>
        </w:rPr>
      </w:pPr>
      <w:r w:rsidRPr="0091348E">
        <w:rPr>
          <w:rFonts w:eastAsia="Times New Roman Bold"/>
          <w:color w:val="242424"/>
        </w:rPr>
        <w:t>Scenario 2a is an illustrative sensitivity scenario and is not directly comparable with the main estimated funding range. It involves a considerable change in methodology, including the use of recently reported consumption for Parties without KIPs, while approved KIPs are not recalculated because their funding commitments and agreed reductions have already been established.</w:t>
      </w:r>
    </w:p>
    <w:p w14:paraId="6B00F1DD" w14:textId="77777777" w:rsidR="2E7655E2" w:rsidRDefault="2E7655E2" w:rsidP="2E7655E2">
      <w:pPr>
        <w:keepNext/>
        <w:spacing w:after="0" w:line="240" w:lineRule="atLeast"/>
        <w:rPr>
          <w:rFonts w:ascii="Times" w:eastAsia="Times" w:hAnsi="Times" w:cs="Times"/>
          <w:i/>
          <w:iCs/>
          <w:color w:val="242424"/>
        </w:rPr>
      </w:pPr>
    </w:p>
    <w:p w14:paraId="1E4BA5CC" w14:textId="77777777" w:rsidR="003B5790" w:rsidRPr="008C605D" w:rsidRDefault="0032495C" w:rsidP="003B5790">
      <w:pPr>
        <w:rPr>
          <w:rFonts w:eastAsia="Times New Roman"/>
          <w:b/>
          <w:bCs/>
          <w:i/>
        </w:rPr>
      </w:pPr>
      <w:r w:rsidRPr="00A81971">
        <w:rPr>
          <w:rFonts w:eastAsia="Times New Roman"/>
          <w:b/>
          <w:bCs/>
          <w:i/>
          <w:iCs/>
        </w:rPr>
        <w:t xml:space="preserve">New Scenario 2b for KIPs: </w:t>
      </w:r>
      <w:r w:rsidRPr="00A81971">
        <w:rPr>
          <w:rFonts w:eastAsia="Times New Roman"/>
          <w:b/>
          <w:bCs/>
          <w:i/>
        </w:rPr>
        <w:t xml:space="preserve">Realistic project implementation timelines such as modifying resources allocation schedule A for </w:t>
      </w:r>
      <w:r w:rsidR="00771C82">
        <w:rPr>
          <w:rFonts w:eastAsia="Times New Roman"/>
          <w:b/>
          <w:bCs/>
          <w:i/>
        </w:rPr>
        <w:t>Stage</w:t>
      </w:r>
      <w:r w:rsidRPr="00A81971">
        <w:rPr>
          <w:rFonts w:eastAsia="Times New Roman"/>
          <w:b/>
          <w:bCs/>
          <w:i/>
        </w:rPr>
        <w:t xml:space="preserve"> II KIPs and to take into account rates of ratification for remaining non-parties to the Kigali Amendment.</w:t>
      </w:r>
    </w:p>
    <w:p w14:paraId="572435FC" w14:textId="77777777" w:rsidR="003B5790" w:rsidRPr="00A81971" w:rsidRDefault="0032495C" w:rsidP="00927B1C">
      <w:pPr>
        <w:rPr>
          <w:rFonts w:eastAsia="Times New Roman"/>
          <w:color w:val="000000" w:themeColor="text1"/>
        </w:rPr>
      </w:pPr>
      <w:r w:rsidRPr="00A81971">
        <w:rPr>
          <w:rFonts w:eastAsia="Times New Roman"/>
        </w:rPr>
        <w:t xml:space="preserve">RTF modified the Resource Allocation Schedule A (from RTF May Report) to account for a series of proposed new percentage allocations for the 2027-2029 triennium, using a reduced pace for the introduction of Stage II KIPs, and for the ratification pace applied to the non-parties to the KA (as of 10 August 2026) in both G1 and G2 groups. </w:t>
      </w:r>
      <w:r w:rsidR="46A3B0F3" w:rsidRPr="00A81971">
        <w:rPr>
          <w:rFonts w:eastAsia="Times New Roman"/>
          <w:color w:val="000000" w:themeColor="text1"/>
        </w:rPr>
        <w:t>The new suggested allocation for the consideration of parties is shown in Chapter 3.</w:t>
      </w:r>
    </w:p>
    <w:p w14:paraId="2337EB33" w14:textId="77777777" w:rsidR="46A3B0F3" w:rsidRPr="007A20BD" w:rsidRDefault="0032495C" w:rsidP="00FE5C31">
      <w:pPr>
        <w:pStyle w:val="ListParagraph"/>
        <w:numPr>
          <w:ilvl w:val="0"/>
          <w:numId w:val="72"/>
        </w:numPr>
        <w:spacing w:after="120"/>
        <w:ind w:left="714" w:hanging="357"/>
        <w:rPr>
          <w:rFonts w:eastAsia="Times New Roman"/>
          <w:b/>
          <w:bCs/>
        </w:rPr>
      </w:pPr>
      <w:r w:rsidRPr="007A20BD">
        <w:rPr>
          <w:rFonts w:eastAsia="Times New Roman"/>
          <w:b/>
          <w:bCs/>
        </w:rPr>
        <w:t xml:space="preserve">Modifying the KIPs Stage II Resource Allocation Schedule A percentages results in a reduction of US$ 24.9 million, when compared with the estimated funding for the “Updated RTF May Report, Scenario 1” Resource Allocation A. </w:t>
      </w:r>
    </w:p>
    <w:p w14:paraId="3346D786" w14:textId="77777777" w:rsidR="091457C3" w:rsidRPr="00A81971" w:rsidRDefault="091457C3" w:rsidP="091457C3">
      <w:pPr>
        <w:rPr>
          <w:b/>
          <w:bCs/>
          <w:i/>
          <w:iCs/>
          <w:sz w:val="24"/>
          <w:szCs w:val="24"/>
        </w:rPr>
      </w:pPr>
    </w:p>
    <w:p w14:paraId="3FC6FAE8" w14:textId="77777777" w:rsidR="350041B7" w:rsidRPr="00A81971" w:rsidRDefault="0032495C" w:rsidP="350041B7">
      <w:pPr>
        <w:rPr>
          <w:b/>
          <w:bCs/>
          <w:sz w:val="24"/>
          <w:szCs w:val="24"/>
        </w:rPr>
      </w:pPr>
      <w:r w:rsidRPr="00A81971">
        <w:rPr>
          <w:b/>
          <w:bCs/>
          <w:sz w:val="24"/>
          <w:szCs w:val="24"/>
        </w:rPr>
        <w:t xml:space="preserve">Additional Information and Scenarios on LVCs/VLVCs and LRM </w:t>
      </w:r>
    </w:p>
    <w:p w14:paraId="4F947E35" w14:textId="77777777" w:rsidR="350041B7" w:rsidRPr="00A81971" w:rsidRDefault="0032495C" w:rsidP="46A3B0F3">
      <w:pPr>
        <w:tabs>
          <w:tab w:val="left" w:pos="2160"/>
          <w:tab w:val="left" w:pos="2880"/>
          <w:tab w:val="left" w:pos="3600"/>
          <w:tab w:val="left" w:pos="4320"/>
          <w:tab w:val="left" w:pos="5040"/>
          <w:tab w:val="left" w:pos="6480"/>
          <w:tab w:val="left" w:pos="7200"/>
          <w:tab w:val="left" w:pos="7920"/>
        </w:tabs>
        <w:spacing w:after="240"/>
        <w:rPr>
          <w:b/>
          <w:bCs/>
          <w:i/>
          <w:iCs/>
        </w:rPr>
      </w:pPr>
      <w:r w:rsidRPr="00A81971">
        <w:rPr>
          <w:b/>
          <w:bCs/>
          <w:i/>
          <w:iCs/>
        </w:rPr>
        <w:t xml:space="preserve">New Scenario LVCs/VLVCs: </w:t>
      </w:r>
      <w:r w:rsidR="46A3B0F3" w:rsidRPr="00A81971">
        <w:rPr>
          <w:b/>
          <w:bCs/>
        </w:rPr>
        <w:t>"</w:t>
      </w:r>
      <w:r w:rsidR="46A3B0F3" w:rsidRPr="00A81971">
        <w:rPr>
          <w:b/>
          <w:bCs/>
          <w:i/>
          <w:iCs/>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p w14:paraId="0EBA8EA0" w14:textId="77777777" w:rsidR="350041B7" w:rsidRPr="00A81971" w:rsidRDefault="0032495C" w:rsidP="00CA016F">
      <w:pPr>
        <w:tabs>
          <w:tab w:val="left" w:pos="2160"/>
          <w:tab w:val="left" w:pos="2880"/>
          <w:tab w:val="left" w:pos="3600"/>
          <w:tab w:val="left" w:pos="4320"/>
          <w:tab w:val="left" w:pos="5040"/>
          <w:tab w:val="left" w:pos="6480"/>
          <w:tab w:val="left" w:pos="7200"/>
          <w:tab w:val="left" w:pos="7920"/>
        </w:tabs>
        <w:spacing w:after="240"/>
      </w:pPr>
      <w:r w:rsidRPr="00A81971">
        <w:rPr>
          <w:rFonts w:eastAsia="Times New Roman"/>
          <w:color w:val="000000" w:themeColor="text1"/>
        </w:rPr>
        <w:t xml:space="preserve">Chapter 4 addresses in detail the suggestions from parties at OEWG-48 related to low-volume-consuming and very low-volume consuming (LVC/VLVC) countries. </w:t>
      </w:r>
      <w:r w:rsidRPr="00A81971">
        <w:t>The calculation for the 2027-2029 triennium for a possible increase in resource allocation in comparison to resource allocation schedules A and B of the May 2026 RTF report is shown in Table ES</w:t>
      </w:r>
      <w:r w:rsidR="00CF2612">
        <w:t>.8</w:t>
      </w:r>
      <w:r w:rsidRPr="00A81971">
        <w:t xml:space="preserve">. </w:t>
      </w:r>
    </w:p>
    <w:p w14:paraId="25FE3BA9" w14:textId="77777777" w:rsidR="350041B7" w:rsidRPr="00A81971" w:rsidRDefault="0032495C" w:rsidP="00CF2612">
      <w:pPr>
        <w:tabs>
          <w:tab w:val="left" w:pos="0"/>
          <w:tab w:val="left" w:pos="1276"/>
        </w:tabs>
        <w:spacing w:after="120"/>
        <w:ind w:left="1282" w:hanging="1282"/>
        <w:rPr>
          <w:b/>
          <w:bCs/>
        </w:rPr>
      </w:pPr>
      <w:r w:rsidRPr="0006445E">
        <w:rPr>
          <w:rFonts w:eastAsia="Yu Mincho"/>
          <w:b/>
          <w:bCs/>
          <w:color w:val="000000"/>
          <w:lang w:val="en-CA"/>
        </w:rPr>
        <w:t xml:space="preserve">Table </w:t>
      </w:r>
      <w:r>
        <w:rPr>
          <w:rFonts w:eastAsia="Yu Mincho"/>
          <w:b/>
          <w:bCs/>
          <w:color w:val="000000"/>
          <w:lang w:val="en-CA"/>
        </w:rPr>
        <w:t>ES.8:</w:t>
      </w:r>
      <w:r w:rsidRPr="0006445E">
        <w:rPr>
          <w:rFonts w:eastAsia="Times New Roman"/>
          <w:color w:val="000000"/>
          <w:lang w:val="en-CA"/>
        </w:rPr>
        <w:tab/>
      </w:r>
      <w:r w:rsidRPr="00A81971">
        <w:rPr>
          <w:b/>
          <w:bCs/>
        </w:rPr>
        <w:t>Estimated funding for the High-end Resource Allocation New Scenario for KIPs for the 2027-2029 triennium for LVCs/VLVCs</w:t>
      </w:r>
      <w:r>
        <w:rPr>
          <w:b/>
          <w:bCs/>
        </w:rPr>
        <w:t xml:space="preserve"> </w:t>
      </w:r>
      <w:r w:rsidRPr="00796787">
        <w:rPr>
          <w:rFonts w:eastAsia="Times New Roman"/>
          <w:b/>
          <w:bCs/>
          <w:color w:val="000000" w:themeColor="text1"/>
        </w:rPr>
        <w:t xml:space="preserve">(US$ </w:t>
      </w:r>
      <w:r w:rsidRPr="00796787">
        <w:rPr>
          <w:rFonts w:eastAsia="Times New Roman"/>
          <w:b/>
          <w:bCs/>
          <w:color w:val="000000" w:themeColor="text1"/>
          <w:sz w:val="24"/>
          <w:szCs w:val="24"/>
        </w:rPr>
        <w:t>million</w:t>
      </w:r>
      <w:r w:rsidRPr="00796787">
        <w:rPr>
          <w:rFonts w:eastAsia="Times New Roman"/>
          <w:b/>
          <w:bCs/>
          <w:color w:val="000000" w:themeColor="text1"/>
        </w:rPr>
        <w: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12"/>
        <w:gridCol w:w="1813"/>
        <w:gridCol w:w="1813"/>
        <w:gridCol w:w="1813"/>
        <w:gridCol w:w="1813"/>
      </w:tblGrid>
      <w:tr w:rsidR="00F90461" w14:paraId="512AA530" w14:textId="77777777" w:rsidTr="00265E92">
        <w:trPr>
          <w:trHeight w:val="285"/>
        </w:trPr>
        <w:tc>
          <w:tcPr>
            <w:tcW w:w="181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5438A54" w14:textId="77777777" w:rsidR="350041B7" w:rsidRPr="00A81971" w:rsidRDefault="0032495C" w:rsidP="350041B7">
            <w:pPr>
              <w:spacing w:after="0"/>
              <w:jc w:val="center"/>
              <w:rPr>
                <w:rFonts w:eastAsia="Times New Roman"/>
                <w:color w:val="000000" w:themeColor="text1"/>
              </w:rPr>
            </w:pPr>
            <w:r w:rsidRPr="00A81971">
              <w:rPr>
                <w:rFonts w:eastAsia="Times New Roman"/>
                <w:b/>
                <w:bCs/>
                <w:color w:val="000000" w:themeColor="text1"/>
              </w:rPr>
              <w:t>Status</w:t>
            </w:r>
            <w:r w:rsidRPr="00A81971">
              <w:rPr>
                <w:rFonts w:eastAsia="Times New Roman"/>
                <w:color w:val="000000" w:themeColor="text1"/>
              </w:rPr>
              <w:t xml:space="preserve"> </w:t>
            </w:r>
          </w:p>
        </w:tc>
        <w:tc>
          <w:tcPr>
            <w:tcW w:w="181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B1E7A61" w14:textId="77777777" w:rsidR="350041B7" w:rsidRPr="00A81971" w:rsidRDefault="0032495C" w:rsidP="350041B7">
            <w:pPr>
              <w:spacing w:after="0"/>
              <w:jc w:val="center"/>
              <w:rPr>
                <w:rFonts w:eastAsia="Times New Roman"/>
                <w:color w:val="000000" w:themeColor="text1"/>
              </w:rPr>
            </w:pPr>
            <w:r w:rsidRPr="00A81971">
              <w:rPr>
                <w:rFonts w:eastAsia="Times New Roman"/>
                <w:b/>
                <w:bCs/>
                <w:color w:val="000000" w:themeColor="text1"/>
              </w:rPr>
              <w:t>Total Funding</w:t>
            </w:r>
            <w:r w:rsidRPr="00A81971">
              <w:rPr>
                <w:rFonts w:eastAsia="Times New Roman"/>
                <w:color w:val="000000" w:themeColor="text1"/>
              </w:rPr>
              <w:t xml:space="preserve"> </w:t>
            </w:r>
          </w:p>
        </w:tc>
        <w:tc>
          <w:tcPr>
            <w:tcW w:w="181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4B49A81D" w14:textId="77777777" w:rsidR="350041B7" w:rsidRPr="00A81971" w:rsidRDefault="0032495C" w:rsidP="350041B7">
            <w:pPr>
              <w:spacing w:after="0"/>
              <w:jc w:val="center"/>
              <w:rPr>
                <w:rFonts w:eastAsia="Times New Roman"/>
                <w:b/>
                <w:bCs/>
                <w:color w:val="000000" w:themeColor="text1"/>
              </w:rPr>
            </w:pPr>
            <w:r>
              <w:rPr>
                <w:rFonts w:eastAsia="Times New Roman"/>
                <w:b/>
                <w:bCs/>
                <w:color w:val="000000" w:themeColor="text1"/>
              </w:rPr>
              <w:t>Reso</w:t>
            </w:r>
            <w:r w:rsidR="00CF2612">
              <w:rPr>
                <w:rFonts w:eastAsia="Times New Roman"/>
                <w:b/>
                <w:bCs/>
                <w:color w:val="000000" w:themeColor="text1"/>
              </w:rPr>
              <w:t>u</w:t>
            </w:r>
            <w:r>
              <w:rPr>
                <w:rFonts w:eastAsia="Times New Roman"/>
                <w:b/>
                <w:bCs/>
                <w:color w:val="000000" w:themeColor="text1"/>
              </w:rPr>
              <w:t xml:space="preserve">rce Allocation </w:t>
            </w:r>
            <w:r w:rsidR="46A3B0F3" w:rsidRPr="00A81971">
              <w:rPr>
                <w:rFonts w:eastAsia="Times New Roman"/>
                <w:b/>
                <w:bCs/>
                <w:color w:val="000000" w:themeColor="text1"/>
              </w:rPr>
              <w:t>Schedule A U</w:t>
            </w:r>
            <w:r w:rsidR="46A3B0F3" w:rsidRPr="00A81971">
              <w:rPr>
                <w:rFonts w:eastAsia="Times New Roman"/>
                <w:b/>
                <w:bCs/>
                <w:color w:val="000000" w:themeColor="text1"/>
                <w:sz w:val="24"/>
                <w:szCs w:val="24"/>
              </w:rPr>
              <w:t xml:space="preserve">pdated </w:t>
            </w:r>
            <w:r w:rsidR="46A3B0F3" w:rsidRPr="00A81971">
              <w:rPr>
                <w:rFonts w:eastAsia="Times New Roman"/>
                <w:b/>
                <w:bCs/>
                <w:color w:val="000000" w:themeColor="text1"/>
              </w:rPr>
              <w:t xml:space="preserve">May Report </w:t>
            </w:r>
          </w:p>
        </w:tc>
        <w:tc>
          <w:tcPr>
            <w:tcW w:w="181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3C3484F" w14:textId="77777777" w:rsidR="350041B7" w:rsidRPr="00A81971" w:rsidRDefault="0032495C" w:rsidP="350041B7">
            <w:pPr>
              <w:spacing w:after="0"/>
              <w:jc w:val="center"/>
              <w:rPr>
                <w:rFonts w:eastAsia="Times New Roman"/>
                <w:color w:val="000000" w:themeColor="text1"/>
              </w:rPr>
            </w:pPr>
            <w:r>
              <w:rPr>
                <w:rFonts w:eastAsia="Times New Roman"/>
                <w:b/>
                <w:bCs/>
                <w:color w:val="000000" w:themeColor="text1"/>
              </w:rPr>
              <w:t xml:space="preserve">Resource Allocation </w:t>
            </w:r>
            <w:r w:rsidR="46A3B0F3" w:rsidRPr="00A81971">
              <w:rPr>
                <w:rFonts w:eastAsia="Times New Roman"/>
                <w:b/>
                <w:bCs/>
                <w:color w:val="000000" w:themeColor="text1"/>
              </w:rPr>
              <w:t>Schedule B U</w:t>
            </w:r>
            <w:r w:rsidR="46A3B0F3" w:rsidRPr="00A81971">
              <w:rPr>
                <w:rFonts w:eastAsia="Times New Roman"/>
                <w:b/>
                <w:bCs/>
                <w:color w:val="000000" w:themeColor="text1"/>
                <w:sz w:val="24"/>
                <w:szCs w:val="24"/>
              </w:rPr>
              <w:t xml:space="preserve">pdated </w:t>
            </w:r>
            <w:r w:rsidR="46A3B0F3" w:rsidRPr="00A81971">
              <w:rPr>
                <w:rFonts w:eastAsia="Times New Roman"/>
                <w:b/>
                <w:bCs/>
                <w:color w:val="000000" w:themeColor="text1"/>
              </w:rPr>
              <w:t>May Report</w:t>
            </w:r>
            <w:r w:rsidR="46A3B0F3" w:rsidRPr="00A81971">
              <w:rPr>
                <w:rFonts w:eastAsia="Times New Roman"/>
                <w:color w:val="000000" w:themeColor="text1"/>
              </w:rPr>
              <w:t xml:space="preserve"> </w:t>
            </w:r>
          </w:p>
        </w:tc>
        <w:tc>
          <w:tcPr>
            <w:tcW w:w="181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5B9EE7E" w14:textId="77777777" w:rsidR="350041B7" w:rsidRPr="00A81971" w:rsidRDefault="0032495C" w:rsidP="350041B7">
            <w:pPr>
              <w:spacing w:after="0"/>
              <w:jc w:val="center"/>
              <w:rPr>
                <w:rFonts w:eastAsia="Times New Roman"/>
                <w:b/>
                <w:bCs/>
                <w:color w:val="000000" w:themeColor="text1"/>
              </w:rPr>
            </w:pPr>
            <w:r w:rsidRPr="00A81971">
              <w:rPr>
                <w:rFonts w:eastAsia="Times New Roman"/>
                <w:b/>
                <w:bCs/>
                <w:color w:val="000000" w:themeColor="text1"/>
              </w:rPr>
              <w:t xml:space="preserve">High-end </w:t>
            </w:r>
          </w:p>
          <w:p w14:paraId="58FF31E9" w14:textId="77777777" w:rsidR="350041B7" w:rsidRPr="00A81971" w:rsidRDefault="0032495C" w:rsidP="350041B7">
            <w:pPr>
              <w:spacing w:after="0"/>
              <w:jc w:val="center"/>
              <w:rPr>
                <w:rFonts w:eastAsia="Times New Roman"/>
                <w:color w:val="000000" w:themeColor="text1"/>
              </w:rPr>
            </w:pPr>
            <w:r w:rsidRPr="00A81971">
              <w:rPr>
                <w:rFonts w:eastAsia="Times New Roman"/>
                <w:b/>
                <w:bCs/>
                <w:color w:val="000000" w:themeColor="text1"/>
              </w:rPr>
              <w:t>Supplementary Report</w:t>
            </w:r>
            <w:r w:rsidRPr="00A81971">
              <w:rPr>
                <w:rFonts w:eastAsia="Times New Roman"/>
                <w:color w:val="000000" w:themeColor="text1"/>
              </w:rPr>
              <w:t xml:space="preserve"> </w:t>
            </w:r>
          </w:p>
        </w:tc>
      </w:tr>
      <w:tr w:rsidR="00F90461" w14:paraId="06ED65FB" w14:textId="77777777" w:rsidTr="00265E92">
        <w:trPr>
          <w:trHeight w:val="330"/>
        </w:trPr>
        <w:tc>
          <w:tcPr>
            <w:tcW w:w="1812" w:type="dxa"/>
            <w:tcBorders>
              <w:top w:val="single" w:sz="8" w:space="0" w:color="auto"/>
              <w:left w:val="single" w:sz="8" w:space="0" w:color="auto"/>
              <w:bottom w:val="single" w:sz="8" w:space="0" w:color="auto"/>
              <w:right w:val="single" w:sz="8" w:space="0" w:color="auto"/>
            </w:tcBorders>
            <w:shd w:val="clear" w:color="auto" w:fill="FFFF00"/>
          </w:tcPr>
          <w:p w14:paraId="6C1011B4" w14:textId="77777777" w:rsidR="350041B7" w:rsidRPr="00796787" w:rsidRDefault="0032495C" w:rsidP="00796787">
            <w:pPr>
              <w:spacing w:after="0"/>
              <w:jc w:val="center"/>
              <w:rPr>
                <w:rFonts w:eastAsia="Times New Roman"/>
                <w:b/>
                <w:bCs/>
                <w:color w:val="000000" w:themeColor="text1"/>
                <w:highlight w:val="yellow"/>
              </w:rPr>
            </w:pPr>
            <w:r w:rsidRPr="00A81971">
              <w:rPr>
                <w:rFonts w:eastAsia="Times New Roman"/>
                <w:b/>
                <w:bCs/>
                <w:color w:val="000000" w:themeColor="text1"/>
                <w:highlight w:val="yellow"/>
              </w:rPr>
              <w:t>Total</w:t>
            </w:r>
            <w:r w:rsidR="002B4535">
              <w:rPr>
                <w:rFonts w:eastAsia="Times New Roman"/>
                <w:b/>
                <w:bCs/>
                <w:color w:val="000000" w:themeColor="text1"/>
                <w:highlight w:val="yellow"/>
              </w:rPr>
              <w:t>*</w:t>
            </w:r>
          </w:p>
        </w:tc>
        <w:tc>
          <w:tcPr>
            <w:tcW w:w="1813" w:type="dxa"/>
            <w:tcBorders>
              <w:top w:val="single" w:sz="8" w:space="0" w:color="auto"/>
              <w:left w:val="single" w:sz="8" w:space="0" w:color="auto"/>
              <w:bottom w:val="single" w:sz="8" w:space="0" w:color="auto"/>
              <w:right w:val="single" w:sz="8" w:space="0" w:color="auto"/>
            </w:tcBorders>
            <w:shd w:val="clear" w:color="auto" w:fill="FFFF00"/>
          </w:tcPr>
          <w:p w14:paraId="3F841C7A" w14:textId="77777777" w:rsidR="350041B7" w:rsidRPr="00A81971" w:rsidRDefault="0032495C" w:rsidP="350041B7">
            <w:pPr>
              <w:spacing w:after="0"/>
              <w:jc w:val="center"/>
              <w:rPr>
                <w:rFonts w:eastAsia="Times New Roman"/>
                <w:b/>
                <w:bCs/>
                <w:color w:val="000000" w:themeColor="text1"/>
                <w:highlight w:val="yellow"/>
              </w:rPr>
            </w:pPr>
            <w:r w:rsidRPr="00A81971">
              <w:rPr>
                <w:rFonts w:eastAsia="Times New Roman"/>
                <w:b/>
                <w:bCs/>
                <w:color w:val="000000" w:themeColor="text1"/>
                <w:highlight w:val="yellow"/>
              </w:rPr>
              <w:t>34.35</w:t>
            </w:r>
          </w:p>
        </w:tc>
        <w:tc>
          <w:tcPr>
            <w:tcW w:w="1813" w:type="dxa"/>
            <w:tcBorders>
              <w:top w:val="single" w:sz="8" w:space="0" w:color="auto"/>
              <w:left w:val="single" w:sz="8" w:space="0" w:color="auto"/>
              <w:bottom w:val="single" w:sz="8" w:space="0" w:color="auto"/>
              <w:right w:val="single" w:sz="8" w:space="0" w:color="auto"/>
            </w:tcBorders>
            <w:shd w:val="clear" w:color="auto" w:fill="FFFF00"/>
          </w:tcPr>
          <w:p w14:paraId="4A455859" w14:textId="77777777" w:rsidR="350041B7" w:rsidRPr="00A81971" w:rsidRDefault="0032495C" w:rsidP="350041B7">
            <w:pPr>
              <w:spacing w:after="0"/>
              <w:jc w:val="center"/>
              <w:rPr>
                <w:rFonts w:eastAsia="Times New Roman"/>
                <w:b/>
                <w:bCs/>
                <w:color w:val="000000" w:themeColor="text1"/>
                <w:highlight w:val="yellow"/>
              </w:rPr>
            </w:pPr>
            <w:r w:rsidRPr="00A81971">
              <w:rPr>
                <w:rFonts w:eastAsia="Times New Roman"/>
                <w:b/>
                <w:bCs/>
                <w:color w:val="000000" w:themeColor="text1"/>
                <w:highlight w:val="yellow"/>
              </w:rPr>
              <w:t>16.36</w:t>
            </w:r>
          </w:p>
        </w:tc>
        <w:tc>
          <w:tcPr>
            <w:tcW w:w="1813" w:type="dxa"/>
            <w:tcBorders>
              <w:top w:val="single" w:sz="8" w:space="0" w:color="auto"/>
              <w:left w:val="single" w:sz="8" w:space="0" w:color="auto"/>
              <w:bottom w:val="single" w:sz="8" w:space="0" w:color="auto"/>
              <w:right w:val="single" w:sz="8" w:space="0" w:color="auto"/>
            </w:tcBorders>
            <w:shd w:val="clear" w:color="auto" w:fill="FFFF00"/>
          </w:tcPr>
          <w:p w14:paraId="615B3AFA" w14:textId="77777777" w:rsidR="350041B7" w:rsidRPr="00A81971" w:rsidRDefault="0032495C" w:rsidP="350041B7">
            <w:pPr>
              <w:spacing w:after="0"/>
              <w:jc w:val="center"/>
              <w:rPr>
                <w:rFonts w:eastAsia="Times New Roman"/>
                <w:b/>
                <w:bCs/>
                <w:color w:val="000000" w:themeColor="text1"/>
                <w:highlight w:val="yellow"/>
              </w:rPr>
            </w:pPr>
            <w:r w:rsidRPr="00A81971">
              <w:rPr>
                <w:rFonts w:eastAsia="Times New Roman"/>
                <w:b/>
                <w:bCs/>
                <w:color w:val="000000" w:themeColor="text1"/>
                <w:highlight w:val="yellow"/>
              </w:rPr>
              <w:t>4.78</w:t>
            </w:r>
          </w:p>
        </w:tc>
        <w:tc>
          <w:tcPr>
            <w:tcW w:w="1813" w:type="dxa"/>
            <w:tcBorders>
              <w:top w:val="single" w:sz="8" w:space="0" w:color="auto"/>
              <w:left w:val="single" w:sz="8" w:space="0" w:color="auto"/>
              <w:bottom w:val="single" w:sz="8" w:space="0" w:color="auto"/>
              <w:right w:val="single" w:sz="8" w:space="0" w:color="auto"/>
            </w:tcBorders>
            <w:shd w:val="clear" w:color="auto" w:fill="FFFF00"/>
          </w:tcPr>
          <w:p w14:paraId="03F27133" w14:textId="77777777" w:rsidR="350041B7" w:rsidRPr="00A81971" w:rsidRDefault="0032495C" w:rsidP="46A3B0F3">
            <w:pPr>
              <w:spacing w:after="0"/>
              <w:jc w:val="center"/>
              <w:rPr>
                <w:rFonts w:eastAsia="Times New Roman"/>
                <w:b/>
                <w:bCs/>
                <w:color w:val="881798"/>
                <w:highlight w:val="yellow"/>
                <w:u w:val="single"/>
              </w:rPr>
            </w:pPr>
            <w:r w:rsidRPr="00A81971">
              <w:rPr>
                <w:rFonts w:eastAsia="Times New Roman"/>
                <w:b/>
                <w:bCs/>
                <w:color w:val="000000" w:themeColor="text1"/>
                <w:highlight w:val="yellow"/>
              </w:rPr>
              <w:t>28.2</w:t>
            </w:r>
          </w:p>
        </w:tc>
      </w:tr>
    </w:tbl>
    <w:p w14:paraId="5C6E075A" w14:textId="77777777" w:rsidR="350041B7" w:rsidRPr="00A81971" w:rsidRDefault="0032495C" w:rsidP="350041B7">
      <w:pPr>
        <w:spacing w:after="0"/>
        <w:jc w:val="center"/>
        <w:rPr>
          <w:sz w:val="18"/>
          <w:szCs w:val="18"/>
        </w:rPr>
      </w:pPr>
      <w:r w:rsidRPr="00A81971">
        <w:rPr>
          <w:sz w:val="18"/>
          <w:szCs w:val="18"/>
        </w:rPr>
        <w:t xml:space="preserve">*The total (of 73 LVCs/VLVCs) does not consider the 10 countries that have 30% or more reduction in </w:t>
      </w:r>
      <w:r w:rsidR="00771C82">
        <w:rPr>
          <w:sz w:val="18"/>
          <w:szCs w:val="18"/>
        </w:rPr>
        <w:t>Stage</w:t>
      </w:r>
      <w:r w:rsidRPr="00A81971">
        <w:rPr>
          <w:sz w:val="18"/>
          <w:szCs w:val="18"/>
        </w:rPr>
        <w:t xml:space="preserve"> I of the KIP </w:t>
      </w:r>
    </w:p>
    <w:p w14:paraId="041CF83E" w14:textId="77777777" w:rsidR="350041B7" w:rsidRPr="00A81971" w:rsidRDefault="350041B7" w:rsidP="350041B7">
      <w:pPr>
        <w:spacing w:after="0"/>
        <w:jc w:val="center"/>
        <w:rPr>
          <w:sz w:val="18"/>
          <w:szCs w:val="18"/>
        </w:rPr>
      </w:pPr>
    </w:p>
    <w:p w14:paraId="666C0F41" w14:textId="77777777" w:rsidR="350041B7" w:rsidRPr="00A81971" w:rsidRDefault="350041B7" w:rsidP="350041B7">
      <w:pPr>
        <w:spacing w:after="0"/>
        <w:jc w:val="center"/>
        <w:rPr>
          <w:sz w:val="18"/>
          <w:szCs w:val="18"/>
        </w:rPr>
      </w:pPr>
    </w:p>
    <w:p w14:paraId="5A921B4F" w14:textId="77777777" w:rsidR="350041B7" w:rsidRPr="00A81971" w:rsidRDefault="0032495C" w:rsidP="00140EBE">
      <w:pPr>
        <w:tabs>
          <w:tab w:val="left" w:pos="2160"/>
          <w:tab w:val="left" w:pos="2880"/>
          <w:tab w:val="left" w:pos="3600"/>
          <w:tab w:val="left" w:pos="4320"/>
          <w:tab w:val="left" w:pos="5040"/>
          <w:tab w:val="left" w:pos="6480"/>
          <w:tab w:val="left" w:pos="7200"/>
          <w:tab w:val="left" w:pos="7920"/>
        </w:tabs>
        <w:spacing w:after="240"/>
      </w:pPr>
      <w:r w:rsidRPr="00140EBE">
        <w:rPr>
          <w:b/>
          <w:bCs/>
        </w:rPr>
        <w:t xml:space="preserve">The US$ 28.2 million estimated represents 82% of the total funding for </w:t>
      </w:r>
      <w:r w:rsidR="002B4535" w:rsidRPr="00140EBE">
        <w:rPr>
          <w:b/>
          <w:bCs/>
        </w:rPr>
        <w:t>S</w:t>
      </w:r>
      <w:r w:rsidRPr="00140EBE">
        <w:rPr>
          <w:b/>
          <w:bCs/>
        </w:rPr>
        <w:t>tages I and II. In this scenario, the resource allocation for the 2027-2029 triennium is increased by 73% over resource allocation schedule A, and by 491% over resource allocation schedule B of the updated May 2026 RTF Report.</w:t>
      </w:r>
    </w:p>
    <w:p w14:paraId="322E98B7" w14:textId="77777777" w:rsidR="350041B7" w:rsidRPr="00A81971" w:rsidRDefault="0032495C" w:rsidP="00FA748A">
      <w:pPr>
        <w:tabs>
          <w:tab w:val="left" w:pos="2160"/>
          <w:tab w:val="left" w:pos="2880"/>
          <w:tab w:val="left" w:pos="3600"/>
          <w:tab w:val="left" w:pos="4320"/>
          <w:tab w:val="left" w:pos="5040"/>
          <w:tab w:val="left" w:pos="6480"/>
          <w:tab w:val="left" w:pos="7200"/>
          <w:tab w:val="left" w:pos="7920"/>
        </w:tabs>
        <w:spacing w:after="240"/>
      </w:pPr>
      <w:r w:rsidRPr="00A81971">
        <w:lastRenderedPageBreak/>
        <w:t xml:space="preserve">RTF consulted with the MLFS and also discussed, to a limited extent, due to lack of available information, the ability of LVCs/VLVCs to absorb increased funding. The RTF notes that these countries have generally been able to absorb increased levels of funding; however, this capacity varies across countries. </w:t>
      </w:r>
      <w:r w:rsidR="009B2CBC" w:rsidRPr="00A81971">
        <w:t xml:space="preserve">Over time, </w:t>
      </w:r>
      <w:r w:rsidRPr="00A81971">
        <w:t>LVCs have absorbed additional funding due to changes in funding level, concurrent implementation of several projects, changes in resource allocation allowing front loading, and to implement additional new activities and projects. Additionally, the harmonisation of activities under the HPMPs and KIPs has allowed the countries and the implementing agencies to optimise their processes and maximise delivery.</w:t>
      </w:r>
    </w:p>
    <w:p w14:paraId="40A5775A" w14:textId="77777777" w:rsidR="350041B7" w:rsidRPr="00965A0A" w:rsidRDefault="0032495C" w:rsidP="008A41AA">
      <w:pPr>
        <w:tabs>
          <w:tab w:val="left" w:pos="2160"/>
          <w:tab w:val="left" w:pos="2880"/>
          <w:tab w:val="left" w:pos="3600"/>
          <w:tab w:val="left" w:pos="4320"/>
          <w:tab w:val="left" w:pos="5040"/>
          <w:tab w:val="left" w:pos="6480"/>
          <w:tab w:val="left" w:pos="7200"/>
          <w:tab w:val="left" w:pos="7920"/>
        </w:tabs>
        <w:spacing w:after="240"/>
        <w:rPr>
          <w:b/>
          <w:bCs/>
          <w:i/>
          <w:iCs/>
        </w:rPr>
      </w:pPr>
      <w:r w:rsidRPr="00965A0A">
        <w:rPr>
          <w:b/>
          <w:bCs/>
          <w:i/>
          <w:iCs/>
        </w:rPr>
        <w:t xml:space="preserve">New </w:t>
      </w:r>
      <w:r w:rsidR="00CA016F" w:rsidRPr="00965A0A">
        <w:rPr>
          <w:b/>
          <w:bCs/>
          <w:i/>
          <w:iCs/>
        </w:rPr>
        <w:t xml:space="preserve">Scenario </w:t>
      </w:r>
      <w:r w:rsidRPr="00965A0A">
        <w:rPr>
          <w:b/>
          <w:bCs/>
          <w:i/>
          <w:iCs/>
        </w:rPr>
        <w:t>LRM</w:t>
      </w:r>
      <w:r w:rsidR="00965A0A" w:rsidRPr="00965A0A">
        <w:rPr>
          <w:b/>
          <w:bCs/>
          <w:i/>
          <w:iCs/>
        </w:rPr>
        <w:t xml:space="preserve">: </w:t>
      </w:r>
      <w:r w:rsidRPr="00965A0A">
        <w:rPr>
          <w:b/>
          <w:bCs/>
          <w:i/>
          <w:iCs/>
        </w:rPr>
        <w:t>"Include a cost estimate for a high-end scenario for the potential funding window to be considered at the 100th ExCom meeting for the period 2027-2029 to support the implementation of national plans developed pursuant to decision 91/66, taking into account that activities to recover, recycle and reclaim refrigerants are also financed under HPMPs and KIPs</w:t>
      </w:r>
      <w:r w:rsidR="00965A0A" w:rsidRPr="00965A0A">
        <w:rPr>
          <w:b/>
          <w:bCs/>
          <w:i/>
          <w:iCs/>
        </w:rPr>
        <w:t>.”</w:t>
      </w:r>
    </w:p>
    <w:p w14:paraId="26E08D7D" w14:textId="77777777" w:rsidR="350041B7" w:rsidRPr="006850C7" w:rsidRDefault="0032495C" w:rsidP="006850C7">
      <w:pPr>
        <w:tabs>
          <w:tab w:val="left" w:pos="2160"/>
          <w:tab w:val="left" w:pos="2880"/>
          <w:tab w:val="left" w:pos="3600"/>
          <w:tab w:val="left" w:pos="4320"/>
          <w:tab w:val="left" w:pos="5040"/>
          <w:tab w:val="left" w:pos="6480"/>
          <w:tab w:val="left" w:pos="7200"/>
          <w:tab w:val="left" w:pos="7920"/>
        </w:tabs>
        <w:spacing w:after="240"/>
        <w:rPr>
          <w:rFonts w:eastAsia="Times New Roman"/>
          <w:color w:val="000000" w:themeColor="text1"/>
        </w:rPr>
      </w:pPr>
      <w:r w:rsidRPr="006850C7">
        <w:rPr>
          <w:rFonts w:eastAsia="Times New Roman"/>
          <w:color w:val="000000" w:themeColor="text1"/>
        </w:rPr>
        <w:t xml:space="preserve">RTF addresses the OEWG-48 suggestion from parties related to lifecycle refrigerant management (LRM) in Chapter 5. </w:t>
      </w:r>
      <w:r w:rsidRPr="00A81971">
        <w:t>RTF presents a modular approach to calculating the additional funding for implementing the national LRM action plans, designed to complement existing HPMPs and KIPs in supporting the phase-out and phase-down of controlled substances under the Montreal Protocol.</w:t>
      </w:r>
    </w:p>
    <w:p w14:paraId="0FA0CD6E" w14:textId="77777777" w:rsidR="350041B7" w:rsidRPr="006850C7" w:rsidRDefault="0032495C" w:rsidP="006850C7">
      <w:pPr>
        <w:tabs>
          <w:tab w:val="left" w:pos="2160"/>
          <w:tab w:val="left" w:pos="2880"/>
          <w:tab w:val="left" w:pos="3600"/>
          <w:tab w:val="left" w:pos="4320"/>
          <w:tab w:val="left" w:pos="5040"/>
          <w:tab w:val="left" w:pos="6480"/>
          <w:tab w:val="left" w:pos="7200"/>
          <w:tab w:val="left" w:pos="7920"/>
        </w:tabs>
        <w:spacing w:after="240"/>
        <w:rPr>
          <w:rFonts w:eastAsia="Times New Roman"/>
          <w:color w:val="000000" w:themeColor="text1"/>
        </w:rPr>
      </w:pPr>
      <w:r w:rsidRPr="00A81971">
        <w:t>Most servicing-sector infrastructure, training, and institutional strengthening are expected to continue to be funded through HPMPs and KIPs. The proposed supplementary LRM funding window would address critical gaps that prevent countries from transitioning from planning and basic recovery toward scaled recovery, aggregation, recycling, reclamation, and preparation for destruction.</w:t>
      </w:r>
    </w:p>
    <w:p w14:paraId="26F5A059" w14:textId="77777777" w:rsidR="350041B7" w:rsidRPr="006850C7" w:rsidRDefault="0032495C" w:rsidP="006850C7">
      <w:pPr>
        <w:tabs>
          <w:tab w:val="left" w:pos="2160"/>
          <w:tab w:val="left" w:pos="2880"/>
          <w:tab w:val="left" w:pos="3600"/>
          <w:tab w:val="left" w:pos="4320"/>
          <w:tab w:val="left" w:pos="5040"/>
          <w:tab w:val="left" w:pos="6480"/>
          <w:tab w:val="left" w:pos="7200"/>
          <w:tab w:val="left" w:pos="7920"/>
        </w:tabs>
        <w:spacing w:after="240"/>
        <w:rPr>
          <w:rFonts w:eastAsia="Times New Roman"/>
          <w:color w:val="000000" w:themeColor="text1"/>
        </w:rPr>
      </w:pPr>
      <w:r w:rsidRPr="00A81971">
        <w:t>The modular approach considers the different activities needed for LRM, including recovery and collection, reclamation and destruction. The approach allows parties to select interventions based on their level of system development and priority gaps.</w:t>
      </w:r>
    </w:p>
    <w:p w14:paraId="38153054" w14:textId="77777777" w:rsidR="001A782B" w:rsidRPr="006850C7" w:rsidRDefault="0032495C" w:rsidP="006850C7">
      <w:pPr>
        <w:tabs>
          <w:tab w:val="left" w:pos="2160"/>
          <w:tab w:val="left" w:pos="2880"/>
          <w:tab w:val="left" w:pos="3600"/>
          <w:tab w:val="left" w:pos="4320"/>
          <w:tab w:val="left" w:pos="5040"/>
          <w:tab w:val="left" w:pos="6480"/>
          <w:tab w:val="left" w:pos="7200"/>
          <w:tab w:val="left" w:pos="7920"/>
        </w:tabs>
        <w:spacing w:after="240"/>
        <w:rPr>
          <w:rFonts w:eastAsia="Times New Roman"/>
          <w:color w:val="000000" w:themeColor="text1"/>
        </w:rPr>
      </w:pPr>
      <w:r w:rsidRPr="00A81971">
        <w:t>Table ES</w:t>
      </w:r>
      <w:r w:rsidR="006850C7">
        <w:t>.9</w:t>
      </w:r>
      <w:r w:rsidRPr="00A81971">
        <w:t xml:space="preserve"> provides a summary of the estimated high-end new scenario cost estimate for LRM activities for a potential funding window for 2027-2029 (more detail and information in Annex 6). It</w:t>
      </w:r>
      <w:r w:rsidRPr="006850C7">
        <w:rPr>
          <w:rFonts w:eastAsia="Times New Roman"/>
          <w:color w:val="000000" w:themeColor="text1"/>
        </w:rPr>
        <w:t xml:space="preserve"> represents a reasonable level of implementation support rather than a forecast of actual expenditure. Annex 6 provides information on the RTF cost model for evaluating the additional costs associated with the different LRM activities. </w:t>
      </w:r>
    </w:p>
    <w:p w14:paraId="1FEBD09F" w14:textId="77777777" w:rsidR="00234F7B" w:rsidRPr="00A81971" w:rsidRDefault="0032495C" w:rsidP="2E7655E2">
      <w:pPr>
        <w:tabs>
          <w:tab w:val="left" w:pos="0"/>
          <w:tab w:val="left" w:pos="1276"/>
        </w:tabs>
        <w:spacing w:after="120"/>
        <w:ind w:left="1282" w:hanging="1282"/>
        <w:rPr>
          <w:b/>
          <w:bCs/>
          <w:u w:val="single"/>
        </w:rPr>
      </w:pPr>
      <w:r w:rsidRPr="2E7655E2">
        <w:rPr>
          <w:rFonts w:eastAsia="Yu Mincho"/>
          <w:b/>
          <w:bCs/>
          <w:color w:val="000000" w:themeColor="text1"/>
          <w:lang w:val="en-CA"/>
        </w:rPr>
        <w:t>Table ES.9:</w:t>
      </w:r>
      <w:r>
        <w:tab/>
      </w:r>
      <w:r w:rsidRPr="2E7655E2">
        <w:rPr>
          <w:b/>
          <w:bCs/>
        </w:rPr>
        <w:t xml:space="preserve">Summary of high-end new scenario cost estimate for LRM activities based on RTF cost model </w:t>
      </w:r>
    </w:p>
    <w:tbl>
      <w:tblPr>
        <w:tblW w:w="904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22"/>
        <w:gridCol w:w="3615"/>
        <w:gridCol w:w="3908"/>
      </w:tblGrid>
      <w:tr w:rsidR="00F90461" w14:paraId="681A6A80"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34AF2FE4" w14:textId="77777777" w:rsidR="350041B7" w:rsidRPr="00A81971" w:rsidRDefault="0032495C" w:rsidP="002E125E">
            <w:pPr>
              <w:tabs>
                <w:tab w:val="left" w:pos="2160"/>
                <w:tab w:val="left" w:pos="2880"/>
                <w:tab w:val="left" w:pos="3600"/>
                <w:tab w:val="left" w:pos="4320"/>
                <w:tab w:val="left" w:pos="5040"/>
                <w:tab w:val="left" w:pos="6480"/>
                <w:tab w:val="left" w:pos="7200"/>
                <w:tab w:val="left" w:pos="7920"/>
              </w:tabs>
              <w:spacing w:after="0"/>
              <w:jc w:val="center"/>
              <w:rPr>
                <w:sz w:val="20"/>
                <w:szCs w:val="20"/>
              </w:rPr>
            </w:pPr>
            <w:r w:rsidRPr="00A81971">
              <w:rPr>
                <w:b/>
                <w:bCs/>
                <w:sz w:val="20"/>
                <w:szCs w:val="20"/>
              </w:rPr>
              <w:t>Module</w:t>
            </w:r>
          </w:p>
        </w:tc>
        <w:tc>
          <w:tcPr>
            <w:tcW w:w="3615"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3FCD0649" w14:textId="77777777" w:rsidR="350041B7" w:rsidRPr="00A81971" w:rsidRDefault="0032495C" w:rsidP="002E125E">
            <w:pPr>
              <w:tabs>
                <w:tab w:val="left" w:pos="2160"/>
                <w:tab w:val="left" w:pos="2880"/>
                <w:tab w:val="left" w:pos="3600"/>
                <w:tab w:val="left" w:pos="4320"/>
                <w:tab w:val="left" w:pos="5040"/>
                <w:tab w:val="left" w:pos="6480"/>
                <w:tab w:val="left" w:pos="7200"/>
                <w:tab w:val="left" w:pos="7920"/>
              </w:tabs>
              <w:spacing w:after="0"/>
              <w:jc w:val="center"/>
              <w:rPr>
                <w:sz w:val="20"/>
                <w:szCs w:val="20"/>
              </w:rPr>
            </w:pPr>
            <w:r w:rsidRPr="00A81971">
              <w:rPr>
                <w:b/>
                <w:bCs/>
                <w:sz w:val="20"/>
                <w:szCs w:val="20"/>
              </w:rPr>
              <w:t>LRM Activities</w:t>
            </w:r>
          </w:p>
        </w:tc>
        <w:tc>
          <w:tcPr>
            <w:tcW w:w="3908" w:type="dxa"/>
            <w:tcBorders>
              <w:top w:val="single" w:sz="6" w:space="0" w:color="auto"/>
              <w:left w:val="single" w:sz="6" w:space="0" w:color="auto"/>
              <w:bottom w:val="single" w:sz="6" w:space="0" w:color="auto"/>
              <w:right w:val="single" w:sz="6" w:space="0" w:color="auto"/>
            </w:tcBorders>
            <w:shd w:val="clear" w:color="auto" w:fill="D9E2F3" w:themeFill="accent1" w:themeFillTint="33"/>
          </w:tcPr>
          <w:p w14:paraId="3776EACC" w14:textId="6FAF67EC" w:rsidR="350041B7" w:rsidRPr="00A81971" w:rsidRDefault="0032495C" w:rsidP="00FE5C31">
            <w:pPr>
              <w:tabs>
                <w:tab w:val="left" w:pos="2160"/>
                <w:tab w:val="left" w:pos="2880"/>
                <w:tab w:val="left" w:pos="3600"/>
                <w:tab w:val="left" w:pos="4320"/>
                <w:tab w:val="left" w:pos="5040"/>
                <w:tab w:val="left" w:pos="6480"/>
                <w:tab w:val="left" w:pos="7200"/>
                <w:tab w:val="left" w:pos="7920"/>
              </w:tabs>
              <w:spacing w:after="0"/>
              <w:jc w:val="center"/>
              <w:rPr>
                <w:sz w:val="20"/>
                <w:szCs w:val="20"/>
              </w:rPr>
            </w:pPr>
            <w:r w:rsidRPr="2E7655E2">
              <w:rPr>
                <w:b/>
                <w:bCs/>
                <w:sz w:val="20"/>
                <w:szCs w:val="20"/>
              </w:rPr>
              <w:t>Additional funding required for A5 parties (US$ million)</w:t>
            </w:r>
          </w:p>
        </w:tc>
      </w:tr>
      <w:tr w:rsidR="00F90461" w14:paraId="0F1E241D" w14:textId="77777777" w:rsidTr="2E7655E2">
        <w:trPr>
          <w:trHeight w:val="338"/>
        </w:trPr>
        <w:tc>
          <w:tcPr>
            <w:tcW w:w="1522"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58749AE6"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b/>
                <w:bCs/>
                <w:sz w:val="20"/>
                <w:szCs w:val="20"/>
              </w:rPr>
            </w:pPr>
            <w:r w:rsidRPr="00A81971">
              <w:rPr>
                <w:b/>
                <w:bCs/>
                <w:sz w:val="20"/>
                <w:szCs w:val="20"/>
              </w:rPr>
              <w:t>Module 1a </w:t>
            </w:r>
          </w:p>
        </w:tc>
        <w:tc>
          <w:tcPr>
            <w:tcW w:w="3615" w:type="dxa"/>
            <w:tcBorders>
              <w:top w:val="single" w:sz="6" w:space="0" w:color="auto"/>
              <w:left w:val="single" w:sz="6" w:space="0" w:color="auto"/>
              <w:bottom w:val="single" w:sz="6" w:space="0" w:color="auto"/>
              <w:right w:val="single" w:sz="6" w:space="0" w:color="auto"/>
            </w:tcBorders>
            <w:shd w:val="clear" w:color="auto" w:fill="FFFFFF" w:themeFill="background1"/>
          </w:tcPr>
          <w:p w14:paraId="0C6740B3"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Improved recovery rates at servicing  </w:t>
            </w:r>
            <w:r w:rsidRPr="00A81971">
              <w:rPr>
                <w:sz w:val="20"/>
                <w:szCs w:val="20"/>
              </w:rPr>
              <w:t> </w:t>
            </w:r>
          </w:p>
        </w:tc>
        <w:tc>
          <w:tcPr>
            <w:tcW w:w="390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tcPr>
          <w:p w14:paraId="7029D004"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jc w:val="right"/>
              <w:rPr>
                <w:sz w:val="20"/>
                <w:szCs w:val="20"/>
              </w:rPr>
            </w:pPr>
            <w:r w:rsidRPr="00A81971">
              <w:rPr>
                <w:sz w:val="20"/>
                <w:szCs w:val="20"/>
              </w:rPr>
              <w:t>18.21 </w:t>
            </w:r>
          </w:p>
        </w:tc>
      </w:tr>
      <w:tr w:rsidR="00F90461" w14:paraId="7C84F7D3"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125C2D5A"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b/>
                <w:bCs/>
                <w:sz w:val="20"/>
                <w:szCs w:val="20"/>
              </w:rPr>
            </w:pPr>
            <w:r w:rsidRPr="00A81971">
              <w:rPr>
                <w:b/>
                <w:bCs/>
                <w:sz w:val="20"/>
                <w:szCs w:val="20"/>
              </w:rPr>
              <w:t>Module 1b </w:t>
            </w:r>
          </w:p>
        </w:tc>
        <w:tc>
          <w:tcPr>
            <w:tcW w:w="3615" w:type="dxa"/>
            <w:tcBorders>
              <w:top w:val="single" w:sz="6" w:space="0" w:color="auto"/>
              <w:left w:val="single" w:sz="6" w:space="0" w:color="auto"/>
              <w:bottom w:val="single" w:sz="6" w:space="0" w:color="auto"/>
              <w:right w:val="single" w:sz="6" w:space="0" w:color="auto"/>
            </w:tcBorders>
            <w:shd w:val="clear" w:color="auto" w:fill="FFFFFF" w:themeFill="background1"/>
          </w:tcPr>
          <w:p w14:paraId="75448DBD"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Recovery at end-of-life (EOL)</w:t>
            </w:r>
            <w:r w:rsidRPr="00A81971">
              <w:rPr>
                <w:sz w:val="20"/>
                <w:szCs w:val="20"/>
              </w:rPr>
              <w:t> </w:t>
            </w:r>
          </w:p>
        </w:tc>
        <w:tc>
          <w:tcPr>
            <w:tcW w:w="3908" w:type="dxa"/>
            <w:vMerge/>
          </w:tcPr>
          <w:p w14:paraId="61FE86C4" w14:textId="77777777" w:rsidR="002D0DA6" w:rsidRPr="00A81971" w:rsidRDefault="002D0DA6"/>
        </w:tc>
      </w:tr>
      <w:tr w:rsidR="00F90461" w14:paraId="59F3A21D"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142445B4"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b/>
                <w:bCs/>
                <w:sz w:val="20"/>
                <w:szCs w:val="20"/>
              </w:rPr>
            </w:pPr>
            <w:r w:rsidRPr="00A81971">
              <w:rPr>
                <w:b/>
                <w:bCs/>
                <w:sz w:val="20"/>
                <w:szCs w:val="20"/>
              </w:rPr>
              <w:t>Module 2a </w:t>
            </w:r>
          </w:p>
        </w:tc>
        <w:tc>
          <w:tcPr>
            <w:tcW w:w="3615" w:type="dxa"/>
            <w:tcBorders>
              <w:top w:val="single" w:sz="6" w:space="0" w:color="auto"/>
              <w:left w:val="single" w:sz="6" w:space="0" w:color="auto"/>
              <w:bottom w:val="single" w:sz="6" w:space="0" w:color="auto"/>
              <w:right w:val="single" w:sz="6" w:space="0" w:color="auto"/>
            </w:tcBorders>
            <w:shd w:val="clear" w:color="auto" w:fill="FFFFFF" w:themeFill="background1"/>
          </w:tcPr>
          <w:p w14:paraId="4E92BB2B"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Reclamation </w:t>
            </w:r>
            <w:r w:rsidRPr="00A81971">
              <w:rPr>
                <w:sz w:val="20"/>
                <w:szCs w:val="20"/>
              </w:rPr>
              <w:t> </w:t>
            </w:r>
          </w:p>
        </w:tc>
        <w:tc>
          <w:tcPr>
            <w:tcW w:w="3908" w:type="dxa"/>
            <w:tcBorders>
              <w:top w:val="single" w:sz="6" w:space="0" w:color="auto"/>
              <w:left w:val="single" w:sz="6" w:space="0" w:color="auto"/>
              <w:bottom w:val="single" w:sz="6" w:space="0" w:color="auto"/>
              <w:right w:val="single" w:sz="6" w:space="0" w:color="auto"/>
            </w:tcBorders>
            <w:shd w:val="clear" w:color="auto" w:fill="FFFFFF" w:themeFill="background1"/>
          </w:tcPr>
          <w:p w14:paraId="6E2343F9"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jc w:val="right"/>
              <w:rPr>
                <w:sz w:val="20"/>
                <w:szCs w:val="20"/>
              </w:rPr>
            </w:pPr>
            <w:r w:rsidRPr="00A81971">
              <w:rPr>
                <w:sz w:val="20"/>
                <w:szCs w:val="20"/>
              </w:rPr>
              <w:t>25.92 </w:t>
            </w:r>
          </w:p>
        </w:tc>
      </w:tr>
      <w:tr w:rsidR="00F90461" w14:paraId="53233D91"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29F19B5"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b/>
                <w:bCs/>
                <w:sz w:val="20"/>
                <w:szCs w:val="20"/>
              </w:rPr>
            </w:pPr>
            <w:r w:rsidRPr="00A81971">
              <w:rPr>
                <w:b/>
                <w:bCs/>
                <w:sz w:val="20"/>
                <w:szCs w:val="20"/>
              </w:rPr>
              <w:t>Module 2b  </w:t>
            </w:r>
          </w:p>
        </w:tc>
        <w:tc>
          <w:tcPr>
            <w:tcW w:w="3615" w:type="dxa"/>
            <w:tcBorders>
              <w:top w:val="single" w:sz="6" w:space="0" w:color="auto"/>
              <w:left w:val="single" w:sz="6" w:space="0" w:color="auto"/>
              <w:bottom w:val="single" w:sz="6" w:space="0" w:color="auto"/>
              <w:right w:val="single" w:sz="6" w:space="0" w:color="auto"/>
            </w:tcBorders>
            <w:shd w:val="clear" w:color="auto" w:fill="FFFFFF" w:themeFill="background1"/>
          </w:tcPr>
          <w:p w14:paraId="5CAA3987"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Export </w:t>
            </w:r>
            <w:r w:rsidRPr="00A81971">
              <w:rPr>
                <w:sz w:val="20"/>
                <w:szCs w:val="20"/>
              </w:rPr>
              <w:t> </w:t>
            </w:r>
          </w:p>
        </w:tc>
        <w:tc>
          <w:tcPr>
            <w:tcW w:w="3908" w:type="dxa"/>
            <w:tcBorders>
              <w:top w:val="single" w:sz="6" w:space="0" w:color="auto"/>
              <w:left w:val="single" w:sz="6" w:space="0" w:color="auto"/>
              <w:bottom w:val="single" w:sz="6" w:space="0" w:color="auto"/>
              <w:right w:val="single" w:sz="6" w:space="0" w:color="auto"/>
            </w:tcBorders>
            <w:shd w:val="clear" w:color="auto" w:fill="FFFFFF" w:themeFill="background1"/>
          </w:tcPr>
          <w:p w14:paraId="096DC4CA" w14:textId="3993F1CE"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jc w:val="right"/>
              <w:rPr>
                <w:sz w:val="20"/>
                <w:szCs w:val="20"/>
              </w:rPr>
            </w:pPr>
            <w:r w:rsidRPr="00A81971">
              <w:rPr>
                <w:sz w:val="20"/>
                <w:szCs w:val="20"/>
              </w:rPr>
              <w:t>7.42 </w:t>
            </w:r>
          </w:p>
        </w:tc>
      </w:tr>
      <w:tr w:rsidR="00F90461" w14:paraId="16B40D99"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9FDC8C2"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b/>
                <w:bCs/>
                <w:sz w:val="20"/>
                <w:szCs w:val="20"/>
              </w:rPr>
            </w:pPr>
            <w:r w:rsidRPr="00A81971">
              <w:rPr>
                <w:b/>
                <w:bCs/>
                <w:sz w:val="20"/>
                <w:szCs w:val="20"/>
              </w:rPr>
              <w:t>Module 3a </w:t>
            </w:r>
          </w:p>
        </w:tc>
        <w:tc>
          <w:tcPr>
            <w:tcW w:w="3615" w:type="dxa"/>
            <w:tcBorders>
              <w:top w:val="single" w:sz="6" w:space="0" w:color="auto"/>
              <w:left w:val="single" w:sz="6" w:space="0" w:color="auto"/>
              <w:bottom w:val="single" w:sz="6" w:space="0" w:color="auto"/>
              <w:right w:val="single" w:sz="6" w:space="0" w:color="auto"/>
            </w:tcBorders>
            <w:shd w:val="clear" w:color="auto" w:fill="FFFFFF" w:themeFill="background1"/>
          </w:tcPr>
          <w:p w14:paraId="680B6F39"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Destruction</w:t>
            </w:r>
            <w:r w:rsidRPr="00A81971">
              <w:rPr>
                <w:sz w:val="20"/>
                <w:szCs w:val="20"/>
              </w:rPr>
              <w:t> </w:t>
            </w:r>
          </w:p>
        </w:tc>
        <w:tc>
          <w:tcPr>
            <w:tcW w:w="3908" w:type="dxa"/>
            <w:tcBorders>
              <w:top w:val="single" w:sz="6" w:space="0" w:color="auto"/>
              <w:left w:val="single" w:sz="6" w:space="0" w:color="auto"/>
              <w:bottom w:val="single" w:sz="6" w:space="0" w:color="auto"/>
              <w:right w:val="single" w:sz="6" w:space="0" w:color="auto"/>
            </w:tcBorders>
            <w:shd w:val="clear" w:color="auto" w:fill="FFFFFF" w:themeFill="background1"/>
          </w:tcPr>
          <w:p w14:paraId="19B6D91E"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jc w:val="right"/>
              <w:rPr>
                <w:sz w:val="20"/>
                <w:szCs w:val="20"/>
              </w:rPr>
            </w:pPr>
            <w:r w:rsidRPr="00A81971">
              <w:rPr>
                <w:sz w:val="20"/>
                <w:szCs w:val="20"/>
              </w:rPr>
              <w:t>1.00 </w:t>
            </w:r>
          </w:p>
        </w:tc>
      </w:tr>
      <w:tr w:rsidR="00F90461" w14:paraId="5A6BC7B3" w14:textId="77777777" w:rsidTr="2E7655E2">
        <w:trPr>
          <w:trHeight w:val="300"/>
        </w:trPr>
        <w:tc>
          <w:tcPr>
            <w:tcW w:w="1522" w:type="dxa"/>
            <w:tcBorders>
              <w:top w:val="single" w:sz="6" w:space="0" w:color="auto"/>
              <w:left w:val="single" w:sz="6" w:space="0" w:color="auto"/>
              <w:bottom w:val="single" w:sz="6" w:space="0" w:color="auto"/>
              <w:right w:val="single" w:sz="6" w:space="0" w:color="auto"/>
            </w:tcBorders>
            <w:shd w:val="clear" w:color="auto" w:fill="FFFF00"/>
          </w:tcPr>
          <w:p w14:paraId="147A54D1" w14:textId="77777777" w:rsidR="350041B7" w:rsidRPr="00A81971" w:rsidRDefault="350041B7" w:rsidP="350041B7">
            <w:pPr>
              <w:tabs>
                <w:tab w:val="left" w:pos="2160"/>
                <w:tab w:val="left" w:pos="2880"/>
                <w:tab w:val="left" w:pos="3600"/>
                <w:tab w:val="left" w:pos="4320"/>
                <w:tab w:val="left" w:pos="5040"/>
                <w:tab w:val="left" w:pos="6480"/>
                <w:tab w:val="left" w:pos="7200"/>
                <w:tab w:val="left" w:pos="7920"/>
              </w:tabs>
              <w:spacing w:after="0"/>
              <w:rPr>
                <w:sz w:val="20"/>
                <w:szCs w:val="20"/>
              </w:rPr>
            </w:pPr>
          </w:p>
        </w:tc>
        <w:tc>
          <w:tcPr>
            <w:tcW w:w="3615" w:type="dxa"/>
            <w:tcBorders>
              <w:top w:val="single" w:sz="6" w:space="0" w:color="auto"/>
              <w:left w:val="single" w:sz="6" w:space="0" w:color="auto"/>
              <w:bottom w:val="single" w:sz="6" w:space="0" w:color="auto"/>
              <w:right w:val="single" w:sz="6" w:space="0" w:color="auto"/>
            </w:tcBorders>
            <w:shd w:val="clear" w:color="auto" w:fill="FFFF00"/>
          </w:tcPr>
          <w:p w14:paraId="34148C2D"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rPr>
                <w:sz w:val="20"/>
                <w:szCs w:val="20"/>
              </w:rPr>
            </w:pPr>
            <w:r w:rsidRPr="00A81971">
              <w:rPr>
                <w:b/>
                <w:bCs/>
                <w:sz w:val="20"/>
                <w:szCs w:val="20"/>
              </w:rPr>
              <w:t>Total </w:t>
            </w:r>
            <w:r w:rsidRPr="00A81971">
              <w:rPr>
                <w:sz w:val="20"/>
                <w:szCs w:val="20"/>
              </w:rPr>
              <w:t> </w:t>
            </w:r>
          </w:p>
        </w:tc>
        <w:tc>
          <w:tcPr>
            <w:tcW w:w="3908" w:type="dxa"/>
            <w:tcBorders>
              <w:top w:val="single" w:sz="6" w:space="0" w:color="auto"/>
              <w:left w:val="single" w:sz="6" w:space="0" w:color="auto"/>
              <w:bottom w:val="single" w:sz="6" w:space="0" w:color="auto"/>
              <w:right w:val="single" w:sz="6" w:space="0" w:color="auto"/>
            </w:tcBorders>
            <w:shd w:val="clear" w:color="auto" w:fill="FFFF00"/>
          </w:tcPr>
          <w:p w14:paraId="1352614F" w14:textId="77777777" w:rsidR="350041B7" w:rsidRPr="00A81971" w:rsidRDefault="0032495C" w:rsidP="350041B7">
            <w:pPr>
              <w:tabs>
                <w:tab w:val="left" w:pos="2160"/>
                <w:tab w:val="left" w:pos="2880"/>
                <w:tab w:val="left" w:pos="3600"/>
                <w:tab w:val="left" w:pos="4320"/>
                <w:tab w:val="left" w:pos="5040"/>
                <w:tab w:val="left" w:pos="6480"/>
                <w:tab w:val="left" w:pos="7200"/>
                <w:tab w:val="left" w:pos="7920"/>
              </w:tabs>
              <w:spacing w:after="0"/>
              <w:jc w:val="right"/>
              <w:rPr>
                <w:sz w:val="20"/>
                <w:szCs w:val="20"/>
              </w:rPr>
            </w:pPr>
            <w:r w:rsidRPr="00A81971">
              <w:rPr>
                <w:b/>
                <w:bCs/>
                <w:sz w:val="20"/>
                <w:szCs w:val="20"/>
              </w:rPr>
              <w:t>52.55</w:t>
            </w:r>
            <w:r w:rsidRPr="00A81971">
              <w:rPr>
                <w:sz w:val="20"/>
                <w:szCs w:val="20"/>
              </w:rPr>
              <w:t> </w:t>
            </w:r>
          </w:p>
        </w:tc>
      </w:tr>
    </w:tbl>
    <w:p w14:paraId="73D8FA1D" w14:textId="77777777" w:rsidR="00234F7B" w:rsidRDefault="00234F7B" w:rsidP="006850C7">
      <w:pPr>
        <w:tabs>
          <w:tab w:val="left" w:pos="2160"/>
          <w:tab w:val="left" w:pos="2880"/>
          <w:tab w:val="left" w:pos="3600"/>
          <w:tab w:val="left" w:pos="4320"/>
          <w:tab w:val="left" w:pos="5040"/>
          <w:tab w:val="left" w:pos="6480"/>
          <w:tab w:val="left" w:pos="7200"/>
          <w:tab w:val="left" w:pos="7920"/>
        </w:tabs>
        <w:spacing w:after="120"/>
        <w:rPr>
          <w:rFonts w:eastAsia="Times New Roman"/>
          <w:b/>
          <w:bCs/>
          <w:color w:val="000000" w:themeColor="text1"/>
        </w:rPr>
      </w:pPr>
    </w:p>
    <w:p w14:paraId="66000D70" w14:textId="77777777" w:rsidR="46A3B0F3" w:rsidRPr="00670549" w:rsidRDefault="0032495C" w:rsidP="00670549">
      <w:pPr>
        <w:tabs>
          <w:tab w:val="left" w:pos="2160"/>
          <w:tab w:val="left" w:pos="2880"/>
          <w:tab w:val="left" w:pos="3600"/>
          <w:tab w:val="left" w:pos="4320"/>
          <w:tab w:val="left" w:pos="5040"/>
          <w:tab w:val="left" w:pos="6480"/>
          <w:tab w:val="left" w:pos="7200"/>
          <w:tab w:val="left" w:pos="7920"/>
        </w:tabs>
        <w:spacing w:after="240"/>
        <w:rPr>
          <w:rFonts w:eastAsia="Times New Roman"/>
          <w:b/>
          <w:bCs/>
          <w:color w:val="000000" w:themeColor="text1"/>
        </w:rPr>
      </w:pPr>
      <w:r w:rsidRPr="00670549">
        <w:rPr>
          <w:rFonts w:eastAsia="Times New Roman"/>
          <w:b/>
          <w:bCs/>
          <w:color w:val="000000" w:themeColor="text1"/>
        </w:rPr>
        <w:t>The estimated high-end new scenario for a potential funding window for 2027- 2029 triennium is US$ 52.55 million.</w:t>
      </w:r>
      <w:r w:rsidR="00670549">
        <w:rPr>
          <w:rFonts w:eastAsia="Times New Roman"/>
          <w:b/>
          <w:bCs/>
          <w:color w:val="000000" w:themeColor="text1"/>
        </w:rPr>
        <w:t xml:space="preserve"> </w:t>
      </w:r>
      <w:r w:rsidRPr="00670549">
        <w:t xml:space="preserve">This is meant to be an illustrative estimate to implement long-term LRM measures identified through national inventories and action plans prepared under Decision 91/66. </w:t>
      </w:r>
      <w:r w:rsidR="002B4229" w:rsidRPr="00670549">
        <w:t xml:space="preserve">Sources of potential funding for these activities would be </w:t>
      </w:r>
      <w:r w:rsidR="00833651" w:rsidRPr="00670549">
        <w:t>for the consideration and decision of parties.</w:t>
      </w:r>
    </w:p>
    <w:p w14:paraId="0CAD26D8" w14:textId="77777777" w:rsidR="002E3156" w:rsidRDefault="002E3156" w:rsidP="003B5790">
      <w:pPr>
        <w:rPr>
          <w:b/>
          <w:bCs/>
          <w:sz w:val="24"/>
          <w:szCs w:val="24"/>
        </w:rPr>
      </w:pPr>
    </w:p>
    <w:p w14:paraId="2B1078E6" w14:textId="6F3CDB12" w:rsidR="003B5790" w:rsidRPr="00A81971" w:rsidRDefault="0032495C" w:rsidP="003B5790">
      <w:pPr>
        <w:rPr>
          <w:b/>
          <w:bCs/>
          <w:sz w:val="24"/>
          <w:szCs w:val="24"/>
        </w:rPr>
      </w:pPr>
      <w:r w:rsidRPr="00A81971">
        <w:rPr>
          <w:b/>
          <w:bCs/>
          <w:sz w:val="24"/>
          <w:szCs w:val="24"/>
        </w:rPr>
        <w:lastRenderedPageBreak/>
        <w:t>SUMMARY OF UPDATED RANGES OF TOTAL FUNDING REQUIREMENT BASED ON SUGGESTED NEW SCENARIOS</w:t>
      </w:r>
    </w:p>
    <w:p w14:paraId="31FAE905" w14:textId="77777777" w:rsidR="00FF4CF6" w:rsidRPr="00234F7B" w:rsidRDefault="0032495C" w:rsidP="00234F7B">
      <w:r w:rsidRPr="00A81971">
        <w:rPr>
          <w:rFonts w:eastAsia="Times New Roman"/>
          <w:color w:val="000000" w:themeColor="text1"/>
        </w:rPr>
        <w:t>Table E</w:t>
      </w:r>
      <w:r w:rsidRPr="0037332B">
        <w:rPr>
          <w:rFonts w:eastAsia="Times New Roman"/>
          <w:color w:val="000000" w:themeColor="text1"/>
        </w:rPr>
        <w:t>S</w:t>
      </w:r>
      <w:r w:rsidR="006850C7">
        <w:rPr>
          <w:rFonts w:eastAsia="Times New Roman"/>
          <w:color w:val="000000" w:themeColor="text1"/>
        </w:rPr>
        <w:t>.</w:t>
      </w:r>
      <w:r w:rsidR="46D97C27" w:rsidRPr="0037332B">
        <w:rPr>
          <w:rFonts w:eastAsia="Times New Roman"/>
          <w:color w:val="000000" w:themeColor="text1"/>
        </w:rPr>
        <w:t>10</w:t>
      </w:r>
      <w:r w:rsidRPr="0037332B">
        <w:rPr>
          <w:rFonts w:eastAsia="Times New Roman"/>
          <w:color w:val="000000" w:themeColor="text1"/>
        </w:rPr>
        <w:t xml:space="preserve"> summarises the updated ranges of total funding requirements for 2027-2029 and the reduction impact of the </w:t>
      </w:r>
      <w:r w:rsidRPr="0037332B">
        <w:rPr>
          <w:rFonts w:eastAsia="Times New Roman"/>
        </w:rPr>
        <w:t>application of the new parameters in different scenarios</w:t>
      </w:r>
      <w:r w:rsidR="46A3B0F3" w:rsidRPr="0037332B">
        <w:rPr>
          <w:rFonts w:eastAsia="Times New Roman"/>
        </w:rPr>
        <w:t>, as</w:t>
      </w:r>
      <w:r w:rsidRPr="0037332B">
        <w:rPr>
          <w:rFonts w:eastAsia="Times New Roman"/>
        </w:rPr>
        <w:t xml:space="preserve"> suggested by </w:t>
      </w:r>
      <w:r w:rsidR="46A3B0F3" w:rsidRPr="0037332B">
        <w:rPr>
          <w:rFonts w:eastAsia="Times New Roman"/>
        </w:rPr>
        <w:t xml:space="preserve">parties at </w:t>
      </w:r>
      <w:r w:rsidRPr="0037332B">
        <w:rPr>
          <w:rFonts w:eastAsia="Times New Roman"/>
        </w:rPr>
        <w:t>OEWG-48.</w:t>
      </w:r>
    </w:p>
    <w:p w14:paraId="01CA3A04" w14:textId="77777777" w:rsidR="003B5790" w:rsidRPr="00A81971" w:rsidRDefault="0032495C" w:rsidP="2E7655E2">
      <w:pPr>
        <w:tabs>
          <w:tab w:val="left" w:pos="0"/>
          <w:tab w:val="left" w:pos="1276"/>
        </w:tabs>
        <w:spacing w:after="120"/>
        <w:ind w:left="1282" w:hanging="1282"/>
        <w:rPr>
          <w:b/>
          <w:bCs/>
        </w:rPr>
      </w:pPr>
      <w:r w:rsidRPr="2E7655E2">
        <w:rPr>
          <w:rFonts w:eastAsia="Yu Mincho"/>
          <w:b/>
          <w:bCs/>
          <w:color w:val="000000" w:themeColor="text1"/>
          <w:lang w:val="en-CA"/>
        </w:rPr>
        <w:t>Table ES.10:</w:t>
      </w:r>
      <w:r w:rsidR="00BE6E2E">
        <w:tab/>
      </w:r>
      <w:r w:rsidRPr="2E7655E2">
        <w:rPr>
          <w:b/>
          <w:bCs/>
        </w:rPr>
        <w:t>Updated ranges of total funding requirements for the replenishment of the MLF 2027–2029 with Application of New Suggested Scenarios (US$ million)</w:t>
      </w:r>
    </w:p>
    <w:tbl>
      <w:tblPr>
        <w:tblW w:w="8820" w:type="dxa"/>
        <w:tblInd w:w="-1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677"/>
        <w:gridCol w:w="1565"/>
        <w:gridCol w:w="1536"/>
        <w:gridCol w:w="1972"/>
        <w:gridCol w:w="2070"/>
      </w:tblGrid>
      <w:tr w:rsidR="00F90461" w14:paraId="3E414B53" w14:textId="77777777" w:rsidTr="00722FE6">
        <w:trPr>
          <w:trHeight w:val="60"/>
        </w:trPr>
        <w:tc>
          <w:tcPr>
            <w:tcW w:w="1677" w:type="dxa"/>
            <w:shd w:val="clear" w:color="auto" w:fill="D9E2F3" w:themeFill="accent1" w:themeFillTint="33"/>
            <w:vAlign w:val="center"/>
            <w:hideMark/>
          </w:tcPr>
          <w:p w14:paraId="46204CB9" w14:textId="77777777" w:rsidR="003B5790" w:rsidRPr="00A81971" w:rsidRDefault="0032495C" w:rsidP="003B5790">
            <w:pPr>
              <w:spacing w:after="0"/>
              <w:jc w:val="center"/>
              <w:rPr>
                <w:b/>
                <w:bCs/>
              </w:rPr>
            </w:pPr>
            <w:r w:rsidRPr="00A81971">
              <w:rPr>
                <w:b/>
                <w:bCs/>
              </w:rPr>
              <w:t>2027-2029 Triennium</w:t>
            </w:r>
          </w:p>
        </w:tc>
        <w:tc>
          <w:tcPr>
            <w:tcW w:w="1565" w:type="dxa"/>
            <w:shd w:val="clear" w:color="auto" w:fill="D9E2F3" w:themeFill="accent1" w:themeFillTint="33"/>
            <w:vAlign w:val="center"/>
            <w:hideMark/>
          </w:tcPr>
          <w:p w14:paraId="602C218F" w14:textId="77777777" w:rsidR="003B5790" w:rsidRPr="00A81971" w:rsidRDefault="0032495C" w:rsidP="003B5790">
            <w:pPr>
              <w:spacing w:after="0"/>
              <w:jc w:val="center"/>
              <w:rPr>
                <w:b/>
                <w:bCs/>
              </w:rPr>
            </w:pPr>
            <w:r w:rsidRPr="00A81971">
              <w:rPr>
                <w:b/>
                <w:bCs/>
              </w:rPr>
              <w:t>May 2026 Report* Estimates</w:t>
            </w:r>
            <w:r>
              <w:rPr>
                <w:b/>
                <w:bCs/>
                <w:vertAlign w:val="superscript"/>
              </w:rPr>
              <w:footnoteReference w:id="9"/>
            </w:r>
          </w:p>
        </w:tc>
        <w:tc>
          <w:tcPr>
            <w:tcW w:w="1536" w:type="dxa"/>
            <w:shd w:val="clear" w:color="auto" w:fill="D9E2F3" w:themeFill="accent1" w:themeFillTint="33"/>
            <w:vAlign w:val="center"/>
            <w:hideMark/>
          </w:tcPr>
          <w:p w14:paraId="18105F51" w14:textId="77777777" w:rsidR="003B5790" w:rsidRPr="00A81971" w:rsidRDefault="0032495C" w:rsidP="003B5790">
            <w:pPr>
              <w:spacing w:after="0"/>
              <w:jc w:val="center"/>
              <w:rPr>
                <w:b/>
                <w:bCs/>
              </w:rPr>
            </w:pPr>
            <w:r w:rsidRPr="00A81971">
              <w:rPr>
                <w:b/>
                <w:bCs/>
              </w:rPr>
              <w:t>Updated May Report Estimates</w:t>
            </w:r>
            <w:r>
              <w:rPr>
                <w:b/>
                <w:bCs/>
                <w:vertAlign w:val="superscript"/>
              </w:rPr>
              <w:footnoteReference w:id="10"/>
            </w:r>
            <w:r w:rsidRPr="00A81971">
              <w:rPr>
                <w:b/>
                <w:bCs/>
              </w:rPr>
              <w:t xml:space="preserve"> </w:t>
            </w:r>
          </w:p>
        </w:tc>
        <w:tc>
          <w:tcPr>
            <w:tcW w:w="1972" w:type="dxa"/>
            <w:shd w:val="clear" w:color="auto" w:fill="D9E2F3" w:themeFill="accent1" w:themeFillTint="33"/>
          </w:tcPr>
          <w:p w14:paraId="47255D46" w14:textId="77777777" w:rsidR="003B5790" w:rsidRPr="00A81971" w:rsidRDefault="0032495C" w:rsidP="003B5790">
            <w:pPr>
              <w:spacing w:after="0"/>
              <w:jc w:val="center"/>
              <w:rPr>
                <w:b/>
                <w:bCs/>
              </w:rPr>
            </w:pPr>
            <w:r w:rsidRPr="00A81971">
              <w:rPr>
                <w:b/>
                <w:bCs/>
              </w:rPr>
              <w:t xml:space="preserve">Supplementary Report Estimates </w:t>
            </w:r>
            <w:r w:rsidR="46A3B0F3" w:rsidRPr="00A81971">
              <w:rPr>
                <w:b/>
                <w:bCs/>
              </w:rPr>
              <w:t>applying</w:t>
            </w:r>
            <w:r w:rsidRPr="00A81971">
              <w:rPr>
                <w:b/>
                <w:bCs/>
              </w:rPr>
              <w:t xml:space="preserve"> highest reduction </w:t>
            </w:r>
            <w:r w:rsidR="46A3B0F3" w:rsidRPr="00A81971">
              <w:rPr>
                <w:b/>
                <w:bCs/>
              </w:rPr>
              <w:t xml:space="preserve">from </w:t>
            </w:r>
            <w:r w:rsidRPr="00A81971">
              <w:rPr>
                <w:b/>
                <w:bCs/>
              </w:rPr>
              <w:t>New Scenarios to low-end</w:t>
            </w:r>
            <w:r w:rsidR="46A3B0F3" w:rsidRPr="00A81971">
              <w:rPr>
                <w:b/>
                <w:bCs/>
              </w:rPr>
              <w:t>**</w:t>
            </w:r>
          </w:p>
        </w:tc>
        <w:tc>
          <w:tcPr>
            <w:tcW w:w="2070" w:type="dxa"/>
            <w:shd w:val="clear" w:color="auto" w:fill="D9E2F3" w:themeFill="accent1" w:themeFillTint="33"/>
          </w:tcPr>
          <w:p w14:paraId="7F781EC4" w14:textId="77777777" w:rsidR="003B5790" w:rsidRPr="00A81971" w:rsidRDefault="0032495C" w:rsidP="46A3B0F3">
            <w:pPr>
              <w:spacing w:after="0" w:line="259" w:lineRule="auto"/>
              <w:jc w:val="center"/>
              <w:rPr>
                <w:b/>
                <w:bCs/>
              </w:rPr>
            </w:pPr>
            <w:r w:rsidRPr="00A81971">
              <w:rPr>
                <w:b/>
                <w:bCs/>
              </w:rPr>
              <w:t xml:space="preserve">Supplementary Report Estimates </w:t>
            </w:r>
            <w:r w:rsidR="46A3B0F3" w:rsidRPr="00A81971">
              <w:rPr>
                <w:b/>
                <w:bCs/>
              </w:rPr>
              <w:t xml:space="preserve">applying </w:t>
            </w:r>
            <w:r w:rsidRPr="00A81971">
              <w:rPr>
                <w:b/>
                <w:bCs/>
              </w:rPr>
              <w:t>Scenario 2a (most recently reported HFC consumption)</w:t>
            </w:r>
          </w:p>
        </w:tc>
      </w:tr>
      <w:tr w:rsidR="00F90461" w14:paraId="43D32CE2" w14:textId="77777777" w:rsidTr="00722FE6">
        <w:trPr>
          <w:trHeight w:val="285"/>
        </w:trPr>
        <w:tc>
          <w:tcPr>
            <w:tcW w:w="1677" w:type="dxa"/>
            <w:shd w:val="clear" w:color="auto" w:fill="E2EFD9" w:themeFill="accent6" w:themeFillTint="33"/>
            <w:vAlign w:val="bottom"/>
          </w:tcPr>
          <w:p w14:paraId="69F38E62" w14:textId="77777777" w:rsidR="003B5790" w:rsidRPr="00A81971" w:rsidRDefault="0032495C" w:rsidP="003B5790">
            <w:pPr>
              <w:spacing w:after="0"/>
              <w:jc w:val="center"/>
              <w:rPr>
                <w:b/>
              </w:rPr>
            </w:pPr>
            <w:r w:rsidRPr="00A81971">
              <w:rPr>
                <w:b/>
              </w:rPr>
              <w:t>SUBTOTAL – HCFC ACTIVITIES</w:t>
            </w:r>
          </w:p>
        </w:tc>
        <w:tc>
          <w:tcPr>
            <w:tcW w:w="1565" w:type="dxa"/>
            <w:shd w:val="clear" w:color="auto" w:fill="FFFFFF" w:themeFill="background1"/>
            <w:vAlign w:val="center"/>
          </w:tcPr>
          <w:p w14:paraId="3FAA40A2" w14:textId="77777777" w:rsidR="003B5790" w:rsidRPr="00A81971" w:rsidRDefault="0032495C" w:rsidP="003B5790">
            <w:pPr>
              <w:spacing w:after="0"/>
              <w:jc w:val="center"/>
              <w:rPr>
                <w:b/>
                <w:bCs/>
              </w:rPr>
            </w:pPr>
            <w:r w:rsidRPr="00A81971">
              <w:rPr>
                <w:b/>
              </w:rPr>
              <w:t>451 – 573</w:t>
            </w:r>
          </w:p>
        </w:tc>
        <w:tc>
          <w:tcPr>
            <w:tcW w:w="1536" w:type="dxa"/>
            <w:shd w:val="clear" w:color="auto" w:fill="FFFFFF" w:themeFill="background1"/>
            <w:vAlign w:val="center"/>
          </w:tcPr>
          <w:p w14:paraId="017E6A6F" w14:textId="77777777" w:rsidR="003B5790" w:rsidRPr="00A81971" w:rsidRDefault="0032495C" w:rsidP="003B5790">
            <w:pPr>
              <w:spacing w:after="0"/>
              <w:jc w:val="center"/>
              <w:rPr>
                <w:b/>
                <w:bCs/>
              </w:rPr>
            </w:pPr>
            <w:r w:rsidRPr="00A81971">
              <w:rPr>
                <w:b/>
                <w:bCs/>
              </w:rPr>
              <w:t>437 – 564</w:t>
            </w:r>
          </w:p>
        </w:tc>
        <w:tc>
          <w:tcPr>
            <w:tcW w:w="1972" w:type="dxa"/>
            <w:shd w:val="clear" w:color="auto" w:fill="FFFFFF" w:themeFill="background1"/>
            <w:vAlign w:val="center"/>
          </w:tcPr>
          <w:p w14:paraId="69C5E728" w14:textId="77777777" w:rsidR="003B5790" w:rsidRPr="00A81971" w:rsidRDefault="0032495C" w:rsidP="003B5790">
            <w:pPr>
              <w:spacing w:after="0"/>
              <w:jc w:val="center"/>
              <w:rPr>
                <w:b/>
                <w:bCs/>
              </w:rPr>
            </w:pPr>
            <w:r w:rsidRPr="00887D68">
              <w:rPr>
                <w:rFonts w:eastAsia="Times New Roman"/>
                <w:b/>
              </w:rPr>
              <w:t>230 – 564</w:t>
            </w:r>
          </w:p>
        </w:tc>
        <w:tc>
          <w:tcPr>
            <w:tcW w:w="2070" w:type="dxa"/>
            <w:shd w:val="clear" w:color="auto" w:fill="FFFFFF" w:themeFill="background1"/>
            <w:vAlign w:val="center"/>
          </w:tcPr>
          <w:p w14:paraId="6841EAA2" w14:textId="77777777" w:rsidR="003B5790" w:rsidRPr="00887D68" w:rsidRDefault="0032495C" w:rsidP="003B5790">
            <w:pPr>
              <w:spacing w:after="0"/>
              <w:jc w:val="center"/>
              <w:rPr>
                <w:rFonts w:eastAsia="Times New Roman"/>
                <w:b/>
              </w:rPr>
            </w:pPr>
            <w:r w:rsidRPr="00887D68">
              <w:rPr>
                <w:rFonts w:eastAsia="Times New Roman"/>
                <w:b/>
              </w:rPr>
              <w:t xml:space="preserve">230 </w:t>
            </w:r>
            <w:r w:rsidRPr="00A81971">
              <w:rPr>
                <w:rFonts w:eastAsia="Times New Roman"/>
                <w:b/>
                <w:bCs/>
              </w:rPr>
              <w:t xml:space="preserve">– </w:t>
            </w:r>
            <w:r w:rsidRPr="00887D68">
              <w:rPr>
                <w:rFonts w:eastAsia="Times New Roman"/>
                <w:b/>
              </w:rPr>
              <w:t>564</w:t>
            </w:r>
          </w:p>
        </w:tc>
      </w:tr>
      <w:tr w:rsidR="00F90461" w14:paraId="23CA8278" w14:textId="77777777" w:rsidTr="00722FE6">
        <w:trPr>
          <w:trHeight w:val="285"/>
        </w:trPr>
        <w:tc>
          <w:tcPr>
            <w:tcW w:w="1677" w:type="dxa"/>
            <w:shd w:val="clear" w:color="auto" w:fill="E2EFD9" w:themeFill="accent6" w:themeFillTint="33"/>
            <w:vAlign w:val="bottom"/>
          </w:tcPr>
          <w:p w14:paraId="176DA063" w14:textId="77777777" w:rsidR="003B5790" w:rsidRPr="00A81971" w:rsidRDefault="0032495C" w:rsidP="003B5790">
            <w:pPr>
              <w:spacing w:after="0"/>
              <w:jc w:val="center"/>
              <w:rPr>
                <w:b/>
                <w:bCs/>
              </w:rPr>
            </w:pPr>
            <w:r w:rsidRPr="00A81971">
              <w:rPr>
                <w:b/>
                <w:bCs/>
              </w:rPr>
              <w:t xml:space="preserve">SUBTOTAL – </w:t>
            </w:r>
          </w:p>
          <w:p w14:paraId="63AEB7FA" w14:textId="77777777" w:rsidR="003B5790" w:rsidRPr="00A81971" w:rsidRDefault="0032495C" w:rsidP="003B5790">
            <w:pPr>
              <w:spacing w:after="0"/>
              <w:jc w:val="center"/>
              <w:rPr>
                <w:b/>
                <w:bCs/>
              </w:rPr>
            </w:pPr>
            <w:r w:rsidRPr="00A81971">
              <w:rPr>
                <w:b/>
                <w:bCs/>
              </w:rPr>
              <w:t>HFC ACTIVITIES</w:t>
            </w:r>
          </w:p>
        </w:tc>
        <w:tc>
          <w:tcPr>
            <w:tcW w:w="1565" w:type="dxa"/>
            <w:shd w:val="clear" w:color="auto" w:fill="FFFFFF" w:themeFill="background1"/>
            <w:vAlign w:val="center"/>
          </w:tcPr>
          <w:p w14:paraId="40D4CCA2" w14:textId="77777777" w:rsidR="003B5790" w:rsidRPr="00A81971" w:rsidRDefault="0032495C" w:rsidP="003B5790">
            <w:pPr>
              <w:spacing w:after="0"/>
              <w:jc w:val="center"/>
              <w:rPr>
                <w:b/>
                <w:bCs/>
              </w:rPr>
            </w:pPr>
            <w:r w:rsidRPr="00A81971">
              <w:rPr>
                <w:b/>
                <w:bCs/>
              </w:rPr>
              <w:t>702 – 1,053</w:t>
            </w:r>
          </w:p>
        </w:tc>
        <w:tc>
          <w:tcPr>
            <w:tcW w:w="1536" w:type="dxa"/>
            <w:shd w:val="clear" w:color="auto" w:fill="FFFFFF" w:themeFill="background1"/>
            <w:vAlign w:val="center"/>
          </w:tcPr>
          <w:p w14:paraId="3EBB4263" w14:textId="77777777" w:rsidR="003B5790" w:rsidRPr="00887D68" w:rsidRDefault="0032495C" w:rsidP="003B5790">
            <w:pPr>
              <w:spacing w:after="0"/>
              <w:jc w:val="center"/>
              <w:rPr>
                <w:b/>
              </w:rPr>
            </w:pPr>
            <w:r w:rsidRPr="00887D68">
              <w:rPr>
                <w:b/>
              </w:rPr>
              <w:t>664 – 999</w:t>
            </w:r>
          </w:p>
        </w:tc>
        <w:tc>
          <w:tcPr>
            <w:tcW w:w="1972" w:type="dxa"/>
            <w:shd w:val="clear" w:color="auto" w:fill="FFFFFF" w:themeFill="background1"/>
            <w:vAlign w:val="center"/>
          </w:tcPr>
          <w:p w14:paraId="30EE9A25" w14:textId="77777777" w:rsidR="003B5790" w:rsidRPr="00887D68" w:rsidRDefault="0032495C" w:rsidP="003B5790">
            <w:pPr>
              <w:spacing w:after="0"/>
              <w:jc w:val="center"/>
              <w:rPr>
                <w:rFonts w:eastAsia="Times New Roman"/>
                <w:b/>
              </w:rPr>
            </w:pPr>
            <w:r w:rsidRPr="00887D68">
              <w:rPr>
                <w:rFonts w:eastAsia="Times New Roman"/>
                <w:b/>
              </w:rPr>
              <w:t>625</w:t>
            </w:r>
            <w:r w:rsidRPr="00A81971">
              <w:rPr>
                <w:rFonts w:eastAsia="Times New Roman"/>
                <w:b/>
                <w:bCs/>
              </w:rPr>
              <w:t xml:space="preserve"> – </w:t>
            </w:r>
            <w:r w:rsidR="46A3B0F3" w:rsidRPr="00887D68">
              <w:rPr>
                <w:rFonts w:eastAsia="Times New Roman"/>
                <w:b/>
              </w:rPr>
              <w:t>999</w:t>
            </w:r>
          </w:p>
        </w:tc>
        <w:tc>
          <w:tcPr>
            <w:tcW w:w="2070" w:type="dxa"/>
            <w:shd w:val="clear" w:color="auto" w:fill="E2EFD9" w:themeFill="accent6" w:themeFillTint="33"/>
            <w:vAlign w:val="center"/>
          </w:tcPr>
          <w:p w14:paraId="4C9C5089" w14:textId="77777777" w:rsidR="003B5790" w:rsidRPr="00887D68" w:rsidRDefault="0032495C" w:rsidP="003B5790">
            <w:pPr>
              <w:spacing w:after="0"/>
              <w:jc w:val="center"/>
              <w:rPr>
                <w:rFonts w:eastAsia="Times New Roman"/>
                <w:b/>
              </w:rPr>
            </w:pPr>
            <w:r w:rsidRPr="00887D68">
              <w:rPr>
                <w:rFonts w:eastAsia="Times New Roman"/>
                <w:b/>
              </w:rPr>
              <w:t>479***</w:t>
            </w:r>
            <w:r w:rsidRPr="00A81971">
              <w:rPr>
                <w:rFonts w:eastAsia="Times New Roman"/>
                <w:b/>
                <w:bCs/>
              </w:rPr>
              <w:t xml:space="preserve">– </w:t>
            </w:r>
            <w:r w:rsidRPr="00887D68">
              <w:rPr>
                <w:rFonts w:eastAsia="Times New Roman"/>
                <w:b/>
              </w:rPr>
              <w:t>999</w:t>
            </w:r>
          </w:p>
        </w:tc>
      </w:tr>
      <w:tr w:rsidR="00F90461" w14:paraId="05619EE8" w14:textId="77777777" w:rsidTr="00722FE6">
        <w:trPr>
          <w:trHeight w:val="285"/>
        </w:trPr>
        <w:tc>
          <w:tcPr>
            <w:tcW w:w="1677" w:type="dxa"/>
            <w:shd w:val="clear" w:color="auto" w:fill="E2EFD9" w:themeFill="accent6" w:themeFillTint="33"/>
            <w:vAlign w:val="bottom"/>
          </w:tcPr>
          <w:p w14:paraId="2AFC023F" w14:textId="77777777" w:rsidR="003B5790" w:rsidRPr="00A81971" w:rsidRDefault="0032495C" w:rsidP="003B5790">
            <w:pPr>
              <w:spacing w:after="0"/>
              <w:jc w:val="center"/>
              <w:rPr>
                <w:b/>
                <w:bCs/>
              </w:rPr>
            </w:pPr>
            <w:r w:rsidRPr="00A81971">
              <w:rPr>
                <w:b/>
                <w:bCs/>
              </w:rPr>
              <w:t xml:space="preserve">SUBTOTAL – </w:t>
            </w:r>
          </w:p>
          <w:p w14:paraId="20EEFDC2" w14:textId="77777777" w:rsidR="003B5790" w:rsidRPr="00A81971" w:rsidRDefault="0032495C" w:rsidP="003B5790">
            <w:pPr>
              <w:spacing w:after="0"/>
              <w:jc w:val="center"/>
              <w:rPr>
                <w:b/>
                <w:bCs/>
              </w:rPr>
            </w:pPr>
            <w:r w:rsidRPr="00A81971">
              <w:rPr>
                <w:b/>
                <w:bCs/>
              </w:rPr>
              <w:t>IS &amp; SA</w:t>
            </w:r>
          </w:p>
        </w:tc>
        <w:tc>
          <w:tcPr>
            <w:tcW w:w="1565" w:type="dxa"/>
            <w:shd w:val="clear" w:color="auto" w:fill="FFFFFF" w:themeFill="background1"/>
            <w:vAlign w:val="center"/>
          </w:tcPr>
          <w:p w14:paraId="0B89D146" w14:textId="77777777" w:rsidR="003B5790" w:rsidRPr="00A81971" w:rsidRDefault="0032495C" w:rsidP="003B5790">
            <w:pPr>
              <w:spacing w:after="0"/>
              <w:jc w:val="center"/>
              <w:rPr>
                <w:b/>
              </w:rPr>
            </w:pPr>
            <w:r w:rsidRPr="00A81971">
              <w:rPr>
                <w:b/>
              </w:rPr>
              <w:t>129</w:t>
            </w:r>
          </w:p>
        </w:tc>
        <w:tc>
          <w:tcPr>
            <w:tcW w:w="1536" w:type="dxa"/>
            <w:shd w:val="clear" w:color="auto" w:fill="FFFFFF" w:themeFill="background1"/>
            <w:vAlign w:val="center"/>
          </w:tcPr>
          <w:p w14:paraId="412E1D15" w14:textId="77777777" w:rsidR="003B5790" w:rsidRPr="00A81971" w:rsidRDefault="0032495C" w:rsidP="003B5790">
            <w:pPr>
              <w:spacing w:after="0"/>
              <w:jc w:val="center"/>
              <w:rPr>
                <w:b/>
                <w:bCs/>
              </w:rPr>
            </w:pPr>
            <w:r w:rsidRPr="00A81971">
              <w:rPr>
                <w:b/>
                <w:bCs/>
              </w:rPr>
              <w:t>129</w:t>
            </w:r>
          </w:p>
        </w:tc>
        <w:tc>
          <w:tcPr>
            <w:tcW w:w="1972" w:type="dxa"/>
            <w:shd w:val="clear" w:color="auto" w:fill="FFFFFF" w:themeFill="background1"/>
            <w:vAlign w:val="center"/>
          </w:tcPr>
          <w:p w14:paraId="211E8061" w14:textId="77777777" w:rsidR="003B5790" w:rsidRPr="00A81971" w:rsidRDefault="0032495C" w:rsidP="003B5790">
            <w:pPr>
              <w:spacing w:after="0"/>
              <w:jc w:val="center"/>
              <w:rPr>
                <w:b/>
                <w:bCs/>
              </w:rPr>
            </w:pPr>
            <w:r w:rsidRPr="00A81971">
              <w:rPr>
                <w:b/>
                <w:bCs/>
              </w:rPr>
              <w:t>129</w:t>
            </w:r>
          </w:p>
        </w:tc>
        <w:tc>
          <w:tcPr>
            <w:tcW w:w="2070" w:type="dxa"/>
            <w:shd w:val="clear" w:color="auto" w:fill="FFFFFF" w:themeFill="background1"/>
            <w:vAlign w:val="center"/>
          </w:tcPr>
          <w:p w14:paraId="2A2FC33C" w14:textId="77777777" w:rsidR="003B5790" w:rsidRPr="00A81971" w:rsidRDefault="0032495C" w:rsidP="003B5790">
            <w:pPr>
              <w:spacing w:after="0"/>
              <w:jc w:val="center"/>
              <w:rPr>
                <w:b/>
                <w:bCs/>
              </w:rPr>
            </w:pPr>
            <w:r w:rsidRPr="00A81971">
              <w:rPr>
                <w:b/>
                <w:bCs/>
              </w:rPr>
              <w:t>129</w:t>
            </w:r>
          </w:p>
        </w:tc>
      </w:tr>
      <w:tr w:rsidR="00F90461" w14:paraId="497BF3ED" w14:textId="77777777" w:rsidTr="00722FE6">
        <w:trPr>
          <w:trHeight w:val="285"/>
        </w:trPr>
        <w:tc>
          <w:tcPr>
            <w:tcW w:w="1677" w:type="dxa"/>
            <w:shd w:val="clear" w:color="auto" w:fill="FFFF00"/>
            <w:vAlign w:val="bottom"/>
          </w:tcPr>
          <w:p w14:paraId="0D19D00C" w14:textId="77777777" w:rsidR="003B5790" w:rsidRPr="00A81971" w:rsidRDefault="0032495C" w:rsidP="003B5790">
            <w:pPr>
              <w:spacing w:after="0"/>
              <w:jc w:val="center"/>
              <w:rPr>
                <w:b/>
                <w:bCs/>
              </w:rPr>
            </w:pPr>
            <w:r w:rsidRPr="00A81971">
              <w:rPr>
                <w:b/>
                <w:bCs/>
              </w:rPr>
              <w:t>GRAND TOTAL</w:t>
            </w:r>
          </w:p>
          <w:p w14:paraId="324F24D1" w14:textId="77777777" w:rsidR="003B5790" w:rsidRPr="00A81971" w:rsidRDefault="0032495C" w:rsidP="003B5790">
            <w:pPr>
              <w:spacing w:after="0"/>
              <w:jc w:val="center"/>
              <w:rPr>
                <w:b/>
                <w:bCs/>
              </w:rPr>
            </w:pPr>
            <w:r w:rsidRPr="00A81971">
              <w:rPr>
                <w:b/>
                <w:bCs/>
              </w:rPr>
              <w:t>(US$ million)</w:t>
            </w:r>
          </w:p>
        </w:tc>
        <w:tc>
          <w:tcPr>
            <w:tcW w:w="1565" w:type="dxa"/>
            <w:shd w:val="clear" w:color="auto" w:fill="FFFF00"/>
            <w:vAlign w:val="center"/>
          </w:tcPr>
          <w:p w14:paraId="21443234" w14:textId="77777777" w:rsidR="003B5790" w:rsidRPr="00A81971" w:rsidRDefault="0032495C" w:rsidP="003B5790">
            <w:pPr>
              <w:spacing w:after="0"/>
              <w:jc w:val="center"/>
              <w:rPr>
                <w:b/>
                <w:bCs/>
              </w:rPr>
            </w:pPr>
            <w:r w:rsidRPr="00A81971">
              <w:rPr>
                <w:b/>
                <w:bCs/>
              </w:rPr>
              <w:t>1,282 – 1,755</w:t>
            </w:r>
          </w:p>
        </w:tc>
        <w:tc>
          <w:tcPr>
            <w:tcW w:w="1536" w:type="dxa"/>
            <w:shd w:val="clear" w:color="auto" w:fill="FFFF00"/>
            <w:vAlign w:val="center"/>
          </w:tcPr>
          <w:p w14:paraId="5046CB48" w14:textId="77777777" w:rsidR="003B5790" w:rsidRPr="00887D68" w:rsidRDefault="0032495C" w:rsidP="003B5790">
            <w:pPr>
              <w:spacing w:after="0"/>
              <w:jc w:val="center"/>
              <w:rPr>
                <w:b/>
              </w:rPr>
            </w:pPr>
            <w:r w:rsidRPr="00A81971">
              <w:rPr>
                <w:b/>
                <w:bCs/>
              </w:rPr>
              <w:t>1,</w:t>
            </w:r>
            <w:r w:rsidR="46A3B0F3" w:rsidRPr="00A81971">
              <w:rPr>
                <w:b/>
                <w:bCs/>
              </w:rPr>
              <w:t>2</w:t>
            </w:r>
            <w:r w:rsidR="46A3B0F3" w:rsidRPr="00887D68">
              <w:rPr>
                <w:b/>
              </w:rPr>
              <w:t>30</w:t>
            </w:r>
            <w:r w:rsidRPr="00887D68">
              <w:rPr>
                <w:b/>
              </w:rPr>
              <w:t xml:space="preserve"> </w:t>
            </w:r>
            <w:r w:rsidRPr="00A81971">
              <w:rPr>
                <w:b/>
                <w:bCs/>
              </w:rPr>
              <w:t>– 1,</w:t>
            </w:r>
            <w:r w:rsidR="46A3B0F3" w:rsidRPr="00887D68">
              <w:rPr>
                <w:b/>
              </w:rPr>
              <w:t>692</w:t>
            </w:r>
          </w:p>
        </w:tc>
        <w:tc>
          <w:tcPr>
            <w:tcW w:w="1972" w:type="dxa"/>
            <w:shd w:val="clear" w:color="auto" w:fill="FFFF00"/>
            <w:vAlign w:val="center"/>
          </w:tcPr>
          <w:p w14:paraId="46F1738E" w14:textId="77777777" w:rsidR="003B5790" w:rsidRPr="00887D68" w:rsidRDefault="0032495C" w:rsidP="003B5790">
            <w:pPr>
              <w:spacing w:after="0"/>
              <w:jc w:val="center"/>
              <w:rPr>
                <w:b/>
              </w:rPr>
            </w:pPr>
            <w:r w:rsidRPr="00A81971">
              <w:rPr>
                <w:b/>
                <w:bCs/>
              </w:rPr>
              <w:t xml:space="preserve">984 </w:t>
            </w:r>
            <w:r w:rsidRPr="00A81971">
              <w:rPr>
                <w:rFonts w:eastAsia="Times New Roman"/>
                <w:b/>
                <w:bCs/>
              </w:rPr>
              <w:t xml:space="preserve">– </w:t>
            </w:r>
            <w:r w:rsidRPr="00A81971">
              <w:rPr>
                <w:b/>
                <w:bCs/>
              </w:rPr>
              <w:t>1,</w:t>
            </w:r>
            <w:r w:rsidR="46A3B0F3" w:rsidRPr="00887D68">
              <w:rPr>
                <w:b/>
              </w:rPr>
              <w:t>692</w:t>
            </w:r>
          </w:p>
        </w:tc>
        <w:tc>
          <w:tcPr>
            <w:tcW w:w="2070" w:type="dxa"/>
            <w:shd w:val="clear" w:color="auto" w:fill="FFFF00"/>
            <w:vAlign w:val="center"/>
          </w:tcPr>
          <w:p w14:paraId="37EAE5BA" w14:textId="77777777" w:rsidR="003B5790" w:rsidRPr="00A81971" w:rsidRDefault="0032495C" w:rsidP="46A3B0F3">
            <w:pPr>
              <w:spacing w:after="0" w:line="259" w:lineRule="auto"/>
              <w:jc w:val="center"/>
              <w:rPr>
                <w:rFonts w:eastAsia="Times New Roman"/>
              </w:rPr>
            </w:pPr>
            <w:r w:rsidRPr="00A81971">
              <w:rPr>
                <w:b/>
                <w:bCs/>
              </w:rPr>
              <w:t xml:space="preserve">838 </w:t>
            </w:r>
            <w:r w:rsidRPr="00A81971">
              <w:rPr>
                <w:rFonts w:eastAsia="Times New Roman"/>
                <w:b/>
                <w:bCs/>
              </w:rPr>
              <w:t xml:space="preserve">– </w:t>
            </w:r>
            <w:r w:rsidRPr="00A81971">
              <w:rPr>
                <w:b/>
                <w:bCs/>
              </w:rPr>
              <w:t>1,</w:t>
            </w:r>
            <w:r w:rsidR="46A3B0F3" w:rsidRPr="00887D68">
              <w:rPr>
                <w:b/>
              </w:rPr>
              <w:t>692</w:t>
            </w:r>
          </w:p>
        </w:tc>
      </w:tr>
    </w:tbl>
    <w:p w14:paraId="33499F65" w14:textId="77777777" w:rsidR="003B5790" w:rsidRPr="00C220A4" w:rsidRDefault="0032495C" w:rsidP="46A3B0F3">
      <w:pPr>
        <w:spacing w:after="0"/>
        <w:rPr>
          <w:rFonts w:eastAsia="Times New Roman"/>
          <w:sz w:val="18"/>
          <w:szCs w:val="18"/>
        </w:rPr>
      </w:pPr>
      <w:r w:rsidRPr="00C220A4">
        <w:rPr>
          <w:rFonts w:eastAsia="Times New Roman"/>
          <w:sz w:val="18"/>
          <w:szCs w:val="18"/>
        </w:rPr>
        <w:t>*</w:t>
      </w:r>
      <w:r w:rsidR="46A3B0F3" w:rsidRPr="00C220A4">
        <w:rPr>
          <w:rFonts w:eastAsia="Times New Roman"/>
          <w:sz w:val="18"/>
          <w:szCs w:val="18"/>
        </w:rPr>
        <w:t xml:space="preserve">RTF May 2026 Report </w:t>
      </w:r>
      <w:r w:rsidR="46A3B0F3" w:rsidRPr="00C220A4">
        <w:rPr>
          <w:rFonts w:eastAsia="Times New Roman"/>
          <w:sz w:val="18"/>
          <w:szCs w:val="18"/>
          <w:u w:val="single"/>
        </w:rPr>
        <w:t>did not</w:t>
      </w:r>
      <w:r w:rsidR="46A3B0F3" w:rsidRPr="00C220A4">
        <w:rPr>
          <w:rFonts w:eastAsia="Times New Roman"/>
          <w:sz w:val="18"/>
          <w:szCs w:val="18"/>
        </w:rPr>
        <w:t xml:space="preserve"> include applicable costs of PMUs. Updated May 2026 Report </w:t>
      </w:r>
      <w:r w:rsidR="46A3B0F3" w:rsidRPr="00C220A4">
        <w:rPr>
          <w:rFonts w:eastAsia="Times New Roman"/>
          <w:sz w:val="18"/>
          <w:szCs w:val="18"/>
          <w:u w:val="single"/>
        </w:rPr>
        <w:t>included</w:t>
      </w:r>
      <w:r w:rsidR="46A3B0F3" w:rsidRPr="00C220A4">
        <w:rPr>
          <w:rFonts w:eastAsia="Times New Roman"/>
          <w:sz w:val="18"/>
          <w:szCs w:val="18"/>
        </w:rPr>
        <w:t xml:space="preserve"> PMU costs.</w:t>
      </w:r>
    </w:p>
    <w:p w14:paraId="2A74A66E" w14:textId="77777777" w:rsidR="003B5790" w:rsidRPr="00C220A4" w:rsidRDefault="0032495C" w:rsidP="350041B7">
      <w:pPr>
        <w:spacing w:after="0"/>
        <w:rPr>
          <w:rFonts w:eastAsia="Times New Roman"/>
          <w:sz w:val="18"/>
          <w:szCs w:val="18"/>
        </w:rPr>
      </w:pPr>
      <w:r w:rsidRPr="2E7655E2">
        <w:rPr>
          <w:rFonts w:eastAsia="Times New Roman"/>
          <w:sz w:val="18"/>
          <w:szCs w:val="18"/>
        </w:rPr>
        <w:t>**Based on highest reduction amongst Scenarios 1a, 1b, or 1c.</w:t>
      </w:r>
      <w:r w:rsidR="46A3B0F3">
        <w:br/>
      </w:r>
      <w:r w:rsidRPr="2E7655E2">
        <w:rPr>
          <w:rFonts w:eastAsia="Times New Roman"/>
          <w:sz w:val="18"/>
          <w:szCs w:val="18"/>
        </w:rPr>
        <w:t xml:space="preserve">***US$ 146 million reductions as result of application of Scenario 2a, </w:t>
      </w:r>
      <w:r w:rsidRPr="2E7655E2">
        <w:rPr>
          <w:rFonts w:eastAsia="Times New Roman"/>
          <w:i/>
          <w:iCs/>
          <w:sz w:val="18"/>
          <w:szCs w:val="18"/>
        </w:rPr>
        <w:t>noting the different calculation methodology which is not directly comparable with the one used in the Updated RTF May Report</w:t>
      </w:r>
      <w:r w:rsidRPr="2E7655E2">
        <w:rPr>
          <w:rFonts w:eastAsia="Times New Roman"/>
          <w:sz w:val="18"/>
          <w:szCs w:val="18"/>
        </w:rPr>
        <w:t>.</w:t>
      </w:r>
    </w:p>
    <w:p w14:paraId="5821A167" w14:textId="77777777" w:rsidR="00F420EF" w:rsidRPr="00A81971" w:rsidRDefault="00F420EF">
      <w:pPr>
        <w:spacing w:after="0"/>
      </w:pPr>
      <w:bookmarkStart w:id="132" w:name="_Toc484366998"/>
      <w:bookmarkStart w:id="133" w:name="_Toc40367001"/>
      <w:bookmarkStart w:id="134" w:name="_Toc40367309"/>
      <w:bookmarkStart w:id="135" w:name="_Toc41495003"/>
      <w:bookmarkStart w:id="136" w:name="_Toc41839956"/>
      <w:bookmarkStart w:id="137" w:name="_Toc41841046"/>
      <w:bookmarkStart w:id="138" w:name="_Toc145692836"/>
      <w:bookmarkEnd w:id="131"/>
    </w:p>
    <w:p w14:paraId="1D39C549" w14:textId="77777777" w:rsidR="350041B7" w:rsidRPr="00926541" w:rsidRDefault="0032495C" w:rsidP="1E375DFC">
      <w:pPr>
        <w:spacing w:after="0" w:line="259" w:lineRule="auto"/>
      </w:pPr>
      <w:r>
        <w:t xml:space="preserve">RTF provided </w:t>
      </w:r>
      <w:r w:rsidR="009E045D">
        <w:t xml:space="preserve">scenarios for the </w:t>
      </w:r>
      <w:r w:rsidR="00E53F20">
        <w:t xml:space="preserve">further </w:t>
      </w:r>
      <w:r w:rsidR="009E045D">
        <w:t xml:space="preserve">consideration by parties for </w:t>
      </w:r>
      <w:r>
        <w:t xml:space="preserve">the </w:t>
      </w:r>
      <w:r w:rsidR="1E375DFC" w:rsidRPr="00926541">
        <w:t xml:space="preserve">high-end of the range of the </w:t>
      </w:r>
      <w:r w:rsidR="1E375DFC" w:rsidRPr="009853CF">
        <w:t xml:space="preserve">2027-2029 triennium </w:t>
      </w:r>
      <w:r w:rsidR="00125CA3">
        <w:t xml:space="preserve">for </w:t>
      </w:r>
      <w:r w:rsidR="1E375DFC" w:rsidRPr="00926541">
        <w:t>the possible increase in the resource allocation for LVCs/VLVCs (US$ 28.2 million</w:t>
      </w:r>
      <w:r w:rsidR="1E375DFC" w:rsidRPr="009853CF">
        <w:t>,</w:t>
      </w:r>
      <w:r w:rsidR="1E375DFC" w:rsidRPr="00926541">
        <w:t xml:space="preserve"> as in Table ES-8), and the </w:t>
      </w:r>
      <w:r w:rsidR="1E375DFC" w:rsidRPr="009853CF">
        <w:t xml:space="preserve">potential </w:t>
      </w:r>
      <w:r w:rsidR="1E375DFC" w:rsidRPr="00926541">
        <w:t xml:space="preserve">funding window for LRM (US$ 52.55 million as in table ES-9) to be considered at </w:t>
      </w:r>
      <w:r w:rsidR="00926541" w:rsidRPr="00926541">
        <w:t>ExCom-100</w:t>
      </w:r>
      <w:r w:rsidR="1E375DFC" w:rsidRPr="00926541">
        <w:t xml:space="preserve">. </w:t>
      </w:r>
    </w:p>
    <w:p w14:paraId="4C524554" w14:textId="77777777" w:rsidR="350041B7" w:rsidRPr="00A81971" w:rsidRDefault="350041B7" w:rsidP="46A3B0F3">
      <w:pPr>
        <w:spacing w:after="0" w:line="259" w:lineRule="auto"/>
      </w:pPr>
    </w:p>
    <w:p w14:paraId="2823DAD2" w14:textId="77777777" w:rsidR="002E3156" w:rsidRDefault="0032495C">
      <w:pPr>
        <w:spacing w:after="0"/>
        <w:sectPr w:rsidR="002E3156" w:rsidSect="002E3156">
          <w:type w:val="oddPage"/>
          <w:pgSz w:w="11906" w:h="16838" w:code="9"/>
          <w:pgMar w:top="1411" w:right="1411" w:bottom="1411" w:left="1411" w:header="706" w:footer="706" w:gutter="0"/>
          <w:pgNumType w:start="1"/>
          <w:cols w:space="708"/>
          <w:docGrid w:linePitch="360"/>
        </w:sectPr>
      </w:pPr>
      <w:r w:rsidRPr="00A81971">
        <w:br w:type="page"/>
      </w:r>
    </w:p>
    <w:p w14:paraId="60B79840" w14:textId="5844B623" w:rsidR="00080066" w:rsidRPr="00A81971" w:rsidRDefault="0032495C" w:rsidP="00696E14">
      <w:pPr>
        <w:pStyle w:val="Heading1"/>
      </w:pPr>
      <w:bookmarkStart w:id="139" w:name="_Toc240987315"/>
      <w:r w:rsidRPr="00A81971">
        <w:lastRenderedPageBreak/>
        <w:t>CHAPTER 1</w:t>
      </w:r>
      <w:r w:rsidR="007909EF">
        <w:t>:</w:t>
      </w:r>
      <w:r w:rsidR="007909EF">
        <w:tab/>
      </w:r>
      <w:r w:rsidRPr="002E3156">
        <w:t>INTRODUCTION</w:t>
      </w:r>
      <w:bookmarkEnd w:id="130"/>
      <w:bookmarkEnd w:id="132"/>
      <w:bookmarkEnd w:id="133"/>
      <w:bookmarkEnd w:id="134"/>
      <w:bookmarkEnd w:id="135"/>
      <w:bookmarkEnd w:id="136"/>
      <w:bookmarkEnd w:id="137"/>
      <w:bookmarkEnd w:id="138"/>
      <w:bookmarkEnd w:id="139"/>
    </w:p>
    <w:p w14:paraId="7E58C8C8" w14:textId="77777777" w:rsidR="00080066" w:rsidRPr="00A81971" w:rsidRDefault="0032495C" w:rsidP="00201CFA">
      <w:pPr>
        <w:pStyle w:val="Heading2"/>
      </w:pPr>
      <w:bookmarkStart w:id="140" w:name="_Toc390721935"/>
      <w:bookmarkStart w:id="141" w:name="_Toc484366999"/>
      <w:bookmarkStart w:id="142" w:name="_Toc40367002"/>
      <w:bookmarkStart w:id="143" w:name="_Toc40367310"/>
      <w:bookmarkStart w:id="144" w:name="_Toc41495004"/>
      <w:bookmarkStart w:id="145" w:name="_Toc41839957"/>
      <w:bookmarkStart w:id="146" w:name="_Toc41841047"/>
      <w:bookmarkStart w:id="147" w:name="_Toc145692837"/>
      <w:bookmarkStart w:id="148" w:name="_Toc240987316"/>
      <w:r w:rsidRPr="00A81971">
        <w:t>1.1</w:t>
      </w:r>
      <w:r w:rsidRPr="00A81971">
        <w:tab/>
      </w:r>
      <w:bookmarkEnd w:id="140"/>
      <w:bookmarkEnd w:id="141"/>
      <w:bookmarkEnd w:id="142"/>
      <w:bookmarkEnd w:id="143"/>
      <w:bookmarkEnd w:id="144"/>
      <w:bookmarkEnd w:id="145"/>
      <w:bookmarkEnd w:id="146"/>
      <w:r w:rsidR="0027507E" w:rsidRPr="00A81971">
        <w:t>T</w:t>
      </w:r>
      <w:r w:rsidR="009F1AB3" w:rsidRPr="00A81971">
        <w:t>erms</w:t>
      </w:r>
      <w:r w:rsidR="0027507E" w:rsidRPr="00A81971">
        <w:t xml:space="preserve"> of reference</w:t>
      </w:r>
      <w:bookmarkEnd w:id="147"/>
      <w:bookmarkEnd w:id="148"/>
    </w:p>
    <w:p w14:paraId="2F1B9253" w14:textId="77777777" w:rsidR="00A613F2" w:rsidRPr="00A81971" w:rsidRDefault="0032495C" w:rsidP="00A613F2">
      <w:pPr>
        <w:tabs>
          <w:tab w:val="left" w:pos="0"/>
        </w:tabs>
        <w:spacing w:after="240"/>
        <w:rPr>
          <w:rFonts w:eastAsia="Times New Roman"/>
          <w:color w:val="000000"/>
        </w:rPr>
      </w:pPr>
      <w:bookmarkStart w:id="149" w:name="_Hlk40973516"/>
      <w:bookmarkStart w:id="150" w:name="_Toc390721938"/>
      <w:bookmarkStart w:id="151" w:name="_Toc484367002"/>
      <w:bookmarkStart w:id="152" w:name="_Toc145692838"/>
      <w:bookmarkStart w:id="153" w:name="_Toc40367005"/>
      <w:bookmarkStart w:id="154" w:name="_Toc40367313"/>
      <w:bookmarkStart w:id="155" w:name="_Toc41495007"/>
      <w:bookmarkStart w:id="156" w:name="_Toc41839960"/>
      <w:bookmarkStart w:id="157" w:name="_Toc41841050"/>
      <w:r w:rsidRPr="00A81971">
        <w:rPr>
          <w:rFonts w:eastAsia="Times New Roman"/>
          <w:color w:val="000000"/>
        </w:rPr>
        <w:t xml:space="preserve">“Decision XXXVII/6: Terms of reference for the study on the 2027–2029 replenishment of the Multilateral Fund for the Implementation of the Montreal Protocol,” adopted at the Thirty-seventh Meeting of the Parties (MOP-37), provided the terms of reference (TOR) for the work of the Technology and Economic Assessment Panel (TEAP) to prepare a report on the appropriate level of the replenishment of the Multilateral Fund for the Implementation of the Montreal Protocol (MLF) for the triennium 2027-2029. </w:t>
      </w:r>
      <w:bookmarkEnd w:id="149"/>
      <w:r w:rsidRPr="00A81971">
        <w:rPr>
          <w:rFonts w:eastAsia="Times New Roman"/>
          <w:color w:val="000000"/>
        </w:rPr>
        <w:t xml:space="preserve">The parties requested the TEAP to prepare a report for submission </w:t>
      </w:r>
      <w:r w:rsidRPr="00A81971">
        <w:rPr>
          <w:rFonts w:eastAsia="Times New Roman"/>
          <w:color w:val="000000"/>
        </w:rPr>
        <w:br/>
        <w:t>MOP-38, and to present it to the Open-ended Working Group at its Forty-eighth meeting (OEWG-48), to enable parties at MOP-38 to take a decision.</w:t>
      </w:r>
    </w:p>
    <w:p w14:paraId="4FC942C2" w14:textId="77777777" w:rsidR="00080066" w:rsidRPr="00A81971" w:rsidRDefault="0032495C" w:rsidP="00201CFA">
      <w:pPr>
        <w:pStyle w:val="Heading2"/>
      </w:pPr>
      <w:bookmarkStart w:id="158" w:name="_Toc240987317"/>
      <w:r w:rsidRPr="00A81971">
        <w:t>1.</w:t>
      </w:r>
      <w:r w:rsidR="00460B23" w:rsidRPr="00A81971">
        <w:t>2</w:t>
      </w:r>
      <w:r>
        <w:tab/>
      </w:r>
      <w:bookmarkEnd w:id="150"/>
      <w:bookmarkEnd w:id="151"/>
      <w:r w:rsidR="004F41C3" w:rsidRPr="002E3156">
        <w:t>SCOPE AND COVERAGE</w:t>
      </w:r>
      <w:bookmarkEnd w:id="152"/>
      <w:bookmarkEnd w:id="153"/>
      <w:bookmarkEnd w:id="154"/>
      <w:bookmarkEnd w:id="155"/>
      <w:bookmarkEnd w:id="156"/>
      <w:bookmarkEnd w:id="157"/>
      <w:bookmarkEnd w:id="158"/>
    </w:p>
    <w:p w14:paraId="7712E6B0" w14:textId="49BB66E9" w:rsidR="00361F8D" w:rsidRPr="00A81971" w:rsidRDefault="0032495C" w:rsidP="00361F8D">
      <w:pPr>
        <w:tabs>
          <w:tab w:val="left" w:pos="0"/>
        </w:tabs>
        <w:spacing w:after="240"/>
        <w:rPr>
          <w:rFonts w:eastAsia="Times New Roman"/>
          <w:color w:val="000000"/>
        </w:rPr>
      </w:pPr>
      <w:bookmarkStart w:id="159" w:name="_Hlk40729073"/>
      <w:bookmarkStart w:id="160" w:name="_Toc145692839"/>
      <w:bookmarkStart w:id="161" w:name="_Toc390721941"/>
      <w:bookmarkStart w:id="162" w:name="_Toc296606995"/>
      <w:bookmarkStart w:id="163" w:name="_Toc292105533"/>
      <w:bookmarkStart w:id="164" w:name="_Toc484367003"/>
      <w:bookmarkStart w:id="165" w:name="_Toc40367006"/>
      <w:bookmarkStart w:id="166" w:name="_Toc40367314"/>
      <w:bookmarkStart w:id="167" w:name="_Toc41495008"/>
      <w:bookmarkStart w:id="168" w:name="_Toc41839961"/>
      <w:bookmarkStart w:id="169" w:name="_Toc41841051"/>
      <w:r w:rsidRPr="00A81971">
        <w:rPr>
          <w:rFonts w:eastAsia="Times New Roman"/>
          <w:color w:val="000000"/>
        </w:rPr>
        <w:t>The text of Decision XX</w:t>
      </w:r>
      <w:r w:rsidR="00A950E0">
        <w:rPr>
          <w:rFonts w:eastAsia="Times New Roman"/>
          <w:color w:val="000000"/>
        </w:rPr>
        <w:t>X</w:t>
      </w:r>
      <w:r w:rsidRPr="00A81971">
        <w:rPr>
          <w:rFonts w:eastAsia="Times New Roman"/>
          <w:color w:val="000000"/>
        </w:rPr>
        <w:t>VII/6 is as follows:</w:t>
      </w:r>
    </w:p>
    <w:p w14:paraId="2B28E274" w14:textId="77777777" w:rsidR="00361F8D" w:rsidRPr="00A81971" w:rsidRDefault="0032495C" w:rsidP="00361F8D">
      <w:pPr>
        <w:tabs>
          <w:tab w:val="left" w:pos="0"/>
        </w:tabs>
        <w:spacing w:after="240"/>
        <w:ind w:left="360"/>
        <w:rPr>
          <w:rFonts w:eastAsia="Times New Roman"/>
          <w:b/>
          <w:bCs/>
          <w:i/>
          <w:iCs/>
          <w:color w:val="000000"/>
        </w:rPr>
      </w:pPr>
      <w:r w:rsidRPr="00A81971">
        <w:rPr>
          <w:rFonts w:eastAsia="Times New Roman"/>
          <w:b/>
          <w:bCs/>
          <w:i/>
          <w:iCs/>
          <w:color w:val="000000"/>
        </w:rPr>
        <w:t>The Thirty-Seventh Meeting of the Parties,</w:t>
      </w:r>
    </w:p>
    <w:p w14:paraId="5A844100" w14:textId="77777777" w:rsidR="00361F8D" w:rsidRPr="00A81971" w:rsidRDefault="0032495C" w:rsidP="00361F8D">
      <w:pPr>
        <w:tabs>
          <w:tab w:val="left" w:pos="0"/>
        </w:tabs>
        <w:spacing w:after="240"/>
        <w:ind w:left="360"/>
        <w:rPr>
          <w:rFonts w:eastAsia="Times New Roman"/>
          <w:i/>
          <w:iCs/>
          <w:color w:val="000000"/>
        </w:rPr>
      </w:pPr>
      <w:r w:rsidRPr="00A81971">
        <w:rPr>
          <w:rFonts w:eastAsia="Times New Roman"/>
          <w:b/>
          <w:bCs/>
          <w:i/>
          <w:iCs/>
          <w:color w:val="000000"/>
        </w:rPr>
        <w:t>Recalling</w:t>
      </w:r>
      <w:r w:rsidRPr="00A81971">
        <w:rPr>
          <w:rFonts w:eastAsia="Times New Roman"/>
          <w:i/>
          <w:iCs/>
          <w:color w:val="000000"/>
        </w:rPr>
        <w:t> the decisions of the Meetings of the Parties on previous terms of reference for studies on the replenishment of the Multilateral Fund for the Implementation of the Montreal Protocol on Substances that Deplete the Ozone Layer,</w:t>
      </w:r>
    </w:p>
    <w:p w14:paraId="1EBE7412" w14:textId="77777777" w:rsidR="00361F8D" w:rsidRPr="00A81971" w:rsidRDefault="0032495C" w:rsidP="00361F8D">
      <w:pPr>
        <w:tabs>
          <w:tab w:val="left" w:pos="0"/>
        </w:tabs>
        <w:spacing w:after="240"/>
        <w:ind w:left="360"/>
        <w:rPr>
          <w:rFonts w:eastAsia="Times New Roman"/>
          <w:i/>
          <w:iCs/>
          <w:color w:val="000000"/>
        </w:rPr>
      </w:pPr>
      <w:r w:rsidRPr="00A81971">
        <w:rPr>
          <w:rFonts w:eastAsia="Times New Roman"/>
          <w:b/>
          <w:bCs/>
          <w:i/>
          <w:iCs/>
          <w:color w:val="000000"/>
        </w:rPr>
        <w:t>Recalling</w:t>
      </w:r>
      <w:r w:rsidRPr="00A81971">
        <w:rPr>
          <w:rFonts w:eastAsia="Times New Roman"/>
          <w:i/>
          <w:iCs/>
          <w:color w:val="000000"/>
        </w:rPr>
        <w:t xml:space="preserve"> also the decisions of the Meetings of the Parties on previous replenishments of the Multilateral Fund,</w:t>
      </w:r>
    </w:p>
    <w:p w14:paraId="0B778C91" w14:textId="77777777" w:rsidR="00361F8D" w:rsidRPr="00A81971" w:rsidRDefault="0032495C" w:rsidP="00361F8D">
      <w:pPr>
        <w:tabs>
          <w:tab w:val="left" w:pos="0"/>
        </w:tabs>
        <w:spacing w:after="240"/>
        <w:ind w:left="360"/>
        <w:rPr>
          <w:rFonts w:eastAsia="Times New Roman"/>
          <w:b/>
          <w:bCs/>
          <w:i/>
          <w:iCs/>
          <w:color w:val="000000"/>
        </w:rPr>
      </w:pPr>
      <w:r w:rsidRPr="00A81971">
        <w:rPr>
          <w:rFonts w:eastAsia="Times New Roman"/>
          <w:b/>
          <w:bCs/>
          <w:i/>
          <w:iCs/>
          <w:color w:val="000000"/>
        </w:rPr>
        <w:t>Decides:</w:t>
      </w:r>
    </w:p>
    <w:p w14:paraId="045848BB" w14:textId="77777777" w:rsidR="00361F8D" w:rsidRPr="00A81971" w:rsidRDefault="0032495C" w:rsidP="007A20BD">
      <w:pPr>
        <w:numPr>
          <w:ilvl w:val="0"/>
          <w:numId w:val="14"/>
        </w:numPr>
        <w:tabs>
          <w:tab w:val="left" w:pos="0"/>
        </w:tabs>
        <w:spacing w:after="240"/>
        <w:contextualSpacing/>
        <w:rPr>
          <w:i/>
          <w:iCs/>
        </w:rPr>
      </w:pPr>
      <w:r w:rsidRPr="00A81971">
        <w:rPr>
          <w:i/>
          <w:iCs/>
        </w:rPr>
        <w:t>To request the Technology and Economic Assessment Panel to prepare a report for submission to the Thirty-Eighth Meeting of the Parties to the Montreal Protocol on Substances that Deplete the Ozone Layer, and to submit it through the Open-ended Working Group of the Parties to the Montreal Protocol at its forty-eighth meeting, to enable the Thirty-Eighth Meeting of the Parties to adopt a decision on the appropriate level of the 2027–2029 replenishment of the Multilateral Fund for the Implementation of the Montreal Protocol;</w:t>
      </w:r>
    </w:p>
    <w:p w14:paraId="49EAEE4C" w14:textId="77777777" w:rsidR="00361F8D" w:rsidRPr="00A81971" w:rsidRDefault="00361F8D" w:rsidP="00361F8D">
      <w:pPr>
        <w:ind w:left="1068"/>
        <w:contextualSpacing/>
        <w:rPr>
          <w:i/>
          <w:iCs/>
        </w:rPr>
      </w:pPr>
    </w:p>
    <w:p w14:paraId="54C4B492" w14:textId="77777777" w:rsidR="00361F8D" w:rsidRPr="00A81971" w:rsidRDefault="0032495C" w:rsidP="007A20BD">
      <w:pPr>
        <w:numPr>
          <w:ilvl w:val="0"/>
          <w:numId w:val="14"/>
        </w:numPr>
        <w:tabs>
          <w:tab w:val="left" w:pos="0"/>
        </w:tabs>
        <w:spacing w:after="240"/>
        <w:contextualSpacing/>
        <w:rPr>
          <w:i/>
          <w:iCs/>
        </w:rPr>
      </w:pPr>
      <w:r w:rsidRPr="00A81971">
        <w:rPr>
          <w:i/>
          <w:iCs/>
        </w:rPr>
        <w:t xml:space="preserve">That, in preparing the report referred to in paragraph 1 above, the Panel should take into account, among other things:  </w:t>
      </w:r>
    </w:p>
    <w:p w14:paraId="19503283" w14:textId="77777777" w:rsidR="00361F8D" w:rsidRPr="00A81971" w:rsidRDefault="0032495C" w:rsidP="007A20BD">
      <w:pPr>
        <w:numPr>
          <w:ilvl w:val="0"/>
          <w:numId w:val="13"/>
        </w:numPr>
        <w:tabs>
          <w:tab w:val="left" w:pos="0"/>
        </w:tabs>
        <w:spacing w:after="120"/>
        <w:ind w:left="1797" w:hanging="357"/>
        <w:contextualSpacing/>
        <w:rPr>
          <w:i/>
          <w:iCs/>
        </w:rPr>
      </w:pPr>
      <w:r w:rsidRPr="00A81971">
        <w:rPr>
          <w:i/>
          <w:iCs/>
        </w:rPr>
        <w:t xml:space="preserve">All control measures and relevant decisions agreed upon by the parties to the Montreal Protocol and the Executive Committee of the Multilateral Fund, including those relevant to decision XXVIII/2, and the decisions of the Meeting of the Parties up to and including the Thirty-Seventh Meeting of the Parties and of the Executive Committee up to and including its ninety-eighth meeting, insofar as those decisions will necessitate expenditure by the Multilateral Fund during the period 2027-2029; </w:t>
      </w:r>
    </w:p>
    <w:p w14:paraId="34AE8D87" w14:textId="77777777" w:rsidR="00361F8D" w:rsidRPr="00A81971" w:rsidRDefault="0032495C" w:rsidP="007A20BD">
      <w:pPr>
        <w:numPr>
          <w:ilvl w:val="0"/>
          <w:numId w:val="13"/>
        </w:numPr>
        <w:tabs>
          <w:tab w:val="left" w:pos="0"/>
        </w:tabs>
        <w:spacing w:after="120"/>
        <w:ind w:left="1797" w:hanging="357"/>
        <w:contextualSpacing/>
        <w:rPr>
          <w:i/>
          <w:iCs/>
        </w:rPr>
      </w:pPr>
      <w:r w:rsidRPr="00A81971">
        <w:rPr>
          <w:i/>
          <w:iCs/>
        </w:rPr>
        <w:t>The special needs of low-volume-consuming and very-low-volume-consuming countries, taking into account relevant decisions of the Executive Committee pertaining to those countries;</w:t>
      </w:r>
    </w:p>
    <w:p w14:paraId="277847E4" w14:textId="77777777" w:rsidR="00361F8D" w:rsidRPr="00A81971" w:rsidRDefault="0032495C" w:rsidP="007A20BD">
      <w:pPr>
        <w:numPr>
          <w:ilvl w:val="0"/>
          <w:numId w:val="13"/>
        </w:numPr>
        <w:tabs>
          <w:tab w:val="left" w:pos="0"/>
        </w:tabs>
        <w:spacing w:after="120"/>
        <w:ind w:left="1797" w:hanging="357"/>
        <w:contextualSpacing/>
        <w:rPr>
          <w:i/>
          <w:iCs/>
        </w:rPr>
      </w:pPr>
      <w:r w:rsidRPr="00A81971">
        <w:rPr>
          <w:i/>
          <w:iCs/>
        </w:rPr>
        <w:t xml:space="preserve">The need to allocate resources to enable all parties operating under paragraph 1 of Article 5 of the Montreal Protocol to comply with Articles 2A to 2J of the Protocol, and the reductions and extended commitments made by parties operating under paragraph 1 of Article 5 under approved hydrochlorofluorocarbon phase-out management plans and Kigali implementation plans; </w:t>
      </w:r>
    </w:p>
    <w:p w14:paraId="4C6AB31E" w14:textId="77777777" w:rsidR="00361F8D" w:rsidRPr="00A81971" w:rsidRDefault="0032495C" w:rsidP="007A20BD">
      <w:pPr>
        <w:numPr>
          <w:ilvl w:val="0"/>
          <w:numId w:val="13"/>
        </w:numPr>
        <w:tabs>
          <w:tab w:val="left" w:pos="0"/>
        </w:tabs>
        <w:spacing w:after="120"/>
        <w:ind w:left="1797" w:hanging="357"/>
        <w:contextualSpacing/>
        <w:rPr>
          <w:i/>
          <w:iCs/>
        </w:rPr>
      </w:pPr>
      <w:r w:rsidRPr="00A81971">
        <w:rPr>
          <w:i/>
          <w:iCs/>
        </w:rPr>
        <w:t>The integration of digital technologies and tools within the servicing sector;</w:t>
      </w:r>
    </w:p>
    <w:p w14:paraId="34667611" w14:textId="77777777" w:rsidR="00361F8D" w:rsidRPr="00A81971" w:rsidRDefault="0032495C" w:rsidP="007A20BD">
      <w:pPr>
        <w:numPr>
          <w:ilvl w:val="0"/>
          <w:numId w:val="13"/>
        </w:numPr>
        <w:tabs>
          <w:tab w:val="left" w:pos="0"/>
        </w:tabs>
        <w:spacing w:after="240"/>
        <w:contextualSpacing/>
        <w:rPr>
          <w:i/>
          <w:iCs/>
        </w:rPr>
      </w:pPr>
      <w:bookmarkStart w:id="170" w:name="_Hlk131453086"/>
      <w:r w:rsidRPr="00A81971">
        <w:rPr>
          <w:i/>
          <w:iCs/>
        </w:rPr>
        <w:lastRenderedPageBreak/>
        <w:t>A scenario to allocate resources for a funding modality to support a limited number of pilot projects to enhance regional atmospheric monitoring of substances controlled by the Montreal Protocol, taking into account decision XXXVI/1 and any other decisions of the Meetings of the Parties and the Executive Committee;</w:t>
      </w:r>
      <w:bookmarkEnd w:id="170"/>
    </w:p>
    <w:p w14:paraId="59CC40CB" w14:textId="77777777" w:rsidR="00361F8D" w:rsidRPr="00A81971" w:rsidRDefault="00361F8D" w:rsidP="00361F8D">
      <w:pPr>
        <w:ind w:left="1800"/>
        <w:contextualSpacing/>
        <w:rPr>
          <w:i/>
          <w:iCs/>
        </w:rPr>
      </w:pPr>
    </w:p>
    <w:p w14:paraId="0BDE84B1" w14:textId="77777777" w:rsidR="00361F8D" w:rsidRPr="00A81971" w:rsidRDefault="0032495C" w:rsidP="007A20BD">
      <w:pPr>
        <w:numPr>
          <w:ilvl w:val="0"/>
          <w:numId w:val="12"/>
        </w:numPr>
        <w:tabs>
          <w:tab w:val="left" w:pos="0"/>
        </w:tabs>
        <w:spacing w:after="240"/>
        <w:ind w:left="720"/>
        <w:contextualSpacing/>
        <w:rPr>
          <w:i/>
          <w:iCs/>
        </w:rPr>
      </w:pPr>
      <w:r w:rsidRPr="00A81971">
        <w:rPr>
          <w:i/>
          <w:iCs/>
        </w:rPr>
        <w:t>That, in estimating the funding requirement associated with the reduction targets, the Panel will use a clearly explained compliance-based methodology that is informed by, but independent of, the business plan of the Multilateral Fund, and that applies a range of cost-effectiveness figures for the manufacturing sectors based on historical experience rather than only on cost-effectiveness thresholds approved by the Executive Committee;</w:t>
      </w:r>
    </w:p>
    <w:p w14:paraId="72951EB7" w14:textId="77777777" w:rsidR="00361F8D" w:rsidRPr="00A81971" w:rsidRDefault="00361F8D" w:rsidP="00F07D5C">
      <w:pPr>
        <w:ind w:left="1440"/>
        <w:contextualSpacing/>
        <w:rPr>
          <w:i/>
          <w:iCs/>
        </w:rPr>
      </w:pPr>
    </w:p>
    <w:p w14:paraId="5DC836F5" w14:textId="77777777" w:rsidR="00361F8D" w:rsidRPr="00A81971" w:rsidRDefault="0032495C" w:rsidP="007A20BD">
      <w:pPr>
        <w:numPr>
          <w:ilvl w:val="0"/>
          <w:numId w:val="12"/>
        </w:numPr>
        <w:tabs>
          <w:tab w:val="left" w:pos="0"/>
        </w:tabs>
        <w:spacing w:after="240"/>
        <w:ind w:left="720"/>
        <w:contextualSpacing/>
        <w:rPr>
          <w:i/>
          <w:iCs/>
        </w:rPr>
      </w:pPr>
      <w:r w:rsidRPr="00A81971">
        <w:rPr>
          <w:i/>
          <w:iCs/>
        </w:rPr>
        <w:t>That, separately from the main estimated funding requirement, the Panel should prepare scenarios for varying numbers of Article 5 parties that have not yet submitted Kigali implementation plans for phasing down hydrofluorocarbons in advance of the Montreal Protocol targets on a voluntary basis;</w:t>
      </w:r>
    </w:p>
    <w:p w14:paraId="64F1452B" w14:textId="77777777" w:rsidR="00361F8D" w:rsidRPr="00A81971" w:rsidRDefault="00361F8D" w:rsidP="00F07D5C">
      <w:pPr>
        <w:ind w:left="1440"/>
        <w:contextualSpacing/>
        <w:rPr>
          <w:i/>
          <w:iCs/>
        </w:rPr>
      </w:pPr>
    </w:p>
    <w:p w14:paraId="16F77F9B" w14:textId="77777777" w:rsidR="00361F8D" w:rsidRPr="00A81971" w:rsidRDefault="0032495C" w:rsidP="007A20BD">
      <w:pPr>
        <w:numPr>
          <w:ilvl w:val="0"/>
          <w:numId w:val="12"/>
        </w:numPr>
        <w:tabs>
          <w:tab w:val="left" w:pos="0"/>
        </w:tabs>
        <w:spacing w:after="240"/>
        <w:ind w:left="720"/>
        <w:contextualSpacing/>
        <w:rPr>
          <w:i/>
          <w:iCs/>
        </w:rPr>
      </w:pPr>
      <w:r w:rsidRPr="00A81971">
        <w:rPr>
          <w:i/>
          <w:iCs/>
        </w:rPr>
        <w:t>That, in preparing the report, the Panel should consult widely, including all relevant persons and institutions and other relevant sources of information deemed useful;</w:t>
      </w:r>
    </w:p>
    <w:p w14:paraId="2FE70FE3" w14:textId="77777777" w:rsidR="00361F8D" w:rsidRPr="00A81971" w:rsidRDefault="00361F8D" w:rsidP="00F07D5C">
      <w:pPr>
        <w:ind w:left="1440"/>
        <w:contextualSpacing/>
        <w:rPr>
          <w:i/>
          <w:iCs/>
        </w:rPr>
      </w:pPr>
    </w:p>
    <w:p w14:paraId="4E59423E" w14:textId="77777777" w:rsidR="00361F8D" w:rsidRPr="00A81971" w:rsidRDefault="0032495C" w:rsidP="007A20BD">
      <w:pPr>
        <w:numPr>
          <w:ilvl w:val="0"/>
          <w:numId w:val="12"/>
        </w:numPr>
        <w:tabs>
          <w:tab w:val="left" w:pos="0"/>
        </w:tabs>
        <w:spacing w:after="240"/>
        <w:ind w:left="720"/>
        <w:contextualSpacing/>
        <w:rPr>
          <w:i/>
          <w:iCs/>
        </w:rPr>
      </w:pPr>
      <w:r w:rsidRPr="00A81971">
        <w:rPr>
          <w:i/>
          <w:iCs/>
        </w:rPr>
        <w:t>That the Panel should strive to complete the report in good time to enable it to be distributed to all parties two months before the forty-eighth meeting of the Open-ended Working Group;</w:t>
      </w:r>
    </w:p>
    <w:p w14:paraId="514F2900" w14:textId="77777777" w:rsidR="00361F8D" w:rsidRPr="00A81971" w:rsidRDefault="00361F8D" w:rsidP="00F07D5C">
      <w:pPr>
        <w:ind w:left="1440"/>
        <w:contextualSpacing/>
        <w:rPr>
          <w:i/>
          <w:iCs/>
        </w:rPr>
      </w:pPr>
    </w:p>
    <w:p w14:paraId="64E4D517" w14:textId="07373228" w:rsidR="00361F8D" w:rsidRPr="00A81971" w:rsidRDefault="0032495C" w:rsidP="007A20BD">
      <w:pPr>
        <w:numPr>
          <w:ilvl w:val="0"/>
          <w:numId w:val="12"/>
        </w:numPr>
        <w:tabs>
          <w:tab w:val="left" w:pos="0"/>
        </w:tabs>
        <w:spacing w:after="240"/>
        <w:ind w:left="720"/>
        <w:contextualSpacing/>
        <w:rPr>
          <w:i/>
          <w:iCs/>
        </w:rPr>
      </w:pPr>
      <w:r w:rsidRPr="00A81971">
        <w:rPr>
          <w:i/>
          <w:iCs/>
        </w:rPr>
        <w:t>That the Panel should provide indicative figures for the periods 2030-2032 and 2033-2035 to support a stable and sufficient level of funding, on the understanding that those figures will be updated in subsequent replenishment studies</w:t>
      </w:r>
      <w:r w:rsidR="00A13554">
        <w:rPr>
          <w:i/>
          <w:iCs/>
        </w:rPr>
        <w:t>;</w:t>
      </w:r>
    </w:p>
    <w:p w14:paraId="39CFC95E" w14:textId="77777777" w:rsidR="00361F8D" w:rsidRPr="00A81971" w:rsidRDefault="00361F8D" w:rsidP="00F07D5C">
      <w:pPr>
        <w:ind w:left="1440"/>
        <w:contextualSpacing/>
        <w:rPr>
          <w:i/>
          <w:iCs/>
        </w:rPr>
      </w:pPr>
    </w:p>
    <w:p w14:paraId="736CF835" w14:textId="77777777" w:rsidR="00361F8D" w:rsidRPr="00A81971" w:rsidRDefault="0032495C" w:rsidP="007A20BD">
      <w:pPr>
        <w:numPr>
          <w:ilvl w:val="0"/>
          <w:numId w:val="12"/>
        </w:numPr>
        <w:tabs>
          <w:tab w:val="left" w:pos="0"/>
        </w:tabs>
        <w:spacing w:after="240"/>
        <w:ind w:left="720"/>
        <w:contextualSpacing/>
        <w:rPr>
          <w:i/>
          <w:iCs/>
        </w:rPr>
      </w:pPr>
      <w:r w:rsidRPr="00A81971">
        <w:rPr>
          <w:i/>
          <w:iCs/>
        </w:rPr>
        <w:t>That the Panel should share the details of the calculations in the form of an appendix to the report to enable parties to fully understand the Panel’s analysis.</w:t>
      </w:r>
    </w:p>
    <w:p w14:paraId="367AFA06" w14:textId="77777777" w:rsidR="00D610D9" w:rsidRPr="00A81971" w:rsidRDefault="0032495C" w:rsidP="00201CFA">
      <w:pPr>
        <w:pStyle w:val="Heading2"/>
      </w:pPr>
      <w:bookmarkStart w:id="171" w:name="_Toc240987318"/>
      <w:bookmarkEnd w:id="159"/>
      <w:r w:rsidRPr="00A81971">
        <w:t>1.3</w:t>
      </w:r>
      <w:r w:rsidRPr="00A81971">
        <w:tab/>
      </w:r>
      <w:r w:rsidR="43EEFCCE" w:rsidRPr="002E3156">
        <w:t xml:space="preserve">TEAP </w:t>
      </w:r>
      <w:r w:rsidR="00295E62" w:rsidRPr="002E3156">
        <w:t>May 202</w:t>
      </w:r>
      <w:r w:rsidR="00AA249E" w:rsidRPr="002E3156">
        <w:t>6</w:t>
      </w:r>
      <w:r w:rsidR="00295E62" w:rsidRPr="002E3156">
        <w:t xml:space="preserve"> report and OEWG-4</w:t>
      </w:r>
      <w:r w:rsidR="00AA249E" w:rsidRPr="002E3156">
        <w:t>8</w:t>
      </w:r>
      <w:bookmarkEnd w:id="160"/>
      <w:bookmarkEnd w:id="171"/>
    </w:p>
    <w:p w14:paraId="26D679E5" w14:textId="510DFB50" w:rsidR="00F408E8" w:rsidRPr="00A81971" w:rsidRDefault="0032495C" w:rsidP="457BD43E">
      <w:pPr>
        <w:rPr>
          <w:rFonts w:eastAsia="Times New Roman"/>
          <w:color w:val="000000" w:themeColor="text1"/>
        </w:rPr>
      </w:pPr>
      <w:r w:rsidRPr="00A81971">
        <w:t xml:space="preserve">The replenishment of the MLF for the 2027–2029 triennium represents a significant milestone in </w:t>
      </w:r>
      <w:r w:rsidRPr="00A81971">
        <w:rPr>
          <w:lang w:eastAsia="zh-CN"/>
        </w:rPr>
        <w:t>assistance to developing countries to comply with the terms of the Montreal Protocol in that</w:t>
      </w:r>
      <w:r w:rsidRPr="00A81971">
        <w:t xml:space="preserve"> the MLF will provide financing for the incremental costs to complete the phase-out of ozone-depleting substances (ODS) and to continue implementing the phase-down of HFCs.</w:t>
      </w:r>
      <w:r w:rsidRPr="00A81971">
        <w:rPr>
          <w:rFonts w:eastAsia="Times New Roman"/>
          <w:color w:val="000000" w:themeColor="text1"/>
        </w:rPr>
        <w:t xml:space="preserve"> Annex C Group I (hydrochlorofluorocarbons (HCFCs)) and Annex F (HFCs) substances are the only substances under the Montreal Protocol where consumption and production are still allowed.</w:t>
      </w:r>
    </w:p>
    <w:p w14:paraId="0D0F0522" w14:textId="7D633F86" w:rsidR="00F408E8" w:rsidRPr="00A81971" w:rsidRDefault="0032495C" w:rsidP="007A20BD">
      <w:pPr>
        <w:numPr>
          <w:ilvl w:val="0"/>
          <w:numId w:val="16"/>
        </w:numPr>
        <w:tabs>
          <w:tab w:val="left" w:pos="0"/>
        </w:tabs>
        <w:spacing w:after="240"/>
        <w:contextualSpacing/>
      </w:pPr>
      <w:r w:rsidRPr="00A81971">
        <w:t>For Annex C, Group 1, controlled substances (HCFCs), the compliance target for the 2027-2029 triennium is a 97.5% reduction from baseline by 1 January 2030.</w:t>
      </w:r>
    </w:p>
    <w:p w14:paraId="1444B302" w14:textId="77777777" w:rsidR="00F408E8" w:rsidRPr="00A81971" w:rsidRDefault="0032495C" w:rsidP="457BD43E">
      <w:pPr>
        <w:spacing w:after="120"/>
        <w:ind w:left="1080"/>
        <w:contextualSpacing/>
      </w:pPr>
      <w:r w:rsidRPr="00A81971">
        <w:t>An annual average of 2.5% is restricted to the servicing of refrigeration and air-conditioning equipment existing during 2030-2040. Decision XXX/2 referring to Annex I of the MOP-30 report</w:t>
      </w:r>
      <w:r>
        <w:rPr>
          <w:vertAlign w:val="superscript"/>
        </w:rPr>
        <w:footnoteReference w:id="11"/>
      </w:r>
      <w:r w:rsidRPr="00A81971">
        <w:t>, adjusted this part of A5 (as well as 2F) to include other uses, i.e., the servicing of fire suppression and fire protection equipment existing on 1 January 2030; solvent applications in rocket engine manufacturing; and topical medical aerosol for applications for the specialised treatment of burns.</w:t>
      </w:r>
    </w:p>
    <w:p w14:paraId="2A941C69" w14:textId="14C26CE1" w:rsidR="00F408E8" w:rsidRPr="00A81971" w:rsidRDefault="0032495C" w:rsidP="007A20BD">
      <w:pPr>
        <w:pStyle w:val="ListParagraph"/>
        <w:numPr>
          <w:ilvl w:val="0"/>
          <w:numId w:val="16"/>
        </w:numPr>
        <w:spacing w:after="120"/>
        <w:jc w:val="both"/>
      </w:pPr>
      <w:r w:rsidRPr="00A81971">
        <w:t>For Annex F controlled substances (HFCs), the compliance targets for the 2027-2029 and the subsequent two triennia are as follows:</w:t>
      </w:r>
    </w:p>
    <w:p w14:paraId="0F12A2F7" w14:textId="77777777" w:rsidR="00F408E8" w:rsidRPr="00A81971" w:rsidRDefault="0032495C" w:rsidP="457BD43E">
      <w:pPr>
        <w:spacing w:after="120"/>
        <w:ind w:left="1080"/>
        <w:contextualSpacing/>
        <w:jc w:val="both"/>
      </w:pPr>
      <w:r w:rsidRPr="00A81971">
        <w:t>Group 1 parties: A 10% reduction from baseline by 1 January 2029, and for future triennia 2030-2032 and 2033-2035, a 30% reduction from baseline by 1 January 2035.</w:t>
      </w:r>
    </w:p>
    <w:p w14:paraId="5902A7C2" w14:textId="77777777" w:rsidR="00F408E8" w:rsidRPr="00A81971" w:rsidRDefault="00F408E8" w:rsidP="457BD43E">
      <w:pPr>
        <w:ind w:left="1080"/>
        <w:contextualSpacing/>
      </w:pPr>
    </w:p>
    <w:p w14:paraId="55EAA8FF" w14:textId="77777777" w:rsidR="00F408E8" w:rsidRPr="00A81971" w:rsidRDefault="0032495C" w:rsidP="457BD43E">
      <w:pPr>
        <w:ind w:left="1080"/>
        <w:contextualSpacing/>
        <w:rPr>
          <w:strike/>
          <w:highlight w:val="yellow"/>
        </w:rPr>
      </w:pPr>
      <w:r w:rsidRPr="00A81971">
        <w:lastRenderedPageBreak/>
        <w:t>Group 2 parties</w:t>
      </w:r>
      <w:r>
        <w:rPr>
          <w:vertAlign w:val="superscript"/>
        </w:rPr>
        <w:footnoteReference w:id="12"/>
      </w:r>
      <w:r w:rsidRPr="00A81971">
        <w:t xml:space="preserve">: A freeze of production and consumption by 1 January 2028, and for future triennia 2030-2032 and 2033-2035, and a 10% reduction from baseline by 1 January 2032. </w:t>
      </w:r>
    </w:p>
    <w:p w14:paraId="26623194" w14:textId="77777777" w:rsidR="00F408E8" w:rsidRPr="00A81971" w:rsidRDefault="00F408E8" w:rsidP="457BD43E">
      <w:pPr>
        <w:rPr>
          <w:lang w:eastAsia="zh-CN"/>
        </w:rPr>
      </w:pPr>
    </w:p>
    <w:p w14:paraId="2014C6AC" w14:textId="77777777" w:rsidR="00F408E8" w:rsidRPr="00A81971" w:rsidRDefault="0032495C" w:rsidP="00F408E8">
      <w:pPr>
        <w:rPr>
          <w:lang w:eastAsia="zh-CN"/>
        </w:rPr>
      </w:pPr>
      <w:r w:rsidRPr="00A81971">
        <w:rPr>
          <w:lang w:eastAsia="zh-CN"/>
        </w:rPr>
        <w:t>The Decision XXX</w:t>
      </w:r>
      <w:r w:rsidR="00A23D3B" w:rsidRPr="00A81971">
        <w:rPr>
          <w:lang w:eastAsia="zh-CN"/>
        </w:rPr>
        <w:t>VII/6</w:t>
      </w:r>
      <w:r w:rsidRPr="00A81971">
        <w:rPr>
          <w:lang w:eastAsia="zh-CN"/>
        </w:rPr>
        <w:t xml:space="preserve"> TEAP R</w:t>
      </w:r>
      <w:r w:rsidR="003E39D2" w:rsidRPr="00A81971">
        <w:rPr>
          <w:lang w:eastAsia="zh-CN"/>
        </w:rPr>
        <w:t xml:space="preserve">eplenishment </w:t>
      </w:r>
      <w:r w:rsidRPr="00A81971">
        <w:rPr>
          <w:lang w:eastAsia="zh-CN"/>
        </w:rPr>
        <w:t>T</w:t>
      </w:r>
      <w:r w:rsidR="003E39D2" w:rsidRPr="00A81971">
        <w:rPr>
          <w:lang w:eastAsia="zh-CN"/>
        </w:rPr>
        <w:t xml:space="preserve">ask </w:t>
      </w:r>
      <w:r w:rsidRPr="00A81971">
        <w:rPr>
          <w:lang w:eastAsia="zh-CN"/>
        </w:rPr>
        <w:t>F</w:t>
      </w:r>
      <w:r w:rsidR="003E39D2" w:rsidRPr="00A81971">
        <w:rPr>
          <w:lang w:eastAsia="zh-CN"/>
        </w:rPr>
        <w:t>orce</w:t>
      </w:r>
      <w:r w:rsidR="00BB303A" w:rsidRPr="00A81971">
        <w:rPr>
          <w:lang w:eastAsia="zh-CN"/>
        </w:rPr>
        <w:t xml:space="preserve"> (RTF)</w:t>
      </w:r>
      <w:r w:rsidRPr="00A81971">
        <w:rPr>
          <w:lang w:eastAsia="zh-CN"/>
        </w:rPr>
        <w:t xml:space="preserve"> Report was published by UNEP in May </w:t>
      </w:r>
      <w:r w:rsidR="00A23D3B" w:rsidRPr="00A81971">
        <w:rPr>
          <w:lang w:eastAsia="zh-CN"/>
        </w:rPr>
        <w:t>2026</w:t>
      </w:r>
      <w:r w:rsidRPr="00A81971">
        <w:rPr>
          <w:lang w:eastAsia="zh-CN"/>
        </w:rPr>
        <w:t xml:space="preserve"> as volume </w:t>
      </w:r>
      <w:r w:rsidR="00A23D3B" w:rsidRPr="00A81971">
        <w:rPr>
          <w:lang w:eastAsia="zh-CN"/>
        </w:rPr>
        <w:t>2</w:t>
      </w:r>
      <w:r w:rsidRPr="00A81971">
        <w:rPr>
          <w:lang w:eastAsia="zh-CN"/>
        </w:rPr>
        <w:t xml:space="preserve"> of the TEAP 202</w:t>
      </w:r>
      <w:r w:rsidR="00A23D3B" w:rsidRPr="00A81971">
        <w:rPr>
          <w:lang w:eastAsia="zh-CN"/>
        </w:rPr>
        <w:t>6</w:t>
      </w:r>
      <w:r w:rsidRPr="00A81971">
        <w:rPr>
          <w:lang w:eastAsia="zh-CN"/>
        </w:rPr>
        <w:t xml:space="preserve"> Progress Rep</w:t>
      </w:r>
      <w:r w:rsidR="00176C5B" w:rsidRPr="00A81971">
        <w:rPr>
          <w:lang w:eastAsia="zh-CN"/>
        </w:rPr>
        <w:t>o</w:t>
      </w:r>
      <w:r w:rsidRPr="00A81971">
        <w:rPr>
          <w:lang w:eastAsia="zh-CN"/>
        </w:rPr>
        <w:t>rt, entitled “Assessment of the funding requirement for the replenishment of the Multilateral Fund for the period 202</w:t>
      </w:r>
      <w:r w:rsidR="00176C5B" w:rsidRPr="00A81971">
        <w:rPr>
          <w:lang w:eastAsia="zh-CN"/>
        </w:rPr>
        <w:t>7</w:t>
      </w:r>
      <w:r w:rsidR="005C003F" w:rsidRPr="00A81971">
        <w:rPr>
          <w:lang w:eastAsia="zh-CN"/>
        </w:rPr>
        <w:t>–</w:t>
      </w:r>
      <w:r w:rsidRPr="00A81971">
        <w:rPr>
          <w:lang w:eastAsia="zh-CN"/>
        </w:rPr>
        <w:t>202</w:t>
      </w:r>
      <w:r w:rsidR="00176C5B" w:rsidRPr="00A81971">
        <w:rPr>
          <w:lang w:eastAsia="zh-CN"/>
        </w:rPr>
        <w:t>9</w:t>
      </w:r>
      <w:r w:rsidRPr="00A81971">
        <w:rPr>
          <w:lang w:eastAsia="zh-CN"/>
        </w:rPr>
        <w:t xml:space="preserve">” </w:t>
      </w:r>
      <w:r w:rsidR="007B70A8" w:rsidRPr="00A81971">
        <w:rPr>
          <w:lang w:eastAsia="zh-CN"/>
        </w:rPr>
        <w:t>(</w:t>
      </w:r>
      <w:r w:rsidR="001D1B78">
        <w:rPr>
          <w:lang w:eastAsia="zh-CN"/>
        </w:rPr>
        <w:t xml:space="preserve">RTF </w:t>
      </w:r>
      <w:r w:rsidR="007B70A8" w:rsidRPr="00A81971">
        <w:rPr>
          <w:lang w:eastAsia="zh-CN"/>
        </w:rPr>
        <w:t xml:space="preserve">May 2026 Report). </w:t>
      </w:r>
      <w:r w:rsidRPr="00A81971">
        <w:t>In that report, the RTF estimated the funding requirements for the 202</w:t>
      </w:r>
      <w:r w:rsidR="00176C5B" w:rsidRPr="00A81971">
        <w:t>7</w:t>
      </w:r>
      <w:r w:rsidRPr="00A81971">
        <w:t>–-202</w:t>
      </w:r>
      <w:r w:rsidR="00176C5B" w:rsidRPr="00A81971">
        <w:t>9</w:t>
      </w:r>
      <w:r w:rsidRPr="00A81971">
        <w:t xml:space="preserve"> triennium and future triennia informed by the “Consolidated Business Plan of the Multilateral Fund for 202</w:t>
      </w:r>
      <w:r w:rsidR="00176C5B" w:rsidRPr="00A81971">
        <w:t>6</w:t>
      </w:r>
      <w:r w:rsidRPr="00A81971">
        <w:t>–-202</w:t>
      </w:r>
      <w:r w:rsidR="00176C5B" w:rsidRPr="00A81971">
        <w:t>8</w:t>
      </w:r>
      <w:r w:rsidRPr="00A81971">
        <w:t xml:space="preserve">,” relevant decisions of the </w:t>
      </w:r>
      <w:r w:rsidR="00D35BAC" w:rsidRPr="00A81971">
        <w:t>Executive Committee (</w:t>
      </w:r>
      <w:r w:rsidRPr="00A81971">
        <w:t>ExCom</w:t>
      </w:r>
      <w:r w:rsidR="00D35BAC" w:rsidRPr="00A81971">
        <w:t>)</w:t>
      </w:r>
      <w:r w:rsidRPr="00A81971">
        <w:t xml:space="preserve"> up to its 9</w:t>
      </w:r>
      <w:r w:rsidR="00D35BAC" w:rsidRPr="00A81971">
        <w:t>7</w:t>
      </w:r>
      <w:r w:rsidR="00D35BAC" w:rsidRPr="00A81971">
        <w:rPr>
          <w:vertAlign w:val="superscript"/>
        </w:rPr>
        <w:t>th</w:t>
      </w:r>
      <w:r w:rsidR="00D35BAC" w:rsidRPr="00A81971">
        <w:t xml:space="preserve"> </w:t>
      </w:r>
      <w:r w:rsidRPr="00A81971">
        <w:t xml:space="preserve">meeting, information available through the Multilateral Fund Secretariat (MLFS), and information available to the RTF as of </w:t>
      </w:r>
      <w:r w:rsidR="00D35BAC" w:rsidRPr="00A81971">
        <w:t>8</w:t>
      </w:r>
      <w:r w:rsidRPr="00A81971">
        <w:t xml:space="preserve"> April 202</w:t>
      </w:r>
      <w:r w:rsidR="00D35BAC" w:rsidRPr="00A81971">
        <w:t>6</w:t>
      </w:r>
      <w:r w:rsidRPr="00A81971">
        <w:t>, the cut-off date used by the RTF in order to fix its modelling assumptions and complete its report drafting and consensus review process in time for submission of its report to OEWG-4</w:t>
      </w:r>
      <w:r w:rsidR="001B3F44" w:rsidRPr="00A81971">
        <w:t>8</w:t>
      </w:r>
      <w:r w:rsidRPr="00A81971">
        <w:t>. The RTF relied on existing cost guidelines under the MLF</w:t>
      </w:r>
      <w:r w:rsidR="001B3F44" w:rsidRPr="00A81971">
        <w:t>, Article 7</w:t>
      </w:r>
      <w:r w:rsidR="457BD43E" w:rsidRPr="00A81971">
        <w:t xml:space="preserve"> (A7)</w:t>
      </w:r>
      <w:r w:rsidR="001B3F44" w:rsidRPr="00A81971">
        <w:t xml:space="preserve"> reporting data, calculated baselines, and Country Programmes (CP)</w:t>
      </w:r>
      <w:r w:rsidRPr="00A81971">
        <w:t>.</w:t>
      </w:r>
    </w:p>
    <w:p w14:paraId="58166809" w14:textId="77777777" w:rsidR="00F408E8" w:rsidRPr="00A81971" w:rsidRDefault="0032495C" w:rsidP="00F408E8">
      <w:pPr>
        <w:tabs>
          <w:tab w:val="left" w:pos="2160"/>
          <w:tab w:val="left" w:pos="2880"/>
          <w:tab w:val="left" w:pos="3600"/>
          <w:tab w:val="left" w:pos="4320"/>
          <w:tab w:val="left" w:pos="5040"/>
          <w:tab w:val="left" w:pos="6480"/>
          <w:tab w:val="left" w:pos="7200"/>
          <w:tab w:val="left" w:pos="7920"/>
        </w:tabs>
        <w:spacing w:after="240"/>
        <w:rPr>
          <w:lang w:eastAsia="zh-CN"/>
        </w:rPr>
      </w:pPr>
      <w:r w:rsidRPr="00A81971">
        <w:t>The RTF presented its report at OEWG-4</w:t>
      </w:r>
      <w:r w:rsidR="001B3F44" w:rsidRPr="00A81971">
        <w:t>8</w:t>
      </w:r>
      <w:r w:rsidRPr="00A81971">
        <w:t xml:space="preserve"> and responded to clarifying questions from parties. Subsequently, the Working Group established a Contact Group to further consider the report.</w:t>
      </w:r>
      <w:r w:rsidRPr="00A81971">
        <w:rPr>
          <w:lang w:eastAsia="zh-CN"/>
        </w:rPr>
        <w:t xml:space="preserve"> The Contact Group was co-chaired by </w:t>
      </w:r>
      <w:r w:rsidR="00B90AFC" w:rsidRPr="00A81971">
        <w:rPr>
          <w:lang w:eastAsia="zh-CN"/>
        </w:rPr>
        <w:t>Ms. Miruza Mohamed (Maldives) and Mr. Ralph Brieskorn (Netherlands)</w:t>
      </w:r>
      <w:r w:rsidRPr="00A81971">
        <w:rPr>
          <w:lang w:eastAsia="zh-CN"/>
        </w:rPr>
        <w:t>. The Contact Group held several sessions, which were attended by members of the RTF and by representatives of the MLF</w:t>
      </w:r>
      <w:r w:rsidR="003225C9" w:rsidRPr="00A81971">
        <w:rPr>
          <w:lang w:eastAsia="zh-CN"/>
        </w:rPr>
        <w:t>S</w:t>
      </w:r>
      <w:r w:rsidRPr="00A81971">
        <w:rPr>
          <w:lang w:eastAsia="zh-CN"/>
        </w:rPr>
        <w:t xml:space="preserve">, as resource persons. During the discussions, the members of the Contact Group received clarification and additional information from the RTF. The Contact Group </w:t>
      </w:r>
      <w:r w:rsidR="005B46FB" w:rsidRPr="00A81971">
        <w:rPr>
          <w:lang w:eastAsia="zh-CN"/>
        </w:rPr>
        <w:t xml:space="preserve">held extensive discussions before agreeing on the </w:t>
      </w:r>
      <w:r w:rsidRPr="00A81971">
        <w:rPr>
          <w:lang w:eastAsia="zh-CN"/>
        </w:rPr>
        <w:t>suggestions for additional analysis to be addressed by the RTF in a supplementary report on MLF replenishment for the period 202</w:t>
      </w:r>
      <w:r w:rsidR="001E00FA" w:rsidRPr="00A81971">
        <w:rPr>
          <w:lang w:eastAsia="zh-CN"/>
        </w:rPr>
        <w:t>7</w:t>
      </w:r>
      <w:r w:rsidRPr="00A81971">
        <w:rPr>
          <w:lang w:eastAsia="zh-CN"/>
        </w:rPr>
        <w:t>–202</w:t>
      </w:r>
      <w:r w:rsidR="001E00FA" w:rsidRPr="00A81971">
        <w:rPr>
          <w:lang w:eastAsia="zh-CN"/>
        </w:rPr>
        <w:t>9</w:t>
      </w:r>
      <w:r w:rsidRPr="00A81971">
        <w:rPr>
          <w:lang w:eastAsia="zh-CN"/>
        </w:rPr>
        <w:t>.</w:t>
      </w:r>
    </w:p>
    <w:p w14:paraId="6EA1F9E8" w14:textId="77777777" w:rsidR="00F408E8" w:rsidRPr="00A81971" w:rsidRDefault="0032495C" w:rsidP="00F408E8">
      <w:pPr>
        <w:spacing w:before="320" w:after="240"/>
        <w:rPr>
          <w:lang w:eastAsia="zh-CN"/>
        </w:rPr>
      </w:pPr>
      <w:r w:rsidRPr="00A81971">
        <w:rPr>
          <w:lang w:eastAsia="zh-CN"/>
        </w:rPr>
        <w:t>The list of categories and suggestions by item number follows below and can also be found in the report of OEWG-4</w:t>
      </w:r>
      <w:r w:rsidR="001860EE" w:rsidRPr="00A81971">
        <w:rPr>
          <w:lang w:eastAsia="zh-CN"/>
        </w:rPr>
        <w:t>8</w:t>
      </w:r>
      <w:r>
        <w:rPr>
          <w:rStyle w:val="FootnoteReference"/>
          <w:lang w:eastAsia="zh-CN"/>
        </w:rPr>
        <w:footnoteReference w:id="13"/>
      </w:r>
      <w:r w:rsidRPr="00A81971">
        <w:rPr>
          <w:lang w:eastAsia="zh-CN"/>
        </w:rPr>
        <w:t xml:space="preserve">: </w:t>
      </w:r>
    </w:p>
    <w:p w14:paraId="56FD34E9" w14:textId="77777777" w:rsidR="00502C98" w:rsidRPr="00A81971" w:rsidRDefault="0032495C" w:rsidP="00502C98">
      <w:pPr>
        <w:rPr>
          <w:b/>
          <w:i/>
          <w:lang w:eastAsia="zh-CN"/>
        </w:rPr>
      </w:pPr>
      <w:r w:rsidRPr="00A81971">
        <w:rPr>
          <w:b/>
          <w:i/>
          <w:lang w:eastAsia="zh-CN"/>
        </w:rPr>
        <w:t>ExCom-98 Decisions</w:t>
      </w:r>
    </w:p>
    <w:p w14:paraId="4AE3C3C2" w14:textId="77777777" w:rsidR="00502C98" w:rsidRPr="00A81971" w:rsidRDefault="0032495C">
      <w:pPr>
        <w:numPr>
          <w:ilvl w:val="0"/>
          <w:numId w:val="7"/>
        </w:numPr>
        <w:rPr>
          <w:i/>
          <w:lang w:eastAsia="zh-CN"/>
        </w:rPr>
      </w:pPr>
      <w:r w:rsidRPr="00A81971">
        <w:rPr>
          <w:i/>
          <w:lang w:eastAsia="zh-CN"/>
        </w:rPr>
        <w:t>Adjust all elements of the funding requirements based on relevant decisions taken at the 98th meeting of the Executive Committee and make any additional necessary updates to accurately reflect amounts in approved HPMPs and KIPs;</w:t>
      </w:r>
    </w:p>
    <w:p w14:paraId="1ED9BFA5" w14:textId="77777777" w:rsidR="008D5069" w:rsidRPr="00A81971" w:rsidRDefault="0032495C" w:rsidP="005D71F2">
      <w:pPr>
        <w:rPr>
          <w:b/>
          <w:i/>
          <w:lang w:eastAsia="zh-CN"/>
        </w:rPr>
      </w:pPr>
      <w:r w:rsidRPr="00A81971">
        <w:rPr>
          <w:b/>
          <w:i/>
          <w:lang w:eastAsia="zh-CN"/>
        </w:rPr>
        <w:t>Overall Suggestions/Methodological Approach</w:t>
      </w:r>
    </w:p>
    <w:p w14:paraId="2299F270" w14:textId="5B18D6D1" w:rsidR="008D5069" w:rsidRPr="00A81971" w:rsidRDefault="0032495C">
      <w:pPr>
        <w:numPr>
          <w:ilvl w:val="0"/>
          <w:numId w:val="7"/>
        </w:numPr>
        <w:rPr>
          <w:i/>
          <w:lang w:eastAsia="zh-CN"/>
        </w:rPr>
      </w:pPr>
      <w:r w:rsidRPr="00A81971">
        <w:rPr>
          <w:i/>
          <w:lang w:eastAsia="zh-CN"/>
        </w:rPr>
        <w:t>When estimating the funding requirements for HPMPs and KIPs, apply CE factors according to three scenarios: one based on historical CEs; a second one based on CE factors for each A5 party over the past 6 years; and a third one based on average funding levels for each A5 party over the past 6 years</w:t>
      </w:r>
      <w:r w:rsidR="005B032C">
        <w:rPr>
          <w:i/>
          <w:lang w:eastAsia="zh-CN"/>
        </w:rPr>
        <w:t>;</w:t>
      </w:r>
    </w:p>
    <w:p w14:paraId="06F66FD5" w14:textId="77777777" w:rsidR="008D5069" w:rsidRPr="00A81971" w:rsidRDefault="0032495C">
      <w:pPr>
        <w:numPr>
          <w:ilvl w:val="0"/>
          <w:numId w:val="7"/>
        </w:numPr>
        <w:rPr>
          <w:i/>
          <w:lang w:eastAsia="zh-CN"/>
        </w:rPr>
      </w:pPr>
      <w:r w:rsidRPr="00A81971">
        <w:rPr>
          <w:i/>
          <w:lang w:eastAsia="zh-CN"/>
        </w:rPr>
        <w:t>To request the Panel to present revised funding ranges with alternative scenarios that assess the impact of the following:</w:t>
      </w:r>
    </w:p>
    <w:p w14:paraId="372CFA3F" w14:textId="6EBAA959" w:rsidR="008D5069" w:rsidRPr="00A81971" w:rsidRDefault="0032495C" w:rsidP="007A20BD">
      <w:pPr>
        <w:numPr>
          <w:ilvl w:val="0"/>
          <w:numId w:val="15"/>
        </w:numPr>
        <w:rPr>
          <w:i/>
          <w:lang w:eastAsia="zh-CN"/>
        </w:rPr>
      </w:pPr>
      <w:r w:rsidRPr="00A81971">
        <w:rPr>
          <w:i/>
          <w:lang w:eastAsia="zh-CN"/>
        </w:rPr>
        <w:t>A low-end scenario based on the most recently reported consumption data for HCFCs and HFCs and a high-end scenario based on established HFC baselines and HCFC remaining eligible consumption</w:t>
      </w:r>
      <w:r w:rsidR="005B032C">
        <w:rPr>
          <w:i/>
          <w:lang w:eastAsia="zh-CN"/>
        </w:rPr>
        <w:t>;</w:t>
      </w:r>
    </w:p>
    <w:p w14:paraId="538921BF" w14:textId="7ECAA345" w:rsidR="008D5069" w:rsidRPr="00A81971" w:rsidRDefault="0032495C" w:rsidP="007A20BD">
      <w:pPr>
        <w:numPr>
          <w:ilvl w:val="0"/>
          <w:numId w:val="15"/>
        </w:numPr>
        <w:rPr>
          <w:i/>
          <w:lang w:eastAsia="zh-CN"/>
        </w:rPr>
      </w:pPr>
      <w:r w:rsidRPr="00A81971">
        <w:rPr>
          <w:i/>
          <w:lang w:eastAsia="zh-CN"/>
        </w:rPr>
        <w:t xml:space="preserve">Realistic project implementation timelines such as modifying resources allocation schedule A for </w:t>
      </w:r>
      <w:r w:rsidR="00771C82">
        <w:rPr>
          <w:i/>
          <w:lang w:eastAsia="zh-CN"/>
        </w:rPr>
        <w:t>Stage</w:t>
      </w:r>
      <w:r w:rsidRPr="00A81971">
        <w:rPr>
          <w:i/>
          <w:lang w:eastAsia="zh-CN"/>
        </w:rPr>
        <w:t xml:space="preserve"> II KIPs and to take into account rates of ratification for remaining non</w:t>
      </w:r>
      <w:r w:rsidR="5F0D7981" w:rsidRPr="00A81971">
        <w:rPr>
          <w:i/>
          <w:iCs/>
          <w:lang w:eastAsia="zh-CN"/>
        </w:rPr>
        <w:t>-</w:t>
      </w:r>
      <w:r w:rsidRPr="00A81971">
        <w:rPr>
          <w:i/>
          <w:lang w:eastAsia="zh-CN"/>
        </w:rPr>
        <w:t>parties to the Kigali Amendment</w:t>
      </w:r>
      <w:r w:rsidR="005B032C">
        <w:rPr>
          <w:i/>
          <w:lang w:eastAsia="zh-CN"/>
        </w:rPr>
        <w:t>;</w:t>
      </w:r>
    </w:p>
    <w:p w14:paraId="4EE07494" w14:textId="6B8BEDD6" w:rsidR="008D5069" w:rsidRPr="00A81971" w:rsidRDefault="0032495C" w:rsidP="007A20BD">
      <w:pPr>
        <w:numPr>
          <w:ilvl w:val="0"/>
          <w:numId w:val="15"/>
        </w:numPr>
        <w:rPr>
          <w:i/>
          <w:lang w:eastAsia="zh-CN"/>
        </w:rPr>
      </w:pPr>
      <w:r w:rsidRPr="00A81971">
        <w:rPr>
          <w:i/>
          <w:lang w:eastAsia="zh-CN"/>
        </w:rPr>
        <w:lastRenderedPageBreak/>
        <w:t>HFC-23 mitigation scenarios that account for the ongoing operating costs, IOCs of approved MLF projects</w:t>
      </w:r>
      <w:r w:rsidR="005B032C">
        <w:rPr>
          <w:i/>
          <w:lang w:eastAsia="zh-CN"/>
        </w:rPr>
        <w:t>;</w:t>
      </w:r>
    </w:p>
    <w:p w14:paraId="13E52397" w14:textId="43D90C4B" w:rsidR="008D5069" w:rsidRPr="00A81971" w:rsidRDefault="0032495C" w:rsidP="007A20BD">
      <w:pPr>
        <w:numPr>
          <w:ilvl w:val="0"/>
          <w:numId w:val="15"/>
        </w:numPr>
        <w:rPr>
          <w:i/>
          <w:lang w:eastAsia="zh-CN"/>
        </w:rPr>
      </w:pPr>
      <w:r w:rsidRPr="00A81971">
        <w:rPr>
          <w:i/>
          <w:lang w:eastAsia="zh-CN"/>
        </w:rPr>
        <w:t>A low-end scenario for EE (decision 94/60) based on projects included in the business plan of the MLF and a high-end scenario reflecting full utilization of remaining funds in the 94/60 funding window aimed at promoting EE improvements in the context of the HFC phase down in the next triennium</w:t>
      </w:r>
      <w:r w:rsidR="005B032C">
        <w:rPr>
          <w:i/>
          <w:lang w:eastAsia="zh-CN"/>
        </w:rPr>
        <w:t>;</w:t>
      </w:r>
    </w:p>
    <w:p w14:paraId="589318D1" w14:textId="108AAF81" w:rsidR="008D5069" w:rsidRPr="00A81971" w:rsidRDefault="0032495C" w:rsidP="007A20BD">
      <w:pPr>
        <w:numPr>
          <w:ilvl w:val="0"/>
          <w:numId w:val="15"/>
        </w:numPr>
        <w:rPr>
          <w:i/>
          <w:lang w:eastAsia="zh-CN"/>
        </w:rPr>
      </w:pPr>
      <w:r w:rsidRPr="00A81971">
        <w:rPr>
          <w:i/>
          <w:lang w:eastAsia="zh-CN"/>
        </w:rPr>
        <w:t>The distribution of funding across different levels of country consumption to address the needs of A5 parties to enable compliance is adequately reflected</w:t>
      </w:r>
      <w:r w:rsidR="005B032C">
        <w:rPr>
          <w:i/>
          <w:lang w:eastAsia="zh-CN"/>
        </w:rPr>
        <w:t>;</w:t>
      </w:r>
    </w:p>
    <w:p w14:paraId="1E2BF646" w14:textId="77777777" w:rsidR="008D5069" w:rsidRPr="00A81971" w:rsidRDefault="0032495C" w:rsidP="00BD67AB">
      <w:pPr>
        <w:rPr>
          <w:b/>
          <w:i/>
          <w:lang w:eastAsia="zh-CN"/>
        </w:rPr>
      </w:pPr>
      <w:r w:rsidRPr="00A81971">
        <w:rPr>
          <w:b/>
          <w:i/>
          <w:lang w:eastAsia="zh-CN"/>
        </w:rPr>
        <w:t>LVCs - VLVCs</w:t>
      </w:r>
    </w:p>
    <w:p w14:paraId="1793A7EF" w14:textId="6DDEEDCE" w:rsidR="008D5069" w:rsidRPr="00A81971" w:rsidRDefault="0032495C">
      <w:pPr>
        <w:numPr>
          <w:ilvl w:val="0"/>
          <w:numId w:val="7"/>
        </w:numPr>
        <w:rPr>
          <w:i/>
          <w:lang w:eastAsia="zh-CN"/>
        </w:rPr>
      </w:pPr>
      <w:r w:rsidRPr="00A81971">
        <w:rPr>
          <w:i/>
          <w:lang w:eastAsia="zh-CN"/>
        </w:rPr>
        <w:t>Recalling the TOR in decision XXXVII/6, requests the RTF 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r w:rsidR="005B032C">
        <w:rPr>
          <w:i/>
          <w:lang w:eastAsia="zh-CN"/>
        </w:rPr>
        <w:t>;</w:t>
      </w:r>
    </w:p>
    <w:p w14:paraId="169E40C3" w14:textId="77777777" w:rsidR="008D5069" w:rsidRPr="00A81971" w:rsidRDefault="0032495C" w:rsidP="00BD67AB">
      <w:pPr>
        <w:rPr>
          <w:b/>
          <w:i/>
          <w:lang w:eastAsia="zh-CN"/>
        </w:rPr>
      </w:pPr>
      <w:r w:rsidRPr="00A81971">
        <w:rPr>
          <w:b/>
          <w:i/>
          <w:lang w:eastAsia="zh-CN"/>
        </w:rPr>
        <w:t>LRM</w:t>
      </w:r>
    </w:p>
    <w:p w14:paraId="50273083" w14:textId="362154B6" w:rsidR="00F408E8" w:rsidRPr="00A81971" w:rsidRDefault="0032495C">
      <w:pPr>
        <w:numPr>
          <w:ilvl w:val="0"/>
          <w:numId w:val="7"/>
        </w:numPr>
        <w:rPr>
          <w:i/>
          <w:lang w:eastAsia="zh-CN"/>
        </w:rPr>
      </w:pPr>
      <w:r w:rsidRPr="00A81971">
        <w:rPr>
          <w:i/>
          <w:lang w:eastAsia="zh-CN"/>
        </w:rPr>
        <w:t>Include a cost estimate for a high-end scenario for the potential funding window to be considered at the 100th ExCom meeting for the period 2027-2029 to support the implementation of national plans developed pursuant to decision 91/66, taking into account that activities to recover, recycle and reclaim refrigerants are also financed under HPMPs and KIPs</w:t>
      </w:r>
      <w:r w:rsidR="005B032C">
        <w:rPr>
          <w:i/>
          <w:lang w:eastAsia="zh-CN"/>
        </w:rPr>
        <w:t>.</w:t>
      </w:r>
    </w:p>
    <w:p w14:paraId="0A7CE9DC" w14:textId="77777777" w:rsidR="00697F0D" w:rsidRPr="00A81971" w:rsidRDefault="0032495C" w:rsidP="00201CFA">
      <w:pPr>
        <w:pStyle w:val="Heading2"/>
      </w:pPr>
      <w:bookmarkStart w:id="172" w:name="_Toc145692840"/>
      <w:bookmarkStart w:id="173" w:name="_Toc240987319"/>
      <w:r w:rsidRPr="00A81971">
        <w:t>1.4</w:t>
      </w:r>
      <w:r w:rsidR="56C74B24" w:rsidRPr="00A81971">
        <w:tab/>
      </w:r>
      <w:r w:rsidRPr="002E3156">
        <w:t>Approach to supplementary report</w:t>
      </w:r>
      <w:bookmarkEnd w:id="161"/>
      <w:bookmarkEnd w:id="162"/>
      <w:bookmarkEnd w:id="163"/>
      <w:bookmarkEnd w:id="164"/>
      <w:bookmarkEnd w:id="165"/>
      <w:bookmarkEnd w:id="166"/>
      <w:bookmarkEnd w:id="167"/>
      <w:bookmarkEnd w:id="168"/>
      <w:bookmarkEnd w:id="169"/>
      <w:bookmarkEnd w:id="172"/>
      <w:bookmarkEnd w:id="173"/>
    </w:p>
    <w:p w14:paraId="75244F58" w14:textId="77777777" w:rsidR="457BD43E" w:rsidRPr="00A81971" w:rsidRDefault="0032495C" w:rsidP="457BD43E">
      <w:r w:rsidRPr="00A81971">
        <w:t>For this</w:t>
      </w:r>
      <w:r w:rsidR="00C62E62" w:rsidRPr="00A81971">
        <w:t xml:space="preserve"> supplementary report</w:t>
      </w:r>
      <w:r w:rsidRPr="00A81971">
        <w:t xml:space="preserve"> </w:t>
      </w:r>
      <w:r w:rsidR="00CF79C9" w:rsidRPr="00A81971">
        <w:t>(</w:t>
      </w:r>
      <w:r w:rsidRPr="00A81971">
        <w:t>September 2026 Report</w:t>
      </w:r>
      <w:r w:rsidR="00CF79C9" w:rsidRPr="00A81971">
        <w:t>)</w:t>
      </w:r>
      <w:r w:rsidRPr="00A81971">
        <w:t>, the RTF’s approach was to first update its estimates using the same modelling approach as in its May 2026 report with updated data and available information since that report was finalized, including the following:</w:t>
      </w:r>
    </w:p>
    <w:p w14:paraId="0D04EC8A"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A7 consumption data as reported to the O</w:t>
      </w:r>
      <w:r w:rsidR="00C43F2D" w:rsidRPr="00A81971">
        <w:rPr>
          <w:rFonts w:eastAsia="Times New Roman"/>
        </w:rPr>
        <w:t xml:space="preserve">zone </w:t>
      </w:r>
      <w:r w:rsidRPr="00A81971">
        <w:rPr>
          <w:rFonts w:eastAsia="Times New Roman"/>
        </w:rPr>
        <w:t>S</w:t>
      </w:r>
      <w:r w:rsidR="00C43F2D" w:rsidRPr="00A81971">
        <w:rPr>
          <w:rFonts w:eastAsia="Times New Roman"/>
        </w:rPr>
        <w:t>ecretariat (OS)</w:t>
      </w:r>
      <w:r w:rsidRPr="00A81971">
        <w:rPr>
          <w:rFonts w:eastAsia="Times New Roman"/>
        </w:rPr>
        <w:t>, as of 17 July 2026;</w:t>
      </w:r>
    </w:p>
    <w:p w14:paraId="10F3307E"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CP data submitted to the MLFS, as of 17 July 2026;</w:t>
      </w:r>
    </w:p>
    <w:p w14:paraId="5C981AC1"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 xml:space="preserve">Information provided by the MLFS on approved </w:t>
      </w:r>
      <w:r w:rsidR="00B55C93" w:rsidRPr="00A81971">
        <w:rPr>
          <w:rFonts w:eastAsia="Times New Roman"/>
        </w:rPr>
        <w:t>HCFC Phase-out Management Plans (</w:t>
      </w:r>
      <w:r w:rsidRPr="00A81971">
        <w:rPr>
          <w:rFonts w:eastAsia="Times New Roman"/>
        </w:rPr>
        <w:t>HPMPs</w:t>
      </w:r>
      <w:r w:rsidR="00B55C93" w:rsidRPr="00A81971">
        <w:rPr>
          <w:rFonts w:eastAsia="Times New Roman"/>
        </w:rPr>
        <w:t>)</w:t>
      </w:r>
      <w:r w:rsidRPr="00A81971">
        <w:rPr>
          <w:rFonts w:eastAsia="Times New Roman"/>
        </w:rPr>
        <w:t xml:space="preserve"> and </w:t>
      </w:r>
      <w:r w:rsidR="00B55C93" w:rsidRPr="00A81971">
        <w:rPr>
          <w:rFonts w:eastAsia="Times New Roman"/>
        </w:rPr>
        <w:t>Kigali HFC Implementation Plans (</w:t>
      </w:r>
      <w:r w:rsidRPr="00A81971">
        <w:rPr>
          <w:rFonts w:eastAsia="Times New Roman"/>
        </w:rPr>
        <w:t>KIPs</w:t>
      </w:r>
      <w:r w:rsidR="00B55C93" w:rsidRPr="00A81971">
        <w:rPr>
          <w:rFonts w:eastAsia="Times New Roman"/>
        </w:rPr>
        <w:t>)</w:t>
      </w:r>
      <w:r w:rsidRPr="00A81971">
        <w:rPr>
          <w:rFonts w:eastAsia="Times New Roman"/>
        </w:rPr>
        <w:t xml:space="preserve">, including agreed reductions from baseline consumption, funding and tranche schedules, project preparation and verification activities, as well as </w:t>
      </w:r>
      <w:r w:rsidR="00D67BEE" w:rsidRPr="00A81971">
        <w:rPr>
          <w:rFonts w:eastAsia="Times New Roman"/>
        </w:rPr>
        <w:t xml:space="preserve">updated </w:t>
      </w:r>
      <w:r w:rsidRPr="00A81971">
        <w:rPr>
          <w:rFonts w:eastAsia="Times New Roman"/>
        </w:rPr>
        <w:t xml:space="preserve">information on </w:t>
      </w:r>
      <w:r w:rsidR="00D67BEE" w:rsidRPr="00A81971">
        <w:rPr>
          <w:rFonts w:eastAsia="Times New Roman"/>
        </w:rPr>
        <w:t xml:space="preserve">HFC-23 mitigation and </w:t>
      </w:r>
      <w:r w:rsidR="00E22BBD" w:rsidRPr="00A81971">
        <w:rPr>
          <w:rFonts w:eastAsia="Times New Roman"/>
        </w:rPr>
        <w:t>energy efficiency (</w:t>
      </w:r>
      <w:r w:rsidRPr="00A81971">
        <w:rPr>
          <w:rFonts w:eastAsia="Times New Roman"/>
        </w:rPr>
        <w:t>EE</w:t>
      </w:r>
      <w:r w:rsidR="00E22BBD" w:rsidRPr="00A81971">
        <w:rPr>
          <w:rFonts w:eastAsia="Times New Roman"/>
        </w:rPr>
        <w:t>)</w:t>
      </w:r>
      <w:r w:rsidRPr="00A81971">
        <w:rPr>
          <w:rFonts w:eastAsia="Times New Roman"/>
        </w:rPr>
        <w:t xml:space="preserve"> and the status of funding windows;</w:t>
      </w:r>
    </w:p>
    <w:p w14:paraId="524734CE"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ExCom documents and decisions, including cost guidelines, up to and including ExCom-98;</w:t>
      </w:r>
    </w:p>
    <w:p w14:paraId="10C1A2BF"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 xml:space="preserve">Classification of </w:t>
      </w:r>
      <w:r w:rsidR="00793155" w:rsidRPr="00A81971">
        <w:rPr>
          <w:rFonts w:eastAsia="Times New Roman"/>
        </w:rPr>
        <w:t>low-volume consuming countries (</w:t>
      </w:r>
      <w:r w:rsidRPr="00A81971">
        <w:rPr>
          <w:rFonts w:eastAsia="Times New Roman"/>
        </w:rPr>
        <w:t>LVCs</w:t>
      </w:r>
      <w:r w:rsidR="00793155" w:rsidRPr="00A81971">
        <w:rPr>
          <w:rFonts w:eastAsia="Times New Roman"/>
        </w:rPr>
        <w:t>)</w:t>
      </w:r>
      <w:r w:rsidRPr="00A81971">
        <w:rPr>
          <w:rFonts w:eastAsia="Times New Roman"/>
        </w:rPr>
        <w:t xml:space="preserve"> based on HCFC and HFC baseline consumption (unchanged as presented in Annex 5 of the RTF May 2026 report);</w:t>
      </w:r>
    </w:p>
    <w:p w14:paraId="6F8D400B" w14:textId="3D06366C" w:rsidR="457BD43E" w:rsidRPr="00A81971" w:rsidRDefault="0032495C" w:rsidP="007A20BD">
      <w:pPr>
        <w:pStyle w:val="ListParagraph"/>
        <w:numPr>
          <w:ilvl w:val="0"/>
          <w:numId w:val="23"/>
        </w:numPr>
        <w:tabs>
          <w:tab w:val="left" w:pos="0"/>
          <w:tab w:val="left" w:pos="720"/>
        </w:tabs>
        <w:spacing w:after="240" w:line="259" w:lineRule="auto"/>
        <w:rPr>
          <w:rFonts w:eastAsia="Times New Roman"/>
        </w:rPr>
      </w:pPr>
      <w:r w:rsidRPr="00A81971">
        <w:rPr>
          <w:rFonts w:eastAsia="Times New Roman"/>
        </w:rPr>
        <w:t xml:space="preserve">The Consolidated Business Plan of the Multilateral Fund for 2026-2028 (BP), used to inform the RTF on future requests to implementing agencies (IAs) for projects to be submitted to MLFS, therefore guiding RTF to forecast potential </w:t>
      </w:r>
      <w:r w:rsidRPr="00A81971">
        <w:rPr>
          <w:rFonts w:eastAsia="Times New Roman"/>
          <w:u w:val="single"/>
        </w:rPr>
        <w:t>new</w:t>
      </w:r>
      <w:r w:rsidRPr="00A81971">
        <w:rPr>
          <w:rFonts w:eastAsia="Times New Roman"/>
        </w:rPr>
        <w:t xml:space="preserve"> funding needed; </w:t>
      </w:r>
      <w:r w:rsidRPr="00A81971">
        <w:rPr>
          <w:rFonts w:eastAsia="Times New Roman"/>
          <w:color w:val="000000" w:themeColor="text1"/>
        </w:rPr>
        <w:t xml:space="preserve">RTF is unable to </w:t>
      </w:r>
      <w:r w:rsidRPr="00A81971">
        <w:rPr>
          <w:rFonts w:eastAsia="Times New Roman"/>
        </w:rPr>
        <w:t>use</w:t>
      </w:r>
      <w:r w:rsidRPr="00A81971">
        <w:rPr>
          <w:rFonts w:eastAsia="Times New Roman"/>
          <w:color w:val="000000" w:themeColor="text1"/>
        </w:rPr>
        <w:t xml:space="preserve"> updated information on planned costs in the 2027-2029 Business Plans of agencies, as such information is not available now and would only be available once the MLFS finalises the (pre-session) 2027-2029 business plan</w:t>
      </w:r>
      <w:r w:rsidR="005B032C">
        <w:rPr>
          <w:rFonts w:eastAsia="Times New Roman"/>
        </w:rPr>
        <w:t>;</w:t>
      </w:r>
    </w:p>
    <w:p w14:paraId="18DECADA"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 xml:space="preserve">Parties’ ratification status of the </w:t>
      </w:r>
      <w:r w:rsidR="00550703" w:rsidRPr="00A81971">
        <w:rPr>
          <w:rFonts w:eastAsia="Times New Roman"/>
        </w:rPr>
        <w:t>Kigali Amendment (</w:t>
      </w:r>
      <w:r w:rsidRPr="00A81971">
        <w:rPr>
          <w:rFonts w:eastAsia="Times New Roman"/>
        </w:rPr>
        <w:t>KA</w:t>
      </w:r>
      <w:r w:rsidR="00550703" w:rsidRPr="00A81971">
        <w:rPr>
          <w:rFonts w:eastAsia="Times New Roman"/>
        </w:rPr>
        <w:t>)</w:t>
      </w:r>
      <w:r w:rsidRPr="00A81971">
        <w:rPr>
          <w:rFonts w:eastAsia="Times New Roman"/>
        </w:rPr>
        <w:t xml:space="preserve">, as of 10 August 2026 (Annex </w:t>
      </w:r>
      <w:r w:rsidR="003C06F6" w:rsidRPr="00A81971">
        <w:rPr>
          <w:rFonts w:eastAsia="Times New Roman"/>
        </w:rPr>
        <w:t>1</w:t>
      </w:r>
      <w:r w:rsidRPr="00A81971">
        <w:rPr>
          <w:rFonts w:eastAsia="Times New Roman"/>
        </w:rPr>
        <w:t>); and</w:t>
      </w:r>
    </w:p>
    <w:p w14:paraId="3618D38E" w14:textId="77777777" w:rsidR="457BD43E" w:rsidRPr="00A81971" w:rsidRDefault="0032495C" w:rsidP="007A20BD">
      <w:pPr>
        <w:pStyle w:val="ListParagraph"/>
        <w:numPr>
          <w:ilvl w:val="0"/>
          <w:numId w:val="23"/>
        </w:numPr>
        <w:tabs>
          <w:tab w:val="left" w:pos="0"/>
          <w:tab w:val="left" w:pos="720"/>
        </w:tabs>
        <w:spacing w:after="240"/>
        <w:rPr>
          <w:rFonts w:eastAsia="Times New Roman"/>
        </w:rPr>
      </w:pPr>
      <w:r w:rsidRPr="00A81971">
        <w:rPr>
          <w:rFonts w:eastAsia="Times New Roman"/>
        </w:rPr>
        <w:t>Appli</w:t>
      </w:r>
      <w:r w:rsidR="00864D93" w:rsidRPr="00A81971">
        <w:rPr>
          <w:rFonts w:eastAsia="Times New Roman"/>
        </w:rPr>
        <w:t>ca</w:t>
      </w:r>
      <w:r w:rsidR="002E7518" w:rsidRPr="00A81971">
        <w:rPr>
          <w:rFonts w:eastAsia="Times New Roman"/>
        </w:rPr>
        <w:t>ble p</w:t>
      </w:r>
      <w:r w:rsidR="00864D93" w:rsidRPr="00A81971">
        <w:rPr>
          <w:rFonts w:eastAsia="Times New Roman"/>
        </w:rPr>
        <w:t xml:space="preserve">roject management unit </w:t>
      </w:r>
      <w:r w:rsidR="00FC3C24" w:rsidRPr="00A81971">
        <w:rPr>
          <w:rFonts w:eastAsia="Times New Roman"/>
        </w:rPr>
        <w:t>(</w:t>
      </w:r>
      <w:r w:rsidR="5F0D7981" w:rsidRPr="00A81971">
        <w:rPr>
          <w:rFonts w:eastAsia="Times New Roman"/>
        </w:rPr>
        <w:t>PMU</w:t>
      </w:r>
      <w:r w:rsidR="00FC3C24" w:rsidRPr="00A81971">
        <w:rPr>
          <w:rFonts w:eastAsia="Times New Roman"/>
        </w:rPr>
        <w:t>)</w:t>
      </w:r>
      <w:r w:rsidR="5F0D7981" w:rsidRPr="00A81971">
        <w:rPr>
          <w:rFonts w:eastAsia="Times New Roman"/>
        </w:rPr>
        <w:t xml:space="preserve"> costs</w:t>
      </w:r>
      <w:r w:rsidR="002E7518" w:rsidRPr="00A81971">
        <w:rPr>
          <w:rFonts w:eastAsia="Times New Roman"/>
        </w:rPr>
        <w:t>.</w:t>
      </w:r>
    </w:p>
    <w:p w14:paraId="7178B790" w14:textId="6C1CB87A" w:rsidR="00EA00A3" w:rsidRPr="00A81971" w:rsidRDefault="0032495C" w:rsidP="457BD43E">
      <w:r w:rsidRPr="00A81971">
        <w:t xml:space="preserve">RTF notes that the above updates also address some of the </w:t>
      </w:r>
      <w:r w:rsidR="00A81EB8" w:rsidRPr="00A81971">
        <w:t xml:space="preserve">above suggestions </w:t>
      </w:r>
      <w:r w:rsidRPr="00A81971">
        <w:t>from</w:t>
      </w:r>
      <w:r w:rsidR="00722D89" w:rsidRPr="00A81971">
        <w:t xml:space="preserve"> parties from </w:t>
      </w:r>
      <w:r w:rsidRPr="00A81971">
        <w:t>OEWG-48</w:t>
      </w:r>
      <w:r w:rsidR="00A81EB8" w:rsidRPr="00A81971">
        <w:t xml:space="preserve">. </w:t>
      </w:r>
      <w:r w:rsidR="005B032C" w:rsidRPr="005B032C">
        <w:t>Further discussion and updated estimates based on th</w:t>
      </w:r>
      <w:r w:rsidR="00071CDE">
        <w:t>is</w:t>
      </w:r>
      <w:r w:rsidR="005B032C" w:rsidRPr="005B032C">
        <w:t xml:space="preserve"> information are presented in Chapter 2.</w:t>
      </w:r>
      <w:bookmarkStart w:id="174" w:name="_Hlk41093318"/>
      <w:bookmarkStart w:id="175" w:name="_Toc484367005"/>
      <w:bookmarkStart w:id="176" w:name="_Toc389230253"/>
      <w:bookmarkEnd w:id="0"/>
      <w:bookmarkEnd w:id="1"/>
      <w:bookmarkEnd w:id="2"/>
    </w:p>
    <w:p w14:paraId="3F270C5E" w14:textId="77777777" w:rsidR="00142FF1" w:rsidRPr="00A81971" w:rsidRDefault="0032495C" w:rsidP="00FF4A68">
      <w:r w:rsidRPr="00A81971">
        <w:lastRenderedPageBreak/>
        <w:t>For the range to its estimated funding for the 2027–2029 triennium and future triennia, the RTF refers to the suggestions by parties at OEWG-48 as in above section 1.3. Given the many varied scenarios requested by parties, the RTF presents these scenarios without presuming which ones the parties may wish to use, combine, or discard. The range of funding for this triennium would then be dependent on these choices. When developing scenarios, the respective results were presented in the chapter where the item was addressed, as they could not be compared.</w:t>
      </w:r>
    </w:p>
    <w:p w14:paraId="58125221" w14:textId="77777777" w:rsidR="006B5BE6" w:rsidRPr="00A81971" w:rsidRDefault="0032495C" w:rsidP="006B5BE6">
      <w:r w:rsidRPr="00A81971">
        <w:t xml:space="preserve">In this report, the RTF </w:t>
      </w:r>
      <w:r w:rsidR="00ED0FD7" w:rsidRPr="00A81971">
        <w:t xml:space="preserve">did its best to </w:t>
      </w:r>
      <w:r w:rsidR="4941F303" w:rsidRPr="00A81971">
        <w:t>address</w:t>
      </w:r>
      <w:r w:rsidRPr="00A81971">
        <w:t xml:space="preserve"> the suggestions, including scenarios, by the OEWG-4</w:t>
      </w:r>
      <w:r w:rsidR="00BD7DC4" w:rsidRPr="00A81971">
        <w:t>8</w:t>
      </w:r>
      <w:r w:rsidRPr="00A81971">
        <w:t xml:space="preserve"> Contact Group to the extent information was available to the RTF,</w:t>
      </w:r>
      <w:r w:rsidR="00ED0FD7" w:rsidRPr="00A81971">
        <w:t xml:space="preserve"> and within the t</w:t>
      </w:r>
      <w:r w:rsidRPr="00A81971">
        <w:t xml:space="preserve">imeline to prepare this </w:t>
      </w:r>
      <w:r w:rsidR="00ED0FD7" w:rsidRPr="00A81971">
        <w:t xml:space="preserve">supplementary </w:t>
      </w:r>
      <w:r w:rsidRPr="00A81971">
        <w:t>report for MOP-3</w:t>
      </w:r>
      <w:r w:rsidR="00BD7DC4" w:rsidRPr="00A81971">
        <w:t>8</w:t>
      </w:r>
      <w:r w:rsidRPr="00A81971">
        <w:t>.</w:t>
      </w:r>
    </w:p>
    <w:p w14:paraId="51E5AFFA" w14:textId="77777777" w:rsidR="0027507E" w:rsidRPr="00A81971" w:rsidRDefault="0032495C" w:rsidP="00C23537">
      <w:r w:rsidRPr="00A81971">
        <w:t>The chapters of this report are organi</w:t>
      </w:r>
      <w:r w:rsidR="00AB2E0E" w:rsidRPr="00A81971">
        <w:t>s</w:t>
      </w:r>
      <w:r w:rsidRPr="00A81971">
        <w:t>ed as follows</w:t>
      </w:r>
      <w:r w:rsidR="006B5BE6" w:rsidRPr="00A81971">
        <w:t>:</w:t>
      </w:r>
      <w:r w:rsidRPr="00A81971">
        <w:t xml:space="preserve"> </w:t>
      </w:r>
    </w:p>
    <w:p w14:paraId="739CEA8D" w14:textId="77777777" w:rsidR="002635B4" w:rsidRPr="00A81971" w:rsidRDefault="0032495C" w:rsidP="457BD43E">
      <w:pPr>
        <w:spacing w:after="120"/>
        <w:ind w:left="1128" w:hanging="1128"/>
        <w:rPr>
          <w:iCs/>
        </w:rPr>
      </w:pPr>
      <w:r w:rsidRPr="00A81971">
        <w:rPr>
          <w:iCs/>
        </w:rPr>
        <w:t>Chapter 1</w:t>
      </w:r>
      <w:r w:rsidRPr="00A81971">
        <w:rPr>
          <w:iCs/>
        </w:rPr>
        <w:tab/>
        <w:t>Introduction</w:t>
      </w:r>
    </w:p>
    <w:p w14:paraId="65DF102B" w14:textId="77777777" w:rsidR="0003016C" w:rsidRPr="00A81971" w:rsidRDefault="0032495C" w:rsidP="457BD43E">
      <w:pPr>
        <w:spacing w:after="120"/>
        <w:ind w:left="1128" w:hanging="1128"/>
      </w:pPr>
      <w:r w:rsidRPr="00A81971">
        <w:rPr>
          <w:iCs/>
        </w:rPr>
        <w:t>Chapter 2</w:t>
      </w:r>
      <w:r w:rsidRPr="00A81971">
        <w:rPr>
          <w:iCs/>
        </w:rPr>
        <w:tab/>
        <w:t xml:space="preserve">Updates to </w:t>
      </w:r>
      <w:r w:rsidR="00B64A70" w:rsidRPr="00A81971">
        <w:rPr>
          <w:iCs/>
        </w:rPr>
        <w:t>RTF</w:t>
      </w:r>
      <w:r w:rsidRPr="00A81971">
        <w:rPr>
          <w:iCs/>
        </w:rPr>
        <w:t xml:space="preserve"> May 202</w:t>
      </w:r>
      <w:r w:rsidR="00E54139" w:rsidRPr="00A81971">
        <w:rPr>
          <w:iCs/>
        </w:rPr>
        <w:t>6</w:t>
      </w:r>
      <w:r w:rsidRPr="00A81971">
        <w:rPr>
          <w:iCs/>
        </w:rPr>
        <w:t xml:space="preserve"> Report </w:t>
      </w:r>
      <w:r w:rsidR="00B64A70" w:rsidRPr="00A81971">
        <w:rPr>
          <w:iCs/>
        </w:rPr>
        <w:t xml:space="preserve">for </w:t>
      </w:r>
      <w:r w:rsidRPr="00A81971">
        <w:rPr>
          <w:iCs/>
        </w:rPr>
        <w:t xml:space="preserve">estimated funding </w:t>
      </w:r>
      <w:r w:rsidR="00B64A70" w:rsidRPr="00A81971">
        <w:rPr>
          <w:iCs/>
        </w:rPr>
        <w:t>requirement</w:t>
      </w:r>
      <w:r w:rsidR="002635B4" w:rsidRPr="00A81971">
        <w:rPr>
          <w:iCs/>
        </w:rPr>
        <w:t xml:space="preserve"> for </w:t>
      </w:r>
      <w:r w:rsidRPr="00A81971">
        <w:rPr>
          <w:iCs/>
        </w:rPr>
        <w:t>202</w:t>
      </w:r>
      <w:r w:rsidR="00E54139" w:rsidRPr="00A81971">
        <w:rPr>
          <w:iCs/>
        </w:rPr>
        <w:t>7</w:t>
      </w:r>
      <w:r w:rsidR="005C003F" w:rsidRPr="00A81971">
        <w:rPr>
          <w:iCs/>
        </w:rPr>
        <w:t>–</w:t>
      </w:r>
      <w:r w:rsidRPr="00A81971">
        <w:rPr>
          <w:iCs/>
        </w:rPr>
        <w:t>202</w:t>
      </w:r>
      <w:r w:rsidR="00E54139" w:rsidRPr="00A81971">
        <w:rPr>
          <w:iCs/>
        </w:rPr>
        <w:t>9</w:t>
      </w:r>
      <w:r w:rsidR="251B7820" w:rsidRPr="00A81971">
        <w:t xml:space="preserve"> </w:t>
      </w:r>
      <w:r w:rsidR="002635B4" w:rsidRPr="00A81971">
        <w:t>triennium</w:t>
      </w:r>
      <w:r w:rsidR="00B05B65" w:rsidRPr="00A81971">
        <w:t xml:space="preserve"> and future triennia</w:t>
      </w:r>
      <w:r w:rsidR="007B543D" w:rsidRPr="00A81971">
        <w:t xml:space="preserve"> 2030-2032 and 2033-2035</w:t>
      </w:r>
    </w:p>
    <w:p w14:paraId="397C1FA8" w14:textId="77777777" w:rsidR="0060295D" w:rsidRPr="00A81971" w:rsidRDefault="0032495C" w:rsidP="457BD43E">
      <w:pPr>
        <w:spacing w:after="120"/>
        <w:ind w:left="1128" w:hanging="1128"/>
        <w:rPr>
          <w:iCs/>
        </w:rPr>
      </w:pPr>
      <w:r w:rsidRPr="00A81971">
        <w:rPr>
          <w:iCs/>
        </w:rPr>
        <w:t>Chapter 3</w:t>
      </w:r>
      <w:r w:rsidRPr="00A81971">
        <w:rPr>
          <w:iCs/>
        </w:rPr>
        <w:tab/>
        <w:t>Additional information and scenarios</w:t>
      </w:r>
      <w:r w:rsidR="005670A5" w:rsidRPr="00A81971">
        <w:rPr>
          <w:iCs/>
        </w:rPr>
        <w:t>:</w:t>
      </w:r>
      <w:r w:rsidR="00014224" w:rsidRPr="00A81971">
        <w:rPr>
          <w:iCs/>
        </w:rPr>
        <w:t xml:space="preserve"> Overall suggestions/methodological approach</w:t>
      </w:r>
    </w:p>
    <w:p w14:paraId="69D7484B" w14:textId="77777777" w:rsidR="00F60438" w:rsidRPr="00A81971" w:rsidRDefault="0032495C" w:rsidP="457BD43E">
      <w:pPr>
        <w:spacing w:after="120"/>
        <w:ind w:left="1128" w:hanging="1128"/>
        <w:rPr>
          <w:iCs/>
        </w:rPr>
      </w:pPr>
      <w:r w:rsidRPr="00A81971">
        <w:rPr>
          <w:iCs/>
        </w:rPr>
        <w:t>Chapter 4</w:t>
      </w:r>
      <w:r w:rsidRPr="00A81971">
        <w:rPr>
          <w:iCs/>
        </w:rPr>
        <w:tab/>
        <w:t>Additional information and scenarios: LVCs/VLVCs</w:t>
      </w:r>
    </w:p>
    <w:p w14:paraId="02FD6467" w14:textId="77777777" w:rsidR="006372CA" w:rsidRPr="00A81971" w:rsidRDefault="0032495C" w:rsidP="457BD43E">
      <w:pPr>
        <w:spacing w:after="120"/>
        <w:ind w:left="1128" w:hanging="1128"/>
        <w:rPr>
          <w:iCs/>
        </w:rPr>
      </w:pPr>
      <w:r w:rsidRPr="00A81971">
        <w:t>Chapter 5</w:t>
      </w:r>
      <w:r w:rsidRPr="00A81971">
        <w:tab/>
        <w:t>Additional information and scenarios: LRM</w:t>
      </w:r>
    </w:p>
    <w:p w14:paraId="003BEEB4" w14:textId="77777777" w:rsidR="002E3156" w:rsidRDefault="0032495C" w:rsidP="457BD43E">
      <w:pPr>
        <w:spacing w:after="120"/>
        <w:sectPr w:rsidR="002E3156" w:rsidSect="002E3156">
          <w:type w:val="oddPage"/>
          <w:pgSz w:w="11906" w:h="16838" w:code="9"/>
          <w:pgMar w:top="1411" w:right="1411" w:bottom="1411" w:left="1411" w:header="706" w:footer="706" w:gutter="0"/>
          <w:cols w:space="708"/>
          <w:docGrid w:linePitch="360"/>
        </w:sectPr>
      </w:pPr>
      <w:bookmarkStart w:id="177" w:name="_Toc40367009"/>
      <w:bookmarkStart w:id="178" w:name="_Toc40367317"/>
      <w:bookmarkStart w:id="179" w:name="_Toc145692841"/>
      <w:bookmarkEnd w:id="174"/>
      <w:bookmarkEnd w:id="175"/>
      <w:r w:rsidRPr="00A81971">
        <w:br w:type="page"/>
      </w:r>
    </w:p>
    <w:p w14:paraId="4E018042" w14:textId="77777777" w:rsidR="002D4317" w:rsidRPr="00A81971" w:rsidRDefault="002D4317" w:rsidP="457BD43E">
      <w:pPr>
        <w:spacing w:after="120"/>
        <w:rPr>
          <w:rFonts w:ascii="Times New Roman Bold" w:eastAsia="Times New Roman" w:hAnsi="Times New Roman Bold"/>
          <w:b/>
          <w:caps/>
          <w:color w:val="000000" w:themeColor="text1"/>
          <w:sz w:val="24"/>
          <w:szCs w:val="24"/>
          <w:lang w:eastAsia="nl-NL"/>
        </w:rPr>
      </w:pPr>
    </w:p>
    <w:p w14:paraId="2AA250B4" w14:textId="74E2FCBE" w:rsidR="0077354C" w:rsidRPr="00A81971" w:rsidRDefault="0032495C" w:rsidP="00696E14">
      <w:pPr>
        <w:pStyle w:val="Heading1"/>
      </w:pPr>
      <w:bookmarkStart w:id="180" w:name="_Toc240987320"/>
      <w:r w:rsidRPr="00A81971">
        <w:t>CHAPTER 2</w:t>
      </w:r>
      <w:r w:rsidR="007909EF">
        <w:t>:</w:t>
      </w:r>
      <w:r w:rsidR="00481308">
        <w:tab/>
      </w:r>
      <w:r w:rsidRPr="002E3156">
        <w:t>Update to RTF may</w:t>
      </w:r>
      <w:r w:rsidR="00B05B65" w:rsidRPr="002E3156">
        <w:t xml:space="preserve"> </w:t>
      </w:r>
      <w:r w:rsidR="00B858CD" w:rsidRPr="002E3156">
        <w:t>202</w:t>
      </w:r>
      <w:r w:rsidR="00B05B65" w:rsidRPr="002E3156">
        <w:t>6</w:t>
      </w:r>
      <w:r w:rsidR="00B858CD" w:rsidRPr="002E3156">
        <w:t xml:space="preserve"> </w:t>
      </w:r>
      <w:r w:rsidRPr="002E3156">
        <w:t>report for estimated funding requirement for 202</w:t>
      </w:r>
      <w:r w:rsidR="00B05B65" w:rsidRPr="002E3156">
        <w:t>7</w:t>
      </w:r>
      <w:r w:rsidR="005C003F" w:rsidRPr="002E3156">
        <w:t>–</w:t>
      </w:r>
      <w:r w:rsidRPr="002E3156">
        <w:t>202</w:t>
      </w:r>
      <w:r w:rsidR="00B05B65" w:rsidRPr="002E3156">
        <w:t>9</w:t>
      </w:r>
      <w:r w:rsidRPr="002E3156">
        <w:t xml:space="preserve"> triennium</w:t>
      </w:r>
      <w:bookmarkEnd w:id="177"/>
      <w:bookmarkEnd w:id="178"/>
      <w:bookmarkEnd w:id="179"/>
      <w:r w:rsidR="007B543D" w:rsidRPr="002E3156">
        <w:t xml:space="preserve"> and future triennia 2030-2032 and 2033-2035</w:t>
      </w:r>
      <w:bookmarkEnd w:id="180"/>
    </w:p>
    <w:p w14:paraId="2FFEC303" w14:textId="77777777" w:rsidR="0077354C" w:rsidRPr="00A81971" w:rsidRDefault="0032495C" w:rsidP="00201CFA">
      <w:pPr>
        <w:pStyle w:val="Heading2"/>
      </w:pPr>
      <w:bookmarkStart w:id="181" w:name="_Toc484367006"/>
      <w:bookmarkStart w:id="182" w:name="_Toc40367010"/>
      <w:bookmarkStart w:id="183" w:name="_Toc40367318"/>
      <w:bookmarkStart w:id="184" w:name="_Toc41495010"/>
      <w:bookmarkStart w:id="185" w:name="_Toc41839963"/>
      <w:bookmarkStart w:id="186" w:name="_Toc41841053"/>
      <w:bookmarkStart w:id="187" w:name="_Toc145692842"/>
      <w:bookmarkStart w:id="188" w:name="_Toc240987321"/>
      <w:r w:rsidRPr="00A81971">
        <w:t>2.1</w:t>
      </w:r>
      <w:r w:rsidRPr="00A81971">
        <w:tab/>
      </w:r>
      <w:bookmarkEnd w:id="181"/>
      <w:bookmarkEnd w:id="182"/>
      <w:bookmarkEnd w:id="183"/>
      <w:bookmarkEnd w:id="184"/>
      <w:bookmarkEnd w:id="185"/>
      <w:bookmarkEnd w:id="186"/>
      <w:r w:rsidR="008E54EE" w:rsidRPr="002E3156">
        <w:t>I</w:t>
      </w:r>
      <w:r w:rsidR="0015169C" w:rsidRPr="002E3156">
        <w:t>ntroduction</w:t>
      </w:r>
      <w:bookmarkEnd w:id="187"/>
      <w:bookmarkEnd w:id="188"/>
      <w:r w:rsidRPr="00A81971">
        <w:t xml:space="preserve"> </w:t>
      </w:r>
    </w:p>
    <w:p w14:paraId="5B8C17B7" w14:textId="77777777" w:rsidR="00F27511" w:rsidRPr="00A81971" w:rsidRDefault="0032495C" w:rsidP="457BD43E">
      <w:pPr>
        <w:spacing w:after="0" w:line="259" w:lineRule="auto"/>
      </w:pPr>
      <w:bookmarkStart w:id="189" w:name="_Hlk141337270"/>
      <w:r w:rsidRPr="00A81971">
        <w:t xml:space="preserve">This chapter presents updates to the RTF May 2026 Report estimated funding for 2027-2029 triennium and </w:t>
      </w:r>
      <w:r w:rsidR="00323E3F" w:rsidRPr="00A81971">
        <w:t>next two</w:t>
      </w:r>
      <w:r w:rsidRPr="00A81971">
        <w:t xml:space="preserve"> triennia, based on updated data and available information since that report was finalized including the following:</w:t>
      </w:r>
    </w:p>
    <w:p w14:paraId="2876A837" w14:textId="77777777" w:rsidR="457BD43E" w:rsidRPr="00A81971" w:rsidRDefault="0032495C" w:rsidP="009E6AAF">
      <w:pPr>
        <w:numPr>
          <w:ilvl w:val="0"/>
          <w:numId w:val="8"/>
        </w:numPr>
        <w:spacing w:after="0"/>
        <w:ind w:left="778"/>
        <w:rPr>
          <w:rFonts w:eastAsia="Times New Roman"/>
        </w:rPr>
      </w:pPr>
      <w:bookmarkStart w:id="190" w:name="_Hlk144561012"/>
      <w:r w:rsidRPr="00A81971">
        <w:rPr>
          <w:rFonts w:eastAsia="Times New Roman"/>
        </w:rPr>
        <w:t>A7 consumption data as reported to the OS, as of 17 July 2026;</w:t>
      </w:r>
    </w:p>
    <w:p w14:paraId="6B200C90" w14:textId="77777777" w:rsidR="457BD43E" w:rsidRPr="00A81971" w:rsidRDefault="0032495C" w:rsidP="009E6AAF">
      <w:pPr>
        <w:numPr>
          <w:ilvl w:val="0"/>
          <w:numId w:val="8"/>
        </w:numPr>
        <w:spacing w:after="0"/>
        <w:ind w:left="778"/>
        <w:rPr>
          <w:rFonts w:eastAsia="Times New Roman"/>
        </w:rPr>
      </w:pPr>
      <w:r w:rsidRPr="00A81971">
        <w:rPr>
          <w:rFonts w:eastAsia="Times New Roman"/>
        </w:rPr>
        <w:t>CP data submitted to the MLFS, as of 17 July 2026;</w:t>
      </w:r>
    </w:p>
    <w:p w14:paraId="478ECE33"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 xml:space="preserve">Information provided by the MLFS on approved HPMPs and KIPs, including agreed reductions from baseline consumption, funding and tranche schedules, project preparation and verification activities, as well as </w:t>
      </w:r>
      <w:r w:rsidR="003F0774" w:rsidRPr="00A81971">
        <w:rPr>
          <w:rFonts w:eastAsia="Times New Roman"/>
        </w:rPr>
        <w:t xml:space="preserve">updated </w:t>
      </w:r>
      <w:r w:rsidRPr="00A81971">
        <w:rPr>
          <w:rFonts w:eastAsia="Times New Roman"/>
        </w:rPr>
        <w:t xml:space="preserve">information on </w:t>
      </w:r>
      <w:r w:rsidR="003F0774" w:rsidRPr="00A81971">
        <w:rPr>
          <w:rFonts w:eastAsia="Times New Roman"/>
        </w:rPr>
        <w:t xml:space="preserve">HFC-23 mitigation and </w:t>
      </w:r>
      <w:r w:rsidRPr="00A81971">
        <w:rPr>
          <w:rFonts w:eastAsia="Times New Roman"/>
        </w:rPr>
        <w:t>EE and the status of funding windows;</w:t>
      </w:r>
    </w:p>
    <w:p w14:paraId="4C8944EE"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ExCom documents and decisions, including cost guidelines, up to and including ExCom-98;</w:t>
      </w:r>
    </w:p>
    <w:p w14:paraId="49264676"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Classification of LVCs based on HCFC and HFC baseline consumption (unchanged as presented in Annex 5 of the RTF May 2026 report);</w:t>
      </w:r>
    </w:p>
    <w:p w14:paraId="5C69FB33"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 xml:space="preserve">BP, used to inform the RTF on future requests to IAs for projects to be submitted to MLFS, therefore guiding RTF to forecast potential </w:t>
      </w:r>
      <w:r w:rsidRPr="00A81971">
        <w:rPr>
          <w:rFonts w:eastAsia="Times New Roman"/>
          <w:u w:val="single"/>
        </w:rPr>
        <w:t>new</w:t>
      </w:r>
      <w:r w:rsidRPr="00A81971">
        <w:rPr>
          <w:rFonts w:eastAsia="Times New Roman"/>
        </w:rPr>
        <w:t xml:space="preserve"> funding needed;</w:t>
      </w:r>
    </w:p>
    <w:p w14:paraId="68D6C7AA"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 xml:space="preserve">Parties’ ratification status of the KA, as of 10 August 2026 (Annex </w:t>
      </w:r>
      <w:r w:rsidR="00D2750E" w:rsidRPr="00A81971">
        <w:rPr>
          <w:rFonts w:eastAsia="Times New Roman"/>
        </w:rPr>
        <w:t>1</w:t>
      </w:r>
      <w:r w:rsidRPr="00A81971">
        <w:rPr>
          <w:rFonts w:eastAsia="Times New Roman"/>
        </w:rPr>
        <w:t>); and</w:t>
      </w:r>
    </w:p>
    <w:p w14:paraId="12B6B36E" w14:textId="77777777" w:rsidR="457BD43E" w:rsidRPr="00A81971" w:rsidRDefault="0032495C" w:rsidP="009E6AAF">
      <w:pPr>
        <w:pStyle w:val="ListParagraph"/>
        <w:numPr>
          <w:ilvl w:val="0"/>
          <w:numId w:val="8"/>
        </w:numPr>
        <w:tabs>
          <w:tab w:val="left" w:pos="0"/>
          <w:tab w:val="left" w:pos="720"/>
        </w:tabs>
        <w:spacing w:after="0"/>
        <w:ind w:left="778"/>
        <w:contextualSpacing w:val="0"/>
        <w:rPr>
          <w:rFonts w:eastAsia="Times New Roman"/>
        </w:rPr>
      </w:pPr>
      <w:r w:rsidRPr="00A81971">
        <w:rPr>
          <w:rFonts w:eastAsia="Times New Roman"/>
        </w:rPr>
        <w:t>PMU costs were included.</w:t>
      </w:r>
    </w:p>
    <w:p w14:paraId="6BEC059B" w14:textId="77777777" w:rsidR="1E375DFC" w:rsidRPr="008A40F6" w:rsidRDefault="0032495C" w:rsidP="00FE5C31">
      <w:pPr>
        <w:tabs>
          <w:tab w:val="left" w:pos="0"/>
          <w:tab w:val="left" w:pos="720"/>
        </w:tabs>
        <w:spacing w:before="120" w:after="0"/>
        <w:rPr>
          <w:rFonts w:eastAsia="Times New Roman"/>
        </w:rPr>
      </w:pPr>
      <w:r w:rsidRPr="008A40F6">
        <w:rPr>
          <w:rFonts w:eastAsia="Times New Roman"/>
        </w:rPr>
        <w:t>As per the MLFS information received after ExCom</w:t>
      </w:r>
      <w:r w:rsidR="003B0845">
        <w:rPr>
          <w:rFonts w:eastAsia="Times New Roman"/>
        </w:rPr>
        <w:t>-98</w:t>
      </w:r>
      <w:r w:rsidRPr="008A40F6">
        <w:rPr>
          <w:rFonts w:eastAsia="Times New Roman"/>
        </w:rPr>
        <w:t>, there were no changes/adjustments needed on the funding estimates for Institutional Strengthening and Standard Activities</w:t>
      </w:r>
      <w:r w:rsidR="007B3362">
        <w:rPr>
          <w:rFonts w:eastAsia="Times New Roman"/>
        </w:rPr>
        <w:t xml:space="preserve"> (IS &amp; SA)</w:t>
      </w:r>
      <w:r w:rsidRPr="008A40F6">
        <w:rPr>
          <w:rFonts w:eastAsia="Times New Roman"/>
        </w:rPr>
        <w:t xml:space="preserve">. Therefore, RTF maintained the estimates as presented in the RTF May </w:t>
      </w:r>
      <w:r w:rsidR="007B3362">
        <w:rPr>
          <w:rFonts w:eastAsia="Times New Roman"/>
        </w:rPr>
        <w:t xml:space="preserve">2026 </w:t>
      </w:r>
      <w:r w:rsidRPr="008A40F6">
        <w:rPr>
          <w:rFonts w:eastAsia="Times New Roman"/>
        </w:rPr>
        <w:t>Report.</w:t>
      </w:r>
    </w:p>
    <w:p w14:paraId="0B853958" w14:textId="77777777" w:rsidR="00F55033" w:rsidRPr="00A81971" w:rsidRDefault="0032495C" w:rsidP="00FE5C31">
      <w:pPr>
        <w:pStyle w:val="ListParagraph"/>
        <w:spacing w:before="120" w:after="0"/>
        <w:ind w:left="0"/>
      </w:pPr>
      <w:r w:rsidRPr="00A81971">
        <w:t xml:space="preserve">It is important to note that updates also address some of the requests from the OEWG-48 Contact Group where the same methodology was used, as in the May 2026 Report, to estimate funding. Suggestions by the OEWG that required new methodology are presented separately as the funding results cannot be compared with the ones in May report and can only be used as indicative.  </w:t>
      </w:r>
    </w:p>
    <w:bookmarkEnd w:id="189"/>
    <w:bookmarkEnd w:id="190"/>
    <w:p w14:paraId="10F58C62" w14:textId="77777777" w:rsidR="00B11B2E" w:rsidRPr="00A81971" w:rsidRDefault="0032495C" w:rsidP="00FE5C31">
      <w:pPr>
        <w:spacing w:before="120" w:after="0"/>
      </w:pPr>
      <w:r w:rsidRPr="00A81971">
        <w:t>S</w:t>
      </w:r>
      <w:r w:rsidR="00431C45" w:rsidRPr="00A81971">
        <w:t>pecifically, the</w:t>
      </w:r>
      <w:r w:rsidRPr="00A81971">
        <w:t xml:space="preserve"> Decision XXX</w:t>
      </w:r>
      <w:r w:rsidR="003F3687" w:rsidRPr="00A81971">
        <w:t xml:space="preserve">VII/6 </w:t>
      </w:r>
      <w:r w:rsidR="00431C45" w:rsidRPr="00A81971">
        <w:t xml:space="preserve">TOR </w:t>
      </w:r>
      <w:r w:rsidRPr="00A81971">
        <w:t>request</w:t>
      </w:r>
      <w:r w:rsidR="00431C45" w:rsidRPr="00A81971">
        <w:t>s</w:t>
      </w:r>
      <w:r w:rsidRPr="00A81971">
        <w:t xml:space="preserve"> the RTF to adjust funding requirements based on any relevant decisions taken at ExCom-9</w:t>
      </w:r>
      <w:r w:rsidR="00005ED7" w:rsidRPr="00A81971">
        <w:t>8</w:t>
      </w:r>
      <w:r w:rsidR="0082736C" w:rsidRPr="00A81971">
        <w:t>:</w:t>
      </w:r>
      <w:r w:rsidRPr="00A81971">
        <w:t xml:space="preserve"> </w:t>
      </w:r>
    </w:p>
    <w:p w14:paraId="371753E9" w14:textId="77777777" w:rsidR="00B11B2E" w:rsidRPr="00A81971" w:rsidRDefault="00B11B2E" w:rsidP="00FE5C31">
      <w:pPr>
        <w:spacing w:before="120" w:after="0"/>
      </w:pPr>
    </w:p>
    <w:p w14:paraId="14FACFFD" w14:textId="77777777" w:rsidR="00C20870" w:rsidRPr="00A81971" w:rsidRDefault="0032495C" w:rsidP="00B11B2E">
      <w:pPr>
        <w:spacing w:after="0"/>
        <w:ind w:left="708"/>
        <w:rPr>
          <w:b/>
          <w:bCs/>
          <w:i/>
          <w:iCs/>
        </w:rPr>
      </w:pPr>
      <w:r w:rsidRPr="00A81971">
        <w:rPr>
          <w:b/>
          <w:bCs/>
          <w:i/>
          <w:iCs/>
        </w:rPr>
        <w:t>Decision XXX</w:t>
      </w:r>
      <w:r w:rsidR="00EB23F8" w:rsidRPr="00A81971">
        <w:rPr>
          <w:b/>
          <w:bCs/>
          <w:i/>
          <w:iCs/>
        </w:rPr>
        <w:t>VII/6</w:t>
      </w:r>
      <w:r w:rsidRPr="00A81971">
        <w:rPr>
          <w:b/>
          <w:bCs/>
          <w:i/>
          <w:iCs/>
        </w:rPr>
        <w:t xml:space="preserve">, paragraph 2(a): “That, in preparing the report…, the Panel should take into account…[all] control measures and relevant decisions agreed upon by parties to the Montreal Protocol and the Executive Committee of the Multilateral Fund…, and the decisions of the </w:t>
      </w:r>
      <w:r w:rsidR="009511FB" w:rsidRPr="00A81971">
        <w:rPr>
          <w:b/>
          <w:bCs/>
          <w:i/>
          <w:iCs/>
        </w:rPr>
        <w:t xml:space="preserve">Meeting of the Parties up to and including the </w:t>
      </w:r>
      <w:r w:rsidRPr="00A81971">
        <w:rPr>
          <w:b/>
          <w:bCs/>
          <w:i/>
          <w:iCs/>
        </w:rPr>
        <w:t>Thirty-</w:t>
      </w:r>
      <w:r w:rsidR="009511FB" w:rsidRPr="00A81971">
        <w:rPr>
          <w:b/>
          <w:bCs/>
          <w:i/>
          <w:iCs/>
        </w:rPr>
        <w:t xml:space="preserve">Seventh </w:t>
      </w:r>
      <w:r w:rsidRPr="00A81971">
        <w:rPr>
          <w:b/>
          <w:bCs/>
          <w:i/>
          <w:iCs/>
        </w:rPr>
        <w:t>Meeting of the Parties and the Executive Committee up to and including its ninety-</w:t>
      </w:r>
      <w:r w:rsidR="003F3687" w:rsidRPr="00A81971">
        <w:rPr>
          <w:b/>
          <w:bCs/>
          <w:i/>
          <w:iCs/>
        </w:rPr>
        <w:t>eighth</w:t>
      </w:r>
      <w:r w:rsidRPr="00A81971">
        <w:rPr>
          <w:b/>
          <w:bCs/>
          <w:i/>
          <w:iCs/>
        </w:rPr>
        <w:t xml:space="preserve"> meeting, insofar as those decisions will necessitate expenditures by the Multilateral Fund during the period 202</w:t>
      </w:r>
      <w:r w:rsidR="003F3687" w:rsidRPr="00A81971">
        <w:rPr>
          <w:b/>
          <w:bCs/>
          <w:i/>
          <w:iCs/>
        </w:rPr>
        <w:t>7</w:t>
      </w:r>
      <w:r w:rsidR="005C003F" w:rsidRPr="00A81971">
        <w:rPr>
          <w:b/>
          <w:bCs/>
          <w:i/>
          <w:iCs/>
        </w:rPr>
        <w:t>–</w:t>
      </w:r>
      <w:r w:rsidRPr="00A81971">
        <w:rPr>
          <w:b/>
          <w:bCs/>
          <w:i/>
          <w:iCs/>
        </w:rPr>
        <w:t>202</w:t>
      </w:r>
      <w:r w:rsidR="003F3687" w:rsidRPr="00A81971">
        <w:rPr>
          <w:b/>
          <w:bCs/>
          <w:i/>
          <w:iCs/>
        </w:rPr>
        <w:t>9</w:t>
      </w:r>
      <w:r w:rsidR="0082736C" w:rsidRPr="00A81971">
        <w:rPr>
          <w:b/>
          <w:bCs/>
          <w:i/>
          <w:iCs/>
        </w:rPr>
        <w:t>”.</w:t>
      </w:r>
    </w:p>
    <w:p w14:paraId="7509D52E" w14:textId="77777777" w:rsidR="004351A9" w:rsidRPr="00A81971" w:rsidRDefault="004351A9" w:rsidP="00936A72">
      <w:pPr>
        <w:spacing w:after="0"/>
        <w:rPr>
          <w:b/>
          <w:bCs/>
          <w:i/>
          <w:iCs/>
        </w:rPr>
      </w:pPr>
    </w:p>
    <w:p w14:paraId="15442F5D" w14:textId="77777777" w:rsidR="0082736C" w:rsidRPr="00A81971" w:rsidRDefault="0032495C" w:rsidP="00936A72">
      <w:pPr>
        <w:spacing w:after="0"/>
      </w:pPr>
      <w:r w:rsidRPr="00A81971">
        <w:t>T</w:t>
      </w:r>
      <w:r w:rsidR="00391707" w:rsidRPr="00A81971">
        <w:t>he updates</w:t>
      </w:r>
      <w:r w:rsidR="0036675D" w:rsidRPr="00A81971">
        <w:t xml:space="preserve"> to the May 2026 Report estimated fundi</w:t>
      </w:r>
      <w:r w:rsidR="00324D16" w:rsidRPr="00A81971">
        <w:t xml:space="preserve">ng also address the following </w:t>
      </w:r>
      <w:r w:rsidR="006F20FB" w:rsidRPr="00A81971">
        <w:t xml:space="preserve">categories and specific </w:t>
      </w:r>
      <w:r w:rsidR="00324D16" w:rsidRPr="00A81971">
        <w:t>suggestions from the OEWG-48 Contact Group:</w:t>
      </w:r>
    </w:p>
    <w:p w14:paraId="73D9BAC1" w14:textId="77777777" w:rsidR="00324D16" w:rsidRPr="00A81971" w:rsidRDefault="00324D16" w:rsidP="00936A72">
      <w:pPr>
        <w:spacing w:after="0"/>
      </w:pPr>
    </w:p>
    <w:p w14:paraId="02DE7242" w14:textId="77777777" w:rsidR="00324D16" w:rsidRPr="00A81971" w:rsidRDefault="0032495C" w:rsidP="00324D16">
      <w:pPr>
        <w:rPr>
          <w:b/>
          <w:i/>
          <w:lang w:eastAsia="zh-CN"/>
        </w:rPr>
      </w:pPr>
      <w:r w:rsidRPr="00A81971">
        <w:rPr>
          <w:b/>
          <w:i/>
          <w:lang w:eastAsia="zh-CN"/>
        </w:rPr>
        <w:t>ExCom-98 Decisions</w:t>
      </w:r>
    </w:p>
    <w:p w14:paraId="2AD1F012" w14:textId="77777777" w:rsidR="00324D16" w:rsidRPr="00A81971" w:rsidRDefault="0032495C" w:rsidP="007A20BD">
      <w:pPr>
        <w:numPr>
          <w:ilvl w:val="0"/>
          <w:numId w:val="39"/>
        </w:numPr>
        <w:rPr>
          <w:i/>
          <w:lang w:eastAsia="zh-CN"/>
        </w:rPr>
      </w:pPr>
      <w:r w:rsidRPr="00A81971">
        <w:rPr>
          <w:i/>
          <w:lang w:eastAsia="zh-CN"/>
        </w:rPr>
        <w:t>Adjust all elements of the funding requirements based on relevant decisions taken at the 98th meeting of the Executive Committee and make any additional necessary updates to accurately reflect amounts in approved HPMPs and KIPs;</w:t>
      </w:r>
    </w:p>
    <w:p w14:paraId="4D754B43" w14:textId="77777777" w:rsidR="002E3156" w:rsidRDefault="002E3156" w:rsidP="00324D16">
      <w:pPr>
        <w:rPr>
          <w:b/>
          <w:i/>
          <w:lang w:eastAsia="zh-CN"/>
        </w:rPr>
      </w:pPr>
    </w:p>
    <w:p w14:paraId="52F3AED1" w14:textId="1BCAC85D" w:rsidR="00324D16" w:rsidRPr="00A81971" w:rsidRDefault="0032495C" w:rsidP="00324D16">
      <w:pPr>
        <w:rPr>
          <w:b/>
          <w:i/>
          <w:lang w:eastAsia="zh-CN"/>
        </w:rPr>
      </w:pPr>
      <w:r w:rsidRPr="00A81971">
        <w:rPr>
          <w:b/>
          <w:i/>
          <w:lang w:eastAsia="zh-CN"/>
        </w:rPr>
        <w:lastRenderedPageBreak/>
        <w:t>Overall Suggestions/Methodological Approach</w:t>
      </w:r>
    </w:p>
    <w:p w14:paraId="69867552" w14:textId="77777777" w:rsidR="00324D16" w:rsidRPr="00A81971" w:rsidRDefault="0032495C" w:rsidP="007A20BD">
      <w:pPr>
        <w:numPr>
          <w:ilvl w:val="0"/>
          <w:numId w:val="40"/>
        </w:numPr>
        <w:rPr>
          <w:i/>
          <w:lang w:eastAsia="zh-CN"/>
        </w:rPr>
      </w:pPr>
      <w:r w:rsidRPr="00A81971">
        <w:rPr>
          <w:i/>
          <w:lang w:eastAsia="zh-CN"/>
        </w:rPr>
        <w:t>To request the Panel to present revised funding ranges with alternative scenarios that assess the impact of the following:</w:t>
      </w:r>
    </w:p>
    <w:p w14:paraId="664FAC1E" w14:textId="77777777" w:rsidR="00324D16" w:rsidRPr="00A81971" w:rsidRDefault="0032495C" w:rsidP="007A20BD">
      <w:pPr>
        <w:numPr>
          <w:ilvl w:val="0"/>
          <w:numId w:val="41"/>
        </w:numPr>
        <w:rPr>
          <w:i/>
          <w:lang w:eastAsia="zh-CN"/>
        </w:rPr>
      </w:pPr>
      <w:r w:rsidRPr="00A81971">
        <w:rPr>
          <w:i/>
          <w:lang w:eastAsia="zh-CN"/>
        </w:rPr>
        <w:t xml:space="preserve">HFC-23 mitigation scenarios that account for the ongoing operating costs, IOCs of approved MLF projects </w:t>
      </w:r>
    </w:p>
    <w:p w14:paraId="198AF93B" w14:textId="77777777" w:rsidR="00324D16" w:rsidRPr="00A81971" w:rsidRDefault="0032495C" w:rsidP="007A20BD">
      <w:pPr>
        <w:numPr>
          <w:ilvl w:val="0"/>
          <w:numId w:val="41"/>
        </w:numPr>
        <w:rPr>
          <w:i/>
          <w:lang w:eastAsia="zh-CN"/>
        </w:rPr>
      </w:pPr>
      <w:r w:rsidRPr="00A81971">
        <w:rPr>
          <w:i/>
          <w:lang w:eastAsia="zh-CN"/>
        </w:rPr>
        <w:t>A low-end scenario for EE (decision 94/60) based on projects included in the business plan of the MLF and a high-end scenario reflecting full utilization of remaining funds in the 94/60 funding window aimed at promoting EE improvements in the context of the HFC phase down in the next triennium</w:t>
      </w:r>
    </w:p>
    <w:p w14:paraId="0388095B" w14:textId="77777777" w:rsidR="00324D16" w:rsidRPr="00A81971" w:rsidRDefault="0032495C" w:rsidP="007A20BD">
      <w:pPr>
        <w:numPr>
          <w:ilvl w:val="0"/>
          <w:numId w:val="41"/>
        </w:numPr>
        <w:rPr>
          <w:i/>
          <w:lang w:eastAsia="zh-CN"/>
        </w:rPr>
      </w:pPr>
      <w:r w:rsidRPr="00A81971">
        <w:rPr>
          <w:i/>
          <w:lang w:eastAsia="zh-CN"/>
        </w:rPr>
        <w:t>The distribution of funding across different levels of country consumption to address the needs of A5 parties to enable compliance is adequately reflected</w:t>
      </w:r>
    </w:p>
    <w:p w14:paraId="14DB8F06" w14:textId="77777777" w:rsidR="00A97CDF" w:rsidRPr="00A81971" w:rsidRDefault="0032495C" w:rsidP="00A12AFF">
      <w:pPr>
        <w:pStyle w:val="Heading2"/>
      </w:pPr>
      <w:bookmarkStart w:id="191" w:name="_Toc145692844"/>
      <w:bookmarkStart w:id="192" w:name="_Toc240987322"/>
      <w:r w:rsidRPr="00A81971">
        <w:t>2.</w:t>
      </w:r>
      <w:r w:rsidR="00C960D3" w:rsidRPr="00A81971">
        <w:t>2</w:t>
      </w:r>
      <w:r w:rsidR="56C74B24" w:rsidRPr="00A81971">
        <w:tab/>
      </w:r>
      <w:r w:rsidR="43EEFCCE" w:rsidRPr="002E3156">
        <w:t>UpdateD</w:t>
      </w:r>
      <w:r w:rsidRPr="002E3156">
        <w:t xml:space="preserve"> HCFC Phase-out estimated funding </w:t>
      </w:r>
      <w:r w:rsidR="00DB1DF7" w:rsidRPr="002E3156">
        <w:t xml:space="preserve">REQUIREMENT </w:t>
      </w:r>
      <w:r w:rsidRPr="002E3156">
        <w:t>for 2027-2029</w:t>
      </w:r>
      <w:bookmarkEnd w:id="191"/>
      <w:r w:rsidR="00AF1AF1" w:rsidRPr="002E3156">
        <w:t xml:space="preserve"> and </w:t>
      </w:r>
      <w:r w:rsidR="46A3B0F3" w:rsidRPr="002E3156">
        <w:t>future triennia</w:t>
      </w:r>
      <w:bookmarkEnd w:id="192"/>
    </w:p>
    <w:p w14:paraId="460A9E0A" w14:textId="77777777" w:rsidR="0075113E" w:rsidRPr="00A81971" w:rsidRDefault="0032495C" w:rsidP="0075113E">
      <w:pPr>
        <w:pStyle w:val="Heading3"/>
        <w:rPr>
          <w:rFonts w:eastAsia="Times New Roman"/>
          <w:color w:val="000000" w:themeColor="text1"/>
        </w:rPr>
      </w:pPr>
      <w:r w:rsidRPr="00A81971">
        <w:rPr>
          <w:rFonts w:eastAsia="Times New Roman"/>
          <w:color w:val="000000" w:themeColor="text1"/>
          <w:sz w:val="24"/>
          <w:szCs w:val="24"/>
        </w:rPr>
        <w:t>2.</w:t>
      </w:r>
      <w:r w:rsidR="003D58F9" w:rsidRPr="00A81971">
        <w:rPr>
          <w:rFonts w:eastAsia="Times New Roman"/>
          <w:color w:val="000000" w:themeColor="text1"/>
          <w:sz w:val="24"/>
          <w:szCs w:val="24"/>
        </w:rPr>
        <w:t>2</w:t>
      </w:r>
      <w:r w:rsidRPr="00A81971">
        <w:rPr>
          <w:rFonts w:eastAsia="Times New Roman"/>
          <w:color w:val="000000" w:themeColor="text1"/>
          <w:sz w:val="24"/>
          <w:szCs w:val="24"/>
        </w:rPr>
        <w:t>.1</w:t>
      </w:r>
      <w:r w:rsidRPr="00A81971">
        <w:tab/>
      </w:r>
      <w:r w:rsidRPr="00FE5C31">
        <w:t>Total estimated funding for remaining phase-out in the consumption sector</w:t>
      </w:r>
    </w:p>
    <w:p w14:paraId="205DBCB4" w14:textId="77777777" w:rsidR="006079B0" w:rsidRPr="00A81971" w:rsidRDefault="0032495C" w:rsidP="009075DD">
      <w:pPr>
        <w:spacing w:after="0"/>
      </w:pPr>
      <w:r w:rsidRPr="00A81971">
        <w:rPr>
          <w:rFonts w:eastAsia="Times New Roman"/>
          <w:color w:val="000000" w:themeColor="text1"/>
        </w:rPr>
        <w:t xml:space="preserve">Annex </w:t>
      </w:r>
      <w:r w:rsidR="00D2750E" w:rsidRPr="00A81971">
        <w:rPr>
          <w:rFonts w:eastAsia="Times New Roman"/>
          <w:color w:val="000000" w:themeColor="text1"/>
        </w:rPr>
        <w:t>2</w:t>
      </w:r>
      <w:r w:rsidRPr="00A81971">
        <w:rPr>
          <w:rFonts w:eastAsia="Times New Roman"/>
          <w:color w:val="000000" w:themeColor="text1"/>
        </w:rPr>
        <w:t xml:space="preserve"> provides details on the </w:t>
      </w:r>
      <w:r w:rsidR="002B3A3A" w:rsidRPr="00A81971">
        <w:rPr>
          <w:rFonts w:eastAsia="Times New Roman"/>
          <w:color w:val="000000" w:themeColor="text1"/>
        </w:rPr>
        <w:t xml:space="preserve">HCFC </w:t>
      </w:r>
      <w:r w:rsidR="00B43465" w:rsidRPr="00A81971">
        <w:rPr>
          <w:rFonts w:eastAsia="Times New Roman"/>
          <w:color w:val="000000" w:themeColor="text1"/>
        </w:rPr>
        <w:t xml:space="preserve">phase-out estimated funding </w:t>
      </w:r>
      <w:r w:rsidRPr="00A81971">
        <w:rPr>
          <w:rFonts w:eastAsia="Times New Roman"/>
          <w:color w:val="000000" w:themeColor="text1"/>
        </w:rPr>
        <w:t>model structure and flow</w:t>
      </w:r>
      <w:r w:rsidR="00DF7062" w:rsidRPr="00A81971">
        <w:rPr>
          <w:rFonts w:eastAsia="Times New Roman"/>
          <w:color w:val="000000" w:themeColor="text1"/>
        </w:rPr>
        <w:t xml:space="preserve"> chart</w:t>
      </w:r>
      <w:r w:rsidRPr="00A81971">
        <w:rPr>
          <w:rFonts w:eastAsia="Times New Roman"/>
          <w:color w:val="000000" w:themeColor="text1"/>
        </w:rPr>
        <w:t xml:space="preserve">, which remains the same as in the May 2026 report but showing </w:t>
      </w:r>
      <w:r w:rsidRPr="00A81971">
        <w:t xml:space="preserve">updated data </w:t>
      </w:r>
      <w:r w:rsidR="00DF7062" w:rsidRPr="00A81971">
        <w:t xml:space="preserve">and estimates. </w:t>
      </w:r>
    </w:p>
    <w:p w14:paraId="471CFB6A" w14:textId="77777777" w:rsidR="0046681E" w:rsidRPr="00A81971" w:rsidRDefault="0046681E" w:rsidP="457BD43E">
      <w:pPr>
        <w:spacing w:after="0"/>
      </w:pPr>
    </w:p>
    <w:p w14:paraId="3DE5E9EC" w14:textId="77777777" w:rsidR="00922E08" w:rsidRPr="00A81971" w:rsidRDefault="0032495C" w:rsidP="457BD43E">
      <w:pPr>
        <w:spacing w:after="0"/>
      </w:pPr>
      <w:r w:rsidRPr="00A81971">
        <w:t xml:space="preserve">The estimated funding requirements for the HCFC consumption sector include the following: </w:t>
      </w:r>
    </w:p>
    <w:p w14:paraId="384BE976" w14:textId="77777777" w:rsidR="00922E08" w:rsidRPr="00A81971" w:rsidRDefault="0032495C" w:rsidP="007A20BD">
      <w:pPr>
        <w:pStyle w:val="ListParagraph"/>
        <w:numPr>
          <w:ilvl w:val="0"/>
          <w:numId w:val="22"/>
        </w:numPr>
        <w:spacing w:after="0"/>
      </w:pPr>
      <w:r w:rsidRPr="00A81971">
        <w:t>Committed funding for approved HCFC Phase-out Management Plans (HPMPs);</w:t>
      </w:r>
    </w:p>
    <w:p w14:paraId="53482ED4" w14:textId="77777777" w:rsidR="00922E08" w:rsidRPr="00A81971" w:rsidRDefault="0032495C" w:rsidP="007A20BD">
      <w:pPr>
        <w:pStyle w:val="ListParagraph"/>
        <w:numPr>
          <w:ilvl w:val="0"/>
          <w:numId w:val="22"/>
        </w:numPr>
        <w:spacing w:after="0"/>
      </w:pPr>
      <w:r w:rsidRPr="00A81971">
        <w:t>New estimated funding required to achieve 100% phase-out of HCFCs;</w:t>
      </w:r>
    </w:p>
    <w:p w14:paraId="1339687D" w14:textId="77777777" w:rsidR="00922E08" w:rsidRPr="00A81971" w:rsidRDefault="0032495C" w:rsidP="007A20BD">
      <w:pPr>
        <w:pStyle w:val="ListParagraph"/>
        <w:numPr>
          <w:ilvl w:val="0"/>
          <w:numId w:val="22"/>
        </w:numPr>
        <w:spacing w:after="0"/>
      </w:pPr>
      <w:r w:rsidRPr="00A81971">
        <w:t>Estimated funding for project preparation costs;</w:t>
      </w:r>
    </w:p>
    <w:p w14:paraId="1C6A4559" w14:textId="24DE1968" w:rsidR="00922E08" w:rsidRPr="00A81971" w:rsidRDefault="0032495C" w:rsidP="007A20BD">
      <w:pPr>
        <w:pStyle w:val="ListParagraph"/>
        <w:numPr>
          <w:ilvl w:val="0"/>
          <w:numId w:val="22"/>
        </w:numPr>
        <w:spacing w:after="0"/>
      </w:pPr>
      <w:r w:rsidRPr="00A81971">
        <w:t>Estimated funding for HPMP verification</w:t>
      </w:r>
      <w:r w:rsidR="005B032C">
        <w:t>;</w:t>
      </w:r>
    </w:p>
    <w:p w14:paraId="33F33B2E" w14:textId="778172A2" w:rsidR="00922E08" w:rsidRPr="00A81971" w:rsidRDefault="0032495C" w:rsidP="007A20BD">
      <w:pPr>
        <w:pStyle w:val="ListParagraph"/>
        <w:numPr>
          <w:ilvl w:val="0"/>
          <w:numId w:val="22"/>
        </w:numPr>
        <w:spacing w:after="0"/>
      </w:pPr>
      <w:r w:rsidRPr="00A81971">
        <w:t>Estimated funding for new HPMPs stages for 14 parties (8 non-LVCs and 6 LVCs) with approved HPMPs that do not address the complete phaseout by 2030</w:t>
      </w:r>
      <w:r w:rsidR="0046681E" w:rsidRPr="00A81971">
        <w:t xml:space="preserve"> a</w:t>
      </w:r>
      <w:r w:rsidRPr="00A81971">
        <w:t>nd for three parties for re-submission of their cancelled HPMPs</w:t>
      </w:r>
      <w:r w:rsidR="005B032C">
        <w:t>;</w:t>
      </w:r>
    </w:p>
    <w:p w14:paraId="15321101" w14:textId="77777777" w:rsidR="00922E08" w:rsidRPr="00A81971" w:rsidRDefault="0032495C" w:rsidP="007A20BD">
      <w:pPr>
        <w:pStyle w:val="ListParagraph"/>
        <w:numPr>
          <w:ilvl w:val="0"/>
          <w:numId w:val="22"/>
        </w:numPr>
        <w:spacing w:after="0"/>
      </w:pPr>
      <w:r w:rsidRPr="00A81971">
        <w:t xml:space="preserve">Estimated funding for EE (ExCom Decision 89/6 for LVCs). </w:t>
      </w:r>
    </w:p>
    <w:p w14:paraId="2442D13D" w14:textId="77777777" w:rsidR="00922E08" w:rsidRPr="00A81971" w:rsidRDefault="0032495C" w:rsidP="00FE5C31">
      <w:pPr>
        <w:spacing w:before="120" w:after="120" w:line="259" w:lineRule="auto"/>
        <w:rPr>
          <w:rFonts w:eastAsia="Times New Roman"/>
          <w:color w:val="000000" w:themeColor="text1"/>
        </w:rPr>
      </w:pPr>
      <w:r w:rsidRPr="00A81971">
        <w:rPr>
          <w:rFonts w:eastAsia="Times New Roman"/>
          <w:color w:val="000000" w:themeColor="text1"/>
        </w:rPr>
        <w:t xml:space="preserve">Key assumptions made by the RTF for its estimates were the same as in the May </w:t>
      </w:r>
      <w:r w:rsidR="00646B7B" w:rsidRPr="00A81971">
        <w:rPr>
          <w:rFonts w:eastAsia="Times New Roman"/>
          <w:color w:val="000000" w:themeColor="text1"/>
        </w:rPr>
        <w:t>2026 R</w:t>
      </w:r>
      <w:r w:rsidRPr="00A81971">
        <w:rPr>
          <w:rFonts w:eastAsia="Times New Roman"/>
          <w:color w:val="000000" w:themeColor="text1"/>
        </w:rPr>
        <w:t xml:space="preserve">eport, except for the addition of PMUs </w:t>
      </w:r>
      <w:r w:rsidR="00646B7B" w:rsidRPr="00A81971">
        <w:rPr>
          <w:rFonts w:eastAsia="Times New Roman"/>
          <w:color w:val="000000" w:themeColor="text1"/>
        </w:rPr>
        <w:t>costs</w:t>
      </w:r>
      <w:r w:rsidR="009075DD" w:rsidRPr="00A81971">
        <w:rPr>
          <w:rFonts w:eastAsia="Times New Roman"/>
          <w:color w:val="000000" w:themeColor="text1"/>
        </w:rPr>
        <w:t>:</w:t>
      </w:r>
    </w:p>
    <w:p w14:paraId="3261EA1A" w14:textId="77777777" w:rsidR="00922E08" w:rsidRPr="00A81971" w:rsidRDefault="0032495C" w:rsidP="007A20BD">
      <w:pPr>
        <w:pStyle w:val="ListParagraph"/>
        <w:numPr>
          <w:ilvl w:val="0"/>
          <w:numId w:val="21"/>
        </w:numPr>
        <w:spacing w:after="0"/>
        <w:rPr>
          <w:rFonts w:eastAsia="Times New Roman"/>
        </w:rPr>
      </w:pPr>
      <w:r w:rsidRPr="00A81971">
        <w:rPr>
          <w:rFonts w:eastAsia="Times New Roman"/>
        </w:rPr>
        <w:t>IAs’ support costs were considered at an average of 9.6%, unless indicated otherwise;</w:t>
      </w:r>
    </w:p>
    <w:p w14:paraId="715EB239" w14:textId="3C17B879" w:rsidR="00922E08" w:rsidRPr="00A81971" w:rsidRDefault="0032495C" w:rsidP="007A20BD">
      <w:pPr>
        <w:pStyle w:val="ListParagraph"/>
        <w:numPr>
          <w:ilvl w:val="0"/>
          <w:numId w:val="20"/>
        </w:numPr>
        <w:spacing w:after="0"/>
        <w:rPr>
          <w:rFonts w:eastAsia="Times New Roman"/>
        </w:rPr>
      </w:pPr>
      <w:r w:rsidRPr="00A81971">
        <w:rPr>
          <w:rFonts w:eastAsia="Times New Roman"/>
        </w:rPr>
        <w:t xml:space="preserve">A 15% deduction was applied to account for ineligible foreign ownership in the manufacturing sectors. As the RTF explained in its May 2026 </w:t>
      </w:r>
      <w:r w:rsidR="00D83BB8" w:rsidRPr="00A81971">
        <w:rPr>
          <w:rFonts w:eastAsia="Times New Roman"/>
        </w:rPr>
        <w:t>R</w:t>
      </w:r>
      <w:r w:rsidRPr="00A81971">
        <w:rPr>
          <w:rFonts w:eastAsia="Times New Roman"/>
        </w:rPr>
        <w:t>eport, for HPMPs the general practice was to defer enterprises with non-A</w:t>
      </w:r>
      <w:r w:rsidR="004D0864" w:rsidRPr="00A81971">
        <w:rPr>
          <w:rFonts w:eastAsia="Times New Roman"/>
        </w:rPr>
        <w:t xml:space="preserve">rticle </w:t>
      </w:r>
      <w:r w:rsidRPr="00A81971">
        <w:rPr>
          <w:rFonts w:eastAsia="Times New Roman"/>
        </w:rPr>
        <w:t xml:space="preserve">5 </w:t>
      </w:r>
      <w:r w:rsidR="004D0864" w:rsidRPr="00A81971">
        <w:rPr>
          <w:rFonts w:eastAsia="Times New Roman"/>
        </w:rPr>
        <w:t xml:space="preserve">(A5) </w:t>
      </w:r>
      <w:r w:rsidRPr="00A81971">
        <w:rPr>
          <w:rFonts w:eastAsia="Times New Roman"/>
        </w:rPr>
        <w:t>ownership to later stages which would impact the resource allocation calculations for this triennium and the next triennium to varying degrees</w:t>
      </w:r>
      <w:r w:rsidR="00131094">
        <w:rPr>
          <w:rFonts w:eastAsia="Times New Roman"/>
        </w:rPr>
        <w:t>;</w:t>
      </w:r>
    </w:p>
    <w:p w14:paraId="58E8192F" w14:textId="77777777" w:rsidR="00922E08" w:rsidRPr="00A81971" w:rsidRDefault="0032495C" w:rsidP="007A20BD">
      <w:pPr>
        <w:pStyle w:val="ListParagraph"/>
        <w:numPr>
          <w:ilvl w:val="0"/>
          <w:numId w:val="20"/>
        </w:numPr>
        <w:rPr>
          <w:rFonts w:eastAsia="Times New Roman"/>
        </w:rPr>
      </w:pPr>
      <w:r w:rsidRPr="00A81971">
        <w:rPr>
          <w:rFonts w:eastAsia="Times New Roman"/>
        </w:rPr>
        <w:t>PMU costs for non-LVCs with remaining consumption to be funded</w:t>
      </w:r>
      <w:r w:rsidR="00DF2357" w:rsidRPr="00A81971">
        <w:rPr>
          <w:rFonts w:eastAsia="Times New Roman"/>
        </w:rPr>
        <w:t xml:space="preserve"> were applied</w:t>
      </w:r>
      <w:r w:rsidR="005A585E" w:rsidRPr="00A81971">
        <w:rPr>
          <w:rFonts w:eastAsia="Times New Roman"/>
        </w:rPr>
        <w:t xml:space="preserve"> as follows, based on consultation with the MLFS</w:t>
      </w:r>
      <w:r w:rsidR="00FD7E85" w:rsidRPr="00A81971">
        <w:rPr>
          <w:rFonts w:eastAsia="Times New Roman"/>
        </w:rPr>
        <w:t xml:space="preserve"> and IAs:</w:t>
      </w:r>
      <w:r w:rsidR="00DF2357" w:rsidRPr="00A81971">
        <w:rPr>
          <w:rFonts w:eastAsia="Times New Roman"/>
        </w:rPr>
        <w:t xml:space="preserve"> </w:t>
      </w:r>
      <w:r w:rsidR="00350488" w:rsidRPr="00A81971">
        <w:rPr>
          <w:rFonts w:eastAsia="Times New Roman"/>
        </w:rPr>
        <w:t>5%</w:t>
      </w:r>
      <w:r w:rsidRPr="00A81971">
        <w:rPr>
          <w:rFonts w:eastAsia="Times New Roman"/>
        </w:rPr>
        <w:t xml:space="preserve"> for China and 10% for Iraq, Kuwait, Libya, Mauritania, Qatar, Senegal,</w:t>
      </w:r>
      <w:r w:rsidR="00370E13" w:rsidRPr="00A81971">
        <w:rPr>
          <w:rFonts w:eastAsia="Times New Roman"/>
        </w:rPr>
        <w:t xml:space="preserve"> </w:t>
      </w:r>
      <w:r w:rsidRPr="00A81971">
        <w:rPr>
          <w:rFonts w:eastAsia="Times New Roman"/>
        </w:rPr>
        <w:t>Syrian Arab Republic, Afghanistan and Yemen</w:t>
      </w:r>
      <w:r w:rsidR="00AB7F7F" w:rsidRPr="00A81971">
        <w:rPr>
          <w:rFonts w:eastAsia="Times New Roman"/>
        </w:rPr>
        <w:t xml:space="preserve"> (</w:t>
      </w:r>
      <w:r w:rsidRPr="00A81971">
        <w:rPr>
          <w:rFonts w:eastAsia="Times New Roman"/>
        </w:rPr>
        <w:t xml:space="preserve">the last two </w:t>
      </w:r>
      <w:r w:rsidR="00AB7F7F" w:rsidRPr="00A81971">
        <w:rPr>
          <w:rFonts w:eastAsia="Times New Roman"/>
        </w:rPr>
        <w:t xml:space="preserve">assuming re-submission of their </w:t>
      </w:r>
      <w:r w:rsidRPr="00A81971">
        <w:rPr>
          <w:rFonts w:eastAsia="Times New Roman"/>
        </w:rPr>
        <w:t>cancelled HPMPs</w:t>
      </w:r>
      <w:r w:rsidR="00AB7F7F" w:rsidRPr="00A81971">
        <w:rPr>
          <w:rFonts w:eastAsia="Times New Roman"/>
        </w:rPr>
        <w:t>)</w:t>
      </w:r>
      <w:r w:rsidRPr="00A81971">
        <w:rPr>
          <w:rFonts w:eastAsia="Times New Roman"/>
        </w:rPr>
        <w:t xml:space="preserve">.  </w:t>
      </w:r>
    </w:p>
    <w:p w14:paraId="5B1B103E" w14:textId="77777777" w:rsidR="43EEFCCE" w:rsidRPr="00A81971" w:rsidRDefault="0032495C" w:rsidP="43EEFCCE">
      <w:pPr>
        <w:rPr>
          <w:rFonts w:eastAsia="Times New Roman"/>
          <w:color w:val="000000" w:themeColor="text1"/>
        </w:rPr>
      </w:pPr>
      <w:r w:rsidRPr="00A81971">
        <w:rPr>
          <w:rFonts w:eastAsia="Times New Roman"/>
          <w:color w:val="000000" w:themeColor="text1"/>
        </w:rPr>
        <w:t>As it did in its May 2026 Report, the RTF considered a range for the estimated funding requirements for the HCFC consumption sector based on two cost-effectiveness (CE) values scenarios, and applied to non-LVC parties in manufacturing sectors, as follows:</w:t>
      </w:r>
    </w:p>
    <w:p w14:paraId="384AF124" w14:textId="77777777" w:rsidR="43EEFCCE" w:rsidRPr="00A81971" w:rsidRDefault="0032495C" w:rsidP="007A20BD">
      <w:pPr>
        <w:pStyle w:val="ListParagraph"/>
        <w:numPr>
          <w:ilvl w:val="0"/>
          <w:numId w:val="38"/>
        </w:numPr>
        <w:spacing w:after="0"/>
        <w:rPr>
          <w:rFonts w:eastAsia="Times New Roman"/>
          <w:color w:val="000000" w:themeColor="text1"/>
        </w:rPr>
      </w:pPr>
      <w:r w:rsidRPr="00A81971">
        <w:rPr>
          <w:rFonts w:eastAsia="Times New Roman"/>
          <w:b/>
          <w:bCs/>
          <w:color w:val="000000" w:themeColor="text1"/>
        </w:rPr>
        <w:t>HCFC scenario 1</w:t>
      </w:r>
      <w:r w:rsidRPr="00A81971">
        <w:rPr>
          <w:rFonts w:eastAsia="Times New Roman"/>
          <w:color w:val="000000" w:themeColor="text1"/>
        </w:rPr>
        <w:t xml:space="preserve">: Applying average </w:t>
      </w:r>
      <w:r w:rsidRPr="00A81971">
        <w:rPr>
          <w:rFonts w:eastAsia="Times New Roman"/>
          <w:color w:val="000000" w:themeColor="text1"/>
          <w:u w:val="single"/>
        </w:rPr>
        <w:t xml:space="preserve">historical </w:t>
      </w:r>
      <w:r w:rsidRPr="00A81971">
        <w:rPr>
          <w:rFonts w:eastAsia="Times New Roman"/>
          <w:color w:val="000000" w:themeColor="text1"/>
        </w:rPr>
        <w:t xml:space="preserve">CE thresholds in manufacturing sectors for those non-LVCs with remaining eligible consumption;   </w:t>
      </w:r>
    </w:p>
    <w:p w14:paraId="2E11CB05" w14:textId="77777777" w:rsidR="43EEFCCE" w:rsidRPr="00A81971" w:rsidRDefault="0032495C" w:rsidP="007A20BD">
      <w:pPr>
        <w:pStyle w:val="ListParagraph"/>
        <w:numPr>
          <w:ilvl w:val="0"/>
          <w:numId w:val="38"/>
        </w:numPr>
        <w:spacing w:after="0"/>
        <w:rPr>
          <w:rFonts w:eastAsia="Times New Roman"/>
          <w:color w:val="000000" w:themeColor="text1"/>
        </w:rPr>
      </w:pPr>
      <w:r w:rsidRPr="00A81971">
        <w:rPr>
          <w:rFonts w:eastAsia="Times New Roman"/>
          <w:b/>
          <w:bCs/>
          <w:color w:val="000000" w:themeColor="text1"/>
        </w:rPr>
        <w:t>HCFC scenario 2:</w:t>
      </w:r>
      <w:r w:rsidRPr="00A81971">
        <w:rPr>
          <w:rFonts w:eastAsia="Times New Roman"/>
          <w:color w:val="000000" w:themeColor="text1"/>
        </w:rPr>
        <w:t xml:space="preserve"> Applying </w:t>
      </w:r>
      <w:r w:rsidRPr="00A81971">
        <w:rPr>
          <w:rFonts w:eastAsia="Times New Roman"/>
          <w:color w:val="000000" w:themeColor="text1"/>
          <w:u w:val="single"/>
        </w:rPr>
        <w:t>CEs in cost guidelines</w:t>
      </w:r>
      <w:r w:rsidRPr="00A81971">
        <w:rPr>
          <w:rFonts w:eastAsia="Times New Roman"/>
          <w:color w:val="000000" w:themeColor="text1"/>
        </w:rPr>
        <w:t>, in manufacturing sectors, for those non-LVCs with remaining eligible consumption.</w:t>
      </w:r>
    </w:p>
    <w:p w14:paraId="7BA64997" w14:textId="77777777" w:rsidR="1E375DFC" w:rsidRPr="00A81971" w:rsidRDefault="1E375DFC" w:rsidP="007B3362">
      <w:pPr>
        <w:pStyle w:val="ListParagraph"/>
        <w:spacing w:after="0"/>
        <w:rPr>
          <w:rFonts w:eastAsia="Times New Roman"/>
          <w:color w:val="000000" w:themeColor="text1"/>
        </w:rPr>
      </w:pPr>
    </w:p>
    <w:p w14:paraId="12F30CD6" w14:textId="5011E4C2" w:rsidR="43EEFCCE" w:rsidRPr="00A81971" w:rsidRDefault="0032495C" w:rsidP="00FE5C31">
      <w:pPr>
        <w:spacing w:after="120"/>
      </w:pPr>
      <w:r w:rsidRPr="00A81971">
        <w:rPr>
          <w:rFonts w:eastAsia="Times New Roman"/>
          <w:color w:val="000000" w:themeColor="text1"/>
        </w:rPr>
        <w:lastRenderedPageBreak/>
        <w:t xml:space="preserve">ExCom Decision 62/17 “requested the bilateral and IAs, when preparing multi-year HPMPs, to ensure that the last tranche comprised 10% of the total funding for the refrigeration servicing sector in the agreement and was scheduled for the last year of the plan.” RTF considered that the last tranche of the HPMPs would occur in 2030; consequently, </w:t>
      </w:r>
      <w:r w:rsidR="003F5E0A" w:rsidRPr="00A81971">
        <w:rPr>
          <w:rFonts w:eastAsia="Times New Roman"/>
          <w:color w:val="000000" w:themeColor="text1"/>
        </w:rPr>
        <w:t xml:space="preserve">the RTF assumed </w:t>
      </w:r>
      <w:r w:rsidRPr="00A81971">
        <w:rPr>
          <w:rFonts w:eastAsia="Times New Roman"/>
          <w:color w:val="000000" w:themeColor="text1"/>
        </w:rPr>
        <w:t xml:space="preserve">90% of the total phase-out resource allocation would be within the 2027-2029 triennium and the 10% for the last tranche would be allocated to the next triennium 2030-2032, following </w:t>
      </w:r>
      <w:r w:rsidR="006C178F" w:rsidRPr="00A81971">
        <w:rPr>
          <w:rFonts w:eastAsia="Times New Roman"/>
          <w:color w:val="000000" w:themeColor="text1"/>
        </w:rPr>
        <w:t>D</w:t>
      </w:r>
      <w:r w:rsidRPr="00A81971">
        <w:rPr>
          <w:rFonts w:eastAsia="Times New Roman"/>
          <w:color w:val="000000" w:themeColor="text1"/>
        </w:rPr>
        <w:t>ecision 62/17.</w:t>
      </w:r>
    </w:p>
    <w:p w14:paraId="11401E00" w14:textId="77777777" w:rsidR="00922E08" w:rsidRDefault="0032495C" w:rsidP="46A3B0F3">
      <w:pPr>
        <w:tabs>
          <w:tab w:val="left" w:pos="0"/>
          <w:tab w:val="left" w:pos="1418"/>
        </w:tabs>
        <w:spacing w:after="240" w:line="259" w:lineRule="auto"/>
        <w:rPr>
          <w:rFonts w:eastAsia="Times New Roman"/>
          <w:color w:val="000000" w:themeColor="text1"/>
        </w:rPr>
      </w:pPr>
      <w:bookmarkStart w:id="193" w:name="_Toc145692845"/>
      <w:bookmarkStart w:id="194" w:name="_Hlk42367786"/>
      <w:r w:rsidRPr="00A81971">
        <w:rPr>
          <w:rFonts w:eastAsia="Times New Roman"/>
          <w:color w:val="000000" w:themeColor="text1"/>
        </w:rPr>
        <w:t>The updated</w:t>
      </w:r>
      <w:r w:rsidR="457BD43E" w:rsidRPr="00A81971">
        <w:rPr>
          <w:rFonts w:eastAsia="Times New Roman"/>
          <w:color w:val="000000" w:themeColor="text1"/>
        </w:rPr>
        <w:t xml:space="preserve"> range for the estimated funding requirement for the HCFC consumption sector total phase-out for the 2027-2029 and </w:t>
      </w:r>
      <w:r w:rsidR="46A3B0F3" w:rsidRPr="00A81971">
        <w:rPr>
          <w:rFonts w:eastAsia="Times New Roman"/>
          <w:color w:val="000000" w:themeColor="text1"/>
        </w:rPr>
        <w:t>future triennia</w:t>
      </w:r>
      <w:r w:rsidR="457BD43E" w:rsidRPr="00A81971">
        <w:rPr>
          <w:rFonts w:eastAsia="Times New Roman"/>
          <w:color w:val="000000" w:themeColor="text1"/>
        </w:rPr>
        <w:t xml:space="preserve"> are summarised in Table 2.</w:t>
      </w:r>
      <w:r w:rsidR="006C178F" w:rsidRPr="00A81971">
        <w:rPr>
          <w:rFonts w:eastAsia="Times New Roman"/>
          <w:color w:val="000000" w:themeColor="text1"/>
        </w:rPr>
        <w:t>1</w:t>
      </w:r>
      <w:r w:rsidR="457BD43E" w:rsidRPr="00A81971">
        <w:rPr>
          <w:rFonts w:eastAsia="Times New Roman"/>
          <w:color w:val="000000" w:themeColor="text1"/>
        </w:rPr>
        <w:t>.</w:t>
      </w:r>
      <w:r w:rsidR="46A3B0F3" w:rsidRPr="00A81971">
        <w:rPr>
          <w:rFonts w:eastAsia="Times New Roman"/>
          <w:color w:val="000000" w:themeColor="text1"/>
        </w:rPr>
        <w:t xml:space="preserve"> A committed amount of US$</w:t>
      </w:r>
      <w:r w:rsidR="007B3362">
        <w:rPr>
          <w:rFonts w:eastAsia="Times New Roman"/>
          <w:color w:val="000000" w:themeColor="text1"/>
        </w:rPr>
        <w:t xml:space="preserve"> </w:t>
      </w:r>
      <w:r w:rsidR="46A3B0F3" w:rsidRPr="00A81971">
        <w:rPr>
          <w:rFonts w:eastAsia="Times New Roman"/>
          <w:color w:val="000000" w:themeColor="text1"/>
        </w:rPr>
        <w:t xml:space="preserve">26.61 million has been approved for the 2030–2032 triennium, together with a final tranche of US$1.96 million for a single country, approved for 2033. </w:t>
      </w:r>
      <w:r w:rsidR="003C4923" w:rsidRPr="003C4923">
        <w:rPr>
          <w:rFonts w:eastAsia="Times New Roman"/>
          <w:color w:val="000000" w:themeColor="text1"/>
        </w:rPr>
        <w:t>In order to simplify presentation of figures in tables, which for all other HCFC calculations do not go beyond 2032, this single tranche is included in the 2030-2032 triennium.</w:t>
      </w:r>
    </w:p>
    <w:p w14:paraId="77C5669D" w14:textId="7AA6A9CD" w:rsidR="002673FA" w:rsidRDefault="002673FA" w:rsidP="46A3B0F3">
      <w:pPr>
        <w:tabs>
          <w:tab w:val="left" w:pos="0"/>
          <w:tab w:val="left" w:pos="1418"/>
        </w:tabs>
        <w:spacing w:after="240" w:line="259" w:lineRule="auto"/>
        <w:rPr>
          <w:rFonts w:eastAsia="Times New Roman"/>
          <w:color w:val="000000" w:themeColor="text1"/>
        </w:rPr>
      </w:pPr>
      <w:r>
        <w:rPr>
          <w:rFonts w:eastAsia="Times New Roman"/>
          <w:color w:val="000000" w:themeColor="text1"/>
        </w:rPr>
        <w:br w:type="page"/>
      </w:r>
    </w:p>
    <w:p w14:paraId="63CB9893" w14:textId="77777777" w:rsidR="00922E08" w:rsidRPr="0093057C" w:rsidRDefault="0032495C" w:rsidP="00BA595D">
      <w:pPr>
        <w:tabs>
          <w:tab w:val="left" w:pos="0"/>
          <w:tab w:val="left" w:pos="1276"/>
        </w:tabs>
        <w:spacing w:after="120"/>
        <w:ind w:left="1282" w:hanging="1282"/>
      </w:pPr>
      <w:r w:rsidRPr="2E7655E2">
        <w:rPr>
          <w:rFonts w:eastAsia="Yu Mincho"/>
          <w:b/>
          <w:bCs/>
          <w:color w:val="000000" w:themeColor="text1"/>
          <w:lang w:val="en-CA"/>
        </w:rPr>
        <w:lastRenderedPageBreak/>
        <w:t>Table 2.1:</w:t>
      </w:r>
      <w:r w:rsidR="00BA595D">
        <w:tab/>
      </w:r>
      <w:r w:rsidRPr="2E7655E2">
        <w:rPr>
          <w:rFonts w:eastAsia="Times New Roman"/>
          <w:b/>
          <w:bCs/>
          <w:color w:val="000000" w:themeColor="text1"/>
        </w:rPr>
        <w:t>Updated range of estimated funding requirement for total HCFC consumption sector phase-out for 2027-2029 and future triennia (US$ million)</w:t>
      </w:r>
      <w:r w:rsidR="00BA595D">
        <w:tab/>
      </w:r>
      <w:r w:rsidRPr="2E7655E2">
        <w:rPr>
          <w:rFonts w:eastAsia="Times New Roman"/>
          <w:b/>
          <w:bCs/>
          <w:color w:val="000000" w:themeColor="text1"/>
        </w:rPr>
        <w:t xml:space="preserve"> </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182"/>
        <w:gridCol w:w="1235"/>
        <w:gridCol w:w="1260"/>
        <w:gridCol w:w="1263"/>
        <w:gridCol w:w="1167"/>
        <w:gridCol w:w="1101"/>
      </w:tblGrid>
      <w:tr w:rsidR="00F90461" w14:paraId="7B191F8A" w14:textId="77777777" w:rsidTr="00F04A1D">
        <w:trPr>
          <w:trHeight w:val="498"/>
        </w:trPr>
        <w:tc>
          <w:tcPr>
            <w:tcW w:w="1808" w:type="dxa"/>
            <w:vMerge w:val="restart"/>
            <w:shd w:val="clear" w:color="auto" w:fill="D9E2F3" w:themeFill="accent1" w:themeFillTint="33"/>
            <w:tcMar>
              <w:left w:w="108" w:type="dxa"/>
              <w:right w:w="108" w:type="dxa"/>
            </w:tcMar>
            <w:vAlign w:val="center"/>
          </w:tcPr>
          <w:p w14:paraId="14A9308C"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HCFC </w:t>
            </w:r>
            <w:r w:rsidRPr="00A81971">
              <w:rPr>
                <w:rFonts w:eastAsia="Calibri"/>
                <w:b/>
                <w:sz w:val="20"/>
                <w:szCs w:val="20"/>
              </w:rPr>
              <w:t>CONSUMPTION SECTOR</w:t>
            </w:r>
          </w:p>
        </w:tc>
        <w:tc>
          <w:tcPr>
            <w:tcW w:w="2417" w:type="dxa"/>
            <w:gridSpan w:val="2"/>
            <w:vMerge w:val="restart"/>
            <w:shd w:val="clear" w:color="auto" w:fill="D9E2F3" w:themeFill="accent1" w:themeFillTint="33"/>
            <w:tcMar>
              <w:left w:w="108" w:type="dxa"/>
              <w:right w:w="108" w:type="dxa"/>
            </w:tcMar>
          </w:tcPr>
          <w:p w14:paraId="39B828FA" w14:textId="77777777" w:rsidR="00434413" w:rsidRPr="00A81971" w:rsidRDefault="0032495C" w:rsidP="1E375DFC">
            <w:pPr>
              <w:spacing w:after="0" w:line="259" w:lineRule="auto"/>
              <w:jc w:val="center"/>
              <w:rPr>
                <w:rFonts w:eastAsia="Calibri"/>
                <w:b/>
                <w:bCs/>
                <w:sz w:val="20"/>
                <w:szCs w:val="20"/>
              </w:rPr>
            </w:pPr>
            <w:r w:rsidRPr="00A81971">
              <w:rPr>
                <w:rFonts w:eastAsia="Calibri"/>
                <w:b/>
                <w:bCs/>
                <w:kern w:val="2"/>
                <w:sz w:val="20"/>
                <w:szCs w:val="20"/>
                <w14:ligatures w14:val="standardContextual"/>
              </w:rPr>
              <w:t xml:space="preserve">2027-2029 and </w:t>
            </w:r>
            <w:r w:rsidRPr="00A81971">
              <w:rPr>
                <w:rFonts w:eastAsia="Calibri"/>
                <w:b/>
                <w:bCs/>
                <w:sz w:val="20"/>
                <w:szCs w:val="20"/>
              </w:rPr>
              <w:t>future triennia</w:t>
            </w:r>
          </w:p>
          <w:p w14:paraId="6908C88C" w14:textId="77777777" w:rsidR="00F04A1D" w:rsidRDefault="0032495C" w:rsidP="1E375DFC">
            <w:pPr>
              <w:spacing w:after="0" w:line="259" w:lineRule="auto"/>
              <w:jc w:val="center"/>
              <w:rPr>
                <w:rFonts w:eastAsia="Calibri"/>
                <w:b/>
                <w:bCs/>
                <w:sz w:val="20"/>
                <w:szCs w:val="20"/>
              </w:rPr>
            </w:pPr>
            <w:r w:rsidRPr="00A81971">
              <w:rPr>
                <w:rFonts w:eastAsia="Calibri"/>
                <w:b/>
                <w:bCs/>
                <w:sz w:val="20"/>
                <w:szCs w:val="20"/>
              </w:rPr>
              <w:t xml:space="preserve"> Total Estimated Funding for Complete Phaseout </w:t>
            </w:r>
          </w:p>
          <w:p w14:paraId="110298E0" w14:textId="77777777" w:rsidR="00434413" w:rsidRPr="00A81971" w:rsidRDefault="0032495C" w:rsidP="1E375DFC">
            <w:pPr>
              <w:spacing w:after="0" w:line="259" w:lineRule="auto"/>
              <w:jc w:val="center"/>
              <w:rPr>
                <w:rFonts w:eastAsia="Calibri"/>
                <w:b/>
                <w:bCs/>
                <w:sz w:val="20"/>
                <w:szCs w:val="20"/>
              </w:rPr>
            </w:pPr>
            <w:r w:rsidRPr="00A81971">
              <w:rPr>
                <w:rFonts w:eastAsia="Calibri"/>
                <w:b/>
                <w:bCs/>
                <w:sz w:val="20"/>
                <w:szCs w:val="20"/>
              </w:rPr>
              <w:t>(US$ million)</w:t>
            </w:r>
          </w:p>
        </w:tc>
        <w:tc>
          <w:tcPr>
            <w:tcW w:w="2523" w:type="dxa"/>
            <w:gridSpan w:val="2"/>
            <w:shd w:val="clear" w:color="auto" w:fill="F7CAAC" w:themeFill="accent2" w:themeFillTint="66"/>
            <w:tcMar>
              <w:left w:w="108" w:type="dxa"/>
              <w:right w:w="108" w:type="dxa"/>
            </w:tcMar>
          </w:tcPr>
          <w:p w14:paraId="2BAF8013" w14:textId="77777777" w:rsidR="00434413" w:rsidRPr="00A81971" w:rsidRDefault="0032495C" w:rsidP="00C80FFD">
            <w:pPr>
              <w:spacing w:after="0" w:line="259" w:lineRule="auto"/>
              <w:jc w:val="center"/>
            </w:pPr>
            <w:r w:rsidRPr="00A81971">
              <w:rPr>
                <w:rFonts w:eastAsia="Calibri"/>
                <w:b/>
                <w:bCs/>
                <w:sz w:val="20"/>
                <w:szCs w:val="20"/>
              </w:rPr>
              <w:t xml:space="preserve">Estimated Funding </w:t>
            </w:r>
            <w:r w:rsidR="7A8E9E32" w:rsidRPr="00A81971">
              <w:rPr>
                <w:rFonts w:eastAsia="Calibri"/>
                <w:b/>
                <w:bCs/>
                <w:sz w:val="20"/>
                <w:szCs w:val="20"/>
              </w:rPr>
              <w:t>per</w:t>
            </w:r>
            <w:r w:rsidRPr="00A81971">
              <w:rPr>
                <w:rFonts w:eastAsia="Calibri"/>
                <w:b/>
                <w:bCs/>
                <w:sz w:val="20"/>
                <w:szCs w:val="20"/>
              </w:rPr>
              <w:t xml:space="preserve"> triennium by </w:t>
            </w:r>
            <w:r w:rsidR="29CD70B9" w:rsidRPr="00A81971">
              <w:rPr>
                <w:rFonts w:eastAsia="Calibri"/>
                <w:b/>
                <w:bCs/>
                <w:sz w:val="20"/>
                <w:szCs w:val="20"/>
              </w:rPr>
              <w:t xml:space="preserve">Resource Allocation </w:t>
            </w:r>
          </w:p>
          <w:p w14:paraId="06D1234F"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sz w:val="20"/>
                <w:szCs w:val="20"/>
              </w:rPr>
              <w:t xml:space="preserve"> </w:t>
            </w:r>
            <w:r w:rsidR="32389095" w:rsidRPr="00A81971">
              <w:rPr>
                <w:rFonts w:eastAsia="Calibri"/>
                <w:b/>
                <w:bCs/>
                <w:sz w:val="20"/>
                <w:szCs w:val="20"/>
              </w:rPr>
              <w:t>(US$ million)</w:t>
            </w:r>
          </w:p>
        </w:tc>
        <w:tc>
          <w:tcPr>
            <w:tcW w:w="2268" w:type="dxa"/>
            <w:gridSpan w:val="2"/>
            <w:shd w:val="clear" w:color="auto" w:fill="FFE599" w:themeFill="accent4" w:themeFillTint="66"/>
            <w:tcMar>
              <w:left w:w="108" w:type="dxa"/>
              <w:right w:w="108" w:type="dxa"/>
            </w:tcMar>
          </w:tcPr>
          <w:p w14:paraId="20444F57" w14:textId="77777777" w:rsidR="00434413" w:rsidRPr="00A81971" w:rsidRDefault="0032495C" w:rsidP="00C80FFD">
            <w:pPr>
              <w:spacing w:after="0" w:line="259" w:lineRule="auto"/>
              <w:jc w:val="center"/>
            </w:pPr>
            <w:r w:rsidRPr="00A81971">
              <w:rPr>
                <w:rFonts w:eastAsia="Calibri"/>
                <w:b/>
                <w:bCs/>
                <w:sz w:val="20"/>
                <w:szCs w:val="20"/>
              </w:rPr>
              <w:t xml:space="preserve">Estimated Funding per triennium by </w:t>
            </w:r>
            <w:r w:rsidR="29CD70B9" w:rsidRPr="00A81971">
              <w:rPr>
                <w:rFonts w:eastAsia="Calibri"/>
                <w:b/>
                <w:bCs/>
                <w:sz w:val="20"/>
                <w:szCs w:val="20"/>
              </w:rPr>
              <w:t xml:space="preserve">Resource Allocation </w:t>
            </w:r>
          </w:p>
          <w:p w14:paraId="77A47493" w14:textId="77777777" w:rsidR="00434413" w:rsidRPr="00A81971" w:rsidRDefault="0032495C" w:rsidP="00C80FFD">
            <w:pPr>
              <w:spacing w:after="0" w:line="259" w:lineRule="auto"/>
              <w:jc w:val="center"/>
            </w:pPr>
            <w:r w:rsidRPr="00A81971">
              <w:rPr>
                <w:rFonts w:eastAsia="Calibri"/>
                <w:b/>
                <w:bCs/>
                <w:sz w:val="20"/>
                <w:szCs w:val="20"/>
              </w:rPr>
              <w:t>(US$ million)</w:t>
            </w:r>
          </w:p>
        </w:tc>
      </w:tr>
      <w:tr w:rsidR="00F90461" w14:paraId="61A998B7" w14:textId="77777777" w:rsidTr="00F04A1D">
        <w:trPr>
          <w:trHeight w:val="498"/>
        </w:trPr>
        <w:tc>
          <w:tcPr>
            <w:tcW w:w="1808" w:type="dxa"/>
            <w:vMerge/>
            <w:tcMar>
              <w:left w:w="108" w:type="dxa"/>
              <w:right w:w="108" w:type="dxa"/>
            </w:tcMar>
            <w:vAlign w:val="center"/>
          </w:tcPr>
          <w:p w14:paraId="0DDBDFF5" w14:textId="77777777" w:rsidR="00434413" w:rsidRPr="00A81971" w:rsidRDefault="00434413" w:rsidP="00C80FFD">
            <w:pPr>
              <w:spacing w:after="0" w:line="259" w:lineRule="auto"/>
              <w:jc w:val="center"/>
              <w:rPr>
                <w:rFonts w:eastAsia="Calibri"/>
                <w:b/>
                <w:bCs/>
                <w:kern w:val="2"/>
                <w:sz w:val="20"/>
                <w:szCs w:val="20"/>
                <w14:ligatures w14:val="standardContextual"/>
              </w:rPr>
            </w:pPr>
          </w:p>
        </w:tc>
        <w:tc>
          <w:tcPr>
            <w:tcW w:w="2417" w:type="dxa"/>
            <w:gridSpan w:val="2"/>
            <w:vMerge/>
            <w:tcMar>
              <w:left w:w="108" w:type="dxa"/>
              <w:right w:w="108" w:type="dxa"/>
            </w:tcMar>
          </w:tcPr>
          <w:p w14:paraId="472B5FFE" w14:textId="77777777" w:rsidR="00434413" w:rsidRPr="00A81971" w:rsidRDefault="00434413" w:rsidP="00C80FFD">
            <w:pPr>
              <w:spacing w:after="0" w:line="259" w:lineRule="auto"/>
              <w:jc w:val="center"/>
              <w:rPr>
                <w:rFonts w:eastAsia="Calibri"/>
                <w:b/>
                <w:bCs/>
                <w:kern w:val="2"/>
                <w:sz w:val="20"/>
                <w:szCs w:val="20"/>
                <w14:ligatures w14:val="standardContextual"/>
              </w:rPr>
            </w:pPr>
          </w:p>
        </w:tc>
        <w:tc>
          <w:tcPr>
            <w:tcW w:w="1260" w:type="dxa"/>
            <w:shd w:val="clear" w:color="auto" w:fill="F7CAAC" w:themeFill="accent2" w:themeFillTint="66"/>
            <w:tcMar>
              <w:left w:w="108" w:type="dxa"/>
              <w:right w:w="108" w:type="dxa"/>
            </w:tcMar>
            <w:vAlign w:val="center"/>
          </w:tcPr>
          <w:p w14:paraId="660E70A2"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2027-2029</w:t>
            </w:r>
          </w:p>
        </w:tc>
        <w:tc>
          <w:tcPr>
            <w:tcW w:w="1263" w:type="dxa"/>
            <w:shd w:val="clear" w:color="auto" w:fill="F7CAAC" w:themeFill="accent2" w:themeFillTint="66"/>
            <w:tcMar>
              <w:left w:w="108" w:type="dxa"/>
              <w:right w:w="108" w:type="dxa"/>
            </w:tcMar>
            <w:vAlign w:val="center"/>
          </w:tcPr>
          <w:p w14:paraId="5303DD21" w14:textId="77777777" w:rsidR="00434413" w:rsidRPr="00A81971" w:rsidRDefault="0032495C" w:rsidP="1E375DFC">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2030-</w:t>
            </w:r>
            <w:r w:rsidR="46A3B0F3" w:rsidRPr="00A81971">
              <w:rPr>
                <w:rFonts w:eastAsia="Calibri"/>
                <w:b/>
                <w:bCs/>
                <w:sz w:val="20"/>
                <w:szCs w:val="20"/>
              </w:rPr>
              <w:t>2032</w:t>
            </w:r>
          </w:p>
        </w:tc>
        <w:tc>
          <w:tcPr>
            <w:tcW w:w="1167" w:type="dxa"/>
            <w:shd w:val="clear" w:color="auto" w:fill="FFE599" w:themeFill="accent4" w:themeFillTint="66"/>
            <w:tcMar>
              <w:left w:w="108" w:type="dxa"/>
              <w:right w:w="108" w:type="dxa"/>
            </w:tcMar>
            <w:vAlign w:val="center"/>
          </w:tcPr>
          <w:p w14:paraId="56471281"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2027-2029</w:t>
            </w:r>
          </w:p>
        </w:tc>
        <w:tc>
          <w:tcPr>
            <w:tcW w:w="1101" w:type="dxa"/>
            <w:shd w:val="clear" w:color="auto" w:fill="FFE599" w:themeFill="accent4" w:themeFillTint="66"/>
            <w:tcMar>
              <w:left w:w="108" w:type="dxa"/>
              <w:right w:w="108" w:type="dxa"/>
            </w:tcMar>
            <w:vAlign w:val="center"/>
          </w:tcPr>
          <w:p w14:paraId="7F9DBEB1" w14:textId="77777777" w:rsidR="00434413" w:rsidRPr="00A81971" w:rsidRDefault="0032495C" w:rsidP="1E375DFC">
            <w:pPr>
              <w:spacing w:after="0" w:line="259" w:lineRule="auto"/>
              <w:jc w:val="center"/>
              <w:rPr>
                <w:rFonts w:eastAsia="Calibri"/>
                <w:b/>
                <w:bCs/>
                <w:color w:val="FF0000"/>
                <w:sz w:val="20"/>
                <w:szCs w:val="20"/>
              </w:rPr>
            </w:pPr>
            <w:r w:rsidRPr="00A81971">
              <w:rPr>
                <w:rFonts w:eastAsia="Calibri"/>
                <w:b/>
                <w:bCs/>
                <w:kern w:val="2"/>
                <w:sz w:val="20"/>
                <w:szCs w:val="20"/>
                <w14:ligatures w14:val="standardContextual"/>
              </w:rPr>
              <w:t>2030</w:t>
            </w:r>
            <w:r w:rsidR="1E375DFC" w:rsidRPr="00A81971">
              <w:rPr>
                <w:rFonts w:eastAsia="Calibri"/>
                <w:b/>
                <w:bCs/>
                <w:sz w:val="20"/>
                <w:szCs w:val="20"/>
              </w:rPr>
              <w:t>-2032</w:t>
            </w:r>
          </w:p>
        </w:tc>
      </w:tr>
      <w:tr w:rsidR="00F90461" w14:paraId="7957A471" w14:textId="77777777" w:rsidTr="00F04A1D">
        <w:trPr>
          <w:trHeight w:val="60"/>
        </w:trPr>
        <w:tc>
          <w:tcPr>
            <w:tcW w:w="1808" w:type="dxa"/>
            <w:vMerge/>
            <w:tcMar>
              <w:left w:w="108" w:type="dxa"/>
              <w:right w:w="108" w:type="dxa"/>
            </w:tcMar>
          </w:tcPr>
          <w:p w14:paraId="42548D9B" w14:textId="77777777" w:rsidR="00434413" w:rsidRPr="00A81971" w:rsidRDefault="00434413" w:rsidP="00C80FFD">
            <w:pPr>
              <w:spacing w:after="0" w:line="259" w:lineRule="auto"/>
              <w:rPr>
                <w:rFonts w:eastAsia="Calibri"/>
                <w:b/>
                <w:bCs/>
                <w:kern w:val="2"/>
                <w:sz w:val="20"/>
                <w:szCs w:val="20"/>
                <w14:ligatures w14:val="standardContextual"/>
              </w:rPr>
            </w:pPr>
          </w:p>
        </w:tc>
        <w:tc>
          <w:tcPr>
            <w:tcW w:w="2417" w:type="dxa"/>
            <w:gridSpan w:val="2"/>
            <w:shd w:val="clear" w:color="auto" w:fill="D9E2F3" w:themeFill="accent1" w:themeFillTint="33"/>
            <w:tcMar>
              <w:left w:w="108" w:type="dxa"/>
              <w:right w:w="108" w:type="dxa"/>
            </w:tcMar>
          </w:tcPr>
          <w:p w14:paraId="40C94714"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2 Scenarios </w:t>
            </w:r>
          </w:p>
          <w:p w14:paraId="04B8A6F5"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Applying different CEs to manufacturing sectors</w:t>
            </w:r>
          </w:p>
        </w:tc>
        <w:tc>
          <w:tcPr>
            <w:tcW w:w="2523" w:type="dxa"/>
            <w:gridSpan w:val="2"/>
            <w:shd w:val="clear" w:color="auto" w:fill="F7CAAC" w:themeFill="accent2" w:themeFillTint="66"/>
            <w:tcMar>
              <w:left w:w="108" w:type="dxa"/>
              <w:right w:w="108" w:type="dxa"/>
            </w:tcMar>
          </w:tcPr>
          <w:p w14:paraId="3AE9AC91" w14:textId="77777777" w:rsidR="00434413" w:rsidRPr="00A81971" w:rsidRDefault="0032495C" w:rsidP="00C80FFD">
            <w:pPr>
              <w:spacing w:after="0" w:line="259" w:lineRule="auto"/>
              <w:rPr>
                <w:rFonts w:eastAsia="Calibri"/>
                <w:b/>
                <w:bCs/>
                <w:kern w:val="2"/>
                <w:sz w:val="20"/>
                <w:szCs w:val="20"/>
                <w14:ligatures w14:val="standardContextual"/>
              </w:rPr>
            </w:pPr>
            <w:r w:rsidRPr="00A81971">
              <w:rPr>
                <w:rFonts w:eastAsia="Calibri"/>
                <w:b/>
                <w:bCs/>
                <w:kern w:val="2"/>
                <w:sz w:val="20"/>
                <w:szCs w:val="20"/>
                <w14:ligatures w14:val="standardContextual"/>
              </w:rPr>
              <w:t xml:space="preserve"> </w:t>
            </w:r>
          </w:p>
          <w:p w14:paraId="318E0CEB"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HCFC Scenario 1 </w:t>
            </w:r>
          </w:p>
        </w:tc>
        <w:tc>
          <w:tcPr>
            <w:tcW w:w="2268" w:type="dxa"/>
            <w:gridSpan w:val="2"/>
            <w:shd w:val="clear" w:color="auto" w:fill="FFE599" w:themeFill="accent4" w:themeFillTint="66"/>
            <w:tcMar>
              <w:left w:w="108" w:type="dxa"/>
              <w:right w:w="108" w:type="dxa"/>
            </w:tcMar>
          </w:tcPr>
          <w:p w14:paraId="31926FD5" w14:textId="77777777" w:rsidR="00434413" w:rsidRPr="00A81971" w:rsidRDefault="0032495C" w:rsidP="00C80FFD">
            <w:pPr>
              <w:shd w:val="clear" w:color="auto" w:fill="FFE599"/>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 </w:t>
            </w:r>
          </w:p>
          <w:p w14:paraId="59D91DC3" w14:textId="77777777" w:rsidR="00434413" w:rsidRPr="00A81971" w:rsidRDefault="0032495C" w:rsidP="00C80FFD">
            <w:pPr>
              <w:shd w:val="clear" w:color="auto" w:fill="FFE599"/>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HCFC Scenario 2 </w:t>
            </w:r>
          </w:p>
        </w:tc>
      </w:tr>
      <w:tr w:rsidR="00F90461" w14:paraId="7BF8BBA6" w14:textId="77777777" w:rsidTr="00F04A1D">
        <w:trPr>
          <w:trHeight w:val="180"/>
        </w:trPr>
        <w:tc>
          <w:tcPr>
            <w:tcW w:w="1808" w:type="dxa"/>
            <w:vMerge/>
            <w:tcMar>
              <w:left w:w="108" w:type="dxa"/>
              <w:right w:w="108" w:type="dxa"/>
            </w:tcMar>
          </w:tcPr>
          <w:p w14:paraId="324C84C1" w14:textId="77777777" w:rsidR="00434413" w:rsidRPr="00A81971" w:rsidRDefault="00434413" w:rsidP="00C80FFD">
            <w:pPr>
              <w:spacing w:after="0" w:line="259" w:lineRule="auto"/>
              <w:rPr>
                <w:rFonts w:eastAsia="Calibri"/>
                <w:b/>
                <w:bCs/>
                <w:kern w:val="2"/>
                <w:sz w:val="20"/>
                <w:szCs w:val="20"/>
                <w14:ligatures w14:val="standardContextual"/>
              </w:rPr>
            </w:pPr>
          </w:p>
        </w:tc>
        <w:tc>
          <w:tcPr>
            <w:tcW w:w="1182" w:type="dxa"/>
            <w:shd w:val="clear" w:color="auto" w:fill="F7CAAC" w:themeFill="accent2" w:themeFillTint="66"/>
            <w:tcMar>
              <w:left w:w="108" w:type="dxa"/>
              <w:right w:w="108" w:type="dxa"/>
            </w:tcMar>
            <w:vAlign w:val="center"/>
          </w:tcPr>
          <w:p w14:paraId="3C8DA3C6" w14:textId="77777777" w:rsidR="00434413" w:rsidRPr="00A81971" w:rsidRDefault="0032495C" w:rsidP="00C80FF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Scenario 1</w:t>
            </w:r>
          </w:p>
        </w:tc>
        <w:tc>
          <w:tcPr>
            <w:tcW w:w="1235" w:type="dxa"/>
            <w:shd w:val="clear" w:color="auto" w:fill="FFE599" w:themeFill="accent4" w:themeFillTint="66"/>
            <w:tcMar>
              <w:left w:w="108" w:type="dxa"/>
              <w:right w:w="108" w:type="dxa"/>
            </w:tcMar>
            <w:vAlign w:val="center"/>
          </w:tcPr>
          <w:p w14:paraId="20D0BD98" w14:textId="77777777" w:rsidR="00434413" w:rsidRPr="00A81971" w:rsidRDefault="0032495C" w:rsidP="00C80FF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Scenario 2</w:t>
            </w:r>
          </w:p>
        </w:tc>
        <w:tc>
          <w:tcPr>
            <w:tcW w:w="1260" w:type="dxa"/>
            <w:shd w:val="clear" w:color="auto" w:fill="F7CAAC" w:themeFill="accent2" w:themeFillTint="66"/>
            <w:tcMar>
              <w:left w:w="108" w:type="dxa"/>
              <w:right w:w="108" w:type="dxa"/>
            </w:tcMar>
          </w:tcPr>
          <w:p w14:paraId="030641D2" w14:textId="77777777" w:rsidR="00434413" w:rsidRPr="00A81971" w:rsidRDefault="0032495C" w:rsidP="00C80FF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90%</w:t>
            </w:r>
          </w:p>
        </w:tc>
        <w:tc>
          <w:tcPr>
            <w:tcW w:w="1263" w:type="dxa"/>
            <w:shd w:val="clear" w:color="auto" w:fill="F7CAAC" w:themeFill="accent2" w:themeFillTint="66"/>
            <w:tcMar>
              <w:left w:w="108" w:type="dxa"/>
              <w:right w:w="108" w:type="dxa"/>
            </w:tcMar>
          </w:tcPr>
          <w:p w14:paraId="2217C159" w14:textId="77777777" w:rsidR="00434413" w:rsidRPr="00A81971" w:rsidRDefault="0032495C" w:rsidP="00C80FFD">
            <w:pPr>
              <w:spacing w:after="0" w:line="259" w:lineRule="auto"/>
              <w:jc w:val="center"/>
              <w:rPr>
                <w:rFonts w:eastAsia="Yu Mincho"/>
                <w:b/>
                <w:bCs/>
                <w:sz w:val="20"/>
                <w:szCs w:val="20"/>
              </w:rPr>
            </w:pPr>
            <w:r w:rsidRPr="00A81971">
              <w:rPr>
                <w:rFonts w:eastAsia="Yu Mincho"/>
                <w:b/>
                <w:bCs/>
                <w:kern w:val="2"/>
                <w:sz w:val="20"/>
                <w:szCs w:val="20"/>
                <w14:ligatures w14:val="standardContextual"/>
              </w:rPr>
              <w:t>10%</w:t>
            </w:r>
          </w:p>
        </w:tc>
        <w:tc>
          <w:tcPr>
            <w:tcW w:w="1167" w:type="dxa"/>
            <w:shd w:val="clear" w:color="auto" w:fill="FFE599" w:themeFill="accent4" w:themeFillTint="66"/>
            <w:tcMar>
              <w:left w:w="108" w:type="dxa"/>
              <w:right w:w="108" w:type="dxa"/>
            </w:tcMar>
          </w:tcPr>
          <w:p w14:paraId="046145AF" w14:textId="77777777" w:rsidR="00434413" w:rsidRPr="00A81971" w:rsidRDefault="0032495C" w:rsidP="00C80FFD">
            <w:pPr>
              <w:spacing w:after="0" w:line="259" w:lineRule="auto"/>
              <w:jc w:val="center"/>
              <w:rPr>
                <w:rFonts w:eastAsia="Yu Mincho"/>
                <w:b/>
                <w:bCs/>
                <w:sz w:val="20"/>
                <w:szCs w:val="20"/>
              </w:rPr>
            </w:pPr>
            <w:r w:rsidRPr="00A81971">
              <w:rPr>
                <w:rFonts w:eastAsia="Yu Mincho"/>
                <w:b/>
                <w:bCs/>
                <w:kern w:val="2"/>
                <w:sz w:val="20"/>
                <w:szCs w:val="20"/>
                <w14:ligatures w14:val="standardContextual"/>
              </w:rPr>
              <w:t>90%</w:t>
            </w:r>
          </w:p>
        </w:tc>
        <w:tc>
          <w:tcPr>
            <w:tcW w:w="1101" w:type="dxa"/>
            <w:shd w:val="clear" w:color="auto" w:fill="FFE599" w:themeFill="accent4" w:themeFillTint="66"/>
            <w:tcMar>
              <w:left w:w="108" w:type="dxa"/>
              <w:right w:w="108" w:type="dxa"/>
            </w:tcMar>
          </w:tcPr>
          <w:p w14:paraId="22BB0698" w14:textId="77777777" w:rsidR="00434413" w:rsidRPr="00A81971" w:rsidRDefault="0032495C" w:rsidP="00C80FF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10%</w:t>
            </w:r>
          </w:p>
        </w:tc>
      </w:tr>
      <w:tr w:rsidR="00F90461" w14:paraId="581A2220" w14:textId="77777777" w:rsidTr="00FE5C31">
        <w:trPr>
          <w:trHeight w:val="180"/>
        </w:trPr>
        <w:tc>
          <w:tcPr>
            <w:tcW w:w="1808" w:type="dxa"/>
            <w:shd w:val="clear" w:color="auto" w:fill="E2EFD9" w:themeFill="accent6" w:themeFillTint="33"/>
            <w:tcMar>
              <w:left w:w="108" w:type="dxa"/>
              <w:right w:w="108" w:type="dxa"/>
            </w:tcMar>
          </w:tcPr>
          <w:p w14:paraId="1043C59F" w14:textId="77777777" w:rsidR="00434413" w:rsidRPr="00A81971" w:rsidRDefault="0032495C" w:rsidP="00C80FF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Funding Committed for Approved HPMPs</w:t>
            </w:r>
          </w:p>
        </w:tc>
        <w:tc>
          <w:tcPr>
            <w:tcW w:w="1182" w:type="dxa"/>
            <w:shd w:val="clear" w:color="auto" w:fill="F7CAAC" w:themeFill="accent2" w:themeFillTint="66"/>
            <w:tcMar>
              <w:left w:w="108" w:type="dxa"/>
              <w:right w:w="108" w:type="dxa"/>
            </w:tcMar>
            <w:vAlign w:val="center"/>
          </w:tcPr>
          <w:p w14:paraId="1301110C"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117.75*</w:t>
            </w:r>
          </w:p>
        </w:tc>
        <w:tc>
          <w:tcPr>
            <w:tcW w:w="1235" w:type="dxa"/>
            <w:shd w:val="clear" w:color="auto" w:fill="FFE599" w:themeFill="accent4" w:themeFillTint="66"/>
            <w:tcMar>
              <w:left w:w="108" w:type="dxa"/>
              <w:right w:w="108" w:type="dxa"/>
            </w:tcMar>
            <w:vAlign w:val="center"/>
          </w:tcPr>
          <w:p w14:paraId="2AF7BA40"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117.75*</w:t>
            </w:r>
          </w:p>
        </w:tc>
        <w:tc>
          <w:tcPr>
            <w:tcW w:w="1260" w:type="dxa"/>
            <w:shd w:val="clear" w:color="auto" w:fill="F7CAAC" w:themeFill="accent2" w:themeFillTint="66"/>
            <w:tcMar>
              <w:left w:w="108" w:type="dxa"/>
              <w:right w:w="108" w:type="dxa"/>
            </w:tcMar>
            <w:vAlign w:val="center"/>
          </w:tcPr>
          <w:p w14:paraId="7CB0E843" w14:textId="77777777" w:rsidR="00434413" w:rsidRPr="00A81971" w:rsidRDefault="0032495C" w:rsidP="000E4C73">
            <w:pPr>
              <w:spacing w:after="0" w:line="259" w:lineRule="auto"/>
              <w:jc w:val="right"/>
              <w:rPr>
                <w:rFonts w:eastAsia="Calibri"/>
                <w:sz w:val="20"/>
                <w:szCs w:val="20"/>
              </w:rPr>
            </w:pPr>
            <w:r w:rsidRPr="00A81971">
              <w:rPr>
                <w:rFonts w:eastAsia="Calibri"/>
                <w:sz w:val="20"/>
                <w:szCs w:val="20"/>
              </w:rPr>
              <w:t>89.18*</w:t>
            </w:r>
          </w:p>
        </w:tc>
        <w:tc>
          <w:tcPr>
            <w:tcW w:w="1263" w:type="dxa"/>
            <w:shd w:val="clear" w:color="auto" w:fill="F7CAAC" w:themeFill="accent2" w:themeFillTint="66"/>
            <w:tcMar>
              <w:left w:w="108" w:type="dxa"/>
              <w:right w:w="108" w:type="dxa"/>
            </w:tcMar>
            <w:vAlign w:val="center"/>
          </w:tcPr>
          <w:p w14:paraId="29CB4954" w14:textId="77777777" w:rsidR="1E375DFC" w:rsidRPr="00A81971" w:rsidRDefault="1E375DFC" w:rsidP="000E4C73">
            <w:pPr>
              <w:spacing w:after="0" w:line="259" w:lineRule="auto"/>
              <w:jc w:val="right"/>
              <w:rPr>
                <w:rFonts w:eastAsia="Calibri"/>
                <w:sz w:val="20"/>
                <w:szCs w:val="20"/>
              </w:rPr>
            </w:pPr>
          </w:p>
          <w:p w14:paraId="76C8E012" w14:textId="77777777" w:rsidR="00434413" w:rsidRPr="00A81971" w:rsidRDefault="0032495C" w:rsidP="000E4C73">
            <w:pPr>
              <w:spacing w:after="0" w:line="259" w:lineRule="auto"/>
              <w:jc w:val="right"/>
            </w:pPr>
            <w:r w:rsidRPr="2E7655E2">
              <w:rPr>
                <w:rFonts w:eastAsia="Calibri"/>
                <w:sz w:val="20"/>
                <w:szCs w:val="20"/>
              </w:rPr>
              <w:t>28.57**</w:t>
            </w:r>
          </w:p>
          <w:p w14:paraId="13491A76" w14:textId="77777777" w:rsidR="00434413" w:rsidRPr="00A81971" w:rsidRDefault="00434413" w:rsidP="000E4C73">
            <w:pPr>
              <w:spacing w:after="0" w:line="259" w:lineRule="auto"/>
              <w:jc w:val="right"/>
              <w:rPr>
                <w:rFonts w:eastAsia="Calibri"/>
                <w:sz w:val="20"/>
                <w:szCs w:val="20"/>
              </w:rPr>
            </w:pPr>
          </w:p>
        </w:tc>
        <w:tc>
          <w:tcPr>
            <w:tcW w:w="1167" w:type="dxa"/>
            <w:shd w:val="clear" w:color="auto" w:fill="FFE599" w:themeFill="accent4" w:themeFillTint="66"/>
            <w:tcMar>
              <w:left w:w="108" w:type="dxa"/>
              <w:right w:w="108" w:type="dxa"/>
            </w:tcMar>
            <w:vAlign w:val="center"/>
          </w:tcPr>
          <w:p w14:paraId="7688E786" w14:textId="77777777" w:rsidR="00434413" w:rsidRPr="00A81971" w:rsidRDefault="0032495C" w:rsidP="000E4C73">
            <w:pPr>
              <w:spacing w:after="0" w:line="259" w:lineRule="auto"/>
              <w:jc w:val="right"/>
              <w:rPr>
                <w:rFonts w:eastAsia="Calibri"/>
                <w:sz w:val="20"/>
                <w:szCs w:val="20"/>
              </w:rPr>
            </w:pPr>
            <w:r w:rsidRPr="00A81971">
              <w:rPr>
                <w:rFonts w:eastAsia="Calibri"/>
                <w:sz w:val="20"/>
                <w:szCs w:val="20"/>
              </w:rPr>
              <w:t>89.18*</w:t>
            </w:r>
          </w:p>
        </w:tc>
        <w:tc>
          <w:tcPr>
            <w:tcW w:w="1101" w:type="dxa"/>
            <w:shd w:val="clear" w:color="auto" w:fill="FFE599" w:themeFill="accent4" w:themeFillTint="66"/>
            <w:tcMar>
              <w:left w:w="108" w:type="dxa"/>
              <w:right w:w="108" w:type="dxa"/>
            </w:tcMar>
            <w:vAlign w:val="center"/>
          </w:tcPr>
          <w:p w14:paraId="7D26E488" w14:textId="77777777" w:rsidR="00434413" w:rsidRPr="00A81971" w:rsidRDefault="0032495C" w:rsidP="000E4C73">
            <w:pPr>
              <w:spacing w:after="0" w:line="259" w:lineRule="auto"/>
              <w:jc w:val="right"/>
              <w:rPr>
                <w:rFonts w:eastAsia="Calibri"/>
                <w:sz w:val="20"/>
                <w:szCs w:val="20"/>
              </w:rPr>
            </w:pPr>
            <w:r w:rsidRPr="00A81971">
              <w:rPr>
                <w:rFonts w:eastAsia="Calibri"/>
                <w:sz w:val="20"/>
                <w:szCs w:val="20"/>
              </w:rPr>
              <w:t>28.57**</w:t>
            </w:r>
          </w:p>
        </w:tc>
      </w:tr>
      <w:tr w:rsidR="00F90461" w14:paraId="1BF36322" w14:textId="77777777" w:rsidTr="00FE5C31">
        <w:trPr>
          <w:trHeight w:val="180"/>
        </w:trPr>
        <w:tc>
          <w:tcPr>
            <w:tcW w:w="1808" w:type="dxa"/>
            <w:shd w:val="clear" w:color="auto" w:fill="E2EFD9" w:themeFill="accent6" w:themeFillTint="33"/>
            <w:tcMar>
              <w:left w:w="108" w:type="dxa"/>
              <w:right w:w="108" w:type="dxa"/>
            </w:tcMar>
          </w:tcPr>
          <w:p w14:paraId="7D9C150A" w14:textId="77777777" w:rsidR="00434413" w:rsidRPr="00A81971" w:rsidRDefault="0032495C" w:rsidP="00C80FF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Estimated New Funding for Project Preparation (PRP)</w:t>
            </w:r>
          </w:p>
        </w:tc>
        <w:tc>
          <w:tcPr>
            <w:tcW w:w="1182" w:type="dxa"/>
            <w:shd w:val="clear" w:color="auto" w:fill="F7CAAC" w:themeFill="accent2" w:themeFillTint="66"/>
            <w:tcMar>
              <w:left w:w="108" w:type="dxa"/>
              <w:right w:w="108" w:type="dxa"/>
            </w:tcMar>
            <w:vAlign w:val="center"/>
          </w:tcPr>
          <w:p w14:paraId="67E024A8"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0.263</w:t>
            </w:r>
          </w:p>
        </w:tc>
        <w:tc>
          <w:tcPr>
            <w:tcW w:w="1235" w:type="dxa"/>
            <w:shd w:val="clear" w:color="auto" w:fill="FFE599" w:themeFill="accent4" w:themeFillTint="66"/>
            <w:tcMar>
              <w:left w:w="108" w:type="dxa"/>
              <w:right w:w="108" w:type="dxa"/>
            </w:tcMar>
            <w:vAlign w:val="center"/>
          </w:tcPr>
          <w:p w14:paraId="1CEB1CF9"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0.263</w:t>
            </w:r>
          </w:p>
        </w:tc>
        <w:tc>
          <w:tcPr>
            <w:tcW w:w="1260" w:type="dxa"/>
            <w:shd w:val="clear" w:color="auto" w:fill="F7CAAC" w:themeFill="accent2" w:themeFillTint="66"/>
            <w:tcMar>
              <w:left w:w="108" w:type="dxa"/>
              <w:right w:w="108" w:type="dxa"/>
            </w:tcMar>
            <w:vAlign w:val="center"/>
          </w:tcPr>
          <w:p w14:paraId="02C32B11"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0.24</w:t>
            </w:r>
          </w:p>
        </w:tc>
        <w:tc>
          <w:tcPr>
            <w:tcW w:w="1263" w:type="dxa"/>
            <w:shd w:val="clear" w:color="auto" w:fill="F7CAAC" w:themeFill="accent2" w:themeFillTint="66"/>
            <w:tcMar>
              <w:left w:w="108" w:type="dxa"/>
              <w:right w:w="108" w:type="dxa"/>
            </w:tcMar>
            <w:vAlign w:val="center"/>
          </w:tcPr>
          <w:p w14:paraId="1457DDE8"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0.03</w:t>
            </w:r>
          </w:p>
        </w:tc>
        <w:tc>
          <w:tcPr>
            <w:tcW w:w="1167" w:type="dxa"/>
            <w:shd w:val="clear" w:color="auto" w:fill="FFE599" w:themeFill="accent4" w:themeFillTint="66"/>
            <w:tcMar>
              <w:left w:w="108" w:type="dxa"/>
              <w:right w:w="108" w:type="dxa"/>
            </w:tcMar>
            <w:vAlign w:val="center"/>
          </w:tcPr>
          <w:p w14:paraId="09E8BFA4" w14:textId="2653343A"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0.24</w:t>
            </w:r>
          </w:p>
        </w:tc>
        <w:tc>
          <w:tcPr>
            <w:tcW w:w="1101" w:type="dxa"/>
            <w:shd w:val="clear" w:color="auto" w:fill="FFE599" w:themeFill="accent4" w:themeFillTint="66"/>
            <w:tcMar>
              <w:left w:w="108" w:type="dxa"/>
              <w:right w:w="108" w:type="dxa"/>
            </w:tcMar>
            <w:vAlign w:val="center"/>
          </w:tcPr>
          <w:p w14:paraId="410C9D17"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0.03</w:t>
            </w:r>
          </w:p>
        </w:tc>
      </w:tr>
      <w:tr w:rsidR="00F90461" w14:paraId="44187069" w14:textId="77777777" w:rsidTr="00FE5C31">
        <w:trPr>
          <w:trHeight w:val="60"/>
        </w:trPr>
        <w:tc>
          <w:tcPr>
            <w:tcW w:w="1808" w:type="dxa"/>
            <w:shd w:val="clear" w:color="auto" w:fill="E2EFD9" w:themeFill="accent6" w:themeFillTint="33"/>
            <w:tcMar>
              <w:left w:w="108" w:type="dxa"/>
              <w:right w:w="108" w:type="dxa"/>
            </w:tcMar>
          </w:tcPr>
          <w:p w14:paraId="632ED8C8" w14:textId="77777777" w:rsidR="00442796" w:rsidRPr="00A81971" w:rsidRDefault="0032495C" w:rsidP="00442796">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 xml:space="preserve">Estimated New Funding to Address Remaining Consumption in 14 Parties </w:t>
            </w:r>
            <w:r w:rsidR="1E375DFC" w:rsidRPr="00A81971">
              <w:rPr>
                <w:rFonts w:eastAsia="Calibri"/>
                <w:sz w:val="20"/>
                <w:szCs w:val="20"/>
              </w:rPr>
              <w:t xml:space="preserve"> </w:t>
            </w:r>
          </w:p>
        </w:tc>
        <w:tc>
          <w:tcPr>
            <w:tcW w:w="1182" w:type="dxa"/>
            <w:shd w:val="clear" w:color="auto" w:fill="F7CAAC" w:themeFill="accent2" w:themeFillTint="66"/>
            <w:tcMar>
              <w:left w:w="108" w:type="dxa"/>
              <w:right w:w="108" w:type="dxa"/>
            </w:tcMar>
            <w:vAlign w:val="center"/>
          </w:tcPr>
          <w:p w14:paraId="173F4ACC" w14:textId="77777777" w:rsidR="1E375DFC" w:rsidRPr="00A81971" w:rsidRDefault="1E375DFC" w:rsidP="000E4C73">
            <w:pPr>
              <w:spacing w:after="0" w:line="259" w:lineRule="auto"/>
              <w:jc w:val="right"/>
              <w:rPr>
                <w:sz w:val="20"/>
                <w:szCs w:val="20"/>
              </w:rPr>
            </w:pPr>
          </w:p>
          <w:p w14:paraId="72253B4A"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346.47</w:t>
            </w:r>
          </w:p>
        </w:tc>
        <w:tc>
          <w:tcPr>
            <w:tcW w:w="1235" w:type="dxa"/>
            <w:shd w:val="clear" w:color="auto" w:fill="FFE599" w:themeFill="accent4" w:themeFillTint="66"/>
            <w:tcMar>
              <w:left w:w="108" w:type="dxa"/>
              <w:right w:w="108" w:type="dxa"/>
            </w:tcMar>
            <w:vAlign w:val="center"/>
          </w:tcPr>
          <w:p w14:paraId="19607527" w14:textId="77777777" w:rsidR="1E375DFC" w:rsidRPr="00A81971" w:rsidRDefault="1E375DFC" w:rsidP="000E4C73">
            <w:pPr>
              <w:spacing w:after="0" w:line="259" w:lineRule="auto"/>
              <w:jc w:val="right"/>
              <w:rPr>
                <w:sz w:val="20"/>
                <w:szCs w:val="20"/>
              </w:rPr>
            </w:pPr>
          </w:p>
          <w:p w14:paraId="247B28F8"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488.15</w:t>
            </w:r>
          </w:p>
        </w:tc>
        <w:tc>
          <w:tcPr>
            <w:tcW w:w="1260" w:type="dxa"/>
            <w:shd w:val="clear" w:color="auto" w:fill="F7CAAC" w:themeFill="accent2" w:themeFillTint="66"/>
            <w:tcMar>
              <w:left w:w="108" w:type="dxa"/>
              <w:right w:w="108" w:type="dxa"/>
            </w:tcMar>
            <w:vAlign w:val="center"/>
          </w:tcPr>
          <w:p w14:paraId="23DF76BB" w14:textId="77777777" w:rsidR="1E375DFC" w:rsidRPr="00A81971" w:rsidRDefault="1E375DFC" w:rsidP="000E4C73">
            <w:pPr>
              <w:spacing w:after="0" w:line="259" w:lineRule="auto"/>
              <w:jc w:val="right"/>
              <w:rPr>
                <w:sz w:val="20"/>
                <w:szCs w:val="20"/>
              </w:rPr>
            </w:pPr>
          </w:p>
          <w:p w14:paraId="4EDAA618"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311.82</w:t>
            </w:r>
          </w:p>
        </w:tc>
        <w:tc>
          <w:tcPr>
            <w:tcW w:w="1263" w:type="dxa"/>
            <w:shd w:val="clear" w:color="auto" w:fill="F7CAAC" w:themeFill="accent2" w:themeFillTint="66"/>
            <w:tcMar>
              <w:left w:w="108" w:type="dxa"/>
              <w:right w:w="108" w:type="dxa"/>
            </w:tcMar>
            <w:vAlign w:val="center"/>
          </w:tcPr>
          <w:p w14:paraId="3522CF78" w14:textId="77777777" w:rsidR="1E375DFC" w:rsidRPr="00A81971" w:rsidRDefault="1E375DFC" w:rsidP="000E4C73">
            <w:pPr>
              <w:spacing w:after="0" w:line="259" w:lineRule="auto"/>
              <w:jc w:val="right"/>
              <w:rPr>
                <w:sz w:val="20"/>
                <w:szCs w:val="20"/>
              </w:rPr>
            </w:pPr>
          </w:p>
          <w:p w14:paraId="137E05E3"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34.65</w:t>
            </w:r>
          </w:p>
        </w:tc>
        <w:tc>
          <w:tcPr>
            <w:tcW w:w="1167" w:type="dxa"/>
            <w:shd w:val="clear" w:color="auto" w:fill="FFE599" w:themeFill="accent4" w:themeFillTint="66"/>
            <w:tcMar>
              <w:left w:w="108" w:type="dxa"/>
              <w:right w:w="108" w:type="dxa"/>
            </w:tcMar>
            <w:vAlign w:val="center"/>
          </w:tcPr>
          <w:p w14:paraId="64B4A064" w14:textId="77777777" w:rsidR="1E375DFC" w:rsidRPr="00A81971" w:rsidRDefault="1E375DFC" w:rsidP="000E4C73">
            <w:pPr>
              <w:spacing w:after="0" w:line="259" w:lineRule="auto"/>
              <w:jc w:val="right"/>
              <w:rPr>
                <w:sz w:val="20"/>
                <w:szCs w:val="20"/>
              </w:rPr>
            </w:pPr>
          </w:p>
          <w:p w14:paraId="007A0EBF"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439.34</w:t>
            </w:r>
          </w:p>
        </w:tc>
        <w:tc>
          <w:tcPr>
            <w:tcW w:w="1101" w:type="dxa"/>
            <w:shd w:val="clear" w:color="auto" w:fill="FFE599" w:themeFill="accent4" w:themeFillTint="66"/>
            <w:tcMar>
              <w:left w:w="108" w:type="dxa"/>
              <w:right w:w="108" w:type="dxa"/>
            </w:tcMar>
            <w:vAlign w:val="center"/>
          </w:tcPr>
          <w:p w14:paraId="659476DF" w14:textId="77777777" w:rsidR="1E375DFC" w:rsidRPr="00A81971" w:rsidRDefault="1E375DFC" w:rsidP="000E4C73">
            <w:pPr>
              <w:spacing w:after="0" w:line="259" w:lineRule="auto"/>
              <w:jc w:val="right"/>
              <w:rPr>
                <w:sz w:val="20"/>
                <w:szCs w:val="20"/>
              </w:rPr>
            </w:pPr>
          </w:p>
          <w:p w14:paraId="0BA13FC7" w14:textId="77777777" w:rsidR="00442796" w:rsidRPr="00A81971" w:rsidRDefault="0032495C" w:rsidP="000E4C73">
            <w:pPr>
              <w:spacing w:after="0" w:line="259" w:lineRule="auto"/>
              <w:jc w:val="right"/>
              <w:rPr>
                <w:rFonts w:eastAsia="Calibri"/>
                <w:kern w:val="2"/>
                <w:sz w:val="20"/>
                <w:szCs w:val="20"/>
                <w14:ligatures w14:val="standardContextual"/>
              </w:rPr>
            </w:pPr>
            <w:r w:rsidRPr="00A81971">
              <w:rPr>
                <w:sz w:val="20"/>
                <w:szCs w:val="20"/>
              </w:rPr>
              <w:t>48.81</w:t>
            </w:r>
          </w:p>
        </w:tc>
      </w:tr>
      <w:tr w:rsidR="00F90461" w14:paraId="1EB1B29B" w14:textId="77777777" w:rsidTr="00FE5C31">
        <w:trPr>
          <w:trHeight w:val="60"/>
        </w:trPr>
        <w:tc>
          <w:tcPr>
            <w:tcW w:w="1808" w:type="dxa"/>
            <w:shd w:val="clear" w:color="auto" w:fill="E2EFD9" w:themeFill="accent6" w:themeFillTint="33"/>
            <w:tcMar>
              <w:left w:w="108" w:type="dxa"/>
              <w:right w:w="108" w:type="dxa"/>
            </w:tcMar>
          </w:tcPr>
          <w:p w14:paraId="789D520B" w14:textId="77777777" w:rsidR="00434413" w:rsidRPr="00A81971" w:rsidRDefault="0032495C" w:rsidP="00C80FF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Estimated New Funding for re-submission of 3 cancelled HPMPs</w:t>
            </w:r>
          </w:p>
        </w:tc>
        <w:tc>
          <w:tcPr>
            <w:tcW w:w="1182" w:type="dxa"/>
            <w:shd w:val="clear" w:color="auto" w:fill="F7CAAC" w:themeFill="accent2" w:themeFillTint="66"/>
            <w:tcMar>
              <w:left w:w="108" w:type="dxa"/>
              <w:right w:w="108" w:type="dxa"/>
            </w:tcMar>
            <w:vAlign w:val="center"/>
          </w:tcPr>
          <w:p w14:paraId="46617166"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8.14</w:t>
            </w:r>
          </w:p>
        </w:tc>
        <w:tc>
          <w:tcPr>
            <w:tcW w:w="1235" w:type="dxa"/>
            <w:shd w:val="clear" w:color="auto" w:fill="FFE599" w:themeFill="accent4" w:themeFillTint="66"/>
            <w:tcMar>
              <w:left w:w="108" w:type="dxa"/>
              <w:right w:w="108" w:type="dxa"/>
            </w:tcMar>
            <w:vAlign w:val="center"/>
          </w:tcPr>
          <w:p w14:paraId="23482435"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8.14</w:t>
            </w:r>
          </w:p>
        </w:tc>
        <w:tc>
          <w:tcPr>
            <w:tcW w:w="1260" w:type="dxa"/>
            <w:shd w:val="clear" w:color="auto" w:fill="F7CAAC" w:themeFill="accent2" w:themeFillTint="66"/>
            <w:tcMar>
              <w:left w:w="108" w:type="dxa"/>
              <w:right w:w="108" w:type="dxa"/>
            </w:tcMar>
            <w:vAlign w:val="center"/>
          </w:tcPr>
          <w:p w14:paraId="21A1CA0A"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7.33</w:t>
            </w:r>
          </w:p>
        </w:tc>
        <w:tc>
          <w:tcPr>
            <w:tcW w:w="1263" w:type="dxa"/>
            <w:shd w:val="clear" w:color="auto" w:fill="F7CAAC" w:themeFill="accent2" w:themeFillTint="66"/>
            <w:tcMar>
              <w:left w:w="108" w:type="dxa"/>
              <w:right w:w="108" w:type="dxa"/>
            </w:tcMar>
            <w:vAlign w:val="center"/>
          </w:tcPr>
          <w:p w14:paraId="56D0B1BB"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0.81</w:t>
            </w:r>
          </w:p>
        </w:tc>
        <w:tc>
          <w:tcPr>
            <w:tcW w:w="1167" w:type="dxa"/>
            <w:shd w:val="clear" w:color="auto" w:fill="FFE599" w:themeFill="accent4" w:themeFillTint="66"/>
            <w:tcMar>
              <w:left w:w="108" w:type="dxa"/>
              <w:right w:w="108" w:type="dxa"/>
            </w:tcMar>
            <w:vAlign w:val="center"/>
          </w:tcPr>
          <w:p w14:paraId="1F3F3372"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7.33</w:t>
            </w:r>
          </w:p>
        </w:tc>
        <w:tc>
          <w:tcPr>
            <w:tcW w:w="1101" w:type="dxa"/>
            <w:shd w:val="clear" w:color="auto" w:fill="FFE599" w:themeFill="accent4" w:themeFillTint="66"/>
            <w:tcMar>
              <w:left w:w="108" w:type="dxa"/>
              <w:right w:w="108" w:type="dxa"/>
            </w:tcMar>
            <w:vAlign w:val="center"/>
          </w:tcPr>
          <w:p w14:paraId="56A54E17"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0.81</w:t>
            </w:r>
          </w:p>
        </w:tc>
      </w:tr>
      <w:tr w:rsidR="00F90461" w14:paraId="65768B98" w14:textId="77777777" w:rsidTr="00FE5C31">
        <w:trPr>
          <w:trHeight w:val="75"/>
        </w:trPr>
        <w:tc>
          <w:tcPr>
            <w:tcW w:w="1808" w:type="dxa"/>
            <w:shd w:val="clear" w:color="auto" w:fill="E2EFD9" w:themeFill="accent6" w:themeFillTint="33"/>
            <w:tcMar>
              <w:left w:w="108" w:type="dxa"/>
              <w:right w:w="108" w:type="dxa"/>
            </w:tcMar>
          </w:tcPr>
          <w:p w14:paraId="221DAD84" w14:textId="77777777" w:rsidR="00434413" w:rsidRPr="00A81971" w:rsidRDefault="0032495C" w:rsidP="00C80FF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HCFC Verification Funding</w:t>
            </w:r>
            <w:r>
              <w:rPr>
                <w:rFonts w:eastAsia="Calibri"/>
                <w:sz w:val="20"/>
                <w:szCs w:val="20"/>
                <w:vertAlign w:val="superscript"/>
              </w:rPr>
              <w:footnoteReference w:id="14"/>
            </w:r>
          </w:p>
        </w:tc>
        <w:tc>
          <w:tcPr>
            <w:tcW w:w="1182" w:type="dxa"/>
            <w:shd w:val="clear" w:color="auto" w:fill="F7CAAC" w:themeFill="accent2" w:themeFillTint="66"/>
            <w:tcMar>
              <w:left w:w="108" w:type="dxa"/>
              <w:right w:w="108" w:type="dxa"/>
            </w:tcMar>
            <w:vAlign w:val="center"/>
          </w:tcPr>
          <w:p w14:paraId="6796662F"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1.77</w:t>
            </w:r>
          </w:p>
        </w:tc>
        <w:tc>
          <w:tcPr>
            <w:tcW w:w="1235" w:type="dxa"/>
            <w:shd w:val="clear" w:color="auto" w:fill="FFE599" w:themeFill="accent4" w:themeFillTint="66"/>
            <w:tcMar>
              <w:left w:w="108" w:type="dxa"/>
              <w:right w:w="108" w:type="dxa"/>
            </w:tcMar>
            <w:vAlign w:val="center"/>
          </w:tcPr>
          <w:p w14:paraId="0FDB12FC"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1.77</w:t>
            </w:r>
          </w:p>
        </w:tc>
        <w:tc>
          <w:tcPr>
            <w:tcW w:w="1260" w:type="dxa"/>
            <w:shd w:val="clear" w:color="auto" w:fill="F7CAAC" w:themeFill="accent2" w:themeFillTint="66"/>
            <w:tcMar>
              <w:left w:w="108" w:type="dxa"/>
              <w:right w:w="108" w:type="dxa"/>
            </w:tcMar>
            <w:vAlign w:val="center"/>
          </w:tcPr>
          <w:p w14:paraId="62741554"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1.59</w:t>
            </w:r>
          </w:p>
        </w:tc>
        <w:tc>
          <w:tcPr>
            <w:tcW w:w="1263" w:type="dxa"/>
            <w:shd w:val="clear" w:color="auto" w:fill="F7CAAC" w:themeFill="accent2" w:themeFillTint="66"/>
            <w:tcMar>
              <w:left w:w="108" w:type="dxa"/>
              <w:right w:w="108" w:type="dxa"/>
            </w:tcMar>
            <w:vAlign w:val="center"/>
          </w:tcPr>
          <w:p w14:paraId="1A6311CF" w14:textId="77777777" w:rsidR="00434413" w:rsidRPr="00A81971" w:rsidRDefault="0032495C" w:rsidP="000E4C73">
            <w:pPr>
              <w:spacing w:after="0" w:line="259" w:lineRule="auto"/>
              <w:jc w:val="right"/>
              <w:rPr>
                <w:rFonts w:eastAsia="Calibri"/>
                <w:kern w:val="2"/>
                <w:sz w:val="20"/>
                <w:szCs w:val="20"/>
                <w:vertAlign w:val="superscript"/>
                <w14:ligatures w14:val="standardContextual"/>
              </w:rPr>
            </w:pPr>
            <w:r w:rsidRPr="00A81971">
              <w:rPr>
                <w:rFonts w:eastAsia="Calibri"/>
                <w:kern w:val="2"/>
                <w:sz w:val="20"/>
                <w:szCs w:val="20"/>
                <w14:ligatures w14:val="standardContextual"/>
              </w:rPr>
              <w:t>0.18</w:t>
            </w:r>
            <w:r w:rsidR="2E7655E2" w:rsidRPr="2E7655E2">
              <w:rPr>
                <w:rFonts w:eastAsia="Calibri"/>
                <w:sz w:val="20"/>
                <w:szCs w:val="20"/>
              </w:rPr>
              <w:t xml:space="preserve"> </w:t>
            </w:r>
          </w:p>
        </w:tc>
        <w:tc>
          <w:tcPr>
            <w:tcW w:w="1167" w:type="dxa"/>
            <w:shd w:val="clear" w:color="auto" w:fill="FFE599" w:themeFill="accent4" w:themeFillTint="66"/>
            <w:tcMar>
              <w:left w:w="108" w:type="dxa"/>
              <w:right w:w="108" w:type="dxa"/>
            </w:tcMar>
            <w:vAlign w:val="center"/>
          </w:tcPr>
          <w:p w14:paraId="65AEE0F4"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1.59</w:t>
            </w:r>
          </w:p>
        </w:tc>
        <w:tc>
          <w:tcPr>
            <w:tcW w:w="1101" w:type="dxa"/>
            <w:shd w:val="clear" w:color="auto" w:fill="FFE599" w:themeFill="accent4" w:themeFillTint="66"/>
            <w:tcMar>
              <w:left w:w="108" w:type="dxa"/>
              <w:right w:w="108" w:type="dxa"/>
            </w:tcMar>
            <w:vAlign w:val="center"/>
          </w:tcPr>
          <w:p w14:paraId="00F8D7AC"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0.18</w:t>
            </w:r>
          </w:p>
        </w:tc>
      </w:tr>
      <w:tr w:rsidR="00F90461" w14:paraId="0A967241" w14:textId="77777777" w:rsidTr="00FE5C31">
        <w:trPr>
          <w:trHeight w:val="480"/>
        </w:trPr>
        <w:tc>
          <w:tcPr>
            <w:tcW w:w="1808" w:type="dxa"/>
            <w:shd w:val="clear" w:color="auto" w:fill="E2EFD9" w:themeFill="accent6" w:themeFillTint="33"/>
            <w:tcMar>
              <w:left w:w="108" w:type="dxa"/>
              <w:right w:w="108" w:type="dxa"/>
            </w:tcMar>
          </w:tcPr>
          <w:p w14:paraId="0FD62336" w14:textId="77777777" w:rsidR="00434413" w:rsidRPr="00A81971" w:rsidRDefault="0032495C" w:rsidP="00C80FFD">
            <w:pPr>
              <w:spacing w:after="0" w:line="259" w:lineRule="auto"/>
              <w:rPr>
                <w:rFonts w:eastAsia="Yu Mincho"/>
                <w:kern w:val="2"/>
                <w:sz w:val="20"/>
                <w:szCs w:val="20"/>
                <w14:ligatures w14:val="standardContextual"/>
              </w:rPr>
            </w:pPr>
            <w:r w:rsidRPr="00A81971">
              <w:rPr>
                <w:rFonts w:eastAsia="Yu Mincho"/>
                <w:kern w:val="2"/>
                <w:sz w:val="20"/>
                <w:szCs w:val="20"/>
                <w14:ligatures w14:val="standardContextual"/>
              </w:rPr>
              <w:t>Energy Efficiency Funding for LVCs (Decision 89/6)</w:t>
            </w:r>
          </w:p>
        </w:tc>
        <w:tc>
          <w:tcPr>
            <w:tcW w:w="1182" w:type="dxa"/>
            <w:shd w:val="clear" w:color="auto" w:fill="F7CAAC" w:themeFill="accent2" w:themeFillTint="66"/>
            <w:tcMar>
              <w:left w:w="108" w:type="dxa"/>
              <w:right w:w="108" w:type="dxa"/>
            </w:tcMar>
            <w:vAlign w:val="center"/>
          </w:tcPr>
          <w:p w14:paraId="25117728"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2.52</w:t>
            </w:r>
          </w:p>
        </w:tc>
        <w:tc>
          <w:tcPr>
            <w:tcW w:w="1235" w:type="dxa"/>
            <w:shd w:val="clear" w:color="auto" w:fill="FFE599" w:themeFill="accent4" w:themeFillTint="66"/>
            <w:tcMar>
              <w:left w:w="108" w:type="dxa"/>
              <w:right w:w="108" w:type="dxa"/>
            </w:tcMar>
            <w:vAlign w:val="center"/>
          </w:tcPr>
          <w:p w14:paraId="2A14F746"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2.52</w:t>
            </w:r>
          </w:p>
        </w:tc>
        <w:tc>
          <w:tcPr>
            <w:tcW w:w="1260" w:type="dxa"/>
            <w:shd w:val="clear" w:color="auto" w:fill="F7CAAC" w:themeFill="accent2" w:themeFillTint="66"/>
            <w:tcMar>
              <w:left w:w="108" w:type="dxa"/>
              <w:right w:w="108" w:type="dxa"/>
            </w:tcMar>
            <w:vAlign w:val="center"/>
          </w:tcPr>
          <w:p w14:paraId="015F05AF"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2.27</w:t>
            </w:r>
          </w:p>
        </w:tc>
        <w:tc>
          <w:tcPr>
            <w:tcW w:w="1263" w:type="dxa"/>
            <w:shd w:val="clear" w:color="auto" w:fill="F7CAAC" w:themeFill="accent2" w:themeFillTint="66"/>
            <w:tcMar>
              <w:left w:w="108" w:type="dxa"/>
              <w:right w:w="108" w:type="dxa"/>
            </w:tcMar>
            <w:vAlign w:val="center"/>
          </w:tcPr>
          <w:p w14:paraId="3569C877"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0.25</w:t>
            </w:r>
          </w:p>
        </w:tc>
        <w:tc>
          <w:tcPr>
            <w:tcW w:w="1167" w:type="dxa"/>
            <w:shd w:val="clear" w:color="auto" w:fill="FFE599" w:themeFill="accent4" w:themeFillTint="66"/>
            <w:tcMar>
              <w:left w:w="108" w:type="dxa"/>
              <w:right w:w="108" w:type="dxa"/>
            </w:tcMar>
            <w:vAlign w:val="center"/>
          </w:tcPr>
          <w:p w14:paraId="363C586C"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2.27</w:t>
            </w:r>
          </w:p>
        </w:tc>
        <w:tc>
          <w:tcPr>
            <w:tcW w:w="1101" w:type="dxa"/>
            <w:shd w:val="clear" w:color="auto" w:fill="FFE599" w:themeFill="accent4" w:themeFillTint="66"/>
            <w:tcMar>
              <w:left w:w="108" w:type="dxa"/>
              <w:right w:w="108" w:type="dxa"/>
            </w:tcMar>
            <w:vAlign w:val="center"/>
          </w:tcPr>
          <w:p w14:paraId="4418E859" w14:textId="77777777" w:rsidR="00434413" w:rsidRPr="00A81971" w:rsidRDefault="0032495C" w:rsidP="000E4C73">
            <w:pPr>
              <w:spacing w:after="0" w:line="259" w:lineRule="auto"/>
              <w:jc w:val="right"/>
              <w:rPr>
                <w:rFonts w:eastAsia="Calibri"/>
                <w:kern w:val="2"/>
                <w:sz w:val="20"/>
                <w:szCs w:val="20"/>
                <w14:ligatures w14:val="standardContextual"/>
              </w:rPr>
            </w:pPr>
            <w:r w:rsidRPr="00A81971">
              <w:rPr>
                <w:rFonts w:eastAsia="Calibri"/>
                <w:kern w:val="2"/>
                <w:sz w:val="20"/>
                <w:szCs w:val="20"/>
                <w14:ligatures w14:val="standardContextual"/>
              </w:rPr>
              <w:t>0.25</w:t>
            </w:r>
          </w:p>
        </w:tc>
      </w:tr>
      <w:tr w:rsidR="00F90461" w14:paraId="10F8F81D" w14:textId="77777777" w:rsidTr="00F04A1D">
        <w:trPr>
          <w:trHeight w:val="480"/>
        </w:trPr>
        <w:tc>
          <w:tcPr>
            <w:tcW w:w="1808" w:type="dxa"/>
            <w:shd w:val="clear" w:color="auto" w:fill="FFFF00"/>
            <w:tcMar>
              <w:left w:w="108" w:type="dxa"/>
              <w:right w:w="108" w:type="dxa"/>
            </w:tcMar>
          </w:tcPr>
          <w:p w14:paraId="48A9EBDF" w14:textId="77777777" w:rsidR="00434413" w:rsidRPr="00A81971" w:rsidRDefault="0032495C" w:rsidP="00C80FFD">
            <w:pPr>
              <w:spacing w:after="0" w:line="259" w:lineRule="auto"/>
              <w:rPr>
                <w:rFonts w:eastAsia="Calibri"/>
                <w:b/>
                <w:bCs/>
                <w:kern w:val="2"/>
                <w:sz w:val="20"/>
                <w:szCs w:val="20"/>
                <w14:ligatures w14:val="standardContextual"/>
              </w:rPr>
            </w:pPr>
            <w:r w:rsidRPr="00A81971">
              <w:rPr>
                <w:rFonts w:eastAsia="Calibri"/>
                <w:b/>
                <w:bCs/>
                <w:kern w:val="2"/>
                <w:sz w:val="20"/>
                <w:szCs w:val="20"/>
                <w14:ligatures w14:val="standardContextual"/>
              </w:rPr>
              <w:t>Total for HCFC Consumption Sector</w:t>
            </w:r>
            <w:r w:rsidR="42FA13D2" w:rsidRPr="00A81971">
              <w:rPr>
                <w:rFonts w:eastAsia="Calibri"/>
                <w:b/>
                <w:bCs/>
                <w:sz w:val="20"/>
                <w:szCs w:val="20"/>
              </w:rPr>
              <w:t>***</w:t>
            </w:r>
          </w:p>
        </w:tc>
        <w:tc>
          <w:tcPr>
            <w:tcW w:w="1182" w:type="dxa"/>
            <w:shd w:val="clear" w:color="auto" w:fill="FFFF00"/>
            <w:tcMar>
              <w:left w:w="108" w:type="dxa"/>
              <w:right w:w="108" w:type="dxa"/>
            </w:tcMar>
            <w:vAlign w:val="center"/>
          </w:tcPr>
          <w:p w14:paraId="39CAB60F" w14:textId="77777777" w:rsidR="00434413" w:rsidRPr="00A81971" w:rsidRDefault="0032495C" w:rsidP="1E375DFC">
            <w:pPr>
              <w:spacing w:after="0" w:line="259" w:lineRule="auto"/>
              <w:jc w:val="right"/>
              <w:rPr>
                <w:rFonts w:eastAsia="Calibri"/>
                <w:b/>
                <w:bCs/>
                <w:kern w:val="2"/>
                <w:sz w:val="20"/>
                <w:szCs w:val="20"/>
                <w14:ligatures w14:val="standardContextual"/>
              </w:rPr>
            </w:pPr>
            <w:r w:rsidRPr="00A81971">
              <w:rPr>
                <w:sz w:val="20"/>
                <w:szCs w:val="20"/>
              </w:rPr>
              <w:t>476.91</w:t>
            </w:r>
          </w:p>
        </w:tc>
        <w:tc>
          <w:tcPr>
            <w:tcW w:w="1235" w:type="dxa"/>
            <w:shd w:val="clear" w:color="auto" w:fill="FFFF00"/>
            <w:tcMar>
              <w:left w:w="108" w:type="dxa"/>
              <w:right w:w="108" w:type="dxa"/>
            </w:tcMar>
            <w:vAlign w:val="center"/>
          </w:tcPr>
          <w:p w14:paraId="30B73471" w14:textId="77777777" w:rsidR="00434413" w:rsidRPr="00A81971" w:rsidRDefault="0032495C" w:rsidP="1E375DFC">
            <w:pPr>
              <w:spacing w:after="0" w:line="259" w:lineRule="auto"/>
              <w:jc w:val="right"/>
              <w:rPr>
                <w:rFonts w:eastAsia="Calibri"/>
                <w:b/>
                <w:bCs/>
                <w:kern w:val="2"/>
                <w:sz w:val="20"/>
                <w:szCs w:val="20"/>
                <w14:ligatures w14:val="standardContextual"/>
              </w:rPr>
            </w:pPr>
            <w:r w:rsidRPr="00A81971">
              <w:rPr>
                <w:sz w:val="20"/>
                <w:szCs w:val="20"/>
              </w:rPr>
              <w:t>618.59</w:t>
            </w:r>
          </w:p>
        </w:tc>
        <w:tc>
          <w:tcPr>
            <w:tcW w:w="1260" w:type="dxa"/>
            <w:shd w:val="clear" w:color="auto" w:fill="FFFF00"/>
            <w:tcMar>
              <w:left w:w="108" w:type="dxa"/>
              <w:right w:w="108" w:type="dxa"/>
            </w:tcMar>
            <w:vAlign w:val="center"/>
          </w:tcPr>
          <w:p w14:paraId="7F63A877" w14:textId="77777777" w:rsidR="00434413" w:rsidRPr="00A81971" w:rsidRDefault="0032495C" w:rsidP="1E375DFC">
            <w:pPr>
              <w:spacing w:after="0" w:line="259" w:lineRule="auto"/>
              <w:jc w:val="right"/>
              <w:rPr>
                <w:rFonts w:eastAsia="Times New Roman"/>
                <w:sz w:val="20"/>
                <w:szCs w:val="20"/>
              </w:rPr>
            </w:pPr>
            <w:r w:rsidRPr="00A81971">
              <w:rPr>
                <w:sz w:val="20"/>
                <w:szCs w:val="20"/>
              </w:rPr>
              <w:t>413.33</w:t>
            </w:r>
          </w:p>
        </w:tc>
        <w:tc>
          <w:tcPr>
            <w:tcW w:w="1263" w:type="dxa"/>
            <w:shd w:val="clear" w:color="auto" w:fill="FFFF00"/>
            <w:tcMar>
              <w:left w:w="108" w:type="dxa"/>
              <w:right w:w="108" w:type="dxa"/>
            </w:tcMar>
            <w:vAlign w:val="center"/>
          </w:tcPr>
          <w:p w14:paraId="2D42E022" w14:textId="77777777" w:rsidR="00434413" w:rsidRPr="00A81971" w:rsidRDefault="0032495C" w:rsidP="1E375DFC">
            <w:pPr>
              <w:spacing w:after="0" w:line="259" w:lineRule="auto"/>
              <w:jc w:val="right"/>
              <w:rPr>
                <w:sz w:val="20"/>
                <w:szCs w:val="20"/>
              </w:rPr>
            </w:pPr>
            <w:r w:rsidRPr="00A81971">
              <w:rPr>
                <w:sz w:val="20"/>
                <w:szCs w:val="20"/>
              </w:rPr>
              <w:t>64.59</w:t>
            </w:r>
          </w:p>
        </w:tc>
        <w:tc>
          <w:tcPr>
            <w:tcW w:w="1167" w:type="dxa"/>
            <w:shd w:val="clear" w:color="auto" w:fill="FFFF00"/>
            <w:tcMar>
              <w:left w:w="108" w:type="dxa"/>
              <w:right w:w="108" w:type="dxa"/>
            </w:tcMar>
            <w:vAlign w:val="center"/>
          </w:tcPr>
          <w:p w14:paraId="799D3869" w14:textId="77777777" w:rsidR="00434413" w:rsidRPr="00A81971" w:rsidRDefault="0032495C" w:rsidP="1E375DFC">
            <w:pPr>
              <w:spacing w:after="0" w:line="259" w:lineRule="auto"/>
              <w:jc w:val="right"/>
              <w:rPr>
                <w:rFonts w:eastAsia="Times New Roman"/>
                <w:sz w:val="20"/>
                <w:szCs w:val="20"/>
              </w:rPr>
            </w:pPr>
            <w:r w:rsidRPr="00A81971">
              <w:rPr>
                <w:sz w:val="20"/>
                <w:szCs w:val="20"/>
              </w:rPr>
              <w:t>540.85</w:t>
            </w:r>
          </w:p>
        </w:tc>
        <w:tc>
          <w:tcPr>
            <w:tcW w:w="1101" w:type="dxa"/>
            <w:shd w:val="clear" w:color="auto" w:fill="FFFF00"/>
            <w:tcMar>
              <w:left w:w="108" w:type="dxa"/>
              <w:right w:w="108" w:type="dxa"/>
            </w:tcMar>
            <w:vAlign w:val="center"/>
          </w:tcPr>
          <w:p w14:paraId="1F8A1FF7" w14:textId="77777777" w:rsidR="00434413" w:rsidRPr="00A81971" w:rsidRDefault="0032495C" w:rsidP="1207221D">
            <w:pPr>
              <w:spacing w:after="0" w:line="259" w:lineRule="auto"/>
              <w:jc w:val="right"/>
              <w:rPr>
                <w:rFonts w:eastAsia="Times New Roman"/>
              </w:rPr>
            </w:pPr>
            <w:r w:rsidRPr="00A81971">
              <w:t>78.75</w:t>
            </w:r>
          </w:p>
        </w:tc>
      </w:tr>
    </w:tbl>
    <w:p w14:paraId="3A53188C" w14:textId="77777777" w:rsidR="00195D65" w:rsidRPr="00A81971" w:rsidRDefault="0032495C" w:rsidP="1E375DFC">
      <w:pPr>
        <w:spacing w:after="0"/>
        <w:jc w:val="both"/>
        <w:rPr>
          <w:rFonts w:eastAsia="Times New Roman"/>
          <w:color w:val="000000" w:themeColor="text1"/>
          <w:sz w:val="18"/>
          <w:szCs w:val="18"/>
        </w:rPr>
      </w:pPr>
      <w:r w:rsidRPr="00A81971">
        <w:rPr>
          <w:rFonts w:eastAsia="Times New Roman"/>
          <w:color w:val="000000" w:themeColor="text1"/>
          <w:sz w:val="18"/>
          <w:szCs w:val="18"/>
        </w:rPr>
        <w:t xml:space="preserve">*The values for committed funding follow the exact amount in tranches agreed, and the suggested 90/10% allocation by triennium does not apply. </w:t>
      </w:r>
    </w:p>
    <w:p w14:paraId="20E18C8D" w14:textId="77777777" w:rsidR="00195D65" w:rsidRPr="00292ECD" w:rsidRDefault="0032495C" w:rsidP="1E375DFC">
      <w:pPr>
        <w:spacing w:after="0"/>
        <w:jc w:val="both"/>
        <w:rPr>
          <w:rFonts w:ascii="Times" w:eastAsia="Times" w:hAnsi="Times" w:cs="Times"/>
          <w:sz w:val="18"/>
          <w:szCs w:val="18"/>
        </w:rPr>
      </w:pPr>
      <w:r w:rsidRPr="00A81971">
        <w:rPr>
          <w:rFonts w:ascii="Times" w:eastAsia="Times" w:hAnsi="Times" w:cs="Times"/>
          <w:sz w:val="18"/>
          <w:szCs w:val="18"/>
        </w:rPr>
        <w:t>** An amount of US$26.61 million has been approved for tranches committed in the 2030–2032 triennium, together with a final tranche of US$1.96 million for a single country for 2033. In order to simplify presentation of figures in tables, which for all other HCFC calculations do not go beyond 2032, this single tranche is included in the 2030-2032 triennium.</w:t>
      </w:r>
    </w:p>
    <w:p w14:paraId="07D9C0F6" w14:textId="77777777" w:rsidR="6EDB0298" w:rsidRDefault="0032495C" w:rsidP="1E375DFC">
      <w:pPr>
        <w:spacing w:after="0"/>
        <w:jc w:val="both"/>
        <w:rPr>
          <w:rFonts w:eastAsia="Times New Roman"/>
          <w:color w:val="000000" w:themeColor="text1"/>
          <w:sz w:val="18"/>
          <w:szCs w:val="18"/>
        </w:rPr>
      </w:pPr>
      <w:r w:rsidRPr="00A81971">
        <w:rPr>
          <w:rFonts w:eastAsia="Times New Roman"/>
          <w:color w:val="000000" w:themeColor="text1"/>
          <w:sz w:val="18"/>
          <w:szCs w:val="18"/>
        </w:rPr>
        <w:t>*** PMU costs using 10% for parties and 5% for China and 9.6% of support cost.</w:t>
      </w:r>
    </w:p>
    <w:p w14:paraId="0EECB8A1" w14:textId="2272538F" w:rsidR="00131094" w:rsidRPr="00A81971" w:rsidRDefault="00255363" w:rsidP="00131094">
      <w:pPr>
        <w:rPr>
          <w:rFonts w:eastAsia="Times New Roman"/>
          <w:sz w:val="18"/>
          <w:szCs w:val="18"/>
        </w:rPr>
      </w:pPr>
      <w:r>
        <w:rPr>
          <w:rFonts w:eastAsia="Times New Roman"/>
          <w:sz w:val="18"/>
          <w:szCs w:val="18"/>
        </w:rPr>
        <w:t xml:space="preserve">NOTE: </w:t>
      </w:r>
      <w:r w:rsidR="00131094" w:rsidRPr="00A81971">
        <w:rPr>
          <w:rFonts w:eastAsia="Times New Roman"/>
          <w:sz w:val="18"/>
          <w:szCs w:val="18"/>
        </w:rPr>
        <w:t>Numbers may differ slightly due to rounding.</w:t>
      </w:r>
    </w:p>
    <w:p w14:paraId="2D82BC85" w14:textId="77777777" w:rsidR="00131094" w:rsidRPr="00A81971" w:rsidRDefault="00131094" w:rsidP="1E375DFC">
      <w:pPr>
        <w:spacing w:after="0"/>
        <w:jc w:val="both"/>
        <w:rPr>
          <w:rFonts w:eastAsia="Times New Roman"/>
          <w:color w:val="000000" w:themeColor="text1"/>
          <w:sz w:val="18"/>
          <w:szCs w:val="18"/>
        </w:rPr>
      </w:pPr>
    </w:p>
    <w:p w14:paraId="47CC58A3" w14:textId="77777777" w:rsidR="1E375DFC" w:rsidRPr="00A81971" w:rsidRDefault="1E375DFC" w:rsidP="1E375DFC">
      <w:pPr>
        <w:spacing w:after="0"/>
        <w:rPr>
          <w:rFonts w:eastAsia="Times New Roman"/>
          <w:color w:val="000000" w:themeColor="text1"/>
        </w:rPr>
      </w:pPr>
    </w:p>
    <w:p w14:paraId="057132B2" w14:textId="77777777" w:rsidR="00922E08" w:rsidRPr="00A81971" w:rsidRDefault="0032495C" w:rsidP="43EEFCCE">
      <w:pPr>
        <w:spacing w:after="0"/>
        <w:rPr>
          <w:rFonts w:eastAsia="Times New Roman"/>
          <w:color w:val="000000" w:themeColor="text1"/>
        </w:rPr>
      </w:pPr>
      <w:r w:rsidRPr="00A81971">
        <w:rPr>
          <w:rFonts w:eastAsia="Times New Roman"/>
          <w:color w:val="000000" w:themeColor="text1"/>
        </w:rPr>
        <w:t>In summary, Table 2.2 presents the following updated rounded ranges per triennium for the estimated funding requirement for the HCFC consumption sector (considering resource allocation as per Decision 62/17).</w:t>
      </w:r>
    </w:p>
    <w:p w14:paraId="62B28318" w14:textId="77777777" w:rsidR="00922E08" w:rsidRPr="00A81971" w:rsidRDefault="0032495C" w:rsidP="43EEFCCE">
      <w:pPr>
        <w:spacing w:after="0"/>
        <w:rPr>
          <w:rFonts w:eastAsia="Times New Roman"/>
          <w:color w:val="000000" w:themeColor="text1"/>
        </w:rPr>
      </w:pPr>
      <w:r w:rsidRPr="00A81971">
        <w:rPr>
          <w:rFonts w:eastAsia="Times New Roman"/>
          <w:color w:val="000000" w:themeColor="text1"/>
        </w:rPr>
        <w:t xml:space="preserve"> </w:t>
      </w:r>
    </w:p>
    <w:p w14:paraId="755C24E7" w14:textId="77777777" w:rsidR="00922E08" w:rsidRPr="008A372F" w:rsidRDefault="0032495C" w:rsidP="00FE5C31">
      <w:pPr>
        <w:keepNext/>
        <w:keepLines/>
        <w:tabs>
          <w:tab w:val="left" w:pos="0"/>
          <w:tab w:val="left" w:pos="1276"/>
        </w:tabs>
        <w:spacing w:after="120"/>
        <w:ind w:left="1282" w:hanging="1282"/>
      </w:pPr>
      <w:r w:rsidRPr="2E7655E2">
        <w:rPr>
          <w:rFonts w:eastAsia="Yu Mincho"/>
          <w:b/>
          <w:bCs/>
          <w:color w:val="000000" w:themeColor="text1"/>
          <w:lang w:val="en-CA"/>
        </w:rPr>
        <w:lastRenderedPageBreak/>
        <w:t>Table 2.2:</w:t>
      </w:r>
      <w:r w:rsidR="00B72398">
        <w:tab/>
      </w:r>
      <w:r w:rsidRPr="2E7655E2">
        <w:rPr>
          <w:rFonts w:eastAsia="Times New Roman"/>
          <w:b/>
          <w:bCs/>
          <w:color w:val="000000" w:themeColor="text1"/>
        </w:rPr>
        <w:t xml:space="preserve">Summary of range of total estimated funding requirement for HCFC consumption sector phase-out for 2027-2029 and 2030-2032 (US$ million)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3318"/>
        <w:gridCol w:w="3240"/>
      </w:tblGrid>
      <w:tr w:rsidR="00F90461" w14:paraId="511F5D59" w14:textId="77777777" w:rsidTr="008A372F">
        <w:trPr>
          <w:trHeight w:val="300"/>
          <w:jc w:val="center"/>
        </w:trPr>
        <w:tc>
          <w:tcPr>
            <w:tcW w:w="2516" w:type="dxa"/>
            <w:vMerge w:val="restart"/>
            <w:shd w:val="clear" w:color="auto" w:fill="D9E2F3" w:themeFill="accent1" w:themeFillTint="33"/>
            <w:vAlign w:val="center"/>
          </w:tcPr>
          <w:p w14:paraId="6B00B56A" w14:textId="77777777" w:rsidR="457BD43E" w:rsidRPr="00A81971" w:rsidRDefault="0032495C" w:rsidP="00FE5C31">
            <w:pPr>
              <w:keepNext/>
              <w:keepLines/>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Triennium</w:t>
            </w:r>
            <w:r w:rsidRPr="00A81971">
              <w:rPr>
                <w:rFonts w:eastAsia="Times New Roman"/>
                <w:color w:val="000000" w:themeColor="text1"/>
                <w:sz w:val="21"/>
                <w:szCs w:val="21"/>
              </w:rPr>
              <w:t xml:space="preserve"> </w:t>
            </w:r>
          </w:p>
        </w:tc>
        <w:tc>
          <w:tcPr>
            <w:tcW w:w="6558" w:type="dxa"/>
            <w:gridSpan w:val="2"/>
            <w:shd w:val="clear" w:color="auto" w:fill="D9E2F3" w:themeFill="accent1" w:themeFillTint="33"/>
            <w:vAlign w:val="center"/>
          </w:tcPr>
          <w:p w14:paraId="153C9B52" w14:textId="77777777" w:rsidR="457BD43E" w:rsidRPr="00A81971" w:rsidRDefault="0032495C" w:rsidP="00FE5C31">
            <w:pPr>
              <w:keepNext/>
              <w:keepLines/>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 xml:space="preserve">HCFC CONSUMPTION SECTOR ESTIMATED </w:t>
            </w:r>
            <w:r w:rsidRPr="00A81971">
              <w:br/>
            </w:r>
            <w:r w:rsidRPr="00A81971">
              <w:rPr>
                <w:rFonts w:eastAsia="Times New Roman"/>
                <w:b/>
                <w:bCs/>
                <w:color w:val="000000" w:themeColor="text1"/>
                <w:sz w:val="21"/>
                <w:szCs w:val="21"/>
              </w:rPr>
              <w:t>FUNDING RANGE (US$ million)</w:t>
            </w:r>
          </w:p>
        </w:tc>
      </w:tr>
      <w:tr w:rsidR="00F90461" w14:paraId="6450BE58" w14:textId="77777777" w:rsidTr="008A372F">
        <w:trPr>
          <w:trHeight w:val="60"/>
          <w:jc w:val="center"/>
        </w:trPr>
        <w:tc>
          <w:tcPr>
            <w:tcW w:w="2516" w:type="dxa"/>
            <w:vMerge/>
            <w:shd w:val="clear" w:color="auto" w:fill="D9E2F3" w:themeFill="accent1" w:themeFillTint="33"/>
            <w:vAlign w:val="center"/>
          </w:tcPr>
          <w:p w14:paraId="3B4D00E4" w14:textId="77777777" w:rsidR="00737CF2" w:rsidRPr="00A81971" w:rsidRDefault="00737CF2"/>
        </w:tc>
        <w:tc>
          <w:tcPr>
            <w:tcW w:w="3318" w:type="dxa"/>
            <w:shd w:val="clear" w:color="auto" w:fill="D9E2F3" w:themeFill="accent1" w:themeFillTint="33"/>
            <w:vAlign w:val="center"/>
          </w:tcPr>
          <w:p w14:paraId="1427F157" w14:textId="77777777" w:rsidR="457BD43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Scenario 1 with 90%/10% Allocation</w:t>
            </w:r>
          </w:p>
        </w:tc>
        <w:tc>
          <w:tcPr>
            <w:tcW w:w="3240" w:type="dxa"/>
            <w:shd w:val="clear" w:color="auto" w:fill="D9E2F3" w:themeFill="accent1" w:themeFillTint="33"/>
            <w:vAlign w:val="center"/>
          </w:tcPr>
          <w:p w14:paraId="5B624728" w14:textId="77777777" w:rsidR="457BD43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Scenario 2 with 90%/10% Allocation</w:t>
            </w:r>
          </w:p>
        </w:tc>
      </w:tr>
      <w:tr w:rsidR="00F90461" w14:paraId="4D73C518" w14:textId="77777777" w:rsidTr="1E375DFC">
        <w:trPr>
          <w:trHeight w:val="285"/>
          <w:jc w:val="center"/>
        </w:trPr>
        <w:tc>
          <w:tcPr>
            <w:tcW w:w="2516" w:type="dxa"/>
            <w:shd w:val="clear" w:color="auto" w:fill="FFFF00"/>
            <w:vAlign w:val="bottom"/>
          </w:tcPr>
          <w:p w14:paraId="08A316A1" w14:textId="77777777" w:rsidR="457BD43E" w:rsidRPr="00A81971" w:rsidRDefault="0032495C" w:rsidP="43EEFCCE">
            <w:pPr>
              <w:tabs>
                <w:tab w:val="left" w:pos="720"/>
              </w:tabs>
              <w:spacing w:after="0"/>
              <w:jc w:val="center"/>
              <w:rPr>
                <w:rFonts w:eastAsia="Times New Roman"/>
                <w:color w:val="000000" w:themeColor="text1"/>
              </w:rPr>
            </w:pPr>
            <w:r w:rsidRPr="00A81971">
              <w:rPr>
                <w:rFonts w:eastAsia="Times New Roman"/>
                <w:b/>
                <w:bCs/>
                <w:color w:val="000000" w:themeColor="text1"/>
              </w:rPr>
              <w:t>2027–2029</w:t>
            </w:r>
            <w:r w:rsidRPr="00A81971">
              <w:rPr>
                <w:rFonts w:eastAsia="Times New Roman"/>
                <w:color w:val="000000" w:themeColor="text1"/>
              </w:rPr>
              <w:t xml:space="preserve"> </w:t>
            </w:r>
          </w:p>
        </w:tc>
        <w:tc>
          <w:tcPr>
            <w:tcW w:w="3318" w:type="dxa"/>
            <w:shd w:val="clear" w:color="auto" w:fill="FFFF00"/>
            <w:vAlign w:val="center"/>
          </w:tcPr>
          <w:p w14:paraId="73A7DE19" w14:textId="77777777" w:rsidR="457BD43E" w:rsidRPr="00A81971" w:rsidRDefault="0032495C" w:rsidP="1207221D">
            <w:pPr>
              <w:tabs>
                <w:tab w:val="left" w:pos="720"/>
              </w:tabs>
              <w:spacing w:after="0" w:line="259" w:lineRule="auto"/>
              <w:jc w:val="center"/>
              <w:rPr>
                <w:rFonts w:eastAsia="Times New Roman"/>
                <w:b/>
                <w:bCs/>
                <w:color w:val="000000" w:themeColor="text1"/>
              </w:rPr>
            </w:pPr>
            <w:r w:rsidRPr="00A81971">
              <w:rPr>
                <w:rFonts w:eastAsia="Times New Roman"/>
                <w:b/>
                <w:bCs/>
                <w:color w:val="000000" w:themeColor="text1"/>
              </w:rPr>
              <w:t>413</w:t>
            </w:r>
          </w:p>
        </w:tc>
        <w:tc>
          <w:tcPr>
            <w:tcW w:w="3240" w:type="dxa"/>
            <w:shd w:val="clear" w:color="auto" w:fill="FFFF00"/>
            <w:vAlign w:val="center"/>
          </w:tcPr>
          <w:p w14:paraId="0A006D75" w14:textId="750CCB1A" w:rsidR="457BD43E" w:rsidRPr="00A81971" w:rsidRDefault="00B102AE"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54</w:t>
            </w:r>
            <w:r>
              <w:rPr>
                <w:rFonts w:eastAsia="Times New Roman"/>
                <w:b/>
                <w:bCs/>
                <w:color w:val="000000" w:themeColor="text1"/>
              </w:rPr>
              <w:t>1</w:t>
            </w:r>
          </w:p>
        </w:tc>
      </w:tr>
      <w:tr w:rsidR="00F90461" w14:paraId="1E46B243" w14:textId="77777777" w:rsidTr="1E375DFC">
        <w:trPr>
          <w:trHeight w:val="285"/>
          <w:jc w:val="center"/>
        </w:trPr>
        <w:tc>
          <w:tcPr>
            <w:tcW w:w="2516" w:type="dxa"/>
            <w:shd w:val="clear" w:color="auto" w:fill="FFFF00"/>
            <w:vAlign w:val="bottom"/>
          </w:tcPr>
          <w:p w14:paraId="6D5D0E45" w14:textId="77777777" w:rsidR="457BD43E" w:rsidRPr="00A81971" w:rsidRDefault="0032495C" w:rsidP="00667E33">
            <w:pPr>
              <w:tabs>
                <w:tab w:val="left" w:pos="720"/>
              </w:tabs>
              <w:spacing w:after="0" w:line="259" w:lineRule="auto"/>
              <w:jc w:val="center"/>
              <w:rPr>
                <w:rFonts w:eastAsia="Times New Roman"/>
                <w:color w:val="000000" w:themeColor="text1"/>
              </w:rPr>
            </w:pPr>
            <w:r w:rsidRPr="00A81971">
              <w:rPr>
                <w:rFonts w:eastAsia="Times New Roman"/>
                <w:b/>
                <w:bCs/>
                <w:color w:val="000000" w:themeColor="text1"/>
              </w:rPr>
              <w:t>2030–203</w:t>
            </w:r>
            <w:r w:rsidRPr="00A81971">
              <w:rPr>
                <w:rFonts w:eastAsia="Times New Roman"/>
                <w:b/>
                <w:bCs/>
              </w:rPr>
              <w:t>2</w:t>
            </w:r>
            <w:r w:rsidRPr="00A81971">
              <w:rPr>
                <w:rFonts w:eastAsia="Times New Roman"/>
              </w:rPr>
              <w:t xml:space="preserve"> </w:t>
            </w:r>
          </w:p>
        </w:tc>
        <w:tc>
          <w:tcPr>
            <w:tcW w:w="3318" w:type="dxa"/>
            <w:shd w:val="clear" w:color="auto" w:fill="FFFF00"/>
            <w:vAlign w:val="center"/>
          </w:tcPr>
          <w:p w14:paraId="25F96421" w14:textId="77777777" w:rsidR="457BD43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65</w:t>
            </w:r>
          </w:p>
        </w:tc>
        <w:tc>
          <w:tcPr>
            <w:tcW w:w="3240" w:type="dxa"/>
            <w:shd w:val="clear" w:color="auto" w:fill="FFFF00"/>
            <w:vAlign w:val="center"/>
          </w:tcPr>
          <w:p w14:paraId="6B831197" w14:textId="77777777" w:rsidR="457BD43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79</w:t>
            </w:r>
          </w:p>
        </w:tc>
      </w:tr>
    </w:tbl>
    <w:p w14:paraId="1931771B" w14:textId="77777777" w:rsidR="00922E08" w:rsidRPr="00A81971" w:rsidRDefault="0032495C" w:rsidP="43EEFCCE">
      <w:pPr>
        <w:tabs>
          <w:tab w:val="left" w:pos="720"/>
        </w:tabs>
        <w:spacing w:after="0"/>
      </w:pPr>
      <w:r w:rsidRPr="00A81971">
        <w:rPr>
          <w:rFonts w:eastAsia="Times New Roman"/>
          <w:b/>
          <w:bCs/>
          <w:color w:val="000000" w:themeColor="text1"/>
          <w:sz w:val="24"/>
          <w:szCs w:val="24"/>
        </w:rPr>
        <w:t xml:space="preserve"> </w:t>
      </w:r>
    </w:p>
    <w:p w14:paraId="19B2F438" w14:textId="77777777" w:rsidR="00922E08" w:rsidRPr="00A81971" w:rsidRDefault="0032495C" w:rsidP="43EEFCCE">
      <w:pPr>
        <w:rPr>
          <w:rFonts w:eastAsia="Times New Roman"/>
          <w:b/>
          <w:bCs/>
          <w:i/>
          <w:iCs/>
          <w:color w:val="000000" w:themeColor="text1"/>
          <w:sz w:val="24"/>
          <w:szCs w:val="24"/>
        </w:rPr>
      </w:pPr>
      <w:r w:rsidRPr="00A81971">
        <w:rPr>
          <w:rFonts w:eastAsia="Times New Roman"/>
          <w:b/>
          <w:bCs/>
          <w:i/>
          <w:iCs/>
          <w:color w:val="000000" w:themeColor="text1"/>
          <w:sz w:val="24"/>
          <w:szCs w:val="24"/>
        </w:rPr>
        <w:t>2.</w:t>
      </w:r>
      <w:r w:rsidR="003D58F9" w:rsidRPr="00A81971">
        <w:rPr>
          <w:rFonts w:eastAsia="Times New Roman"/>
          <w:b/>
          <w:bCs/>
          <w:i/>
          <w:iCs/>
          <w:color w:val="000000" w:themeColor="text1"/>
          <w:sz w:val="24"/>
          <w:szCs w:val="24"/>
        </w:rPr>
        <w:t>2</w:t>
      </w:r>
      <w:r w:rsidR="43EEFCCE" w:rsidRPr="00A81971">
        <w:rPr>
          <w:rFonts w:eastAsia="Times New Roman"/>
          <w:b/>
          <w:bCs/>
          <w:i/>
          <w:iCs/>
          <w:color w:val="000000" w:themeColor="text1"/>
          <w:sz w:val="24"/>
          <w:szCs w:val="24"/>
        </w:rPr>
        <w:t>.</w:t>
      </w:r>
      <w:r w:rsidR="00F919A0" w:rsidRPr="00A81971">
        <w:rPr>
          <w:rFonts w:eastAsia="Times New Roman"/>
          <w:b/>
          <w:bCs/>
          <w:i/>
          <w:iCs/>
          <w:color w:val="000000" w:themeColor="text1"/>
          <w:sz w:val="24"/>
          <w:szCs w:val="24"/>
        </w:rPr>
        <w:t>2</w:t>
      </w:r>
      <w:r w:rsidR="43EEFCCE" w:rsidRPr="00A81971">
        <w:rPr>
          <w:rFonts w:eastAsia="Times New Roman"/>
          <w:b/>
          <w:bCs/>
          <w:i/>
          <w:iCs/>
          <w:color w:val="000000" w:themeColor="text1"/>
          <w:sz w:val="24"/>
          <w:szCs w:val="24"/>
        </w:rPr>
        <w:t xml:space="preserve"> Total estimated funding requirement for the HCFC production sector (2027-2029)</w:t>
      </w:r>
    </w:p>
    <w:p w14:paraId="014FBEAC" w14:textId="61074EEA" w:rsidR="00922E08" w:rsidRPr="00A81971" w:rsidRDefault="0032495C" w:rsidP="43EEFCCE">
      <w:pPr>
        <w:spacing w:after="240"/>
        <w:rPr>
          <w:rFonts w:eastAsia="Times New Roman"/>
          <w:color w:val="000000" w:themeColor="text1"/>
        </w:rPr>
      </w:pPr>
      <w:r w:rsidRPr="00A81971">
        <w:rPr>
          <w:rFonts w:eastAsia="Times New Roman"/>
          <w:color w:val="000000" w:themeColor="text1"/>
        </w:rPr>
        <w:t xml:space="preserve">The total funding requirement for the 2027-2029 triennium for the production sector is unchanged from the May 2026 Report and estimated at </w:t>
      </w:r>
      <w:r w:rsidRPr="00A81971">
        <w:rPr>
          <w:rFonts w:eastAsia="Times New Roman"/>
          <w:b/>
          <w:bCs/>
          <w:color w:val="000000" w:themeColor="text1"/>
        </w:rPr>
        <w:t>US$ 23.54 million</w:t>
      </w:r>
      <w:r w:rsidRPr="00A81971">
        <w:rPr>
          <w:rFonts w:eastAsia="Times New Roman"/>
          <w:color w:val="000000" w:themeColor="text1"/>
        </w:rPr>
        <w:t>, including agency support costs of 5.6% (Table 2</w:t>
      </w:r>
      <w:r w:rsidR="00A950E0">
        <w:rPr>
          <w:rFonts w:eastAsia="Times New Roman"/>
          <w:color w:val="000000" w:themeColor="text1"/>
        </w:rPr>
        <w:t>.</w:t>
      </w:r>
      <w:r w:rsidRPr="00A81971">
        <w:rPr>
          <w:rFonts w:eastAsia="Times New Roman"/>
          <w:color w:val="000000" w:themeColor="text1"/>
        </w:rPr>
        <w:t xml:space="preserve">3). RTF notes that, for non-LVCs, the verification costs are included in the agency’s support costs and are not a separate item for the production sector. </w:t>
      </w:r>
    </w:p>
    <w:p w14:paraId="6B52740B" w14:textId="77777777" w:rsidR="00922E08" w:rsidRPr="00DA75D7" w:rsidRDefault="0032495C" w:rsidP="2E7655E2">
      <w:pPr>
        <w:tabs>
          <w:tab w:val="left" w:pos="0"/>
          <w:tab w:val="left" w:pos="1276"/>
        </w:tabs>
        <w:spacing w:after="120"/>
        <w:ind w:left="1282" w:hanging="1282"/>
        <w:rPr>
          <w:b/>
          <w:bCs/>
        </w:rPr>
      </w:pPr>
      <w:r w:rsidRPr="2E7655E2">
        <w:rPr>
          <w:rFonts w:eastAsia="Yu Mincho"/>
          <w:b/>
          <w:bCs/>
          <w:color w:val="000000" w:themeColor="text1"/>
          <w:lang w:val="en-CA"/>
        </w:rPr>
        <w:t>Table 2.3:</w:t>
      </w:r>
      <w:r w:rsidR="00B72398">
        <w:tab/>
      </w:r>
      <w:r w:rsidRPr="2E7655E2">
        <w:rPr>
          <w:rFonts w:eastAsia="Times New Roman"/>
          <w:b/>
          <w:bCs/>
          <w:color w:val="000000" w:themeColor="text1"/>
        </w:rPr>
        <w:t>Estimated funding requirement for HCFC production sector (US$ million)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133"/>
      </w:tblGrid>
      <w:tr w:rsidR="00A950E0" w14:paraId="683757D7" w14:textId="77777777" w:rsidTr="00FE5C31">
        <w:trPr>
          <w:trHeight w:val="75"/>
          <w:jc w:val="center"/>
        </w:trPr>
        <w:tc>
          <w:tcPr>
            <w:tcW w:w="6941" w:type="dxa"/>
            <w:shd w:val="clear" w:color="auto" w:fill="E2EFD9" w:themeFill="accent6" w:themeFillTint="33"/>
            <w:tcMar>
              <w:left w:w="108" w:type="dxa"/>
              <w:right w:w="108" w:type="dxa"/>
            </w:tcMar>
          </w:tcPr>
          <w:p w14:paraId="2E0D2BB7" w14:textId="7EB95F05" w:rsidR="00A950E0" w:rsidRPr="00E828CB" w:rsidRDefault="00A950E0" w:rsidP="00FE5C31">
            <w:pPr>
              <w:spacing w:after="0"/>
              <w:jc w:val="center"/>
              <w:rPr>
                <w:rFonts w:eastAsia="Times New Roman"/>
                <w:color w:val="000000" w:themeColor="text1"/>
              </w:rPr>
            </w:pPr>
            <w:r w:rsidRPr="00E828CB">
              <w:rPr>
                <w:rFonts w:eastAsia="Times New Roman"/>
                <w:b/>
                <w:bCs/>
                <w:color w:val="000000" w:themeColor="text1"/>
              </w:rPr>
              <w:t>HCFC Production Sector</w:t>
            </w:r>
          </w:p>
        </w:tc>
        <w:tc>
          <w:tcPr>
            <w:tcW w:w="2133" w:type="dxa"/>
            <w:tcMar>
              <w:left w:w="108" w:type="dxa"/>
              <w:right w:w="108" w:type="dxa"/>
            </w:tcMar>
          </w:tcPr>
          <w:p w14:paraId="06F6FDDD" w14:textId="77777777" w:rsidR="00A950E0" w:rsidRDefault="00A950E0" w:rsidP="00A950E0">
            <w:pPr>
              <w:spacing w:after="0"/>
              <w:jc w:val="center"/>
              <w:rPr>
                <w:rFonts w:eastAsia="Times New Roman"/>
                <w:b/>
                <w:bCs/>
                <w:color w:val="000000" w:themeColor="text1"/>
              </w:rPr>
            </w:pPr>
            <w:r w:rsidRPr="00E828CB">
              <w:rPr>
                <w:rFonts w:eastAsia="Times New Roman"/>
                <w:b/>
                <w:bCs/>
                <w:color w:val="000000" w:themeColor="text1"/>
              </w:rPr>
              <w:t>2027-2029 Triennium Estimated Funding</w:t>
            </w:r>
          </w:p>
          <w:p w14:paraId="4A52DEBA" w14:textId="0FDC508A" w:rsidR="00A950E0" w:rsidRPr="00E828CB" w:rsidRDefault="00A950E0" w:rsidP="00FE5C31">
            <w:pPr>
              <w:spacing w:after="0"/>
              <w:jc w:val="center"/>
              <w:rPr>
                <w:rFonts w:eastAsia="Times New Roman"/>
                <w:b/>
                <w:bCs/>
                <w:color w:val="000000" w:themeColor="text1"/>
              </w:rPr>
            </w:pPr>
            <w:r w:rsidRPr="2E7655E2">
              <w:rPr>
                <w:rFonts w:eastAsia="Times New Roman"/>
                <w:b/>
                <w:bCs/>
                <w:color w:val="000000" w:themeColor="text1"/>
              </w:rPr>
              <w:t>(US$ million)</w:t>
            </w:r>
          </w:p>
        </w:tc>
      </w:tr>
      <w:tr w:rsidR="00F90461" w14:paraId="355FB250" w14:textId="77777777" w:rsidTr="00FE5C31">
        <w:trPr>
          <w:trHeight w:val="75"/>
          <w:jc w:val="center"/>
        </w:trPr>
        <w:tc>
          <w:tcPr>
            <w:tcW w:w="6941" w:type="dxa"/>
            <w:shd w:val="clear" w:color="auto" w:fill="E2EFD9" w:themeFill="accent6" w:themeFillTint="33"/>
            <w:tcMar>
              <w:left w:w="108" w:type="dxa"/>
              <w:right w:w="108" w:type="dxa"/>
            </w:tcMar>
          </w:tcPr>
          <w:p w14:paraId="459A150D" w14:textId="77777777" w:rsidR="43EEFCCE" w:rsidRPr="00E828CB" w:rsidRDefault="0032495C" w:rsidP="43EEFCCE">
            <w:pPr>
              <w:spacing w:after="0"/>
              <w:rPr>
                <w:rFonts w:eastAsia="Times New Roman"/>
                <w:color w:val="000000" w:themeColor="text1"/>
              </w:rPr>
            </w:pPr>
            <w:r w:rsidRPr="00E828CB">
              <w:rPr>
                <w:rFonts w:eastAsia="Times New Roman"/>
                <w:color w:val="000000" w:themeColor="text1"/>
              </w:rPr>
              <w:t>HCFC Production Sector Stage III HPPMP (China)</w:t>
            </w:r>
          </w:p>
        </w:tc>
        <w:tc>
          <w:tcPr>
            <w:tcW w:w="2133" w:type="dxa"/>
            <w:tcMar>
              <w:left w:w="108" w:type="dxa"/>
              <w:right w:w="108" w:type="dxa"/>
            </w:tcMar>
          </w:tcPr>
          <w:p w14:paraId="432674E8" w14:textId="763495F4" w:rsidR="43EEFCCE" w:rsidRPr="00E828CB" w:rsidRDefault="0032495C" w:rsidP="43EEFCCE">
            <w:pPr>
              <w:spacing w:after="0"/>
              <w:jc w:val="right"/>
              <w:rPr>
                <w:rFonts w:eastAsia="Times New Roman"/>
                <w:b/>
                <w:bCs/>
                <w:color w:val="000000" w:themeColor="text1"/>
              </w:rPr>
            </w:pPr>
            <w:r w:rsidRPr="00E828CB">
              <w:rPr>
                <w:rFonts w:eastAsia="Times New Roman"/>
                <w:b/>
                <w:bCs/>
                <w:color w:val="000000" w:themeColor="text1"/>
              </w:rPr>
              <w:t>23.54</w:t>
            </w:r>
          </w:p>
        </w:tc>
      </w:tr>
      <w:tr w:rsidR="00F90461" w14:paraId="6C5B236B" w14:textId="77777777" w:rsidTr="00FE5C31">
        <w:trPr>
          <w:trHeight w:val="345"/>
          <w:jc w:val="center"/>
        </w:trPr>
        <w:tc>
          <w:tcPr>
            <w:tcW w:w="6941" w:type="dxa"/>
            <w:shd w:val="clear" w:color="auto" w:fill="FFFF00"/>
            <w:tcMar>
              <w:left w:w="108" w:type="dxa"/>
              <w:right w:w="108" w:type="dxa"/>
            </w:tcMar>
            <w:vAlign w:val="center"/>
          </w:tcPr>
          <w:p w14:paraId="33486C39" w14:textId="77777777" w:rsidR="43EEFCCE" w:rsidRPr="00E828CB" w:rsidRDefault="0032495C" w:rsidP="43EEFCCE">
            <w:pPr>
              <w:spacing w:after="0"/>
              <w:rPr>
                <w:rFonts w:eastAsia="Times New Roman"/>
                <w:b/>
                <w:bCs/>
                <w:color w:val="000000" w:themeColor="text1"/>
              </w:rPr>
            </w:pPr>
            <w:r w:rsidRPr="00E828CB">
              <w:rPr>
                <w:rFonts w:eastAsia="Times New Roman"/>
                <w:b/>
                <w:bCs/>
                <w:color w:val="000000" w:themeColor="text1"/>
              </w:rPr>
              <w:t>Subtotal – HCFC Production Sector (including support costs of 5.6%)</w:t>
            </w:r>
          </w:p>
        </w:tc>
        <w:tc>
          <w:tcPr>
            <w:tcW w:w="2133" w:type="dxa"/>
            <w:shd w:val="clear" w:color="auto" w:fill="FFFF00"/>
            <w:tcMar>
              <w:left w:w="108" w:type="dxa"/>
              <w:right w:w="108" w:type="dxa"/>
            </w:tcMar>
            <w:vAlign w:val="center"/>
          </w:tcPr>
          <w:p w14:paraId="7C6C9348" w14:textId="5A69AEFF" w:rsidR="43EEFCCE" w:rsidRPr="00E828CB" w:rsidRDefault="0032495C" w:rsidP="43EEFCCE">
            <w:pPr>
              <w:spacing w:after="0"/>
              <w:jc w:val="right"/>
              <w:rPr>
                <w:rFonts w:eastAsia="Times New Roman"/>
                <w:b/>
                <w:bCs/>
                <w:color w:val="000000" w:themeColor="text1"/>
              </w:rPr>
            </w:pPr>
            <w:r w:rsidRPr="00E828CB">
              <w:rPr>
                <w:rFonts w:eastAsia="Times New Roman"/>
                <w:b/>
                <w:bCs/>
                <w:color w:val="000000" w:themeColor="text1"/>
              </w:rPr>
              <w:t xml:space="preserve">  23.54</w:t>
            </w:r>
          </w:p>
        </w:tc>
      </w:tr>
    </w:tbl>
    <w:p w14:paraId="7F6AC038" w14:textId="77777777" w:rsidR="00922E08" w:rsidRPr="00A81971" w:rsidRDefault="00922E08" w:rsidP="43EEFCCE">
      <w:pPr>
        <w:tabs>
          <w:tab w:val="left" w:pos="0"/>
          <w:tab w:val="left" w:pos="1418"/>
        </w:tabs>
        <w:spacing w:after="240"/>
        <w:ind w:left="1418" w:hanging="1418"/>
        <w:rPr>
          <w:rFonts w:eastAsia="Times New Roman"/>
          <w:color w:val="000000" w:themeColor="text1"/>
        </w:rPr>
      </w:pPr>
    </w:p>
    <w:p w14:paraId="3D5D2A64" w14:textId="77777777" w:rsidR="00922E08" w:rsidRPr="00A81971" w:rsidRDefault="0032495C" w:rsidP="43EEFCCE">
      <w:pPr>
        <w:rPr>
          <w:rFonts w:eastAsia="Times New Roman"/>
          <w:b/>
          <w:bCs/>
          <w:i/>
          <w:iCs/>
          <w:color w:val="000000" w:themeColor="text1"/>
          <w:sz w:val="24"/>
          <w:szCs w:val="24"/>
        </w:rPr>
      </w:pPr>
      <w:r w:rsidRPr="00A81971">
        <w:rPr>
          <w:rFonts w:eastAsia="Times New Roman"/>
          <w:b/>
          <w:bCs/>
          <w:i/>
          <w:iCs/>
          <w:color w:val="000000" w:themeColor="text1"/>
          <w:sz w:val="24"/>
          <w:szCs w:val="24"/>
        </w:rPr>
        <w:t>2.</w:t>
      </w:r>
      <w:r w:rsidR="003D58F9" w:rsidRPr="00A81971">
        <w:rPr>
          <w:rFonts w:eastAsia="Times New Roman"/>
          <w:b/>
          <w:bCs/>
          <w:i/>
          <w:iCs/>
          <w:color w:val="000000" w:themeColor="text1"/>
          <w:sz w:val="24"/>
          <w:szCs w:val="24"/>
        </w:rPr>
        <w:t>2</w:t>
      </w:r>
      <w:r w:rsidRPr="00A81971">
        <w:rPr>
          <w:rFonts w:eastAsia="Times New Roman"/>
          <w:b/>
          <w:bCs/>
          <w:i/>
          <w:iCs/>
          <w:color w:val="000000" w:themeColor="text1"/>
          <w:sz w:val="24"/>
          <w:szCs w:val="24"/>
        </w:rPr>
        <w:t>.</w:t>
      </w:r>
      <w:r w:rsidR="00893026" w:rsidRPr="00A81971">
        <w:rPr>
          <w:rFonts w:eastAsia="Times New Roman"/>
          <w:b/>
          <w:bCs/>
          <w:i/>
          <w:iCs/>
          <w:color w:val="000000" w:themeColor="text1"/>
          <w:sz w:val="24"/>
          <w:szCs w:val="24"/>
        </w:rPr>
        <w:t>3</w:t>
      </w:r>
      <w:r w:rsidRPr="00A81971">
        <w:rPr>
          <w:rFonts w:eastAsia="Times New Roman"/>
          <w:b/>
          <w:bCs/>
          <w:i/>
          <w:iCs/>
          <w:color w:val="000000" w:themeColor="text1"/>
          <w:sz w:val="24"/>
          <w:szCs w:val="24"/>
        </w:rPr>
        <w:t xml:space="preserve"> Summary of </w:t>
      </w:r>
      <w:r w:rsidR="00B770D2" w:rsidRPr="00A81971">
        <w:rPr>
          <w:rFonts w:eastAsia="Times New Roman"/>
          <w:b/>
          <w:bCs/>
          <w:i/>
          <w:iCs/>
          <w:color w:val="000000" w:themeColor="text1"/>
          <w:sz w:val="24"/>
          <w:szCs w:val="24"/>
        </w:rPr>
        <w:t xml:space="preserve">updated </w:t>
      </w:r>
      <w:r w:rsidRPr="00A81971">
        <w:rPr>
          <w:rFonts w:eastAsia="Times New Roman"/>
          <w:b/>
          <w:bCs/>
          <w:i/>
          <w:iCs/>
          <w:color w:val="000000" w:themeColor="text1"/>
          <w:sz w:val="24"/>
          <w:szCs w:val="24"/>
        </w:rPr>
        <w:t>estimated total HCFC funding requirement for 2027-2029 and 2030-2032</w:t>
      </w:r>
    </w:p>
    <w:p w14:paraId="3A301685" w14:textId="77777777" w:rsidR="007B6F94" w:rsidRPr="00A81971" w:rsidRDefault="0032495C" w:rsidP="43EEFCCE">
      <w:pPr>
        <w:spacing w:after="240"/>
        <w:rPr>
          <w:rFonts w:eastAsia="Times New Roman"/>
          <w:color w:val="000000" w:themeColor="text1"/>
        </w:rPr>
      </w:pPr>
      <w:r w:rsidRPr="00A81971">
        <w:rPr>
          <w:rFonts w:eastAsia="Times New Roman"/>
          <w:color w:val="000000" w:themeColor="text1"/>
        </w:rPr>
        <w:t xml:space="preserve">Adding the range of estimated total funding requirement for the HCFC consumption and production sectors as presented above, the </w:t>
      </w:r>
      <w:r w:rsidR="0076581C" w:rsidRPr="00A81971">
        <w:rPr>
          <w:rFonts w:eastAsia="Times New Roman"/>
          <w:color w:val="000000" w:themeColor="text1"/>
        </w:rPr>
        <w:t xml:space="preserve">updated </w:t>
      </w:r>
      <w:r w:rsidRPr="00A81971">
        <w:rPr>
          <w:rFonts w:eastAsia="Times New Roman"/>
          <w:color w:val="000000" w:themeColor="text1"/>
        </w:rPr>
        <w:t>estimated total funding requirement for 2027-2029 and 2030-2032 are summarised below Table 2.</w:t>
      </w:r>
      <w:r w:rsidR="00893026" w:rsidRPr="00A81971">
        <w:rPr>
          <w:rFonts w:eastAsia="Times New Roman"/>
          <w:color w:val="000000" w:themeColor="text1"/>
        </w:rPr>
        <w:t>4</w:t>
      </w:r>
      <w:r w:rsidR="008A372F">
        <w:rPr>
          <w:rFonts w:eastAsia="Times New Roman"/>
          <w:color w:val="000000" w:themeColor="text1"/>
        </w:rPr>
        <w:t>.</w:t>
      </w:r>
    </w:p>
    <w:p w14:paraId="4A87ECA1" w14:textId="236B4222" w:rsidR="002E3156" w:rsidRDefault="002E3156">
      <w:pPr>
        <w:spacing w:after="0"/>
        <w:rPr>
          <w:rFonts w:eastAsia="Yu Mincho"/>
          <w:b/>
          <w:bCs/>
          <w:color w:val="000000" w:themeColor="text1"/>
          <w:lang w:val="en-CA"/>
        </w:rPr>
      </w:pPr>
    </w:p>
    <w:p w14:paraId="61DCBE23" w14:textId="15286A6F" w:rsidR="00922E08" w:rsidRPr="008A372F" w:rsidRDefault="0032495C" w:rsidP="00B72398">
      <w:pPr>
        <w:tabs>
          <w:tab w:val="left" w:pos="0"/>
          <w:tab w:val="left" w:pos="1276"/>
        </w:tabs>
        <w:spacing w:after="120"/>
        <w:ind w:left="1282" w:hanging="1282"/>
      </w:pPr>
      <w:r w:rsidRPr="2E7655E2">
        <w:rPr>
          <w:rFonts w:eastAsia="Yu Mincho"/>
          <w:b/>
          <w:bCs/>
          <w:color w:val="000000" w:themeColor="text1"/>
          <w:lang w:val="en-CA"/>
        </w:rPr>
        <w:t>Table 2.4:</w:t>
      </w:r>
      <w:r w:rsidR="00B72398">
        <w:tab/>
      </w:r>
      <w:r w:rsidRPr="2E7655E2">
        <w:rPr>
          <w:rFonts w:eastAsia="Times New Roman"/>
          <w:b/>
          <w:bCs/>
          <w:color w:val="000000" w:themeColor="text1"/>
        </w:rPr>
        <w:t>September 2026 updated estimated total funding requirement for HCFC phase-out for 2027-2029 and future triennia (US$ million)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2590"/>
        <w:gridCol w:w="2599"/>
        <w:gridCol w:w="2537"/>
      </w:tblGrid>
      <w:tr w:rsidR="00F90461" w14:paraId="2D17E89D" w14:textId="77777777" w:rsidTr="1E375DFC">
        <w:trPr>
          <w:trHeight w:val="300"/>
          <w:jc w:val="center"/>
        </w:trPr>
        <w:tc>
          <w:tcPr>
            <w:tcW w:w="1349" w:type="dxa"/>
            <w:vMerge w:val="restart"/>
            <w:shd w:val="clear" w:color="auto" w:fill="DEEAF6" w:themeFill="accent5" w:themeFillTint="33"/>
            <w:vAlign w:val="center"/>
          </w:tcPr>
          <w:p w14:paraId="6C772C0A" w14:textId="77777777" w:rsidR="43EEFCC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Triennium</w:t>
            </w:r>
          </w:p>
        </w:tc>
        <w:tc>
          <w:tcPr>
            <w:tcW w:w="2590" w:type="dxa"/>
            <w:vMerge w:val="restart"/>
            <w:shd w:val="clear" w:color="auto" w:fill="DEEAF6" w:themeFill="accent5" w:themeFillTint="33"/>
            <w:vAlign w:val="center"/>
          </w:tcPr>
          <w:p w14:paraId="32E167FB" w14:textId="77777777" w:rsidR="43EEFCCE" w:rsidRPr="00A81971" w:rsidRDefault="0032495C" w:rsidP="43EEFCCE">
            <w:pPr>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Sector</w:t>
            </w:r>
            <w:r w:rsidRPr="00A81971">
              <w:rPr>
                <w:rFonts w:eastAsia="Times New Roman"/>
                <w:color w:val="000000" w:themeColor="text1"/>
                <w:sz w:val="21"/>
                <w:szCs w:val="21"/>
              </w:rPr>
              <w:t xml:space="preserve"> </w:t>
            </w:r>
          </w:p>
        </w:tc>
        <w:tc>
          <w:tcPr>
            <w:tcW w:w="5136" w:type="dxa"/>
            <w:gridSpan w:val="2"/>
            <w:shd w:val="clear" w:color="auto" w:fill="DEEAF6" w:themeFill="accent5" w:themeFillTint="33"/>
            <w:vAlign w:val="center"/>
          </w:tcPr>
          <w:p w14:paraId="0C5ED4D7" w14:textId="77777777" w:rsidR="43EEFCC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 xml:space="preserve">HCFC ESTIMATED </w:t>
            </w:r>
            <w:r w:rsidRPr="00A81971">
              <w:br/>
            </w:r>
            <w:r w:rsidRPr="00A81971">
              <w:rPr>
                <w:rFonts w:eastAsia="Times New Roman"/>
                <w:b/>
                <w:bCs/>
                <w:color w:val="000000" w:themeColor="text1"/>
                <w:sz w:val="21"/>
                <w:szCs w:val="21"/>
              </w:rPr>
              <w:t>FUNDING RANGE (US$ million)</w:t>
            </w:r>
          </w:p>
        </w:tc>
      </w:tr>
      <w:tr w:rsidR="00F90461" w14:paraId="0F95F6A7" w14:textId="77777777" w:rsidTr="1E375DFC">
        <w:trPr>
          <w:trHeight w:val="60"/>
          <w:jc w:val="center"/>
        </w:trPr>
        <w:tc>
          <w:tcPr>
            <w:tcW w:w="1349" w:type="dxa"/>
            <w:vMerge/>
            <w:vAlign w:val="center"/>
          </w:tcPr>
          <w:p w14:paraId="0943A4D5" w14:textId="77777777" w:rsidR="007B2372" w:rsidRPr="00A81971" w:rsidRDefault="007B2372"/>
        </w:tc>
        <w:tc>
          <w:tcPr>
            <w:tcW w:w="2590" w:type="dxa"/>
            <w:vMerge/>
            <w:vAlign w:val="center"/>
          </w:tcPr>
          <w:p w14:paraId="03173209" w14:textId="77777777" w:rsidR="007B2372" w:rsidRPr="00A81971" w:rsidRDefault="007B2372"/>
        </w:tc>
        <w:tc>
          <w:tcPr>
            <w:tcW w:w="2599" w:type="dxa"/>
            <w:shd w:val="clear" w:color="auto" w:fill="DEEAF6" w:themeFill="accent5" w:themeFillTint="33"/>
            <w:vAlign w:val="center"/>
          </w:tcPr>
          <w:p w14:paraId="2BE72EA8" w14:textId="77777777" w:rsidR="43EEFCC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Scenario 1 with 90%/10% Allocation</w:t>
            </w:r>
          </w:p>
        </w:tc>
        <w:tc>
          <w:tcPr>
            <w:tcW w:w="2537" w:type="dxa"/>
            <w:shd w:val="clear" w:color="auto" w:fill="DEEAF6" w:themeFill="accent5" w:themeFillTint="33"/>
            <w:vAlign w:val="center"/>
          </w:tcPr>
          <w:p w14:paraId="5EF59D07" w14:textId="77777777" w:rsidR="43EEFCCE" w:rsidRPr="00A81971" w:rsidRDefault="0032495C" w:rsidP="43EEFCCE">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Scenario 2 with 90%/10% Allocation</w:t>
            </w:r>
          </w:p>
        </w:tc>
      </w:tr>
      <w:tr w:rsidR="00F90461" w14:paraId="6C51E4A7" w14:textId="77777777" w:rsidTr="00E05A7A">
        <w:trPr>
          <w:trHeight w:val="285"/>
          <w:jc w:val="center"/>
        </w:trPr>
        <w:tc>
          <w:tcPr>
            <w:tcW w:w="1349" w:type="dxa"/>
            <w:vMerge w:val="restart"/>
            <w:shd w:val="clear" w:color="auto" w:fill="E2EFD9" w:themeFill="accent6" w:themeFillTint="33"/>
            <w:vAlign w:val="center"/>
          </w:tcPr>
          <w:p w14:paraId="072427BC"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2590" w:type="dxa"/>
            <w:shd w:val="clear" w:color="auto" w:fill="E2EFD9" w:themeFill="accent6" w:themeFillTint="33"/>
            <w:vAlign w:val="bottom"/>
          </w:tcPr>
          <w:p w14:paraId="1114FA37" w14:textId="77777777" w:rsidR="43EEFCCE"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HCFC Consumption sector with scenarios and resource allocations</w:t>
            </w:r>
          </w:p>
        </w:tc>
        <w:tc>
          <w:tcPr>
            <w:tcW w:w="2599" w:type="dxa"/>
            <w:shd w:val="clear" w:color="auto" w:fill="FFFFFF" w:themeFill="background1"/>
            <w:vAlign w:val="center"/>
          </w:tcPr>
          <w:p w14:paraId="6CCFDC2E" w14:textId="77777777" w:rsidR="43EEFCC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413.33</w:t>
            </w:r>
          </w:p>
        </w:tc>
        <w:tc>
          <w:tcPr>
            <w:tcW w:w="2537" w:type="dxa"/>
            <w:shd w:val="clear" w:color="auto" w:fill="FFFFFF" w:themeFill="background1"/>
            <w:vAlign w:val="center"/>
          </w:tcPr>
          <w:p w14:paraId="7D3EC67F" w14:textId="77777777" w:rsidR="43EEFCC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540.85</w:t>
            </w:r>
          </w:p>
        </w:tc>
      </w:tr>
      <w:tr w:rsidR="00F90461" w14:paraId="27EE6147" w14:textId="77777777" w:rsidTr="00E05A7A">
        <w:trPr>
          <w:trHeight w:val="285"/>
          <w:jc w:val="center"/>
        </w:trPr>
        <w:tc>
          <w:tcPr>
            <w:tcW w:w="1349" w:type="dxa"/>
            <w:vMerge/>
            <w:vAlign w:val="center"/>
          </w:tcPr>
          <w:p w14:paraId="1CBDD7E0" w14:textId="77777777" w:rsidR="007B2372" w:rsidRPr="00A81971" w:rsidRDefault="007B2372"/>
        </w:tc>
        <w:tc>
          <w:tcPr>
            <w:tcW w:w="2590" w:type="dxa"/>
            <w:shd w:val="clear" w:color="auto" w:fill="E2EFD9" w:themeFill="accent6" w:themeFillTint="33"/>
            <w:vAlign w:val="bottom"/>
          </w:tcPr>
          <w:p w14:paraId="3A0F73EF" w14:textId="77777777" w:rsidR="43EEFCCE"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HCFC Production sector</w:t>
            </w:r>
          </w:p>
        </w:tc>
        <w:tc>
          <w:tcPr>
            <w:tcW w:w="2599" w:type="dxa"/>
            <w:shd w:val="clear" w:color="auto" w:fill="FFFFFF" w:themeFill="background1"/>
            <w:vAlign w:val="center"/>
          </w:tcPr>
          <w:p w14:paraId="7DDF5D34"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23.54</w:t>
            </w:r>
          </w:p>
        </w:tc>
        <w:tc>
          <w:tcPr>
            <w:tcW w:w="2537" w:type="dxa"/>
            <w:shd w:val="clear" w:color="auto" w:fill="FFFFFF" w:themeFill="background1"/>
            <w:vAlign w:val="center"/>
          </w:tcPr>
          <w:p w14:paraId="7D079BBB"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23.54</w:t>
            </w:r>
          </w:p>
        </w:tc>
      </w:tr>
      <w:tr w:rsidR="00F90461" w14:paraId="73A7A89E" w14:textId="77777777" w:rsidTr="1E375DFC">
        <w:trPr>
          <w:trHeight w:val="285"/>
          <w:jc w:val="center"/>
        </w:trPr>
        <w:tc>
          <w:tcPr>
            <w:tcW w:w="1349" w:type="dxa"/>
            <w:vMerge/>
            <w:vAlign w:val="center"/>
          </w:tcPr>
          <w:p w14:paraId="7F169C82" w14:textId="77777777" w:rsidR="007B2372" w:rsidRPr="00A81971" w:rsidRDefault="007B2372"/>
        </w:tc>
        <w:tc>
          <w:tcPr>
            <w:tcW w:w="2590" w:type="dxa"/>
            <w:shd w:val="clear" w:color="auto" w:fill="FFFF00"/>
            <w:vAlign w:val="bottom"/>
          </w:tcPr>
          <w:p w14:paraId="217F1E84" w14:textId="77777777" w:rsidR="43EEFCCE"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TOTAL RANGE</w:t>
            </w:r>
          </w:p>
        </w:tc>
        <w:tc>
          <w:tcPr>
            <w:tcW w:w="2599" w:type="dxa"/>
            <w:shd w:val="clear" w:color="auto" w:fill="FFFF00"/>
            <w:vAlign w:val="center"/>
          </w:tcPr>
          <w:p w14:paraId="24C26806" w14:textId="77777777" w:rsidR="43EEFCC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436.87</w:t>
            </w:r>
          </w:p>
        </w:tc>
        <w:tc>
          <w:tcPr>
            <w:tcW w:w="2537" w:type="dxa"/>
            <w:shd w:val="clear" w:color="auto" w:fill="FFFF00"/>
            <w:vAlign w:val="center"/>
          </w:tcPr>
          <w:p w14:paraId="511D7F40"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564.39</w:t>
            </w:r>
          </w:p>
        </w:tc>
      </w:tr>
      <w:tr w:rsidR="00F90461" w14:paraId="7FC906F5" w14:textId="77777777" w:rsidTr="00E05A7A">
        <w:trPr>
          <w:trHeight w:val="285"/>
          <w:jc w:val="center"/>
        </w:trPr>
        <w:tc>
          <w:tcPr>
            <w:tcW w:w="1349" w:type="dxa"/>
            <w:vMerge w:val="restart"/>
            <w:shd w:val="clear" w:color="auto" w:fill="E2EFD9" w:themeFill="accent6" w:themeFillTint="33"/>
            <w:vAlign w:val="center"/>
          </w:tcPr>
          <w:p w14:paraId="01FCA499" w14:textId="77777777" w:rsidR="43EEFCCE" w:rsidRPr="00A81971" w:rsidRDefault="0032495C" w:rsidP="00667E33">
            <w:pPr>
              <w:tabs>
                <w:tab w:val="left" w:pos="720"/>
              </w:tabs>
              <w:spacing w:after="0" w:line="259" w:lineRule="auto"/>
              <w:jc w:val="center"/>
              <w:rPr>
                <w:rFonts w:eastAsia="Times New Roman"/>
              </w:rPr>
            </w:pPr>
            <w:r w:rsidRPr="00A81971">
              <w:rPr>
                <w:rFonts w:eastAsia="Times New Roman"/>
                <w:b/>
                <w:bCs/>
                <w:color w:val="000000" w:themeColor="text1"/>
              </w:rPr>
              <w:t>2030</w:t>
            </w:r>
            <w:r w:rsidRPr="00B72398">
              <w:rPr>
                <w:rFonts w:eastAsia="Times New Roman"/>
                <w:b/>
                <w:bCs/>
              </w:rPr>
              <w:t>-2032</w:t>
            </w:r>
          </w:p>
        </w:tc>
        <w:tc>
          <w:tcPr>
            <w:tcW w:w="2590" w:type="dxa"/>
            <w:shd w:val="clear" w:color="auto" w:fill="E2EFD9" w:themeFill="accent6" w:themeFillTint="33"/>
            <w:vAlign w:val="bottom"/>
          </w:tcPr>
          <w:p w14:paraId="544323F9" w14:textId="77777777" w:rsidR="43EEFCCE" w:rsidRPr="00A81971" w:rsidRDefault="0032495C" w:rsidP="43EEFCCE">
            <w:pPr>
              <w:tabs>
                <w:tab w:val="left" w:pos="720"/>
              </w:tabs>
              <w:spacing w:after="0"/>
              <w:rPr>
                <w:rFonts w:eastAsia="Times New Roman"/>
                <w:color w:val="000000" w:themeColor="text1"/>
              </w:rPr>
            </w:pPr>
            <w:r w:rsidRPr="00A81971">
              <w:rPr>
                <w:rFonts w:eastAsia="Times New Roman"/>
                <w:b/>
                <w:bCs/>
                <w:color w:val="000000" w:themeColor="text1"/>
              </w:rPr>
              <w:t>HCFC Consumption sector with scenarios and resource allocations</w:t>
            </w:r>
            <w:r w:rsidRPr="00A81971">
              <w:rPr>
                <w:rFonts w:eastAsia="Times New Roman"/>
                <w:color w:val="000000" w:themeColor="text1"/>
              </w:rPr>
              <w:t xml:space="preserve"> </w:t>
            </w:r>
          </w:p>
        </w:tc>
        <w:tc>
          <w:tcPr>
            <w:tcW w:w="2599" w:type="dxa"/>
            <w:shd w:val="clear" w:color="auto" w:fill="FFFFFF" w:themeFill="background1"/>
            <w:vAlign w:val="center"/>
          </w:tcPr>
          <w:p w14:paraId="2EC7EF9C" w14:textId="77777777" w:rsidR="43EEFCCE" w:rsidRPr="00A81971" w:rsidRDefault="0032495C" w:rsidP="1207221D">
            <w:pPr>
              <w:tabs>
                <w:tab w:val="left" w:pos="720"/>
              </w:tabs>
              <w:spacing w:after="0" w:line="259" w:lineRule="auto"/>
              <w:jc w:val="center"/>
              <w:rPr>
                <w:rFonts w:eastAsia="Times New Roman"/>
              </w:rPr>
            </w:pPr>
            <w:r w:rsidRPr="00A81971">
              <w:rPr>
                <w:rFonts w:eastAsia="Times New Roman"/>
                <w:b/>
                <w:bCs/>
                <w:color w:val="000000" w:themeColor="text1"/>
              </w:rPr>
              <w:t>64.59</w:t>
            </w:r>
          </w:p>
        </w:tc>
        <w:tc>
          <w:tcPr>
            <w:tcW w:w="2537" w:type="dxa"/>
            <w:shd w:val="clear" w:color="auto" w:fill="FFFFFF" w:themeFill="background1"/>
            <w:vAlign w:val="center"/>
          </w:tcPr>
          <w:p w14:paraId="47401095"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78.75</w:t>
            </w:r>
          </w:p>
        </w:tc>
      </w:tr>
      <w:tr w:rsidR="00F90461" w14:paraId="520930C7" w14:textId="77777777" w:rsidTr="00E05A7A">
        <w:trPr>
          <w:trHeight w:val="285"/>
          <w:jc w:val="center"/>
        </w:trPr>
        <w:tc>
          <w:tcPr>
            <w:tcW w:w="1349" w:type="dxa"/>
            <w:vMerge/>
            <w:vAlign w:val="center"/>
          </w:tcPr>
          <w:p w14:paraId="5E1CD53F" w14:textId="77777777" w:rsidR="007B2372" w:rsidRPr="00A81971" w:rsidRDefault="007B2372"/>
        </w:tc>
        <w:tc>
          <w:tcPr>
            <w:tcW w:w="2590" w:type="dxa"/>
            <w:shd w:val="clear" w:color="auto" w:fill="E2EFD9" w:themeFill="accent6" w:themeFillTint="33"/>
            <w:vAlign w:val="bottom"/>
          </w:tcPr>
          <w:p w14:paraId="132DAFA0" w14:textId="77777777" w:rsidR="43EEFCCE"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HCFC Production sector</w:t>
            </w:r>
          </w:p>
        </w:tc>
        <w:tc>
          <w:tcPr>
            <w:tcW w:w="2599" w:type="dxa"/>
            <w:shd w:val="clear" w:color="auto" w:fill="FFFFFF" w:themeFill="background1"/>
            <w:vAlign w:val="center"/>
          </w:tcPr>
          <w:p w14:paraId="5AB74984"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23.54</w:t>
            </w:r>
          </w:p>
        </w:tc>
        <w:tc>
          <w:tcPr>
            <w:tcW w:w="2537" w:type="dxa"/>
            <w:shd w:val="clear" w:color="auto" w:fill="FFFFFF" w:themeFill="background1"/>
            <w:vAlign w:val="center"/>
          </w:tcPr>
          <w:p w14:paraId="448C363A"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23.54</w:t>
            </w:r>
          </w:p>
        </w:tc>
      </w:tr>
      <w:tr w:rsidR="00F90461" w14:paraId="333161E4" w14:textId="77777777" w:rsidTr="1E375DFC">
        <w:trPr>
          <w:trHeight w:val="285"/>
          <w:jc w:val="center"/>
        </w:trPr>
        <w:tc>
          <w:tcPr>
            <w:tcW w:w="1349" w:type="dxa"/>
            <w:vMerge/>
            <w:vAlign w:val="center"/>
          </w:tcPr>
          <w:p w14:paraId="45A116BD" w14:textId="77777777" w:rsidR="007B2372" w:rsidRPr="00A81971" w:rsidRDefault="007B2372"/>
        </w:tc>
        <w:tc>
          <w:tcPr>
            <w:tcW w:w="2590" w:type="dxa"/>
            <w:shd w:val="clear" w:color="auto" w:fill="FFFF00"/>
            <w:vAlign w:val="bottom"/>
          </w:tcPr>
          <w:p w14:paraId="4FF21F56" w14:textId="77777777" w:rsidR="43EEFCCE"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TOTAL RANGE</w:t>
            </w:r>
          </w:p>
        </w:tc>
        <w:tc>
          <w:tcPr>
            <w:tcW w:w="2599" w:type="dxa"/>
            <w:shd w:val="clear" w:color="auto" w:fill="FFFF00"/>
            <w:vAlign w:val="center"/>
          </w:tcPr>
          <w:p w14:paraId="16A8F572"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88.13</w:t>
            </w:r>
          </w:p>
        </w:tc>
        <w:tc>
          <w:tcPr>
            <w:tcW w:w="2537" w:type="dxa"/>
            <w:shd w:val="clear" w:color="auto" w:fill="FFFF00"/>
            <w:vAlign w:val="center"/>
          </w:tcPr>
          <w:p w14:paraId="6ADCC9AA" w14:textId="77777777" w:rsidR="43EEFCCE" w:rsidRPr="00A81971" w:rsidRDefault="0032495C" w:rsidP="43EEFCCE">
            <w:pPr>
              <w:tabs>
                <w:tab w:val="left" w:pos="720"/>
              </w:tabs>
              <w:spacing w:after="0"/>
              <w:jc w:val="center"/>
              <w:rPr>
                <w:rFonts w:eastAsia="Times New Roman"/>
                <w:b/>
                <w:bCs/>
                <w:color w:val="000000" w:themeColor="text1"/>
              </w:rPr>
            </w:pPr>
            <w:r w:rsidRPr="00A81971">
              <w:rPr>
                <w:rFonts w:eastAsia="Times New Roman"/>
                <w:b/>
                <w:bCs/>
                <w:color w:val="000000" w:themeColor="text1"/>
              </w:rPr>
              <w:t>102.29</w:t>
            </w:r>
          </w:p>
        </w:tc>
      </w:tr>
    </w:tbl>
    <w:p w14:paraId="0885274C" w14:textId="77777777" w:rsidR="00922E08" w:rsidRPr="00A81971" w:rsidRDefault="0032495C" w:rsidP="00201CFA">
      <w:pPr>
        <w:pStyle w:val="Heading2"/>
      </w:pPr>
      <w:bookmarkStart w:id="195" w:name="_Toc240987323"/>
      <w:r w:rsidRPr="00A81971">
        <w:lastRenderedPageBreak/>
        <w:t>2.</w:t>
      </w:r>
      <w:r w:rsidR="001770B6" w:rsidRPr="00A81971">
        <w:t>3</w:t>
      </w:r>
      <w:r w:rsidR="43EEFCCE" w:rsidRPr="00A81971">
        <w:tab/>
      </w:r>
      <w:r w:rsidR="00DB1DF7" w:rsidRPr="002E3156">
        <w:t xml:space="preserve">UPdaTED HFC PHASE-DOWN </w:t>
      </w:r>
      <w:r w:rsidRPr="002E3156">
        <w:t>Estimated Funding Requirement for 2027-2029</w:t>
      </w:r>
      <w:r w:rsidR="009379A3" w:rsidRPr="002E3156">
        <w:t xml:space="preserve"> AND future Triennia</w:t>
      </w:r>
      <w:bookmarkEnd w:id="195"/>
    </w:p>
    <w:p w14:paraId="77413C50" w14:textId="77777777" w:rsidR="003B4123" w:rsidRPr="00A81971" w:rsidRDefault="0032495C" w:rsidP="003B4123">
      <w:pPr>
        <w:pStyle w:val="Heading3"/>
        <w:rPr>
          <w:rFonts w:eastAsia="Times New Roman"/>
          <w:color w:val="000000" w:themeColor="text1"/>
        </w:rPr>
      </w:pPr>
      <w:r w:rsidRPr="00A81971">
        <w:rPr>
          <w:rFonts w:eastAsia="Times New Roman"/>
          <w:color w:val="000000" w:themeColor="text1"/>
          <w:sz w:val="24"/>
          <w:szCs w:val="24"/>
        </w:rPr>
        <w:t>2.</w:t>
      </w:r>
      <w:r w:rsidR="00600E92" w:rsidRPr="00A81971">
        <w:rPr>
          <w:rFonts w:eastAsia="Times New Roman"/>
          <w:color w:val="000000" w:themeColor="text1"/>
          <w:sz w:val="24"/>
          <w:szCs w:val="24"/>
        </w:rPr>
        <w:t>3</w:t>
      </w:r>
      <w:r w:rsidRPr="00A81971">
        <w:rPr>
          <w:rFonts w:eastAsia="Times New Roman"/>
          <w:color w:val="000000" w:themeColor="text1"/>
          <w:sz w:val="24"/>
          <w:szCs w:val="24"/>
        </w:rPr>
        <w:t>.1</w:t>
      </w:r>
      <w:r w:rsidRPr="00A81971">
        <w:tab/>
      </w:r>
      <w:r w:rsidRPr="00FE5C31">
        <w:t xml:space="preserve">Total estimated funding for </w:t>
      </w:r>
      <w:r w:rsidR="00600E92" w:rsidRPr="00FE5C31">
        <w:t>HFC phase-do</w:t>
      </w:r>
      <w:r w:rsidR="00B17364" w:rsidRPr="00FE5C31">
        <w:t>w</w:t>
      </w:r>
      <w:r w:rsidR="00600E92" w:rsidRPr="00FE5C31">
        <w:t xml:space="preserve">n </w:t>
      </w:r>
      <w:r w:rsidRPr="00FE5C31">
        <w:t>in the consumption sector</w:t>
      </w:r>
    </w:p>
    <w:p w14:paraId="1CB3C1A0" w14:textId="77777777" w:rsidR="003B4123" w:rsidRPr="00A81971" w:rsidRDefault="0032495C" w:rsidP="003B4123">
      <w:pPr>
        <w:spacing w:after="0"/>
      </w:pPr>
      <w:r w:rsidRPr="00A81971">
        <w:rPr>
          <w:rFonts w:eastAsia="Times New Roman"/>
          <w:color w:val="000000" w:themeColor="text1"/>
        </w:rPr>
        <w:t xml:space="preserve">Annex </w:t>
      </w:r>
      <w:r w:rsidR="00B17364" w:rsidRPr="00A81971">
        <w:rPr>
          <w:rFonts w:eastAsia="Times New Roman"/>
          <w:color w:val="000000" w:themeColor="text1"/>
        </w:rPr>
        <w:t>3</w:t>
      </w:r>
      <w:r w:rsidRPr="00A81971">
        <w:rPr>
          <w:rFonts w:eastAsia="Times New Roman"/>
          <w:color w:val="000000" w:themeColor="text1"/>
        </w:rPr>
        <w:t xml:space="preserve"> provides details on the</w:t>
      </w:r>
      <w:r w:rsidR="00B17364" w:rsidRPr="00A81971">
        <w:rPr>
          <w:rFonts w:eastAsia="Times New Roman"/>
          <w:color w:val="000000" w:themeColor="text1"/>
        </w:rPr>
        <w:t xml:space="preserve"> HFC phase-down </w:t>
      </w:r>
      <w:r w:rsidRPr="00A81971">
        <w:rPr>
          <w:rFonts w:eastAsia="Times New Roman"/>
          <w:color w:val="000000" w:themeColor="text1"/>
        </w:rPr>
        <w:t xml:space="preserve">estimated funding model structure and flow chart, which remains the same as in the May 2026 report but showing </w:t>
      </w:r>
      <w:r w:rsidRPr="00A81971">
        <w:t xml:space="preserve">updated data and estimates. </w:t>
      </w:r>
    </w:p>
    <w:p w14:paraId="3717D4A4" w14:textId="77777777" w:rsidR="003B4123" w:rsidRPr="00A81971" w:rsidRDefault="003B4123" w:rsidP="003B4123">
      <w:pPr>
        <w:spacing w:after="0"/>
      </w:pPr>
    </w:p>
    <w:p w14:paraId="2845764A" w14:textId="77777777" w:rsidR="007F38F2" w:rsidRPr="00A81971" w:rsidRDefault="0032495C" w:rsidP="007F38F2">
      <w:pPr>
        <w:spacing w:after="240"/>
        <w:rPr>
          <w:rFonts w:eastAsia="Times New Roman"/>
          <w:color w:val="000000" w:themeColor="text1"/>
        </w:rPr>
      </w:pPr>
      <w:r w:rsidRPr="00A81971">
        <w:rPr>
          <w:rFonts w:eastAsia="Times New Roman"/>
          <w:color w:val="000000" w:themeColor="text1"/>
        </w:rPr>
        <w:t xml:space="preserve">The estimate for the HFC phase-down funding requirement for the 2027-2029 triennium and future triennia, 2030-2032 and 2033-2035, is based on A5 parties meeting the relevant G1 and G2 reduction targets. </w:t>
      </w:r>
    </w:p>
    <w:p w14:paraId="0BD7BF24" w14:textId="77777777" w:rsidR="007F38F2" w:rsidRPr="00A81971" w:rsidRDefault="0032495C" w:rsidP="007F38F2">
      <w:pPr>
        <w:spacing w:after="120"/>
        <w:rPr>
          <w:rFonts w:eastAsia="Times New Roman"/>
          <w:color w:val="000000" w:themeColor="text1"/>
        </w:rPr>
      </w:pPr>
      <w:r w:rsidRPr="00A81971">
        <w:rPr>
          <w:rFonts w:eastAsia="Times New Roman"/>
          <w:color w:val="000000" w:themeColor="text1"/>
        </w:rPr>
        <w:t>Estimated funding requirement for the HFC consumption sectors include the following:</w:t>
      </w:r>
    </w:p>
    <w:p w14:paraId="6ECC7BC7"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committed for approved Kigali HFC Implementation Plans (KIPs);</w:t>
      </w:r>
    </w:p>
    <w:p w14:paraId="35B567DF"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estimated for new KIPs;</w:t>
      </w:r>
    </w:p>
    <w:p w14:paraId="0B5EA31E"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project preparation costs;</w:t>
      </w:r>
    </w:p>
    <w:p w14:paraId="48A465DA"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KIP verification;</w:t>
      </w:r>
    </w:p>
    <w:p w14:paraId="65E43FA0"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EE (ExCom Decision 91/65, 94/60 and 95/87); and</w:t>
      </w:r>
    </w:p>
    <w:p w14:paraId="0069B864" w14:textId="77777777" w:rsidR="007F38F2" w:rsidRDefault="0032495C" w:rsidP="007A20BD">
      <w:pPr>
        <w:pStyle w:val="ListParagraph"/>
        <w:numPr>
          <w:ilvl w:val="0"/>
          <w:numId w:val="36"/>
        </w:numPr>
        <w:spacing w:after="0"/>
        <w:rPr>
          <w:rFonts w:eastAsia="Times New Roman"/>
        </w:rPr>
      </w:pPr>
      <w:r w:rsidRPr="00A81971">
        <w:rPr>
          <w:rFonts w:eastAsia="Times New Roman"/>
        </w:rPr>
        <w:t>Funding to support pilot projects to enhance regional atmospheric monitoring (Decision XXXVII/6).</w:t>
      </w:r>
    </w:p>
    <w:p w14:paraId="72D390F1" w14:textId="77777777" w:rsidR="00E05A7A" w:rsidRPr="00E05A7A" w:rsidRDefault="00E05A7A" w:rsidP="00E05A7A">
      <w:pPr>
        <w:pStyle w:val="ListParagraph"/>
        <w:spacing w:after="0"/>
        <w:rPr>
          <w:rFonts w:eastAsia="Times New Roman"/>
        </w:rPr>
      </w:pPr>
    </w:p>
    <w:p w14:paraId="396C6BBB" w14:textId="77777777" w:rsidR="007F38F2" w:rsidRPr="00A81971" w:rsidRDefault="0032495C" w:rsidP="007F38F2">
      <w:pPr>
        <w:tabs>
          <w:tab w:val="left" w:pos="1680"/>
        </w:tabs>
        <w:spacing w:after="120"/>
        <w:rPr>
          <w:rFonts w:eastAsia="Times New Roman"/>
        </w:rPr>
      </w:pPr>
      <w:r w:rsidRPr="00A81971">
        <w:rPr>
          <w:rFonts w:eastAsia="Times New Roman"/>
        </w:rPr>
        <w:t>Estimated funding requirement for the HFC production sectors include the following:</w:t>
      </w:r>
    </w:p>
    <w:p w14:paraId="0F6DC8AB"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project preparation;</w:t>
      </w:r>
    </w:p>
    <w:p w14:paraId="01B7F289"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Kigali HFC Production Phase-down Management Plan (KPPMP), if any;</w:t>
      </w:r>
    </w:p>
    <w:p w14:paraId="08E01DE8"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HFC-23 mitigation project preparation; and</w:t>
      </w:r>
    </w:p>
    <w:p w14:paraId="18E8003D" w14:textId="77777777" w:rsidR="007F38F2" w:rsidRPr="00A81971" w:rsidRDefault="0032495C" w:rsidP="007A20BD">
      <w:pPr>
        <w:pStyle w:val="ListParagraph"/>
        <w:numPr>
          <w:ilvl w:val="0"/>
          <w:numId w:val="36"/>
        </w:numPr>
        <w:spacing w:after="0"/>
        <w:rPr>
          <w:rFonts w:eastAsia="Times New Roman"/>
        </w:rPr>
      </w:pPr>
      <w:r w:rsidRPr="00A81971">
        <w:rPr>
          <w:rFonts w:eastAsia="Times New Roman"/>
        </w:rPr>
        <w:t>Funding for approved HFC-23 mitigation project</w:t>
      </w:r>
    </w:p>
    <w:p w14:paraId="175DDC0D" w14:textId="77777777" w:rsidR="003B4123" w:rsidRPr="00A81971" w:rsidRDefault="003B4123" w:rsidP="003B4123">
      <w:pPr>
        <w:spacing w:after="0"/>
      </w:pPr>
    </w:p>
    <w:p w14:paraId="06CF9649" w14:textId="77777777" w:rsidR="003B4123" w:rsidRPr="00A81971" w:rsidRDefault="0032495C" w:rsidP="003B4123">
      <w:pPr>
        <w:spacing w:after="120" w:line="259" w:lineRule="auto"/>
        <w:rPr>
          <w:rFonts w:eastAsia="Times New Roman"/>
          <w:color w:val="000000" w:themeColor="text1"/>
        </w:rPr>
      </w:pPr>
      <w:r w:rsidRPr="00A81971">
        <w:rPr>
          <w:rFonts w:eastAsia="Times New Roman"/>
          <w:color w:val="000000" w:themeColor="text1"/>
        </w:rPr>
        <w:t>Key assumptions made by the RTF for its estimates were the same as in the May 2026 Report, except for the addition of PMUs costs:</w:t>
      </w:r>
    </w:p>
    <w:p w14:paraId="64C52926" w14:textId="77777777" w:rsidR="003B4123" w:rsidRPr="00A81971" w:rsidRDefault="0032495C" w:rsidP="007A20BD">
      <w:pPr>
        <w:pStyle w:val="ListParagraph"/>
        <w:numPr>
          <w:ilvl w:val="0"/>
          <w:numId w:val="21"/>
        </w:numPr>
        <w:spacing w:after="0"/>
        <w:rPr>
          <w:rFonts w:eastAsia="Times New Roman"/>
        </w:rPr>
      </w:pPr>
      <w:r w:rsidRPr="00A81971">
        <w:rPr>
          <w:rFonts w:eastAsia="Times New Roman"/>
        </w:rPr>
        <w:t>IAs’ support costs were considered at an average of 9.6%, unless indicated otherwise;</w:t>
      </w:r>
    </w:p>
    <w:p w14:paraId="7AC888F4" w14:textId="77777777" w:rsidR="003B4123" w:rsidRPr="00A81971" w:rsidRDefault="0032495C" w:rsidP="007A20BD">
      <w:pPr>
        <w:pStyle w:val="ListParagraph"/>
        <w:numPr>
          <w:ilvl w:val="0"/>
          <w:numId w:val="20"/>
        </w:numPr>
        <w:spacing w:after="0"/>
        <w:rPr>
          <w:rFonts w:eastAsia="Times New Roman"/>
        </w:rPr>
      </w:pPr>
      <w:r w:rsidRPr="00A81971">
        <w:rPr>
          <w:rFonts w:eastAsia="Times New Roman"/>
        </w:rPr>
        <w:t>A 15% deduction was applied to account for ineligible foreign ownership in the manufacturing sectors. As the RTF explained in its May 2026 Report, for HPMPs the general practice was to defer enterprises with non-Article 5 (A5) ownership to later stages which would impact the resource allocation calculations for this triennium and the next triennium to varying degrees.</w:t>
      </w:r>
    </w:p>
    <w:p w14:paraId="7A3B019B" w14:textId="77777777" w:rsidR="003B4123" w:rsidRPr="00A81971" w:rsidRDefault="0032495C" w:rsidP="007A20BD">
      <w:pPr>
        <w:pStyle w:val="ListParagraph"/>
        <w:numPr>
          <w:ilvl w:val="0"/>
          <w:numId w:val="20"/>
        </w:numPr>
        <w:rPr>
          <w:rFonts w:eastAsia="Times New Roman"/>
        </w:rPr>
      </w:pPr>
      <w:r w:rsidRPr="2E7655E2">
        <w:rPr>
          <w:rFonts w:eastAsia="Times New Roman"/>
        </w:rPr>
        <w:t xml:space="preserve">PMU costs for non-LVCs with remaining consumption to be funded were applied as follows, based on consultation with the MLFS and IAs: 5% PMU for China, as for China HPMP II, 7% PMU for large top 10 consumption parties, and 10% PMU for other smaller non-LVC parties.  </w:t>
      </w:r>
    </w:p>
    <w:p w14:paraId="44B99902" w14:textId="77777777" w:rsidR="00922E08" w:rsidRPr="00A81971" w:rsidRDefault="0032495C" w:rsidP="00195917">
      <w:pPr>
        <w:spacing w:before="240" w:after="0"/>
        <w:rPr>
          <w:rFonts w:eastAsia="Times New Roman"/>
          <w:color w:val="000000" w:themeColor="text1"/>
        </w:rPr>
      </w:pPr>
      <w:r w:rsidRPr="00A81971">
        <w:rPr>
          <w:rFonts w:eastAsia="Times New Roman"/>
          <w:color w:val="000000" w:themeColor="text1"/>
        </w:rPr>
        <w:t xml:space="preserve">The summary of </w:t>
      </w:r>
      <w:r w:rsidR="00195917" w:rsidRPr="00A81971">
        <w:rPr>
          <w:rFonts w:eastAsia="Times New Roman"/>
          <w:color w:val="000000" w:themeColor="text1"/>
        </w:rPr>
        <w:t xml:space="preserve">updated </w:t>
      </w:r>
      <w:r w:rsidRPr="00A81971">
        <w:rPr>
          <w:rFonts w:eastAsia="Times New Roman"/>
          <w:color w:val="000000" w:themeColor="text1"/>
        </w:rPr>
        <w:t xml:space="preserve">estimated funding requirements to address Stage I and Stage II for the HFC phasedown in the consumption sector based on HFC Scenarios 1 and 2 and the resource allocation schedules A and B is presented in Tables </w:t>
      </w:r>
      <w:r w:rsidR="00195917" w:rsidRPr="00A81971">
        <w:rPr>
          <w:rFonts w:eastAsia="Times New Roman"/>
          <w:color w:val="000000" w:themeColor="text1"/>
        </w:rPr>
        <w:t>2.5</w:t>
      </w:r>
      <w:r w:rsidRPr="00A81971">
        <w:rPr>
          <w:rFonts w:eastAsia="Times New Roman"/>
          <w:color w:val="000000" w:themeColor="text1"/>
        </w:rPr>
        <w:t xml:space="preserve"> and </w:t>
      </w:r>
      <w:r w:rsidR="00195917" w:rsidRPr="00A81971">
        <w:rPr>
          <w:rFonts w:eastAsia="Times New Roman"/>
          <w:color w:val="000000" w:themeColor="text1"/>
        </w:rPr>
        <w:t>2.6</w:t>
      </w:r>
      <w:r w:rsidRPr="00A81971">
        <w:rPr>
          <w:rFonts w:eastAsia="Times New Roman"/>
          <w:color w:val="000000" w:themeColor="text1"/>
        </w:rPr>
        <w:t>.</w:t>
      </w:r>
    </w:p>
    <w:p w14:paraId="1F2FCBC1" w14:textId="77777777" w:rsidR="00DF1D68" w:rsidRPr="00A81971" w:rsidRDefault="0032495C">
      <w:pPr>
        <w:spacing w:after="0"/>
        <w:rPr>
          <w:rFonts w:eastAsia="Times New Roman"/>
          <w:b/>
          <w:bCs/>
          <w:color w:val="000000" w:themeColor="text1"/>
        </w:rPr>
      </w:pPr>
      <w:r w:rsidRPr="00A81971">
        <w:rPr>
          <w:rFonts w:eastAsia="Times New Roman"/>
          <w:b/>
          <w:bCs/>
          <w:color w:val="000000" w:themeColor="text1"/>
        </w:rPr>
        <w:br w:type="page"/>
      </w:r>
    </w:p>
    <w:p w14:paraId="07A85F6B" w14:textId="77777777" w:rsidR="00682762" w:rsidRDefault="00682762" w:rsidP="00AA79E6">
      <w:pPr>
        <w:tabs>
          <w:tab w:val="left" w:pos="0"/>
          <w:tab w:val="left" w:pos="1276"/>
        </w:tabs>
        <w:spacing w:after="120"/>
        <w:ind w:left="1282" w:hanging="1282"/>
        <w:rPr>
          <w:rFonts w:eastAsia="Yu Mincho"/>
          <w:b/>
          <w:bCs/>
          <w:color w:val="000000"/>
          <w:lang w:val="en-CA"/>
        </w:rPr>
        <w:sectPr w:rsidR="00682762" w:rsidSect="002E3156">
          <w:type w:val="oddPage"/>
          <w:pgSz w:w="11906" w:h="16838" w:code="9"/>
          <w:pgMar w:top="1411" w:right="1411" w:bottom="1411" w:left="1411" w:header="706" w:footer="706" w:gutter="0"/>
          <w:cols w:space="708"/>
          <w:docGrid w:linePitch="360"/>
        </w:sectPr>
      </w:pPr>
    </w:p>
    <w:p w14:paraId="6161371A" w14:textId="77777777" w:rsidR="00DF1D68" w:rsidRPr="00DA75D7" w:rsidRDefault="0032495C" w:rsidP="00FE5C31">
      <w:pPr>
        <w:tabs>
          <w:tab w:val="left" w:pos="0"/>
          <w:tab w:val="left" w:pos="1276"/>
        </w:tabs>
        <w:spacing w:after="60"/>
        <w:ind w:left="1281" w:hanging="1281"/>
      </w:pPr>
      <w:r w:rsidRPr="0006445E">
        <w:rPr>
          <w:rFonts w:eastAsia="Yu Mincho"/>
          <w:b/>
          <w:bCs/>
          <w:color w:val="000000"/>
          <w:lang w:val="en-CA"/>
        </w:rPr>
        <w:lastRenderedPageBreak/>
        <w:t xml:space="preserve">Table </w:t>
      </w:r>
      <w:r>
        <w:rPr>
          <w:rFonts w:eastAsia="Yu Mincho"/>
          <w:b/>
          <w:bCs/>
          <w:color w:val="000000"/>
          <w:lang w:val="en-CA"/>
        </w:rPr>
        <w:t>2.5:</w:t>
      </w:r>
      <w:r w:rsidRPr="0006445E">
        <w:rPr>
          <w:rFonts w:eastAsia="Times New Roman"/>
          <w:color w:val="000000"/>
          <w:lang w:val="en-CA"/>
        </w:rPr>
        <w:tab/>
      </w:r>
      <w:r w:rsidRPr="00A81971">
        <w:rPr>
          <w:rFonts w:eastAsia="Times New Roman"/>
          <w:b/>
          <w:bCs/>
          <w:color w:val="000000" w:themeColor="text1"/>
        </w:rPr>
        <w:t>Total updated funding estimate for HFC consumption sector for HFC Scenario 1 to address Stage</w:t>
      </w:r>
      <w:r w:rsidR="00771C82">
        <w:rPr>
          <w:rFonts w:eastAsia="Times New Roman"/>
          <w:b/>
          <w:bCs/>
          <w:color w:val="000000" w:themeColor="text1"/>
        </w:rPr>
        <w:t>s</w:t>
      </w:r>
      <w:r w:rsidRPr="00A81971">
        <w:rPr>
          <w:rFonts w:eastAsia="Times New Roman"/>
          <w:b/>
          <w:bCs/>
          <w:color w:val="000000" w:themeColor="text1"/>
        </w:rPr>
        <w:t xml:space="preserve"> I and II targets (US$ million)</w:t>
      </w:r>
      <w:r w:rsidR="00DA75D7" w:rsidRPr="00A81971">
        <w:rPr>
          <w:rFonts w:eastAsia="Times New Roman"/>
          <w:color w:val="000000"/>
        </w:rPr>
        <w:tab/>
      </w:r>
      <w:r w:rsidR="00DA75D7" w:rsidRPr="00A81971">
        <w:rPr>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2"/>
        <w:gridCol w:w="1894"/>
        <w:gridCol w:w="1039"/>
        <w:gridCol w:w="1039"/>
        <w:gridCol w:w="1042"/>
        <w:gridCol w:w="8"/>
        <w:gridCol w:w="1031"/>
        <w:gridCol w:w="1039"/>
        <w:gridCol w:w="1042"/>
      </w:tblGrid>
      <w:tr w:rsidR="00F90461" w14:paraId="241CF6F3" w14:textId="77777777" w:rsidTr="2E7655E2">
        <w:trPr>
          <w:trHeight w:val="645"/>
          <w:jc w:val="center"/>
        </w:trPr>
        <w:tc>
          <w:tcPr>
            <w:tcW w:w="2096" w:type="pct"/>
            <w:tcMar>
              <w:left w:w="70" w:type="dxa"/>
              <w:right w:w="70" w:type="dxa"/>
            </w:tcMar>
            <w:vAlign w:val="center"/>
          </w:tcPr>
          <w:p w14:paraId="698BD93A"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HFC CONSUMPTION SECTOR</w:t>
            </w:r>
          </w:p>
        </w:tc>
        <w:tc>
          <w:tcPr>
            <w:tcW w:w="676" w:type="pct"/>
            <w:tcMar>
              <w:left w:w="70" w:type="dxa"/>
              <w:right w:w="70" w:type="dxa"/>
            </w:tcMar>
            <w:vAlign w:val="center"/>
          </w:tcPr>
          <w:p w14:paraId="35197EC8"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Total for 3 Triennia</w:t>
            </w:r>
          </w:p>
          <w:p w14:paraId="2E218A09"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 to 2035 period)</w:t>
            </w:r>
          </w:p>
        </w:tc>
        <w:tc>
          <w:tcPr>
            <w:tcW w:w="1117" w:type="pct"/>
            <w:gridSpan w:val="4"/>
            <w:shd w:val="clear" w:color="auto" w:fill="DAE9F8"/>
            <w:tcMar>
              <w:left w:w="70" w:type="dxa"/>
              <w:right w:w="70" w:type="dxa"/>
            </w:tcMar>
            <w:vAlign w:val="center"/>
          </w:tcPr>
          <w:p w14:paraId="57B94AC4"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A</w:t>
            </w:r>
          </w:p>
        </w:tc>
        <w:tc>
          <w:tcPr>
            <w:tcW w:w="1111" w:type="pct"/>
            <w:gridSpan w:val="3"/>
            <w:shd w:val="clear" w:color="auto" w:fill="F2CEEF"/>
            <w:tcMar>
              <w:left w:w="70" w:type="dxa"/>
              <w:right w:w="70" w:type="dxa"/>
            </w:tcMar>
            <w:vAlign w:val="center"/>
          </w:tcPr>
          <w:p w14:paraId="7A7636B0"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B</w:t>
            </w:r>
          </w:p>
        </w:tc>
      </w:tr>
      <w:tr w:rsidR="00F90461" w14:paraId="43BE1F90" w14:textId="77777777" w:rsidTr="2E7655E2">
        <w:trPr>
          <w:trHeight w:val="667"/>
          <w:jc w:val="center"/>
        </w:trPr>
        <w:tc>
          <w:tcPr>
            <w:tcW w:w="2096" w:type="pct"/>
            <w:tcMar>
              <w:left w:w="70" w:type="dxa"/>
              <w:right w:w="70" w:type="dxa"/>
            </w:tcMar>
            <w:vAlign w:val="center"/>
          </w:tcPr>
          <w:p w14:paraId="063A893E"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HFC Scenario 1</w:t>
            </w:r>
          </w:p>
          <w:p w14:paraId="0EAFD583"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(CE in cost guidelines)</w:t>
            </w:r>
          </w:p>
        </w:tc>
        <w:tc>
          <w:tcPr>
            <w:tcW w:w="676" w:type="pct"/>
            <w:tcMar>
              <w:left w:w="70" w:type="dxa"/>
              <w:right w:w="70" w:type="dxa"/>
            </w:tcMar>
            <w:vAlign w:val="center"/>
          </w:tcPr>
          <w:p w14:paraId="0A9EA8BB"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Funding for Stage</w:t>
            </w:r>
            <w:r w:rsidR="00771C82">
              <w:rPr>
                <w:rFonts w:eastAsia="Times New Roman"/>
                <w:b/>
                <w:bCs/>
                <w:color w:val="000000" w:themeColor="text1"/>
              </w:rPr>
              <w:t>s</w:t>
            </w:r>
            <w:r w:rsidRPr="00A81971">
              <w:rPr>
                <w:rFonts w:eastAsia="Times New Roman"/>
                <w:b/>
                <w:bCs/>
                <w:color w:val="000000" w:themeColor="text1"/>
              </w:rPr>
              <w:t xml:space="preserve"> I and II</w:t>
            </w:r>
          </w:p>
        </w:tc>
        <w:tc>
          <w:tcPr>
            <w:tcW w:w="371" w:type="pct"/>
            <w:shd w:val="clear" w:color="auto" w:fill="DAE9F8"/>
            <w:tcMar>
              <w:left w:w="70" w:type="dxa"/>
              <w:right w:w="70" w:type="dxa"/>
            </w:tcMar>
            <w:vAlign w:val="center"/>
          </w:tcPr>
          <w:p w14:paraId="03BBD2DF"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371" w:type="pct"/>
            <w:shd w:val="clear" w:color="auto" w:fill="DAE9F8"/>
            <w:tcMar>
              <w:left w:w="70" w:type="dxa"/>
              <w:right w:w="70" w:type="dxa"/>
            </w:tcMar>
            <w:vAlign w:val="center"/>
          </w:tcPr>
          <w:p w14:paraId="57956CAF"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371" w:type="pct"/>
            <w:shd w:val="clear" w:color="auto" w:fill="DAE9F8"/>
            <w:tcMar>
              <w:left w:w="70" w:type="dxa"/>
              <w:right w:w="70" w:type="dxa"/>
            </w:tcMar>
            <w:vAlign w:val="center"/>
          </w:tcPr>
          <w:p w14:paraId="1A774DD8"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c>
          <w:tcPr>
            <w:tcW w:w="371" w:type="pct"/>
            <w:gridSpan w:val="2"/>
            <w:shd w:val="clear" w:color="auto" w:fill="F2CEEF"/>
            <w:tcMar>
              <w:left w:w="70" w:type="dxa"/>
              <w:right w:w="70" w:type="dxa"/>
            </w:tcMar>
            <w:vAlign w:val="center"/>
          </w:tcPr>
          <w:p w14:paraId="6DF209E5"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371" w:type="pct"/>
            <w:shd w:val="clear" w:color="auto" w:fill="F2CEEF"/>
            <w:tcMar>
              <w:left w:w="70" w:type="dxa"/>
              <w:right w:w="70" w:type="dxa"/>
            </w:tcMar>
            <w:vAlign w:val="center"/>
          </w:tcPr>
          <w:p w14:paraId="79727965"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372" w:type="pct"/>
            <w:shd w:val="clear" w:color="auto" w:fill="F2CEEF"/>
            <w:tcMar>
              <w:left w:w="70" w:type="dxa"/>
              <w:right w:w="70" w:type="dxa"/>
            </w:tcMar>
            <w:vAlign w:val="center"/>
          </w:tcPr>
          <w:p w14:paraId="37A8046A"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r>
      <w:tr w:rsidR="00F90461" w14:paraId="71059DCB" w14:textId="77777777" w:rsidTr="00FE5C31">
        <w:trPr>
          <w:trHeight w:val="465"/>
          <w:jc w:val="center"/>
        </w:trPr>
        <w:tc>
          <w:tcPr>
            <w:tcW w:w="2096" w:type="pct"/>
            <w:shd w:val="clear" w:color="auto" w:fill="E2EFD9" w:themeFill="accent6" w:themeFillTint="33"/>
            <w:tcMar>
              <w:left w:w="70" w:type="dxa"/>
              <w:right w:w="70" w:type="dxa"/>
            </w:tcMar>
            <w:vAlign w:val="center"/>
          </w:tcPr>
          <w:p w14:paraId="6FCDB4F8"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 xml:space="preserve">Funding </w:t>
            </w:r>
            <w:r w:rsidRPr="00A81971">
              <w:rPr>
                <w:rFonts w:eastAsia="Times New Roman"/>
                <w:b/>
                <w:bCs/>
                <w:color w:val="000000" w:themeColor="text1"/>
              </w:rPr>
              <w:t>Committed *</w:t>
            </w:r>
            <w:r w:rsidRPr="00A81971">
              <w:rPr>
                <w:rFonts w:eastAsia="Times New Roman"/>
                <w:color w:val="000000" w:themeColor="text1"/>
              </w:rPr>
              <w:t xml:space="preserve"> for Approved KIPs</w:t>
            </w:r>
          </w:p>
        </w:tc>
        <w:tc>
          <w:tcPr>
            <w:tcW w:w="676" w:type="pct"/>
            <w:tcMar>
              <w:left w:w="70" w:type="dxa"/>
              <w:right w:w="70" w:type="dxa"/>
            </w:tcMar>
            <w:vAlign w:val="center"/>
          </w:tcPr>
          <w:p w14:paraId="41A4903F"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80.96</w:t>
            </w:r>
          </w:p>
        </w:tc>
        <w:tc>
          <w:tcPr>
            <w:tcW w:w="371" w:type="pct"/>
            <w:shd w:val="clear" w:color="auto" w:fill="DAE9F8"/>
            <w:tcMar>
              <w:left w:w="70" w:type="dxa"/>
              <w:right w:w="70" w:type="dxa"/>
            </w:tcMar>
            <w:vAlign w:val="center"/>
          </w:tcPr>
          <w:p w14:paraId="613E87FE"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371" w:type="pct"/>
            <w:shd w:val="clear" w:color="auto" w:fill="DAE9F8"/>
            <w:tcMar>
              <w:left w:w="70" w:type="dxa"/>
              <w:right w:w="70" w:type="dxa"/>
            </w:tcMar>
            <w:vAlign w:val="center"/>
          </w:tcPr>
          <w:p w14:paraId="36F40393"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15.3</w:t>
            </w:r>
          </w:p>
        </w:tc>
        <w:tc>
          <w:tcPr>
            <w:tcW w:w="371" w:type="pct"/>
            <w:shd w:val="clear" w:color="auto" w:fill="DAE9F8"/>
            <w:tcMar>
              <w:left w:w="70" w:type="dxa"/>
              <w:right w:w="70" w:type="dxa"/>
            </w:tcMar>
            <w:vAlign w:val="center"/>
          </w:tcPr>
          <w:p w14:paraId="4A39F23F"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0.37</w:t>
            </w:r>
          </w:p>
        </w:tc>
        <w:tc>
          <w:tcPr>
            <w:tcW w:w="371" w:type="pct"/>
            <w:gridSpan w:val="2"/>
            <w:shd w:val="clear" w:color="auto" w:fill="F2CEEF"/>
            <w:tcMar>
              <w:left w:w="70" w:type="dxa"/>
              <w:right w:w="70" w:type="dxa"/>
            </w:tcMar>
            <w:vAlign w:val="center"/>
          </w:tcPr>
          <w:p w14:paraId="2C0F3E8B"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371" w:type="pct"/>
            <w:shd w:val="clear" w:color="auto" w:fill="F2CEEF"/>
            <w:tcMar>
              <w:left w:w="70" w:type="dxa"/>
              <w:right w:w="70" w:type="dxa"/>
            </w:tcMar>
            <w:vAlign w:val="center"/>
          </w:tcPr>
          <w:p w14:paraId="5FDF244D"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15.3</w:t>
            </w:r>
          </w:p>
        </w:tc>
        <w:tc>
          <w:tcPr>
            <w:tcW w:w="372" w:type="pct"/>
            <w:shd w:val="clear" w:color="auto" w:fill="F2CEEF"/>
            <w:tcMar>
              <w:left w:w="70" w:type="dxa"/>
              <w:right w:w="70" w:type="dxa"/>
            </w:tcMar>
            <w:vAlign w:val="center"/>
          </w:tcPr>
          <w:p w14:paraId="0E80749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0.37</w:t>
            </w:r>
          </w:p>
        </w:tc>
      </w:tr>
      <w:tr w:rsidR="00F90461" w14:paraId="5F2A2029" w14:textId="77777777" w:rsidTr="00FE5C31">
        <w:trPr>
          <w:trHeight w:val="465"/>
          <w:jc w:val="center"/>
        </w:trPr>
        <w:tc>
          <w:tcPr>
            <w:tcW w:w="2096" w:type="pct"/>
            <w:shd w:val="clear" w:color="auto" w:fill="E2EFD9" w:themeFill="accent6" w:themeFillTint="33"/>
            <w:tcMar>
              <w:left w:w="70" w:type="dxa"/>
              <w:right w:w="70" w:type="dxa"/>
            </w:tcMar>
            <w:vAlign w:val="center"/>
          </w:tcPr>
          <w:p w14:paraId="7F8365E2"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Estimated New Funding to Address Stage II for parties with KIPs Stage I approved</w:t>
            </w:r>
          </w:p>
        </w:tc>
        <w:tc>
          <w:tcPr>
            <w:tcW w:w="676" w:type="pct"/>
            <w:tcMar>
              <w:left w:w="70" w:type="dxa"/>
              <w:right w:w="70" w:type="dxa"/>
            </w:tcMar>
            <w:vAlign w:val="center"/>
          </w:tcPr>
          <w:p w14:paraId="6EE89A1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249.17</w:t>
            </w:r>
          </w:p>
        </w:tc>
        <w:tc>
          <w:tcPr>
            <w:tcW w:w="371" w:type="pct"/>
            <w:shd w:val="clear" w:color="auto" w:fill="DAE9F8"/>
            <w:tcMar>
              <w:left w:w="70" w:type="dxa"/>
              <w:right w:w="70" w:type="dxa"/>
            </w:tcMar>
            <w:vAlign w:val="center"/>
          </w:tcPr>
          <w:p w14:paraId="6C6C6275"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149.5</w:t>
            </w:r>
          </w:p>
        </w:tc>
        <w:tc>
          <w:tcPr>
            <w:tcW w:w="371" w:type="pct"/>
            <w:shd w:val="clear" w:color="auto" w:fill="DAE9F8"/>
            <w:tcMar>
              <w:left w:w="70" w:type="dxa"/>
              <w:right w:w="70" w:type="dxa"/>
            </w:tcMar>
            <w:vAlign w:val="center"/>
          </w:tcPr>
          <w:p w14:paraId="150A1752"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99.67</w:t>
            </w:r>
          </w:p>
        </w:tc>
        <w:tc>
          <w:tcPr>
            <w:tcW w:w="371" w:type="pct"/>
            <w:shd w:val="clear" w:color="auto" w:fill="DAE9F8"/>
            <w:tcMar>
              <w:left w:w="70" w:type="dxa"/>
              <w:right w:w="70" w:type="dxa"/>
            </w:tcMar>
            <w:vAlign w:val="center"/>
          </w:tcPr>
          <w:p w14:paraId="3F2D5F29"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371" w:type="pct"/>
            <w:gridSpan w:val="2"/>
            <w:shd w:val="clear" w:color="auto" w:fill="F2CEEF"/>
            <w:tcMar>
              <w:left w:w="70" w:type="dxa"/>
              <w:right w:w="70" w:type="dxa"/>
            </w:tcMar>
            <w:vAlign w:val="center"/>
          </w:tcPr>
          <w:p w14:paraId="4AA86E7A"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371" w:type="pct"/>
            <w:shd w:val="clear" w:color="auto" w:fill="F2CEEF"/>
            <w:tcMar>
              <w:left w:w="70" w:type="dxa"/>
              <w:right w:w="70" w:type="dxa"/>
            </w:tcMar>
            <w:vAlign w:val="center"/>
          </w:tcPr>
          <w:p w14:paraId="3AA31C35"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149.5</w:t>
            </w:r>
          </w:p>
        </w:tc>
        <w:tc>
          <w:tcPr>
            <w:tcW w:w="372" w:type="pct"/>
            <w:shd w:val="clear" w:color="auto" w:fill="F2CEEF"/>
            <w:tcMar>
              <w:left w:w="70" w:type="dxa"/>
              <w:right w:w="70" w:type="dxa"/>
            </w:tcMar>
            <w:vAlign w:val="center"/>
          </w:tcPr>
          <w:p w14:paraId="1E7DE796"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99.67</w:t>
            </w:r>
          </w:p>
        </w:tc>
      </w:tr>
      <w:tr w:rsidR="00F90461" w14:paraId="5F0F7678" w14:textId="77777777" w:rsidTr="00FE5C31">
        <w:trPr>
          <w:trHeight w:val="465"/>
          <w:jc w:val="center"/>
        </w:trPr>
        <w:tc>
          <w:tcPr>
            <w:tcW w:w="2096" w:type="pct"/>
            <w:shd w:val="clear" w:color="auto" w:fill="E2EFD9" w:themeFill="accent6" w:themeFillTint="33"/>
            <w:tcMar>
              <w:left w:w="70" w:type="dxa"/>
              <w:right w:w="70" w:type="dxa"/>
            </w:tcMar>
            <w:vAlign w:val="center"/>
          </w:tcPr>
          <w:p w14:paraId="6E20A759"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Estimated New Funding to Address Stages I and II for parties without approved KIPs</w:t>
            </w:r>
          </w:p>
        </w:tc>
        <w:tc>
          <w:tcPr>
            <w:tcW w:w="676" w:type="pct"/>
            <w:tcMar>
              <w:left w:w="70" w:type="dxa"/>
              <w:right w:w="70" w:type="dxa"/>
            </w:tcMar>
            <w:vAlign w:val="center"/>
          </w:tcPr>
          <w:p w14:paraId="75C0F51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1,788</w:t>
            </w:r>
          </w:p>
        </w:tc>
        <w:tc>
          <w:tcPr>
            <w:tcW w:w="371" w:type="pct"/>
            <w:shd w:val="clear" w:color="auto" w:fill="DAE9F8"/>
            <w:tcMar>
              <w:left w:w="70" w:type="dxa"/>
              <w:right w:w="70" w:type="dxa"/>
            </w:tcMar>
            <w:vAlign w:val="center"/>
          </w:tcPr>
          <w:p w14:paraId="06878BFD"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633.3</w:t>
            </w:r>
          </w:p>
        </w:tc>
        <w:tc>
          <w:tcPr>
            <w:tcW w:w="371" w:type="pct"/>
            <w:shd w:val="clear" w:color="auto" w:fill="DAE9F8"/>
            <w:tcMar>
              <w:left w:w="70" w:type="dxa"/>
              <w:right w:w="70" w:type="dxa"/>
            </w:tcMar>
            <w:vAlign w:val="center"/>
          </w:tcPr>
          <w:p w14:paraId="19121C8A"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715.19</w:t>
            </w:r>
          </w:p>
        </w:tc>
        <w:tc>
          <w:tcPr>
            <w:tcW w:w="371" w:type="pct"/>
            <w:shd w:val="clear" w:color="auto" w:fill="DAE9F8"/>
            <w:tcMar>
              <w:left w:w="70" w:type="dxa"/>
              <w:right w:w="70" w:type="dxa"/>
            </w:tcMar>
            <w:vAlign w:val="center"/>
          </w:tcPr>
          <w:p w14:paraId="66DD9360"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439.48</w:t>
            </w:r>
          </w:p>
        </w:tc>
        <w:tc>
          <w:tcPr>
            <w:tcW w:w="371" w:type="pct"/>
            <w:gridSpan w:val="2"/>
            <w:shd w:val="clear" w:color="auto" w:fill="F2CEEF"/>
            <w:tcMar>
              <w:left w:w="70" w:type="dxa"/>
              <w:right w:w="70" w:type="dxa"/>
            </w:tcMar>
            <w:vAlign w:val="center"/>
          </w:tcPr>
          <w:p w14:paraId="5D6BC162"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494.42</w:t>
            </w:r>
          </w:p>
        </w:tc>
        <w:tc>
          <w:tcPr>
            <w:tcW w:w="371" w:type="pct"/>
            <w:shd w:val="clear" w:color="auto" w:fill="F2CEEF"/>
            <w:tcMar>
              <w:left w:w="70" w:type="dxa"/>
              <w:right w:w="70" w:type="dxa"/>
            </w:tcMar>
            <w:vAlign w:val="center"/>
          </w:tcPr>
          <w:p w14:paraId="09E6C1F1"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840.09</w:t>
            </w:r>
          </w:p>
        </w:tc>
        <w:tc>
          <w:tcPr>
            <w:tcW w:w="372" w:type="pct"/>
            <w:shd w:val="clear" w:color="auto" w:fill="F2CEEF"/>
            <w:tcMar>
              <w:left w:w="70" w:type="dxa"/>
              <w:right w:w="70" w:type="dxa"/>
            </w:tcMar>
            <w:vAlign w:val="center"/>
          </w:tcPr>
          <w:p w14:paraId="74AAFF42"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453.48</w:t>
            </w:r>
          </w:p>
        </w:tc>
      </w:tr>
      <w:tr w:rsidR="00F90461" w14:paraId="389404DD" w14:textId="77777777" w:rsidTr="00FE5C31">
        <w:trPr>
          <w:trHeight w:val="465"/>
          <w:jc w:val="center"/>
        </w:trPr>
        <w:tc>
          <w:tcPr>
            <w:tcW w:w="2096" w:type="pct"/>
            <w:shd w:val="clear" w:color="auto" w:fill="E2EFD9" w:themeFill="accent6" w:themeFillTint="33"/>
            <w:tcMar>
              <w:left w:w="70" w:type="dxa"/>
              <w:right w:w="70" w:type="dxa"/>
            </w:tcMar>
            <w:vAlign w:val="center"/>
          </w:tcPr>
          <w:p w14:paraId="6F40BE38"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Estimated New Funding to Address KIPS Stages I and II for countries pending ratification / RTF assumed all will ratify by 2029</w:t>
            </w:r>
          </w:p>
        </w:tc>
        <w:tc>
          <w:tcPr>
            <w:tcW w:w="676" w:type="pct"/>
            <w:tcMar>
              <w:left w:w="70" w:type="dxa"/>
              <w:right w:w="70" w:type="dxa"/>
            </w:tcMar>
            <w:vAlign w:val="center"/>
          </w:tcPr>
          <w:p w14:paraId="21CE6860"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 xml:space="preserve">36.91 </w:t>
            </w:r>
          </w:p>
        </w:tc>
        <w:tc>
          <w:tcPr>
            <w:tcW w:w="371" w:type="pct"/>
            <w:shd w:val="clear" w:color="auto" w:fill="DAE9F8"/>
            <w:tcMar>
              <w:left w:w="70" w:type="dxa"/>
              <w:right w:w="70" w:type="dxa"/>
            </w:tcMar>
            <w:vAlign w:val="center"/>
          </w:tcPr>
          <w:p w14:paraId="0686F26F"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16.44</w:t>
            </w:r>
          </w:p>
        </w:tc>
        <w:tc>
          <w:tcPr>
            <w:tcW w:w="371" w:type="pct"/>
            <w:shd w:val="clear" w:color="auto" w:fill="DAE9F8"/>
            <w:tcMar>
              <w:left w:w="70" w:type="dxa"/>
              <w:right w:w="70" w:type="dxa"/>
            </w:tcMar>
            <w:vAlign w:val="center"/>
          </w:tcPr>
          <w:p w14:paraId="020F51B6"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14.79</w:t>
            </w:r>
          </w:p>
        </w:tc>
        <w:tc>
          <w:tcPr>
            <w:tcW w:w="371" w:type="pct"/>
            <w:shd w:val="clear" w:color="auto" w:fill="DAE9F8"/>
            <w:tcMar>
              <w:left w:w="70" w:type="dxa"/>
              <w:right w:w="70" w:type="dxa"/>
            </w:tcMar>
            <w:vAlign w:val="center"/>
          </w:tcPr>
          <w:p w14:paraId="20BE6E3D"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5.74</w:t>
            </w:r>
          </w:p>
        </w:tc>
        <w:tc>
          <w:tcPr>
            <w:tcW w:w="371" w:type="pct"/>
            <w:gridSpan w:val="2"/>
            <w:shd w:val="clear" w:color="auto" w:fill="F2CEEF"/>
            <w:tcMar>
              <w:left w:w="70" w:type="dxa"/>
              <w:right w:w="70" w:type="dxa"/>
            </w:tcMar>
            <w:vAlign w:val="center"/>
          </w:tcPr>
          <w:p w14:paraId="4497D9B4"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6.46</w:t>
            </w:r>
          </w:p>
        </w:tc>
        <w:tc>
          <w:tcPr>
            <w:tcW w:w="371" w:type="pct"/>
            <w:shd w:val="clear" w:color="auto" w:fill="F2CEEF"/>
            <w:tcMar>
              <w:left w:w="70" w:type="dxa"/>
              <w:right w:w="70" w:type="dxa"/>
            </w:tcMar>
            <w:vAlign w:val="center"/>
          </w:tcPr>
          <w:p w14:paraId="10879A12"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23.22</w:t>
            </w:r>
          </w:p>
        </w:tc>
        <w:tc>
          <w:tcPr>
            <w:tcW w:w="372" w:type="pct"/>
            <w:shd w:val="clear" w:color="auto" w:fill="F2CEEF"/>
            <w:tcMar>
              <w:left w:w="70" w:type="dxa"/>
              <w:right w:w="70" w:type="dxa"/>
            </w:tcMar>
            <w:vAlign w:val="center"/>
          </w:tcPr>
          <w:p w14:paraId="3D2E698C"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7</w:t>
            </w:r>
            <w:r w:rsidR="001E2B39" w:rsidRPr="00A81971">
              <w:rPr>
                <w:rFonts w:eastAsia="Times New Roman"/>
                <w:color w:val="000000" w:themeColor="text1"/>
              </w:rPr>
              <w:t>.</w:t>
            </w:r>
            <w:r w:rsidRPr="00A81971">
              <w:rPr>
                <w:rFonts w:eastAsia="Times New Roman"/>
                <w:color w:val="000000" w:themeColor="text1"/>
              </w:rPr>
              <w:t xml:space="preserve">29 </w:t>
            </w:r>
          </w:p>
        </w:tc>
      </w:tr>
      <w:tr w:rsidR="00F90461" w14:paraId="2DE6CED2" w14:textId="77777777" w:rsidTr="00FE5C31">
        <w:trPr>
          <w:trHeight w:val="465"/>
          <w:jc w:val="center"/>
        </w:trPr>
        <w:tc>
          <w:tcPr>
            <w:tcW w:w="2096" w:type="pct"/>
            <w:shd w:val="clear" w:color="auto" w:fill="E2EFD9" w:themeFill="accent6" w:themeFillTint="33"/>
            <w:tcMar>
              <w:left w:w="70" w:type="dxa"/>
              <w:right w:w="70" w:type="dxa"/>
            </w:tcMar>
            <w:vAlign w:val="center"/>
          </w:tcPr>
          <w:p w14:paraId="218B666F" w14:textId="77777777" w:rsidR="6EDB0298" w:rsidRPr="00A81971" w:rsidRDefault="0032495C" w:rsidP="008869E3">
            <w:pPr>
              <w:tabs>
                <w:tab w:val="left" w:pos="720"/>
              </w:tabs>
              <w:spacing w:after="0"/>
              <w:rPr>
                <w:rFonts w:eastAsia="Times New Roman"/>
                <w:b/>
                <w:bCs/>
                <w:color w:val="000000" w:themeColor="text1"/>
              </w:rPr>
            </w:pPr>
            <w:r w:rsidRPr="00A81971">
              <w:rPr>
                <w:rFonts w:eastAsia="Times New Roman"/>
                <w:b/>
                <w:bCs/>
                <w:color w:val="000000" w:themeColor="text1"/>
              </w:rPr>
              <w:t xml:space="preserve"> Sub-Total 1</w:t>
            </w:r>
          </w:p>
        </w:tc>
        <w:tc>
          <w:tcPr>
            <w:tcW w:w="676" w:type="pct"/>
            <w:tcMar>
              <w:left w:w="70" w:type="dxa"/>
              <w:right w:w="70" w:type="dxa"/>
            </w:tcMar>
            <w:vAlign w:val="center"/>
          </w:tcPr>
          <w:p w14:paraId="7BE5631F"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2,155.08</w:t>
            </w:r>
          </w:p>
        </w:tc>
        <w:tc>
          <w:tcPr>
            <w:tcW w:w="371" w:type="pct"/>
            <w:shd w:val="clear" w:color="auto" w:fill="DAE9F8"/>
            <w:tcMar>
              <w:left w:w="70" w:type="dxa"/>
              <w:right w:w="70" w:type="dxa"/>
            </w:tcMar>
            <w:vAlign w:val="center"/>
          </w:tcPr>
          <w:p w14:paraId="2A18A24F"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864.55</w:t>
            </w:r>
          </w:p>
        </w:tc>
        <w:tc>
          <w:tcPr>
            <w:tcW w:w="371" w:type="pct"/>
            <w:shd w:val="clear" w:color="auto" w:fill="DAE9F8"/>
            <w:tcMar>
              <w:left w:w="70" w:type="dxa"/>
              <w:right w:w="70" w:type="dxa"/>
            </w:tcMar>
            <w:vAlign w:val="center"/>
          </w:tcPr>
          <w:p w14:paraId="0E1788E5"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844.94</w:t>
            </w:r>
          </w:p>
        </w:tc>
        <w:tc>
          <w:tcPr>
            <w:tcW w:w="371" w:type="pct"/>
            <w:shd w:val="clear" w:color="auto" w:fill="DAE9F8"/>
            <w:tcMar>
              <w:left w:w="70" w:type="dxa"/>
              <w:right w:w="70" w:type="dxa"/>
            </w:tcMar>
            <w:vAlign w:val="center"/>
          </w:tcPr>
          <w:p w14:paraId="37EB64A7"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445.59</w:t>
            </w:r>
          </w:p>
        </w:tc>
        <w:tc>
          <w:tcPr>
            <w:tcW w:w="371" w:type="pct"/>
            <w:gridSpan w:val="2"/>
            <w:shd w:val="clear" w:color="auto" w:fill="F2CEEF"/>
            <w:tcMar>
              <w:left w:w="70" w:type="dxa"/>
              <w:right w:w="70" w:type="dxa"/>
            </w:tcMar>
            <w:vAlign w:val="center"/>
          </w:tcPr>
          <w:p w14:paraId="5C811BA1"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566.18</w:t>
            </w:r>
          </w:p>
        </w:tc>
        <w:tc>
          <w:tcPr>
            <w:tcW w:w="371" w:type="pct"/>
            <w:shd w:val="clear" w:color="auto" w:fill="F2CEEF"/>
            <w:tcMar>
              <w:left w:w="70" w:type="dxa"/>
              <w:right w:w="70" w:type="dxa"/>
            </w:tcMar>
            <w:vAlign w:val="center"/>
          </w:tcPr>
          <w:p w14:paraId="600DDBD5"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1</w:t>
            </w:r>
            <w:r w:rsidR="001E2B39" w:rsidRPr="00A81971">
              <w:rPr>
                <w:rFonts w:eastAsia="Times New Roman"/>
                <w:b/>
                <w:bCs/>
                <w:color w:val="000000" w:themeColor="text1"/>
              </w:rPr>
              <w:t>,</w:t>
            </w:r>
            <w:r w:rsidRPr="00A81971">
              <w:rPr>
                <w:rFonts w:eastAsia="Times New Roman"/>
                <w:b/>
                <w:bCs/>
                <w:color w:val="000000" w:themeColor="text1"/>
              </w:rPr>
              <w:t>028.1</w:t>
            </w:r>
          </w:p>
        </w:tc>
        <w:tc>
          <w:tcPr>
            <w:tcW w:w="372" w:type="pct"/>
            <w:shd w:val="clear" w:color="auto" w:fill="F2CEEF"/>
            <w:tcMar>
              <w:left w:w="70" w:type="dxa"/>
              <w:right w:w="70" w:type="dxa"/>
            </w:tcMar>
            <w:vAlign w:val="center"/>
          </w:tcPr>
          <w:p w14:paraId="0EB76D3F"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560.8</w:t>
            </w:r>
          </w:p>
        </w:tc>
      </w:tr>
      <w:tr w:rsidR="00F90461" w14:paraId="0652754F" w14:textId="77777777" w:rsidTr="00FE5C31">
        <w:trPr>
          <w:trHeight w:val="465"/>
          <w:jc w:val="center"/>
        </w:trPr>
        <w:tc>
          <w:tcPr>
            <w:tcW w:w="2096" w:type="pct"/>
            <w:shd w:val="clear" w:color="auto" w:fill="E2EFD9" w:themeFill="accent6" w:themeFillTint="33"/>
            <w:tcMar>
              <w:left w:w="70" w:type="dxa"/>
              <w:right w:w="70" w:type="dxa"/>
            </w:tcMar>
            <w:vAlign w:val="center"/>
          </w:tcPr>
          <w:p w14:paraId="0A992C54"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 xml:space="preserve"> </w:t>
            </w:r>
          </w:p>
        </w:tc>
        <w:tc>
          <w:tcPr>
            <w:tcW w:w="676" w:type="pct"/>
            <w:tcMar>
              <w:left w:w="70" w:type="dxa"/>
              <w:right w:w="70" w:type="dxa"/>
            </w:tcMar>
            <w:vAlign w:val="center"/>
          </w:tcPr>
          <w:p w14:paraId="3146446B" w14:textId="77777777" w:rsidR="6EDB0298" w:rsidRPr="00A81971" w:rsidRDefault="6EDB0298" w:rsidP="00A90CB5">
            <w:pPr>
              <w:tabs>
                <w:tab w:val="left" w:pos="720"/>
              </w:tabs>
              <w:spacing w:after="0"/>
              <w:jc w:val="right"/>
              <w:rPr>
                <w:rFonts w:eastAsia="Times New Roman"/>
                <w:color w:val="000000" w:themeColor="text1"/>
              </w:rPr>
            </w:pPr>
          </w:p>
        </w:tc>
        <w:tc>
          <w:tcPr>
            <w:tcW w:w="1114" w:type="pct"/>
            <w:gridSpan w:val="3"/>
            <w:shd w:val="clear" w:color="auto" w:fill="DAE9F8"/>
            <w:tcMar>
              <w:left w:w="70" w:type="dxa"/>
              <w:right w:w="70" w:type="dxa"/>
            </w:tcMar>
            <w:vAlign w:val="center"/>
          </w:tcPr>
          <w:p w14:paraId="6FBB95A9" w14:textId="77777777" w:rsidR="6EDB0298"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w:t>
            </w:r>
            <w:r w:rsidR="00D91C18" w:rsidRPr="00A81971">
              <w:rPr>
                <w:rFonts w:eastAsia="Times New Roman"/>
                <w:color w:val="000000" w:themeColor="text1"/>
              </w:rPr>
              <w:t>,</w:t>
            </w:r>
            <w:r w:rsidRPr="00A81971">
              <w:rPr>
                <w:rFonts w:eastAsia="Times New Roman"/>
                <w:color w:val="000000" w:themeColor="text1"/>
              </w:rPr>
              <w:t>155.08</w:t>
            </w:r>
          </w:p>
        </w:tc>
        <w:tc>
          <w:tcPr>
            <w:tcW w:w="1114" w:type="pct"/>
            <w:gridSpan w:val="4"/>
            <w:shd w:val="clear" w:color="auto" w:fill="F2CEEF"/>
            <w:tcMar>
              <w:left w:w="70" w:type="dxa"/>
              <w:right w:w="70" w:type="dxa"/>
            </w:tcMar>
            <w:vAlign w:val="center"/>
          </w:tcPr>
          <w:p w14:paraId="0A69579A" w14:textId="77777777" w:rsidR="6EDB0298"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w:t>
            </w:r>
            <w:r w:rsidR="00D91C18" w:rsidRPr="00A81971">
              <w:rPr>
                <w:rFonts w:eastAsia="Times New Roman"/>
                <w:color w:val="000000" w:themeColor="text1"/>
              </w:rPr>
              <w:t>,</w:t>
            </w:r>
            <w:r w:rsidRPr="00A81971">
              <w:rPr>
                <w:rFonts w:eastAsia="Times New Roman"/>
                <w:color w:val="000000" w:themeColor="text1"/>
              </w:rPr>
              <w:t>155.08</w:t>
            </w:r>
          </w:p>
        </w:tc>
      </w:tr>
      <w:tr w:rsidR="00F90461" w14:paraId="12C9CB37" w14:textId="77777777" w:rsidTr="00FE5C31">
        <w:trPr>
          <w:trHeight w:val="465"/>
          <w:jc w:val="center"/>
        </w:trPr>
        <w:tc>
          <w:tcPr>
            <w:tcW w:w="2096" w:type="pct"/>
            <w:shd w:val="clear" w:color="auto" w:fill="E2EFD9" w:themeFill="accent6" w:themeFillTint="33"/>
            <w:tcMar>
              <w:left w:w="70" w:type="dxa"/>
              <w:right w:w="70" w:type="dxa"/>
            </w:tcMar>
            <w:vAlign w:val="center"/>
          </w:tcPr>
          <w:p w14:paraId="246AFA51"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Funding for Project Preparation (PRP)</w:t>
            </w:r>
          </w:p>
        </w:tc>
        <w:tc>
          <w:tcPr>
            <w:tcW w:w="676" w:type="pct"/>
            <w:tcMar>
              <w:left w:w="70" w:type="dxa"/>
              <w:right w:w="70" w:type="dxa"/>
            </w:tcMar>
            <w:vAlign w:val="center"/>
          </w:tcPr>
          <w:p w14:paraId="3711CC1E"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371" w:type="pct"/>
            <w:shd w:val="clear" w:color="auto" w:fill="DAE9F8"/>
            <w:tcMar>
              <w:left w:w="70" w:type="dxa"/>
              <w:right w:w="70" w:type="dxa"/>
            </w:tcMar>
            <w:vAlign w:val="center"/>
          </w:tcPr>
          <w:p w14:paraId="40D07ACF"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371" w:type="pct"/>
            <w:shd w:val="clear" w:color="auto" w:fill="DAE9F8"/>
            <w:tcMar>
              <w:left w:w="70" w:type="dxa"/>
              <w:right w:w="70" w:type="dxa"/>
            </w:tcMar>
            <w:vAlign w:val="center"/>
          </w:tcPr>
          <w:p w14:paraId="19041DDC"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371" w:type="pct"/>
            <w:shd w:val="clear" w:color="auto" w:fill="DAE9F8"/>
            <w:tcMar>
              <w:left w:w="70" w:type="dxa"/>
              <w:right w:w="70" w:type="dxa"/>
            </w:tcMar>
            <w:vAlign w:val="center"/>
          </w:tcPr>
          <w:p w14:paraId="4DFA3F69"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371" w:type="pct"/>
            <w:gridSpan w:val="2"/>
            <w:shd w:val="clear" w:color="auto" w:fill="F2CEEF"/>
            <w:tcMar>
              <w:left w:w="70" w:type="dxa"/>
              <w:right w:w="70" w:type="dxa"/>
            </w:tcMar>
            <w:vAlign w:val="center"/>
          </w:tcPr>
          <w:p w14:paraId="145F8BB8"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371" w:type="pct"/>
            <w:shd w:val="clear" w:color="auto" w:fill="F2CEEF"/>
            <w:tcMar>
              <w:left w:w="70" w:type="dxa"/>
              <w:right w:w="70" w:type="dxa"/>
            </w:tcMar>
            <w:vAlign w:val="center"/>
          </w:tcPr>
          <w:p w14:paraId="307FCCE3"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372" w:type="pct"/>
            <w:shd w:val="clear" w:color="auto" w:fill="F2CEEF"/>
            <w:tcMar>
              <w:left w:w="70" w:type="dxa"/>
              <w:right w:w="70" w:type="dxa"/>
            </w:tcMar>
            <w:vAlign w:val="center"/>
          </w:tcPr>
          <w:p w14:paraId="31E3FF66"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r>
      <w:tr w:rsidR="00F90461" w14:paraId="03B0A340" w14:textId="77777777" w:rsidTr="00FE5C31">
        <w:trPr>
          <w:trHeight w:val="465"/>
          <w:jc w:val="center"/>
        </w:trPr>
        <w:tc>
          <w:tcPr>
            <w:tcW w:w="2096" w:type="pct"/>
            <w:shd w:val="clear" w:color="auto" w:fill="E2EFD9" w:themeFill="accent6" w:themeFillTint="33"/>
            <w:tcMar>
              <w:left w:w="70" w:type="dxa"/>
              <w:right w:w="70" w:type="dxa"/>
            </w:tcMar>
            <w:vAlign w:val="center"/>
          </w:tcPr>
          <w:p w14:paraId="6285CAAE" w14:textId="77777777" w:rsidR="00DD4E45" w:rsidRPr="00A81971" w:rsidRDefault="0032495C" w:rsidP="00DD4E45">
            <w:pPr>
              <w:tabs>
                <w:tab w:val="left" w:pos="720"/>
              </w:tabs>
              <w:spacing w:after="0"/>
              <w:rPr>
                <w:rFonts w:eastAsia="Times New Roman"/>
                <w:color w:val="000000" w:themeColor="text1"/>
              </w:rPr>
            </w:pPr>
            <w:r w:rsidRPr="00A81971">
              <w:rPr>
                <w:rFonts w:eastAsia="Times New Roman"/>
                <w:color w:val="000000" w:themeColor="text1"/>
              </w:rPr>
              <w:t>Funding for KIP Verification</w:t>
            </w:r>
            <w:r>
              <w:rPr>
                <w:rStyle w:val="FootnoteReference"/>
                <w:rFonts w:eastAsia="Times New Roman"/>
                <w:color w:val="000000"/>
                <w:lang w:eastAsia="pt-BR"/>
              </w:rPr>
              <w:footnoteReference w:id="15"/>
            </w:r>
          </w:p>
        </w:tc>
        <w:tc>
          <w:tcPr>
            <w:tcW w:w="676" w:type="pct"/>
            <w:tcMar>
              <w:left w:w="70" w:type="dxa"/>
              <w:right w:w="70" w:type="dxa"/>
            </w:tcMar>
            <w:vAlign w:val="center"/>
          </w:tcPr>
          <w:p w14:paraId="41BD5CE9"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lang w:eastAsia="pt-BR"/>
              </w:rPr>
              <w:t>24.20</w:t>
            </w:r>
          </w:p>
        </w:tc>
        <w:tc>
          <w:tcPr>
            <w:tcW w:w="371" w:type="pct"/>
            <w:shd w:val="clear" w:color="auto" w:fill="DAE9F8"/>
            <w:tcMar>
              <w:left w:w="70" w:type="dxa"/>
              <w:right w:w="70" w:type="dxa"/>
            </w:tcMar>
            <w:vAlign w:val="center"/>
          </w:tcPr>
          <w:p w14:paraId="18A23F79"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371" w:type="pct"/>
            <w:shd w:val="clear" w:color="auto" w:fill="DAE9F8"/>
            <w:tcMar>
              <w:left w:w="70" w:type="dxa"/>
              <w:right w:w="70" w:type="dxa"/>
            </w:tcMar>
            <w:vAlign w:val="center"/>
          </w:tcPr>
          <w:p w14:paraId="2369BCDB"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371" w:type="pct"/>
            <w:shd w:val="clear" w:color="auto" w:fill="DAE9F8"/>
            <w:tcMar>
              <w:left w:w="70" w:type="dxa"/>
              <w:right w:w="70" w:type="dxa"/>
            </w:tcMar>
            <w:vAlign w:val="center"/>
          </w:tcPr>
          <w:p w14:paraId="2A7EE45E"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371" w:type="pct"/>
            <w:gridSpan w:val="2"/>
            <w:shd w:val="clear" w:color="auto" w:fill="F2CEEF"/>
            <w:tcMar>
              <w:left w:w="70" w:type="dxa"/>
              <w:right w:w="70" w:type="dxa"/>
            </w:tcMar>
            <w:vAlign w:val="center"/>
          </w:tcPr>
          <w:p w14:paraId="610BB693"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371" w:type="pct"/>
            <w:shd w:val="clear" w:color="auto" w:fill="F2CEEF"/>
            <w:tcMar>
              <w:left w:w="70" w:type="dxa"/>
              <w:right w:w="70" w:type="dxa"/>
            </w:tcMar>
            <w:vAlign w:val="center"/>
          </w:tcPr>
          <w:p w14:paraId="196809BC"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372" w:type="pct"/>
            <w:shd w:val="clear" w:color="auto" w:fill="F2CEEF"/>
            <w:tcMar>
              <w:left w:w="70" w:type="dxa"/>
              <w:right w:w="70" w:type="dxa"/>
            </w:tcMar>
            <w:vAlign w:val="center"/>
          </w:tcPr>
          <w:p w14:paraId="474A2D17"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r>
      <w:tr w:rsidR="00F90461" w14:paraId="59C7E9BA" w14:textId="77777777" w:rsidTr="00FE5C31">
        <w:trPr>
          <w:trHeight w:val="465"/>
          <w:jc w:val="center"/>
        </w:trPr>
        <w:tc>
          <w:tcPr>
            <w:tcW w:w="2096" w:type="pct"/>
            <w:shd w:val="clear" w:color="auto" w:fill="E2EFD9" w:themeFill="accent6" w:themeFillTint="33"/>
            <w:tcMar>
              <w:left w:w="70" w:type="dxa"/>
              <w:right w:w="70" w:type="dxa"/>
            </w:tcMar>
            <w:vAlign w:val="center"/>
          </w:tcPr>
          <w:p w14:paraId="2A738433" w14:textId="77777777" w:rsidR="00DD4E45" w:rsidRPr="00A81971" w:rsidRDefault="0032495C" w:rsidP="00DD4E45">
            <w:pPr>
              <w:tabs>
                <w:tab w:val="left" w:pos="720"/>
              </w:tabs>
              <w:spacing w:after="0"/>
              <w:rPr>
                <w:rFonts w:eastAsia="Times New Roman"/>
                <w:color w:val="000000" w:themeColor="text1"/>
              </w:rPr>
            </w:pPr>
            <w:r w:rsidRPr="00A81971">
              <w:rPr>
                <w:rFonts w:eastAsia="Times New Roman"/>
                <w:color w:val="000000" w:themeColor="text1"/>
              </w:rPr>
              <w:t>Energy Efficiency (</w:t>
            </w:r>
            <w:r w:rsidRPr="00A81971">
              <w:rPr>
                <w:rFonts w:eastAsia="Times New Roman"/>
                <w:color w:val="000000" w:themeColor="text1"/>
                <w:u w:val="single"/>
              </w:rPr>
              <w:t>low-end option</w:t>
            </w:r>
            <w:r w:rsidRPr="00A81971">
              <w:rPr>
                <w:rFonts w:eastAsia="Times New Roman"/>
                <w:color w:val="000000" w:themeColor="text1"/>
              </w:rPr>
              <w:t>)</w:t>
            </w:r>
          </w:p>
        </w:tc>
        <w:tc>
          <w:tcPr>
            <w:tcW w:w="676" w:type="pct"/>
            <w:tcMar>
              <w:left w:w="70" w:type="dxa"/>
              <w:right w:w="70" w:type="dxa"/>
            </w:tcMar>
            <w:vAlign w:val="center"/>
          </w:tcPr>
          <w:p w14:paraId="2CA369FA" w14:textId="77777777" w:rsidR="00DD4E45" w:rsidRPr="00A81971" w:rsidRDefault="0032495C" w:rsidP="00A90CB5">
            <w:pPr>
              <w:tabs>
                <w:tab w:val="left" w:pos="720"/>
              </w:tabs>
              <w:spacing w:after="0" w:line="257" w:lineRule="auto"/>
              <w:jc w:val="right"/>
              <w:rPr>
                <w:rFonts w:eastAsia="Times New Roman"/>
                <w:color w:val="000000" w:themeColor="text1"/>
              </w:rPr>
            </w:pPr>
            <w:r w:rsidRPr="00A81971">
              <w:rPr>
                <w:rFonts w:eastAsia="Times New Roman"/>
                <w:color w:val="000000"/>
                <w:lang w:eastAsia="pt-BR"/>
              </w:rPr>
              <w:t>61.70</w:t>
            </w:r>
          </w:p>
        </w:tc>
        <w:tc>
          <w:tcPr>
            <w:tcW w:w="371" w:type="pct"/>
            <w:shd w:val="clear" w:color="auto" w:fill="DAE9F8"/>
            <w:tcMar>
              <w:left w:w="70" w:type="dxa"/>
              <w:right w:w="70" w:type="dxa"/>
            </w:tcMar>
            <w:vAlign w:val="center"/>
          </w:tcPr>
          <w:p w14:paraId="1425604F" w14:textId="77777777" w:rsidR="00DD4E45" w:rsidRPr="00A81971" w:rsidRDefault="0032495C" w:rsidP="00A90CB5">
            <w:pPr>
              <w:tabs>
                <w:tab w:val="left" w:pos="720"/>
              </w:tabs>
              <w:spacing w:after="0" w:line="257" w:lineRule="auto"/>
              <w:jc w:val="right"/>
              <w:rPr>
                <w:rFonts w:eastAsia="Times New Roman"/>
                <w:color w:val="000000" w:themeColor="text1"/>
              </w:rPr>
            </w:pPr>
            <w:r w:rsidRPr="00A81971">
              <w:rPr>
                <w:rFonts w:eastAsia="Aptos"/>
                <w:color w:val="000000"/>
              </w:rPr>
              <w:t>61.70</w:t>
            </w:r>
          </w:p>
        </w:tc>
        <w:tc>
          <w:tcPr>
            <w:tcW w:w="371" w:type="pct"/>
            <w:shd w:val="clear" w:color="auto" w:fill="DAE9F8"/>
            <w:tcMar>
              <w:left w:w="70" w:type="dxa"/>
              <w:right w:w="70" w:type="dxa"/>
            </w:tcMar>
            <w:vAlign w:val="center"/>
          </w:tcPr>
          <w:p w14:paraId="78EC6AEC"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371" w:type="pct"/>
            <w:shd w:val="clear" w:color="auto" w:fill="DAE9F8"/>
            <w:tcMar>
              <w:left w:w="70" w:type="dxa"/>
              <w:right w:w="70" w:type="dxa"/>
            </w:tcMar>
            <w:vAlign w:val="center"/>
          </w:tcPr>
          <w:p w14:paraId="20CED0BA"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371" w:type="pct"/>
            <w:gridSpan w:val="2"/>
            <w:shd w:val="clear" w:color="auto" w:fill="F2CEEF"/>
            <w:tcMar>
              <w:left w:w="70" w:type="dxa"/>
              <w:right w:w="70" w:type="dxa"/>
            </w:tcMar>
            <w:vAlign w:val="center"/>
          </w:tcPr>
          <w:p w14:paraId="392A461D" w14:textId="77777777" w:rsidR="00DD4E45" w:rsidRPr="00A81971" w:rsidRDefault="0032495C" w:rsidP="00A90CB5">
            <w:pPr>
              <w:tabs>
                <w:tab w:val="left" w:pos="720"/>
              </w:tabs>
              <w:spacing w:after="0" w:line="257" w:lineRule="auto"/>
              <w:jc w:val="right"/>
              <w:rPr>
                <w:rFonts w:eastAsia="Times New Roman"/>
                <w:color w:val="000000" w:themeColor="text1"/>
              </w:rPr>
            </w:pPr>
            <w:r w:rsidRPr="00A81971">
              <w:rPr>
                <w:rFonts w:eastAsia="Aptos"/>
                <w:color w:val="000000"/>
              </w:rPr>
              <w:t>61.70</w:t>
            </w:r>
          </w:p>
        </w:tc>
        <w:tc>
          <w:tcPr>
            <w:tcW w:w="371" w:type="pct"/>
            <w:shd w:val="clear" w:color="auto" w:fill="F2CEEF"/>
            <w:tcMar>
              <w:left w:w="70" w:type="dxa"/>
              <w:right w:w="70" w:type="dxa"/>
            </w:tcMar>
            <w:vAlign w:val="center"/>
          </w:tcPr>
          <w:p w14:paraId="25D09882"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372" w:type="pct"/>
            <w:shd w:val="clear" w:color="auto" w:fill="F2CEEF"/>
            <w:tcMar>
              <w:left w:w="70" w:type="dxa"/>
              <w:right w:w="70" w:type="dxa"/>
            </w:tcMar>
            <w:vAlign w:val="center"/>
          </w:tcPr>
          <w:p w14:paraId="4E778220"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5CC8C9D1" w14:textId="77777777" w:rsidTr="00FE5C31">
        <w:trPr>
          <w:trHeight w:val="465"/>
          <w:jc w:val="center"/>
        </w:trPr>
        <w:tc>
          <w:tcPr>
            <w:tcW w:w="2096" w:type="pct"/>
            <w:shd w:val="clear" w:color="auto" w:fill="E2EFD9" w:themeFill="accent6" w:themeFillTint="33"/>
            <w:tcMar>
              <w:left w:w="70" w:type="dxa"/>
              <w:right w:w="70" w:type="dxa"/>
            </w:tcMar>
            <w:vAlign w:val="center"/>
          </w:tcPr>
          <w:p w14:paraId="655E782F" w14:textId="77777777" w:rsidR="00DD4E45" w:rsidRPr="00A81971" w:rsidRDefault="0032495C" w:rsidP="00DD4E45">
            <w:pPr>
              <w:tabs>
                <w:tab w:val="left" w:pos="720"/>
              </w:tabs>
              <w:spacing w:after="0"/>
              <w:rPr>
                <w:rFonts w:eastAsia="Times New Roman"/>
                <w:color w:val="000000" w:themeColor="text1"/>
              </w:rPr>
            </w:pPr>
            <w:r w:rsidRPr="00A81971">
              <w:rPr>
                <w:rFonts w:eastAsia="Times New Roman"/>
                <w:color w:val="000000" w:themeColor="text1"/>
              </w:rPr>
              <w:t>Pilot Projects for Regional Atmospheric Monitoring</w:t>
            </w:r>
          </w:p>
        </w:tc>
        <w:tc>
          <w:tcPr>
            <w:tcW w:w="676" w:type="pct"/>
            <w:tcMar>
              <w:left w:w="70" w:type="dxa"/>
              <w:right w:w="70" w:type="dxa"/>
            </w:tcMar>
            <w:vAlign w:val="center"/>
          </w:tcPr>
          <w:p w14:paraId="74358753"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lang w:eastAsia="pt-BR"/>
              </w:rPr>
              <w:t>9.25</w:t>
            </w:r>
          </w:p>
        </w:tc>
        <w:tc>
          <w:tcPr>
            <w:tcW w:w="371" w:type="pct"/>
            <w:shd w:val="clear" w:color="auto" w:fill="DAE9F8"/>
            <w:tcMar>
              <w:left w:w="70" w:type="dxa"/>
              <w:right w:w="70" w:type="dxa"/>
            </w:tcMar>
            <w:vAlign w:val="center"/>
          </w:tcPr>
          <w:p w14:paraId="44957CB4"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371" w:type="pct"/>
            <w:shd w:val="clear" w:color="auto" w:fill="DAE9F8"/>
            <w:tcMar>
              <w:left w:w="70" w:type="dxa"/>
              <w:right w:w="70" w:type="dxa"/>
            </w:tcMar>
            <w:vAlign w:val="center"/>
          </w:tcPr>
          <w:p w14:paraId="35DDE17A"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371" w:type="pct"/>
            <w:shd w:val="clear" w:color="auto" w:fill="DAE9F8"/>
            <w:tcMar>
              <w:left w:w="70" w:type="dxa"/>
              <w:right w:w="70" w:type="dxa"/>
            </w:tcMar>
            <w:vAlign w:val="center"/>
          </w:tcPr>
          <w:p w14:paraId="1C1FE83A"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371" w:type="pct"/>
            <w:gridSpan w:val="2"/>
            <w:shd w:val="clear" w:color="auto" w:fill="F2CEEF"/>
            <w:tcMar>
              <w:left w:w="70" w:type="dxa"/>
              <w:right w:w="70" w:type="dxa"/>
            </w:tcMar>
            <w:vAlign w:val="center"/>
          </w:tcPr>
          <w:p w14:paraId="0F1CC9EC"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371" w:type="pct"/>
            <w:shd w:val="clear" w:color="auto" w:fill="F2CEEF"/>
            <w:tcMar>
              <w:left w:w="70" w:type="dxa"/>
              <w:right w:w="70" w:type="dxa"/>
            </w:tcMar>
            <w:vAlign w:val="center"/>
          </w:tcPr>
          <w:p w14:paraId="5E7B15D5"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372" w:type="pct"/>
            <w:shd w:val="clear" w:color="auto" w:fill="F2CEEF"/>
            <w:tcMar>
              <w:left w:w="70" w:type="dxa"/>
              <w:right w:w="70" w:type="dxa"/>
            </w:tcMar>
            <w:vAlign w:val="center"/>
          </w:tcPr>
          <w:p w14:paraId="330187F0" w14:textId="77777777" w:rsidR="00DD4E45"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3DC2B471" w14:textId="77777777" w:rsidTr="00FE5C31">
        <w:trPr>
          <w:trHeight w:val="465"/>
          <w:jc w:val="center"/>
        </w:trPr>
        <w:tc>
          <w:tcPr>
            <w:tcW w:w="2096" w:type="pct"/>
            <w:shd w:val="clear" w:color="auto" w:fill="E2EFD9" w:themeFill="accent6" w:themeFillTint="33"/>
            <w:tcMar>
              <w:left w:w="70" w:type="dxa"/>
              <w:right w:w="70" w:type="dxa"/>
            </w:tcMar>
            <w:vAlign w:val="center"/>
          </w:tcPr>
          <w:p w14:paraId="1DF349A5" w14:textId="77777777" w:rsidR="00DD4E45" w:rsidRPr="00A81971" w:rsidRDefault="0032495C" w:rsidP="00DD4E45">
            <w:pPr>
              <w:tabs>
                <w:tab w:val="left" w:pos="720"/>
              </w:tabs>
              <w:spacing w:after="0"/>
              <w:rPr>
                <w:rFonts w:eastAsia="Times New Roman"/>
                <w:b/>
                <w:bCs/>
                <w:color w:val="000000" w:themeColor="text1"/>
              </w:rPr>
            </w:pPr>
            <w:r w:rsidRPr="00A81971">
              <w:rPr>
                <w:rFonts w:eastAsia="Times New Roman"/>
                <w:b/>
                <w:bCs/>
                <w:color w:val="000000" w:themeColor="text1"/>
              </w:rPr>
              <w:t>Sub-Total 2</w:t>
            </w:r>
          </w:p>
        </w:tc>
        <w:tc>
          <w:tcPr>
            <w:tcW w:w="676" w:type="pct"/>
            <w:tcMar>
              <w:left w:w="70" w:type="dxa"/>
              <w:right w:w="70" w:type="dxa"/>
            </w:tcMar>
            <w:vAlign w:val="center"/>
          </w:tcPr>
          <w:p w14:paraId="195CF5F1"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116.88</w:t>
            </w:r>
          </w:p>
        </w:tc>
        <w:tc>
          <w:tcPr>
            <w:tcW w:w="371" w:type="pct"/>
            <w:shd w:val="clear" w:color="auto" w:fill="DAE9F8"/>
            <w:tcMar>
              <w:left w:w="70" w:type="dxa"/>
              <w:right w:w="70" w:type="dxa"/>
            </w:tcMar>
            <w:vAlign w:val="center"/>
          </w:tcPr>
          <w:p w14:paraId="1E53DE78"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93.43</w:t>
            </w:r>
          </w:p>
        </w:tc>
        <w:tc>
          <w:tcPr>
            <w:tcW w:w="371" w:type="pct"/>
            <w:shd w:val="clear" w:color="auto" w:fill="DAE9F8"/>
            <w:tcMar>
              <w:left w:w="70" w:type="dxa"/>
              <w:right w:w="70" w:type="dxa"/>
            </w:tcMar>
            <w:vAlign w:val="center"/>
          </w:tcPr>
          <w:p w14:paraId="128A52C0"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15.37</w:t>
            </w:r>
          </w:p>
        </w:tc>
        <w:tc>
          <w:tcPr>
            <w:tcW w:w="371" w:type="pct"/>
            <w:shd w:val="clear" w:color="auto" w:fill="DAE9F8"/>
            <w:tcMar>
              <w:left w:w="70" w:type="dxa"/>
              <w:right w:w="70" w:type="dxa"/>
            </w:tcMar>
            <w:vAlign w:val="center"/>
          </w:tcPr>
          <w:p w14:paraId="5F954938"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8.07</w:t>
            </w:r>
          </w:p>
        </w:tc>
        <w:tc>
          <w:tcPr>
            <w:tcW w:w="371" w:type="pct"/>
            <w:gridSpan w:val="2"/>
            <w:shd w:val="clear" w:color="auto" w:fill="F2CEEF"/>
            <w:tcMar>
              <w:left w:w="70" w:type="dxa"/>
              <w:right w:w="70" w:type="dxa"/>
            </w:tcMar>
            <w:vAlign w:val="center"/>
          </w:tcPr>
          <w:p w14:paraId="7D26CF65"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93.43</w:t>
            </w:r>
          </w:p>
        </w:tc>
        <w:tc>
          <w:tcPr>
            <w:tcW w:w="371" w:type="pct"/>
            <w:shd w:val="clear" w:color="auto" w:fill="F2CEEF"/>
            <w:tcMar>
              <w:left w:w="70" w:type="dxa"/>
              <w:right w:w="70" w:type="dxa"/>
            </w:tcMar>
            <w:vAlign w:val="center"/>
          </w:tcPr>
          <w:p w14:paraId="54EF3EAA"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15.37</w:t>
            </w:r>
          </w:p>
        </w:tc>
        <w:tc>
          <w:tcPr>
            <w:tcW w:w="372" w:type="pct"/>
            <w:shd w:val="clear" w:color="auto" w:fill="F2CEEF"/>
            <w:tcMar>
              <w:left w:w="70" w:type="dxa"/>
              <w:right w:w="70" w:type="dxa"/>
            </w:tcMar>
            <w:vAlign w:val="center"/>
          </w:tcPr>
          <w:p w14:paraId="7943EC07" w14:textId="77777777" w:rsidR="00DD4E45"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lang w:eastAsia="pt-BR"/>
              </w:rPr>
              <w:t>8.07</w:t>
            </w:r>
          </w:p>
        </w:tc>
      </w:tr>
      <w:tr w:rsidR="00F90461" w14:paraId="345CCD69" w14:textId="77777777" w:rsidTr="00FE5C31">
        <w:trPr>
          <w:trHeight w:val="465"/>
          <w:jc w:val="center"/>
        </w:trPr>
        <w:tc>
          <w:tcPr>
            <w:tcW w:w="2096" w:type="pct"/>
            <w:shd w:val="clear" w:color="auto" w:fill="FFFF00"/>
            <w:tcMar>
              <w:left w:w="70" w:type="dxa"/>
              <w:right w:w="70" w:type="dxa"/>
            </w:tcMar>
            <w:vAlign w:val="center"/>
          </w:tcPr>
          <w:p w14:paraId="71911C1A" w14:textId="77777777" w:rsidR="00D70D1F" w:rsidRPr="00A81971" w:rsidRDefault="0032495C" w:rsidP="00D70D1F">
            <w:pPr>
              <w:tabs>
                <w:tab w:val="left" w:pos="720"/>
              </w:tabs>
              <w:spacing w:after="0"/>
              <w:rPr>
                <w:rFonts w:eastAsia="Times New Roman"/>
                <w:b/>
                <w:bCs/>
                <w:color w:val="000000" w:themeColor="text1"/>
              </w:rPr>
            </w:pPr>
            <w:r w:rsidRPr="00A81971">
              <w:rPr>
                <w:rFonts w:eastAsia="Times New Roman"/>
                <w:b/>
                <w:bCs/>
                <w:color w:val="000000" w:themeColor="text1"/>
              </w:rPr>
              <w:t>Total for HFC Consumption Sector</w:t>
            </w:r>
          </w:p>
        </w:tc>
        <w:tc>
          <w:tcPr>
            <w:tcW w:w="676" w:type="pct"/>
            <w:shd w:val="clear" w:color="auto" w:fill="FFFF00"/>
            <w:tcMar>
              <w:left w:w="70" w:type="dxa"/>
              <w:right w:w="70" w:type="dxa"/>
            </w:tcMar>
            <w:vAlign w:val="center"/>
          </w:tcPr>
          <w:p w14:paraId="66F01578" w14:textId="77777777" w:rsidR="00D70D1F" w:rsidRPr="00A81971" w:rsidRDefault="0032495C" w:rsidP="00A90CB5">
            <w:pPr>
              <w:tabs>
                <w:tab w:val="left" w:pos="720"/>
              </w:tabs>
              <w:spacing w:after="0"/>
              <w:jc w:val="right"/>
              <w:rPr>
                <w:rFonts w:eastAsia="Times New Roman"/>
                <w:b/>
                <w:bCs/>
                <w:color w:val="000000" w:themeColor="text1"/>
              </w:rPr>
            </w:pPr>
            <w:r w:rsidRPr="00A81971">
              <w:rPr>
                <w:b/>
                <w:bCs/>
              </w:rPr>
              <w:t>2</w:t>
            </w:r>
            <w:r w:rsidR="003A07B2" w:rsidRPr="00A81971">
              <w:rPr>
                <w:b/>
                <w:bCs/>
              </w:rPr>
              <w:t>,</w:t>
            </w:r>
            <w:r w:rsidRPr="00A81971">
              <w:rPr>
                <w:b/>
                <w:bCs/>
              </w:rPr>
              <w:t>271.96</w:t>
            </w:r>
          </w:p>
        </w:tc>
        <w:tc>
          <w:tcPr>
            <w:tcW w:w="371" w:type="pct"/>
            <w:shd w:val="clear" w:color="auto" w:fill="FFFF00"/>
            <w:tcMar>
              <w:left w:w="70" w:type="dxa"/>
              <w:right w:w="70" w:type="dxa"/>
            </w:tcMar>
            <w:vAlign w:val="center"/>
          </w:tcPr>
          <w:p w14:paraId="23747888" w14:textId="77777777" w:rsidR="00D70D1F" w:rsidRPr="00A81971" w:rsidRDefault="0032495C" w:rsidP="00A90CB5">
            <w:pPr>
              <w:tabs>
                <w:tab w:val="left" w:pos="720"/>
              </w:tabs>
              <w:spacing w:after="0" w:line="257" w:lineRule="auto"/>
              <w:jc w:val="right"/>
              <w:rPr>
                <w:rFonts w:eastAsia="Times New Roman"/>
                <w:b/>
                <w:bCs/>
                <w:color w:val="000000" w:themeColor="text1"/>
              </w:rPr>
            </w:pPr>
            <w:r w:rsidRPr="00A81971">
              <w:rPr>
                <w:b/>
                <w:bCs/>
              </w:rPr>
              <w:t>957.98</w:t>
            </w:r>
          </w:p>
        </w:tc>
        <w:tc>
          <w:tcPr>
            <w:tcW w:w="371" w:type="pct"/>
            <w:shd w:val="clear" w:color="auto" w:fill="FFFF00"/>
            <w:tcMar>
              <w:left w:w="70" w:type="dxa"/>
              <w:right w:w="70" w:type="dxa"/>
            </w:tcMar>
            <w:vAlign w:val="center"/>
          </w:tcPr>
          <w:p w14:paraId="4640CE60" w14:textId="77777777" w:rsidR="00D70D1F" w:rsidRPr="00A81971" w:rsidRDefault="0032495C" w:rsidP="00A90CB5">
            <w:pPr>
              <w:tabs>
                <w:tab w:val="left" w:pos="720"/>
              </w:tabs>
              <w:spacing w:after="0"/>
              <w:jc w:val="right"/>
              <w:rPr>
                <w:rFonts w:eastAsia="Times New Roman"/>
                <w:b/>
                <w:bCs/>
                <w:color w:val="000000" w:themeColor="text1"/>
              </w:rPr>
            </w:pPr>
            <w:r w:rsidRPr="00A81971">
              <w:rPr>
                <w:b/>
                <w:bCs/>
              </w:rPr>
              <w:t>860.31</w:t>
            </w:r>
          </w:p>
        </w:tc>
        <w:tc>
          <w:tcPr>
            <w:tcW w:w="371" w:type="pct"/>
            <w:shd w:val="clear" w:color="auto" w:fill="FFFF00"/>
            <w:tcMar>
              <w:left w:w="70" w:type="dxa"/>
              <w:right w:w="70" w:type="dxa"/>
            </w:tcMar>
            <w:vAlign w:val="center"/>
          </w:tcPr>
          <w:p w14:paraId="3F3A11F7" w14:textId="77777777" w:rsidR="00D70D1F" w:rsidRPr="00A81971" w:rsidRDefault="0032495C" w:rsidP="00A90CB5">
            <w:pPr>
              <w:tabs>
                <w:tab w:val="left" w:pos="720"/>
              </w:tabs>
              <w:spacing w:after="0"/>
              <w:jc w:val="right"/>
              <w:rPr>
                <w:rFonts w:eastAsia="Times New Roman"/>
                <w:b/>
                <w:bCs/>
                <w:color w:val="000000" w:themeColor="text1"/>
              </w:rPr>
            </w:pPr>
            <w:r w:rsidRPr="00A81971">
              <w:rPr>
                <w:b/>
                <w:bCs/>
              </w:rPr>
              <w:t>453.66</w:t>
            </w:r>
          </w:p>
        </w:tc>
        <w:tc>
          <w:tcPr>
            <w:tcW w:w="371" w:type="pct"/>
            <w:gridSpan w:val="2"/>
            <w:shd w:val="clear" w:color="auto" w:fill="FFFF00"/>
            <w:tcMar>
              <w:left w:w="70" w:type="dxa"/>
              <w:right w:w="70" w:type="dxa"/>
            </w:tcMar>
            <w:vAlign w:val="center"/>
          </w:tcPr>
          <w:p w14:paraId="31D00972" w14:textId="77777777" w:rsidR="00D70D1F" w:rsidRPr="00A81971" w:rsidRDefault="0032495C" w:rsidP="00A90CB5">
            <w:pPr>
              <w:tabs>
                <w:tab w:val="left" w:pos="720"/>
              </w:tabs>
              <w:spacing w:after="0" w:line="257" w:lineRule="auto"/>
              <w:jc w:val="right"/>
              <w:rPr>
                <w:rFonts w:eastAsia="Times New Roman"/>
                <w:b/>
                <w:bCs/>
                <w:color w:val="000000" w:themeColor="text1"/>
              </w:rPr>
            </w:pPr>
            <w:r w:rsidRPr="00A81971">
              <w:rPr>
                <w:b/>
                <w:bCs/>
              </w:rPr>
              <w:t>659.61</w:t>
            </w:r>
          </w:p>
        </w:tc>
        <w:tc>
          <w:tcPr>
            <w:tcW w:w="371" w:type="pct"/>
            <w:shd w:val="clear" w:color="auto" w:fill="FFFF00"/>
            <w:tcMar>
              <w:left w:w="70" w:type="dxa"/>
              <w:right w:w="70" w:type="dxa"/>
            </w:tcMar>
            <w:vAlign w:val="center"/>
          </w:tcPr>
          <w:p w14:paraId="150736A7" w14:textId="77777777" w:rsidR="00D70D1F" w:rsidRPr="00A81971" w:rsidRDefault="0032495C" w:rsidP="00A90CB5">
            <w:pPr>
              <w:tabs>
                <w:tab w:val="left" w:pos="720"/>
              </w:tabs>
              <w:spacing w:after="0"/>
              <w:jc w:val="right"/>
              <w:rPr>
                <w:rFonts w:eastAsia="Times New Roman"/>
                <w:b/>
                <w:bCs/>
                <w:color w:val="000000" w:themeColor="text1"/>
              </w:rPr>
            </w:pPr>
            <w:r w:rsidRPr="00A81971">
              <w:rPr>
                <w:b/>
                <w:bCs/>
              </w:rPr>
              <w:t>1,043.47</w:t>
            </w:r>
          </w:p>
        </w:tc>
        <w:tc>
          <w:tcPr>
            <w:tcW w:w="372" w:type="pct"/>
            <w:shd w:val="clear" w:color="auto" w:fill="FFFF00"/>
            <w:tcMar>
              <w:left w:w="70" w:type="dxa"/>
              <w:right w:w="70" w:type="dxa"/>
            </w:tcMar>
            <w:vAlign w:val="center"/>
          </w:tcPr>
          <w:p w14:paraId="50C86F25" w14:textId="77777777" w:rsidR="00D70D1F" w:rsidRPr="00A81971" w:rsidRDefault="0032495C" w:rsidP="00A90CB5">
            <w:pPr>
              <w:tabs>
                <w:tab w:val="left" w:pos="720"/>
              </w:tabs>
              <w:spacing w:after="0"/>
              <w:jc w:val="right"/>
              <w:rPr>
                <w:rFonts w:eastAsia="Times New Roman"/>
                <w:b/>
                <w:bCs/>
                <w:color w:val="000000" w:themeColor="text1"/>
              </w:rPr>
            </w:pPr>
            <w:r w:rsidRPr="00A81971">
              <w:rPr>
                <w:b/>
                <w:bCs/>
              </w:rPr>
              <w:t>568.87</w:t>
            </w:r>
          </w:p>
        </w:tc>
      </w:tr>
    </w:tbl>
    <w:p w14:paraId="67410F5B" w14:textId="77777777" w:rsidR="00270A61" w:rsidRPr="00DA75D7" w:rsidRDefault="0032495C" w:rsidP="00223C38">
      <w:pPr>
        <w:tabs>
          <w:tab w:val="left" w:pos="0"/>
          <w:tab w:val="left" w:pos="1418"/>
        </w:tabs>
        <w:spacing w:after="240"/>
        <w:ind w:left="1418" w:hanging="1418"/>
      </w:pPr>
      <w:r w:rsidRPr="2E7655E2">
        <w:rPr>
          <w:rFonts w:eastAsia="Times New Roman"/>
          <w:b/>
          <w:bCs/>
          <w:color w:val="000000" w:themeColor="text1"/>
        </w:rPr>
        <w:lastRenderedPageBreak/>
        <w:t xml:space="preserve"> </w:t>
      </w:r>
      <w:r w:rsidRPr="2E7655E2">
        <w:rPr>
          <w:rFonts w:eastAsia="Yu Mincho"/>
          <w:b/>
          <w:bCs/>
          <w:color w:val="000000" w:themeColor="text1"/>
        </w:rPr>
        <w:t>Table 2.6</w:t>
      </w:r>
      <w:r w:rsidR="6EDB0298">
        <w:tab/>
      </w:r>
      <w:r w:rsidRPr="2E7655E2">
        <w:rPr>
          <w:rFonts w:eastAsia="Times New Roman"/>
          <w:b/>
          <w:bCs/>
          <w:color w:val="000000" w:themeColor="text1"/>
        </w:rPr>
        <w:t>Total updated funding estimate for HFC consumption sector for the HFC Scenario 2 to address Stage</w:t>
      </w:r>
      <w:r w:rsidR="00771C82">
        <w:rPr>
          <w:rFonts w:eastAsia="Times New Roman"/>
          <w:b/>
          <w:bCs/>
          <w:color w:val="000000" w:themeColor="text1"/>
        </w:rPr>
        <w:t>s</w:t>
      </w:r>
      <w:r w:rsidRPr="2E7655E2">
        <w:rPr>
          <w:rFonts w:eastAsia="Times New Roman"/>
          <w:b/>
          <w:bCs/>
          <w:color w:val="000000" w:themeColor="text1"/>
        </w:rPr>
        <w:t xml:space="preserve"> I and II targets (US$ million)</w:t>
      </w:r>
      <w:r w:rsidRPr="2E7655E2">
        <w:rPr>
          <w:b/>
          <w:bCs/>
        </w:rPr>
        <w:t xml:space="preserve"> </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8"/>
        <w:gridCol w:w="2320"/>
        <w:gridCol w:w="1274"/>
        <w:gridCol w:w="1274"/>
        <w:gridCol w:w="1246"/>
        <w:gridCol w:w="31"/>
        <w:gridCol w:w="1274"/>
        <w:gridCol w:w="1274"/>
        <w:gridCol w:w="1277"/>
      </w:tblGrid>
      <w:tr w:rsidR="00F90461" w14:paraId="1DADFFA1" w14:textId="77777777" w:rsidTr="00B31859">
        <w:trPr>
          <w:trHeight w:val="384"/>
        </w:trPr>
        <w:tc>
          <w:tcPr>
            <w:tcW w:w="1439" w:type="pct"/>
            <w:tcMar>
              <w:left w:w="70" w:type="dxa"/>
              <w:right w:w="70" w:type="dxa"/>
            </w:tcMar>
            <w:vAlign w:val="center"/>
          </w:tcPr>
          <w:p w14:paraId="45F70A92"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HFC CONSUMPTION SECTOR</w:t>
            </w:r>
          </w:p>
        </w:tc>
        <w:tc>
          <w:tcPr>
            <w:tcW w:w="829" w:type="pct"/>
            <w:tcMar>
              <w:left w:w="70" w:type="dxa"/>
              <w:right w:w="70" w:type="dxa"/>
            </w:tcMar>
            <w:vAlign w:val="center"/>
          </w:tcPr>
          <w:p w14:paraId="315D6E30"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Total for 3 Triennia</w:t>
            </w:r>
          </w:p>
          <w:p w14:paraId="6858F789"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 to 2035 period)</w:t>
            </w:r>
          </w:p>
        </w:tc>
        <w:tc>
          <w:tcPr>
            <w:tcW w:w="1355" w:type="pct"/>
            <w:gridSpan w:val="3"/>
            <w:shd w:val="clear" w:color="auto" w:fill="DAE9F8"/>
            <w:tcMar>
              <w:left w:w="70" w:type="dxa"/>
              <w:right w:w="70" w:type="dxa"/>
            </w:tcMar>
            <w:vAlign w:val="center"/>
          </w:tcPr>
          <w:p w14:paraId="381D2347"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A</w:t>
            </w:r>
          </w:p>
        </w:tc>
        <w:tc>
          <w:tcPr>
            <w:tcW w:w="1377" w:type="pct"/>
            <w:gridSpan w:val="4"/>
            <w:shd w:val="clear" w:color="auto" w:fill="F2CEEF"/>
            <w:tcMar>
              <w:left w:w="70" w:type="dxa"/>
              <w:right w:w="70" w:type="dxa"/>
            </w:tcMar>
            <w:vAlign w:val="center"/>
          </w:tcPr>
          <w:p w14:paraId="50DF32D5"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B</w:t>
            </w:r>
          </w:p>
        </w:tc>
      </w:tr>
      <w:tr w:rsidR="00F90461" w14:paraId="00B4B837" w14:textId="77777777" w:rsidTr="00B31859">
        <w:trPr>
          <w:trHeight w:val="635"/>
        </w:trPr>
        <w:tc>
          <w:tcPr>
            <w:tcW w:w="1439" w:type="pct"/>
            <w:tcMar>
              <w:left w:w="70" w:type="dxa"/>
              <w:right w:w="70" w:type="dxa"/>
            </w:tcMar>
            <w:vAlign w:val="center"/>
          </w:tcPr>
          <w:p w14:paraId="37348CB2"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HFC Scenario 2</w:t>
            </w:r>
          </w:p>
          <w:p w14:paraId="76064DE5"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(CEs for SMEs)</w:t>
            </w:r>
          </w:p>
        </w:tc>
        <w:tc>
          <w:tcPr>
            <w:tcW w:w="829" w:type="pct"/>
            <w:tcMar>
              <w:left w:w="70" w:type="dxa"/>
              <w:right w:w="70" w:type="dxa"/>
            </w:tcMar>
            <w:vAlign w:val="center"/>
          </w:tcPr>
          <w:p w14:paraId="6AE74419"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Funding for Stages I and II</w:t>
            </w:r>
          </w:p>
        </w:tc>
        <w:tc>
          <w:tcPr>
            <w:tcW w:w="455" w:type="pct"/>
            <w:shd w:val="clear" w:color="auto" w:fill="DAE9F8"/>
            <w:tcMar>
              <w:left w:w="70" w:type="dxa"/>
              <w:right w:w="70" w:type="dxa"/>
            </w:tcMar>
            <w:vAlign w:val="center"/>
          </w:tcPr>
          <w:p w14:paraId="452C614D"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455" w:type="pct"/>
            <w:shd w:val="clear" w:color="auto" w:fill="DAE9F8"/>
            <w:tcMar>
              <w:left w:w="70" w:type="dxa"/>
              <w:right w:w="70" w:type="dxa"/>
            </w:tcMar>
            <w:vAlign w:val="center"/>
          </w:tcPr>
          <w:p w14:paraId="529DA84E"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456" w:type="pct"/>
            <w:gridSpan w:val="2"/>
            <w:shd w:val="clear" w:color="auto" w:fill="DAE9F8"/>
            <w:tcMar>
              <w:left w:w="70" w:type="dxa"/>
              <w:right w:w="70" w:type="dxa"/>
            </w:tcMar>
            <w:vAlign w:val="center"/>
          </w:tcPr>
          <w:p w14:paraId="054E904E"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c>
          <w:tcPr>
            <w:tcW w:w="455" w:type="pct"/>
            <w:shd w:val="clear" w:color="auto" w:fill="F2CEEF"/>
            <w:tcMar>
              <w:left w:w="70" w:type="dxa"/>
              <w:right w:w="70" w:type="dxa"/>
            </w:tcMar>
            <w:vAlign w:val="center"/>
          </w:tcPr>
          <w:p w14:paraId="3202BD41"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455" w:type="pct"/>
            <w:shd w:val="clear" w:color="auto" w:fill="F2CEEF"/>
            <w:tcMar>
              <w:left w:w="70" w:type="dxa"/>
              <w:right w:w="70" w:type="dxa"/>
            </w:tcMar>
            <w:vAlign w:val="center"/>
          </w:tcPr>
          <w:p w14:paraId="2E2333F1"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455" w:type="pct"/>
            <w:shd w:val="clear" w:color="auto" w:fill="F2CEEF"/>
            <w:tcMar>
              <w:left w:w="70" w:type="dxa"/>
              <w:right w:w="70" w:type="dxa"/>
            </w:tcMar>
            <w:vAlign w:val="center"/>
          </w:tcPr>
          <w:p w14:paraId="178C696A"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r>
      <w:tr w:rsidR="00F90461" w14:paraId="786B7620" w14:textId="77777777" w:rsidTr="00FE5C31">
        <w:trPr>
          <w:trHeight w:val="277"/>
        </w:trPr>
        <w:tc>
          <w:tcPr>
            <w:tcW w:w="1439" w:type="pct"/>
            <w:shd w:val="clear" w:color="auto" w:fill="E2EFD9" w:themeFill="accent6" w:themeFillTint="33"/>
            <w:tcMar>
              <w:left w:w="70" w:type="dxa"/>
              <w:right w:w="70" w:type="dxa"/>
            </w:tcMar>
            <w:vAlign w:val="center"/>
          </w:tcPr>
          <w:p w14:paraId="300BCC01"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Funding</w:t>
            </w:r>
            <w:r w:rsidRPr="00A81971">
              <w:rPr>
                <w:rFonts w:eastAsia="Times New Roman"/>
                <w:b/>
                <w:bCs/>
                <w:color w:val="000000" w:themeColor="text1"/>
              </w:rPr>
              <w:t xml:space="preserve"> Committed *</w:t>
            </w:r>
            <w:r w:rsidRPr="00A81971">
              <w:rPr>
                <w:rFonts w:eastAsia="Times New Roman"/>
                <w:color w:val="000000" w:themeColor="text1"/>
              </w:rPr>
              <w:t xml:space="preserve"> for Approved KIPs</w:t>
            </w:r>
          </w:p>
        </w:tc>
        <w:tc>
          <w:tcPr>
            <w:tcW w:w="829" w:type="pct"/>
            <w:tcMar>
              <w:left w:w="70" w:type="dxa"/>
              <w:right w:w="70" w:type="dxa"/>
            </w:tcMar>
            <w:vAlign w:val="center"/>
          </w:tcPr>
          <w:p w14:paraId="4F9E1AC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80.96</w:t>
            </w:r>
          </w:p>
        </w:tc>
        <w:tc>
          <w:tcPr>
            <w:tcW w:w="455" w:type="pct"/>
            <w:shd w:val="clear" w:color="auto" w:fill="DAE9F8"/>
            <w:tcMar>
              <w:left w:w="70" w:type="dxa"/>
              <w:right w:w="70" w:type="dxa"/>
            </w:tcMar>
            <w:vAlign w:val="center"/>
          </w:tcPr>
          <w:p w14:paraId="7F763685"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455" w:type="pct"/>
            <w:shd w:val="clear" w:color="auto" w:fill="DAE9F8"/>
            <w:tcMar>
              <w:left w:w="70" w:type="dxa"/>
              <w:right w:w="70" w:type="dxa"/>
            </w:tcMar>
            <w:vAlign w:val="center"/>
          </w:tcPr>
          <w:p w14:paraId="751675F6"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15.29</w:t>
            </w:r>
          </w:p>
        </w:tc>
        <w:tc>
          <w:tcPr>
            <w:tcW w:w="456" w:type="pct"/>
            <w:gridSpan w:val="2"/>
            <w:shd w:val="clear" w:color="auto" w:fill="DAE9F8"/>
            <w:tcMar>
              <w:left w:w="70" w:type="dxa"/>
              <w:right w:w="70" w:type="dxa"/>
            </w:tcMar>
            <w:vAlign w:val="center"/>
          </w:tcPr>
          <w:p w14:paraId="79B86310"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0.37</w:t>
            </w:r>
          </w:p>
        </w:tc>
        <w:tc>
          <w:tcPr>
            <w:tcW w:w="455" w:type="pct"/>
            <w:shd w:val="clear" w:color="auto" w:fill="F2CEEF"/>
            <w:tcMar>
              <w:left w:w="70" w:type="dxa"/>
              <w:right w:w="70" w:type="dxa"/>
            </w:tcMar>
            <w:vAlign w:val="center"/>
          </w:tcPr>
          <w:p w14:paraId="31BD510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455" w:type="pct"/>
            <w:shd w:val="clear" w:color="auto" w:fill="F2CEEF"/>
            <w:tcMar>
              <w:left w:w="70" w:type="dxa"/>
              <w:right w:w="70" w:type="dxa"/>
            </w:tcMar>
            <w:vAlign w:val="center"/>
          </w:tcPr>
          <w:p w14:paraId="46DA48E4"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15.29</w:t>
            </w:r>
          </w:p>
        </w:tc>
        <w:tc>
          <w:tcPr>
            <w:tcW w:w="455" w:type="pct"/>
            <w:shd w:val="clear" w:color="auto" w:fill="F2CEEF"/>
            <w:tcMar>
              <w:left w:w="70" w:type="dxa"/>
              <w:right w:w="70" w:type="dxa"/>
            </w:tcMar>
            <w:vAlign w:val="center"/>
          </w:tcPr>
          <w:p w14:paraId="3F2B3A61"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0.37</w:t>
            </w:r>
          </w:p>
        </w:tc>
      </w:tr>
      <w:tr w:rsidR="00F90461" w14:paraId="19C813EA" w14:textId="77777777" w:rsidTr="00FE5C31">
        <w:trPr>
          <w:trHeight w:val="277"/>
        </w:trPr>
        <w:tc>
          <w:tcPr>
            <w:tcW w:w="1439" w:type="pct"/>
            <w:shd w:val="clear" w:color="auto" w:fill="E2EFD9" w:themeFill="accent6" w:themeFillTint="33"/>
            <w:tcMar>
              <w:left w:w="70" w:type="dxa"/>
              <w:right w:w="70" w:type="dxa"/>
            </w:tcMar>
            <w:vAlign w:val="center"/>
          </w:tcPr>
          <w:p w14:paraId="4D9F9020"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 xml:space="preserve">Estimated New Funding to Address Stage II for parties with KIPs Stage I approved </w:t>
            </w:r>
          </w:p>
        </w:tc>
        <w:tc>
          <w:tcPr>
            <w:tcW w:w="829" w:type="pct"/>
            <w:tcMar>
              <w:left w:w="70" w:type="dxa"/>
              <w:right w:w="70" w:type="dxa"/>
            </w:tcMar>
            <w:vAlign w:val="center"/>
          </w:tcPr>
          <w:p w14:paraId="7D69080B"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252.96</w:t>
            </w:r>
          </w:p>
        </w:tc>
        <w:tc>
          <w:tcPr>
            <w:tcW w:w="455" w:type="pct"/>
            <w:shd w:val="clear" w:color="auto" w:fill="DAE9F8"/>
            <w:tcMar>
              <w:left w:w="70" w:type="dxa"/>
              <w:right w:w="70" w:type="dxa"/>
            </w:tcMar>
            <w:vAlign w:val="center"/>
          </w:tcPr>
          <w:p w14:paraId="416687D4"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151.78</w:t>
            </w:r>
          </w:p>
        </w:tc>
        <w:tc>
          <w:tcPr>
            <w:tcW w:w="455" w:type="pct"/>
            <w:shd w:val="clear" w:color="auto" w:fill="DAE9F8"/>
            <w:tcMar>
              <w:left w:w="70" w:type="dxa"/>
              <w:right w:w="70" w:type="dxa"/>
            </w:tcMar>
            <w:vAlign w:val="center"/>
          </w:tcPr>
          <w:p w14:paraId="1575B75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101.18</w:t>
            </w:r>
          </w:p>
        </w:tc>
        <w:tc>
          <w:tcPr>
            <w:tcW w:w="456" w:type="pct"/>
            <w:gridSpan w:val="2"/>
            <w:shd w:val="clear" w:color="auto" w:fill="DAE9F8"/>
            <w:tcMar>
              <w:left w:w="70" w:type="dxa"/>
              <w:right w:w="70" w:type="dxa"/>
            </w:tcMar>
            <w:vAlign w:val="center"/>
          </w:tcPr>
          <w:p w14:paraId="600770F3"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455" w:type="pct"/>
            <w:shd w:val="clear" w:color="auto" w:fill="F2CEEF"/>
            <w:tcMar>
              <w:left w:w="70" w:type="dxa"/>
              <w:right w:w="70" w:type="dxa"/>
            </w:tcMar>
            <w:vAlign w:val="center"/>
          </w:tcPr>
          <w:p w14:paraId="18850D25"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455" w:type="pct"/>
            <w:shd w:val="clear" w:color="auto" w:fill="F2CEEF"/>
            <w:tcMar>
              <w:left w:w="70" w:type="dxa"/>
              <w:right w:w="70" w:type="dxa"/>
            </w:tcMar>
            <w:vAlign w:val="center"/>
          </w:tcPr>
          <w:p w14:paraId="43560960"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151.78</w:t>
            </w:r>
          </w:p>
        </w:tc>
        <w:tc>
          <w:tcPr>
            <w:tcW w:w="455" w:type="pct"/>
            <w:shd w:val="clear" w:color="auto" w:fill="F2CEEF"/>
            <w:tcMar>
              <w:left w:w="70" w:type="dxa"/>
              <w:right w:w="70" w:type="dxa"/>
            </w:tcMar>
            <w:vAlign w:val="center"/>
          </w:tcPr>
          <w:p w14:paraId="56B285E9"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101.18</w:t>
            </w:r>
          </w:p>
        </w:tc>
      </w:tr>
      <w:tr w:rsidR="00F90461" w14:paraId="45DEAC3D" w14:textId="77777777" w:rsidTr="00FE5C31">
        <w:trPr>
          <w:trHeight w:val="277"/>
        </w:trPr>
        <w:tc>
          <w:tcPr>
            <w:tcW w:w="1439" w:type="pct"/>
            <w:shd w:val="clear" w:color="auto" w:fill="E2EFD9" w:themeFill="accent6" w:themeFillTint="33"/>
            <w:tcMar>
              <w:left w:w="70" w:type="dxa"/>
              <w:right w:w="70" w:type="dxa"/>
            </w:tcMar>
            <w:vAlign w:val="center"/>
          </w:tcPr>
          <w:p w14:paraId="2BB0AA70"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Estimated New Funding to Address Stages I and II for parties without approved KIPs</w:t>
            </w:r>
          </w:p>
        </w:tc>
        <w:tc>
          <w:tcPr>
            <w:tcW w:w="829" w:type="pct"/>
            <w:tcMar>
              <w:left w:w="70" w:type="dxa"/>
              <w:right w:w="70" w:type="dxa"/>
            </w:tcMar>
            <w:vAlign w:val="center"/>
          </w:tcPr>
          <w:p w14:paraId="3387478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1,851</w:t>
            </w:r>
          </w:p>
        </w:tc>
        <w:tc>
          <w:tcPr>
            <w:tcW w:w="455" w:type="pct"/>
            <w:shd w:val="clear" w:color="auto" w:fill="DAE9F8"/>
            <w:tcMar>
              <w:left w:w="70" w:type="dxa"/>
              <w:right w:w="70" w:type="dxa"/>
            </w:tcMar>
            <w:vAlign w:val="center"/>
          </w:tcPr>
          <w:p w14:paraId="67CFF2C3"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655.28</w:t>
            </w:r>
          </w:p>
        </w:tc>
        <w:tc>
          <w:tcPr>
            <w:tcW w:w="455" w:type="pct"/>
            <w:shd w:val="clear" w:color="auto" w:fill="DAE9F8"/>
            <w:tcMar>
              <w:left w:w="70" w:type="dxa"/>
              <w:right w:w="70" w:type="dxa"/>
            </w:tcMar>
            <w:vAlign w:val="center"/>
          </w:tcPr>
          <w:p w14:paraId="2FA1122F"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740.57</w:t>
            </w:r>
          </w:p>
        </w:tc>
        <w:tc>
          <w:tcPr>
            <w:tcW w:w="456" w:type="pct"/>
            <w:gridSpan w:val="2"/>
            <w:shd w:val="clear" w:color="auto" w:fill="DAE9F8"/>
            <w:tcMar>
              <w:left w:w="70" w:type="dxa"/>
              <w:right w:w="70" w:type="dxa"/>
            </w:tcMar>
            <w:vAlign w:val="center"/>
          </w:tcPr>
          <w:p w14:paraId="51436BC4"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455.57</w:t>
            </w:r>
          </w:p>
        </w:tc>
        <w:tc>
          <w:tcPr>
            <w:tcW w:w="455" w:type="pct"/>
            <w:shd w:val="clear" w:color="auto" w:fill="F2CEEF"/>
            <w:tcMar>
              <w:left w:w="70" w:type="dxa"/>
              <w:right w:w="70" w:type="dxa"/>
            </w:tcMar>
            <w:vAlign w:val="center"/>
          </w:tcPr>
          <w:p w14:paraId="228A1E1D"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512.52</w:t>
            </w:r>
          </w:p>
        </w:tc>
        <w:tc>
          <w:tcPr>
            <w:tcW w:w="455" w:type="pct"/>
            <w:shd w:val="clear" w:color="auto" w:fill="F2CEEF"/>
            <w:tcMar>
              <w:left w:w="70" w:type="dxa"/>
              <w:right w:w="70" w:type="dxa"/>
            </w:tcMar>
            <w:vAlign w:val="center"/>
          </w:tcPr>
          <w:p w14:paraId="27B20532"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869.03</w:t>
            </w:r>
          </w:p>
        </w:tc>
        <w:tc>
          <w:tcPr>
            <w:tcW w:w="455" w:type="pct"/>
            <w:shd w:val="clear" w:color="auto" w:fill="F2CEEF"/>
            <w:tcMar>
              <w:left w:w="70" w:type="dxa"/>
              <w:right w:w="70" w:type="dxa"/>
            </w:tcMar>
            <w:vAlign w:val="center"/>
          </w:tcPr>
          <w:p w14:paraId="737E0DA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469.87</w:t>
            </w:r>
          </w:p>
        </w:tc>
      </w:tr>
      <w:tr w:rsidR="00F90461" w14:paraId="400D0DCE" w14:textId="77777777" w:rsidTr="00FE5C31">
        <w:trPr>
          <w:trHeight w:val="277"/>
        </w:trPr>
        <w:tc>
          <w:tcPr>
            <w:tcW w:w="1439" w:type="pct"/>
            <w:shd w:val="clear" w:color="auto" w:fill="E2EFD9" w:themeFill="accent6" w:themeFillTint="33"/>
            <w:tcMar>
              <w:left w:w="70" w:type="dxa"/>
              <w:right w:w="70" w:type="dxa"/>
            </w:tcMar>
            <w:vAlign w:val="center"/>
          </w:tcPr>
          <w:p w14:paraId="0A8281A5"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Estimated New Funding to Address KIPS Stages I and II for countries pending ratification / RTF assumed all will ratify by 2029</w:t>
            </w:r>
          </w:p>
        </w:tc>
        <w:tc>
          <w:tcPr>
            <w:tcW w:w="829" w:type="pct"/>
            <w:tcMar>
              <w:left w:w="70" w:type="dxa"/>
              <w:right w:w="70" w:type="dxa"/>
            </w:tcMar>
            <w:vAlign w:val="center"/>
          </w:tcPr>
          <w:p w14:paraId="4BB4567B"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37.36</w:t>
            </w:r>
          </w:p>
        </w:tc>
        <w:tc>
          <w:tcPr>
            <w:tcW w:w="455" w:type="pct"/>
            <w:shd w:val="clear" w:color="auto" w:fill="DAE9F8"/>
            <w:tcMar>
              <w:left w:w="70" w:type="dxa"/>
              <w:right w:w="70" w:type="dxa"/>
            </w:tcMar>
            <w:vAlign w:val="center"/>
          </w:tcPr>
          <w:p w14:paraId="606687B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16.66</w:t>
            </w:r>
          </w:p>
        </w:tc>
        <w:tc>
          <w:tcPr>
            <w:tcW w:w="455" w:type="pct"/>
            <w:shd w:val="clear" w:color="auto" w:fill="DAE9F8"/>
            <w:tcMar>
              <w:left w:w="70" w:type="dxa"/>
              <w:right w:w="70" w:type="dxa"/>
            </w:tcMar>
            <w:vAlign w:val="center"/>
          </w:tcPr>
          <w:p w14:paraId="58719248"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14.94</w:t>
            </w:r>
          </w:p>
        </w:tc>
        <w:tc>
          <w:tcPr>
            <w:tcW w:w="456" w:type="pct"/>
            <w:gridSpan w:val="2"/>
            <w:shd w:val="clear" w:color="auto" w:fill="DAE9F8"/>
            <w:tcMar>
              <w:left w:w="70" w:type="dxa"/>
              <w:right w:w="70" w:type="dxa"/>
            </w:tcMar>
            <w:vAlign w:val="center"/>
          </w:tcPr>
          <w:p w14:paraId="1805B85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5.76</w:t>
            </w:r>
          </w:p>
        </w:tc>
        <w:tc>
          <w:tcPr>
            <w:tcW w:w="455" w:type="pct"/>
            <w:shd w:val="clear" w:color="auto" w:fill="F2CEEF"/>
            <w:tcMar>
              <w:left w:w="70" w:type="dxa"/>
              <w:right w:w="70" w:type="dxa"/>
            </w:tcMar>
            <w:vAlign w:val="center"/>
          </w:tcPr>
          <w:p w14:paraId="2E7D8F77"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6.48</w:t>
            </w:r>
          </w:p>
        </w:tc>
        <w:tc>
          <w:tcPr>
            <w:tcW w:w="455" w:type="pct"/>
            <w:shd w:val="clear" w:color="auto" w:fill="F2CEEF"/>
            <w:tcMar>
              <w:left w:w="70" w:type="dxa"/>
              <w:right w:w="70" w:type="dxa"/>
            </w:tcMar>
            <w:vAlign w:val="center"/>
          </w:tcPr>
          <w:p w14:paraId="21F58201"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23.54</w:t>
            </w:r>
          </w:p>
        </w:tc>
        <w:tc>
          <w:tcPr>
            <w:tcW w:w="455" w:type="pct"/>
            <w:shd w:val="clear" w:color="auto" w:fill="F2CEEF"/>
            <w:tcMar>
              <w:left w:w="70" w:type="dxa"/>
              <w:right w:w="70" w:type="dxa"/>
            </w:tcMar>
            <w:vAlign w:val="center"/>
          </w:tcPr>
          <w:p w14:paraId="62891590" w14:textId="77777777" w:rsidR="1207221D"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7.34</w:t>
            </w:r>
          </w:p>
        </w:tc>
      </w:tr>
      <w:tr w:rsidR="00F90461" w14:paraId="01345427" w14:textId="77777777" w:rsidTr="00054B18">
        <w:trPr>
          <w:trHeight w:val="366"/>
        </w:trPr>
        <w:tc>
          <w:tcPr>
            <w:tcW w:w="1439" w:type="pct"/>
            <w:shd w:val="clear" w:color="auto" w:fill="E2EFD9" w:themeFill="accent6" w:themeFillTint="33"/>
            <w:tcMar>
              <w:left w:w="70" w:type="dxa"/>
              <w:right w:w="70" w:type="dxa"/>
            </w:tcMar>
            <w:vAlign w:val="center"/>
          </w:tcPr>
          <w:p w14:paraId="4FD75F2B" w14:textId="77777777" w:rsidR="6EDB0298" w:rsidRPr="00A81971" w:rsidRDefault="0032495C" w:rsidP="008869E3">
            <w:pPr>
              <w:tabs>
                <w:tab w:val="left" w:pos="720"/>
              </w:tabs>
              <w:spacing w:after="0"/>
              <w:rPr>
                <w:rFonts w:eastAsia="Times New Roman"/>
                <w:b/>
                <w:bCs/>
                <w:color w:val="000000" w:themeColor="text1"/>
              </w:rPr>
            </w:pPr>
            <w:r w:rsidRPr="00A81971">
              <w:rPr>
                <w:rFonts w:eastAsia="Times New Roman"/>
                <w:b/>
                <w:bCs/>
                <w:color w:val="000000" w:themeColor="text1"/>
              </w:rPr>
              <w:t>Sub-Total 1</w:t>
            </w:r>
          </w:p>
        </w:tc>
        <w:tc>
          <w:tcPr>
            <w:tcW w:w="829" w:type="pct"/>
            <w:tcMar>
              <w:left w:w="70" w:type="dxa"/>
              <w:right w:w="70" w:type="dxa"/>
            </w:tcMar>
            <w:vAlign w:val="center"/>
          </w:tcPr>
          <w:p w14:paraId="146ACB77"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2,222.69</w:t>
            </w:r>
          </w:p>
        </w:tc>
        <w:tc>
          <w:tcPr>
            <w:tcW w:w="455" w:type="pct"/>
            <w:shd w:val="clear" w:color="auto" w:fill="DAE9F8"/>
            <w:tcMar>
              <w:left w:w="70" w:type="dxa"/>
              <w:right w:w="70" w:type="dxa"/>
            </w:tcMar>
            <w:vAlign w:val="center"/>
          </w:tcPr>
          <w:p w14:paraId="600C5BB6" w14:textId="77777777" w:rsidR="1207221D" w:rsidRPr="00A81971" w:rsidRDefault="0032495C" w:rsidP="00A90CB5">
            <w:pPr>
              <w:tabs>
                <w:tab w:val="left" w:pos="720"/>
              </w:tabs>
              <w:spacing w:after="0"/>
              <w:jc w:val="right"/>
              <w:rPr>
                <w:rFonts w:eastAsia="Times New Roman"/>
                <w:b/>
                <w:bCs/>
                <w:color w:val="000000" w:themeColor="text1"/>
              </w:rPr>
            </w:pPr>
            <w:r w:rsidRPr="00A81971">
              <w:rPr>
                <w:rFonts w:eastAsia="Times New Roman"/>
                <w:b/>
                <w:bCs/>
                <w:color w:val="000000" w:themeColor="text1"/>
              </w:rPr>
              <w:t>889.01</w:t>
            </w:r>
          </w:p>
        </w:tc>
        <w:tc>
          <w:tcPr>
            <w:tcW w:w="455" w:type="pct"/>
            <w:shd w:val="clear" w:color="auto" w:fill="DAE9F8"/>
            <w:tcMar>
              <w:left w:w="70" w:type="dxa"/>
              <w:right w:w="70" w:type="dxa"/>
            </w:tcMar>
            <w:vAlign w:val="center"/>
          </w:tcPr>
          <w:p w14:paraId="5CE4EBCB" w14:textId="77777777" w:rsidR="1207221D" w:rsidRPr="00A81971" w:rsidRDefault="0032495C" w:rsidP="00B102AE">
            <w:pPr>
              <w:tabs>
                <w:tab w:val="left" w:pos="720"/>
              </w:tabs>
              <w:spacing w:after="0"/>
              <w:jc w:val="right"/>
              <w:rPr>
                <w:rFonts w:eastAsia="Times New Roman"/>
                <w:b/>
                <w:bCs/>
                <w:color w:val="000000" w:themeColor="text1"/>
              </w:rPr>
            </w:pPr>
            <w:r w:rsidRPr="00A81971">
              <w:rPr>
                <w:rFonts w:eastAsia="Times New Roman"/>
                <w:b/>
                <w:bCs/>
                <w:color w:val="000000" w:themeColor="text1"/>
              </w:rPr>
              <w:t>871.99</w:t>
            </w:r>
          </w:p>
        </w:tc>
        <w:tc>
          <w:tcPr>
            <w:tcW w:w="456" w:type="pct"/>
            <w:gridSpan w:val="2"/>
            <w:shd w:val="clear" w:color="auto" w:fill="DAE9F8"/>
            <w:tcMar>
              <w:left w:w="70" w:type="dxa"/>
              <w:right w:w="70" w:type="dxa"/>
            </w:tcMar>
            <w:vAlign w:val="center"/>
          </w:tcPr>
          <w:p w14:paraId="2E154BFE" w14:textId="77777777" w:rsidR="1207221D" w:rsidRPr="00A81971" w:rsidRDefault="0032495C" w:rsidP="00B102AE">
            <w:pPr>
              <w:tabs>
                <w:tab w:val="left" w:pos="720"/>
              </w:tabs>
              <w:spacing w:after="0"/>
              <w:jc w:val="right"/>
              <w:rPr>
                <w:rFonts w:eastAsia="Times New Roman"/>
                <w:b/>
                <w:bCs/>
                <w:color w:val="000000" w:themeColor="text1"/>
              </w:rPr>
            </w:pPr>
            <w:r w:rsidRPr="00A81971">
              <w:rPr>
                <w:rFonts w:eastAsia="Times New Roman"/>
                <w:b/>
                <w:bCs/>
                <w:color w:val="000000" w:themeColor="text1"/>
              </w:rPr>
              <w:t>461.70</w:t>
            </w:r>
          </w:p>
        </w:tc>
        <w:tc>
          <w:tcPr>
            <w:tcW w:w="455" w:type="pct"/>
            <w:shd w:val="clear" w:color="auto" w:fill="F2CEEF"/>
            <w:tcMar>
              <w:left w:w="70" w:type="dxa"/>
              <w:right w:w="70" w:type="dxa"/>
            </w:tcMar>
            <w:vAlign w:val="center"/>
          </w:tcPr>
          <w:p w14:paraId="02110B98" w14:textId="77777777" w:rsidR="1207221D" w:rsidRPr="00A81971" w:rsidRDefault="0032495C" w:rsidP="00B102AE">
            <w:pPr>
              <w:tabs>
                <w:tab w:val="left" w:pos="720"/>
              </w:tabs>
              <w:spacing w:after="0"/>
              <w:jc w:val="right"/>
              <w:rPr>
                <w:rFonts w:eastAsia="Times New Roman"/>
                <w:b/>
                <w:bCs/>
                <w:color w:val="000000" w:themeColor="text1"/>
              </w:rPr>
            </w:pPr>
            <w:r w:rsidRPr="00A81971">
              <w:rPr>
                <w:rFonts w:eastAsia="Times New Roman"/>
                <w:b/>
                <w:bCs/>
                <w:color w:val="000000" w:themeColor="text1"/>
              </w:rPr>
              <w:t>584.3</w:t>
            </w:r>
          </w:p>
        </w:tc>
        <w:tc>
          <w:tcPr>
            <w:tcW w:w="455" w:type="pct"/>
            <w:shd w:val="clear" w:color="auto" w:fill="F2CEEF"/>
            <w:tcMar>
              <w:left w:w="70" w:type="dxa"/>
              <w:right w:w="70" w:type="dxa"/>
            </w:tcMar>
            <w:vAlign w:val="center"/>
          </w:tcPr>
          <w:p w14:paraId="25EC44BA" w14:textId="77777777" w:rsidR="1207221D" w:rsidRPr="0009580C" w:rsidRDefault="0032495C" w:rsidP="00B102AE">
            <w:pPr>
              <w:tabs>
                <w:tab w:val="left" w:pos="720"/>
              </w:tabs>
              <w:spacing w:after="0"/>
              <w:jc w:val="right"/>
            </w:pPr>
            <w:r w:rsidRPr="00A81971">
              <w:rPr>
                <w:rFonts w:eastAsia="Times New Roman"/>
                <w:b/>
                <w:bCs/>
                <w:color w:val="000000" w:themeColor="text1"/>
              </w:rPr>
              <w:t>1,059.64</w:t>
            </w:r>
          </w:p>
        </w:tc>
        <w:tc>
          <w:tcPr>
            <w:tcW w:w="455" w:type="pct"/>
            <w:shd w:val="clear" w:color="auto" w:fill="F2CEEF"/>
            <w:tcMar>
              <w:left w:w="70" w:type="dxa"/>
              <w:right w:w="70" w:type="dxa"/>
            </w:tcMar>
            <w:vAlign w:val="center"/>
          </w:tcPr>
          <w:p w14:paraId="71E88B49" w14:textId="77777777" w:rsidR="1207221D" w:rsidRPr="00A81971" w:rsidRDefault="0032495C" w:rsidP="00B102AE">
            <w:pPr>
              <w:tabs>
                <w:tab w:val="left" w:pos="720"/>
              </w:tabs>
              <w:spacing w:after="0"/>
              <w:jc w:val="right"/>
              <w:rPr>
                <w:rFonts w:eastAsia="Times New Roman"/>
                <w:b/>
                <w:bCs/>
                <w:color w:val="000000" w:themeColor="text1"/>
              </w:rPr>
            </w:pPr>
            <w:r w:rsidRPr="00A81971">
              <w:rPr>
                <w:rFonts w:eastAsia="Times New Roman"/>
                <w:b/>
                <w:bCs/>
                <w:color w:val="000000" w:themeColor="text1"/>
              </w:rPr>
              <w:t>578.76</w:t>
            </w:r>
          </w:p>
        </w:tc>
      </w:tr>
      <w:tr w:rsidR="00F90461" w14:paraId="416CF216" w14:textId="77777777" w:rsidTr="00FE5C31">
        <w:trPr>
          <w:trHeight w:val="277"/>
        </w:trPr>
        <w:tc>
          <w:tcPr>
            <w:tcW w:w="1439" w:type="pct"/>
            <w:shd w:val="clear" w:color="auto" w:fill="E2EFD9" w:themeFill="accent6" w:themeFillTint="33"/>
            <w:tcMar>
              <w:left w:w="70" w:type="dxa"/>
              <w:right w:w="70" w:type="dxa"/>
            </w:tcMar>
            <w:vAlign w:val="center"/>
          </w:tcPr>
          <w:p w14:paraId="4F8D0D8C"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 xml:space="preserve"> </w:t>
            </w:r>
          </w:p>
        </w:tc>
        <w:tc>
          <w:tcPr>
            <w:tcW w:w="829" w:type="pct"/>
            <w:tcMar>
              <w:left w:w="70" w:type="dxa"/>
              <w:right w:w="70" w:type="dxa"/>
            </w:tcMar>
            <w:vAlign w:val="center"/>
          </w:tcPr>
          <w:p w14:paraId="714D823C" w14:textId="77777777" w:rsidR="6EDB0298" w:rsidRPr="00A81971" w:rsidRDefault="6EDB0298" w:rsidP="00A90CB5">
            <w:pPr>
              <w:tabs>
                <w:tab w:val="left" w:pos="720"/>
              </w:tabs>
              <w:spacing w:after="0"/>
              <w:jc w:val="right"/>
              <w:rPr>
                <w:rFonts w:eastAsia="Times New Roman"/>
                <w:color w:val="000000" w:themeColor="text1"/>
              </w:rPr>
            </w:pPr>
          </w:p>
        </w:tc>
        <w:tc>
          <w:tcPr>
            <w:tcW w:w="1366" w:type="pct"/>
            <w:gridSpan w:val="4"/>
            <w:shd w:val="clear" w:color="auto" w:fill="DAE9F8"/>
            <w:tcMar>
              <w:left w:w="70" w:type="dxa"/>
              <w:right w:w="70" w:type="dxa"/>
            </w:tcMar>
            <w:vAlign w:val="center"/>
          </w:tcPr>
          <w:p w14:paraId="458A1CF3"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2,222</w:t>
            </w:r>
            <w:r w:rsidR="001A34A2" w:rsidRPr="00A81971">
              <w:rPr>
                <w:rFonts w:eastAsia="Times New Roman"/>
                <w:color w:val="000000" w:themeColor="text1"/>
              </w:rPr>
              <w:t>.</w:t>
            </w:r>
            <w:r w:rsidRPr="00A81971">
              <w:rPr>
                <w:rFonts w:eastAsia="Times New Roman"/>
                <w:color w:val="000000" w:themeColor="text1"/>
              </w:rPr>
              <w:t>69</w:t>
            </w:r>
          </w:p>
        </w:tc>
        <w:tc>
          <w:tcPr>
            <w:tcW w:w="1366" w:type="pct"/>
            <w:gridSpan w:val="3"/>
            <w:shd w:val="clear" w:color="auto" w:fill="F2CEEF"/>
            <w:tcMar>
              <w:left w:w="70" w:type="dxa"/>
              <w:right w:w="70" w:type="dxa"/>
            </w:tcMar>
            <w:vAlign w:val="center"/>
          </w:tcPr>
          <w:p w14:paraId="5E857882"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2,222.69</w:t>
            </w:r>
          </w:p>
        </w:tc>
      </w:tr>
      <w:tr w:rsidR="00F90461" w14:paraId="751491B2" w14:textId="77777777" w:rsidTr="00FE5C31">
        <w:trPr>
          <w:trHeight w:val="277"/>
        </w:trPr>
        <w:tc>
          <w:tcPr>
            <w:tcW w:w="1439" w:type="pct"/>
            <w:shd w:val="clear" w:color="auto" w:fill="E2EFD9" w:themeFill="accent6" w:themeFillTint="33"/>
            <w:tcMar>
              <w:left w:w="70" w:type="dxa"/>
              <w:right w:w="70" w:type="dxa"/>
            </w:tcMar>
            <w:vAlign w:val="center"/>
          </w:tcPr>
          <w:p w14:paraId="0B900E30" w14:textId="77777777" w:rsidR="6EDB0298" w:rsidRPr="00A81971" w:rsidRDefault="0032495C" w:rsidP="008869E3">
            <w:pPr>
              <w:tabs>
                <w:tab w:val="left" w:pos="720"/>
              </w:tabs>
              <w:spacing w:after="0"/>
              <w:rPr>
                <w:rFonts w:eastAsia="Times New Roman"/>
                <w:color w:val="000000" w:themeColor="text1"/>
              </w:rPr>
            </w:pPr>
            <w:r w:rsidRPr="00A81971">
              <w:rPr>
                <w:rFonts w:eastAsia="Times New Roman"/>
                <w:color w:val="000000" w:themeColor="text1"/>
              </w:rPr>
              <w:t>Funding for Project Preparation (PRP)</w:t>
            </w:r>
          </w:p>
        </w:tc>
        <w:tc>
          <w:tcPr>
            <w:tcW w:w="829" w:type="pct"/>
            <w:tcMar>
              <w:left w:w="70" w:type="dxa"/>
              <w:right w:w="70" w:type="dxa"/>
            </w:tcMar>
            <w:vAlign w:val="center"/>
          </w:tcPr>
          <w:p w14:paraId="307CF2E6"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455" w:type="pct"/>
            <w:shd w:val="clear" w:color="auto" w:fill="DAE9F8"/>
            <w:tcMar>
              <w:left w:w="70" w:type="dxa"/>
              <w:right w:w="70" w:type="dxa"/>
            </w:tcMar>
            <w:vAlign w:val="center"/>
          </w:tcPr>
          <w:p w14:paraId="447F2284"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455" w:type="pct"/>
            <w:shd w:val="clear" w:color="auto" w:fill="DAE9F8"/>
            <w:tcMar>
              <w:left w:w="70" w:type="dxa"/>
              <w:right w:w="70" w:type="dxa"/>
            </w:tcMar>
            <w:vAlign w:val="center"/>
          </w:tcPr>
          <w:p w14:paraId="5C5C0E4C"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456" w:type="pct"/>
            <w:gridSpan w:val="2"/>
            <w:shd w:val="clear" w:color="auto" w:fill="DAE9F8"/>
            <w:tcMar>
              <w:left w:w="70" w:type="dxa"/>
              <w:right w:w="70" w:type="dxa"/>
            </w:tcMar>
            <w:vAlign w:val="center"/>
          </w:tcPr>
          <w:p w14:paraId="529D6C79"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455" w:type="pct"/>
            <w:shd w:val="clear" w:color="auto" w:fill="F2CEEF"/>
            <w:tcMar>
              <w:left w:w="70" w:type="dxa"/>
              <w:right w:w="70" w:type="dxa"/>
            </w:tcMar>
            <w:vAlign w:val="center"/>
          </w:tcPr>
          <w:p w14:paraId="7C574940"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455" w:type="pct"/>
            <w:shd w:val="clear" w:color="auto" w:fill="F2CEEF"/>
            <w:tcMar>
              <w:left w:w="70" w:type="dxa"/>
              <w:right w:w="70" w:type="dxa"/>
            </w:tcMar>
            <w:vAlign w:val="center"/>
          </w:tcPr>
          <w:p w14:paraId="3BA220A6"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455" w:type="pct"/>
            <w:shd w:val="clear" w:color="auto" w:fill="F2CEEF"/>
            <w:tcMar>
              <w:left w:w="70" w:type="dxa"/>
              <w:right w:w="70" w:type="dxa"/>
            </w:tcMar>
            <w:vAlign w:val="center"/>
          </w:tcPr>
          <w:p w14:paraId="55CB58A5" w14:textId="77777777" w:rsidR="6EDB0298"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themeColor="text1"/>
              </w:rPr>
              <w:t>0</w:t>
            </w:r>
          </w:p>
        </w:tc>
      </w:tr>
      <w:tr w:rsidR="00F90461" w14:paraId="35E785B4" w14:textId="77777777" w:rsidTr="00FE5C31">
        <w:trPr>
          <w:trHeight w:val="277"/>
        </w:trPr>
        <w:tc>
          <w:tcPr>
            <w:tcW w:w="1439" w:type="pct"/>
            <w:shd w:val="clear" w:color="auto" w:fill="E2EFD9" w:themeFill="accent6" w:themeFillTint="33"/>
            <w:tcMar>
              <w:left w:w="70" w:type="dxa"/>
              <w:right w:w="70" w:type="dxa"/>
            </w:tcMar>
            <w:vAlign w:val="center"/>
          </w:tcPr>
          <w:p w14:paraId="31265F1D" w14:textId="77777777" w:rsidR="008C6599" w:rsidRPr="00A81971" w:rsidRDefault="0032495C" w:rsidP="008C6599">
            <w:pPr>
              <w:tabs>
                <w:tab w:val="left" w:pos="720"/>
              </w:tabs>
              <w:spacing w:after="0"/>
              <w:rPr>
                <w:rFonts w:eastAsia="Times New Roman"/>
                <w:color w:val="000000" w:themeColor="text1"/>
              </w:rPr>
            </w:pPr>
            <w:r w:rsidRPr="2E7655E2">
              <w:rPr>
                <w:rFonts w:eastAsia="Times New Roman"/>
                <w:color w:val="000000" w:themeColor="text1"/>
              </w:rPr>
              <w:t>Funding for KIP Verification</w:t>
            </w:r>
            <w:r>
              <w:rPr>
                <w:rFonts w:eastAsia="Times New Roman"/>
                <w:color w:val="000000" w:themeColor="text1"/>
                <w:vertAlign w:val="superscript"/>
              </w:rPr>
              <w:footnoteReference w:id="16"/>
            </w:r>
          </w:p>
        </w:tc>
        <w:tc>
          <w:tcPr>
            <w:tcW w:w="829" w:type="pct"/>
            <w:tcMar>
              <w:left w:w="70" w:type="dxa"/>
              <w:right w:w="70" w:type="dxa"/>
            </w:tcMar>
            <w:vAlign w:val="center"/>
          </w:tcPr>
          <w:p w14:paraId="281BA258"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lang w:eastAsia="pt-BR"/>
              </w:rPr>
              <w:t>24.20</w:t>
            </w:r>
          </w:p>
        </w:tc>
        <w:tc>
          <w:tcPr>
            <w:tcW w:w="455" w:type="pct"/>
            <w:shd w:val="clear" w:color="auto" w:fill="DAE9F8"/>
            <w:tcMar>
              <w:left w:w="70" w:type="dxa"/>
              <w:right w:w="70" w:type="dxa"/>
            </w:tcMar>
            <w:vAlign w:val="center"/>
          </w:tcPr>
          <w:p w14:paraId="472FD665"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455" w:type="pct"/>
            <w:shd w:val="clear" w:color="auto" w:fill="DAE9F8"/>
            <w:tcMar>
              <w:left w:w="70" w:type="dxa"/>
              <w:right w:w="70" w:type="dxa"/>
            </w:tcMar>
            <w:vAlign w:val="center"/>
          </w:tcPr>
          <w:p w14:paraId="1140C506"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456" w:type="pct"/>
            <w:gridSpan w:val="2"/>
            <w:shd w:val="clear" w:color="auto" w:fill="DAE9F8"/>
            <w:tcMar>
              <w:left w:w="70" w:type="dxa"/>
              <w:right w:w="70" w:type="dxa"/>
            </w:tcMar>
            <w:vAlign w:val="center"/>
          </w:tcPr>
          <w:p w14:paraId="7CD332F8"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455" w:type="pct"/>
            <w:shd w:val="clear" w:color="auto" w:fill="F2CEEF"/>
            <w:tcMar>
              <w:left w:w="70" w:type="dxa"/>
              <w:right w:w="70" w:type="dxa"/>
            </w:tcMar>
            <w:vAlign w:val="center"/>
          </w:tcPr>
          <w:p w14:paraId="4D575259"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455" w:type="pct"/>
            <w:shd w:val="clear" w:color="auto" w:fill="F2CEEF"/>
            <w:tcMar>
              <w:left w:w="70" w:type="dxa"/>
              <w:right w:w="70" w:type="dxa"/>
            </w:tcMar>
            <w:vAlign w:val="center"/>
          </w:tcPr>
          <w:p w14:paraId="29FEFCB8"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455" w:type="pct"/>
            <w:shd w:val="clear" w:color="auto" w:fill="F2CEEF"/>
            <w:tcMar>
              <w:left w:w="70" w:type="dxa"/>
              <w:right w:w="70" w:type="dxa"/>
            </w:tcMar>
            <w:vAlign w:val="center"/>
          </w:tcPr>
          <w:p w14:paraId="3631F743"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r>
      <w:tr w:rsidR="00F90461" w14:paraId="5E48CC7F" w14:textId="77777777" w:rsidTr="00FE5C31">
        <w:trPr>
          <w:trHeight w:val="277"/>
        </w:trPr>
        <w:tc>
          <w:tcPr>
            <w:tcW w:w="1439" w:type="pct"/>
            <w:shd w:val="clear" w:color="auto" w:fill="E2EFD9" w:themeFill="accent6" w:themeFillTint="33"/>
            <w:tcMar>
              <w:left w:w="70" w:type="dxa"/>
              <w:right w:w="70" w:type="dxa"/>
            </w:tcMar>
            <w:vAlign w:val="center"/>
          </w:tcPr>
          <w:p w14:paraId="0E01255B" w14:textId="77777777" w:rsidR="008C6599" w:rsidRPr="00A81971" w:rsidRDefault="0032495C" w:rsidP="008C6599">
            <w:pPr>
              <w:tabs>
                <w:tab w:val="left" w:pos="720"/>
              </w:tabs>
              <w:spacing w:after="0"/>
              <w:rPr>
                <w:rFonts w:eastAsia="Times New Roman"/>
                <w:color w:val="000000" w:themeColor="text1"/>
              </w:rPr>
            </w:pPr>
            <w:r w:rsidRPr="00A81971">
              <w:rPr>
                <w:rFonts w:eastAsia="Times New Roman"/>
                <w:color w:val="000000" w:themeColor="text1"/>
              </w:rPr>
              <w:t>Energy Efficiency (</w:t>
            </w:r>
            <w:r w:rsidRPr="00A81971">
              <w:rPr>
                <w:rFonts w:eastAsia="Times New Roman"/>
                <w:color w:val="000000" w:themeColor="text1"/>
                <w:u w:val="single"/>
              </w:rPr>
              <w:t>high-end option</w:t>
            </w:r>
            <w:r w:rsidRPr="00A81971">
              <w:rPr>
                <w:rFonts w:eastAsia="Times New Roman"/>
                <w:color w:val="000000" w:themeColor="text1"/>
              </w:rPr>
              <w:t>)</w:t>
            </w:r>
          </w:p>
        </w:tc>
        <w:tc>
          <w:tcPr>
            <w:tcW w:w="829" w:type="pct"/>
            <w:tcMar>
              <w:left w:w="70" w:type="dxa"/>
              <w:right w:w="70" w:type="dxa"/>
            </w:tcMar>
            <w:vAlign w:val="center"/>
          </w:tcPr>
          <w:p w14:paraId="5D02DB2A" w14:textId="77777777" w:rsidR="008C6599" w:rsidRPr="00A81971" w:rsidRDefault="0032495C" w:rsidP="00A90CB5">
            <w:pPr>
              <w:tabs>
                <w:tab w:val="left" w:pos="720"/>
              </w:tabs>
              <w:spacing w:after="0" w:line="257" w:lineRule="auto"/>
              <w:jc w:val="right"/>
              <w:rPr>
                <w:rFonts w:eastAsia="Times New Roman"/>
                <w:color w:val="000000" w:themeColor="text1"/>
              </w:rPr>
            </w:pPr>
            <w:r w:rsidRPr="00A81971">
              <w:rPr>
                <w:rFonts w:eastAsia="Times New Roman"/>
                <w:color w:val="000000"/>
                <w:lang w:eastAsia="pt-BR"/>
              </w:rPr>
              <w:t>74.29</w:t>
            </w:r>
          </w:p>
        </w:tc>
        <w:tc>
          <w:tcPr>
            <w:tcW w:w="455" w:type="pct"/>
            <w:shd w:val="clear" w:color="auto" w:fill="DAE9F8"/>
            <w:tcMar>
              <w:left w:w="70" w:type="dxa"/>
              <w:right w:w="70" w:type="dxa"/>
            </w:tcMar>
            <w:vAlign w:val="center"/>
          </w:tcPr>
          <w:p w14:paraId="519EC28F" w14:textId="77777777" w:rsidR="008C6599" w:rsidRPr="00A81971" w:rsidRDefault="0032495C" w:rsidP="00A90CB5">
            <w:pPr>
              <w:tabs>
                <w:tab w:val="left" w:pos="720"/>
              </w:tabs>
              <w:spacing w:after="0" w:line="257" w:lineRule="auto"/>
              <w:jc w:val="right"/>
              <w:rPr>
                <w:rFonts w:eastAsia="Times New Roman"/>
                <w:color w:val="000000" w:themeColor="text1"/>
              </w:rPr>
            </w:pPr>
            <w:r w:rsidRPr="00A81971">
              <w:rPr>
                <w:rFonts w:eastAsia="Aptos"/>
                <w:color w:val="000000"/>
              </w:rPr>
              <w:t>74.29</w:t>
            </w:r>
          </w:p>
        </w:tc>
        <w:tc>
          <w:tcPr>
            <w:tcW w:w="455" w:type="pct"/>
            <w:shd w:val="clear" w:color="auto" w:fill="DAE9F8"/>
            <w:tcMar>
              <w:left w:w="70" w:type="dxa"/>
              <w:right w:w="70" w:type="dxa"/>
            </w:tcMar>
            <w:vAlign w:val="center"/>
          </w:tcPr>
          <w:p w14:paraId="529ABBCB"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456" w:type="pct"/>
            <w:gridSpan w:val="2"/>
            <w:shd w:val="clear" w:color="auto" w:fill="DAE9F8"/>
            <w:tcMar>
              <w:left w:w="70" w:type="dxa"/>
              <w:right w:w="70" w:type="dxa"/>
            </w:tcMar>
            <w:vAlign w:val="center"/>
          </w:tcPr>
          <w:p w14:paraId="15233E67"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455" w:type="pct"/>
            <w:shd w:val="clear" w:color="auto" w:fill="F2CEEF"/>
            <w:tcMar>
              <w:left w:w="70" w:type="dxa"/>
              <w:right w:w="70" w:type="dxa"/>
            </w:tcMar>
            <w:vAlign w:val="center"/>
          </w:tcPr>
          <w:p w14:paraId="041DBF3A" w14:textId="77777777" w:rsidR="008C6599" w:rsidRPr="00A81971" w:rsidRDefault="0032495C" w:rsidP="00A90CB5">
            <w:pPr>
              <w:tabs>
                <w:tab w:val="left" w:pos="720"/>
              </w:tabs>
              <w:spacing w:after="0" w:line="257" w:lineRule="auto"/>
              <w:jc w:val="right"/>
              <w:rPr>
                <w:rFonts w:eastAsia="Times New Roman"/>
                <w:color w:val="000000" w:themeColor="text1"/>
              </w:rPr>
            </w:pPr>
            <w:r w:rsidRPr="00A81971">
              <w:rPr>
                <w:rFonts w:eastAsia="Aptos"/>
                <w:color w:val="000000"/>
              </w:rPr>
              <w:t>74.29</w:t>
            </w:r>
          </w:p>
        </w:tc>
        <w:tc>
          <w:tcPr>
            <w:tcW w:w="455" w:type="pct"/>
            <w:shd w:val="clear" w:color="auto" w:fill="F2CEEF"/>
            <w:tcMar>
              <w:left w:w="70" w:type="dxa"/>
              <w:right w:w="70" w:type="dxa"/>
            </w:tcMar>
            <w:vAlign w:val="center"/>
          </w:tcPr>
          <w:p w14:paraId="043DC454"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455" w:type="pct"/>
            <w:shd w:val="clear" w:color="auto" w:fill="F2CEEF"/>
            <w:tcMar>
              <w:left w:w="70" w:type="dxa"/>
              <w:right w:w="70" w:type="dxa"/>
            </w:tcMar>
            <w:vAlign w:val="center"/>
          </w:tcPr>
          <w:p w14:paraId="50A17D17"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43E2C5D0" w14:textId="77777777" w:rsidTr="00FE5C31">
        <w:trPr>
          <w:trHeight w:val="277"/>
        </w:trPr>
        <w:tc>
          <w:tcPr>
            <w:tcW w:w="1439" w:type="pct"/>
            <w:shd w:val="clear" w:color="auto" w:fill="E2EFD9" w:themeFill="accent6" w:themeFillTint="33"/>
            <w:tcMar>
              <w:left w:w="70" w:type="dxa"/>
              <w:right w:w="70" w:type="dxa"/>
            </w:tcMar>
            <w:vAlign w:val="center"/>
          </w:tcPr>
          <w:p w14:paraId="29DA089E" w14:textId="77777777" w:rsidR="008C6599" w:rsidRPr="00A81971" w:rsidRDefault="0032495C" w:rsidP="008C6599">
            <w:pPr>
              <w:tabs>
                <w:tab w:val="left" w:pos="720"/>
              </w:tabs>
              <w:spacing w:after="0"/>
              <w:rPr>
                <w:rFonts w:eastAsia="Times New Roman"/>
                <w:color w:val="000000" w:themeColor="text1"/>
              </w:rPr>
            </w:pPr>
            <w:r w:rsidRPr="00A81971">
              <w:rPr>
                <w:rFonts w:eastAsia="Times New Roman"/>
                <w:color w:val="000000" w:themeColor="text1"/>
              </w:rPr>
              <w:t>Pilot Projects for Regional Atmospheric Monitoring</w:t>
            </w:r>
          </w:p>
        </w:tc>
        <w:tc>
          <w:tcPr>
            <w:tcW w:w="829" w:type="pct"/>
            <w:tcMar>
              <w:left w:w="70" w:type="dxa"/>
              <w:right w:w="70" w:type="dxa"/>
            </w:tcMar>
            <w:vAlign w:val="center"/>
          </w:tcPr>
          <w:p w14:paraId="2C895F21"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Times New Roman"/>
                <w:color w:val="000000"/>
                <w:lang w:eastAsia="pt-BR"/>
              </w:rPr>
              <w:t>9.25</w:t>
            </w:r>
          </w:p>
        </w:tc>
        <w:tc>
          <w:tcPr>
            <w:tcW w:w="455" w:type="pct"/>
            <w:shd w:val="clear" w:color="auto" w:fill="DAE9F8"/>
            <w:tcMar>
              <w:left w:w="70" w:type="dxa"/>
              <w:right w:w="70" w:type="dxa"/>
            </w:tcMar>
            <w:vAlign w:val="center"/>
          </w:tcPr>
          <w:p w14:paraId="2D1344A3"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455" w:type="pct"/>
            <w:shd w:val="clear" w:color="auto" w:fill="DAE9F8"/>
            <w:tcMar>
              <w:left w:w="70" w:type="dxa"/>
              <w:right w:w="70" w:type="dxa"/>
            </w:tcMar>
            <w:vAlign w:val="center"/>
          </w:tcPr>
          <w:p w14:paraId="573CFE46"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456" w:type="pct"/>
            <w:gridSpan w:val="2"/>
            <w:shd w:val="clear" w:color="auto" w:fill="DAE9F8"/>
            <w:tcMar>
              <w:left w:w="70" w:type="dxa"/>
              <w:right w:w="70" w:type="dxa"/>
            </w:tcMar>
            <w:vAlign w:val="center"/>
          </w:tcPr>
          <w:p w14:paraId="59F3B432"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455" w:type="pct"/>
            <w:shd w:val="clear" w:color="auto" w:fill="F2CEEF"/>
            <w:tcMar>
              <w:left w:w="70" w:type="dxa"/>
              <w:right w:w="70" w:type="dxa"/>
            </w:tcMar>
            <w:vAlign w:val="center"/>
          </w:tcPr>
          <w:p w14:paraId="7554CA29"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455" w:type="pct"/>
            <w:shd w:val="clear" w:color="auto" w:fill="F2CEEF"/>
            <w:tcMar>
              <w:left w:w="70" w:type="dxa"/>
              <w:right w:w="70" w:type="dxa"/>
            </w:tcMar>
            <w:vAlign w:val="center"/>
          </w:tcPr>
          <w:p w14:paraId="50DC8B98"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455" w:type="pct"/>
            <w:shd w:val="clear" w:color="auto" w:fill="F2CEEF"/>
            <w:tcMar>
              <w:left w:w="70" w:type="dxa"/>
              <w:right w:w="70" w:type="dxa"/>
            </w:tcMar>
            <w:vAlign w:val="center"/>
          </w:tcPr>
          <w:p w14:paraId="37E41412" w14:textId="77777777" w:rsidR="008C6599" w:rsidRPr="00A81971" w:rsidRDefault="0032495C" w:rsidP="00A90CB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18BF5D36" w14:textId="77777777" w:rsidTr="00FE5C31">
        <w:trPr>
          <w:trHeight w:val="277"/>
        </w:trPr>
        <w:tc>
          <w:tcPr>
            <w:tcW w:w="1439" w:type="pct"/>
            <w:shd w:val="clear" w:color="auto" w:fill="E2EFD9" w:themeFill="accent6" w:themeFillTint="33"/>
            <w:tcMar>
              <w:left w:w="70" w:type="dxa"/>
              <w:right w:w="70" w:type="dxa"/>
            </w:tcMar>
            <w:vAlign w:val="center"/>
          </w:tcPr>
          <w:p w14:paraId="6DCB9D25" w14:textId="77777777" w:rsidR="000F4780" w:rsidRPr="00A81971" w:rsidRDefault="0032495C" w:rsidP="000F4780">
            <w:pPr>
              <w:tabs>
                <w:tab w:val="left" w:pos="720"/>
              </w:tabs>
              <w:spacing w:after="0"/>
              <w:rPr>
                <w:rFonts w:eastAsia="Times New Roman"/>
                <w:b/>
                <w:bCs/>
                <w:color w:val="000000" w:themeColor="text1"/>
              </w:rPr>
            </w:pPr>
            <w:r w:rsidRPr="00A81971">
              <w:rPr>
                <w:rFonts w:eastAsia="Times New Roman"/>
                <w:b/>
                <w:bCs/>
                <w:color w:val="000000" w:themeColor="text1"/>
              </w:rPr>
              <w:t>Sub-Total 2</w:t>
            </w:r>
          </w:p>
        </w:tc>
        <w:tc>
          <w:tcPr>
            <w:tcW w:w="829" w:type="pct"/>
            <w:tcMar>
              <w:left w:w="70" w:type="dxa"/>
              <w:right w:w="70" w:type="dxa"/>
            </w:tcMar>
            <w:vAlign w:val="center"/>
          </w:tcPr>
          <w:p w14:paraId="37587374" w14:textId="77777777" w:rsidR="000F4780" w:rsidRPr="00A81971" w:rsidRDefault="0032495C" w:rsidP="00A90CB5">
            <w:pPr>
              <w:tabs>
                <w:tab w:val="left" w:pos="720"/>
              </w:tabs>
              <w:spacing w:after="0"/>
              <w:jc w:val="right"/>
              <w:rPr>
                <w:b/>
                <w:bCs/>
              </w:rPr>
            </w:pPr>
            <w:r w:rsidRPr="00A81971">
              <w:rPr>
                <w:b/>
                <w:bCs/>
              </w:rPr>
              <w:t>129.47</w:t>
            </w:r>
          </w:p>
        </w:tc>
        <w:tc>
          <w:tcPr>
            <w:tcW w:w="455" w:type="pct"/>
            <w:shd w:val="clear" w:color="auto" w:fill="DAE9F8"/>
            <w:tcMar>
              <w:left w:w="70" w:type="dxa"/>
              <w:right w:w="70" w:type="dxa"/>
            </w:tcMar>
            <w:vAlign w:val="center"/>
          </w:tcPr>
          <w:p w14:paraId="5751E8E7" w14:textId="77777777" w:rsidR="000F4780" w:rsidRPr="00A81971" w:rsidRDefault="0032495C" w:rsidP="00A90CB5">
            <w:pPr>
              <w:tabs>
                <w:tab w:val="left" w:pos="720"/>
              </w:tabs>
              <w:spacing w:after="0"/>
              <w:jc w:val="right"/>
              <w:rPr>
                <w:b/>
                <w:bCs/>
              </w:rPr>
            </w:pPr>
            <w:r w:rsidRPr="00A81971">
              <w:rPr>
                <w:b/>
                <w:bCs/>
              </w:rPr>
              <w:t>106.02</w:t>
            </w:r>
          </w:p>
        </w:tc>
        <w:tc>
          <w:tcPr>
            <w:tcW w:w="455" w:type="pct"/>
            <w:shd w:val="clear" w:color="auto" w:fill="DAE9F8"/>
            <w:tcMar>
              <w:left w:w="70" w:type="dxa"/>
              <w:right w:w="70" w:type="dxa"/>
            </w:tcMar>
            <w:vAlign w:val="center"/>
          </w:tcPr>
          <w:p w14:paraId="7C60D5DC" w14:textId="77777777" w:rsidR="000F4780" w:rsidRPr="00A81971" w:rsidRDefault="0032495C" w:rsidP="00A90CB5">
            <w:pPr>
              <w:tabs>
                <w:tab w:val="left" w:pos="720"/>
              </w:tabs>
              <w:spacing w:after="0"/>
              <w:jc w:val="right"/>
              <w:rPr>
                <w:b/>
                <w:bCs/>
              </w:rPr>
            </w:pPr>
            <w:r w:rsidRPr="00A81971">
              <w:rPr>
                <w:b/>
                <w:bCs/>
              </w:rPr>
              <w:t>15.37</w:t>
            </w:r>
          </w:p>
        </w:tc>
        <w:tc>
          <w:tcPr>
            <w:tcW w:w="456" w:type="pct"/>
            <w:gridSpan w:val="2"/>
            <w:shd w:val="clear" w:color="auto" w:fill="DAE9F8"/>
            <w:tcMar>
              <w:left w:w="70" w:type="dxa"/>
              <w:right w:w="70" w:type="dxa"/>
            </w:tcMar>
            <w:vAlign w:val="center"/>
          </w:tcPr>
          <w:p w14:paraId="29F94100" w14:textId="77777777" w:rsidR="000F4780" w:rsidRPr="00A81971" w:rsidRDefault="0032495C" w:rsidP="00A90CB5">
            <w:pPr>
              <w:tabs>
                <w:tab w:val="left" w:pos="720"/>
              </w:tabs>
              <w:spacing w:after="0"/>
              <w:jc w:val="right"/>
              <w:rPr>
                <w:b/>
                <w:bCs/>
              </w:rPr>
            </w:pPr>
            <w:r w:rsidRPr="00A81971">
              <w:rPr>
                <w:b/>
                <w:bCs/>
              </w:rPr>
              <w:t>8.07</w:t>
            </w:r>
          </w:p>
        </w:tc>
        <w:tc>
          <w:tcPr>
            <w:tcW w:w="455" w:type="pct"/>
            <w:shd w:val="clear" w:color="auto" w:fill="F2CEEF"/>
            <w:tcMar>
              <w:left w:w="70" w:type="dxa"/>
              <w:right w:w="70" w:type="dxa"/>
            </w:tcMar>
            <w:vAlign w:val="center"/>
          </w:tcPr>
          <w:p w14:paraId="5A3F5C03" w14:textId="77777777" w:rsidR="000F4780" w:rsidRPr="00A81971" w:rsidRDefault="0032495C" w:rsidP="00A90CB5">
            <w:pPr>
              <w:tabs>
                <w:tab w:val="left" w:pos="720"/>
              </w:tabs>
              <w:spacing w:after="0"/>
              <w:jc w:val="right"/>
              <w:rPr>
                <w:rFonts w:eastAsia="Times New Roman"/>
                <w:b/>
                <w:bCs/>
                <w:color w:val="000000" w:themeColor="text1"/>
              </w:rPr>
            </w:pPr>
            <w:r w:rsidRPr="00A81971">
              <w:rPr>
                <w:b/>
                <w:bCs/>
              </w:rPr>
              <w:t>106.02</w:t>
            </w:r>
          </w:p>
        </w:tc>
        <w:tc>
          <w:tcPr>
            <w:tcW w:w="455" w:type="pct"/>
            <w:shd w:val="clear" w:color="auto" w:fill="F2CEEF"/>
            <w:tcMar>
              <w:left w:w="70" w:type="dxa"/>
              <w:right w:w="70" w:type="dxa"/>
            </w:tcMar>
            <w:vAlign w:val="center"/>
          </w:tcPr>
          <w:p w14:paraId="4BB9D613" w14:textId="77777777" w:rsidR="000F4780" w:rsidRPr="00A81971" w:rsidRDefault="0032495C" w:rsidP="00A90CB5">
            <w:pPr>
              <w:tabs>
                <w:tab w:val="left" w:pos="720"/>
              </w:tabs>
              <w:spacing w:after="0"/>
              <w:jc w:val="right"/>
              <w:rPr>
                <w:b/>
                <w:bCs/>
              </w:rPr>
            </w:pPr>
            <w:r w:rsidRPr="00A81971">
              <w:rPr>
                <w:b/>
                <w:bCs/>
              </w:rPr>
              <w:t>15.37</w:t>
            </w:r>
          </w:p>
        </w:tc>
        <w:tc>
          <w:tcPr>
            <w:tcW w:w="455" w:type="pct"/>
            <w:shd w:val="clear" w:color="auto" w:fill="F2CEEF"/>
            <w:tcMar>
              <w:left w:w="70" w:type="dxa"/>
              <w:right w:w="70" w:type="dxa"/>
            </w:tcMar>
            <w:vAlign w:val="center"/>
          </w:tcPr>
          <w:p w14:paraId="335681D3" w14:textId="77777777" w:rsidR="000F4780" w:rsidRPr="00A81971" w:rsidRDefault="0032495C" w:rsidP="00A90CB5">
            <w:pPr>
              <w:tabs>
                <w:tab w:val="left" w:pos="720"/>
              </w:tabs>
              <w:spacing w:after="0"/>
              <w:jc w:val="right"/>
              <w:rPr>
                <w:b/>
                <w:bCs/>
              </w:rPr>
            </w:pPr>
            <w:r w:rsidRPr="00A81971">
              <w:rPr>
                <w:b/>
                <w:bCs/>
              </w:rPr>
              <w:t>8.07</w:t>
            </w:r>
          </w:p>
        </w:tc>
      </w:tr>
      <w:tr w:rsidR="00F90461" w14:paraId="7E9B04F0" w14:textId="77777777" w:rsidTr="00FE5C31">
        <w:trPr>
          <w:trHeight w:val="277"/>
        </w:trPr>
        <w:tc>
          <w:tcPr>
            <w:tcW w:w="1439" w:type="pct"/>
            <w:shd w:val="clear" w:color="auto" w:fill="FFFF00"/>
            <w:tcMar>
              <w:left w:w="70" w:type="dxa"/>
              <w:right w:w="70" w:type="dxa"/>
            </w:tcMar>
            <w:vAlign w:val="center"/>
          </w:tcPr>
          <w:p w14:paraId="0067A721" w14:textId="77777777" w:rsidR="00526DCD" w:rsidRPr="00A81971" w:rsidRDefault="0032495C" w:rsidP="00526DCD">
            <w:pPr>
              <w:tabs>
                <w:tab w:val="left" w:pos="720"/>
              </w:tabs>
              <w:spacing w:after="0"/>
              <w:rPr>
                <w:rFonts w:eastAsia="Times New Roman"/>
                <w:b/>
                <w:bCs/>
                <w:color w:val="000000" w:themeColor="text1"/>
              </w:rPr>
            </w:pPr>
            <w:r w:rsidRPr="00A81971">
              <w:rPr>
                <w:rFonts w:eastAsia="Times New Roman"/>
                <w:b/>
                <w:bCs/>
                <w:color w:val="000000" w:themeColor="text1"/>
              </w:rPr>
              <w:t>Total for HFC Consumption Sector</w:t>
            </w:r>
          </w:p>
        </w:tc>
        <w:tc>
          <w:tcPr>
            <w:tcW w:w="829" w:type="pct"/>
            <w:shd w:val="clear" w:color="auto" w:fill="FFFF00"/>
            <w:tcMar>
              <w:left w:w="70" w:type="dxa"/>
              <w:right w:w="70" w:type="dxa"/>
            </w:tcMar>
            <w:vAlign w:val="center"/>
          </w:tcPr>
          <w:p w14:paraId="23834D8B" w14:textId="77777777" w:rsidR="00526DCD" w:rsidRPr="00A81971" w:rsidRDefault="0032495C" w:rsidP="00A90CB5">
            <w:pPr>
              <w:tabs>
                <w:tab w:val="left" w:pos="720"/>
              </w:tabs>
              <w:spacing w:after="0"/>
              <w:jc w:val="right"/>
              <w:rPr>
                <w:b/>
                <w:bCs/>
              </w:rPr>
            </w:pPr>
            <w:r w:rsidRPr="00A81971">
              <w:rPr>
                <w:b/>
                <w:bCs/>
              </w:rPr>
              <w:t>2,352.17</w:t>
            </w:r>
          </w:p>
        </w:tc>
        <w:tc>
          <w:tcPr>
            <w:tcW w:w="455" w:type="pct"/>
            <w:shd w:val="clear" w:color="auto" w:fill="FFFF00"/>
            <w:tcMar>
              <w:left w:w="70" w:type="dxa"/>
              <w:right w:w="70" w:type="dxa"/>
            </w:tcMar>
            <w:vAlign w:val="center"/>
          </w:tcPr>
          <w:p w14:paraId="7F429BF2" w14:textId="77777777" w:rsidR="00526DCD" w:rsidRPr="00A81971" w:rsidRDefault="0032495C" w:rsidP="00A90CB5">
            <w:pPr>
              <w:tabs>
                <w:tab w:val="left" w:pos="720"/>
              </w:tabs>
              <w:spacing w:after="0"/>
              <w:jc w:val="right"/>
              <w:rPr>
                <w:b/>
                <w:bCs/>
              </w:rPr>
            </w:pPr>
            <w:r w:rsidRPr="00A81971">
              <w:rPr>
                <w:b/>
                <w:bCs/>
              </w:rPr>
              <w:t>995.03</w:t>
            </w:r>
          </w:p>
        </w:tc>
        <w:tc>
          <w:tcPr>
            <w:tcW w:w="455" w:type="pct"/>
            <w:shd w:val="clear" w:color="auto" w:fill="FFFF00"/>
            <w:tcMar>
              <w:left w:w="70" w:type="dxa"/>
              <w:right w:w="70" w:type="dxa"/>
            </w:tcMar>
            <w:vAlign w:val="center"/>
          </w:tcPr>
          <w:p w14:paraId="396581F5" w14:textId="77777777" w:rsidR="00526DCD" w:rsidRPr="00A81971" w:rsidRDefault="0032495C" w:rsidP="00A90CB5">
            <w:pPr>
              <w:tabs>
                <w:tab w:val="left" w:pos="720"/>
              </w:tabs>
              <w:spacing w:after="0"/>
              <w:jc w:val="right"/>
              <w:rPr>
                <w:b/>
                <w:bCs/>
              </w:rPr>
            </w:pPr>
            <w:r w:rsidRPr="00A81971">
              <w:rPr>
                <w:b/>
                <w:bCs/>
              </w:rPr>
              <w:t>887.36</w:t>
            </w:r>
          </w:p>
        </w:tc>
        <w:tc>
          <w:tcPr>
            <w:tcW w:w="456" w:type="pct"/>
            <w:gridSpan w:val="2"/>
            <w:shd w:val="clear" w:color="auto" w:fill="FFFF00"/>
            <w:tcMar>
              <w:left w:w="70" w:type="dxa"/>
              <w:right w:w="70" w:type="dxa"/>
            </w:tcMar>
            <w:vAlign w:val="center"/>
          </w:tcPr>
          <w:p w14:paraId="06377557" w14:textId="77777777" w:rsidR="00526DCD" w:rsidRPr="0009580C" w:rsidRDefault="0032495C" w:rsidP="00A90CB5">
            <w:pPr>
              <w:tabs>
                <w:tab w:val="left" w:pos="720"/>
              </w:tabs>
              <w:spacing w:after="0"/>
              <w:jc w:val="right"/>
            </w:pPr>
            <w:r w:rsidRPr="00A81971">
              <w:rPr>
                <w:b/>
                <w:bCs/>
              </w:rPr>
              <w:t>469.77</w:t>
            </w:r>
          </w:p>
        </w:tc>
        <w:tc>
          <w:tcPr>
            <w:tcW w:w="455" w:type="pct"/>
            <w:shd w:val="clear" w:color="auto" w:fill="FFFF00"/>
            <w:tcMar>
              <w:left w:w="70" w:type="dxa"/>
              <w:right w:w="70" w:type="dxa"/>
            </w:tcMar>
            <w:vAlign w:val="center"/>
          </w:tcPr>
          <w:p w14:paraId="189D3C36" w14:textId="77777777" w:rsidR="00526DCD" w:rsidRPr="00A81971" w:rsidRDefault="0032495C" w:rsidP="00A90CB5">
            <w:pPr>
              <w:tabs>
                <w:tab w:val="left" w:pos="720"/>
              </w:tabs>
              <w:spacing w:after="0"/>
              <w:jc w:val="right"/>
              <w:rPr>
                <w:b/>
                <w:bCs/>
              </w:rPr>
            </w:pPr>
            <w:r w:rsidRPr="00A81971">
              <w:rPr>
                <w:b/>
                <w:bCs/>
              </w:rPr>
              <w:t>690.32</w:t>
            </w:r>
          </w:p>
        </w:tc>
        <w:tc>
          <w:tcPr>
            <w:tcW w:w="455" w:type="pct"/>
            <w:shd w:val="clear" w:color="auto" w:fill="FFFF00"/>
            <w:tcMar>
              <w:left w:w="70" w:type="dxa"/>
              <w:right w:w="70" w:type="dxa"/>
            </w:tcMar>
            <w:vAlign w:val="center"/>
          </w:tcPr>
          <w:p w14:paraId="631BA088" w14:textId="77777777" w:rsidR="00526DCD" w:rsidRPr="0009580C" w:rsidRDefault="0032495C" w:rsidP="00A90CB5">
            <w:pPr>
              <w:tabs>
                <w:tab w:val="left" w:pos="720"/>
              </w:tabs>
              <w:spacing w:after="0"/>
              <w:jc w:val="right"/>
            </w:pPr>
            <w:r w:rsidRPr="00A81971">
              <w:rPr>
                <w:b/>
                <w:bCs/>
              </w:rPr>
              <w:t>1,075.01</w:t>
            </w:r>
          </w:p>
        </w:tc>
        <w:tc>
          <w:tcPr>
            <w:tcW w:w="455" w:type="pct"/>
            <w:shd w:val="clear" w:color="auto" w:fill="FFFF00"/>
            <w:tcMar>
              <w:left w:w="70" w:type="dxa"/>
              <w:right w:w="70" w:type="dxa"/>
            </w:tcMar>
            <w:vAlign w:val="center"/>
          </w:tcPr>
          <w:p w14:paraId="35EA7519" w14:textId="77777777" w:rsidR="00526DCD" w:rsidRPr="00A81971" w:rsidRDefault="0032495C" w:rsidP="00A90CB5">
            <w:pPr>
              <w:tabs>
                <w:tab w:val="left" w:pos="720"/>
              </w:tabs>
              <w:spacing w:after="0"/>
              <w:jc w:val="right"/>
              <w:rPr>
                <w:b/>
                <w:bCs/>
              </w:rPr>
            </w:pPr>
            <w:r w:rsidRPr="00A81971">
              <w:rPr>
                <w:b/>
                <w:bCs/>
              </w:rPr>
              <w:t>586.83</w:t>
            </w:r>
          </w:p>
        </w:tc>
      </w:tr>
    </w:tbl>
    <w:p w14:paraId="1C19689F" w14:textId="77777777" w:rsidR="00C646EE" w:rsidRDefault="00C646EE" w:rsidP="00356DE4">
      <w:pPr>
        <w:spacing w:after="0"/>
        <w:rPr>
          <w:rFonts w:eastAsia="Times New Roman"/>
          <w:color w:val="000000" w:themeColor="text1"/>
        </w:rPr>
        <w:sectPr w:rsidR="00C646EE" w:rsidSect="00682762">
          <w:pgSz w:w="16838" w:h="11906" w:orient="landscape" w:code="9"/>
          <w:pgMar w:top="1411" w:right="1411" w:bottom="1411" w:left="1411" w:header="706" w:footer="706" w:gutter="0"/>
          <w:cols w:space="708"/>
          <w:docGrid w:linePitch="360"/>
        </w:sectPr>
      </w:pPr>
    </w:p>
    <w:p w14:paraId="15CF51F0" w14:textId="77777777" w:rsidR="00B37A06" w:rsidRPr="00A81971" w:rsidRDefault="0032495C" w:rsidP="00356DE4">
      <w:pPr>
        <w:spacing w:after="0"/>
        <w:rPr>
          <w:rFonts w:eastAsia="Times New Roman"/>
          <w:color w:val="000000" w:themeColor="text1"/>
        </w:rPr>
      </w:pPr>
      <w:r w:rsidRPr="00A81971">
        <w:rPr>
          <w:rFonts w:eastAsia="Times New Roman"/>
          <w:color w:val="000000" w:themeColor="text1"/>
        </w:rPr>
        <w:lastRenderedPageBreak/>
        <w:t>Table 2.7 below summarises the total updated estimated funding requirement for the HFC consumption sector for the 2027-2029 and future triennia and presents a range per triennium.</w:t>
      </w:r>
    </w:p>
    <w:p w14:paraId="4D87242D" w14:textId="77777777" w:rsidR="00DA232D" w:rsidRPr="00A81971" w:rsidRDefault="00DA232D" w:rsidP="00356DE4">
      <w:pPr>
        <w:spacing w:after="0"/>
        <w:rPr>
          <w:rFonts w:eastAsia="Times New Roman"/>
          <w:b/>
          <w:bCs/>
          <w:color w:val="000000" w:themeColor="text1"/>
        </w:rPr>
      </w:pPr>
    </w:p>
    <w:p w14:paraId="5483B0D5" w14:textId="77777777" w:rsidR="00922E08" w:rsidRPr="00E433E4" w:rsidRDefault="0032495C" w:rsidP="00B8663A">
      <w:pPr>
        <w:tabs>
          <w:tab w:val="left" w:pos="0"/>
          <w:tab w:val="left" w:pos="1276"/>
        </w:tabs>
        <w:spacing w:after="120"/>
        <w:ind w:left="1282" w:hanging="1282"/>
      </w:pPr>
      <w:r w:rsidRPr="0006445E">
        <w:rPr>
          <w:rFonts w:eastAsia="Yu Mincho"/>
          <w:b/>
          <w:bCs/>
          <w:color w:val="000000"/>
          <w:lang w:val="en-CA"/>
        </w:rPr>
        <w:t xml:space="preserve">Table </w:t>
      </w:r>
      <w:r>
        <w:rPr>
          <w:rFonts w:eastAsia="Yu Mincho"/>
          <w:b/>
          <w:bCs/>
          <w:color w:val="000000"/>
          <w:lang w:val="en-CA"/>
        </w:rPr>
        <w:t>2.7:</w:t>
      </w:r>
      <w:r w:rsidRPr="0006445E">
        <w:rPr>
          <w:rFonts w:eastAsia="Times New Roman"/>
          <w:color w:val="000000"/>
          <w:lang w:val="en-CA"/>
        </w:rPr>
        <w:tab/>
      </w:r>
      <w:r w:rsidRPr="00A81971">
        <w:rPr>
          <w:rFonts w:eastAsia="Times New Roman"/>
          <w:b/>
          <w:bCs/>
          <w:color w:val="000000" w:themeColor="text1"/>
        </w:rPr>
        <w:t>Summary of the total updated estimated funding ranges for the HFC consumption sector for 2027-2029 and future triennia</w:t>
      </w:r>
      <w:r w:rsidRPr="00A81971">
        <w:rPr>
          <w:b/>
          <w:bCs/>
        </w:rPr>
        <w:t xml:space="preserve"> (US$ million)</w:t>
      </w:r>
      <w:r w:rsidR="00DA75D7" w:rsidRPr="00A81971">
        <w:rPr>
          <w:rFonts w:eastAsia="Times New Roman"/>
          <w:color w:val="000000"/>
        </w:rPr>
        <w:tab/>
      </w:r>
      <w:r w:rsidR="00DA75D7" w:rsidRPr="00A81971">
        <w:rPr>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3317"/>
        <w:gridCol w:w="3241"/>
      </w:tblGrid>
      <w:tr w:rsidR="00F90461" w14:paraId="5350851C" w14:textId="77777777" w:rsidTr="00B8663A">
        <w:trPr>
          <w:trHeight w:val="300"/>
          <w:jc w:val="center"/>
        </w:trPr>
        <w:tc>
          <w:tcPr>
            <w:tcW w:w="1386" w:type="pct"/>
            <w:vMerge w:val="restart"/>
            <w:shd w:val="clear" w:color="auto" w:fill="DEEAF6" w:themeFill="accent5" w:themeFillTint="33"/>
            <w:vAlign w:val="center"/>
          </w:tcPr>
          <w:p w14:paraId="5B23B717" w14:textId="77777777" w:rsidR="6EDB0298" w:rsidRPr="00A81971" w:rsidRDefault="0032495C" w:rsidP="008869E3">
            <w:pPr>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Triennium</w:t>
            </w:r>
            <w:r w:rsidRPr="00A81971">
              <w:rPr>
                <w:rFonts w:eastAsia="Times New Roman"/>
                <w:color w:val="000000" w:themeColor="text1"/>
                <w:sz w:val="21"/>
                <w:szCs w:val="21"/>
              </w:rPr>
              <w:t xml:space="preserve"> </w:t>
            </w:r>
          </w:p>
        </w:tc>
        <w:tc>
          <w:tcPr>
            <w:tcW w:w="3614" w:type="pct"/>
            <w:gridSpan w:val="2"/>
            <w:shd w:val="clear" w:color="auto" w:fill="DEEAF6" w:themeFill="accent5" w:themeFillTint="33"/>
            <w:vAlign w:val="center"/>
          </w:tcPr>
          <w:p w14:paraId="0433D3C9" w14:textId="77777777" w:rsidR="6EDB0298" w:rsidRPr="00A81971" w:rsidRDefault="0032495C" w:rsidP="008869E3">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 xml:space="preserve">HFC CONSUMPTION SECTOR ESTIMATED </w:t>
            </w:r>
            <w:r w:rsidRPr="00A81971">
              <w:br/>
            </w:r>
            <w:r w:rsidRPr="00A81971">
              <w:rPr>
                <w:rFonts w:eastAsia="Times New Roman"/>
                <w:b/>
                <w:bCs/>
                <w:color w:val="000000" w:themeColor="text1"/>
                <w:sz w:val="21"/>
                <w:szCs w:val="21"/>
              </w:rPr>
              <w:t>FUNDING RANGE</w:t>
            </w:r>
          </w:p>
        </w:tc>
      </w:tr>
      <w:tr w:rsidR="00F90461" w14:paraId="60ABFE93" w14:textId="77777777" w:rsidTr="00B8663A">
        <w:trPr>
          <w:trHeight w:val="60"/>
          <w:jc w:val="center"/>
        </w:trPr>
        <w:tc>
          <w:tcPr>
            <w:tcW w:w="1386" w:type="pct"/>
            <w:vMerge/>
            <w:vAlign w:val="center"/>
          </w:tcPr>
          <w:p w14:paraId="530F5AC3" w14:textId="77777777" w:rsidR="00B36758" w:rsidRPr="00A81971" w:rsidRDefault="00B36758"/>
        </w:tc>
        <w:tc>
          <w:tcPr>
            <w:tcW w:w="1828" w:type="pct"/>
            <w:shd w:val="clear" w:color="auto" w:fill="DEEAF6" w:themeFill="accent5" w:themeFillTint="33"/>
            <w:vAlign w:val="center"/>
          </w:tcPr>
          <w:p w14:paraId="0F19D1A5" w14:textId="77777777" w:rsidR="6EDB0298" w:rsidRPr="00A81971" w:rsidRDefault="0032495C" w:rsidP="008869E3">
            <w:pPr>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Resource Allocation A</w:t>
            </w:r>
            <w:r w:rsidRPr="00A81971">
              <w:rPr>
                <w:rFonts w:eastAsia="Times New Roman"/>
                <w:color w:val="000000" w:themeColor="text1"/>
                <w:sz w:val="21"/>
                <w:szCs w:val="21"/>
              </w:rPr>
              <w:t xml:space="preserve"> </w:t>
            </w:r>
          </w:p>
        </w:tc>
        <w:tc>
          <w:tcPr>
            <w:tcW w:w="1785" w:type="pct"/>
            <w:shd w:val="clear" w:color="auto" w:fill="DEEAF6" w:themeFill="accent5" w:themeFillTint="33"/>
            <w:vAlign w:val="center"/>
          </w:tcPr>
          <w:p w14:paraId="6C8C6282" w14:textId="77777777" w:rsidR="6EDB0298" w:rsidRPr="00A81971" w:rsidRDefault="0032495C" w:rsidP="008869E3">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Resource Allocation B</w:t>
            </w:r>
          </w:p>
        </w:tc>
      </w:tr>
      <w:tr w:rsidR="00F90461" w14:paraId="1F29185E" w14:textId="77777777" w:rsidTr="00B8663A">
        <w:trPr>
          <w:trHeight w:val="285"/>
          <w:jc w:val="center"/>
        </w:trPr>
        <w:tc>
          <w:tcPr>
            <w:tcW w:w="1386" w:type="pct"/>
            <w:shd w:val="clear" w:color="auto" w:fill="FFFF00"/>
            <w:vAlign w:val="bottom"/>
          </w:tcPr>
          <w:p w14:paraId="4152363A" w14:textId="77777777" w:rsidR="6EDB0298" w:rsidRPr="00A81971" w:rsidRDefault="0032495C" w:rsidP="008869E3">
            <w:pPr>
              <w:tabs>
                <w:tab w:val="left" w:pos="720"/>
              </w:tabs>
              <w:spacing w:after="0"/>
              <w:jc w:val="center"/>
              <w:rPr>
                <w:rFonts w:eastAsia="Times New Roman"/>
                <w:color w:val="000000" w:themeColor="text1"/>
              </w:rPr>
            </w:pPr>
            <w:r w:rsidRPr="00A81971">
              <w:rPr>
                <w:rFonts w:eastAsia="Times New Roman"/>
                <w:b/>
                <w:bCs/>
                <w:color w:val="000000" w:themeColor="text1"/>
              </w:rPr>
              <w:t>2027–2029</w:t>
            </w:r>
            <w:r w:rsidRPr="00A81971">
              <w:rPr>
                <w:rFonts w:eastAsia="Times New Roman"/>
                <w:color w:val="000000" w:themeColor="text1"/>
              </w:rPr>
              <w:t xml:space="preserve"> </w:t>
            </w:r>
          </w:p>
        </w:tc>
        <w:tc>
          <w:tcPr>
            <w:tcW w:w="1828" w:type="pct"/>
            <w:shd w:val="clear" w:color="auto" w:fill="FFFF00"/>
            <w:vAlign w:val="center"/>
          </w:tcPr>
          <w:p w14:paraId="09F72D55"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95</w:t>
            </w:r>
            <w:r w:rsidR="008845CE" w:rsidRPr="00A81971">
              <w:rPr>
                <w:rFonts w:eastAsia="Times New Roman"/>
                <w:b/>
                <w:bCs/>
                <w:color w:val="000000" w:themeColor="text1"/>
              </w:rPr>
              <w:t>8</w:t>
            </w:r>
            <w:r w:rsidR="006F4486" w:rsidRPr="00A81971">
              <w:rPr>
                <w:rFonts w:eastAsia="Times New Roman"/>
                <w:b/>
                <w:bCs/>
                <w:color w:val="000000" w:themeColor="text1"/>
              </w:rPr>
              <w:t xml:space="preserve"> </w:t>
            </w:r>
            <w:r w:rsidR="009B19E0" w:rsidRPr="00A81971">
              <w:rPr>
                <w:rFonts w:eastAsia="Times New Roman"/>
                <w:b/>
                <w:bCs/>
                <w:color w:val="000000" w:themeColor="text1"/>
              </w:rPr>
              <w:t>–</w:t>
            </w:r>
            <w:r w:rsidR="006F4486" w:rsidRPr="00A81971">
              <w:rPr>
                <w:rFonts w:eastAsia="Times New Roman"/>
                <w:b/>
                <w:bCs/>
                <w:color w:val="000000" w:themeColor="text1"/>
              </w:rPr>
              <w:t xml:space="preserve"> </w:t>
            </w:r>
            <w:r w:rsidRPr="00A81971">
              <w:rPr>
                <w:rFonts w:eastAsia="Times New Roman"/>
                <w:b/>
                <w:bCs/>
                <w:color w:val="000000" w:themeColor="text1"/>
              </w:rPr>
              <w:t>9</w:t>
            </w:r>
            <w:r w:rsidR="00E5220F" w:rsidRPr="00A81971">
              <w:rPr>
                <w:rFonts w:eastAsia="Times New Roman"/>
                <w:b/>
                <w:bCs/>
                <w:color w:val="000000" w:themeColor="text1"/>
              </w:rPr>
              <w:t>95</w:t>
            </w:r>
          </w:p>
        </w:tc>
        <w:tc>
          <w:tcPr>
            <w:tcW w:w="1785" w:type="pct"/>
            <w:shd w:val="clear" w:color="auto" w:fill="FFFF00"/>
            <w:vAlign w:val="center"/>
          </w:tcPr>
          <w:p w14:paraId="6A92DCAF"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 xml:space="preserve">660 </w:t>
            </w:r>
            <w:r w:rsidR="009B19E0" w:rsidRPr="00A81971">
              <w:rPr>
                <w:rFonts w:eastAsia="Times New Roman"/>
                <w:b/>
                <w:bCs/>
                <w:color w:val="000000" w:themeColor="text1"/>
              </w:rPr>
              <w:t>–</w:t>
            </w:r>
            <w:r w:rsidRPr="00A81971">
              <w:rPr>
                <w:rFonts w:eastAsia="Times New Roman"/>
                <w:b/>
                <w:bCs/>
                <w:color w:val="000000" w:themeColor="text1"/>
              </w:rPr>
              <w:t xml:space="preserve"> 690</w:t>
            </w:r>
          </w:p>
        </w:tc>
      </w:tr>
      <w:tr w:rsidR="00F90461" w14:paraId="4108A01D" w14:textId="77777777" w:rsidTr="00B8663A">
        <w:trPr>
          <w:trHeight w:val="285"/>
          <w:jc w:val="center"/>
        </w:trPr>
        <w:tc>
          <w:tcPr>
            <w:tcW w:w="1386" w:type="pct"/>
            <w:shd w:val="clear" w:color="auto" w:fill="FFFF00"/>
            <w:vAlign w:val="bottom"/>
          </w:tcPr>
          <w:p w14:paraId="06988C1E" w14:textId="77777777" w:rsidR="6EDB0298" w:rsidRPr="00A81971" w:rsidRDefault="0032495C" w:rsidP="008869E3">
            <w:pPr>
              <w:tabs>
                <w:tab w:val="left" w:pos="720"/>
              </w:tabs>
              <w:spacing w:after="0"/>
              <w:jc w:val="center"/>
              <w:rPr>
                <w:rFonts w:eastAsia="Times New Roman"/>
                <w:color w:val="000000" w:themeColor="text1"/>
              </w:rPr>
            </w:pPr>
            <w:r w:rsidRPr="00A81971">
              <w:rPr>
                <w:rFonts w:eastAsia="Times New Roman"/>
                <w:b/>
                <w:bCs/>
                <w:color w:val="000000" w:themeColor="text1"/>
              </w:rPr>
              <w:t>2030–2032</w:t>
            </w:r>
            <w:r w:rsidRPr="00A81971">
              <w:rPr>
                <w:rFonts w:eastAsia="Times New Roman"/>
                <w:color w:val="000000" w:themeColor="text1"/>
              </w:rPr>
              <w:t xml:space="preserve"> </w:t>
            </w:r>
          </w:p>
        </w:tc>
        <w:tc>
          <w:tcPr>
            <w:tcW w:w="1828" w:type="pct"/>
            <w:shd w:val="clear" w:color="auto" w:fill="FFFF00"/>
            <w:vAlign w:val="center"/>
          </w:tcPr>
          <w:p w14:paraId="254416B1"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860</w:t>
            </w:r>
            <w:r w:rsidR="006F4486" w:rsidRPr="00A81971">
              <w:rPr>
                <w:rFonts w:eastAsia="Times New Roman"/>
                <w:b/>
                <w:bCs/>
                <w:color w:val="000000" w:themeColor="text1"/>
              </w:rPr>
              <w:t xml:space="preserve"> </w:t>
            </w:r>
            <w:r w:rsidR="009B19E0" w:rsidRPr="00A81971">
              <w:rPr>
                <w:rFonts w:eastAsia="Times New Roman"/>
                <w:b/>
                <w:bCs/>
                <w:color w:val="000000" w:themeColor="text1"/>
              </w:rPr>
              <w:t>–</w:t>
            </w:r>
            <w:r w:rsidR="00224AE1" w:rsidRPr="00A81971">
              <w:rPr>
                <w:rFonts w:eastAsia="Times New Roman"/>
                <w:b/>
                <w:bCs/>
                <w:color w:val="000000" w:themeColor="text1"/>
              </w:rPr>
              <w:t xml:space="preserve"> </w:t>
            </w:r>
            <w:r w:rsidR="00410649" w:rsidRPr="00A81971">
              <w:rPr>
                <w:rFonts w:eastAsia="Times New Roman"/>
                <w:b/>
                <w:bCs/>
                <w:color w:val="000000" w:themeColor="text1"/>
              </w:rPr>
              <w:t>887</w:t>
            </w:r>
          </w:p>
        </w:tc>
        <w:tc>
          <w:tcPr>
            <w:tcW w:w="1785" w:type="pct"/>
            <w:shd w:val="clear" w:color="auto" w:fill="FFFF00"/>
            <w:vAlign w:val="center"/>
          </w:tcPr>
          <w:p w14:paraId="40275C31"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1,043 – 1,0</w:t>
            </w:r>
            <w:r w:rsidR="0066773D" w:rsidRPr="00A81971">
              <w:rPr>
                <w:rFonts w:eastAsia="Times New Roman"/>
                <w:b/>
                <w:bCs/>
                <w:color w:val="000000" w:themeColor="text1"/>
              </w:rPr>
              <w:t>75</w:t>
            </w:r>
          </w:p>
        </w:tc>
      </w:tr>
      <w:tr w:rsidR="00F90461" w14:paraId="7105D7C4" w14:textId="77777777" w:rsidTr="00B8663A">
        <w:trPr>
          <w:trHeight w:val="285"/>
          <w:jc w:val="center"/>
        </w:trPr>
        <w:tc>
          <w:tcPr>
            <w:tcW w:w="1386" w:type="pct"/>
            <w:shd w:val="clear" w:color="auto" w:fill="FFFF00"/>
            <w:vAlign w:val="bottom"/>
          </w:tcPr>
          <w:p w14:paraId="02F349FC" w14:textId="77777777" w:rsidR="6EDB0298" w:rsidRPr="00A81971" w:rsidRDefault="0032495C" w:rsidP="008869E3">
            <w:pPr>
              <w:tabs>
                <w:tab w:val="left" w:pos="720"/>
              </w:tabs>
              <w:spacing w:after="0"/>
              <w:jc w:val="center"/>
              <w:rPr>
                <w:rFonts w:eastAsia="Times New Roman"/>
                <w:color w:val="000000" w:themeColor="text1"/>
              </w:rPr>
            </w:pPr>
            <w:r w:rsidRPr="00A81971">
              <w:rPr>
                <w:rFonts w:eastAsia="Times New Roman"/>
                <w:b/>
                <w:bCs/>
                <w:color w:val="000000" w:themeColor="text1"/>
              </w:rPr>
              <w:t>2033–2035</w:t>
            </w:r>
            <w:r w:rsidRPr="00A81971">
              <w:rPr>
                <w:rFonts w:eastAsia="Times New Roman"/>
                <w:color w:val="000000" w:themeColor="text1"/>
              </w:rPr>
              <w:t xml:space="preserve"> </w:t>
            </w:r>
          </w:p>
        </w:tc>
        <w:tc>
          <w:tcPr>
            <w:tcW w:w="1828" w:type="pct"/>
            <w:shd w:val="clear" w:color="auto" w:fill="FFFF00"/>
            <w:vAlign w:val="center"/>
          </w:tcPr>
          <w:p w14:paraId="4A6A0D08"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 xml:space="preserve">454 </w:t>
            </w:r>
            <w:r w:rsidR="009B19E0" w:rsidRPr="00A81971">
              <w:rPr>
                <w:rFonts w:eastAsia="Times New Roman"/>
                <w:b/>
                <w:bCs/>
                <w:color w:val="000000" w:themeColor="text1"/>
              </w:rPr>
              <w:t>–</w:t>
            </w:r>
            <w:r w:rsidRPr="00A81971">
              <w:rPr>
                <w:rFonts w:eastAsia="Times New Roman"/>
                <w:b/>
                <w:bCs/>
                <w:color w:val="000000" w:themeColor="text1"/>
              </w:rPr>
              <w:t xml:space="preserve"> 470</w:t>
            </w:r>
          </w:p>
        </w:tc>
        <w:tc>
          <w:tcPr>
            <w:tcW w:w="1785" w:type="pct"/>
            <w:shd w:val="clear" w:color="auto" w:fill="FFFF00"/>
            <w:vAlign w:val="center"/>
          </w:tcPr>
          <w:p w14:paraId="6182C67F" w14:textId="77777777" w:rsidR="6EDB0298" w:rsidRPr="00A81971" w:rsidRDefault="0032495C" w:rsidP="008869E3">
            <w:pPr>
              <w:tabs>
                <w:tab w:val="left" w:pos="720"/>
              </w:tabs>
              <w:spacing w:after="0"/>
              <w:jc w:val="center"/>
              <w:rPr>
                <w:rFonts w:eastAsia="Times New Roman"/>
                <w:b/>
                <w:bCs/>
                <w:color w:val="000000" w:themeColor="text1"/>
              </w:rPr>
            </w:pPr>
            <w:r w:rsidRPr="00A81971">
              <w:rPr>
                <w:rFonts w:eastAsia="Times New Roman"/>
                <w:b/>
                <w:bCs/>
                <w:color w:val="000000" w:themeColor="text1"/>
              </w:rPr>
              <w:t>569</w:t>
            </w:r>
            <w:r w:rsidR="00B863C3" w:rsidRPr="00A81971">
              <w:rPr>
                <w:rFonts w:eastAsia="Times New Roman"/>
                <w:b/>
                <w:bCs/>
                <w:color w:val="000000" w:themeColor="text1"/>
              </w:rPr>
              <w:t xml:space="preserve"> </w:t>
            </w:r>
            <w:r w:rsidR="009B19E0" w:rsidRPr="00A81971">
              <w:rPr>
                <w:rFonts w:eastAsia="Times New Roman"/>
                <w:b/>
                <w:bCs/>
                <w:color w:val="000000" w:themeColor="text1"/>
              </w:rPr>
              <w:t>–</w:t>
            </w:r>
            <w:r w:rsidR="00B863C3" w:rsidRPr="00A81971">
              <w:rPr>
                <w:rFonts w:eastAsia="Times New Roman"/>
                <w:b/>
                <w:bCs/>
                <w:color w:val="000000" w:themeColor="text1"/>
              </w:rPr>
              <w:t xml:space="preserve"> 587</w:t>
            </w:r>
          </w:p>
        </w:tc>
      </w:tr>
    </w:tbl>
    <w:p w14:paraId="08336E0C" w14:textId="77777777" w:rsidR="00922E08" w:rsidRPr="00A81971" w:rsidRDefault="0032495C" w:rsidP="00DA232D">
      <w:pPr>
        <w:spacing w:after="240"/>
        <w:rPr>
          <w:rFonts w:eastAsia="Times New Roman"/>
          <w:color w:val="000000" w:themeColor="text1"/>
        </w:rPr>
      </w:pPr>
      <w:r w:rsidRPr="00A81971">
        <w:rPr>
          <w:rFonts w:eastAsia="Times New Roman"/>
          <w:color w:val="000000" w:themeColor="text1"/>
        </w:rPr>
        <w:t xml:space="preserve"> </w:t>
      </w:r>
    </w:p>
    <w:p w14:paraId="38116EF1" w14:textId="034F7764" w:rsidR="00922E08" w:rsidRPr="00A81971" w:rsidRDefault="0032495C" w:rsidP="00FE5C31">
      <w:pPr>
        <w:spacing w:after="120"/>
        <w:ind w:left="709" w:hanging="709"/>
        <w:rPr>
          <w:rFonts w:eastAsia="Times New Roman"/>
          <w:b/>
          <w:bCs/>
          <w:i/>
          <w:iCs/>
          <w:color w:val="000000" w:themeColor="text1"/>
          <w:sz w:val="24"/>
          <w:szCs w:val="24"/>
        </w:rPr>
      </w:pPr>
      <w:r w:rsidRPr="00A81971">
        <w:rPr>
          <w:rFonts w:eastAsia="Times New Roman"/>
          <w:b/>
          <w:bCs/>
          <w:i/>
          <w:iCs/>
          <w:color w:val="000000" w:themeColor="text1"/>
          <w:sz w:val="24"/>
          <w:szCs w:val="24"/>
        </w:rPr>
        <w:t xml:space="preserve">2.3.2 </w:t>
      </w:r>
      <w:r w:rsidR="002E3156">
        <w:rPr>
          <w:rFonts w:eastAsia="Times New Roman"/>
          <w:b/>
          <w:bCs/>
          <w:i/>
          <w:iCs/>
          <w:color w:val="000000" w:themeColor="text1"/>
          <w:sz w:val="24"/>
          <w:szCs w:val="24"/>
        </w:rPr>
        <w:tab/>
      </w:r>
      <w:r w:rsidRPr="00FE5C31">
        <w:rPr>
          <w:rStyle w:val="Heading3Char3"/>
        </w:rPr>
        <w:t>Total updated estimated funding requirement for the HFC production sector phase-down and HFC-23 mitigation for 2027-2029</w:t>
      </w:r>
    </w:p>
    <w:p w14:paraId="0FD9F051" w14:textId="77777777" w:rsidR="00D81A43" w:rsidRPr="00A81971" w:rsidRDefault="0032495C" w:rsidP="5B9D9D24">
      <w:pPr>
        <w:spacing w:after="240"/>
        <w:rPr>
          <w:rFonts w:eastAsia="Times New Roman"/>
          <w:color w:val="000000" w:themeColor="text1"/>
        </w:rPr>
      </w:pPr>
      <w:r w:rsidRPr="00A81971">
        <w:rPr>
          <w:rFonts w:eastAsia="Times New Roman"/>
          <w:color w:val="000000" w:themeColor="text1"/>
        </w:rPr>
        <w:t xml:space="preserve">From its May 2026 Report, the RTF total estimated funding requirement for the 2027-2029 triennium for the HFC production sector and HFC-23 mitigation is US$ 11.76 million. </w:t>
      </w:r>
    </w:p>
    <w:p w14:paraId="36E501F5" w14:textId="77777777" w:rsidR="00D81A43" w:rsidRPr="00A81971" w:rsidRDefault="0032495C" w:rsidP="43EEFCCE">
      <w:pPr>
        <w:spacing w:after="240"/>
        <w:rPr>
          <w:rFonts w:eastAsia="Times New Roman"/>
          <w:color w:val="000000" w:themeColor="text1"/>
        </w:rPr>
      </w:pPr>
      <w:r w:rsidRPr="00A81971">
        <w:rPr>
          <w:rFonts w:eastAsia="Times New Roman"/>
          <w:color w:val="000000" w:themeColor="text1"/>
        </w:rPr>
        <w:t>T</w:t>
      </w:r>
      <w:r w:rsidR="00B33A4E" w:rsidRPr="00A81971">
        <w:rPr>
          <w:rFonts w:eastAsia="Times New Roman"/>
          <w:color w:val="000000" w:themeColor="text1"/>
        </w:rPr>
        <w:t>he RTF estimated US$ 150,000 for project preparation of HFC-23 emissions mitigation for China, and US$ 8,000,000 for HFC-23 mitigation investment project for control and phase out HFC-23 by-product emissions in India during 2027-2029</w:t>
      </w:r>
      <w:r w:rsidRPr="00A81971">
        <w:rPr>
          <w:rFonts w:eastAsia="Times New Roman"/>
          <w:color w:val="000000" w:themeColor="text1"/>
        </w:rPr>
        <w:t xml:space="preserve"> triennium.</w:t>
      </w:r>
    </w:p>
    <w:p w14:paraId="0A88E621" w14:textId="77777777" w:rsidR="00D303E9" w:rsidRPr="00A81971" w:rsidRDefault="0032495C" w:rsidP="00D303E9">
      <w:pPr>
        <w:spacing w:line="259" w:lineRule="auto"/>
      </w:pPr>
      <w:r w:rsidRPr="00A81971">
        <w:rPr>
          <w:rFonts w:eastAsia="Times New Roman"/>
          <w:color w:val="000000" w:themeColor="text1"/>
        </w:rPr>
        <w:t>The OEWG-48 Contact Group suggested to RTF for its supplementary report to consider “</w:t>
      </w:r>
      <w:r w:rsidRPr="00A81971">
        <w:rPr>
          <w:rFonts w:eastAsia="Times New Roman"/>
        </w:rPr>
        <w:t>HFC-23 mitigation scenarios that account for the ongoing operating costs, IOCs of approved MLF projects.”</w:t>
      </w:r>
      <w:r w:rsidRPr="00A81971">
        <w:rPr>
          <w:rFonts w:eastAsia="Times New Roman"/>
          <w:color w:val="000000" w:themeColor="text1"/>
        </w:rPr>
        <w:t xml:space="preserve"> </w:t>
      </w:r>
      <w:r w:rsidRPr="00A81971">
        <w:t>In response to this request, the RTF updated its estimates for the HFC production sector and HFC-23 mitigation. The funding requirement</w:t>
      </w:r>
      <w:r w:rsidR="00C6578C" w:rsidRPr="00A81971">
        <w:t xml:space="preserve"> </w:t>
      </w:r>
      <w:r w:rsidRPr="00A81971">
        <w:t>for both India and China is removed, with funding retained solely for projects approved for Argentina and Mexico. As summarised in Table 2.8, the total estimated funding requirement for HFC</w:t>
      </w:r>
      <w:r w:rsidR="00CD31DF" w:rsidRPr="00A81971">
        <w:noBreakHyphen/>
      </w:r>
      <w:r w:rsidRPr="00A81971">
        <w:t>23 mitigation over the 2027</w:t>
      </w:r>
      <w:r w:rsidR="00CD31DF" w:rsidRPr="00A81971">
        <w:noBreakHyphen/>
      </w:r>
      <w:r w:rsidRPr="00A81971">
        <w:t>2029 triennium amounts to US$ 1.61 million. This scenario yields a reduction of US$ 8.15 million in the updated estimated funding for the 2027</w:t>
      </w:r>
      <w:r w:rsidR="00CD31DF" w:rsidRPr="00A81971">
        <w:noBreakHyphen/>
      </w:r>
      <w:r w:rsidRPr="00A81971">
        <w:t>2029 triennium.</w:t>
      </w:r>
    </w:p>
    <w:p w14:paraId="40F13676" w14:textId="77777777" w:rsidR="00D303E9" w:rsidRPr="00FB2758" w:rsidRDefault="0032495C" w:rsidP="000D3BBB">
      <w:pPr>
        <w:tabs>
          <w:tab w:val="left" w:pos="0"/>
          <w:tab w:val="left" w:pos="1276"/>
        </w:tabs>
        <w:spacing w:after="120"/>
        <w:ind w:left="1282" w:hanging="1282"/>
      </w:pPr>
      <w:r w:rsidRPr="0006445E">
        <w:rPr>
          <w:rFonts w:eastAsia="Yu Mincho"/>
          <w:b/>
          <w:bCs/>
          <w:color w:val="000000"/>
          <w:lang w:val="en-CA"/>
        </w:rPr>
        <w:t xml:space="preserve">Table </w:t>
      </w:r>
      <w:r>
        <w:rPr>
          <w:rFonts w:eastAsia="Yu Mincho"/>
          <w:b/>
          <w:bCs/>
          <w:color w:val="000000"/>
          <w:lang w:val="en-CA"/>
        </w:rPr>
        <w:t>2.8:</w:t>
      </w:r>
      <w:r w:rsidRPr="0006445E">
        <w:rPr>
          <w:rFonts w:eastAsia="Times New Roman"/>
          <w:color w:val="000000"/>
          <w:lang w:val="en-CA"/>
        </w:rPr>
        <w:tab/>
      </w:r>
      <w:r w:rsidRPr="00A81971">
        <w:rPr>
          <w:b/>
          <w:bCs/>
          <w:color w:val="000000" w:themeColor="text1"/>
        </w:rPr>
        <w:t>HFC production sector phase-down and HFC-23 mitigation updated estimated funding requirements for the triennium 2027-2029 (US$ million)</w:t>
      </w:r>
      <w:r w:rsidR="00FB2758" w:rsidRPr="00A81971">
        <w:rPr>
          <w:rFonts w:eastAsia="Times New Roman"/>
          <w:color w:val="000000"/>
        </w:rPr>
        <w:tab/>
      </w:r>
      <w:r w:rsidR="00A44775" w:rsidRPr="00A81971">
        <w:rPr>
          <w:b/>
          <w:bCs/>
          <w:color w:val="000000" w:themeColor="text1"/>
        </w:rPr>
        <w:t xml:space="preserve"> </w:t>
      </w:r>
    </w:p>
    <w:tbl>
      <w:tblPr>
        <w:tblW w:w="5000" w:type="pct"/>
        <w:jc w:val="center"/>
        <w:tblLook w:val="04A0" w:firstRow="1" w:lastRow="0" w:firstColumn="1" w:lastColumn="0" w:noHBand="0" w:noVBand="1"/>
      </w:tblPr>
      <w:tblGrid>
        <w:gridCol w:w="6551"/>
        <w:gridCol w:w="2513"/>
      </w:tblGrid>
      <w:tr w:rsidR="00F90461" w14:paraId="0E19BD0A" w14:textId="77777777" w:rsidTr="00DD223B">
        <w:trPr>
          <w:trHeight w:val="105"/>
          <w:jc w:val="center"/>
        </w:trPr>
        <w:tc>
          <w:tcPr>
            <w:tcW w:w="3614" w:type="pct"/>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vAlign w:val="center"/>
          </w:tcPr>
          <w:p w14:paraId="00C328BC" w14:textId="77777777" w:rsidR="00D303E9" w:rsidRPr="00A81971" w:rsidRDefault="0032495C" w:rsidP="00DD223B">
            <w:pPr>
              <w:spacing w:before="120" w:after="120"/>
              <w:rPr>
                <w:b/>
                <w:bCs/>
              </w:rPr>
            </w:pPr>
            <w:r w:rsidRPr="00A81971">
              <w:rPr>
                <w:b/>
                <w:bCs/>
              </w:rPr>
              <w:t>HFC Production Sector</w:t>
            </w:r>
          </w:p>
        </w:tc>
        <w:tc>
          <w:tcPr>
            <w:tcW w:w="1386" w:type="pct"/>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vAlign w:val="center"/>
          </w:tcPr>
          <w:p w14:paraId="59FE5BEF" w14:textId="77777777" w:rsidR="00D303E9" w:rsidRPr="00A81971" w:rsidRDefault="0032495C" w:rsidP="00DD223B">
            <w:pPr>
              <w:spacing w:before="120" w:after="120"/>
              <w:rPr>
                <w:b/>
                <w:bCs/>
              </w:rPr>
            </w:pPr>
            <w:r w:rsidRPr="00A81971">
              <w:rPr>
                <w:b/>
                <w:bCs/>
              </w:rPr>
              <w:t>2027-2029 Estimated funding requirement</w:t>
            </w:r>
          </w:p>
        </w:tc>
      </w:tr>
      <w:tr w:rsidR="00F90461" w14:paraId="31580E51" w14:textId="77777777" w:rsidTr="00DD223B">
        <w:trPr>
          <w:trHeight w:val="60"/>
          <w:jc w:val="center"/>
        </w:trPr>
        <w:tc>
          <w:tcPr>
            <w:tcW w:w="3614" w:type="pct"/>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0C75E614" w14:textId="77777777" w:rsidR="00D303E9" w:rsidRPr="00A81971" w:rsidRDefault="0032495C" w:rsidP="00DD223B">
            <w:pPr>
              <w:spacing w:before="120" w:after="120"/>
            </w:pPr>
            <w:r w:rsidRPr="00A81971">
              <w:t>HFC Production Sector Project Prep (China and India)</w:t>
            </w:r>
          </w:p>
        </w:tc>
        <w:tc>
          <w:tcPr>
            <w:tcW w:w="1386"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2083EA5" w14:textId="77777777" w:rsidR="00D303E9" w:rsidRPr="00A81971" w:rsidRDefault="0032495C" w:rsidP="00DD223B">
            <w:pPr>
              <w:spacing w:before="120" w:after="120"/>
              <w:jc w:val="right"/>
            </w:pPr>
            <w:r w:rsidRPr="00A81971">
              <w:t>2.00</w:t>
            </w:r>
          </w:p>
        </w:tc>
      </w:tr>
      <w:tr w:rsidR="00F90461" w14:paraId="48460D7C" w14:textId="77777777" w:rsidTr="00DD223B">
        <w:trPr>
          <w:trHeight w:val="45"/>
          <w:jc w:val="center"/>
        </w:trPr>
        <w:tc>
          <w:tcPr>
            <w:tcW w:w="3614" w:type="pct"/>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A2A131E" w14:textId="77777777" w:rsidR="00D303E9" w:rsidRPr="00A81971" w:rsidRDefault="0032495C" w:rsidP="00DD223B">
            <w:pPr>
              <w:spacing w:before="120" w:after="120"/>
            </w:pPr>
            <w:r w:rsidRPr="00A81971">
              <w:t>HFC Production Sector KPPMP (China and India)</w:t>
            </w:r>
          </w:p>
        </w:tc>
        <w:tc>
          <w:tcPr>
            <w:tcW w:w="1386"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B2C29A2" w14:textId="77777777" w:rsidR="00D303E9" w:rsidRPr="00A81971" w:rsidRDefault="0032495C" w:rsidP="00DD223B">
            <w:pPr>
              <w:spacing w:before="120" w:after="120"/>
              <w:jc w:val="right"/>
            </w:pPr>
            <w:r w:rsidRPr="00A81971">
              <w:t xml:space="preserve"> 0</w:t>
            </w:r>
          </w:p>
        </w:tc>
      </w:tr>
      <w:tr w:rsidR="00F90461" w14:paraId="47E13525" w14:textId="77777777" w:rsidTr="00DD223B">
        <w:trPr>
          <w:trHeight w:val="120"/>
          <w:jc w:val="center"/>
        </w:trPr>
        <w:tc>
          <w:tcPr>
            <w:tcW w:w="3614" w:type="pct"/>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42801B86" w14:textId="77777777" w:rsidR="00D303E9" w:rsidRPr="00A81971" w:rsidRDefault="0032495C" w:rsidP="00DD223B">
            <w:pPr>
              <w:spacing w:before="120" w:after="120"/>
            </w:pPr>
            <w:r w:rsidRPr="00A81971">
              <w:t>HFC-23 Mitigation Project Prep (China)</w:t>
            </w:r>
          </w:p>
        </w:tc>
        <w:tc>
          <w:tcPr>
            <w:tcW w:w="1386"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7ACB67A" w14:textId="77777777" w:rsidR="00D303E9" w:rsidRPr="00A81971" w:rsidRDefault="0032495C" w:rsidP="00DD223B">
            <w:pPr>
              <w:spacing w:before="120" w:after="120"/>
              <w:jc w:val="right"/>
            </w:pPr>
            <w:r w:rsidRPr="00A81971">
              <w:t>0</w:t>
            </w:r>
          </w:p>
        </w:tc>
      </w:tr>
      <w:tr w:rsidR="00F90461" w14:paraId="20AC7699" w14:textId="77777777" w:rsidTr="00DD223B">
        <w:trPr>
          <w:trHeight w:val="120"/>
          <w:jc w:val="center"/>
        </w:trPr>
        <w:tc>
          <w:tcPr>
            <w:tcW w:w="3614" w:type="pct"/>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25C0A994" w14:textId="77777777" w:rsidR="00D303E9" w:rsidRPr="00A81971" w:rsidRDefault="0032495C" w:rsidP="00DD223B">
            <w:pPr>
              <w:spacing w:before="120" w:after="120"/>
            </w:pPr>
            <w:r w:rsidRPr="00A81971">
              <w:t>HFC-23 Mitigation Project Approved (Argentina and Mexico)</w:t>
            </w:r>
          </w:p>
        </w:tc>
        <w:tc>
          <w:tcPr>
            <w:tcW w:w="1386"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B366423" w14:textId="77777777" w:rsidR="00D303E9" w:rsidRPr="00A81971" w:rsidRDefault="0032495C" w:rsidP="00DD223B">
            <w:pPr>
              <w:spacing w:before="120" w:after="120"/>
              <w:jc w:val="right"/>
            </w:pPr>
            <w:r w:rsidRPr="00A81971">
              <w:t>1.61</w:t>
            </w:r>
          </w:p>
        </w:tc>
      </w:tr>
      <w:tr w:rsidR="00F90461" w14:paraId="779CAF6F" w14:textId="77777777" w:rsidTr="00DD223B">
        <w:trPr>
          <w:trHeight w:val="165"/>
          <w:jc w:val="center"/>
        </w:trPr>
        <w:tc>
          <w:tcPr>
            <w:tcW w:w="3614" w:type="pct"/>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34E8402" w14:textId="77777777" w:rsidR="00D303E9" w:rsidRPr="00A81971" w:rsidRDefault="0032495C" w:rsidP="00DD223B">
            <w:pPr>
              <w:spacing w:before="120" w:after="120"/>
            </w:pPr>
            <w:r w:rsidRPr="00A81971">
              <w:t>HFC-23 Investment Project Estimated (India)</w:t>
            </w:r>
          </w:p>
        </w:tc>
        <w:tc>
          <w:tcPr>
            <w:tcW w:w="1386"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62AEB96" w14:textId="77777777" w:rsidR="00D303E9" w:rsidRPr="00A81971" w:rsidRDefault="0032495C" w:rsidP="00DD223B">
            <w:pPr>
              <w:spacing w:before="120" w:after="120"/>
              <w:jc w:val="right"/>
            </w:pPr>
            <w:r w:rsidRPr="00A81971">
              <w:t>0</w:t>
            </w:r>
          </w:p>
        </w:tc>
      </w:tr>
      <w:tr w:rsidR="00F90461" w14:paraId="37EB9975" w14:textId="77777777" w:rsidTr="00DD223B">
        <w:trPr>
          <w:trHeight w:val="30"/>
          <w:jc w:val="center"/>
        </w:trPr>
        <w:tc>
          <w:tcPr>
            <w:tcW w:w="3614" w:type="pct"/>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1031C46" w14:textId="77777777" w:rsidR="00D303E9" w:rsidRPr="00A81971" w:rsidRDefault="0032495C" w:rsidP="00DD223B">
            <w:pPr>
              <w:spacing w:before="120" w:after="120"/>
              <w:rPr>
                <w:b/>
                <w:bCs/>
              </w:rPr>
            </w:pPr>
            <w:r w:rsidRPr="00A81971">
              <w:rPr>
                <w:b/>
                <w:bCs/>
              </w:rPr>
              <w:t>Subtotal – HFC Production and HFC-23 Sector</w:t>
            </w:r>
          </w:p>
        </w:tc>
        <w:tc>
          <w:tcPr>
            <w:tcW w:w="1386" w:type="pct"/>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F609972" w14:textId="77777777" w:rsidR="00D303E9" w:rsidRPr="00A81971" w:rsidRDefault="0032495C" w:rsidP="00DD223B">
            <w:pPr>
              <w:spacing w:before="120" w:after="120"/>
              <w:jc w:val="right"/>
              <w:rPr>
                <w:b/>
                <w:bCs/>
              </w:rPr>
            </w:pPr>
            <w:r w:rsidRPr="00A81971">
              <w:rPr>
                <w:b/>
                <w:bCs/>
              </w:rPr>
              <w:t>3.61</w:t>
            </w:r>
          </w:p>
        </w:tc>
      </w:tr>
    </w:tbl>
    <w:p w14:paraId="646AFED5" w14:textId="77777777" w:rsidR="00ED1A88" w:rsidRPr="00A81971" w:rsidRDefault="00ED1A88" w:rsidP="00ED1A88">
      <w:pPr>
        <w:spacing w:after="120"/>
        <w:rPr>
          <w:rFonts w:eastAsia="Times New Roman"/>
          <w:b/>
          <w:bCs/>
          <w:i/>
          <w:iCs/>
          <w:color w:val="000000" w:themeColor="text1"/>
          <w:sz w:val="24"/>
          <w:szCs w:val="24"/>
        </w:rPr>
      </w:pPr>
    </w:p>
    <w:p w14:paraId="77BF2FB4" w14:textId="091CB74D" w:rsidR="00CF6B67" w:rsidRPr="00A81971" w:rsidRDefault="0032495C" w:rsidP="00793B14">
      <w:pPr>
        <w:pStyle w:val="Heading3"/>
        <w:rPr>
          <w:rFonts w:eastAsia="Times New Roman"/>
          <w:bCs/>
          <w:iCs/>
          <w:color w:val="000000" w:themeColor="text1"/>
          <w:sz w:val="24"/>
          <w:szCs w:val="24"/>
        </w:rPr>
      </w:pPr>
      <w:r w:rsidRPr="00A81971">
        <w:rPr>
          <w:rFonts w:eastAsia="Times New Roman"/>
          <w:bCs/>
          <w:iCs/>
          <w:color w:val="000000" w:themeColor="text1"/>
          <w:sz w:val="24"/>
          <w:szCs w:val="24"/>
        </w:rPr>
        <w:lastRenderedPageBreak/>
        <w:t xml:space="preserve">2.3.3 </w:t>
      </w:r>
      <w:r w:rsidR="002E3156">
        <w:rPr>
          <w:rFonts w:eastAsia="Times New Roman"/>
          <w:bCs/>
          <w:iCs/>
          <w:color w:val="000000" w:themeColor="text1"/>
          <w:sz w:val="24"/>
          <w:szCs w:val="24"/>
        </w:rPr>
        <w:tab/>
      </w:r>
      <w:r w:rsidRPr="00FE5C31">
        <w:t>Updated total estimated funding requirement for the HFC phase-down for 2027-2029 and future triennia</w:t>
      </w:r>
    </w:p>
    <w:p w14:paraId="7C961608" w14:textId="77777777" w:rsidR="00D24A57" w:rsidRPr="00A81971" w:rsidRDefault="0032495C" w:rsidP="00ED1A88">
      <w:pPr>
        <w:spacing w:after="120"/>
        <w:rPr>
          <w:rFonts w:eastAsia="Times New Roman"/>
          <w:color w:val="000000" w:themeColor="text1"/>
          <w:sz w:val="24"/>
          <w:szCs w:val="24"/>
        </w:rPr>
      </w:pPr>
      <w:r w:rsidRPr="00A81971">
        <w:rPr>
          <w:rFonts w:eastAsia="Times New Roman"/>
          <w:color w:val="000000" w:themeColor="text1"/>
          <w:sz w:val="24"/>
          <w:szCs w:val="24"/>
        </w:rPr>
        <w:t>Table 2.9 provides a summary of the updated estimated total funding requirement for the HFC phase-down for the 2027-2029 and future triennia 2030-2032 and 2033-2035.</w:t>
      </w:r>
    </w:p>
    <w:p w14:paraId="24D824AC" w14:textId="77777777" w:rsidR="00EC6E9B" w:rsidRPr="00FB2758" w:rsidRDefault="0032495C" w:rsidP="2E7655E2">
      <w:pPr>
        <w:tabs>
          <w:tab w:val="left" w:pos="0"/>
          <w:tab w:val="left" w:pos="1276"/>
        </w:tabs>
        <w:spacing w:after="120"/>
        <w:ind w:left="1282" w:hanging="1282"/>
        <w:rPr>
          <w:rFonts w:eastAsia="Times New Roman"/>
          <w:color w:val="000000" w:themeColor="text1"/>
        </w:rPr>
      </w:pPr>
      <w:r w:rsidRPr="2E7655E2">
        <w:rPr>
          <w:rFonts w:eastAsia="Yu Mincho"/>
          <w:b/>
          <w:bCs/>
          <w:color w:val="000000" w:themeColor="text1"/>
          <w:lang w:val="en-CA"/>
        </w:rPr>
        <w:t>Table 2.9:</w:t>
      </w:r>
      <w:r w:rsidR="001E7AEA">
        <w:tab/>
      </w:r>
      <w:r w:rsidRPr="2E7655E2">
        <w:rPr>
          <w:rFonts w:eastAsia="Yu Mincho"/>
          <w:b/>
          <w:bCs/>
          <w:color w:val="000000" w:themeColor="text1"/>
        </w:rPr>
        <w:t>Estimated total funding requirement for HFC phase-down for 2027-2029 and future triennia (US$ million)</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347"/>
        <w:gridCol w:w="2587"/>
        <w:gridCol w:w="2596"/>
        <w:gridCol w:w="2534"/>
      </w:tblGrid>
      <w:tr w:rsidR="00F90461" w14:paraId="39175382" w14:textId="77777777" w:rsidTr="00A12200">
        <w:trPr>
          <w:trHeight w:val="300"/>
          <w:jc w:val="center"/>
        </w:trPr>
        <w:tc>
          <w:tcPr>
            <w:tcW w:w="743" w:type="pct"/>
            <w:vMerge w:val="restart"/>
            <w:shd w:val="clear" w:color="auto" w:fill="DEEAF6"/>
            <w:vAlign w:val="center"/>
          </w:tcPr>
          <w:p w14:paraId="1303A664" w14:textId="77777777" w:rsidR="00EC6E9B" w:rsidRPr="00A81971" w:rsidRDefault="0032495C" w:rsidP="00EC6E9B">
            <w:pPr>
              <w:spacing w:after="0"/>
              <w:jc w:val="center"/>
              <w:textAlignment w:val="baseline"/>
              <w:rPr>
                <w:rFonts w:eastAsia="Times New Roman"/>
                <w:b/>
                <w:bCs/>
                <w:color w:val="000000"/>
                <w:sz w:val="21"/>
                <w:szCs w:val="21"/>
              </w:rPr>
            </w:pPr>
            <w:r w:rsidRPr="00A81971">
              <w:rPr>
                <w:rFonts w:eastAsia="Times New Roman"/>
                <w:b/>
                <w:bCs/>
                <w:color w:val="000000"/>
                <w:sz w:val="21"/>
                <w:szCs w:val="21"/>
              </w:rPr>
              <w:t>Triennium</w:t>
            </w:r>
          </w:p>
        </w:tc>
        <w:tc>
          <w:tcPr>
            <w:tcW w:w="1427" w:type="pct"/>
            <w:vMerge w:val="restart"/>
            <w:shd w:val="clear" w:color="auto" w:fill="DEEAF6"/>
            <w:vAlign w:val="center"/>
            <w:hideMark/>
          </w:tcPr>
          <w:p w14:paraId="0E12FDE2" w14:textId="77777777" w:rsidR="00EC6E9B" w:rsidRPr="00A81971" w:rsidRDefault="0032495C" w:rsidP="00EC6E9B">
            <w:pPr>
              <w:spacing w:after="0"/>
              <w:jc w:val="center"/>
              <w:textAlignment w:val="baseline"/>
              <w:rPr>
                <w:rFonts w:ascii="Segoe UI" w:eastAsia="Times New Roman" w:hAnsi="Segoe UI" w:cs="Segoe UI"/>
                <w:color w:val="000000"/>
                <w:sz w:val="18"/>
                <w:szCs w:val="18"/>
              </w:rPr>
            </w:pPr>
            <w:r w:rsidRPr="00A81971">
              <w:rPr>
                <w:rFonts w:eastAsia="Times New Roman"/>
                <w:b/>
                <w:bCs/>
                <w:color w:val="000000"/>
                <w:sz w:val="21"/>
                <w:szCs w:val="21"/>
              </w:rPr>
              <w:t>Sector</w:t>
            </w:r>
            <w:r w:rsidRPr="00A81971">
              <w:rPr>
                <w:rFonts w:eastAsia="Times New Roman"/>
                <w:color w:val="000000"/>
                <w:sz w:val="21"/>
                <w:szCs w:val="21"/>
              </w:rPr>
              <w:t> </w:t>
            </w:r>
          </w:p>
        </w:tc>
        <w:tc>
          <w:tcPr>
            <w:tcW w:w="2830" w:type="pct"/>
            <w:gridSpan w:val="2"/>
            <w:shd w:val="clear" w:color="auto" w:fill="DEEAF6"/>
            <w:vAlign w:val="center"/>
            <w:hideMark/>
          </w:tcPr>
          <w:p w14:paraId="09A27962" w14:textId="77777777" w:rsidR="00EC6E9B" w:rsidRPr="00A81971" w:rsidRDefault="0032495C" w:rsidP="00EC6E9B">
            <w:pPr>
              <w:spacing w:after="0"/>
              <w:jc w:val="center"/>
              <w:textAlignment w:val="baseline"/>
              <w:rPr>
                <w:rFonts w:ascii="Segoe UI" w:eastAsia="Times New Roman" w:hAnsi="Segoe UI" w:cs="Segoe UI"/>
                <w:b/>
                <w:bCs/>
                <w:color w:val="000000"/>
                <w:sz w:val="18"/>
                <w:szCs w:val="18"/>
              </w:rPr>
            </w:pPr>
            <w:r w:rsidRPr="00A81971">
              <w:rPr>
                <w:rFonts w:eastAsia="Times New Roman"/>
                <w:b/>
                <w:bCs/>
                <w:color w:val="000000"/>
                <w:sz w:val="21"/>
                <w:szCs w:val="21"/>
              </w:rPr>
              <w:t xml:space="preserve">HFC ESTIMATED </w:t>
            </w:r>
            <w:r w:rsidRPr="00A81971">
              <w:rPr>
                <w:rFonts w:eastAsia="Times New Roman"/>
                <w:b/>
                <w:bCs/>
                <w:color w:val="000000"/>
                <w:sz w:val="21"/>
                <w:szCs w:val="21"/>
              </w:rPr>
              <w:br/>
              <w:t>FUNDING RANGE (US$ million)</w:t>
            </w:r>
          </w:p>
        </w:tc>
      </w:tr>
      <w:tr w:rsidR="00F90461" w14:paraId="0DE13E61" w14:textId="77777777" w:rsidTr="00A12200">
        <w:trPr>
          <w:trHeight w:val="60"/>
          <w:jc w:val="center"/>
        </w:trPr>
        <w:tc>
          <w:tcPr>
            <w:tcW w:w="743" w:type="pct"/>
            <w:vMerge/>
          </w:tcPr>
          <w:p w14:paraId="4EEB70D3" w14:textId="77777777" w:rsidR="00EC6E9B" w:rsidRPr="00A81971" w:rsidRDefault="00EC6E9B" w:rsidP="00EC6E9B">
            <w:pPr>
              <w:spacing w:after="0"/>
              <w:rPr>
                <w:rFonts w:ascii="Segoe UI" w:eastAsia="Times New Roman" w:hAnsi="Segoe UI" w:cs="Segoe UI"/>
                <w:color w:val="000000"/>
                <w:sz w:val="18"/>
                <w:szCs w:val="18"/>
              </w:rPr>
            </w:pPr>
          </w:p>
        </w:tc>
        <w:tc>
          <w:tcPr>
            <w:tcW w:w="1427" w:type="pct"/>
            <w:vMerge/>
            <w:vAlign w:val="center"/>
            <w:hideMark/>
          </w:tcPr>
          <w:p w14:paraId="39543D3F" w14:textId="77777777" w:rsidR="00EC6E9B" w:rsidRPr="00A81971" w:rsidRDefault="00EC6E9B" w:rsidP="00EC6E9B">
            <w:pPr>
              <w:spacing w:after="0"/>
              <w:rPr>
                <w:rFonts w:ascii="Segoe UI" w:eastAsia="Times New Roman" w:hAnsi="Segoe UI" w:cs="Segoe UI"/>
                <w:color w:val="000000"/>
                <w:sz w:val="18"/>
                <w:szCs w:val="18"/>
              </w:rPr>
            </w:pPr>
          </w:p>
        </w:tc>
        <w:tc>
          <w:tcPr>
            <w:tcW w:w="1432" w:type="pct"/>
            <w:shd w:val="clear" w:color="auto" w:fill="DEEAF6"/>
            <w:vAlign w:val="center"/>
            <w:hideMark/>
          </w:tcPr>
          <w:p w14:paraId="6FBE779F" w14:textId="77777777" w:rsidR="00EC6E9B" w:rsidRPr="00A81971" w:rsidRDefault="0032495C" w:rsidP="00EC6E9B">
            <w:pPr>
              <w:spacing w:after="0"/>
              <w:jc w:val="center"/>
              <w:textAlignment w:val="baseline"/>
              <w:rPr>
                <w:rFonts w:ascii="Segoe UI" w:eastAsia="Times New Roman" w:hAnsi="Segoe UI" w:cs="Segoe UI"/>
                <w:color w:val="000000"/>
                <w:sz w:val="18"/>
                <w:szCs w:val="18"/>
              </w:rPr>
            </w:pPr>
            <w:r w:rsidRPr="00A81971">
              <w:rPr>
                <w:rFonts w:eastAsia="Times New Roman"/>
                <w:b/>
                <w:color w:val="000000"/>
                <w:sz w:val="21"/>
                <w:szCs w:val="21"/>
              </w:rPr>
              <w:t>Resource Allocation A</w:t>
            </w:r>
          </w:p>
        </w:tc>
        <w:tc>
          <w:tcPr>
            <w:tcW w:w="1398" w:type="pct"/>
            <w:shd w:val="clear" w:color="auto" w:fill="DEEAF6"/>
            <w:vAlign w:val="center"/>
            <w:hideMark/>
          </w:tcPr>
          <w:p w14:paraId="78FFF184" w14:textId="77777777" w:rsidR="00EC6E9B" w:rsidRPr="00A81971" w:rsidRDefault="0032495C" w:rsidP="00EC6E9B">
            <w:pPr>
              <w:spacing w:after="0"/>
              <w:jc w:val="center"/>
              <w:textAlignment w:val="baseline"/>
              <w:rPr>
                <w:rFonts w:ascii="Segoe UI" w:eastAsia="Times New Roman" w:hAnsi="Segoe UI" w:cs="Segoe UI"/>
                <w:color w:val="000000"/>
                <w:sz w:val="18"/>
                <w:szCs w:val="18"/>
              </w:rPr>
            </w:pPr>
            <w:r w:rsidRPr="00A81971">
              <w:rPr>
                <w:rFonts w:eastAsia="Times New Roman"/>
                <w:b/>
                <w:color w:val="000000"/>
                <w:sz w:val="21"/>
                <w:szCs w:val="21"/>
              </w:rPr>
              <w:t>Resource Allocation B</w:t>
            </w:r>
          </w:p>
        </w:tc>
      </w:tr>
      <w:tr w:rsidR="00F90461" w14:paraId="47E56EB8" w14:textId="77777777" w:rsidTr="00F52D3E">
        <w:trPr>
          <w:trHeight w:val="285"/>
          <w:jc w:val="center"/>
        </w:trPr>
        <w:tc>
          <w:tcPr>
            <w:tcW w:w="743" w:type="pct"/>
            <w:vMerge w:val="restart"/>
            <w:shd w:val="clear" w:color="auto" w:fill="E2EFD9"/>
          </w:tcPr>
          <w:p w14:paraId="1522D899" w14:textId="77777777" w:rsidR="00106B3E" w:rsidRPr="00A81971" w:rsidRDefault="0032495C" w:rsidP="00106B3E">
            <w:pPr>
              <w:spacing w:after="0"/>
              <w:jc w:val="center"/>
              <w:textAlignment w:val="baseline"/>
              <w:rPr>
                <w:rFonts w:eastAsia="Times New Roman"/>
                <w:b/>
                <w:bCs/>
                <w:color w:val="000000"/>
              </w:rPr>
            </w:pPr>
            <w:r w:rsidRPr="00A81971">
              <w:rPr>
                <w:rFonts w:eastAsia="Times New Roman"/>
                <w:b/>
                <w:bCs/>
                <w:color w:val="000000"/>
              </w:rPr>
              <w:t>2027-2029</w:t>
            </w:r>
          </w:p>
        </w:tc>
        <w:tc>
          <w:tcPr>
            <w:tcW w:w="1427" w:type="pct"/>
            <w:shd w:val="clear" w:color="auto" w:fill="FFFFFF"/>
            <w:vAlign w:val="bottom"/>
            <w:hideMark/>
          </w:tcPr>
          <w:p w14:paraId="74DC1263" w14:textId="77777777" w:rsidR="00106B3E" w:rsidRPr="00A81971" w:rsidRDefault="0032495C" w:rsidP="00106B3E">
            <w:pPr>
              <w:spacing w:after="0"/>
              <w:textAlignment w:val="baseline"/>
              <w:rPr>
                <w:rFonts w:ascii="Segoe UI" w:eastAsia="Times New Roman" w:hAnsi="Segoe UI" w:cs="Segoe UI"/>
                <w:color w:val="000000"/>
                <w:sz w:val="18"/>
                <w:szCs w:val="18"/>
              </w:rPr>
            </w:pPr>
            <w:r w:rsidRPr="00A81971">
              <w:rPr>
                <w:rFonts w:eastAsia="Times New Roman"/>
                <w:color w:val="000000"/>
              </w:rPr>
              <w:t>HFC Consumption sector with scenarios and resource allocations</w:t>
            </w:r>
          </w:p>
        </w:tc>
        <w:tc>
          <w:tcPr>
            <w:tcW w:w="1432" w:type="pct"/>
            <w:vAlign w:val="center"/>
          </w:tcPr>
          <w:p w14:paraId="39BA51A2" w14:textId="77777777" w:rsidR="00106B3E" w:rsidRPr="00A81971" w:rsidRDefault="0032495C" w:rsidP="00106B3E">
            <w:pPr>
              <w:spacing w:after="0"/>
              <w:jc w:val="center"/>
              <w:textAlignment w:val="baseline"/>
              <w:rPr>
                <w:rFonts w:ascii="Segoe UI" w:eastAsia="Times New Roman" w:hAnsi="Segoe UI" w:cs="Segoe UI"/>
                <w:color w:val="000000"/>
                <w:sz w:val="18"/>
                <w:szCs w:val="18"/>
              </w:rPr>
            </w:pPr>
            <w:r w:rsidRPr="00A81971">
              <w:rPr>
                <w:rFonts w:eastAsia="Times New Roman"/>
                <w:color w:val="000000" w:themeColor="text1"/>
              </w:rPr>
              <w:t>958 – 995</w:t>
            </w:r>
          </w:p>
        </w:tc>
        <w:tc>
          <w:tcPr>
            <w:tcW w:w="1398" w:type="pct"/>
            <w:vAlign w:val="center"/>
          </w:tcPr>
          <w:p w14:paraId="3BDA7C75" w14:textId="77777777" w:rsidR="00106B3E" w:rsidRPr="00A81971" w:rsidRDefault="0032495C" w:rsidP="00106B3E">
            <w:pPr>
              <w:spacing w:after="0"/>
              <w:jc w:val="center"/>
              <w:textAlignment w:val="baseline"/>
              <w:rPr>
                <w:rFonts w:ascii="Segoe UI" w:eastAsia="Times New Roman" w:hAnsi="Segoe UI" w:cs="Segoe UI"/>
                <w:color w:val="000000"/>
                <w:sz w:val="18"/>
                <w:szCs w:val="18"/>
              </w:rPr>
            </w:pPr>
            <w:r w:rsidRPr="00A81971">
              <w:rPr>
                <w:rFonts w:eastAsia="Times New Roman"/>
                <w:color w:val="000000" w:themeColor="text1"/>
              </w:rPr>
              <w:t>660 – 690</w:t>
            </w:r>
          </w:p>
        </w:tc>
      </w:tr>
      <w:tr w:rsidR="00F90461" w14:paraId="2B9B0B02" w14:textId="77777777" w:rsidTr="00A12200">
        <w:trPr>
          <w:trHeight w:val="285"/>
          <w:jc w:val="center"/>
        </w:trPr>
        <w:tc>
          <w:tcPr>
            <w:tcW w:w="743" w:type="pct"/>
            <w:vMerge/>
          </w:tcPr>
          <w:p w14:paraId="47D556FE" w14:textId="77777777" w:rsidR="00EC6E9B" w:rsidRPr="00A81971" w:rsidRDefault="00EC6E9B" w:rsidP="00EC6E9B">
            <w:pPr>
              <w:spacing w:after="0"/>
              <w:jc w:val="center"/>
              <w:textAlignment w:val="baseline"/>
              <w:rPr>
                <w:rFonts w:eastAsia="Times New Roman"/>
                <w:b/>
                <w:bCs/>
                <w:color w:val="000000"/>
              </w:rPr>
            </w:pPr>
          </w:p>
        </w:tc>
        <w:tc>
          <w:tcPr>
            <w:tcW w:w="1427" w:type="pct"/>
            <w:shd w:val="clear" w:color="auto" w:fill="FFFFFF"/>
            <w:vAlign w:val="bottom"/>
          </w:tcPr>
          <w:p w14:paraId="5E77396B" w14:textId="77777777" w:rsidR="00EC6E9B" w:rsidRPr="00A81971" w:rsidRDefault="0032495C" w:rsidP="00EC6E9B">
            <w:pPr>
              <w:spacing w:after="0"/>
              <w:textAlignment w:val="baseline"/>
              <w:rPr>
                <w:rFonts w:eastAsia="Times New Roman"/>
                <w:color w:val="000000"/>
              </w:rPr>
            </w:pPr>
            <w:r w:rsidRPr="00A81971">
              <w:rPr>
                <w:rFonts w:eastAsia="Times New Roman"/>
                <w:color w:val="000000"/>
              </w:rPr>
              <w:t>HFC Production sector and HFC-23 mitigation</w:t>
            </w:r>
          </w:p>
        </w:tc>
        <w:tc>
          <w:tcPr>
            <w:tcW w:w="1432" w:type="pct"/>
            <w:shd w:val="clear" w:color="auto" w:fill="FFFFFF"/>
            <w:vAlign w:val="center"/>
          </w:tcPr>
          <w:p w14:paraId="1EE2B456"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3.61</w:t>
            </w:r>
          </w:p>
        </w:tc>
        <w:tc>
          <w:tcPr>
            <w:tcW w:w="1398" w:type="pct"/>
            <w:shd w:val="clear" w:color="auto" w:fill="FFFFFF"/>
            <w:vAlign w:val="center"/>
          </w:tcPr>
          <w:p w14:paraId="7A2D0162"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3.61</w:t>
            </w:r>
          </w:p>
        </w:tc>
      </w:tr>
      <w:tr w:rsidR="00F90461" w14:paraId="34E97D1D" w14:textId="77777777" w:rsidTr="00A12200">
        <w:trPr>
          <w:trHeight w:val="285"/>
          <w:jc w:val="center"/>
        </w:trPr>
        <w:tc>
          <w:tcPr>
            <w:tcW w:w="743" w:type="pct"/>
            <w:vMerge/>
          </w:tcPr>
          <w:p w14:paraId="76020FAF" w14:textId="77777777" w:rsidR="00BA1921" w:rsidRPr="00A81971" w:rsidRDefault="00BA1921" w:rsidP="00BA1921">
            <w:pPr>
              <w:spacing w:after="0"/>
              <w:jc w:val="center"/>
              <w:textAlignment w:val="baseline"/>
              <w:rPr>
                <w:rFonts w:eastAsia="Times New Roman"/>
                <w:b/>
                <w:bCs/>
                <w:color w:val="000000"/>
              </w:rPr>
            </w:pPr>
          </w:p>
        </w:tc>
        <w:tc>
          <w:tcPr>
            <w:tcW w:w="1427" w:type="pct"/>
            <w:shd w:val="clear" w:color="auto" w:fill="FFFF00"/>
            <w:vAlign w:val="bottom"/>
          </w:tcPr>
          <w:p w14:paraId="4820A31C" w14:textId="77777777" w:rsidR="00BA1921" w:rsidRPr="00A81971" w:rsidRDefault="0032495C" w:rsidP="00BA1921">
            <w:pPr>
              <w:spacing w:after="0"/>
              <w:textAlignment w:val="baseline"/>
              <w:rPr>
                <w:rFonts w:eastAsia="Times New Roman"/>
                <w:b/>
                <w:bCs/>
                <w:color w:val="000000"/>
              </w:rPr>
            </w:pPr>
            <w:r w:rsidRPr="00A81971">
              <w:rPr>
                <w:rFonts w:eastAsia="Times New Roman"/>
                <w:b/>
                <w:bCs/>
                <w:color w:val="000000"/>
              </w:rPr>
              <w:t>TOTAL HFC RANGE</w:t>
            </w:r>
          </w:p>
        </w:tc>
        <w:tc>
          <w:tcPr>
            <w:tcW w:w="1432" w:type="pct"/>
            <w:shd w:val="clear" w:color="auto" w:fill="FFFF00"/>
          </w:tcPr>
          <w:p w14:paraId="271E50CD" w14:textId="77777777" w:rsidR="00BA1921" w:rsidRPr="00A81971" w:rsidRDefault="0032495C" w:rsidP="00BA1921">
            <w:pPr>
              <w:spacing w:after="0"/>
              <w:jc w:val="center"/>
              <w:textAlignment w:val="baseline"/>
              <w:rPr>
                <w:rFonts w:eastAsia="Times New Roman"/>
                <w:b/>
                <w:bCs/>
                <w:color w:val="000000"/>
              </w:rPr>
            </w:pPr>
            <w:r w:rsidRPr="00A81971">
              <w:rPr>
                <w:b/>
                <w:bCs/>
              </w:rPr>
              <w:t>961 – 999</w:t>
            </w:r>
          </w:p>
        </w:tc>
        <w:tc>
          <w:tcPr>
            <w:tcW w:w="1398" w:type="pct"/>
            <w:shd w:val="clear" w:color="auto" w:fill="FFFF00"/>
          </w:tcPr>
          <w:p w14:paraId="510E83F7" w14:textId="77777777" w:rsidR="00BA1921" w:rsidRPr="00A81971" w:rsidRDefault="0032495C" w:rsidP="00BA1921">
            <w:pPr>
              <w:spacing w:after="0"/>
              <w:jc w:val="center"/>
              <w:textAlignment w:val="baseline"/>
              <w:rPr>
                <w:rFonts w:eastAsia="Times New Roman"/>
                <w:b/>
                <w:bCs/>
                <w:color w:val="000000"/>
              </w:rPr>
            </w:pPr>
            <w:r w:rsidRPr="00A81971">
              <w:rPr>
                <w:b/>
                <w:bCs/>
              </w:rPr>
              <w:t>664 – 694</w:t>
            </w:r>
          </w:p>
        </w:tc>
      </w:tr>
      <w:tr w:rsidR="00F90461" w14:paraId="44244D65" w14:textId="77777777" w:rsidTr="00F52D3E">
        <w:trPr>
          <w:trHeight w:val="285"/>
          <w:jc w:val="center"/>
        </w:trPr>
        <w:tc>
          <w:tcPr>
            <w:tcW w:w="743" w:type="pct"/>
            <w:vMerge w:val="restart"/>
            <w:shd w:val="clear" w:color="auto" w:fill="E2EFD9"/>
          </w:tcPr>
          <w:p w14:paraId="7C7187F7" w14:textId="77777777" w:rsidR="00D31258" w:rsidRPr="00A81971" w:rsidRDefault="0032495C" w:rsidP="00D31258">
            <w:pPr>
              <w:spacing w:after="0"/>
              <w:jc w:val="center"/>
              <w:textAlignment w:val="baseline"/>
              <w:rPr>
                <w:rFonts w:eastAsia="Times New Roman"/>
                <w:b/>
                <w:bCs/>
                <w:color w:val="000000"/>
              </w:rPr>
            </w:pPr>
            <w:r w:rsidRPr="00A81971">
              <w:rPr>
                <w:rFonts w:eastAsia="Times New Roman"/>
                <w:b/>
                <w:bCs/>
                <w:color w:val="000000"/>
              </w:rPr>
              <w:t>2030-2032</w:t>
            </w:r>
          </w:p>
        </w:tc>
        <w:tc>
          <w:tcPr>
            <w:tcW w:w="1427" w:type="pct"/>
            <w:shd w:val="clear" w:color="auto" w:fill="FFFFFF"/>
            <w:vAlign w:val="bottom"/>
          </w:tcPr>
          <w:p w14:paraId="2A7A050B" w14:textId="77777777" w:rsidR="00D31258" w:rsidRPr="00A81971" w:rsidRDefault="0032495C" w:rsidP="00D31258">
            <w:pPr>
              <w:spacing w:after="0"/>
              <w:textAlignment w:val="baseline"/>
              <w:rPr>
                <w:rFonts w:eastAsia="Times New Roman"/>
                <w:color w:val="000000"/>
              </w:rPr>
            </w:pPr>
            <w:r w:rsidRPr="00A81971">
              <w:rPr>
                <w:rFonts w:eastAsia="Times New Roman"/>
                <w:color w:val="000000"/>
              </w:rPr>
              <w:t>HFC Consumption sector with scenarios and resource allocations </w:t>
            </w:r>
          </w:p>
        </w:tc>
        <w:tc>
          <w:tcPr>
            <w:tcW w:w="1432" w:type="pct"/>
            <w:vAlign w:val="center"/>
          </w:tcPr>
          <w:p w14:paraId="262049A5" w14:textId="77777777" w:rsidR="00D31258" w:rsidRPr="00A81971" w:rsidRDefault="0032495C" w:rsidP="00D31258">
            <w:pPr>
              <w:spacing w:after="0"/>
              <w:jc w:val="center"/>
              <w:textAlignment w:val="baseline"/>
              <w:rPr>
                <w:rFonts w:eastAsia="Times New Roman"/>
                <w:color w:val="000000"/>
              </w:rPr>
            </w:pPr>
            <w:r w:rsidRPr="00A81971">
              <w:rPr>
                <w:rFonts w:eastAsia="Times New Roman"/>
                <w:color w:val="000000" w:themeColor="text1"/>
              </w:rPr>
              <w:t>860 – 887</w:t>
            </w:r>
          </w:p>
        </w:tc>
        <w:tc>
          <w:tcPr>
            <w:tcW w:w="1398" w:type="pct"/>
            <w:vAlign w:val="center"/>
          </w:tcPr>
          <w:p w14:paraId="3FB5FFD4" w14:textId="77777777" w:rsidR="00D31258" w:rsidRPr="00A81971" w:rsidRDefault="0032495C" w:rsidP="00D31258">
            <w:pPr>
              <w:spacing w:after="0"/>
              <w:jc w:val="center"/>
              <w:textAlignment w:val="baseline"/>
              <w:rPr>
                <w:rFonts w:eastAsia="Times New Roman"/>
                <w:color w:val="000000"/>
              </w:rPr>
            </w:pPr>
            <w:r w:rsidRPr="00A81971">
              <w:rPr>
                <w:rFonts w:eastAsia="Times New Roman"/>
                <w:color w:val="000000" w:themeColor="text1"/>
              </w:rPr>
              <w:t>1,043 – 1,075</w:t>
            </w:r>
          </w:p>
        </w:tc>
      </w:tr>
      <w:tr w:rsidR="00F90461" w14:paraId="7EA80057" w14:textId="77777777" w:rsidTr="00A12200">
        <w:trPr>
          <w:trHeight w:val="285"/>
          <w:jc w:val="center"/>
        </w:trPr>
        <w:tc>
          <w:tcPr>
            <w:tcW w:w="743" w:type="pct"/>
            <w:vMerge/>
          </w:tcPr>
          <w:p w14:paraId="3FB9EC51" w14:textId="77777777" w:rsidR="00EC6E9B" w:rsidRPr="00A81971" w:rsidRDefault="00EC6E9B" w:rsidP="00EC6E9B">
            <w:pPr>
              <w:spacing w:after="0"/>
              <w:jc w:val="center"/>
              <w:textAlignment w:val="baseline"/>
              <w:rPr>
                <w:rFonts w:eastAsia="Times New Roman"/>
                <w:b/>
                <w:bCs/>
                <w:color w:val="000000"/>
              </w:rPr>
            </w:pPr>
          </w:p>
        </w:tc>
        <w:tc>
          <w:tcPr>
            <w:tcW w:w="1427" w:type="pct"/>
            <w:shd w:val="clear" w:color="auto" w:fill="FFFFFF"/>
            <w:vAlign w:val="bottom"/>
          </w:tcPr>
          <w:p w14:paraId="5AABA3FC" w14:textId="77777777" w:rsidR="00EC6E9B" w:rsidRPr="00A81971" w:rsidRDefault="0032495C" w:rsidP="00EC6E9B">
            <w:pPr>
              <w:spacing w:after="0"/>
              <w:textAlignment w:val="baseline"/>
              <w:rPr>
                <w:rFonts w:eastAsia="Times New Roman"/>
                <w:color w:val="000000"/>
              </w:rPr>
            </w:pPr>
            <w:r w:rsidRPr="00A81971">
              <w:rPr>
                <w:rFonts w:eastAsia="Times New Roman"/>
                <w:color w:val="000000"/>
              </w:rPr>
              <w:t>HFC Production sector and HFC-23 mitigation</w:t>
            </w:r>
          </w:p>
        </w:tc>
        <w:tc>
          <w:tcPr>
            <w:tcW w:w="1432" w:type="pct"/>
            <w:shd w:val="clear" w:color="auto" w:fill="FFFFFF"/>
            <w:vAlign w:val="center"/>
          </w:tcPr>
          <w:p w14:paraId="05BEDC1B"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0.51</w:t>
            </w:r>
          </w:p>
        </w:tc>
        <w:tc>
          <w:tcPr>
            <w:tcW w:w="1398" w:type="pct"/>
            <w:shd w:val="clear" w:color="auto" w:fill="FFFFFF"/>
            <w:vAlign w:val="center"/>
          </w:tcPr>
          <w:p w14:paraId="060EBE52"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0.51</w:t>
            </w:r>
          </w:p>
        </w:tc>
      </w:tr>
      <w:tr w:rsidR="00F90461" w14:paraId="793D09E2" w14:textId="77777777" w:rsidTr="00A12200">
        <w:trPr>
          <w:trHeight w:val="285"/>
          <w:jc w:val="center"/>
        </w:trPr>
        <w:tc>
          <w:tcPr>
            <w:tcW w:w="743" w:type="pct"/>
            <w:vMerge/>
          </w:tcPr>
          <w:p w14:paraId="0E21FE6C" w14:textId="77777777" w:rsidR="001034A2" w:rsidRPr="00A81971" w:rsidRDefault="001034A2" w:rsidP="001034A2">
            <w:pPr>
              <w:spacing w:after="0"/>
              <w:jc w:val="center"/>
              <w:textAlignment w:val="baseline"/>
              <w:rPr>
                <w:rFonts w:eastAsia="Times New Roman"/>
                <w:b/>
                <w:bCs/>
                <w:color w:val="000000"/>
              </w:rPr>
            </w:pPr>
          </w:p>
        </w:tc>
        <w:tc>
          <w:tcPr>
            <w:tcW w:w="1427" w:type="pct"/>
            <w:shd w:val="clear" w:color="auto" w:fill="FFFF00"/>
            <w:vAlign w:val="bottom"/>
          </w:tcPr>
          <w:p w14:paraId="492A2F9A" w14:textId="77777777" w:rsidR="001034A2" w:rsidRPr="00A81971" w:rsidRDefault="0032495C" w:rsidP="001034A2">
            <w:pPr>
              <w:spacing w:after="0"/>
              <w:textAlignment w:val="baseline"/>
              <w:rPr>
                <w:rFonts w:eastAsia="Times New Roman"/>
                <w:b/>
                <w:bCs/>
                <w:color w:val="000000"/>
              </w:rPr>
            </w:pPr>
            <w:r w:rsidRPr="00A81971">
              <w:rPr>
                <w:rFonts w:eastAsia="Times New Roman"/>
                <w:b/>
                <w:bCs/>
                <w:color w:val="000000"/>
              </w:rPr>
              <w:t>TOTAL HFC RANGE</w:t>
            </w:r>
          </w:p>
        </w:tc>
        <w:tc>
          <w:tcPr>
            <w:tcW w:w="1432" w:type="pct"/>
            <w:shd w:val="clear" w:color="auto" w:fill="FFFF00"/>
          </w:tcPr>
          <w:p w14:paraId="727113E3" w14:textId="77777777" w:rsidR="001034A2" w:rsidRPr="00A81971" w:rsidRDefault="0032495C" w:rsidP="001034A2">
            <w:pPr>
              <w:spacing w:after="0"/>
              <w:jc w:val="center"/>
              <w:textAlignment w:val="baseline"/>
              <w:rPr>
                <w:rFonts w:eastAsia="Times New Roman"/>
                <w:b/>
                <w:bCs/>
                <w:color w:val="000000"/>
              </w:rPr>
            </w:pPr>
            <w:r w:rsidRPr="00A81971">
              <w:rPr>
                <w:b/>
                <w:bCs/>
              </w:rPr>
              <w:t xml:space="preserve">861 – </w:t>
            </w:r>
            <w:r w:rsidR="00195CA6" w:rsidRPr="00A81971">
              <w:rPr>
                <w:b/>
                <w:bCs/>
              </w:rPr>
              <w:t>888</w:t>
            </w:r>
          </w:p>
        </w:tc>
        <w:tc>
          <w:tcPr>
            <w:tcW w:w="1398" w:type="pct"/>
            <w:shd w:val="clear" w:color="auto" w:fill="FFFF00"/>
          </w:tcPr>
          <w:p w14:paraId="7714EFB6" w14:textId="77777777" w:rsidR="001034A2" w:rsidRPr="00A81971" w:rsidRDefault="0032495C" w:rsidP="001034A2">
            <w:pPr>
              <w:spacing w:after="0"/>
              <w:jc w:val="center"/>
              <w:textAlignment w:val="baseline"/>
              <w:rPr>
                <w:rFonts w:eastAsia="Times New Roman"/>
                <w:b/>
                <w:bCs/>
                <w:color w:val="000000"/>
              </w:rPr>
            </w:pPr>
            <w:r w:rsidRPr="00A81971">
              <w:rPr>
                <w:b/>
                <w:bCs/>
              </w:rPr>
              <w:t xml:space="preserve">1,044 – </w:t>
            </w:r>
            <w:r w:rsidR="00997D61" w:rsidRPr="00A81971">
              <w:rPr>
                <w:b/>
                <w:bCs/>
              </w:rPr>
              <w:t>1,076</w:t>
            </w:r>
          </w:p>
        </w:tc>
      </w:tr>
      <w:tr w:rsidR="00F90461" w14:paraId="48E3EED7" w14:textId="77777777" w:rsidTr="00F52D3E">
        <w:trPr>
          <w:trHeight w:val="285"/>
          <w:jc w:val="center"/>
        </w:trPr>
        <w:tc>
          <w:tcPr>
            <w:tcW w:w="743" w:type="pct"/>
            <w:vMerge w:val="restart"/>
            <w:shd w:val="clear" w:color="auto" w:fill="E2EFD9"/>
          </w:tcPr>
          <w:p w14:paraId="35B10B2E" w14:textId="77777777" w:rsidR="00D31258" w:rsidRPr="00A81971" w:rsidRDefault="0032495C" w:rsidP="00D31258">
            <w:pPr>
              <w:spacing w:after="0"/>
              <w:jc w:val="center"/>
              <w:textAlignment w:val="baseline"/>
              <w:rPr>
                <w:rFonts w:eastAsia="Times New Roman"/>
                <w:b/>
                <w:bCs/>
                <w:color w:val="000000"/>
              </w:rPr>
            </w:pPr>
            <w:r w:rsidRPr="00A81971">
              <w:rPr>
                <w:rFonts w:eastAsia="Times New Roman"/>
                <w:b/>
                <w:bCs/>
                <w:color w:val="000000"/>
              </w:rPr>
              <w:t>2033-2035</w:t>
            </w:r>
          </w:p>
        </w:tc>
        <w:tc>
          <w:tcPr>
            <w:tcW w:w="1427" w:type="pct"/>
            <w:shd w:val="clear" w:color="auto" w:fill="FFFFFF"/>
            <w:vAlign w:val="bottom"/>
          </w:tcPr>
          <w:p w14:paraId="6406A2B9" w14:textId="77777777" w:rsidR="00D31258" w:rsidRPr="00A81971" w:rsidRDefault="0032495C" w:rsidP="00D31258">
            <w:pPr>
              <w:spacing w:after="0"/>
              <w:textAlignment w:val="baseline"/>
              <w:rPr>
                <w:rFonts w:eastAsia="Times New Roman"/>
                <w:color w:val="000000"/>
              </w:rPr>
            </w:pPr>
            <w:r w:rsidRPr="00A81971">
              <w:rPr>
                <w:rFonts w:eastAsia="Times New Roman"/>
                <w:color w:val="000000"/>
              </w:rPr>
              <w:t>HFC Consumption sector with scenarios and resource allocations</w:t>
            </w:r>
          </w:p>
        </w:tc>
        <w:tc>
          <w:tcPr>
            <w:tcW w:w="1432" w:type="pct"/>
            <w:vAlign w:val="center"/>
          </w:tcPr>
          <w:p w14:paraId="6D9D8A31" w14:textId="77777777" w:rsidR="00D31258" w:rsidRPr="00A81971" w:rsidRDefault="0032495C" w:rsidP="00D31258">
            <w:pPr>
              <w:spacing w:after="0"/>
              <w:jc w:val="center"/>
              <w:textAlignment w:val="baseline"/>
              <w:rPr>
                <w:rFonts w:eastAsia="Times New Roman"/>
                <w:color w:val="000000"/>
              </w:rPr>
            </w:pPr>
            <w:r w:rsidRPr="00A81971">
              <w:rPr>
                <w:rFonts w:eastAsia="Times New Roman"/>
                <w:color w:val="000000" w:themeColor="text1"/>
              </w:rPr>
              <w:t>454 – 470</w:t>
            </w:r>
          </w:p>
        </w:tc>
        <w:tc>
          <w:tcPr>
            <w:tcW w:w="1398" w:type="pct"/>
            <w:vAlign w:val="center"/>
          </w:tcPr>
          <w:p w14:paraId="4FCB64B9" w14:textId="77777777" w:rsidR="00D31258" w:rsidRPr="00A81971" w:rsidRDefault="0032495C" w:rsidP="00D31258">
            <w:pPr>
              <w:spacing w:after="0"/>
              <w:jc w:val="center"/>
              <w:textAlignment w:val="baseline"/>
              <w:rPr>
                <w:rFonts w:eastAsia="Times New Roman"/>
                <w:color w:val="000000"/>
              </w:rPr>
            </w:pPr>
            <w:r w:rsidRPr="00A81971">
              <w:rPr>
                <w:rFonts w:eastAsia="Times New Roman"/>
                <w:color w:val="000000" w:themeColor="text1"/>
              </w:rPr>
              <w:t>569 – 587</w:t>
            </w:r>
          </w:p>
        </w:tc>
      </w:tr>
      <w:tr w:rsidR="00F90461" w14:paraId="23FF4347" w14:textId="77777777" w:rsidTr="00A12200">
        <w:trPr>
          <w:trHeight w:val="285"/>
          <w:jc w:val="center"/>
        </w:trPr>
        <w:tc>
          <w:tcPr>
            <w:tcW w:w="743" w:type="pct"/>
            <w:vMerge/>
          </w:tcPr>
          <w:p w14:paraId="6B4E7B94" w14:textId="77777777" w:rsidR="00EC6E9B" w:rsidRPr="00A81971" w:rsidRDefault="00EC6E9B" w:rsidP="00EC6E9B">
            <w:pPr>
              <w:spacing w:after="0"/>
              <w:jc w:val="center"/>
              <w:textAlignment w:val="baseline"/>
              <w:rPr>
                <w:rFonts w:eastAsia="Times New Roman"/>
                <w:b/>
                <w:bCs/>
                <w:color w:val="000000"/>
              </w:rPr>
            </w:pPr>
          </w:p>
        </w:tc>
        <w:tc>
          <w:tcPr>
            <w:tcW w:w="1427" w:type="pct"/>
            <w:shd w:val="clear" w:color="auto" w:fill="FFFFFF"/>
            <w:vAlign w:val="bottom"/>
          </w:tcPr>
          <w:p w14:paraId="3CE7D5ED" w14:textId="77777777" w:rsidR="00EC6E9B" w:rsidRPr="00A81971" w:rsidRDefault="0032495C" w:rsidP="00EC6E9B">
            <w:pPr>
              <w:spacing w:after="0"/>
              <w:textAlignment w:val="baseline"/>
              <w:rPr>
                <w:rFonts w:eastAsia="Times New Roman"/>
                <w:color w:val="000000"/>
              </w:rPr>
            </w:pPr>
            <w:r w:rsidRPr="00A81971">
              <w:rPr>
                <w:rFonts w:eastAsia="Times New Roman"/>
                <w:color w:val="000000"/>
              </w:rPr>
              <w:t>HFC Production sector and HFC-23 mitigation</w:t>
            </w:r>
          </w:p>
        </w:tc>
        <w:tc>
          <w:tcPr>
            <w:tcW w:w="1432" w:type="pct"/>
            <w:shd w:val="clear" w:color="auto" w:fill="FFFFFF"/>
            <w:vAlign w:val="center"/>
          </w:tcPr>
          <w:p w14:paraId="2506B400"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w:t>
            </w:r>
          </w:p>
        </w:tc>
        <w:tc>
          <w:tcPr>
            <w:tcW w:w="1398" w:type="pct"/>
            <w:shd w:val="clear" w:color="auto" w:fill="FFFFFF"/>
            <w:vAlign w:val="center"/>
          </w:tcPr>
          <w:p w14:paraId="0D3421BF" w14:textId="77777777" w:rsidR="00EC6E9B" w:rsidRPr="00A81971" w:rsidRDefault="0032495C" w:rsidP="00EC6E9B">
            <w:pPr>
              <w:spacing w:after="0"/>
              <w:jc w:val="center"/>
              <w:textAlignment w:val="baseline"/>
              <w:rPr>
                <w:rFonts w:eastAsia="Times New Roman"/>
                <w:color w:val="000000"/>
              </w:rPr>
            </w:pPr>
            <w:r w:rsidRPr="00A81971">
              <w:rPr>
                <w:rFonts w:eastAsia="Times New Roman"/>
                <w:color w:val="000000"/>
              </w:rPr>
              <w:t>-</w:t>
            </w:r>
          </w:p>
        </w:tc>
      </w:tr>
      <w:tr w:rsidR="00F90461" w14:paraId="11794853" w14:textId="77777777" w:rsidTr="00A12200">
        <w:trPr>
          <w:trHeight w:val="285"/>
          <w:jc w:val="center"/>
        </w:trPr>
        <w:tc>
          <w:tcPr>
            <w:tcW w:w="743" w:type="pct"/>
            <w:vMerge/>
          </w:tcPr>
          <w:p w14:paraId="12C4B8B0" w14:textId="77777777" w:rsidR="00997D61" w:rsidRPr="00A81971" w:rsidRDefault="00997D61" w:rsidP="00997D61">
            <w:pPr>
              <w:spacing w:after="0"/>
              <w:jc w:val="center"/>
              <w:textAlignment w:val="baseline"/>
              <w:rPr>
                <w:rFonts w:eastAsia="Times New Roman"/>
                <w:b/>
                <w:bCs/>
                <w:color w:val="000000"/>
              </w:rPr>
            </w:pPr>
          </w:p>
        </w:tc>
        <w:tc>
          <w:tcPr>
            <w:tcW w:w="1427" w:type="pct"/>
            <w:shd w:val="clear" w:color="auto" w:fill="FFFF00"/>
            <w:vAlign w:val="bottom"/>
          </w:tcPr>
          <w:p w14:paraId="1FEDECC4" w14:textId="77777777" w:rsidR="00997D61" w:rsidRPr="00A81971" w:rsidRDefault="0032495C" w:rsidP="00997D61">
            <w:pPr>
              <w:spacing w:after="0"/>
              <w:textAlignment w:val="baseline"/>
              <w:rPr>
                <w:rFonts w:eastAsia="Times New Roman"/>
                <w:b/>
                <w:bCs/>
                <w:color w:val="000000"/>
              </w:rPr>
            </w:pPr>
            <w:r w:rsidRPr="00A81971">
              <w:rPr>
                <w:rFonts w:eastAsia="Times New Roman"/>
                <w:b/>
                <w:bCs/>
                <w:color w:val="000000"/>
              </w:rPr>
              <w:t>TOTAL HFC RANGE</w:t>
            </w:r>
          </w:p>
        </w:tc>
        <w:tc>
          <w:tcPr>
            <w:tcW w:w="1432" w:type="pct"/>
            <w:shd w:val="clear" w:color="auto" w:fill="FFFF00"/>
            <w:vAlign w:val="center"/>
          </w:tcPr>
          <w:p w14:paraId="05A0D0DB" w14:textId="77777777" w:rsidR="00997D61" w:rsidRPr="00A81971" w:rsidRDefault="0032495C" w:rsidP="00997D61">
            <w:pPr>
              <w:spacing w:after="0"/>
              <w:jc w:val="center"/>
              <w:textAlignment w:val="baseline"/>
              <w:rPr>
                <w:rFonts w:eastAsia="Times New Roman"/>
                <w:b/>
                <w:bCs/>
                <w:color w:val="000000"/>
              </w:rPr>
            </w:pPr>
            <w:r w:rsidRPr="00A81971">
              <w:rPr>
                <w:rFonts w:eastAsia="Times New Roman"/>
                <w:b/>
                <w:bCs/>
                <w:color w:val="000000" w:themeColor="text1"/>
              </w:rPr>
              <w:t>454 – 470</w:t>
            </w:r>
          </w:p>
        </w:tc>
        <w:tc>
          <w:tcPr>
            <w:tcW w:w="1398" w:type="pct"/>
            <w:shd w:val="clear" w:color="auto" w:fill="FFFF00"/>
            <w:vAlign w:val="center"/>
          </w:tcPr>
          <w:p w14:paraId="05791723" w14:textId="77777777" w:rsidR="00997D61" w:rsidRPr="00A81971" w:rsidRDefault="0032495C" w:rsidP="00997D61">
            <w:pPr>
              <w:spacing w:after="0"/>
              <w:jc w:val="center"/>
              <w:textAlignment w:val="baseline"/>
              <w:rPr>
                <w:rFonts w:eastAsia="Times New Roman"/>
                <w:b/>
                <w:bCs/>
                <w:color w:val="000000"/>
              </w:rPr>
            </w:pPr>
            <w:r w:rsidRPr="00A81971">
              <w:rPr>
                <w:rFonts w:eastAsia="Times New Roman"/>
                <w:b/>
                <w:bCs/>
                <w:color w:val="000000" w:themeColor="text1"/>
              </w:rPr>
              <w:t>569 – 587</w:t>
            </w:r>
          </w:p>
        </w:tc>
      </w:tr>
    </w:tbl>
    <w:p w14:paraId="74D84AE0" w14:textId="64D4CF7E" w:rsidR="00922E08" w:rsidRPr="00A81971" w:rsidRDefault="0032495C" w:rsidP="00201CFA">
      <w:pPr>
        <w:pStyle w:val="Heading2"/>
      </w:pPr>
      <w:bookmarkStart w:id="196" w:name="_Toc240987324"/>
      <w:r w:rsidRPr="00A81971">
        <w:t>2.4</w:t>
      </w:r>
      <w:r w:rsidR="10C4A608" w:rsidRPr="00A81971">
        <w:tab/>
      </w:r>
      <w:r w:rsidRPr="002E3156">
        <w:t>Institutional strengthening and standard activities</w:t>
      </w:r>
      <w:bookmarkEnd w:id="196"/>
      <w:r w:rsidR="10C4A608" w:rsidRPr="002E3156">
        <w:tab/>
      </w:r>
    </w:p>
    <w:p w14:paraId="28BD7275" w14:textId="77777777" w:rsidR="00BA2D95" w:rsidRPr="00A81971" w:rsidRDefault="0032495C" w:rsidP="2E7655E2">
      <w:pPr>
        <w:tabs>
          <w:tab w:val="left" w:pos="0"/>
          <w:tab w:val="left" w:pos="720"/>
        </w:tabs>
        <w:spacing w:after="0"/>
        <w:rPr>
          <w:rFonts w:eastAsia="Times New Roman"/>
          <w:color w:val="000000" w:themeColor="text1"/>
        </w:rPr>
      </w:pPr>
      <w:r w:rsidRPr="2E7655E2">
        <w:rPr>
          <w:rFonts w:eastAsia="Times New Roman"/>
          <w:color w:val="000000" w:themeColor="text1"/>
        </w:rPr>
        <w:t>As per the MLFS information received, there were no changes/adjustments needed on the funding estimates for Institutional Strengthening and Standard Activities (IS &amp; SA) presented in RTF May Report when accounting for ExCom-98 approvals/decisions.</w:t>
      </w:r>
      <w:r w:rsidRPr="2E7655E2">
        <w:rPr>
          <w:rFonts w:eastAsia="Times New Roman"/>
          <w:i/>
          <w:iCs/>
          <w:color w:val="000000" w:themeColor="text1"/>
        </w:rPr>
        <w:t xml:space="preserve"> </w:t>
      </w:r>
      <w:r w:rsidRPr="2E7655E2">
        <w:rPr>
          <w:rFonts w:eastAsia="Times New Roman"/>
          <w:color w:val="000000" w:themeColor="text1"/>
        </w:rPr>
        <w:t xml:space="preserve">Therefore, RTF maintained the same funding estimates. </w:t>
      </w:r>
    </w:p>
    <w:p w14:paraId="06DCA862" w14:textId="77777777" w:rsidR="00BA2D95" w:rsidRPr="00A81971" w:rsidRDefault="00BA2D95" w:rsidP="1E375DFC">
      <w:pPr>
        <w:tabs>
          <w:tab w:val="left" w:pos="0"/>
        </w:tabs>
        <w:spacing w:after="0"/>
        <w:rPr>
          <w:rFonts w:eastAsia="Times New Roman"/>
          <w:color w:val="000000" w:themeColor="text1"/>
        </w:rPr>
      </w:pPr>
    </w:p>
    <w:p w14:paraId="5A345BB7" w14:textId="77777777" w:rsidR="00FB2758" w:rsidRPr="00037219" w:rsidRDefault="0032495C" w:rsidP="00037219">
      <w:pPr>
        <w:tabs>
          <w:tab w:val="left" w:pos="0"/>
        </w:tabs>
        <w:spacing w:after="0"/>
        <w:rPr>
          <w:rFonts w:eastAsia="Times New Roman"/>
          <w:color w:val="000000"/>
        </w:rPr>
      </w:pPr>
      <w:r w:rsidRPr="2E7655E2">
        <w:rPr>
          <w:rFonts w:eastAsia="Times New Roman"/>
          <w:color w:val="000000" w:themeColor="text1"/>
        </w:rPr>
        <w:t xml:space="preserve">The estimated funding for the 2027-2029 triennium for institutional strengthening (IS) and standard activities (SA) is </w:t>
      </w:r>
      <w:r w:rsidRPr="2E7655E2">
        <w:rPr>
          <w:rFonts w:eastAsia="Times New Roman"/>
          <w:b/>
          <w:bCs/>
          <w:color w:val="000000" w:themeColor="text1"/>
        </w:rPr>
        <w:t>US$ 129 million</w:t>
      </w:r>
      <w:r w:rsidRPr="2E7655E2">
        <w:rPr>
          <w:rFonts w:eastAsia="Times New Roman"/>
          <w:color w:val="000000" w:themeColor="text1"/>
        </w:rPr>
        <w:t xml:space="preserve">, which include the operating costs of UNEP CAP, Core Unit costs of UNDP, UNIDO and the World Bank, ExCom, MLFS (including monitoring and evaluation) and Treasurer functions, as shown in Table 2.10. </w:t>
      </w:r>
    </w:p>
    <w:p w14:paraId="25AF6A74" w14:textId="77777777" w:rsidR="009167FC" w:rsidRDefault="009167FC" w:rsidP="009167FC">
      <w:pPr>
        <w:tabs>
          <w:tab w:val="left" w:pos="0"/>
        </w:tabs>
        <w:spacing w:after="0" w:line="259" w:lineRule="auto"/>
        <w:jc w:val="both"/>
        <w:rPr>
          <w:rFonts w:eastAsia="Times New Roman"/>
          <w:color w:val="000000"/>
          <w:sz w:val="24"/>
          <w:szCs w:val="24"/>
          <w:lang w:val="en-CA"/>
        </w:rPr>
      </w:pPr>
    </w:p>
    <w:p w14:paraId="559397FD" w14:textId="77777777" w:rsidR="00BA2D95" w:rsidRPr="00037219" w:rsidRDefault="0032495C" w:rsidP="00037219">
      <w:pPr>
        <w:tabs>
          <w:tab w:val="left" w:pos="0"/>
          <w:tab w:val="left" w:pos="1276"/>
        </w:tabs>
        <w:spacing w:after="120"/>
        <w:ind w:left="1282" w:hanging="1282"/>
        <w:rPr>
          <w:rFonts w:eastAsia="Yu Mincho"/>
          <w:b/>
          <w:bCs/>
          <w:color w:val="000000"/>
          <w:highlight w:val="yellow"/>
          <w:lang w:val="en-CA"/>
        </w:rPr>
      </w:pPr>
      <w:r w:rsidRPr="0006445E">
        <w:rPr>
          <w:rFonts w:eastAsia="Yu Mincho"/>
          <w:b/>
          <w:bCs/>
          <w:color w:val="000000"/>
          <w:lang w:val="en-CA"/>
        </w:rPr>
        <w:t xml:space="preserve">Table </w:t>
      </w:r>
      <w:r>
        <w:rPr>
          <w:rFonts w:eastAsia="Yu Mincho"/>
          <w:b/>
          <w:bCs/>
          <w:color w:val="000000"/>
          <w:lang w:val="en-CA"/>
        </w:rPr>
        <w:t>2.10:</w:t>
      </w:r>
      <w:r w:rsidRPr="0006445E">
        <w:rPr>
          <w:rFonts w:eastAsia="Times New Roman"/>
          <w:color w:val="000000"/>
          <w:lang w:val="en-CA"/>
        </w:rPr>
        <w:tab/>
      </w:r>
      <w:r w:rsidRPr="00A81971">
        <w:rPr>
          <w:rFonts w:eastAsia="Times New Roman"/>
          <w:b/>
          <w:bCs/>
          <w:color w:val="000000" w:themeColor="text1"/>
        </w:rPr>
        <w:t xml:space="preserve">2027-2029 </w:t>
      </w:r>
      <w:r>
        <w:rPr>
          <w:rFonts w:eastAsia="Times New Roman"/>
          <w:b/>
          <w:bCs/>
          <w:color w:val="000000" w:themeColor="text1"/>
        </w:rPr>
        <w:t>f</w:t>
      </w:r>
      <w:r w:rsidRPr="00A81971">
        <w:rPr>
          <w:rFonts w:eastAsia="Times New Roman"/>
          <w:b/>
          <w:bCs/>
          <w:color w:val="000000" w:themeColor="text1"/>
        </w:rPr>
        <w:t xml:space="preserve">unding </w:t>
      </w:r>
      <w:r>
        <w:rPr>
          <w:rFonts w:eastAsia="Times New Roman"/>
          <w:b/>
          <w:bCs/>
          <w:color w:val="000000" w:themeColor="text1"/>
        </w:rPr>
        <w:t>r</w:t>
      </w:r>
      <w:r w:rsidRPr="00A81971">
        <w:rPr>
          <w:rFonts w:eastAsia="Times New Roman"/>
          <w:b/>
          <w:bCs/>
          <w:color w:val="000000" w:themeColor="text1"/>
        </w:rPr>
        <w:t xml:space="preserve">equirements for </w:t>
      </w:r>
      <w:r>
        <w:rPr>
          <w:rFonts w:eastAsia="Times New Roman"/>
          <w:b/>
          <w:bCs/>
          <w:color w:val="000000" w:themeColor="text1"/>
        </w:rPr>
        <w:t>IS and SA</w:t>
      </w:r>
      <w:r w:rsidRPr="00A81971">
        <w:rPr>
          <w:rFonts w:eastAsia="Times New Roman"/>
          <w:b/>
          <w:bCs/>
          <w:color w:val="000000" w:themeColor="text1"/>
        </w:rPr>
        <w:t xml:space="preserve"> (US$ million)</w:t>
      </w:r>
      <w:r w:rsidR="009167FC" w:rsidRPr="0006445E">
        <w:rPr>
          <w:rFonts w:eastAsia="Times New Roman"/>
          <w:color w:val="000000"/>
          <w:lang w:val="en-CA"/>
        </w:rPr>
        <w:tab/>
      </w:r>
      <w:r w:rsidR="00FB2758" w:rsidRPr="00A81971">
        <w:rPr>
          <w:b/>
          <w:bCs/>
        </w:rPr>
        <w:t xml:space="preserve"> </w:t>
      </w:r>
    </w:p>
    <w:tbl>
      <w:tblPr>
        <w:tblStyle w:val="GridTable5Dark-Accent11"/>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5"/>
        <w:gridCol w:w="2805"/>
      </w:tblGrid>
      <w:tr w:rsidR="00F90461" w14:paraId="403A32B3" w14:textId="77777777" w:rsidTr="00F9046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5265" w:type="dxa"/>
            <w:tcBorders>
              <w:top w:val="none" w:sz="0" w:space="0" w:color="auto"/>
              <w:left w:val="none" w:sz="0" w:space="0" w:color="auto"/>
              <w:right w:val="none" w:sz="0" w:space="0" w:color="auto"/>
            </w:tcBorders>
            <w:shd w:val="clear" w:color="auto" w:fill="E2EFD9" w:themeFill="accent6" w:themeFillTint="33"/>
            <w:noWrap/>
            <w:vAlign w:val="center"/>
            <w:hideMark/>
          </w:tcPr>
          <w:p w14:paraId="1A3AB96D"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rPr>
              <w:t>2027-2029 Triennium</w:t>
            </w:r>
          </w:p>
        </w:tc>
        <w:tc>
          <w:tcPr>
            <w:tcW w:w="2805" w:type="dxa"/>
            <w:tcBorders>
              <w:top w:val="none" w:sz="0" w:space="0" w:color="auto"/>
              <w:left w:val="none" w:sz="0" w:space="0" w:color="auto"/>
              <w:right w:val="none" w:sz="0" w:space="0" w:color="auto"/>
            </w:tcBorders>
            <w:shd w:val="clear" w:color="auto" w:fill="E2EFD9" w:themeFill="accent6" w:themeFillTint="33"/>
            <w:vAlign w:val="center"/>
          </w:tcPr>
          <w:p w14:paraId="59E84F61" w14:textId="77777777" w:rsidR="00BA2D95" w:rsidRPr="00A81971" w:rsidRDefault="0032495C" w:rsidP="00BA2D95">
            <w:pPr>
              <w:tabs>
                <w:tab w:val="left" w:pos="0"/>
              </w:tab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000000"/>
              </w:rPr>
            </w:pPr>
            <w:r w:rsidRPr="00A81971">
              <w:rPr>
                <w:rFonts w:eastAsia="Times New Roman"/>
                <w:color w:val="000000"/>
              </w:rPr>
              <w:t>Estimated Funding (US$)</w:t>
            </w:r>
          </w:p>
        </w:tc>
      </w:tr>
      <w:tr w:rsidR="00F90461" w14:paraId="06EAF774" w14:textId="77777777" w:rsidTr="00F90461">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tcBorders>
            <w:shd w:val="clear" w:color="auto" w:fill="E2EFD9" w:themeFill="accent6" w:themeFillTint="33"/>
            <w:noWrap/>
            <w:hideMark/>
          </w:tcPr>
          <w:p w14:paraId="13B7DD8A" w14:textId="77777777" w:rsidR="00BA2D95" w:rsidRPr="00A81971" w:rsidRDefault="0032495C" w:rsidP="00BA2D95">
            <w:pPr>
              <w:tabs>
                <w:tab w:val="left" w:pos="0"/>
              </w:tabs>
              <w:spacing w:before="40" w:after="40"/>
              <w:rPr>
                <w:rFonts w:eastAsia="Times New Roman"/>
                <w:color w:val="000000"/>
              </w:rPr>
            </w:pPr>
            <w:r>
              <w:rPr>
                <w:rFonts w:eastAsia="Times New Roman"/>
                <w:color w:val="000000"/>
              </w:rPr>
              <w:t>IS</w:t>
            </w:r>
          </w:p>
        </w:tc>
        <w:tc>
          <w:tcPr>
            <w:tcW w:w="2805" w:type="dxa"/>
            <w:shd w:val="clear" w:color="auto" w:fill="FFFFFF" w:themeFill="background1"/>
            <w:noWrap/>
            <w:vAlign w:val="center"/>
          </w:tcPr>
          <w:p w14:paraId="0FBAA8D0" w14:textId="77777777" w:rsidR="00BA2D95" w:rsidRPr="00A81971" w:rsidRDefault="0032495C" w:rsidP="1E375DFC">
            <w:pPr>
              <w:tabs>
                <w:tab w:val="left" w:pos="0"/>
              </w:tab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81971">
              <w:rPr>
                <w:rFonts w:eastAsia="Times New Roman"/>
                <w:color w:val="000000" w:themeColor="text1"/>
              </w:rPr>
              <w:t>44.8</w:t>
            </w:r>
          </w:p>
        </w:tc>
      </w:tr>
      <w:tr w:rsidR="00F90461" w14:paraId="34CA2B34" w14:textId="77777777" w:rsidTr="00F90461">
        <w:trPr>
          <w:trHeight w:val="50"/>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tcBorders>
            <w:shd w:val="clear" w:color="auto" w:fill="E2EFD9" w:themeFill="accent6" w:themeFillTint="33"/>
            <w:noWrap/>
            <w:hideMark/>
          </w:tcPr>
          <w:p w14:paraId="7F23BFFB"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themeColor="text1"/>
              </w:rPr>
              <w:t>UNEP Compliance Assistance Programme</w:t>
            </w:r>
          </w:p>
        </w:tc>
        <w:tc>
          <w:tcPr>
            <w:tcW w:w="2805" w:type="dxa"/>
            <w:shd w:val="clear" w:color="auto" w:fill="FFFFFF" w:themeFill="background1"/>
            <w:noWrap/>
            <w:vAlign w:val="center"/>
          </w:tcPr>
          <w:p w14:paraId="1988EBC9" w14:textId="77777777" w:rsidR="00BA2D95" w:rsidRPr="00A81971" w:rsidRDefault="0032495C" w:rsidP="1E375DFC">
            <w:pPr>
              <w:tabs>
                <w:tab w:val="left" w:pos="0"/>
              </w:tab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81971">
              <w:rPr>
                <w:rFonts w:eastAsia="Times New Roman"/>
                <w:color w:val="000000" w:themeColor="text1"/>
              </w:rPr>
              <w:t>39.4</w:t>
            </w:r>
          </w:p>
        </w:tc>
      </w:tr>
      <w:tr w:rsidR="00F90461" w14:paraId="7F6E1A0B" w14:textId="77777777" w:rsidTr="00F90461">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tcBorders>
            <w:shd w:val="clear" w:color="auto" w:fill="E2EFD9" w:themeFill="accent6" w:themeFillTint="33"/>
            <w:noWrap/>
            <w:hideMark/>
          </w:tcPr>
          <w:p w14:paraId="4AE831AC"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rPr>
              <w:t xml:space="preserve">UNDP, UNIDO, World Bank Core Unit </w:t>
            </w:r>
          </w:p>
        </w:tc>
        <w:tc>
          <w:tcPr>
            <w:tcW w:w="2805" w:type="dxa"/>
            <w:shd w:val="clear" w:color="auto" w:fill="FFFFFF" w:themeFill="background1"/>
            <w:noWrap/>
            <w:vAlign w:val="center"/>
          </w:tcPr>
          <w:p w14:paraId="48C66DC6" w14:textId="77777777" w:rsidR="00BA2D95" w:rsidRPr="00A81971" w:rsidRDefault="0032495C" w:rsidP="1E375DFC">
            <w:pPr>
              <w:tabs>
                <w:tab w:val="left" w:pos="0"/>
              </w:tab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81971">
              <w:rPr>
                <w:rFonts w:eastAsia="Times New Roman"/>
                <w:color w:val="000000" w:themeColor="text1"/>
              </w:rPr>
              <w:t>18.4</w:t>
            </w:r>
          </w:p>
        </w:tc>
      </w:tr>
      <w:tr w:rsidR="00F90461" w14:paraId="23F7E08C" w14:textId="77777777" w:rsidTr="00F90461">
        <w:trPr>
          <w:trHeight w:val="314"/>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tcBorders>
            <w:shd w:val="clear" w:color="auto" w:fill="E2EFD9" w:themeFill="accent6" w:themeFillTint="33"/>
            <w:hideMark/>
          </w:tcPr>
          <w:p w14:paraId="3DEA2563"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rPr>
              <w:t xml:space="preserve">ExCom, MLFS, M&amp;E  </w:t>
            </w:r>
          </w:p>
        </w:tc>
        <w:tc>
          <w:tcPr>
            <w:tcW w:w="2805" w:type="dxa"/>
            <w:shd w:val="clear" w:color="auto" w:fill="FFFFFF" w:themeFill="background1"/>
            <w:noWrap/>
            <w:vAlign w:val="center"/>
          </w:tcPr>
          <w:p w14:paraId="5AA91783" w14:textId="77777777" w:rsidR="00BA2D95" w:rsidRPr="00A81971" w:rsidRDefault="0032495C" w:rsidP="00BA2D95">
            <w:pPr>
              <w:tabs>
                <w:tab w:val="left" w:pos="0"/>
              </w:tab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81971">
              <w:rPr>
                <w:rFonts w:eastAsia="Times New Roman"/>
                <w:color w:val="000000" w:themeColor="text1"/>
              </w:rPr>
              <w:t>24.9</w:t>
            </w:r>
          </w:p>
        </w:tc>
      </w:tr>
      <w:tr w:rsidR="00F90461" w14:paraId="4B72A71F" w14:textId="77777777" w:rsidTr="00F904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tcBorders>
            <w:shd w:val="clear" w:color="auto" w:fill="E2EFD9" w:themeFill="accent6" w:themeFillTint="33"/>
          </w:tcPr>
          <w:p w14:paraId="776E1A2C"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rPr>
              <w:t>Treasurer functions</w:t>
            </w:r>
          </w:p>
        </w:tc>
        <w:tc>
          <w:tcPr>
            <w:tcW w:w="2805" w:type="dxa"/>
            <w:shd w:val="clear" w:color="auto" w:fill="FFFFFF" w:themeFill="background1"/>
            <w:noWrap/>
            <w:vAlign w:val="center"/>
          </w:tcPr>
          <w:p w14:paraId="55EEF67B" w14:textId="77777777" w:rsidR="00BA2D95" w:rsidRPr="00A81971" w:rsidRDefault="0032495C" w:rsidP="00BA2D95">
            <w:pPr>
              <w:tabs>
                <w:tab w:val="left" w:pos="0"/>
              </w:tab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81971">
              <w:rPr>
                <w:rFonts w:eastAsia="Times New Roman"/>
                <w:color w:val="000000" w:themeColor="text1"/>
              </w:rPr>
              <w:t xml:space="preserve">   1.5 </w:t>
            </w:r>
          </w:p>
        </w:tc>
      </w:tr>
      <w:tr w:rsidR="00F90461" w14:paraId="0457ADD8" w14:textId="77777777" w:rsidTr="00F90461">
        <w:trPr>
          <w:trHeight w:val="128"/>
        </w:trPr>
        <w:tc>
          <w:tcPr>
            <w:cnfStyle w:val="001000000000" w:firstRow="0" w:lastRow="0" w:firstColumn="1" w:lastColumn="0" w:oddVBand="0" w:evenVBand="0" w:oddHBand="0" w:evenHBand="0" w:firstRowFirstColumn="0" w:firstRowLastColumn="0" w:lastRowFirstColumn="0" w:lastRowLastColumn="0"/>
            <w:tcW w:w="5265" w:type="dxa"/>
            <w:tcBorders>
              <w:left w:val="none" w:sz="0" w:space="0" w:color="auto"/>
              <w:bottom w:val="none" w:sz="0" w:space="0" w:color="auto"/>
            </w:tcBorders>
            <w:shd w:val="clear" w:color="auto" w:fill="FFFF00"/>
            <w:hideMark/>
          </w:tcPr>
          <w:p w14:paraId="08823352" w14:textId="77777777" w:rsidR="00BA2D95" w:rsidRPr="00A81971" w:rsidRDefault="0032495C" w:rsidP="00BA2D95">
            <w:pPr>
              <w:tabs>
                <w:tab w:val="left" w:pos="0"/>
              </w:tabs>
              <w:spacing w:before="40" w:after="40"/>
              <w:rPr>
                <w:rFonts w:eastAsia="Times New Roman"/>
                <w:color w:val="000000"/>
              </w:rPr>
            </w:pPr>
            <w:r w:rsidRPr="00A81971">
              <w:rPr>
                <w:rFonts w:eastAsia="Times New Roman"/>
                <w:color w:val="000000"/>
              </w:rPr>
              <w:t>SUBTOTAL - IS &amp; S</w:t>
            </w:r>
            <w:r w:rsidR="00B228CB">
              <w:rPr>
                <w:rFonts w:eastAsia="Times New Roman"/>
                <w:color w:val="000000"/>
              </w:rPr>
              <w:t>A</w:t>
            </w:r>
          </w:p>
        </w:tc>
        <w:tc>
          <w:tcPr>
            <w:tcW w:w="2805" w:type="dxa"/>
            <w:shd w:val="clear" w:color="auto" w:fill="FFFF00"/>
            <w:noWrap/>
            <w:vAlign w:val="center"/>
          </w:tcPr>
          <w:p w14:paraId="05F78937" w14:textId="77777777" w:rsidR="00BA2D95" w:rsidRPr="00A81971" w:rsidRDefault="0032495C" w:rsidP="2E7655E2">
            <w:pPr>
              <w:tabs>
                <w:tab w:val="left" w:pos="0"/>
              </w:tab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rPr>
            </w:pPr>
            <w:r w:rsidRPr="2E7655E2">
              <w:rPr>
                <w:rFonts w:eastAsia="Times New Roman"/>
                <w:b/>
                <w:bCs/>
                <w:color w:val="000000" w:themeColor="text1"/>
              </w:rPr>
              <w:t>129</w:t>
            </w:r>
          </w:p>
        </w:tc>
      </w:tr>
    </w:tbl>
    <w:p w14:paraId="32B4E70D" w14:textId="77777777" w:rsidR="00D34A96" w:rsidRPr="005D0807" w:rsidRDefault="0032495C" w:rsidP="00201CFA">
      <w:pPr>
        <w:pStyle w:val="Heading2"/>
        <w:rPr>
          <w:highlight w:val="yellow"/>
        </w:rPr>
      </w:pPr>
      <w:bookmarkStart w:id="197" w:name="_Toc240987325"/>
      <w:r w:rsidRPr="00A81971">
        <w:lastRenderedPageBreak/>
        <w:t>2.5</w:t>
      </w:r>
      <w:r w:rsidR="43EEFCCE" w:rsidRPr="00A81971">
        <w:tab/>
      </w:r>
      <w:r w:rsidRPr="002E3156">
        <w:t xml:space="preserve">Summary of updated estimated funding for 2027-2029 </w:t>
      </w:r>
      <w:bookmarkEnd w:id="193"/>
      <w:r w:rsidRPr="002E3156">
        <w:t>and future triennia 2030-2032 and 2033-2035</w:t>
      </w:r>
      <w:bookmarkEnd w:id="197"/>
    </w:p>
    <w:p w14:paraId="61109E4F" w14:textId="77777777" w:rsidR="00232057" w:rsidRPr="00A81971" w:rsidRDefault="0032495C" w:rsidP="00232057">
      <w:pPr>
        <w:spacing w:after="0"/>
      </w:pPr>
      <w:bookmarkStart w:id="198" w:name="_Toc484367011"/>
      <w:bookmarkStart w:id="199" w:name="_Toc40367024"/>
      <w:bookmarkStart w:id="200" w:name="_Toc40367332"/>
      <w:bookmarkEnd w:id="194"/>
      <w:r>
        <w:t>In this</w:t>
      </w:r>
      <w:r w:rsidR="0004234B">
        <w:t xml:space="preserve"> section, RTF summarises the ranges of total estimated funding requirements for the replenishment fo</w:t>
      </w:r>
      <w:r w:rsidR="003F4608">
        <w:t>r</w:t>
      </w:r>
      <w:r w:rsidR="0004234B">
        <w:t xml:space="preserve"> the MLF in the 2027-2029 triennium</w:t>
      </w:r>
      <w:r w:rsidR="00E14801">
        <w:t xml:space="preserve">, including support costs, as presented in </w:t>
      </w:r>
      <w:r w:rsidRPr="00A81971">
        <w:t xml:space="preserve">Table </w:t>
      </w:r>
      <w:r w:rsidR="007E5BAC" w:rsidRPr="00A81971">
        <w:t>2.1</w:t>
      </w:r>
      <w:r w:rsidR="00345436">
        <w:t>1</w:t>
      </w:r>
      <w:r w:rsidR="1207221D" w:rsidRPr="00A81971">
        <w:t xml:space="preserve"> </w:t>
      </w:r>
      <w:r w:rsidR="003F4608">
        <w:t xml:space="preserve">and </w:t>
      </w:r>
      <w:r w:rsidR="00D93680">
        <w:t xml:space="preserve">in future triennia </w:t>
      </w:r>
      <w:r w:rsidR="00F7531B">
        <w:t>as in Tables 2.12 and 2.13</w:t>
      </w:r>
      <w:r w:rsidR="0088518B">
        <w:t xml:space="preserve">. </w:t>
      </w:r>
      <w:r w:rsidR="00F609FF">
        <w:t xml:space="preserve">IS and SA are unchanged from the RTF May 2026 Report. </w:t>
      </w:r>
      <w:r w:rsidR="0075711B">
        <w:t>The</w:t>
      </w:r>
      <w:r w:rsidR="00E02FF0">
        <w:t xml:space="preserve"> up</w:t>
      </w:r>
      <w:r w:rsidR="1207221D" w:rsidRPr="00A81971">
        <w:t xml:space="preserve">dated range for the total estimated funding requirement (including support costs) for the replenishment of the MLF in the 2027–2029 triennium </w:t>
      </w:r>
      <w:r w:rsidR="00E02FF0">
        <w:t>is</w:t>
      </w:r>
      <w:r w:rsidR="1207221D" w:rsidRPr="00A81971">
        <w:t xml:space="preserve"> </w:t>
      </w:r>
      <w:r w:rsidR="1207221D" w:rsidRPr="00A81971">
        <w:rPr>
          <w:b/>
          <w:bCs/>
        </w:rPr>
        <w:t xml:space="preserve">US$ </w:t>
      </w:r>
      <w:r w:rsidR="005209A1" w:rsidRPr="00A81971">
        <w:rPr>
          <w:b/>
          <w:bCs/>
        </w:rPr>
        <w:t>1,2</w:t>
      </w:r>
      <w:r w:rsidR="0008605E">
        <w:rPr>
          <w:b/>
          <w:bCs/>
        </w:rPr>
        <w:t>30</w:t>
      </w:r>
      <w:r w:rsidR="005209A1" w:rsidRPr="00A81971">
        <w:rPr>
          <w:b/>
          <w:bCs/>
        </w:rPr>
        <w:t xml:space="preserve"> – 1,6</w:t>
      </w:r>
      <w:r w:rsidR="0008605E">
        <w:rPr>
          <w:b/>
          <w:bCs/>
        </w:rPr>
        <w:t>92</w:t>
      </w:r>
      <w:r w:rsidR="1207221D" w:rsidRPr="00A81971">
        <w:rPr>
          <w:b/>
          <w:bCs/>
        </w:rPr>
        <w:t>million</w:t>
      </w:r>
      <w:r>
        <w:rPr>
          <w:b/>
          <w:bCs/>
          <w:vertAlign w:val="superscript"/>
        </w:rPr>
        <w:footnoteReference w:id="17"/>
      </w:r>
      <w:r w:rsidR="1207221D" w:rsidRPr="00A81971">
        <w:rPr>
          <w:b/>
          <w:bCs/>
        </w:rPr>
        <w:t>.</w:t>
      </w:r>
    </w:p>
    <w:p w14:paraId="55962C91" w14:textId="77777777" w:rsidR="00345436" w:rsidRDefault="00345436" w:rsidP="00345436">
      <w:pPr>
        <w:spacing w:after="0"/>
        <w:rPr>
          <w:b/>
        </w:rPr>
      </w:pPr>
    </w:p>
    <w:p w14:paraId="7D3897C8" w14:textId="77777777" w:rsidR="00A12200" w:rsidRPr="005B39D9" w:rsidRDefault="0032495C" w:rsidP="005B39D9">
      <w:pPr>
        <w:tabs>
          <w:tab w:val="left" w:pos="0"/>
          <w:tab w:val="left" w:pos="1276"/>
        </w:tabs>
        <w:spacing w:after="120"/>
        <w:ind w:left="1282" w:hanging="1282"/>
        <w:rPr>
          <w:rFonts w:eastAsia="Yu Mincho"/>
          <w:b/>
          <w:bCs/>
          <w:color w:val="000000"/>
        </w:rPr>
      </w:pPr>
      <w:r w:rsidRPr="0006445E">
        <w:rPr>
          <w:rFonts w:eastAsia="Yu Mincho"/>
          <w:b/>
          <w:bCs/>
          <w:color w:val="000000"/>
          <w:lang w:val="en-CA"/>
        </w:rPr>
        <w:t xml:space="preserve">Table </w:t>
      </w:r>
      <w:r w:rsidR="005B39D9">
        <w:rPr>
          <w:rFonts w:eastAsia="Yu Mincho"/>
          <w:b/>
          <w:bCs/>
          <w:color w:val="000000"/>
          <w:lang w:val="en-CA"/>
        </w:rPr>
        <w:t>2.11</w:t>
      </w:r>
      <w:r w:rsidRPr="0006445E">
        <w:rPr>
          <w:rFonts w:eastAsia="Times New Roman"/>
          <w:color w:val="000000"/>
          <w:lang w:val="en-CA"/>
        </w:rPr>
        <w:tab/>
      </w:r>
      <w:r w:rsidR="005B39D9" w:rsidRPr="00A81971">
        <w:rPr>
          <w:b/>
          <w:bCs/>
        </w:rPr>
        <w:t xml:space="preserve">Updated ranges of total funding requirement for the replenishment of the MLF for 2027–2029 (US$ million)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2"/>
        <w:gridCol w:w="3052"/>
        <w:gridCol w:w="2980"/>
      </w:tblGrid>
      <w:tr w:rsidR="00F90461" w14:paraId="41624B05" w14:textId="77777777" w:rsidTr="2E7655E2">
        <w:trPr>
          <w:trHeight w:val="60"/>
          <w:jc w:val="center"/>
        </w:trPr>
        <w:tc>
          <w:tcPr>
            <w:tcW w:w="1676" w:type="pct"/>
            <w:shd w:val="clear" w:color="auto" w:fill="D9E2F3" w:themeFill="accent1" w:themeFillTint="33"/>
            <w:vAlign w:val="center"/>
            <w:hideMark/>
          </w:tcPr>
          <w:p w14:paraId="7F23BD14" w14:textId="77777777" w:rsidR="00232057" w:rsidRPr="00A81971" w:rsidRDefault="0032495C" w:rsidP="00232057">
            <w:pPr>
              <w:spacing w:after="0"/>
              <w:rPr>
                <w:b/>
                <w:bCs/>
              </w:rPr>
            </w:pPr>
            <w:r w:rsidRPr="00A81971">
              <w:rPr>
                <w:b/>
                <w:bCs/>
              </w:rPr>
              <w:t>2027-2029 Triennium</w:t>
            </w:r>
          </w:p>
        </w:tc>
        <w:tc>
          <w:tcPr>
            <w:tcW w:w="1682" w:type="pct"/>
            <w:shd w:val="clear" w:color="auto" w:fill="D9E2F3" w:themeFill="accent1" w:themeFillTint="33"/>
            <w:vAlign w:val="center"/>
            <w:hideMark/>
          </w:tcPr>
          <w:p w14:paraId="191997FD" w14:textId="77777777" w:rsidR="00232057" w:rsidRPr="00A81971" w:rsidRDefault="0032495C" w:rsidP="00600A44">
            <w:pPr>
              <w:spacing w:after="0"/>
              <w:jc w:val="center"/>
              <w:rPr>
                <w:b/>
                <w:bCs/>
              </w:rPr>
            </w:pPr>
            <w:r w:rsidRPr="00A81971">
              <w:rPr>
                <w:b/>
                <w:bCs/>
              </w:rPr>
              <w:t xml:space="preserve">May 2026 </w:t>
            </w:r>
            <w:r w:rsidR="00BE7ADB">
              <w:rPr>
                <w:b/>
                <w:bCs/>
              </w:rPr>
              <w:t xml:space="preserve">Report </w:t>
            </w:r>
            <w:r w:rsidRPr="00A81971">
              <w:rPr>
                <w:b/>
                <w:bCs/>
              </w:rPr>
              <w:t>Estimate</w:t>
            </w:r>
            <w:r w:rsidR="6285981A" w:rsidRPr="00A81971">
              <w:rPr>
                <w:b/>
                <w:bCs/>
              </w:rPr>
              <w:t xml:space="preserve"> (without PMU)</w:t>
            </w:r>
            <w:r>
              <w:rPr>
                <w:b/>
                <w:bCs/>
                <w:vertAlign w:val="superscript"/>
              </w:rPr>
              <w:footnoteReference w:id="18"/>
            </w:r>
          </w:p>
        </w:tc>
        <w:tc>
          <w:tcPr>
            <w:tcW w:w="1642" w:type="pct"/>
            <w:shd w:val="clear" w:color="auto" w:fill="D9E2F3" w:themeFill="accent1" w:themeFillTint="33"/>
            <w:vAlign w:val="center"/>
            <w:hideMark/>
          </w:tcPr>
          <w:p w14:paraId="05E871CC" w14:textId="77777777" w:rsidR="00232057" w:rsidRPr="00A81971" w:rsidRDefault="0032495C" w:rsidP="00600A44">
            <w:pPr>
              <w:spacing w:after="0"/>
              <w:jc w:val="center"/>
              <w:rPr>
                <w:b/>
                <w:bCs/>
              </w:rPr>
            </w:pPr>
            <w:r>
              <w:rPr>
                <w:b/>
                <w:bCs/>
              </w:rPr>
              <w:t>Updated May 2026 Report Estimate</w:t>
            </w:r>
            <w:r w:rsidR="6285981A" w:rsidRPr="00A81971">
              <w:rPr>
                <w:b/>
                <w:bCs/>
              </w:rPr>
              <w:t xml:space="preserve"> (with PMU)</w:t>
            </w:r>
            <w:r>
              <w:rPr>
                <w:b/>
                <w:bCs/>
                <w:vertAlign w:val="superscript"/>
              </w:rPr>
              <w:footnoteReference w:id="19"/>
            </w:r>
          </w:p>
        </w:tc>
      </w:tr>
      <w:tr w:rsidR="00F90461" w14:paraId="211F1CE4" w14:textId="77777777" w:rsidTr="2E7655E2">
        <w:trPr>
          <w:trHeight w:val="285"/>
          <w:jc w:val="center"/>
        </w:trPr>
        <w:tc>
          <w:tcPr>
            <w:tcW w:w="1676" w:type="pct"/>
            <w:shd w:val="clear" w:color="auto" w:fill="E2EFD9" w:themeFill="accent6" w:themeFillTint="33"/>
            <w:vAlign w:val="bottom"/>
          </w:tcPr>
          <w:p w14:paraId="72E4C339" w14:textId="77777777" w:rsidR="00232057" w:rsidRPr="00A81971" w:rsidRDefault="0032495C" w:rsidP="00232057">
            <w:pPr>
              <w:spacing w:after="0"/>
              <w:rPr>
                <w:b/>
              </w:rPr>
            </w:pPr>
            <w:r w:rsidRPr="00A81971">
              <w:rPr>
                <w:b/>
              </w:rPr>
              <w:t>SUBTOTAL – HCFC ACTIVITIES</w:t>
            </w:r>
          </w:p>
        </w:tc>
        <w:tc>
          <w:tcPr>
            <w:tcW w:w="1682" w:type="pct"/>
            <w:shd w:val="clear" w:color="auto" w:fill="FFFFFF" w:themeFill="background1"/>
            <w:vAlign w:val="center"/>
          </w:tcPr>
          <w:p w14:paraId="4D225BB1" w14:textId="77777777" w:rsidR="00232057" w:rsidRPr="00A81971" w:rsidRDefault="0032495C" w:rsidP="005209A1">
            <w:pPr>
              <w:spacing w:after="0"/>
              <w:jc w:val="center"/>
              <w:rPr>
                <w:b/>
                <w:bCs/>
              </w:rPr>
            </w:pPr>
            <w:r w:rsidRPr="00A81971">
              <w:rPr>
                <w:b/>
              </w:rPr>
              <w:t>451 – 573</w:t>
            </w:r>
          </w:p>
        </w:tc>
        <w:tc>
          <w:tcPr>
            <w:tcW w:w="1642" w:type="pct"/>
            <w:shd w:val="clear" w:color="auto" w:fill="FFFFFF" w:themeFill="background1"/>
            <w:vAlign w:val="center"/>
          </w:tcPr>
          <w:p w14:paraId="3A24640D" w14:textId="77777777" w:rsidR="00232057" w:rsidRPr="00A81971" w:rsidRDefault="0032495C" w:rsidP="005209A1">
            <w:pPr>
              <w:spacing w:after="0"/>
              <w:jc w:val="center"/>
              <w:rPr>
                <w:b/>
                <w:bCs/>
              </w:rPr>
            </w:pPr>
            <w:r w:rsidRPr="00A81971">
              <w:rPr>
                <w:b/>
                <w:bCs/>
              </w:rPr>
              <w:t>437 – 564</w:t>
            </w:r>
          </w:p>
        </w:tc>
      </w:tr>
      <w:tr w:rsidR="00F90461" w14:paraId="460E9B2E" w14:textId="77777777" w:rsidTr="2E7655E2">
        <w:trPr>
          <w:trHeight w:val="285"/>
          <w:jc w:val="center"/>
        </w:trPr>
        <w:tc>
          <w:tcPr>
            <w:tcW w:w="1676" w:type="pct"/>
            <w:shd w:val="clear" w:color="auto" w:fill="E2EFD9" w:themeFill="accent6" w:themeFillTint="33"/>
            <w:vAlign w:val="bottom"/>
          </w:tcPr>
          <w:p w14:paraId="41A42C52" w14:textId="77777777" w:rsidR="00232057" w:rsidRPr="00A81971" w:rsidRDefault="0032495C" w:rsidP="00232057">
            <w:pPr>
              <w:spacing w:after="0"/>
              <w:rPr>
                <w:b/>
                <w:bCs/>
              </w:rPr>
            </w:pPr>
            <w:r w:rsidRPr="00A81971">
              <w:rPr>
                <w:b/>
                <w:bCs/>
              </w:rPr>
              <w:t>SUBTOTAL – HFC ACTIV</w:t>
            </w:r>
            <w:r w:rsidRPr="00FE532F">
              <w:rPr>
                <w:b/>
                <w:bCs/>
              </w:rPr>
              <w:t>IT</w:t>
            </w:r>
            <w:r w:rsidR="00854538" w:rsidRPr="00FE532F">
              <w:rPr>
                <w:b/>
                <w:bCs/>
              </w:rPr>
              <w:t>I</w:t>
            </w:r>
            <w:r w:rsidRPr="00FE532F">
              <w:rPr>
                <w:b/>
                <w:bCs/>
              </w:rPr>
              <w:t>ES</w:t>
            </w:r>
          </w:p>
        </w:tc>
        <w:tc>
          <w:tcPr>
            <w:tcW w:w="1682" w:type="pct"/>
            <w:shd w:val="clear" w:color="auto" w:fill="FFFFFF" w:themeFill="background1"/>
            <w:vAlign w:val="center"/>
          </w:tcPr>
          <w:p w14:paraId="5245294B" w14:textId="77777777" w:rsidR="00232057" w:rsidRPr="00A81971" w:rsidRDefault="0032495C" w:rsidP="005209A1">
            <w:pPr>
              <w:spacing w:after="0"/>
              <w:jc w:val="center"/>
              <w:rPr>
                <w:b/>
                <w:bCs/>
              </w:rPr>
            </w:pPr>
            <w:r w:rsidRPr="00A81971">
              <w:rPr>
                <w:b/>
                <w:bCs/>
              </w:rPr>
              <w:t>702 – 1,053</w:t>
            </w:r>
          </w:p>
        </w:tc>
        <w:tc>
          <w:tcPr>
            <w:tcW w:w="1642" w:type="pct"/>
            <w:shd w:val="clear" w:color="auto" w:fill="FFFFFF" w:themeFill="background1"/>
            <w:vAlign w:val="center"/>
          </w:tcPr>
          <w:p w14:paraId="424E047A" w14:textId="77777777" w:rsidR="00232057" w:rsidRPr="00A81971" w:rsidRDefault="0032495C" w:rsidP="005209A1">
            <w:pPr>
              <w:spacing w:after="0"/>
              <w:jc w:val="center"/>
              <w:rPr>
                <w:b/>
                <w:bCs/>
              </w:rPr>
            </w:pPr>
            <w:r w:rsidRPr="00A81971">
              <w:rPr>
                <w:b/>
                <w:bCs/>
              </w:rPr>
              <w:t>664</w:t>
            </w:r>
            <w:r w:rsidR="00B83FBD">
              <w:rPr>
                <w:b/>
                <w:bCs/>
              </w:rPr>
              <w:t xml:space="preserve"> </w:t>
            </w:r>
            <w:r w:rsidR="00B83FBD" w:rsidRPr="00B83FBD">
              <w:rPr>
                <w:b/>
                <w:bCs/>
              </w:rPr>
              <w:t>–</w:t>
            </w:r>
            <w:r w:rsidR="00B83FBD">
              <w:rPr>
                <w:b/>
                <w:bCs/>
              </w:rPr>
              <w:t xml:space="preserve"> </w:t>
            </w:r>
            <w:r w:rsidRPr="00A81971">
              <w:rPr>
                <w:b/>
                <w:bCs/>
              </w:rPr>
              <w:t>999</w:t>
            </w:r>
          </w:p>
        </w:tc>
      </w:tr>
      <w:tr w:rsidR="00F90461" w14:paraId="1E5FC2E5" w14:textId="77777777" w:rsidTr="2E7655E2">
        <w:trPr>
          <w:trHeight w:val="285"/>
          <w:jc w:val="center"/>
        </w:trPr>
        <w:tc>
          <w:tcPr>
            <w:tcW w:w="1676" w:type="pct"/>
            <w:shd w:val="clear" w:color="auto" w:fill="E2EFD9" w:themeFill="accent6" w:themeFillTint="33"/>
            <w:vAlign w:val="bottom"/>
          </w:tcPr>
          <w:p w14:paraId="39640BE7" w14:textId="77777777" w:rsidR="00232057" w:rsidRPr="00A81971" w:rsidRDefault="0032495C" w:rsidP="00232057">
            <w:pPr>
              <w:spacing w:after="0"/>
              <w:rPr>
                <w:b/>
                <w:bCs/>
              </w:rPr>
            </w:pPr>
            <w:r w:rsidRPr="00A81971">
              <w:rPr>
                <w:b/>
                <w:bCs/>
              </w:rPr>
              <w:t>SUBTOTAL – IS &amp; SA</w:t>
            </w:r>
          </w:p>
        </w:tc>
        <w:tc>
          <w:tcPr>
            <w:tcW w:w="1682" w:type="pct"/>
            <w:shd w:val="clear" w:color="auto" w:fill="FFFFFF" w:themeFill="background1"/>
            <w:vAlign w:val="center"/>
          </w:tcPr>
          <w:p w14:paraId="4E296EBD" w14:textId="77777777" w:rsidR="00232057" w:rsidRPr="00A81971" w:rsidRDefault="0032495C" w:rsidP="005209A1">
            <w:pPr>
              <w:spacing w:after="0"/>
              <w:jc w:val="center"/>
              <w:rPr>
                <w:b/>
                <w:bCs/>
              </w:rPr>
            </w:pPr>
            <w:r w:rsidRPr="00A81971">
              <w:rPr>
                <w:b/>
              </w:rPr>
              <w:t>129</w:t>
            </w:r>
          </w:p>
        </w:tc>
        <w:tc>
          <w:tcPr>
            <w:tcW w:w="1642" w:type="pct"/>
            <w:shd w:val="clear" w:color="auto" w:fill="FFFFFF" w:themeFill="background1"/>
            <w:vAlign w:val="center"/>
          </w:tcPr>
          <w:p w14:paraId="268A2FFD" w14:textId="77777777" w:rsidR="00232057" w:rsidRPr="00A81971" w:rsidRDefault="0032495C" w:rsidP="005209A1">
            <w:pPr>
              <w:spacing w:after="0"/>
              <w:jc w:val="center"/>
              <w:rPr>
                <w:b/>
                <w:bCs/>
              </w:rPr>
            </w:pPr>
            <w:r w:rsidRPr="00A81971">
              <w:rPr>
                <w:b/>
                <w:bCs/>
              </w:rPr>
              <w:t>129</w:t>
            </w:r>
          </w:p>
        </w:tc>
      </w:tr>
      <w:tr w:rsidR="00F90461" w14:paraId="577AF0AA" w14:textId="77777777" w:rsidTr="2E7655E2">
        <w:trPr>
          <w:trHeight w:val="285"/>
          <w:jc w:val="center"/>
        </w:trPr>
        <w:tc>
          <w:tcPr>
            <w:tcW w:w="1676" w:type="pct"/>
            <w:shd w:val="clear" w:color="auto" w:fill="FFFF00"/>
            <w:vAlign w:val="bottom"/>
          </w:tcPr>
          <w:p w14:paraId="5AC497B1" w14:textId="77777777" w:rsidR="00232057" w:rsidRPr="00A81971" w:rsidRDefault="0032495C" w:rsidP="00232057">
            <w:pPr>
              <w:spacing w:after="0"/>
              <w:rPr>
                <w:b/>
                <w:bCs/>
              </w:rPr>
            </w:pPr>
            <w:r w:rsidRPr="00A81971">
              <w:rPr>
                <w:b/>
                <w:bCs/>
              </w:rPr>
              <w:t xml:space="preserve">GRAND TOTAL </w:t>
            </w:r>
          </w:p>
        </w:tc>
        <w:tc>
          <w:tcPr>
            <w:tcW w:w="1682" w:type="pct"/>
            <w:shd w:val="clear" w:color="auto" w:fill="FFFF00"/>
            <w:vAlign w:val="center"/>
          </w:tcPr>
          <w:p w14:paraId="42FC4C99" w14:textId="77777777" w:rsidR="00232057" w:rsidRPr="00A81971" w:rsidRDefault="0032495C" w:rsidP="005209A1">
            <w:pPr>
              <w:spacing w:after="0"/>
              <w:jc w:val="center"/>
              <w:rPr>
                <w:b/>
                <w:bCs/>
              </w:rPr>
            </w:pPr>
            <w:r w:rsidRPr="00A81971">
              <w:rPr>
                <w:b/>
                <w:bCs/>
              </w:rPr>
              <w:t>1,282 – 1,755</w:t>
            </w:r>
          </w:p>
        </w:tc>
        <w:tc>
          <w:tcPr>
            <w:tcW w:w="1642" w:type="pct"/>
            <w:shd w:val="clear" w:color="auto" w:fill="FFFF00"/>
            <w:vAlign w:val="center"/>
          </w:tcPr>
          <w:p w14:paraId="6413679D" w14:textId="77777777" w:rsidR="00232057" w:rsidRPr="00A81971" w:rsidRDefault="0032495C" w:rsidP="005209A1">
            <w:pPr>
              <w:spacing w:after="0"/>
              <w:jc w:val="center"/>
              <w:rPr>
                <w:b/>
                <w:bCs/>
              </w:rPr>
            </w:pPr>
            <w:r w:rsidRPr="00A81971">
              <w:rPr>
                <w:b/>
                <w:bCs/>
              </w:rPr>
              <w:t>1,230 – 1,692</w:t>
            </w:r>
          </w:p>
        </w:tc>
      </w:tr>
    </w:tbl>
    <w:p w14:paraId="226F828D" w14:textId="77777777" w:rsidR="0006445E" w:rsidRDefault="0006445E" w:rsidP="00232057">
      <w:pPr>
        <w:spacing w:after="0"/>
        <w:rPr>
          <w:b/>
          <w:bCs/>
          <w:highlight w:val="yellow"/>
        </w:rPr>
      </w:pPr>
    </w:p>
    <w:p w14:paraId="2AF01811" w14:textId="77777777" w:rsidR="0006445E" w:rsidRPr="0006445E" w:rsidRDefault="0032495C" w:rsidP="0006445E">
      <w:pPr>
        <w:tabs>
          <w:tab w:val="left" w:pos="0"/>
          <w:tab w:val="left" w:pos="1276"/>
        </w:tabs>
        <w:spacing w:after="120"/>
        <w:ind w:left="1282" w:hanging="1282"/>
        <w:rPr>
          <w:rFonts w:eastAsia="Yu Mincho"/>
          <w:b/>
          <w:bCs/>
          <w:color w:val="000000"/>
          <w:highlight w:val="yellow"/>
          <w:lang w:val="en-CA"/>
        </w:rPr>
      </w:pPr>
      <w:r w:rsidRPr="0006445E">
        <w:rPr>
          <w:rFonts w:eastAsia="Yu Mincho"/>
          <w:b/>
          <w:bCs/>
          <w:color w:val="000000"/>
          <w:lang w:val="en-CA"/>
        </w:rPr>
        <w:t xml:space="preserve">Table </w:t>
      </w:r>
      <w:r>
        <w:rPr>
          <w:rFonts w:eastAsia="Yu Mincho"/>
          <w:b/>
          <w:bCs/>
          <w:color w:val="000000"/>
          <w:lang w:val="en-CA"/>
        </w:rPr>
        <w:t>2.12</w:t>
      </w:r>
      <w:r w:rsidRPr="0006445E">
        <w:rPr>
          <w:rFonts w:eastAsia="Times New Roman"/>
          <w:color w:val="000000"/>
          <w:lang w:val="en-CA"/>
        </w:rPr>
        <w:tab/>
      </w:r>
      <w:r w:rsidR="006B0FAA">
        <w:rPr>
          <w:rFonts w:eastAsia="Times New Roman"/>
          <w:b/>
          <w:bCs/>
          <w:color w:val="000000"/>
          <w:lang w:val="en-CA"/>
        </w:rPr>
        <w:t>Updated r</w:t>
      </w:r>
      <w:r w:rsidRPr="0006445E">
        <w:rPr>
          <w:rFonts w:eastAsia="Times New Roman"/>
          <w:b/>
          <w:bCs/>
          <w:color w:val="000000"/>
          <w:lang w:val="en-CA"/>
        </w:rPr>
        <w:t>ange</w:t>
      </w:r>
      <w:r w:rsidR="00BE7ADB">
        <w:rPr>
          <w:rFonts w:eastAsia="Times New Roman"/>
          <w:b/>
          <w:bCs/>
          <w:color w:val="000000"/>
          <w:lang w:val="en-CA"/>
        </w:rPr>
        <w:t>s</w:t>
      </w:r>
      <w:r w:rsidRPr="0006445E">
        <w:rPr>
          <w:rFonts w:eastAsia="Times New Roman"/>
          <w:b/>
          <w:bCs/>
          <w:color w:val="000000"/>
          <w:lang w:val="en-CA"/>
        </w:rPr>
        <w:t xml:space="preserve"> of indicative funding requirement for the replenishment of the MLF </w:t>
      </w:r>
      <w:r w:rsidR="00DD0E7C">
        <w:rPr>
          <w:rFonts w:eastAsia="Times New Roman"/>
          <w:b/>
          <w:bCs/>
          <w:color w:val="000000"/>
          <w:lang w:val="en-CA"/>
        </w:rPr>
        <w:t>for</w:t>
      </w:r>
      <w:r w:rsidRPr="0006445E">
        <w:rPr>
          <w:rFonts w:eastAsia="Times New Roman"/>
          <w:b/>
          <w:bCs/>
          <w:color w:val="000000"/>
          <w:lang w:val="en-CA"/>
        </w:rPr>
        <w:t xml:space="preserve"> 2030-2032 </w:t>
      </w:r>
      <w:r w:rsidRPr="0006445E">
        <w:rPr>
          <w:rFonts w:eastAsia="Yu Mincho"/>
          <w:b/>
          <w:bCs/>
          <w:color w:val="000000"/>
          <w:lang w:val="en-CA"/>
        </w:rPr>
        <w:t xml:space="preserve">(US$ million)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038"/>
        <w:gridCol w:w="3049"/>
        <w:gridCol w:w="2977"/>
      </w:tblGrid>
      <w:tr w:rsidR="00F90461" w14:paraId="78A37CF5" w14:textId="77777777" w:rsidTr="0006445E">
        <w:trPr>
          <w:trHeight w:val="60"/>
        </w:trPr>
        <w:tc>
          <w:tcPr>
            <w:tcW w:w="1676" w:type="pct"/>
            <w:shd w:val="clear" w:color="auto" w:fill="D9E2F3"/>
            <w:vAlign w:val="center"/>
            <w:hideMark/>
          </w:tcPr>
          <w:p w14:paraId="57D80A88" w14:textId="77777777" w:rsidR="0006445E" w:rsidRPr="0006445E" w:rsidRDefault="0032495C" w:rsidP="0006445E">
            <w:pPr>
              <w:spacing w:after="0"/>
              <w:jc w:val="center"/>
              <w:rPr>
                <w:rFonts w:eastAsia="Times New Roman"/>
                <w:b/>
                <w:bCs/>
                <w:color w:val="000000"/>
                <w:lang w:val="en-US"/>
              </w:rPr>
            </w:pPr>
            <w:r w:rsidRPr="0006445E">
              <w:rPr>
                <w:rFonts w:eastAsia="Times New Roman"/>
                <w:b/>
                <w:bCs/>
                <w:color w:val="000000"/>
                <w:lang w:val="en-US"/>
              </w:rPr>
              <w:t>2030-2032 Triennium</w:t>
            </w:r>
          </w:p>
        </w:tc>
        <w:tc>
          <w:tcPr>
            <w:tcW w:w="1682" w:type="pct"/>
            <w:shd w:val="clear" w:color="auto" w:fill="D9E2F3"/>
            <w:vAlign w:val="center"/>
            <w:hideMark/>
          </w:tcPr>
          <w:p w14:paraId="1618F2C1" w14:textId="77777777" w:rsidR="0006445E" w:rsidRPr="0006445E" w:rsidRDefault="0032495C" w:rsidP="0006445E">
            <w:pPr>
              <w:spacing w:after="0"/>
              <w:jc w:val="center"/>
              <w:textAlignment w:val="baseline"/>
              <w:rPr>
                <w:rFonts w:eastAsia="Times New Roman"/>
                <w:b/>
                <w:color w:val="000000"/>
                <w:lang w:val="en-US"/>
              </w:rPr>
            </w:pPr>
            <w:r>
              <w:rPr>
                <w:rFonts w:eastAsia="Times New Roman"/>
                <w:b/>
                <w:bCs/>
                <w:color w:val="000000"/>
                <w:lang w:val="en-US"/>
              </w:rPr>
              <w:t>May 2026 Report</w:t>
            </w:r>
            <w:r w:rsidR="00BE7ADB">
              <w:rPr>
                <w:rFonts w:eastAsia="Times New Roman"/>
                <w:b/>
                <w:bCs/>
                <w:color w:val="000000"/>
                <w:lang w:val="en-US"/>
              </w:rPr>
              <w:t xml:space="preserve"> Estimate </w:t>
            </w:r>
            <w:r w:rsidR="00020A42">
              <w:rPr>
                <w:rFonts w:eastAsia="Times New Roman"/>
                <w:b/>
                <w:bCs/>
                <w:color w:val="000000"/>
                <w:lang w:val="en-US"/>
              </w:rPr>
              <w:t>(without PMU)</w:t>
            </w:r>
          </w:p>
        </w:tc>
        <w:tc>
          <w:tcPr>
            <w:tcW w:w="1642" w:type="pct"/>
            <w:shd w:val="clear" w:color="auto" w:fill="D9E2F3"/>
            <w:vAlign w:val="center"/>
            <w:hideMark/>
          </w:tcPr>
          <w:p w14:paraId="56258671" w14:textId="77777777" w:rsidR="0006445E" w:rsidRPr="0006445E" w:rsidRDefault="0032495C" w:rsidP="0006445E">
            <w:pPr>
              <w:spacing w:after="0" w:line="259" w:lineRule="auto"/>
              <w:jc w:val="center"/>
              <w:rPr>
                <w:rFonts w:eastAsia="Times New Roman"/>
                <w:b/>
                <w:color w:val="000000"/>
                <w:lang w:val="en-US"/>
              </w:rPr>
            </w:pPr>
            <w:r>
              <w:rPr>
                <w:rFonts w:eastAsia="Times New Roman"/>
                <w:b/>
                <w:bCs/>
                <w:color w:val="000000"/>
                <w:lang w:val="en-US"/>
              </w:rPr>
              <w:t>Updat</w:t>
            </w:r>
            <w:r w:rsidR="006F3113">
              <w:rPr>
                <w:rFonts w:eastAsia="Times New Roman"/>
                <w:b/>
                <w:bCs/>
                <w:color w:val="000000"/>
                <w:lang w:val="en-US"/>
              </w:rPr>
              <w:t>e</w:t>
            </w:r>
            <w:r>
              <w:rPr>
                <w:rFonts w:eastAsia="Times New Roman"/>
                <w:b/>
                <w:bCs/>
                <w:color w:val="000000"/>
                <w:lang w:val="en-US"/>
              </w:rPr>
              <w:t>d May 2026 Report Estimate (with PMU)</w:t>
            </w:r>
          </w:p>
        </w:tc>
      </w:tr>
      <w:tr w:rsidR="00F90461" w14:paraId="1848A99F" w14:textId="77777777" w:rsidTr="0006445E">
        <w:trPr>
          <w:trHeight w:val="285"/>
        </w:trPr>
        <w:tc>
          <w:tcPr>
            <w:tcW w:w="1676" w:type="pct"/>
            <w:shd w:val="clear" w:color="auto" w:fill="E2EFD9"/>
            <w:vAlign w:val="bottom"/>
          </w:tcPr>
          <w:p w14:paraId="32FDB007" w14:textId="77777777" w:rsidR="0006445E" w:rsidRPr="0006445E" w:rsidRDefault="0032495C" w:rsidP="0006445E">
            <w:pPr>
              <w:spacing w:after="0" w:line="259" w:lineRule="auto"/>
              <w:rPr>
                <w:rFonts w:eastAsia="Times New Roman"/>
                <w:b/>
                <w:color w:val="000000"/>
                <w:lang w:val="en-US"/>
              </w:rPr>
            </w:pPr>
            <w:r w:rsidRPr="0006445E">
              <w:rPr>
                <w:rFonts w:eastAsia="Times New Roman"/>
                <w:b/>
                <w:color w:val="000000"/>
                <w:lang w:val="en-US"/>
              </w:rPr>
              <w:t>SUBTOTAL – HCFC ACTIVITIES</w:t>
            </w:r>
          </w:p>
        </w:tc>
        <w:tc>
          <w:tcPr>
            <w:tcW w:w="1682" w:type="pct"/>
            <w:shd w:val="clear" w:color="auto" w:fill="FFFFFF"/>
            <w:vAlign w:val="center"/>
          </w:tcPr>
          <w:p w14:paraId="4956BB1C" w14:textId="77777777" w:rsidR="0006445E" w:rsidRPr="0006445E" w:rsidRDefault="0032495C" w:rsidP="0006445E">
            <w:pPr>
              <w:spacing w:after="0"/>
              <w:jc w:val="center"/>
              <w:textAlignment w:val="baseline"/>
              <w:rPr>
                <w:rFonts w:eastAsia="Times New Roman"/>
                <w:b/>
                <w:bCs/>
                <w:color w:val="000000"/>
                <w:lang w:val="en-US"/>
              </w:rPr>
            </w:pPr>
            <w:r>
              <w:rPr>
                <w:rFonts w:eastAsia="Times New Roman"/>
                <w:b/>
                <w:color w:val="000000"/>
                <w:lang w:val="en-US"/>
              </w:rPr>
              <w:t>8</w:t>
            </w:r>
            <w:r w:rsidR="00507D01">
              <w:rPr>
                <w:rFonts w:eastAsia="Times New Roman"/>
                <w:b/>
                <w:color w:val="000000"/>
                <w:lang w:val="en-US"/>
              </w:rPr>
              <w:t xml:space="preserve">3 </w:t>
            </w:r>
            <w:r w:rsidR="00507D01" w:rsidRPr="00507D01">
              <w:rPr>
                <w:rFonts w:eastAsia="Times New Roman"/>
                <w:b/>
                <w:color w:val="000000"/>
                <w:lang w:val="en-US"/>
              </w:rPr>
              <w:t>–</w:t>
            </w:r>
            <w:r w:rsidR="00507D01">
              <w:rPr>
                <w:rFonts w:eastAsia="Times New Roman"/>
                <w:b/>
                <w:color w:val="000000"/>
                <w:lang w:val="en-US"/>
              </w:rPr>
              <w:t xml:space="preserve"> </w:t>
            </w:r>
            <w:r w:rsidR="00656FA1">
              <w:rPr>
                <w:rFonts w:eastAsia="Times New Roman"/>
                <w:b/>
                <w:color w:val="000000"/>
                <w:lang w:val="en-US"/>
              </w:rPr>
              <w:t>96</w:t>
            </w:r>
            <w:r w:rsidR="009F1CDB">
              <w:rPr>
                <w:rFonts w:eastAsia="Times New Roman"/>
                <w:b/>
                <w:color w:val="000000"/>
                <w:lang w:val="en-US"/>
              </w:rPr>
              <w:t xml:space="preserve"> </w:t>
            </w:r>
          </w:p>
        </w:tc>
        <w:tc>
          <w:tcPr>
            <w:tcW w:w="1642" w:type="pct"/>
            <w:shd w:val="clear" w:color="auto" w:fill="FFFFFF"/>
            <w:vAlign w:val="center"/>
          </w:tcPr>
          <w:p w14:paraId="1F54EE5A" w14:textId="77777777" w:rsidR="0006445E" w:rsidRPr="0006445E" w:rsidRDefault="0032495C" w:rsidP="0006445E">
            <w:pPr>
              <w:spacing w:after="0"/>
              <w:jc w:val="center"/>
              <w:textAlignment w:val="baseline"/>
              <w:rPr>
                <w:rFonts w:eastAsia="Times New Roman"/>
                <w:b/>
                <w:bCs/>
                <w:color w:val="000000"/>
                <w:lang w:val="en-US"/>
              </w:rPr>
            </w:pPr>
            <w:r>
              <w:rPr>
                <w:rFonts w:eastAsia="Times New Roman"/>
                <w:b/>
                <w:bCs/>
                <w:color w:val="000000"/>
                <w:lang w:val="en-US"/>
              </w:rPr>
              <w:t>88</w:t>
            </w:r>
            <w:r w:rsidR="008F6DB6">
              <w:rPr>
                <w:rFonts w:eastAsia="Times New Roman"/>
                <w:b/>
                <w:bCs/>
                <w:color w:val="000000"/>
                <w:lang w:val="en-US"/>
              </w:rPr>
              <w:t xml:space="preserve"> </w:t>
            </w:r>
            <w:r w:rsidR="008F6DB6" w:rsidRPr="008F6DB6">
              <w:rPr>
                <w:rFonts w:eastAsia="Times New Roman"/>
                <w:b/>
                <w:bCs/>
                <w:color w:val="000000"/>
                <w:lang w:val="en-US"/>
              </w:rPr>
              <w:t>–</w:t>
            </w:r>
            <w:r w:rsidR="008F6DB6">
              <w:rPr>
                <w:rFonts w:eastAsia="Times New Roman"/>
                <w:b/>
                <w:bCs/>
                <w:color w:val="000000"/>
                <w:lang w:val="en-US"/>
              </w:rPr>
              <w:t xml:space="preserve"> </w:t>
            </w:r>
            <w:r w:rsidR="008F7E0F">
              <w:rPr>
                <w:rFonts w:eastAsia="Times New Roman"/>
                <w:b/>
                <w:bCs/>
                <w:color w:val="000000"/>
                <w:lang w:val="en-US"/>
              </w:rPr>
              <w:t>102</w:t>
            </w:r>
          </w:p>
        </w:tc>
      </w:tr>
      <w:tr w:rsidR="00F90461" w14:paraId="5AE65F98" w14:textId="77777777" w:rsidTr="0006445E">
        <w:trPr>
          <w:trHeight w:val="285"/>
        </w:trPr>
        <w:tc>
          <w:tcPr>
            <w:tcW w:w="1676" w:type="pct"/>
            <w:shd w:val="clear" w:color="auto" w:fill="E2EFD9"/>
            <w:vAlign w:val="bottom"/>
          </w:tcPr>
          <w:p w14:paraId="369FF1B5"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SUBTOTAL – HFC ACTIVITES</w:t>
            </w:r>
          </w:p>
        </w:tc>
        <w:tc>
          <w:tcPr>
            <w:tcW w:w="1682" w:type="pct"/>
            <w:shd w:val="clear" w:color="auto" w:fill="FFFFFF"/>
            <w:vAlign w:val="center"/>
          </w:tcPr>
          <w:p w14:paraId="31088864"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 xml:space="preserve">877 – </w:t>
            </w:r>
            <w:r w:rsidR="00B666A9">
              <w:rPr>
                <w:rFonts w:eastAsia="Times New Roman"/>
                <w:b/>
                <w:bCs/>
                <w:color w:val="000000"/>
                <w:lang w:val="en-US"/>
              </w:rPr>
              <w:t>1,085</w:t>
            </w:r>
          </w:p>
        </w:tc>
        <w:tc>
          <w:tcPr>
            <w:tcW w:w="1642" w:type="pct"/>
            <w:shd w:val="clear" w:color="auto" w:fill="FFFFFF"/>
            <w:vAlign w:val="center"/>
          </w:tcPr>
          <w:p w14:paraId="2F6543CA" w14:textId="77777777" w:rsidR="0006445E" w:rsidRPr="0006445E" w:rsidRDefault="0032495C" w:rsidP="0006445E">
            <w:pPr>
              <w:spacing w:after="0"/>
              <w:jc w:val="center"/>
              <w:textAlignment w:val="baseline"/>
              <w:rPr>
                <w:rFonts w:eastAsia="Times New Roman"/>
                <w:b/>
                <w:bCs/>
                <w:color w:val="000000"/>
                <w:lang w:val="en-US"/>
              </w:rPr>
            </w:pPr>
            <w:r>
              <w:rPr>
                <w:rFonts w:eastAsia="Times New Roman"/>
                <w:b/>
                <w:bCs/>
                <w:color w:val="000000"/>
                <w:lang w:val="en-US"/>
              </w:rPr>
              <w:t>861</w:t>
            </w:r>
            <w:r w:rsidRPr="0006445E">
              <w:rPr>
                <w:rFonts w:eastAsia="Times New Roman"/>
                <w:b/>
                <w:bCs/>
                <w:color w:val="000000"/>
                <w:lang w:val="en-US"/>
              </w:rPr>
              <w:t xml:space="preserve"> – 1,0</w:t>
            </w:r>
            <w:r>
              <w:rPr>
                <w:rFonts w:eastAsia="Times New Roman"/>
                <w:b/>
                <w:bCs/>
                <w:color w:val="000000"/>
                <w:lang w:val="en-US"/>
              </w:rPr>
              <w:t>76</w:t>
            </w:r>
          </w:p>
        </w:tc>
      </w:tr>
      <w:tr w:rsidR="00F90461" w14:paraId="79EDB0CB" w14:textId="77777777" w:rsidTr="0006445E">
        <w:trPr>
          <w:trHeight w:val="285"/>
        </w:trPr>
        <w:tc>
          <w:tcPr>
            <w:tcW w:w="1676" w:type="pct"/>
            <w:shd w:val="clear" w:color="auto" w:fill="E2EFD9"/>
            <w:vAlign w:val="bottom"/>
          </w:tcPr>
          <w:p w14:paraId="52EE216F"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SUBTOTAL – IS &amp; SA</w:t>
            </w:r>
          </w:p>
        </w:tc>
        <w:tc>
          <w:tcPr>
            <w:tcW w:w="1682" w:type="pct"/>
            <w:shd w:val="clear" w:color="auto" w:fill="FFFFFF"/>
            <w:vAlign w:val="center"/>
          </w:tcPr>
          <w:p w14:paraId="148589A7"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color w:val="000000"/>
                <w:lang w:val="en-US"/>
              </w:rPr>
              <w:t>137</w:t>
            </w:r>
          </w:p>
        </w:tc>
        <w:tc>
          <w:tcPr>
            <w:tcW w:w="1642" w:type="pct"/>
            <w:shd w:val="clear" w:color="auto" w:fill="FFFFFF"/>
            <w:vAlign w:val="center"/>
          </w:tcPr>
          <w:p w14:paraId="61FE757A"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color w:val="000000"/>
                <w:lang w:val="en-US"/>
              </w:rPr>
              <w:t>137</w:t>
            </w:r>
          </w:p>
        </w:tc>
      </w:tr>
      <w:tr w:rsidR="00F90461" w14:paraId="4FF51F7A" w14:textId="77777777">
        <w:trPr>
          <w:trHeight w:val="285"/>
        </w:trPr>
        <w:tc>
          <w:tcPr>
            <w:tcW w:w="1676" w:type="pct"/>
            <w:shd w:val="clear" w:color="auto" w:fill="FFFF00"/>
            <w:vAlign w:val="bottom"/>
          </w:tcPr>
          <w:p w14:paraId="2EA45608"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GRAND TOTAL</w:t>
            </w:r>
          </w:p>
        </w:tc>
        <w:tc>
          <w:tcPr>
            <w:tcW w:w="1682" w:type="pct"/>
            <w:shd w:val="clear" w:color="auto" w:fill="FFFF00"/>
            <w:vAlign w:val="center"/>
          </w:tcPr>
          <w:p w14:paraId="7185352A"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1,097 – 1,</w:t>
            </w:r>
            <w:r w:rsidR="004F0403">
              <w:rPr>
                <w:rFonts w:eastAsia="Times New Roman"/>
                <w:b/>
                <w:bCs/>
                <w:color w:val="000000"/>
                <w:lang w:val="en-US"/>
              </w:rPr>
              <w:t>318</w:t>
            </w:r>
          </w:p>
        </w:tc>
        <w:tc>
          <w:tcPr>
            <w:tcW w:w="1642" w:type="pct"/>
            <w:shd w:val="clear" w:color="auto" w:fill="FFFF00"/>
            <w:vAlign w:val="center"/>
          </w:tcPr>
          <w:p w14:paraId="1E55784F"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1,</w:t>
            </w:r>
            <w:r w:rsidR="00970963">
              <w:rPr>
                <w:rFonts w:eastAsia="Times New Roman"/>
                <w:b/>
                <w:bCs/>
                <w:color w:val="000000"/>
                <w:lang w:val="en-US"/>
              </w:rPr>
              <w:t>086</w:t>
            </w:r>
            <w:r w:rsidRPr="0006445E">
              <w:rPr>
                <w:rFonts w:eastAsia="Times New Roman"/>
                <w:b/>
                <w:bCs/>
                <w:color w:val="000000"/>
                <w:lang w:val="en-US"/>
              </w:rPr>
              <w:t xml:space="preserve"> – 1,31</w:t>
            </w:r>
            <w:r w:rsidR="00970963">
              <w:rPr>
                <w:rFonts w:eastAsia="Times New Roman"/>
                <w:b/>
                <w:bCs/>
                <w:color w:val="000000"/>
                <w:lang w:val="en-US"/>
              </w:rPr>
              <w:t>5</w:t>
            </w:r>
          </w:p>
        </w:tc>
      </w:tr>
    </w:tbl>
    <w:p w14:paraId="09C56EAE" w14:textId="77777777" w:rsidR="0006445E" w:rsidRDefault="0006445E" w:rsidP="0006445E">
      <w:pPr>
        <w:tabs>
          <w:tab w:val="left" w:pos="0"/>
        </w:tabs>
        <w:spacing w:after="0" w:line="259" w:lineRule="auto"/>
        <w:jc w:val="both"/>
        <w:rPr>
          <w:rFonts w:eastAsia="Times New Roman"/>
          <w:color w:val="000000"/>
          <w:sz w:val="24"/>
          <w:szCs w:val="24"/>
          <w:lang w:val="en-CA"/>
        </w:rPr>
      </w:pPr>
    </w:p>
    <w:p w14:paraId="7633B724" w14:textId="77777777" w:rsidR="006A7E2A" w:rsidRPr="00A66BF3" w:rsidRDefault="0032495C" w:rsidP="00A66BF3">
      <w:pPr>
        <w:tabs>
          <w:tab w:val="left" w:pos="0"/>
          <w:tab w:val="left" w:pos="1276"/>
        </w:tabs>
        <w:spacing w:after="120"/>
        <w:ind w:left="1282" w:hanging="1282"/>
        <w:rPr>
          <w:rFonts w:eastAsia="Yu Mincho"/>
          <w:b/>
          <w:bCs/>
          <w:color w:val="000000"/>
          <w:highlight w:val="yellow"/>
          <w:lang w:val="en-CA"/>
        </w:rPr>
      </w:pPr>
      <w:r w:rsidRPr="0006445E">
        <w:rPr>
          <w:rFonts w:eastAsia="Yu Mincho"/>
          <w:b/>
          <w:bCs/>
          <w:color w:val="000000"/>
          <w:lang w:val="en-CA"/>
        </w:rPr>
        <w:t xml:space="preserve">Table </w:t>
      </w:r>
      <w:r>
        <w:rPr>
          <w:rFonts w:eastAsia="Yu Mincho"/>
          <w:b/>
          <w:bCs/>
          <w:color w:val="000000"/>
          <w:lang w:val="en-CA"/>
        </w:rPr>
        <w:t>2.1</w:t>
      </w:r>
      <w:r w:rsidR="00A66BF3">
        <w:rPr>
          <w:rFonts w:eastAsia="Yu Mincho"/>
          <w:b/>
          <w:bCs/>
          <w:color w:val="000000"/>
          <w:lang w:val="en-CA"/>
        </w:rPr>
        <w:t>3</w:t>
      </w:r>
      <w:r w:rsidRPr="0006445E">
        <w:rPr>
          <w:rFonts w:eastAsia="Times New Roman"/>
          <w:color w:val="000000"/>
          <w:lang w:val="en-CA"/>
        </w:rPr>
        <w:tab/>
      </w:r>
      <w:r>
        <w:rPr>
          <w:rFonts w:eastAsia="Times New Roman"/>
          <w:b/>
          <w:bCs/>
          <w:color w:val="000000"/>
          <w:lang w:val="en-CA"/>
        </w:rPr>
        <w:t>Updated r</w:t>
      </w:r>
      <w:r w:rsidRPr="0006445E">
        <w:rPr>
          <w:rFonts w:eastAsia="Times New Roman"/>
          <w:b/>
          <w:bCs/>
          <w:color w:val="000000"/>
          <w:lang w:val="en-CA"/>
        </w:rPr>
        <w:t>ange</w:t>
      </w:r>
      <w:r>
        <w:rPr>
          <w:rFonts w:eastAsia="Times New Roman"/>
          <w:b/>
          <w:bCs/>
          <w:color w:val="000000"/>
          <w:lang w:val="en-CA"/>
        </w:rPr>
        <w:t>s</w:t>
      </w:r>
      <w:r w:rsidRPr="0006445E">
        <w:rPr>
          <w:rFonts w:eastAsia="Times New Roman"/>
          <w:b/>
          <w:bCs/>
          <w:color w:val="000000"/>
          <w:lang w:val="en-CA"/>
        </w:rPr>
        <w:t xml:space="preserve"> of indicative funding requirement for the replenishment of the MLF </w:t>
      </w:r>
      <w:r w:rsidR="005D0807">
        <w:rPr>
          <w:rFonts w:eastAsia="Times New Roman"/>
          <w:b/>
          <w:bCs/>
          <w:color w:val="000000"/>
          <w:lang w:val="en-CA"/>
        </w:rPr>
        <w:t>for</w:t>
      </w:r>
      <w:r w:rsidRPr="0006445E">
        <w:rPr>
          <w:rFonts w:eastAsia="Times New Roman"/>
          <w:b/>
          <w:bCs/>
          <w:color w:val="000000"/>
          <w:lang w:val="en-CA"/>
        </w:rPr>
        <w:t xml:space="preserve"> 203</w:t>
      </w:r>
      <w:r w:rsidR="0032568B">
        <w:rPr>
          <w:rFonts w:eastAsia="Times New Roman"/>
          <w:b/>
          <w:bCs/>
          <w:color w:val="000000"/>
          <w:lang w:val="en-CA"/>
        </w:rPr>
        <w:t>3</w:t>
      </w:r>
      <w:r w:rsidRPr="0006445E">
        <w:rPr>
          <w:rFonts w:eastAsia="Times New Roman"/>
          <w:b/>
          <w:bCs/>
          <w:color w:val="000000"/>
          <w:lang w:val="en-CA"/>
        </w:rPr>
        <w:t xml:space="preserve">-2035 </w:t>
      </w:r>
      <w:r w:rsidRPr="0006445E">
        <w:rPr>
          <w:rFonts w:eastAsia="Yu Mincho"/>
          <w:b/>
          <w:bCs/>
          <w:color w:val="000000"/>
          <w:lang w:val="en-CA"/>
        </w:rPr>
        <w:t xml:space="preserve">(US$ million)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038"/>
        <w:gridCol w:w="3049"/>
        <w:gridCol w:w="2977"/>
      </w:tblGrid>
      <w:tr w:rsidR="00F90461" w14:paraId="74FDE914" w14:textId="77777777" w:rsidTr="0006445E">
        <w:trPr>
          <w:trHeight w:val="60"/>
        </w:trPr>
        <w:tc>
          <w:tcPr>
            <w:tcW w:w="1676" w:type="pct"/>
            <w:shd w:val="clear" w:color="auto" w:fill="D9E2F3"/>
            <w:vAlign w:val="center"/>
            <w:hideMark/>
          </w:tcPr>
          <w:p w14:paraId="3905C72E" w14:textId="77777777" w:rsidR="0006445E" w:rsidRPr="0006445E" w:rsidRDefault="0032495C" w:rsidP="0006445E">
            <w:pPr>
              <w:spacing w:after="0"/>
              <w:jc w:val="center"/>
              <w:rPr>
                <w:rFonts w:eastAsia="Times New Roman"/>
                <w:b/>
                <w:bCs/>
                <w:color w:val="000000"/>
                <w:lang w:val="en-US"/>
              </w:rPr>
            </w:pPr>
            <w:r w:rsidRPr="0006445E">
              <w:rPr>
                <w:rFonts w:eastAsia="Times New Roman"/>
                <w:b/>
                <w:bCs/>
                <w:color w:val="000000"/>
                <w:lang w:val="en-US"/>
              </w:rPr>
              <w:t>203</w:t>
            </w:r>
            <w:r w:rsidR="0032568B">
              <w:rPr>
                <w:rFonts w:eastAsia="Times New Roman"/>
                <w:b/>
                <w:bCs/>
                <w:color w:val="000000"/>
                <w:lang w:val="en-US"/>
              </w:rPr>
              <w:t>3</w:t>
            </w:r>
            <w:r w:rsidRPr="0006445E">
              <w:rPr>
                <w:rFonts w:eastAsia="Times New Roman"/>
                <w:b/>
                <w:bCs/>
                <w:color w:val="000000"/>
                <w:lang w:val="en-US"/>
              </w:rPr>
              <w:t>-2035 Triennium</w:t>
            </w:r>
          </w:p>
        </w:tc>
        <w:tc>
          <w:tcPr>
            <w:tcW w:w="1682" w:type="pct"/>
            <w:shd w:val="clear" w:color="auto" w:fill="D9E2F3"/>
            <w:vAlign w:val="center"/>
            <w:hideMark/>
          </w:tcPr>
          <w:p w14:paraId="2DB70727" w14:textId="77777777" w:rsidR="0006445E" w:rsidRPr="0006445E" w:rsidRDefault="0032495C" w:rsidP="0006445E">
            <w:pPr>
              <w:spacing w:after="0"/>
              <w:jc w:val="center"/>
              <w:textAlignment w:val="baseline"/>
              <w:rPr>
                <w:rFonts w:eastAsia="Times New Roman"/>
                <w:b/>
                <w:color w:val="000000"/>
                <w:lang w:val="en-US"/>
              </w:rPr>
            </w:pPr>
            <w:r w:rsidRPr="006F3113">
              <w:rPr>
                <w:rFonts w:eastAsia="Times New Roman"/>
                <w:b/>
                <w:bCs/>
                <w:color w:val="000000"/>
                <w:lang w:val="en-US"/>
              </w:rPr>
              <w:t>May 2026 Report Estimate (without PMU)</w:t>
            </w:r>
          </w:p>
        </w:tc>
        <w:tc>
          <w:tcPr>
            <w:tcW w:w="1642" w:type="pct"/>
            <w:shd w:val="clear" w:color="auto" w:fill="D9E2F3"/>
            <w:vAlign w:val="center"/>
            <w:hideMark/>
          </w:tcPr>
          <w:p w14:paraId="619A3C08" w14:textId="77777777" w:rsidR="0006445E" w:rsidRPr="0006445E" w:rsidRDefault="0032495C" w:rsidP="0006445E">
            <w:pPr>
              <w:spacing w:after="0" w:line="259" w:lineRule="auto"/>
              <w:jc w:val="center"/>
              <w:rPr>
                <w:rFonts w:eastAsia="Times New Roman"/>
                <w:b/>
                <w:color w:val="000000"/>
                <w:lang w:val="en-US"/>
              </w:rPr>
            </w:pPr>
            <w:r w:rsidRPr="006F3113">
              <w:rPr>
                <w:rFonts w:eastAsia="Times New Roman"/>
                <w:b/>
                <w:bCs/>
                <w:color w:val="000000"/>
                <w:lang w:val="en-US"/>
              </w:rPr>
              <w:t>Updat</w:t>
            </w:r>
            <w:r w:rsidR="00392155">
              <w:rPr>
                <w:rFonts w:eastAsia="Times New Roman"/>
                <w:b/>
                <w:bCs/>
                <w:color w:val="000000"/>
                <w:lang w:val="en-US"/>
              </w:rPr>
              <w:t>e</w:t>
            </w:r>
            <w:r w:rsidRPr="006F3113">
              <w:rPr>
                <w:rFonts w:eastAsia="Times New Roman"/>
                <w:b/>
                <w:bCs/>
                <w:color w:val="000000"/>
                <w:lang w:val="en-US"/>
              </w:rPr>
              <w:t>d May 2026 Report Estimate (with PMU)</w:t>
            </w:r>
          </w:p>
        </w:tc>
      </w:tr>
      <w:tr w:rsidR="00F90461" w14:paraId="4A1E8239" w14:textId="77777777" w:rsidTr="0006445E">
        <w:trPr>
          <w:trHeight w:val="285"/>
        </w:trPr>
        <w:tc>
          <w:tcPr>
            <w:tcW w:w="1676" w:type="pct"/>
            <w:shd w:val="clear" w:color="auto" w:fill="E2EFD9"/>
            <w:vAlign w:val="bottom"/>
          </w:tcPr>
          <w:p w14:paraId="4BE38CDD" w14:textId="77777777" w:rsidR="0006445E" w:rsidRPr="0006445E" w:rsidRDefault="0032495C" w:rsidP="0006445E">
            <w:pPr>
              <w:spacing w:after="0" w:line="259" w:lineRule="auto"/>
              <w:rPr>
                <w:rFonts w:eastAsia="Times New Roman"/>
                <w:b/>
                <w:color w:val="000000"/>
                <w:lang w:val="en-US"/>
              </w:rPr>
            </w:pPr>
            <w:r w:rsidRPr="0006445E">
              <w:rPr>
                <w:rFonts w:eastAsia="Times New Roman"/>
                <w:b/>
                <w:color w:val="000000"/>
                <w:lang w:val="en-US"/>
              </w:rPr>
              <w:t>SUBTOTAL – HCFC ACTIVITIES</w:t>
            </w:r>
          </w:p>
        </w:tc>
        <w:tc>
          <w:tcPr>
            <w:tcW w:w="1682" w:type="pct"/>
            <w:shd w:val="clear" w:color="auto" w:fill="FFFFFF"/>
            <w:vAlign w:val="center"/>
          </w:tcPr>
          <w:p w14:paraId="739FEA00"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color w:val="000000"/>
                <w:lang w:val="en-US"/>
              </w:rPr>
              <w:t>-</w:t>
            </w:r>
          </w:p>
        </w:tc>
        <w:tc>
          <w:tcPr>
            <w:tcW w:w="1642" w:type="pct"/>
            <w:shd w:val="clear" w:color="auto" w:fill="FFFFFF"/>
            <w:vAlign w:val="center"/>
          </w:tcPr>
          <w:p w14:paraId="58E0FB88"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w:t>
            </w:r>
          </w:p>
        </w:tc>
      </w:tr>
      <w:tr w:rsidR="00F90461" w14:paraId="78559B35" w14:textId="77777777" w:rsidTr="0006445E">
        <w:trPr>
          <w:trHeight w:val="285"/>
        </w:trPr>
        <w:tc>
          <w:tcPr>
            <w:tcW w:w="1676" w:type="pct"/>
            <w:shd w:val="clear" w:color="auto" w:fill="E2EFD9"/>
            <w:vAlign w:val="bottom"/>
          </w:tcPr>
          <w:p w14:paraId="0F769B2D"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SUBTOTAL – HFC ACTIVITES</w:t>
            </w:r>
          </w:p>
        </w:tc>
        <w:tc>
          <w:tcPr>
            <w:tcW w:w="1682" w:type="pct"/>
            <w:shd w:val="clear" w:color="auto" w:fill="FFFFFF"/>
            <w:vAlign w:val="center"/>
          </w:tcPr>
          <w:p w14:paraId="542BD85A"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 xml:space="preserve">488 – </w:t>
            </w:r>
            <w:r w:rsidR="00400C4A">
              <w:rPr>
                <w:rFonts w:eastAsia="Times New Roman"/>
                <w:b/>
                <w:bCs/>
                <w:color w:val="000000"/>
                <w:lang w:val="en-US"/>
              </w:rPr>
              <w:t>600</w:t>
            </w:r>
          </w:p>
        </w:tc>
        <w:tc>
          <w:tcPr>
            <w:tcW w:w="1642" w:type="pct"/>
            <w:shd w:val="clear" w:color="auto" w:fill="FFFFFF"/>
            <w:vAlign w:val="center"/>
          </w:tcPr>
          <w:p w14:paraId="3117C7B8" w14:textId="77777777" w:rsidR="0006445E" w:rsidRPr="0006445E" w:rsidRDefault="0032495C" w:rsidP="0006445E">
            <w:pPr>
              <w:spacing w:after="0"/>
              <w:jc w:val="center"/>
              <w:textAlignment w:val="baseline"/>
              <w:rPr>
                <w:rFonts w:eastAsia="Times New Roman"/>
                <w:b/>
                <w:bCs/>
                <w:color w:val="000000"/>
                <w:lang w:val="en-US"/>
              </w:rPr>
            </w:pPr>
            <w:r>
              <w:rPr>
                <w:rFonts w:eastAsia="Times New Roman"/>
                <w:b/>
                <w:bCs/>
                <w:color w:val="000000"/>
                <w:lang w:val="en-US"/>
              </w:rPr>
              <w:t>454</w:t>
            </w:r>
            <w:r w:rsidRPr="0006445E">
              <w:rPr>
                <w:rFonts w:eastAsia="Times New Roman"/>
                <w:b/>
                <w:bCs/>
                <w:color w:val="000000"/>
                <w:lang w:val="en-US"/>
              </w:rPr>
              <w:t xml:space="preserve"> – </w:t>
            </w:r>
            <w:r>
              <w:rPr>
                <w:rFonts w:eastAsia="Times New Roman"/>
                <w:b/>
                <w:bCs/>
                <w:color w:val="000000"/>
                <w:lang w:val="en-US"/>
              </w:rPr>
              <w:t>587</w:t>
            </w:r>
          </w:p>
        </w:tc>
      </w:tr>
      <w:tr w:rsidR="00F90461" w14:paraId="1663D122" w14:textId="77777777" w:rsidTr="0006445E">
        <w:trPr>
          <w:trHeight w:val="285"/>
        </w:trPr>
        <w:tc>
          <w:tcPr>
            <w:tcW w:w="1676" w:type="pct"/>
            <w:shd w:val="clear" w:color="auto" w:fill="E2EFD9"/>
            <w:vAlign w:val="bottom"/>
          </w:tcPr>
          <w:p w14:paraId="07303765"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SUBTOTAL – IS &amp; SA</w:t>
            </w:r>
          </w:p>
        </w:tc>
        <w:tc>
          <w:tcPr>
            <w:tcW w:w="1682" w:type="pct"/>
            <w:shd w:val="clear" w:color="auto" w:fill="FFFFFF"/>
            <w:vAlign w:val="center"/>
          </w:tcPr>
          <w:p w14:paraId="5FC9C9F9"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color w:val="000000"/>
                <w:lang w:val="en-US"/>
              </w:rPr>
              <w:t>145</w:t>
            </w:r>
          </w:p>
        </w:tc>
        <w:tc>
          <w:tcPr>
            <w:tcW w:w="1642" w:type="pct"/>
            <w:shd w:val="clear" w:color="auto" w:fill="FFFFFF"/>
            <w:vAlign w:val="center"/>
          </w:tcPr>
          <w:p w14:paraId="5B563CB5"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color w:val="000000"/>
                <w:lang w:val="en-US"/>
              </w:rPr>
              <w:t>145</w:t>
            </w:r>
          </w:p>
        </w:tc>
      </w:tr>
      <w:tr w:rsidR="00F90461" w14:paraId="480A569E" w14:textId="77777777">
        <w:trPr>
          <w:trHeight w:val="285"/>
        </w:trPr>
        <w:tc>
          <w:tcPr>
            <w:tcW w:w="1676" w:type="pct"/>
            <w:shd w:val="clear" w:color="auto" w:fill="FFFF00"/>
            <w:vAlign w:val="bottom"/>
          </w:tcPr>
          <w:p w14:paraId="0E5AD5FA" w14:textId="77777777" w:rsidR="0006445E" w:rsidRPr="0006445E" w:rsidRDefault="0032495C" w:rsidP="0006445E">
            <w:pPr>
              <w:spacing w:after="0"/>
              <w:textAlignment w:val="baseline"/>
              <w:rPr>
                <w:rFonts w:eastAsia="Times New Roman"/>
                <w:b/>
                <w:bCs/>
                <w:color w:val="000000"/>
                <w:lang w:val="en-US"/>
              </w:rPr>
            </w:pPr>
            <w:r w:rsidRPr="0006445E">
              <w:rPr>
                <w:rFonts w:eastAsia="Times New Roman"/>
                <w:b/>
                <w:bCs/>
                <w:color w:val="000000"/>
                <w:lang w:val="en-US"/>
              </w:rPr>
              <w:t>GRAND TOTAL</w:t>
            </w:r>
          </w:p>
        </w:tc>
        <w:tc>
          <w:tcPr>
            <w:tcW w:w="1682" w:type="pct"/>
            <w:shd w:val="clear" w:color="auto" w:fill="FFFF00"/>
            <w:vAlign w:val="center"/>
          </w:tcPr>
          <w:p w14:paraId="4DCF9C61" w14:textId="77777777" w:rsidR="0006445E" w:rsidRPr="0006445E" w:rsidRDefault="0032495C" w:rsidP="0006445E">
            <w:pPr>
              <w:spacing w:after="0"/>
              <w:jc w:val="center"/>
              <w:textAlignment w:val="baseline"/>
              <w:rPr>
                <w:rFonts w:eastAsia="Times New Roman"/>
                <w:b/>
                <w:bCs/>
                <w:color w:val="000000"/>
                <w:lang w:val="en-US"/>
              </w:rPr>
            </w:pPr>
            <w:r w:rsidRPr="0006445E">
              <w:rPr>
                <w:rFonts w:eastAsia="Times New Roman"/>
                <w:b/>
                <w:bCs/>
                <w:color w:val="000000"/>
                <w:lang w:val="en-US"/>
              </w:rPr>
              <w:t xml:space="preserve">633 – </w:t>
            </w:r>
            <w:r w:rsidR="00072B05">
              <w:rPr>
                <w:rFonts w:eastAsia="Times New Roman"/>
                <w:b/>
                <w:bCs/>
                <w:color w:val="000000"/>
                <w:lang w:val="en-US"/>
              </w:rPr>
              <w:t>745</w:t>
            </w:r>
          </w:p>
        </w:tc>
        <w:tc>
          <w:tcPr>
            <w:tcW w:w="1642" w:type="pct"/>
            <w:shd w:val="clear" w:color="auto" w:fill="FFFF00"/>
            <w:vAlign w:val="center"/>
          </w:tcPr>
          <w:p w14:paraId="30AF16CC" w14:textId="77777777" w:rsidR="0006445E" w:rsidRPr="0006445E" w:rsidRDefault="0032495C" w:rsidP="0006445E">
            <w:pPr>
              <w:spacing w:after="0"/>
              <w:jc w:val="center"/>
              <w:textAlignment w:val="baseline"/>
              <w:rPr>
                <w:rFonts w:eastAsia="Times New Roman"/>
                <w:b/>
                <w:bCs/>
                <w:color w:val="000000"/>
                <w:lang w:val="en-US"/>
              </w:rPr>
            </w:pPr>
            <w:r>
              <w:rPr>
                <w:rFonts w:eastAsia="Times New Roman"/>
                <w:b/>
                <w:bCs/>
                <w:color w:val="000000"/>
                <w:lang w:val="en-US"/>
              </w:rPr>
              <w:t>599</w:t>
            </w:r>
            <w:r w:rsidRPr="0006445E">
              <w:rPr>
                <w:rFonts w:eastAsia="Times New Roman"/>
                <w:b/>
                <w:bCs/>
                <w:color w:val="000000"/>
                <w:lang w:val="en-US"/>
              </w:rPr>
              <w:t xml:space="preserve"> – </w:t>
            </w:r>
            <w:r>
              <w:rPr>
                <w:rFonts w:eastAsia="Times New Roman"/>
                <w:b/>
                <w:bCs/>
                <w:color w:val="000000"/>
                <w:lang w:val="en-US"/>
              </w:rPr>
              <w:t>732</w:t>
            </w:r>
          </w:p>
        </w:tc>
      </w:tr>
    </w:tbl>
    <w:p w14:paraId="5B6B35E6" w14:textId="77777777" w:rsidR="008A15F8" w:rsidRDefault="008A15F8" w:rsidP="00696E14">
      <w:pPr>
        <w:pStyle w:val="Heading1"/>
        <w:sectPr w:rsidR="008A15F8" w:rsidSect="00C646EE">
          <w:pgSz w:w="11906" w:h="16838" w:code="9"/>
          <w:pgMar w:top="1411" w:right="1411" w:bottom="1411" w:left="1411" w:header="706" w:footer="706" w:gutter="0"/>
          <w:cols w:space="708"/>
          <w:docGrid w:linePitch="360"/>
        </w:sectPr>
      </w:pPr>
      <w:bookmarkStart w:id="201" w:name="_Toc145692846"/>
      <w:bookmarkStart w:id="202" w:name="_Toc240987326"/>
      <w:bookmarkStart w:id="203" w:name="_Toc41495026"/>
      <w:bookmarkStart w:id="204" w:name="_Toc41839985"/>
      <w:bookmarkStart w:id="205" w:name="_Toc41841075"/>
    </w:p>
    <w:p w14:paraId="4FA9C251" w14:textId="6598C038" w:rsidR="00C90DE6" w:rsidRPr="00A81971" w:rsidRDefault="0032495C" w:rsidP="00696E14">
      <w:pPr>
        <w:pStyle w:val="Heading1"/>
        <w:rPr>
          <w:rFonts w:eastAsia="SimSun"/>
        </w:rPr>
      </w:pPr>
      <w:r w:rsidRPr="00A81971">
        <w:lastRenderedPageBreak/>
        <w:t>CHAPTER 3</w:t>
      </w:r>
      <w:bookmarkEnd w:id="198"/>
      <w:r w:rsidR="007909EF">
        <w:t>:</w:t>
      </w:r>
      <w:r w:rsidR="00481308">
        <w:tab/>
      </w:r>
      <w:r w:rsidR="00E63583" w:rsidRPr="00A81971">
        <w:t>Additional information and scenarios</w:t>
      </w:r>
      <w:r w:rsidR="00A00AAC" w:rsidRPr="00A81971">
        <w:t>: overall suggestions/methodological approach</w:t>
      </w:r>
      <w:bookmarkEnd w:id="201"/>
      <w:bookmarkEnd w:id="202"/>
      <w:r w:rsidR="00E63583" w:rsidRPr="00A81971">
        <w:t xml:space="preserve"> </w:t>
      </w:r>
      <w:bookmarkEnd w:id="199"/>
      <w:bookmarkEnd w:id="200"/>
      <w:bookmarkEnd w:id="203"/>
      <w:bookmarkEnd w:id="204"/>
      <w:bookmarkEnd w:id="205"/>
    </w:p>
    <w:p w14:paraId="3E906BE0" w14:textId="77777777" w:rsidR="00C90DE6" w:rsidRPr="00A81971" w:rsidRDefault="0032495C" w:rsidP="00201CFA">
      <w:pPr>
        <w:pStyle w:val="Heading2"/>
      </w:pPr>
      <w:bookmarkStart w:id="206" w:name="_Toc41495027"/>
      <w:bookmarkStart w:id="207" w:name="_Toc41839986"/>
      <w:bookmarkStart w:id="208" w:name="_Toc41841076"/>
      <w:bookmarkStart w:id="209" w:name="_Toc145692847"/>
      <w:bookmarkStart w:id="210" w:name="_Toc240987327"/>
      <w:bookmarkStart w:id="211" w:name="_Toc484367012"/>
      <w:bookmarkStart w:id="212" w:name="_Toc40367025"/>
      <w:bookmarkStart w:id="213" w:name="_Toc40367333"/>
      <w:r w:rsidRPr="00A81971">
        <w:t>3.1</w:t>
      </w:r>
      <w:r w:rsidR="001B02CE">
        <w:tab/>
      </w:r>
      <w:bookmarkEnd w:id="206"/>
      <w:bookmarkEnd w:id="207"/>
      <w:bookmarkEnd w:id="208"/>
      <w:r w:rsidRPr="002E3156">
        <w:t>Introduction</w:t>
      </w:r>
      <w:bookmarkEnd w:id="209"/>
      <w:bookmarkEnd w:id="210"/>
    </w:p>
    <w:p w14:paraId="45875108" w14:textId="77777777" w:rsidR="007A6928" w:rsidRPr="00A81971" w:rsidRDefault="0032495C" w:rsidP="007A6928">
      <w:pPr>
        <w:rPr>
          <w:lang w:eastAsia="nl-NL"/>
        </w:rPr>
      </w:pPr>
      <w:r w:rsidRPr="00A81971">
        <w:rPr>
          <w:lang w:eastAsia="nl-NL"/>
        </w:rPr>
        <w:t xml:space="preserve">In order to address the suggested new scenarios at the OEWG-48, RTF and MLFS </w:t>
      </w:r>
      <w:r w:rsidR="000B1425" w:rsidRPr="00A81971">
        <w:rPr>
          <w:lang w:eastAsia="nl-NL"/>
        </w:rPr>
        <w:t xml:space="preserve">met </w:t>
      </w:r>
      <w:r w:rsidRPr="00A81971">
        <w:rPr>
          <w:lang w:eastAsia="nl-NL"/>
        </w:rPr>
        <w:t>immediately after the end of the OEWG-48 in Bangkok on 18 July 2026. RTF and the MLFS discussed the suggested scenarios to align information and common understanding of parties’ suggestions, define what was needed from the MLFS and timeline to receive information.</w:t>
      </w:r>
    </w:p>
    <w:p w14:paraId="733C85E1" w14:textId="77777777" w:rsidR="007A6928" w:rsidRPr="00A81971" w:rsidRDefault="0032495C" w:rsidP="007A6928">
      <w:pPr>
        <w:rPr>
          <w:lang w:eastAsia="nl-NL"/>
        </w:rPr>
      </w:pPr>
      <w:r w:rsidRPr="00A81971">
        <w:rPr>
          <w:lang w:eastAsia="nl-NL"/>
        </w:rPr>
        <w:t xml:space="preserve">In late July and mid-August 2026, RTF received the updated MLF projects approval database taking into account the decisions and adjustments of ExCom-98 and additional data requested by RTF to address new scenarios. RTF scheduled a second meeting with the MLFS on 24 August 2026 to discuss and clarify information received, which was very substantive and very much appreciated. Some information requested regarding new scenarios presented challenges to compile, for both MLFS and RTF. MLFS helped by sending additional information in early September. Still, some information could not be easily compiled and/or presented in the timeframe given to RTF to complete its supplementary report for submission ahead of MOP-38. </w:t>
      </w:r>
    </w:p>
    <w:p w14:paraId="73E9111B" w14:textId="77777777" w:rsidR="007A6928" w:rsidRPr="00A81971" w:rsidRDefault="0032495C" w:rsidP="007A6928">
      <w:pPr>
        <w:rPr>
          <w:lang w:eastAsia="nl-NL"/>
        </w:rPr>
      </w:pPr>
      <w:r w:rsidRPr="00A81971">
        <w:rPr>
          <w:lang w:eastAsia="nl-NL"/>
        </w:rPr>
        <w:t>RTF spent considerable time reviewing information and discussing the best way to address scenarios. While some suggestions were clear to address, others specifically on HFCs CEs scenarios and funding over the past 6 years for KIPs, presented significant challenge to interpret and analyse. This is better explained in the following sections.</w:t>
      </w:r>
    </w:p>
    <w:p w14:paraId="4F422920" w14:textId="77777777" w:rsidR="007A6928" w:rsidRPr="00A81971" w:rsidRDefault="0032495C" w:rsidP="34B0439A">
      <w:pPr>
        <w:rPr>
          <w:lang w:eastAsia="zh-CN"/>
        </w:rPr>
      </w:pPr>
      <w:r w:rsidRPr="00A81971">
        <w:rPr>
          <w:lang w:eastAsia="zh-CN"/>
        </w:rPr>
        <w:t xml:space="preserve">The updated estimated funding from the May 2026 Report as presented in Chapter 2 of this report, was used as the </w:t>
      </w:r>
      <w:r w:rsidRPr="00A81971">
        <w:rPr>
          <w:b/>
          <w:bCs/>
          <w:lang w:eastAsia="zh-CN"/>
        </w:rPr>
        <w:t>starting point to address new scenarios</w:t>
      </w:r>
      <w:r w:rsidRPr="00A81971">
        <w:rPr>
          <w:lang w:eastAsia="zh-CN"/>
        </w:rPr>
        <w:t xml:space="preserve"> and compare results. Those updates also addressed the requests related to HFC-23 mitigation and EE, with estimated funding figures adjusted accordingly. The updates also included PMU costs. </w:t>
      </w:r>
    </w:p>
    <w:p w14:paraId="38309541" w14:textId="77777777" w:rsidR="007A6928" w:rsidRPr="00A81971" w:rsidRDefault="0032495C" w:rsidP="007A6928">
      <w:pPr>
        <w:rPr>
          <w:iCs/>
          <w:lang w:eastAsia="zh-CN"/>
        </w:rPr>
      </w:pPr>
      <w:r w:rsidRPr="00A81971">
        <w:rPr>
          <w:bCs/>
          <w:iCs/>
          <w:lang w:eastAsia="zh-CN"/>
        </w:rPr>
        <w:t xml:space="preserve">The request regarding LVCs/VLVCs, specifically </w:t>
      </w:r>
      <w:r w:rsidRPr="00A81971">
        <w:rPr>
          <w:iCs/>
          <w:lang w:eastAsia="zh-CN"/>
        </w:rPr>
        <w:t>“</w:t>
      </w:r>
      <w:r w:rsidRPr="00A81971">
        <w:rPr>
          <w:i/>
          <w:lang w:eastAsia="zh-CN"/>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r w:rsidRPr="00A81971">
        <w:rPr>
          <w:iCs/>
          <w:lang w:eastAsia="zh-CN"/>
        </w:rPr>
        <w:t xml:space="preserve"> is addressed in Chapter 4. </w:t>
      </w:r>
    </w:p>
    <w:p w14:paraId="3ADAB648" w14:textId="77777777" w:rsidR="007A6928" w:rsidRPr="00A81971" w:rsidRDefault="0032495C" w:rsidP="34B0439A">
      <w:pPr>
        <w:rPr>
          <w:i/>
          <w:iCs/>
          <w:lang w:eastAsia="zh-CN"/>
        </w:rPr>
      </w:pPr>
      <w:r w:rsidRPr="00A81971">
        <w:rPr>
          <w:lang w:eastAsia="zh-CN"/>
        </w:rPr>
        <w:t>The new scenario requested, related to LRM (</w:t>
      </w:r>
      <w:r w:rsidRPr="00A81971">
        <w:rPr>
          <w:i/>
          <w:iCs/>
          <w:lang w:eastAsia="zh-CN"/>
        </w:rPr>
        <w:t xml:space="preserve">“to include a cost estimate for a high-end scenario for the potential funding window to be considered at the 100th ExCom meeting for the period 2027-2029 to support the implementation of national plans developed pursuant to decision 91/66, taking into account that activities to recover, recycle and reclaim refrigerants are also financed under HPMPs and KIPs”), </w:t>
      </w:r>
      <w:r w:rsidRPr="00A81971">
        <w:rPr>
          <w:lang w:eastAsia="zh-CN"/>
        </w:rPr>
        <w:t>is addressed in Chapter 5.</w:t>
      </w:r>
    </w:p>
    <w:p w14:paraId="738FAF8F" w14:textId="77777777" w:rsidR="007A6928" w:rsidRDefault="0032495C" w:rsidP="007A6928">
      <w:r w:rsidRPr="00A81971">
        <w:t>The following OEWG-48 Contact Group suggested items 1 and 2 addressed in this chapter</w:t>
      </w:r>
      <w:r w:rsidR="00872FF0">
        <w:t xml:space="preserve"> are outlined in Table 3.1</w:t>
      </w:r>
      <w:r w:rsidRPr="00A81971">
        <w:t>.</w:t>
      </w:r>
    </w:p>
    <w:p w14:paraId="6A4F051F" w14:textId="77777777" w:rsidR="00872FF0" w:rsidRDefault="0032495C">
      <w:pPr>
        <w:spacing w:after="0"/>
        <w:rPr>
          <w:rFonts w:eastAsia="Yu Mincho"/>
          <w:b/>
          <w:bCs/>
          <w:color w:val="000000"/>
          <w:lang w:val="en-CA"/>
        </w:rPr>
      </w:pPr>
      <w:r>
        <w:rPr>
          <w:rFonts w:eastAsia="Yu Mincho"/>
          <w:b/>
          <w:bCs/>
          <w:color w:val="000000"/>
          <w:lang w:val="en-CA"/>
        </w:rPr>
        <w:br w:type="page"/>
      </w:r>
    </w:p>
    <w:p w14:paraId="74845FFC" w14:textId="77777777" w:rsidR="00C84AB4" w:rsidRPr="00A81971" w:rsidRDefault="0032495C" w:rsidP="00C84AB4">
      <w:pPr>
        <w:tabs>
          <w:tab w:val="left" w:pos="0"/>
          <w:tab w:val="left" w:pos="1250"/>
          <w:tab w:val="left" w:pos="1418"/>
        </w:tabs>
        <w:spacing w:after="240"/>
        <w:ind w:left="1418" w:hanging="1418"/>
        <w:rPr>
          <w:b/>
          <w:bCs/>
        </w:rPr>
      </w:pPr>
      <w:r w:rsidRPr="0006445E">
        <w:rPr>
          <w:rFonts w:eastAsia="Yu Mincho"/>
          <w:b/>
          <w:bCs/>
          <w:color w:val="000000"/>
          <w:lang w:val="en-CA"/>
        </w:rPr>
        <w:lastRenderedPageBreak/>
        <w:t xml:space="preserve">Table </w:t>
      </w:r>
      <w:r w:rsidR="00872FF0">
        <w:rPr>
          <w:rFonts w:eastAsia="Yu Mincho"/>
          <w:b/>
          <w:bCs/>
          <w:color w:val="000000"/>
          <w:lang w:val="en-CA"/>
        </w:rPr>
        <w:t>3.1</w:t>
      </w:r>
      <w:r>
        <w:rPr>
          <w:rFonts w:eastAsia="Yu Mincho"/>
          <w:b/>
          <w:bCs/>
          <w:color w:val="000000"/>
          <w:lang w:val="en-CA"/>
        </w:rPr>
        <w:t>:</w:t>
      </w:r>
      <w:r w:rsidRPr="0006445E">
        <w:rPr>
          <w:rFonts w:eastAsia="Times New Roman"/>
          <w:color w:val="000000"/>
          <w:lang w:val="en-CA"/>
        </w:rPr>
        <w:tab/>
      </w:r>
      <w:r w:rsidRPr="00A81971">
        <w:rPr>
          <w:b/>
          <w:bCs/>
        </w:rPr>
        <w:t>OEWG-48 suggestions and new scenarios</w:t>
      </w:r>
      <w:r>
        <w:rPr>
          <w:rFonts w:eastAsia="Times New Roman"/>
          <w:b/>
          <w:bCs/>
          <w:color w:val="000000"/>
          <w:lang w:val="en-CA"/>
        </w:rPr>
        <w:t xml:space="preserve"> </w:t>
      </w:r>
    </w:p>
    <w:tbl>
      <w:tblPr>
        <w:tblStyle w:val="TableGrid1"/>
        <w:tblW w:w="8905" w:type="dxa"/>
        <w:tblLayout w:type="fixed"/>
        <w:tblCellMar>
          <w:left w:w="0" w:type="dxa"/>
          <w:right w:w="0" w:type="dxa"/>
        </w:tblCellMar>
        <w:tblLook w:val="04A0" w:firstRow="1" w:lastRow="0" w:firstColumn="1" w:lastColumn="0" w:noHBand="0" w:noVBand="1"/>
      </w:tblPr>
      <w:tblGrid>
        <w:gridCol w:w="6655"/>
        <w:gridCol w:w="2250"/>
      </w:tblGrid>
      <w:tr w:rsidR="00F90461" w14:paraId="73FD46D5" w14:textId="77777777" w:rsidTr="000B69AC">
        <w:trPr>
          <w:trHeight w:val="423"/>
          <w:tblHeader/>
        </w:trPr>
        <w:tc>
          <w:tcPr>
            <w:tcW w:w="6655" w:type="dxa"/>
            <w:shd w:val="clear" w:color="auto" w:fill="D9E2F3" w:themeFill="accent1" w:themeFillTint="33"/>
            <w:vAlign w:val="center"/>
          </w:tcPr>
          <w:p w14:paraId="15632BB4" w14:textId="77777777" w:rsidR="00C84AB4" w:rsidRPr="00987965" w:rsidRDefault="0032495C" w:rsidP="000B69AC">
            <w:pPr>
              <w:keepNext/>
              <w:keepLines/>
              <w:autoSpaceDE w:val="0"/>
              <w:autoSpaceDN w:val="0"/>
              <w:adjustRightInd w:val="0"/>
              <w:spacing w:after="0"/>
              <w:jc w:val="center"/>
              <w:rPr>
                <w:rFonts w:eastAsia="Times New Roman"/>
                <w:b/>
                <w:caps/>
                <w:color w:val="000000"/>
                <w:lang w:eastAsia="zh-CN"/>
              </w:rPr>
            </w:pPr>
            <w:r w:rsidRPr="00987965">
              <w:rPr>
                <w:rFonts w:eastAsia="Times New Roman"/>
                <w:b/>
                <w:color w:val="000000"/>
                <w:lang w:eastAsia="zh-CN"/>
              </w:rPr>
              <w:t>OEWG-48 Suggestions</w:t>
            </w:r>
          </w:p>
        </w:tc>
        <w:tc>
          <w:tcPr>
            <w:tcW w:w="2250" w:type="dxa"/>
            <w:shd w:val="clear" w:color="auto" w:fill="D9E2F3" w:themeFill="accent1" w:themeFillTint="33"/>
            <w:vAlign w:val="center"/>
          </w:tcPr>
          <w:p w14:paraId="18905443" w14:textId="77777777" w:rsidR="00C84AB4" w:rsidRPr="00987965" w:rsidRDefault="0032495C" w:rsidP="000B69AC">
            <w:pPr>
              <w:keepNext/>
              <w:keepLines/>
              <w:autoSpaceDE w:val="0"/>
              <w:autoSpaceDN w:val="0"/>
              <w:adjustRightInd w:val="0"/>
              <w:spacing w:after="0"/>
              <w:jc w:val="center"/>
              <w:rPr>
                <w:rFonts w:ascii="Times New Roman Bold" w:eastAsia="Times New Roman" w:hAnsi="Times New Roman Bold"/>
                <w:b/>
                <w:color w:val="000000"/>
                <w:lang w:eastAsia="zh-CN"/>
              </w:rPr>
            </w:pPr>
            <w:r w:rsidRPr="00987965">
              <w:rPr>
                <w:rFonts w:ascii="Times New Roman Bold" w:eastAsia="Times New Roman" w:hAnsi="Times New Roman Bold"/>
                <w:b/>
                <w:color w:val="000000"/>
                <w:lang w:eastAsia="zh-CN"/>
              </w:rPr>
              <w:t>New Scenarios</w:t>
            </w:r>
          </w:p>
        </w:tc>
      </w:tr>
      <w:tr w:rsidR="00F90461" w14:paraId="6DA13DB8" w14:textId="77777777" w:rsidTr="000B69AC">
        <w:trPr>
          <w:trHeight w:val="423"/>
          <w:tblHeader/>
        </w:trPr>
        <w:tc>
          <w:tcPr>
            <w:tcW w:w="8905" w:type="dxa"/>
            <w:gridSpan w:val="2"/>
            <w:shd w:val="clear" w:color="auto" w:fill="E2EFD9" w:themeFill="accent6" w:themeFillTint="33"/>
            <w:vAlign w:val="center"/>
          </w:tcPr>
          <w:p w14:paraId="569357EF" w14:textId="77777777" w:rsidR="00C84AB4" w:rsidRPr="00987965" w:rsidRDefault="0032495C" w:rsidP="000B69AC">
            <w:pPr>
              <w:keepNext/>
              <w:keepLines/>
              <w:autoSpaceDE w:val="0"/>
              <w:autoSpaceDN w:val="0"/>
              <w:adjustRightInd w:val="0"/>
              <w:spacing w:after="0"/>
              <w:rPr>
                <w:rFonts w:ascii="Times New Roman Bold" w:eastAsia="Times New Roman" w:hAnsi="Times New Roman Bold"/>
                <w:b/>
                <w:color w:val="000000"/>
                <w:lang w:eastAsia="zh-CN"/>
              </w:rPr>
            </w:pPr>
            <w:r w:rsidRPr="00987965">
              <w:rPr>
                <w:rFonts w:eastAsia="Times New Roman"/>
                <w:b/>
                <w:color w:val="000000"/>
                <w:lang w:eastAsia="zh-CN"/>
              </w:rPr>
              <w:t>Overall Suggestions</w:t>
            </w:r>
          </w:p>
        </w:tc>
      </w:tr>
      <w:tr w:rsidR="00F90461" w14:paraId="3FAC6760" w14:textId="77777777" w:rsidTr="000B69AC">
        <w:trPr>
          <w:trHeight w:val="372"/>
        </w:trPr>
        <w:tc>
          <w:tcPr>
            <w:tcW w:w="6655" w:type="dxa"/>
          </w:tcPr>
          <w:p w14:paraId="5DC9AA23" w14:textId="77777777" w:rsidR="00C84AB4" w:rsidRPr="00987965" w:rsidRDefault="0032495C" w:rsidP="000B69AC">
            <w:pPr>
              <w:pStyle w:val="ListParagraph"/>
              <w:keepNext/>
              <w:keepLines/>
              <w:numPr>
                <w:ilvl w:val="0"/>
                <w:numId w:val="69"/>
              </w:numPr>
              <w:autoSpaceDE w:val="0"/>
              <w:autoSpaceDN w:val="0"/>
              <w:adjustRightInd w:val="0"/>
              <w:spacing w:before="40" w:after="40"/>
              <w:rPr>
                <w:lang w:eastAsia="zh-CN"/>
              </w:rPr>
            </w:pPr>
            <w:r w:rsidRPr="00987965">
              <w:rPr>
                <w:rFonts w:eastAsia="Times New Roman"/>
                <w:color w:val="000000"/>
                <w:lang w:eastAsia="zh-CN"/>
              </w:rPr>
              <w:t xml:space="preserve">When estimating the funding requirements for HPMPs and KIPs, apply CE factors according to three scenarios: </w:t>
            </w:r>
          </w:p>
          <w:p w14:paraId="1C90E8F1" w14:textId="77777777" w:rsidR="00C84AB4" w:rsidRPr="00987965" w:rsidRDefault="0032495C" w:rsidP="000B69AC">
            <w:pPr>
              <w:keepNext/>
              <w:keepLines/>
              <w:numPr>
                <w:ilvl w:val="0"/>
                <w:numId w:val="67"/>
              </w:numPr>
              <w:autoSpaceDE w:val="0"/>
              <w:autoSpaceDN w:val="0"/>
              <w:adjustRightInd w:val="0"/>
              <w:spacing w:before="40" w:after="40"/>
              <w:contextualSpacing/>
              <w:rPr>
                <w:lang w:eastAsia="zh-CN"/>
              </w:rPr>
            </w:pPr>
            <w:r w:rsidRPr="00987965">
              <w:rPr>
                <w:rFonts w:eastAsia="Times New Roman"/>
                <w:color w:val="000000" w:themeColor="text1"/>
                <w:lang w:eastAsia="zh-CN"/>
              </w:rPr>
              <w:t xml:space="preserve">one based on historical Cost-effectiveness (CEs); </w:t>
            </w:r>
          </w:p>
        </w:tc>
        <w:tc>
          <w:tcPr>
            <w:tcW w:w="2250" w:type="dxa"/>
            <w:vAlign w:val="center"/>
          </w:tcPr>
          <w:p w14:paraId="7E45326C" w14:textId="77777777" w:rsidR="00C84AB4" w:rsidRPr="00987965" w:rsidRDefault="0032495C" w:rsidP="000B69AC">
            <w:pPr>
              <w:spacing w:before="40" w:after="40"/>
              <w:jc w:val="center"/>
              <w:rPr>
                <w:rFonts w:eastAsia="Times New Roman"/>
                <w:b/>
                <w:bCs/>
                <w:color w:val="000000"/>
                <w:lang w:eastAsia="zh-CN"/>
              </w:rPr>
            </w:pPr>
            <w:r w:rsidRPr="00987965">
              <w:rPr>
                <w:rFonts w:eastAsia="Times New Roman"/>
                <w:b/>
                <w:bCs/>
                <w:color w:val="000000"/>
                <w:lang w:eastAsia="zh-CN"/>
              </w:rPr>
              <w:t>1a: HPMP and KIPs</w:t>
            </w:r>
          </w:p>
        </w:tc>
      </w:tr>
      <w:tr w:rsidR="00F90461" w14:paraId="05732A66" w14:textId="77777777" w:rsidTr="000B69AC">
        <w:trPr>
          <w:trHeight w:val="372"/>
        </w:trPr>
        <w:tc>
          <w:tcPr>
            <w:tcW w:w="6655" w:type="dxa"/>
          </w:tcPr>
          <w:p w14:paraId="54069761" w14:textId="77777777" w:rsidR="00C84AB4" w:rsidRPr="00987965" w:rsidRDefault="0032495C" w:rsidP="000B69AC">
            <w:pPr>
              <w:keepNext/>
              <w:keepLines/>
              <w:numPr>
                <w:ilvl w:val="0"/>
                <w:numId w:val="67"/>
              </w:numPr>
              <w:autoSpaceDE w:val="0"/>
              <w:autoSpaceDN w:val="0"/>
              <w:adjustRightInd w:val="0"/>
              <w:spacing w:before="40" w:after="40"/>
              <w:contextualSpacing/>
              <w:rPr>
                <w:rFonts w:eastAsia="Times New Roman"/>
                <w:color w:val="000000"/>
                <w:lang w:eastAsia="zh-CN"/>
              </w:rPr>
            </w:pPr>
            <w:r w:rsidRPr="00987965">
              <w:rPr>
                <w:rFonts w:eastAsia="Times New Roman"/>
                <w:color w:val="000000"/>
                <w:lang w:eastAsia="zh-CN"/>
              </w:rPr>
              <w:t xml:space="preserve">a second one based on CE factors for each A5 party over the past 6 years; and </w:t>
            </w:r>
          </w:p>
        </w:tc>
        <w:tc>
          <w:tcPr>
            <w:tcW w:w="2250" w:type="dxa"/>
            <w:vAlign w:val="center"/>
          </w:tcPr>
          <w:p w14:paraId="1BEA4559" w14:textId="77777777" w:rsidR="00C84AB4" w:rsidRPr="00987965" w:rsidRDefault="0032495C" w:rsidP="000B69AC">
            <w:pPr>
              <w:spacing w:before="40" w:after="40"/>
              <w:jc w:val="center"/>
              <w:rPr>
                <w:rFonts w:eastAsia="Times New Roman"/>
                <w:b/>
                <w:bCs/>
                <w:color w:val="000000"/>
                <w:lang w:eastAsia="zh-CN"/>
              </w:rPr>
            </w:pPr>
            <w:r w:rsidRPr="00987965">
              <w:rPr>
                <w:rFonts w:eastAsia="Times New Roman"/>
                <w:b/>
                <w:bCs/>
                <w:color w:val="000000"/>
                <w:lang w:eastAsia="zh-CN"/>
              </w:rPr>
              <w:t>1b: HPMP and KIPs</w:t>
            </w:r>
          </w:p>
        </w:tc>
      </w:tr>
      <w:tr w:rsidR="00F90461" w14:paraId="58FCA3D1" w14:textId="77777777" w:rsidTr="000B69AC">
        <w:trPr>
          <w:trHeight w:val="372"/>
        </w:trPr>
        <w:tc>
          <w:tcPr>
            <w:tcW w:w="6655" w:type="dxa"/>
          </w:tcPr>
          <w:p w14:paraId="2E2E2DF9" w14:textId="77777777" w:rsidR="00C84AB4" w:rsidRPr="00987965" w:rsidRDefault="0032495C" w:rsidP="000B69AC">
            <w:pPr>
              <w:pStyle w:val="ListParagraph"/>
              <w:keepNext/>
              <w:keepLines/>
              <w:numPr>
                <w:ilvl w:val="0"/>
                <w:numId w:val="68"/>
              </w:numPr>
              <w:autoSpaceDE w:val="0"/>
              <w:autoSpaceDN w:val="0"/>
              <w:adjustRightInd w:val="0"/>
              <w:spacing w:before="40" w:after="40"/>
              <w:rPr>
                <w:rFonts w:eastAsia="Times New Roman"/>
                <w:color w:val="000000"/>
                <w:lang w:eastAsia="zh-CN"/>
              </w:rPr>
            </w:pPr>
            <w:r w:rsidRPr="00987965">
              <w:rPr>
                <w:rFonts w:eastAsia="Times New Roman"/>
                <w:color w:val="000000"/>
                <w:lang w:eastAsia="zh-CN"/>
              </w:rPr>
              <w:t>a third one based on average funding levels for each A5 party over the past 6 years</w:t>
            </w:r>
          </w:p>
        </w:tc>
        <w:tc>
          <w:tcPr>
            <w:tcW w:w="2250" w:type="dxa"/>
            <w:vAlign w:val="center"/>
          </w:tcPr>
          <w:p w14:paraId="3CA675A9" w14:textId="77777777" w:rsidR="00C84AB4" w:rsidRPr="00987965" w:rsidRDefault="0032495C" w:rsidP="000B69AC">
            <w:pPr>
              <w:spacing w:before="40" w:after="40"/>
              <w:jc w:val="center"/>
              <w:rPr>
                <w:rFonts w:eastAsia="Times New Roman"/>
                <w:b/>
                <w:bCs/>
                <w:color w:val="000000"/>
                <w:lang w:eastAsia="zh-CN"/>
              </w:rPr>
            </w:pPr>
            <w:r w:rsidRPr="00987965">
              <w:rPr>
                <w:rFonts w:eastAsia="Times New Roman"/>
                <w:b/>
                <w:bCs/>
                <w:color w:val="000000"/>
                <w:lang w:eastAsia="zh-CN"/>
              </w:rPr>
              <w:t>1c: HPMP and KIPs</w:t>
            </w:r>
          </w:p>
        </w:tc>
      </w:tr>
      <w:tr w:rsidR="00F90461" w14:paraId="5CE98122" w14:textId="77777777" w:rsidTr="000B69AC">
        <w:trPr>
          <w:trHeight w:val="372"/>
        </w:trPr>
        <w:tc>
          <w:tcPr>
            <w:tcW w:w="6655" w:type="dxa"/>
          </w:tcPr>
          <w:p w14:paraId="6F257771" w14:textId="77777777" w:rsidR="00C84AB4" w:rsidRPr="00987965" w:rsidRDefault="0032495C" w:rsidP="000B69AC">
            <w:pPr>
              <w:pStyle w:val="ListParagraph"/>
              <w:numPr>
                <w:ilvl w:val="0"/>
                <w:numId w:val="70"/>
              </w:numPr>
              <w:spacing w:before="40" w:after="40"/>
              <w:rPr>
                <w:color w:val="000000"/>
                <w:lang w:eastAsia="nl-NL"/>
              </w:rPr>
            </w:pPr>
            <w:r w:rsidRPr="00987965">
              <w:rPr>
                <w:color w:val="000000"/>
                <w:lang w:eastAsia="nl-NL"/>
              </w:rPr>
              <w:t>To request the Panel to present revised funding ranges with alternative scenarios that assess the impact of the following:</w:t>
            </w:r>
          </w:p>
          <w:p w14:paraId="0B64272F" w14:textId="77777777" w:rsidR="00C84AB4" w:rsidRPr="00987965" w:rsidRDefault="0032495C" w:rsidP="000B69AC">
            <w:pPr>
              <w:numPr>
                <w:ilvl w:val="0"/>
                <w:numId w:val="71"/>
              </w:numPr>
              <w:spacing w:before="40" w:after="40"/>
              <w:rPr>
                <w:color w:val="000000"/>
                <w:lang w:eastAsia="nl-NL"/>
              </w:rPr>
            </w:pPr>
            <w:r w:rsidRPr="00987965">
              <w:rPr>
                <w:color w:val="000000" w:themeColor="text1"/>
                <w:lang w:eastAsia="nl-NL"/>
              </w:rPr>
              <w:t>A low-end scenario based on the most recently reported consumption data for HCFCs and HFCs and a high-end scenario based on established HFC baselines and HCFC remaining eligible consumption</w:t>
            </w:r>
          </w:p>
        </w:tc>
        <w:tc>
          <w:tcPr>
            <w:tcW w:w="2250" w:type="dxa"/>
            <w:vAlign w:val="center"/>
          </w:tcPr>
          <w:p w14:paraId="1C3FF6BD" w14:textId="77777777" w:rsidR="00C84AB4" w:rsidRPr="00987965" w:rsidRDefault="0032495C" w:rsidP="000B69AC">
            <w:pPr>
              <w:wordWrap w:val="0"/>
              <w:spacing w:before="40" w:after="40"/>
              <w:jc w:val="center"/>
              <w:rPr>
                <w:rFonts w:eastAsia="Times New Roman"/>
                <w:b/>
                <w:bCs/>
                <w:color w:val="000000"/>
                <w:lang w:eastAsia="zh-CN"/>
              </w:rPr>
            </w:pPr>
            <w:r w:rsidRPr="00987965">
              <w:rPr>
                <w:rFonts w:eastAsia="Times New Roman"/>
                <w:b/>
                <w:bCs/>
                <w:color w:val="000000"/>
                <w:lang w:eastAsia="zh-CN"/>
              </w:rPr>
              <w:t>2a: HPMP and KIPs</w:t>
            </w:r>
          </w:p>
        </w:tc>
      </w:tr>
      <w:tr w:rsidR="00F90461" w14:paraId="262DC6C2" w14:textId="77777777" w:rsidTr="000B69AC">
        <w:trPr>
          <w:trHeight w:val="372"/>
        </w:trPr>
        <w:tc>
          <w:tcPr>
            <w:tcW w:w="6655" w:type="dxa"/>
          </w:tcPr>
          <w:p w14:paraId="050BD257" w14:textId="77777777" w:rsidR="00C84AB4" w:rsidRPr="00987965" w:rsidRDefault="0032495C" w:rsidP="000B69AC">
            <w:pPr>
              <w:numPr>
                <w:ilvl w:val="0"/>
                <w:numId w:val="71"/>
              </w:numPr>
              <w:spacing w:before="40" w:after="40"/>
              <w:rPr>
                <w:color w:val="000000"/>
                <w:lang w:eastAsia="nl-NL"/>
              </w:rPr>
            </w:pPr>
            <w:r w:rsidRPr="00987965">
              <w:rPr>
                <w:color w:val="000000" w:themeColor="text1"/>
                <w:lang w:eastAsia="nl-NL"/>
              </w:rPr>
              <w:t xml:space="preserve">Realistic project implementation timelines such as modifying resources allocation schedule A for </w:t>
            </w:r>
            <w:r w:rsidR="00771C82">
              <w:rPr>
                <w:color w:val="000000" w:themeColor="text1"/>
                <w:lang w:eastAsia="nl-NL"/>
              </w:rPr>
              <w:t>Stage</w:t>
            </w:r>
            <w:r w:rsidRPr="00987965">
              <w:rPr>
                <w:color w:val="000000" w:themeColor="text1"/>
                <w:lang w:eastAsia="nl-NL"/>
              </w:rPr>
              <w:t xml:space="preserve"> II KIPs and to take into account rates of ratification for remaining non-parties to the Kigali Amendment</w:t>
            </w:r>
          </w:p>
        </w:tc>
        <w:tc>
          <w:tcPr>
            <w:tcW w:w="2250" w:type="dxa"/>
            <w:vAlign w:val="center"/>
          </w:tcPr>
          <w:p w14:paraId="3191170B" w14:textId="77777777" w:rsidR="00C84AB4" w:rsidRPr="00987965" w:rsidRDefault="0032495C" w:rsidP="000B69AC">
            <w:pPr>
              <w:wordWrap w:val="0"/>
              <w:spacing w:before="40" w:after="40"/>
              <w:jc w:val="center"/>
              <w:rPr>
                <w:rFonts w:eastAsia="Times New Roman"/>
                <w:b/>
                <w:bCs/>
                <w:color w:val="000000"/>
                <w:lang w:eastAsia="zh-CN"/>
              </w:rPr>
            </w:pPr>
            <w:r w:rsidRPr="00987965">
              <w:rPr>
                <w:rFonts w:eastAsia="Times New Roman"/>
                <w:b/>
                <w:bCs/>
                <w:color w:val="000000"/>
                <w:lang w:eastAsia="zh-CN"/>
              </w:rPr>
              <w:t>2b: KIPs</w:t>
            </w:r>
          </w:p>
        </w:tc>
      </w:tr>
    </w:tbl>
    <w:p w14:paraId="452EB813" w14:textId="77777777" w:rsidR="00C84AB4" w:rsidRPr="00A81971" w:rsidRDefault="00C84AB4" w:rsidP="00C84AB4">
      <w:pPr>
        <w:spacing w:after="0"/>
        <w:rPr>
          <w:rFonts w:eastAsia="Times New Roman"/>
        </w:rPr>
      </w:pPr>
    </w:p>
    <w:p w14:paraId="2C588233" w14:textId="77777777" w:rsidR="007A6928" w:rsidRPr="00287FE6" w:rsidRDefault="0032495C" w:rsidP="007A6928">
      <w:pPr>
        <w:keepNext/>
        <w:tabs>
          <w:tab w:val="left" w:pos="930"/>
        </w:tabs>
        <w:spacing w:before="240" w:after="240"/>
        <w:jc w:val="both"/>
        <w:outlineLvl w:val="1"/>
        <w:rPr>
          <w:rFonts w:eastAsia="Calibri"/>
          <w:b/>
          <w:caps/>
          <w:color w:val="000000"/>
          <w:sz w:val="24"/>
          <w:szCs w:val="24"/>
          <w:u w:val="single"/>
          <w:lang w:eastAsia="nl-NL"/>
        </w:rPr>
      </w:pPr>
      <w:bookmarkStart w:id="214" w:name="_Toc240987328"/>
      <w:r w:rsidRPr="00287FE6">
        <w:rPr>
          <w:rFonts w:eastAsia="Calibri"/>
          <w:b/>
          <w:color w:val="000000" w:themeColor="text1"/>
          <w:sz w:val="24"/>
          <w:szCs w:val="24"/>
          <w:lang w:eastAsia="nl-NL"/>
        </w:rPr>
        <w:t>3.2</w:t>
      </w:r>
      <w:r w:rsidRPr="00287FE6">
        <w:rPr>
          <w:b/>
        </w:rPr>
        <w:tab/>
      </w:r>
      <w:r w:rsidRPr="00FE5C31">
        <w:rPr>
          <w:rStyle w:val="Heading2Char4"/>
        </w:rPr>
        <w:t xml:space="preserve">HPMPs New Scenarios applying CE </w:t>
      </w:r>
      <w:r w:rsidR="7FAF9E11" w:rsidRPr="00FE5C31">
        <w:rPr>
          <w:rStyle w:val="Heading2Char4"/>
        </w:rPr>
        <w:t>factors</w:t>
      </w:r>
      <w:bookmarkEnd w:id="214"/>
      <w:r w:rsidRPr="00287FE6">
        <w:rPr>
          <w:rFonts w:eastAsia="Calibri"/>
          <w:b/>
          <w:color w:val="000000" w:themeColor="text1"/>
          <w:sz w:val="24"/>
          <w:szCs w:val="24"/>
          <w:lang w:eastAsia="nl-NL"/>
        </w:rPr>
        <w:t xml:space="preserve"> </w:t>
      </w:r>
    </w:p>
    <w:p w14:paraId="5A87BB70" w14:textId="77777777" w:rsidR="007A6928" w:rsidRPr="00FE5C31" w:rsidRDefault="0032495C" w:rsidP="007A6928">
      <w:pPr>
        <w:keepNext/>
        <w:snapToGrid w:val="0"/>
        <w:spacing w:before="240" w:after="240" w:line="240" w:lineRule="atLeast"/>
        <w:ind w:left="720" w:hanging="720"/>
        <w:outlineLvl w:val="2"/>
        <w:rPr>
          <w:rStyle w:val="Heading3Char3"/>
        </w:rPr>
      </w:pPr>
      <w:r w:rsidRPr="00A81971">
        <w:rPr>
          <w:rFonts w:eastAsia="Calibri"/>
          <w:b/>
          <w:i/>
          <w:color w:val="000000"/>
          <w:lang w:eastAsia="nl-NL"/>
        </w:rPr>
        <w:t>3.2.1</w:t>
      </w:r>
      <w:r w:rsidRPr="00A81971">
        <w:rPr>
          <w:rFonts w:eastAsia="Calibri"/>
          <w:b/>
          <w:i/>
          <w:color w:val="000000"/>
          <w:lang w:eastAsia="nl-NL"/>
        </w:rPr>
        <w:tab/>
      </w:r>
      <w:r w:rsidRPr="00FE5C31">
        <w:rPr>
          <w:rStyle w:val="Heading3Char3"/>
        </w:rPr>
        <w:t xml:space="preserve">New Scenario 1a for HPMPs: Based on the application of historical CE factors </w:t>
      </w:r>
    </w:p>
    <w:p w14:paraId="242E9A85" w14:textId="77777777" w:rsidR="007A6928" w:rsidRPr="00A81971" w:rsidRDefault="0032495C" w:rsidP="007A6928">
      <w:pPr>
        <w:spacing w:after="0"/>
        <w:rPr>
          <w:rFonts w:eastAsia="Times New Roman"/>
          <w:lang w:eastAsia="nl-NL"/>
        </w:rPr>
      </w:pPr>
      <w:r w:rsidRPr="00A81971">
        <w:rPr>
          <w:rFonts w:eastAsia="Times New Roman"/>
          <w:lang w:eastAsia="nl-NL"/>
        </w:rPr>
        <w:t>In order to respond to this suggested request, RTF focused on parties that still have eligible remaining consumption to complete the phase out. As of ExCom</w:t>
      </w:r>
      <w:r w:rsidR="002D1EE9" w:rsidRPr="00A81971">
        <w:rPr>
          <w:rFonts w:eastAsia="Times New Roman"/>
          <w:lang w:eastAsia="nl-NL"/>
        </w:rPr>
        <w:t>-98</w:t>
      </w:r>
      <w:r w:rsidRPr="00A81971">
        <w:rPr>
          <w:rFonts w:eastAsia="Times New Roman"/>
          <w:lang w:eastAsia="nl-NL"/>
        </w:rPr>
        <w:t>, there are 8 non-LVCs (China, Iraq, Kuwait, Libya, Mauritania, Qatar, Senegal and Syria</w:t>
      </w:r>
      <w:r w:rsidR="00A41B03" w:rsidRPr="00A81971">
        <w:rPr>
          <w:rFonts w:eastAsia="Times New Roman"/>
          <w:lang w:eastAsia="nl-NL"/>
        </w:rPr>
        <w:t>)</w:t>
      </w:r>
      <w:r w:rsidRPr="00A81971">
        <w:rPr>
          <w:rFonts w:eastAsia="Times New Roman"/>
          <w:lang w:eastAsia="nl-NL"/>
        </w:rPr>
        <w:t xml:space="preserve">, and 2 non-LVCs (Afghanistan and Yemen) with cancelled projects. Details can be seen in </w:t>
      </w:r>
      <w:r w:rsidR="003039B9" w:rsidRPr="00A81971">
        <w:rPr>
          <w:rFonts w:eastAsia="Times New Roman"/>
          <w:lang w:eastAsia="nl-NL"/>
        </w:rPr>
        <w:t>the updates to the May 2026 Report</w:t>
      </w:r>
      <w:r w:rsidR="00EA5535" w:rsidRPr="00A81971">
        <w:rPr>
          <w:rFonts w:eastAsia="Times New Roman"/>
          <w:lang w:eastAsia="nl-NL"/>
        </w:rPr>
        <w:t xml:space="preserve"> in Chapter 2 of this report and </w:t>
      </w:r>
      <w:r w:rsidRPr="00A81971">
        <w:rPr>
          <w:rFonts w:eastAsia="Times New Roman"/>
          <w:lang w:eastAsia="nl-NL"/>
        </w:rPr>
        <w:t xml:space="preserve">Annex </w:t>
      </w:r>
      <w:r w:rsidR="00EA5535" w:rsidRPr="00A81971">
        <w:rPr>
          <w:rFonts w:eastAsia="Times New Roman"/>
          <w:lang w:eastAsia="nl-NL"/>
        </w:rPr>
        <w:t>2</w:t>
      </w:r>
      <w:r w:rsidRPr="00A81971">
        <w:rPr>
          <w:rFonts w:eastAsia="Times New Roman"/>
          <w:lang w:eastAsia="nl-NL"/>
        </w:rPr>
        <w:t>.</w:t>
      </w:r>
    </w:p>
    <w:p w14:paraId="2AEAAA33" w14:textId="77777777" w:rsidR="00604689" w:rsidRPr="00A81971" w:rsidRDefault="00604689" w:rsidP="007A6928">
      <w:pPr>
        <w:spacing w:after="0"/>
        <w:rPr>
          <w:rFonts w:eastAsia="Times New Roman"/>
          <w:lang w:eastAsia="nl-NL"/>
        </w:rPr>
      </w:pPr>
    </w:p>
    <w:p w14:paraId="07901DC1" w14:textId="77777777" w:rsidR="256688DF" w:rsidRPr="00A81971" w:rsidRDefault="0032495C" w:rsidP="3A57C10A">
      <w:pPr>
        <w:spacing w:after="0"/>
        <w:rPr>
          <w:rFonts w:eastAsia="Times New Roman"/>
          <w:b/>
          <w:bCs/>
        </w:rPr>
      </w:pPr>
      <w:r w:rsidRPr="00A81971">
        <w:rPr>
          <w:rFonts w:eastAsia="Times New Roman"/>
          <w:lang w:eastAsia="nl-NL"/>
        </w:rPr>
        <w:t xml:space="preserve">RTF used the “Updated RTF May report assumptions”, which included PMU costs in the model calculations, and </w:t>
      </w:r>
      <w:r w:rsidRPr="00A81971">
        <w:rPr>
          <w:rFonts w:eastAsia="Times New Roman"/>
          <w:u w:val="single"/>
          <w:lang w:eastAsia="nl-NL"/>
        </w:rPr>
        <w:t>applied new historical CEs</w:t>
      </w:r>
      <w:r w:rsidRPr="00A81971">
        <w:rPr>
          <w:rFonts w:eastAsia="Times New Roman"/>
          <w:lang w:eastAsia="nl-NL"/>
        </w:rPr>
        <w:t xml:space="preserve">. </w:t>
      </w:r>
      <w:r w:rsidRPr="00A81971">
        <w:rPr>
          <w:rFonts w:eastAsia="Times New Roman"/>
        </w:rPr>
        <w:t xml:space="preserve"> </w:t>
      </w:r>
      <w:r w:rsidRPr="00A81971">
        <w:rPr>
          <w:rFonts w:eastAsia="Times New Roman"/>
          <w:b/>
          <w:bCs/>
        </w:rPr>
        <w:t>Where the eligible remaining consumption differs from the reported A7 data, the lower of the two values, based on the most recent year reported, was used in the calculation.</w:t>
      </w:r>
    </w:p>
    <w:p w14:paraId="3ED22392" w14:textId="77777777" w:rsidR="00923EE5" w:rsidRPr="00A81971" w:rsidRDefault="00923EE5" w:rsidP="007A6928">
      <w:pPr>
        <w:spacing w:after="0"/>
        <w:rPr>
          <w:rFonts w:eastAsia="Times New Roman"/>
          <w:lang w:eastAsia="nl-NL"/>
        </w:rPr>
      </w:pPr>
    </w:p>
    <w:p w14:paraId="1EAB6332" w14:textId="77777777" w:rsidR="007A6928" w:rsidRPr="00A81971" w:rsidRDefault="0032495C" w:rsidP="007A6928">
      <w:pPr>
        <w:spacing w:after="0"/>
        <w:rPr>
          <w:rFonts w:eastAsia="Times New Roman"/>
          <w:lang w:eastAsia="nl-NL"/>
        </w:rPr>
      </w:pPr>
      <w:r w:rsidRPr="2E7655E2">
        <w:rPr>
          <w:rFonts w:eastAsia="Times New Roman"/>
          <w:lang w:eastAsia="nl-NL"/>
        </w:rPr>
        <w:t>Because CEs applied were historically different, RTF presented estimated funding separately for the one largest and the other 7 lower consumption parties and the 2 with cancelled HPMPs. For the lower consuming parties, RTF extracted information from ExCom document 89/10 rev1 (on the analysis of CEs for manufacturing sectors in approved HCFC conversion projects) and consulted with the MLFS on HPMPs approved for the 7 non-LVC parties and 2 parties with cancelled projects, including discussion on their potential sector distribution of the remaining eligible consumption before selecting what CE to apply. The remaining consumption is in commercial refrigeration (3 parties) and in servicing sector (all 7 parties) is indicated in the CP. For 3 parties (out of 7) RTF extracted information on CEs for commercial refrigeration from ExCom 89/10 rev1. For servicing RTF applied 4.8 $/kg, as the practice. Same approach was used for 2 non-LVC parties with cancelled HPMPs, considering all remaining consumption in servicing sector.</w:t>
      </w:r>
    </w:p>
    <w:p w14:paraId="30092FC2" w14:textId="77777777" w:rsidR="00B21BDD" w:rsidRPr="00A81971" w:rsidRDefault="00B21BDD" w:rsidP="007A6928">
      <w:pPr>
        <w:spacing w:after="0"/>
        <w:rPr>
          <w:rFonts w:eastAsia="Times New Roman"/>
          <w:lang w:eastAsia="nl-NL"/>
        </w:rPr>
      </w:pPr>
    </w:p>
    <w:p w14:paraId="6B7A00F6" w14:textId="77777777" w:rsidR="007A6928" w:rsidRPr="00A81971" w:rsidRDefault="0032495C" w:rsidP="007A6928">
      <w:pPr>
        <w:spacing w:after="0"/>
        <w:rPr>
          <w:rFonts w:eastAsia="Times New Roman"/>
          <w:lang w:eastAsia="nl-NL"/>
        </w:rPr>
      </w:pPr>
      <w:r w:rsidRPr="00A81971">
        <w:rPr>
          <w:rFonts w:eastAsia="Times New Roman"/>
          <w:lang w:eastAsia="nl-NL"/>
        </w:rPr>
        <w:lastRenderedPageBreak/>
        <w:t xml:space="preserve">For China, eligible consumption is in Industrial and Commercial Refrigeration and AC (ICR) and Residential AC and Heat Pumps, and servicing. RTF used the average CE of those sectors applied to HPMP I and II as “CE historical”. </w:t>
      </w:r>
    </w:p>
    <w:p w14:paraId="4283D541" w14:textId="77777777" w:rsidR="00D3394D" w:rsidRPr="00A81971" w:rsidRDefault="00D3394D" w:rsidP="007A6928">
      <w:pPr>
        <w:spacing w:after="0"/>
        <w:rPr>
          <w:rFonts w:eastAsia="Times New Roman"/>
          <w:lang w:eastAsia="nl-NL"/>
        </w:rPr>
      </w:pPr>
    </w:p>
    <w:p w14:paraId="5698EA11" w14:textId="77777777" w:rsidR="007A6928" w:rsidRPr="00A81971" w:rsidRDefault="0032495C" w:rsidP="007A6928">
      <w:pPr>
        <w:spacing w:after="0"/>
        <w:rPr>
          <w:rFonts w:eastAsia="Times New Roman"/>
          <w:color w:val="000000"/>
        </w:rPr>
      </w:pPr>
      <w:r w:rsidRPr="00A81971">
        <w:rPr>
          <w:rFonts w:eastAsia="Times New Roman"/>
          <w:lang w:eastAsia="nl-NL"/>
        </w:rPr>
        <w:t>Regarding RTF analysis of commercial refrigeration projects in document ExCom 89/10rev1, important to note that</w:t>
      </w:r>
      <w:r w:rsidRPr="00A81971">
        <w:rPr>
          <w:rFonts w:eastAsia="Times New Roman"/>
          <w:color w:val="000000" w:themeColor="text1"/>
        </w:rPr>
        <w:t xml:space="preserve"> RTF used table 4 of 89/10/Rev.1. In this table, Stage I is mixed (equipment and foam) and it was not feasible to get the same CE values when re-calculating the mix based on total values. Therefore, RTF could only use Stage II CEs. For Stage II, RTF excluded China and Iran, since the costing also included a servicing element which affected the CE calculations, and averaged the projects for Brazil and Vietnam to get </w:t>
      </w:r>
      <w:r w:rsidRPr="00A81971">
        <w:rPr>
          <w:rFonts w:eastAsia="Times New Roman"/>
          <w:b/>
          <w:bCs/>
          <w:color w:val="000000" w:themeColor="text1"/>
        </w:rPr>
        <w:t>10.7 US$/kg</w:t>
      </w:r>
      <w:r w:rsidRPr="00A81971">
        <w:rPr>
          <w:rFonts w:eastAsia="Times New Roman"/>
          <w:color w:val="000000" w:themeColor="text1"/>
        </w:rPr>
        <w:t xml:space="preserve"> for commercial refrigeration CE</w:t>
      </w:r>
      <w:r w:rsidRPr="00A81971">
        <w:rPr>
          <w:rFonts w:eastAsia="Times New Roman"/>
          <w:color w:val="FF0000"/>
        </w:rPr>
        <w:t>.</w:t>
      </w:r>
      <w:r w:rsidRPr="00A81971">
        <w:rPr>
          <w:rFonts w:eastAsia="Times New Roman"/>
          <w:color w:val="000000" w:themeColor="text1"/>
        </w:rPr>
        <w:t xml:space="preserve"> Table 3.</w:t>
      </w:r>
      <w:r w:rsidR="00530404">
        <w:rPr>
          <w:rFonts w:eastAsia="Times New Roman"/>
          <w:color w:val="000000" w:themeColor="text1"/>
        </w:rPr>
        <w:t>2</w:t>
      </w:r>
      <w:r w:rsidRPr="00A81971">
        <w:rPr>
          <w:rFonts w:eastAsia="Times New Roman"/>
          <w:color w:val="000000" w:themeColor="text1"/>
        </w:rPr>
        <w:t xml:space="preserve"> details the information used in document 89.10 rev1 to reach the CE value of 10.7 US$/kg.</w:t>
      </w:r>
    </w:p>
    <w:p w14:paraId="435864A5" w14:textId="77777777" w:rsidR="007A6928" w:rsidRPr="00A81971" w:rsidRDefault="007A6928" w:rsidP="007A6928">
      <w:pPr>
        <w:spacing w:after="0"/>
        <w:rPr>
          <w:rFonts w:eastAsia="Times New Roman"/>
          <w:lang w:eastAsia="nl-NL"/>
        </w:rPr>
      </w:pPr>
    </w:p>
    <w:p w14:paraId="3119D8F2" w14:textId="77777777" w:rsidR="00602C5A" w:rsidRDefault="0032495C">
      <w:pPr>
        <w:spacing w:after="0"/>
        <w:rPr>
          <w:rFonts w:eastAsia="Yu Mincho"/>
          <w:b/>
          <w:bCs/>
          <w:color w:val="000000"/>
          <w:lang w:val="en-CA"/>
        </w:rPr>
      </w:pPr>
      <w:r>
        <w:rPr>
          <w:rFonts w:eastAsia="Yu Mincho"/>
          <w:b/>
          <w:bCs/>
          <w:color w:val="000000"/>
          <w:lang w:val="en-CA"/>
        </w:rPr>
        <w:br w:type="page"/>
      </w:r>
    </w:p>
    <w:p w14:paraId="47A48EEF" w14:textId="77777777" w:rsidR="00602C5A" w:rsidRDefault="00602C5A" w:rsidP="008E2795">
      <w:pPr>
        <w:tabs>
          <w:tab w:val="left" w:pos="0"/>
          <w:tab w:val="left" w:pos="1276"/>
        </w:tabs>
        <w:spacing w:after="120"/>
        <w:ind w:left="1282" w:hanging="1282"/>
        <w:rPr>
          <w:rFonts w:eastAsia="Yu Mincho"/>
          <w:b/>
          <w:bCs/>
          <w:color w:val="000000"/>
          <w:lang w:val="en-CA"/>
        </w:rPr>
        <w:sectPr w:rsidR="00602C5A" w:rsidSect="008A15F8">
          <w:type w:val="oddPage"/>
          <w:pgSz w:w="11906" w:h="16838" w:code="9"/>
          <w:pgMar w:top="1411" w:right="1411" w:bottom="1411" w:left="1411" w:header="706" w:footer="706" w:gutter="0"/>
          <w:cols w:space="708"/>
          <w:docGrid w:linePitch="360"/>
        </w:sectPr>
      </w:pPr>
    </w:p>
    <w:p w14:paraId="0F0C4A8F" w14:textId="7DF073AB" w:rsidR="00DC7FD9" w:rsidRPr="00A81971" w:rsidRDefault="0032495C" w:rsidP="008E2795">
      <w:pPr>
        <w:tabs>
          <w:tab w:val="left" w:pos="0"/>
          <w:tab w:val="left" w:pos="1276"/>
        </w:tabs>
        <w:spacing w:after="120"/>
        <w:ind w:left="1282" w:hanging="1282"/>
        <w:rPr>
          <w:rFonts w:eastAsia="Times New Roman"/>
          <w:b/>
          <w:bCs/>
          <w:lang w:eastAsia="nl-NL"/>
        </w:rPr>
      </w:pPr>
      <w:r w:rsidRPr="0006445E">
        <w:rPr>
          <w:rFonts w:eastAsia="Yu Mincho"/>
          <w:b/>
          <w:bCs/>
          <w:color w:val="000000"/>
          <w:lang w:val="en-CA"/>
        </w:rPr>
        <w:lastRenderedPageBreak/>
        <w:t xml:space="preserve">Table </w:t>
      </w:r>
      <w:r>
        <w:rPr>
          <w:rFonts w:eastAsia="Yu Mincho"/>
          <w:b/>
          <w:bCs/>
          <w:color w:val="000000"/>
          <w:lang w:val="en-CA"/>
        </w:rPr>
        <w:t>3.</w:t>
      </w:r>
      <w:r w:rsidR="00530404">
        <w:rPr>
          <w:rFonts w:eastAsia="Yu Mincho"/>
          <w:b/>
          <w:bCs/>
          <w:color w:val="000000"/>
          <w:lang w:val="en-CA"/>
        </w:rPr>
        <w:t>2</w:t>
      </w:r>
      <w:r>
        <w:rPr>
          <w:rFonts w:eastAsia="Yu Mincho"/>
          <w:b/>
          <w:bCs/>
          <w:color w:val="000000"/>
          <w:lang w:val="en-CA"/>
        </w:rPr>
        <w:t>:</w:t>
      </w:r>
      <w:r w:rsidRPr="0006445E">
        <w:rPr>
          <w:rFonts w:eastAsia="Times New Roman"/>
          <w:color w:val="000000"/>
          <w:lang w:val="en-CA"/>
        </w:rPr>
        <w:tab/>
      </w:r>
      <w:r w:rsidRPr="00A81971">
        <w:rPr>
          <w:rFonts w:eastAsia="Times New Roman"/>
          <w:b/>
          <w:bCs/>
          <w:lang w:eastAsia="nl-NL"/>
        </w:rPr>
        <w:t xml:space="preserve">Commercial Refrigeration CEs analysis from ExCom 89/10 </w:t>
      </w:r>
      <w:r w:rsidR="00FE3D6C">
        <w:rPr>
          <w:rFonts w:eastAsia="Times New Roman"/>
          <w:b/>
          <w:bCs/>
          <w:lang w:eastAsia="nl-NL"/>
        </w:rPr>
        <w:t xml:space="preserve">rev1 </w:t>
      </w:r>
      <w:r w:rsidRPr="00A81971">
        <w:rPr>
          <w:rFonts w:eastAsia="Times New Roman"/>
          <w:b/>
          <w:bCs/>
          <w:lang w:eastAsia="nl-NL"/>
        </w:rPr>
        <w:t>to apply to 3 non-LVC parties with remaining consumption in the manufacturing sector*</w:t>
      </w:r>
    </w:p>
    <w:tbl>
      <w:tblPr>
        <w:tblW w:w="5000" w:type="pct"/>
        <w:tblLayout w:type="fixed"/>
        <w:tblLook w:val="04A0" w:firstRow="1" w:lastRow="0" w:firstColumn="1" w:lastColumn="0" w:noHBand="0" w:noVBand="1"/>
      </w:tblPr>
      <w:tblGrid>
        <w:gridCol w:w="1796"/>
        <w:gridCol w:w="938"/>
        <w:gridCol w:w="891"/>
        <w:gridCol w:w="1062"/>
        <w:gridCol w:w="1146"/>
        <w:gridCol w:w="1092"/>
        <w:gridCol w:w="2700"/>
        <w:gridCol w:w="1171"/>
        <w:gridCol w:w="1168"/>
        <w:gridCol w:w="1171"/>
        <w:gridCol w:w="871"/>
      </w:tblGrid>
      <w:tr w:rsidR="00F90461" w14:paraId="4B751360" w14:textId="77777777" w:rsidTr="2E7655E2">
        <w:trPr>
          <w:trHeight w:val="320"/>
        </w:trPr>
        <w:tc>
          <w:tcPr>
            <w:tcW w:w="641"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6594FA5B" w14:textId="77777777" w:rsidR="007A6928" w:rsidRPr="006578EC" w:rsidRDefault="007A6928" w:rsidP="007A6928">
            <w:pPr>
              <w:spacing w:after="0"/>
              <w:rPr>
                <w:rFonts w:eastAsia="Times New Roman"/>
                <w:b/>
                <w:bCs/>
                <w:color w:val="000000"/>
              </w:rPr>
            </w:pPr>
          </w:p>
        </w:tc>
        <w:tc>
          <w:tcPr>
            <w:tcW w:w="335"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F556DEC" w14:textId="77777777" w:rsidR="007A6928" w:rsidRPr="006578EC" w:rsidRDefault="0032495C" w:rsidP="007A6928">
            <w:pPr>
              <w:spacing w:after="0"/>
              <w:rPr>
                <w:rFonts w:eastAsia="Times New Roman"/>
                <w:b/>
                <w:bCs/>
                <w:color w:val="000000"/>
              </w:rPr>
            </w:pPr>
            <w:r w:rsidRPr="006578EC">
              <w:rPr>
                <w:rFonts w:eastAsia="Times New Roman"/>
                <w:b/>
                <w:bCs/>
                <w:color w:val="000000"/>
              </w:rPr>
              <w:t> </w:t>
            </w:r>
          </w:p>
        </w:tc>
        <w:tc>
          <w:tcPr>
            <w:tcW w:w="318"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2B66A9B0" w14:textId="77777777" w:rsidR="007A6928" w:rsidRPr="006578EC" w:rsidRDefault="0032495C" w:rsidP="007A6928">
            <w:pPr>
              <w:spacing w:after="0"/>
              <w:rPr>
                <w:rFonts w:eastAsia="Times New Roman"/>
                <w:b/>
                <w:bCs/>
                <w:color w:val="000000"/>
              </w:rPr>
            </w:pPr>
            <w:r w:rsidRPr="006578EC">
              <w:rPr>
                <w:rFonts w:eastAsia="Times New Roman"/>
                <w:b/>
                <w:bCs/>
                <w:color w:val="000000"/>
              </w:rPr>
              <w:t>ODPt</w:t>
            </w:r>
          </w:p>
        </w:tc>
        <w:tc>
          <w:tcPr>
            <w:tcW w:w="379"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C888C32" w14:textId="77777777" w:rsidR="007A6928" w:rsidRPr="006578EC" w:rsidRDefault="0032495C" w:rsidP="007A6928">
            <w:pPr>
              <w:spacing w:after="0"/>
              <w:rPr>
                <w:rFonts w:eastAsia="Times New Roman"/>
                <w:b/>
                <w:bCs/>
                <w:color w:val="000000"/>
              </w:rPr>
            </w:pPr>
            <w:r w:rsidRPr="006578EC">
              <w:rPr>
                <w:rFonts w:eastAsia="Times New Roman"/>
                <w:b/>
                <w:bCs/>
                <w:color w:val="000000"/>
              </w:rPr>
              <w:t> </w:t>
            </w:r>
          </w:p>
        </w:tc>
        <w:tc>
          <w:tcPr>
            <w:tcW w:w="409"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3D772A0A" w14:textId="77777777" w:rsidR="007A6928" w:rsidRPr="006578EC" w:rsidRDefault="0032495C" w:rsidP="007A6928">
            <w:pPr>
              <w:spacing w:after="0"/>
              <w:rPr>
                <w:rFonts w:eastAsia="Times New Roman"/>
                <w:b/>
                <w:bCs/>
                <w:color w:val="000000"/>
              </w:rPr>
            </w:pPr>
            <w:r w:rsidRPr="006578EC">
              <w:rPr>
                <w:rFonts w:eastAsia="Times New Roman"/>
                <w:b/>
                <w:bCs/>
                <w:color w:val="000000"/>
              </w:rPr>
              <w:t>kg</w:t>
            </w:r>
          </w:p>
        </w:tc>
        <w:tc>
          <w:tcPr>
            <w:tcW w:w="390"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F948D3D" w14:textId="77777777" w:rsidR="007A6928" w:rsidRPr="006578EC" w:rsidRDefault="0032495C" w:rsidP="007A6928">
            <w:pPr>
              <w:spacing w:after="0"/>
              <w:rPr>
                <w:rFonts w:eastAsia="Times New Roman"/>
                <w:b/>
                <w:bCs/>
                <w:color w:val="000000"/>
              </w:rPr>
            </w:pPr>
            <w:r w:rsidRPr="006578EC">
              <w:rPr>
                <w:rFonts w:eastAsia="Times New Roman"/>
                <w:b/>
                <w:bCs/>
                <w:color w:val="000000"/>
              </w:rPr>
              <w:t> </w:t>
            </w:r>
          </w:p>
        </w:tc>
        <w:tc>
          <w:tcPr>
            <w:tcW w:w="1382" w:type="pct"/>
            <w:gridSpan w:val="2"/>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20FB1B34" w14:textId="77777777" w:rsidR="007A6928" w:rsidRPr="006578EC" w:rsidRDefault="0032495C" w:rsidP="007A6928">
            <w:pPr>
              <w:spacing w:after="0"/>
              <w:rPr>
                <w:rFonts w:eastAsia="Times New Roman"/>
                <w:b/>
                <w:bCs/>
                <w:color w:val="000000"/>
              </w:rPr>
            </w:pPr>
            <w:r w:rsidRPr="006578EC">
              <w:rPr>
                <w:rFonts w:eastAsia="Times New Roman"/>
                <w:b/>
                <w:bCs/>
                <w:color w:val="000000"/>
              </w:rPr>
              <w:t> </w:t>
            </w:r>
          </w:p>
        </w:tc>
        <w:tc>
          <w:tcPr>
            <w:tcW w:w="835" w:type="pct"/>
            <w:gridSpan w:val="2"/>
            <w:tcBorders>
              <w:top w:val="single" w:sz="4" w:space="0" w:color="auto"/>
              <w:left w:val="nil"/>
              <w:bottom w:val="single" w:sz="4" w:space="0" w:color="auto"/>
              <w:right w:val="single" w:sz="4" w:space="0" w:color="000000" w:themeColor="text1"/>
            </w:tcBorders>
            <w:shd w:val="clear" w:color="auto" w:fill="D9E2F3" w:themeFill="accent1" w:themeFillTint="33"/>
            <w:noWrap/>
            <w:vAlign w:val="center"/>
            <w:hideMark/>
          </w:tcPr>
          <w:p w14:paraId="5C4F5CA6" w14:textId="77777777" w:rsidR="007A6928" w:rsidRPr="006578EC" w:rsidRDefault="0032495C" w:rsidP="007A6928">
            <w:pPr>
              <w:spacing w:after="0"/>
              <w:jc w:val="center"/>
              <w:rPr>
                <w:rFonts w:eastAsia="Times New Roman"/>
                <w:b/>
                <w:bCs/>
                <w:color w:val="000000"/>
              </w:rPr>
            </w:pPr>
            <w:r w:rsidRPr="006578EC">
              <w:rPr>
                <w:rFonts w:eastAsia="Times New Roman"/>
                <w:b/>
                <w:bCs/>
                <w:color w:val="000000"/>
              </w:rPr>
              <w:t>Cost (US $)</w:t>
            </w:r>
          </w:p>
        </w:tc>
        <w:tc>
          <w:tcPr>
            <w:tcW w:w="311"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6BA2466F" w14:textId="77777777" w:rsidR="007A6928" w:rsidRPr="006578EC" w:rsidRDefault="0032495C" w:rsidP="007A6928">
            <w:pPr>
              <w:spacing w:after="0"/>
              <w:rPr>
                <w:rFonts w:eastAsia="Times New Roman"/>
                <w:b/>
                <w:bCs/>
                <w:color w:val="000000"/>
              </w:rPr>
            </w:pPr>
            <w:r w:rsidRPr="006578EC">
              <w:rPr>
                <w:rFonts w:eastAsia="Times New Roman"/>
                <w:b/>
                <w:bCs/>
                <w:color w:val="000000"/>
              </w:rPr>
              <w:t> </w:t>
            </w:r>
          </w:p>
        </w:tc>
      </w:tr>
      <w:tr w:rsidR="00F90461" w14:paraId="30DFA9BA" w14:textId="77777777" w:rsidTr="2E7655E2">
        <w:trPr>
          <w:trHeight w:val="600"/>
        </w:trPr>
        <w:tc>
          <w:tcPr>
            <w:tcW w:w="641" w:type="pct"/>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657517E0"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Country</w:t>
            </w:r>
          </w:p>
        </w:tc>
        <w:tc>
          <w:tcPr>
            <w:tcW w:w="335" w:type="pct"/>
            <w:tcBorders>
              <w:top w:val="nil"/>
              <w:left w:val="nil"/>
              <w:bottom w:val="single" w:sz="4" w:space="0" w:color="auto"/>
              <w:right w:val="single" w:sz="4" w:space="0" w:color="auto"/>
            </w:tcBorders>
            <w:shd w:val="clear" w:color="auto" w:fill="D9E2F3" w:themeFill="accent1" w:themeFillTint="33"/>
            <w:noWrap/>
            <w:vAlign w:val="center"/>
            <w:hideMark/>
          </w:tcPr>
          <w:p w14:paraId="5821C996"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Sector</w:t>
            </w:r>
          </w:p>
        </w:tc>
        <w:tc>
          <w:tcPr>
            <w:tcW w:w="318" w:type="pct"/>
            <w:tcBorders>
              <w:top w:val="nil"/>
              <w:left w:val="nil"/>
              <w:bottom w:val="single" w:sz="4" w:space="0" w:color="auto"/>
              <w:right w:val="single" w:sz="4" w:space="0" w:color="auto"/>
            </w:tcBorders>
            <w:shd w:val="clear" w:color="auto" w:fill="D9E2F3" w:themeFill="accent1" w:themeFillTint="33"/>
            <w:noWrap/>
            <w:vAlign w:val="center"/>
            <w:hideMark/>
          </w:tcPr>
          <w:p w14:paraId="233F57D6"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HCFC-22</w:t>
            </w:r>
          </w:p>
        </w:tc>
        <w:tc>
          <w:tcPr>
            <w:tcW w:w="379" w:type="pct"/>
            <w:tcBorders>
              <w:top w:val="nil"/>
              <w:left w:val="nil"/>
              <w:bottom w:val="single" w:sz="4" w:space="0" w:color="auto"/>
              <w:right w:val="single" w:sz="4" w:space="0" w:color="auto"/>
            </w:tcBorders>
            <w:shd w:val="clear" w:color="auto" w:fill="D9E2F3" w:themeFill="accent1" w:themeFillTint="33"/>
            <w:noWrap/>
            <w:vAlign w:val="center"/>
            <w:hideMark/>
          </w:tcPr>
          <w:p w14:paraId="50196623"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HCFC-141b</w:t>
            </w:r>
          </w:p>
        </w:tc>
        <w:tc>
          <w:tcPr>
            <w:tcW w:w="409" w:type="pct"/>
            <w:tcBorders>
              <w:top w:val="nil"/>
              <w:left w:val="nil"/>
              <w:bottom w:val="single" w:sz="4" w:space="0" w:color="auto"/>
              <w:right w:val="single" w:sz="4" w:space="0" w:color="auto"/>
            </w:tcBorders>
            <w:shd w:val="clear" w:color="auto" w:fill="D9E2F3" w:themeFill="accent1" w:themeFillTint="33"/>
            <w:noWrap/>
            <w:vAlign w:val="center"/>
            <w:hideMark/>
          </w:tcPr>
          <w:p w14:paraId="79702BCC"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HCFC-22</w:t>
            </w:r>
          </w:p>
        </w:tc>
        <w:tc>
          <w:tcPr>
            <w:tcW w:w="390" w:type="pct"/>
            <w:tcBorders>
              <w:top w:val="nil"/>
              <w:left w:val="nil"/>
              <w:bottom w:val="single" w:sz="4" w:space="0" w:color="auto"/>
              <w:right w:val="single" w:sz="4" w:space="0" w:color="auto"/>
            </w:tcBorders>
            <w:shd w:val="clear" w:color="auto" w:fill="D9E2F3" w:themeFill="accent1" w:themeFillTint="33"/>
            <w:noWrap/>
            <w:vAlign w:val="center"/>
            <w:hideMark/>
          </w:tcPr>
          <w:p w14:paraId="5F4D1E34"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HCFC-141b</w:t>
            </w:r>
          </w:p>
        </w:tc>
        <w:tc>
          <w:tcPr>
            <w:tcW w:w="964" w:type="pct"/>
            <w:tcBorders>
              <w:top w:val="nil"/>
              <w:left w:val="nil"/>
              <w:bottom w:val="single" w:sz="4" w:space="0" w:color="auto"/>
              <w:right w:val="single" w:sz="4" w:space="0" w:color="auto"/>
            </w:tcBorders>
            <w:shd w:val="clear" w:color="auto" w:fill="D9E2F3" w:themeFill="accent1" w:themeFillTint="33"/>
            <w:vAlign w:val="center"/>
            <w:hideMark/>
          </w:tcPr>
          <w:p w14:paraId="2C8C9CB7"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Replacement technology</w:t>
            </w:r>
          </w:p>
        </w:tc>
        <w:tc>
          <w:tcPr>
            <w:tcW w:w="418" w:type="pct"/>
            <w:tcBorders>
              <w:top w:val="nil"/>
              <w:left w:val="nil"/>
              <w:bottom w:val="single" w:sz="4" w:space="0" w:color="auto"/>
              <w:right w:val="single" w:sz="4" w:space="0" w:color="auto"/>
            </w:tcBorders>
            <w:shd w:val="clear" w:color="auto" w:fill="D9E2F3" w:themeFill="accent1" w:themeFillTint="33"/>
            <w:noWrap/>
            <w:vAlign w:val="center"/>
            <w:hideMark/>
          </w:tcPr>
          <w:p w14:paraId="2964DA92"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Approved</w:t>
            </w:r>
          </w:p>
        </w:tc>
        <w:tc>
          <w:tcPr>
            <w:tcW w:w="417" w:type="pct"/>
            <w:tcBorders>
              <w:top w:val="nil"/>
              <w:left w:val="nil"/>
              <w:bottom w:val="single" w:sz="4" w:space="0" w:color="auto"/>
              <w:right w:val="single" w:sz="4" w:space="0" w:color="auto"/>
            </w:tcBorders>
            <w:shd w:val="clear" w:color="auto" w:fill="D9E2F3" w:themeFill="accent1" w:themeFillTint="33"/>
            <w:noWrap/>
            <w:vAlign w:val="center"/>
            <w:hideMark/>
          </w:tcPr>
          <w:p w14:paraId="1D21CE76"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ICC</w:t>
            </w:r>
          </w:p>
        </w:tc>
        <w:tc>
          <w:tcPr>
            <w:tcW w:w="418" w:type="pct"/>
            <w:tcBorders>
              <w:top w:val="nil"/>
              <w:left w:val="nil"/>
              <w:bottom w:val="single" w:sz="4" w:space="0" w:color="auto"/>
              <w:right w:val="single" w:sz="4" w:space="0" w:color="auto"/>
            </w:tcBorders>
            <w:shd w:val="clear" w:color="auto" w:fill="D9E2F3" w:themeFill="accent1" w:themeFillTint="33"/>
            <w:noWrap/>
            <w:vAlign w:val="center"/>
            <w:hideMark/>
          </w:tcPr>
          <w:p w14:paraId="34FA39EB"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IOC</w:t>
            </w:r>
          </w:p>
        </w:tc>
        <w:tc>
          <w:tcPr>
            <w:tcW w:w="311" w:type="pct"/>
            <w:tcBorders>
              <w:top w:val="nil"/>
              <w:left w:val="nil"/>
              <w:bottom w:val="single" w:sz="4" w:space="0" w:color="auto"/>
              <w:right w:val="single" w:sz="4" w:space="0" w:color="auto"/>
            </w:tcBorders>
            <w:shd w:val="clear" w:color="auto" w:fill="D9E2F3" w:themeFill="accent1" w:themeFillTint="33"/>
            <w:vAlign w:val="center"/>
            <w:hideMark/>
          </w:tcPr>
          <w:p w14:paraId="7E8CB6EC"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CE</w:t>
            </w:r>
          </w:p>
          <w:p w14:paraId="775271AB" w14:textId="77777777" w:rsidR="007A6928" w:rsidRPr="006578EC" w:rsidRDefault="0032495C" w:rsidP="00A441EF">
            <w:pPr>
              <w:spacing w:after="0"/>
              <w:jc w:val="center"/>
              <w:rPr>
                <w:rFonts w:eastAsia="Times New Roman"/>
                <w:b/>
                <w:bCs/>
                <w:color w:val="000000"/>
              </w:rPr>
            </w:pPr>
            <w:r w:rsidRPr="006578EC">
              <w:rPr>
                <w:rFonts w:eastAsia="Times New Roman"/>
                <w:b/>
                <w:bCs/>
                <w:color w:val="000000"/>
              </w:rPr>
              <w:t>(US $/ kg)</w:t>
            </w:r>
          </w:p>
        </w:tc>
      </w:tr>
      <w:tr w:rsidR="00F90461" w14:paraId="1B25EF2A" w14:textId="77777777" w:rsidTr="2E7655E2">
        <w:trPr>
          <w:trHeight w:val="300"/>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D9E2F3" w:themeFill="accent1" w:themeFillTint="33"/>
            <w:noWrap/>
            <w:vAlign w:val="bottom"/>
            <w:hideMark/>
          </w:tcPr>
          <w:p w14:paraId="0F7F211C" w14:textId="77777777" w:rsidR="007A6928" w:rsidRPr="006578EC" w:rsidRDefault="0032495C" w:rsidP="007A6928">
            <w:pPr>
              <w:spacing w:after="0"/>
              <w:rPr>
                <w:rFonts w:eastAsia="Times New Roman"/>
                <w:b/>
                <w:bCs/>
                <w:color w:val="000000"/>
              </w:rPr>
            </w:pPr>
            <w:r w:rsidRPr="006578EC">
              <w:rPr>
                <w:rFonts w:eastAsia="Times New Roman"/>
                <w:b/>
                <w:bCs/>
                <w:color w:val="000000"/>
              </w:rPr>
              <w:t>Stage 1</w:t>
            </w:r>
          </w:p>
        </w:tc>
      </w:tr>
      <w:tr w:rsidR="00F90461" w14:paraId="6CE32193" w14:textId="77777777" w:rsidTr="00FE5C31">
        <w:trPr>
          <w:trHeight w:val="600"/>
        </w:trPr>
        <w:tc>
          <w:tcPr>
            <w:tcW w:w="641"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954D662" w14:textId="77777777" w:rsidR="007A6928" w:rsidRPr="006578EC" w:rsidRDefault="0032495C" w:rsidP="00F1317F">
            <w:pPr>
              <w:spacing w:after="0"/>
              <w:rPr>
                <w:rFonts w:eastAsia="Times New Roman"/>
                <w:color w:val="000000"/>
              </w:rPr>
            </w:pPr>
            <w:r w:rsidRPr="006578EC">
              <w:rPr>
                <w:rFonts w:eastAsia="Times New Roman"/>
                <w:color w:val="000000"/>
              </w:rPr>
              <w:t>Armenia (1)</w:t>
            </w:r>
          </w:p>
        </w:tc>
        <w:tc>
          <w:tcPr>
            <w:tcW w:w="335" w:type="pct"/>
            <w:tcBorders>
              <w:top w:val="nil"/>
              <w:left w:val="nil"/>
              <w:bottom w:val="single" w:sz="4" w:space="0" w:color="auto"/>
              <w:right w:val="single" w:sz="4" w:space="0" w:color="auto"/>
            </w:tcBorders>
            <w:hideMark/>
          </w:tcPr>
          <w:p w14:paraId="66B122F3" w14:textId="77777777" w:rsidR="007A6928" w:rsidRPr="006578EC" w:rsidRDefault="0032495C" w:rsidP="00094256">
            <w:pPr>
              <w:spacing w:after="0"/>
              <w:rPr>
                <w:rFonts w:eastAsia="Times New Roman"/>
                <w:color w:val="000000"/>
              </w:rPr>
            </w:pPr>
            <w:r w:rsidRPr="006578EC">
              <w:rPr>
                <w:rFonts w:eastAsia="Times New Roman"/>
                <w:color w:val="000000"/>
              </w:rPr>
              <w:t>Comm. Ref.</w:t>
            </w:r>
          </w:p>
        </w:tc>
        <w:tc>
          <w:tcPr>
            <w:tcW w:w="318" w:type="pct"/>
            <w:tcBorders>
              <w:top w:val="nil"/>
              <w:left w:val="nil"/>
              <w:bottom w:val="single" w:sz="4" w:space="0" w:color="auto"/>
              <w:right w:val="single" w:sz="4" w:space="0" w:color="auto"/>
            </w:tcBorders>
            <w:noWrap/>
            <w:vAlign w:val="center"/>
            <w:hideMark/>
          </w:tcPr>
          <w:p w14:paraId="3496AAB5" w14:textId="77777777" w:rsidR="007A6928" w:rsidRPr="006578EC" w:rsidRDefault="0032495C" w:rsidP="00DC18CE">
            <w:pPr>
              <w:spacing w:after="0"/>
              <w:jc w:val="right"/>
              <w:rPr>
                <w:rFonts w:eastAsia="Times New Roman"/>
                <w:color w:val="000000"/>
              </w:rPr>
            </w:pPr>
            <w:r w:rsidRPr="006578EC">
              <w:rPr>
                <w:rFonts w:eastAsia="Times New Roman"/>
                <w:color w:val="000000"/>
              </w:rPr>
              <w:t>1.4</w:t>
            </w:r>
          </w:p>
        </w:tc>
        <w:tc>
          <w:tcPr>
            <w:tcW w:w="379" w:type="pct"/>
            <w:tcBorders>
              <w:top w:val="nil"/>
              <w:left w:val="nil"/>
              <w:bottom w:val="single" w:sz="4" w:space="0" w:color="auto"/>
              <w:right w:val="single" w:sz="4" w:space="0" w:color="auto"/>
            </w:tcBorders>
            <w:vAlign w:val="center"/>
            <w:hideMark/>
          </w:tcPr>
          <w:p w14:paraId="131FA0D9" w14:textId="77777777" w:rsidR="007A6928" w:rsidRPr="006578EC" w:rsidRDefault="0032495C" w:rsidP="00DC18CE">
            <w:pPr>
              <w:spacing w:after="0"/>
              <w:jc w:val="right"/>
              <w:rPr>
                <w:rFonts w:eastAsia="Times New Roman"/>
                <w:color w:val="000000"/>
              </w:rPr>
            </w:pPr>
            <w:r w:rsidRPr="006578EC">
              <w:rPr>
                <w:rFonts w:eastAsia="Times New Roman"/>
                <w:color w:val="000000"/>
              </w:rPr>
              <w:t>0.87</w:t>
            </w:r>
          </w:p>
        </w:tc>
        <w:tc>
          <w:tcPr>
            <w:tcW w:w="409" w:type="pct"/>
            <w:tcBorders>
              <w:top w:val="nil"/>
              <w:left w:val="nil"/>
              <w:bottom w:val="single" w:sz="4" w:space="0" w:color="auto"/>
              <w:right w:val="single" w:sz="4" w:space="0" w:color="auto"/>
            </w:tcBorders>
            <w:noWrap/>
            <w:vAlign w:val="center"/>
            <w:hideMark/>
          </w:tcPr>
          <w:p w14:paraId="3F6A560F" w14:textId="06D899C9" w:rsidR="007A6928" w:rsidRPr="006578EC" w:rsidRDefault="0032495C" w:rsidP="00DC18CE">
            <w:pPr>
              <w:spacing w:after="0"/>
              <w:jc w:val="right"/>
              <w:rPr>
                <w:rFonts w:eastAsia="Times New Roman"/>
                <w:color w:val="000000"/>
              </w:rPr>
            </w:pPr>
            <w:r w:rsidRPr="006578EC">
              <w:rPr>
                <w:rFonts w:eastAsia="Times New Roman"/>
                <w:color w:val="000000"/>
              </w:rPr>
              <w:t xml:space="preserve">     25</w:t>
            </w:r>
            <w:r w:rsidR="00B102AE">
              <w:rPr>
                <w:rFonts w:eastAsia="Times New Roman"/>
                <w:color w:val="000000"/>
              </w:rPr>
              <w:t>,</w:t>
            </w:r>
            <w:r w:rsidRPr="006578EC">
              <w:rPr>
                <w:rFonts w:eastAsia="Times New Roman"/>
                <w:color w:val="000000"/>
              </w:rPr>
              <w:t>455</w:t>
            </w:r>
          </w:p>
          <w:p w14:paraId="6D746440" w14:textId="77777777" w:rsidR="007A6928" w:rsidRPr="006578EC" w:rsidRDefault="007A6928" w:rsidP="00DC18CE">
            <w:pPr>
              <w:spacing w:after="0"/>
              <w:jc w:val="right"/>
              <w:rPr>
                <w:rFonts w:eastAsia="Times New Roman"/>
                <w:color w:val="000000"/>
              </w:rPr>
            </w:pPr>
          </w:p>
        </w:tc>
        <w:tc>
          <w:tcPr>
            <w:tcW w:w="390" w:type="pct"/>
            <w:tcBorders>
              <w:top w:val="nil"/>
              <w:left w:val="nil"/>
              <w:bottom w:val="single" w:sz="4" w:space="0" w:color="auto"/>
              <w:right w:val="single" w:sz="4" w:space="0" w:color="auto"/>
            </w:tcBorders>
            <w:noWrap/>
            <w:vAlign w:val="center"/>
            <w:hideMark/>
          </w:tcPr>
          <w:p w14:paraId="2536CD2F" w14:textId="3E9078E1" w:rsidR="007A6928" w:rsidRPr="006578EC" w:rsidRDefault="0032495C" w:rsidP="00DC18CE">
            <w:pPr>
              <w:spacing w:after="0"/>
              <w:jc w:val="right"/>
              <w:rPr>
                <w:rFonts w:eastAsia="Times New Roman"/>
                <w:color w:val="000000"/>
              </w:rPr>
            </w:pPr>
            <w:r w:rsidRPr="006578EC">
              <w:rPr>
                <w:rFonts w:eastAsia="Times New Roman"/>
                <w:color w:val="000000"/>
              </w:rPr>
              <w:t xml:space="preserve">      7</w:t>
            </w:r>
            <w:r w:rsidR="00B102AE">
              <w:rPr>
                <w:rFonts w:eastAsia="Times New Roman"/>
                <w:color w:val="000000"/>
              </w:rPr>
              <w:t>,</w:t>
            </w:r>
            <w:r w:rsidRPr="006578EC">
              <w:rPr>
                <w:rFonts w:eastAsia="Times New Roman"/>
                <w:color w:val="000000"/>
              </w:rPr>
              <w:t>909</w:t>
            </w:r>
          </w:p>
          <w:p w14:paraId="426A4723"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964" w:type="pct"/>
            <w:tcBorders>
              <w:top w:val="nil"/>
              <w:left w:val="nil"/>
              <w:bottom w:val="single" w:sz="4" w:space="0" w:color="auto"/>
              <w:right w:val="single" w:sz="4" w:space="0" w:color="auto"/>
            </w:tcBorders>
            <w:noWrap/>
            <w:vAlign w:val="center"/>
            <w:hideMark/>
          </w:tcPr>
          <w:p w14:paraId="0237D300" w14:textId="77777777" w:rsidR="007A6928" w:rsidRPr="006578EC" w:rsidRDefault="0032495C" w:rsidP="00DC18CE">
            <w:pPr>
              <w:spacing w:after="0"/>
              <w:rPr>
                <w:rFonts w:eastAsia="Times New Roman"/>
                <w:color w:val="000000"/>
              </w:rPr>
            </w:pPr>
            <w:r w:rsidRPr="006578EC">
              <w:rPr>
                <w:rFonts w:eastAsia="Times New Roman"/>
                <w:color w:val="000000"/>
              </w:rPr>
              <w:t>R-290</w:t>
            </w:r>
          </w:p>
        </w:tc>
        <w:tc>
          <w:tcPr>
            <w:tcW w:w="418" w:type="pct"/>
            <w:tcBorders>
              <w:top w:val="nil"/>
              <w:left w:val="nil"/>
              <w:bottom w:val="single" w:sz="4" w:space="0" w:color="auto"/>
              <w:right w:val="single" w:sz="4" w:space="0" w:color="auto"/>
            </w:tcBorders>
            <w:noWrap/>
            <w:vAlign w:val="center"/>
            <w:hideMark/>
          </w:tcPr>
          <w:p w14:paraId="32A64CD7" w14:textId="301322E6" w:rsidR="007A6928" w:rsidRPr="00D73A58" w:rsidRDefault="0032495C" w:rsidP="00DC18CE">
            <w:pPr>
              <w:spacing w:after="0"/>
              <w:jc w:val="right"/>
              <w:rPr>
                <w:rFonts w:eastAsia="Times New Roman"/>
                <w:color w:val="000000"/>
              </w:rPr>
            </w:pPr>
            <w:r w:rsidRPr="00D73A58">
              <w:rPr>
                <w:rFonts w:eastAsia="Times New Roman"/>
                <w:color w:val="000000"/>
              </w:rPr>
              <w:t>534</w:t>
            </w:r>
            <w:r w:rsidR="00F25F26" w:rsidRPr="00D73A58">
              <w:rPr>
                <w:rFonts w:eastAsia="Times New Roman"/>
                <w:color w:val="000000"/>
              </w:rPr>
              <w:t>,</w:t>
            </w:r>
            <w:r w:rsidRPr="00D73A58">
              <w:rPr>
                <w:rFonts w:eastAsia="Times New Roman"/>
                <w:color w:val="000000"/>
              </w:rPr>
              <w:t>353</w:t>
            </w:r>
          </w:p>
        </w:tc>
        <w:tc>
          <w:tcPr>
            <w:tcW w:w="417" w:type="pct"/>
            <w:tcBorders>
              <w:top w:val="nil"/>
              <w:left w:val="nil"/>
              <w:bottom w:val="single" w:sz="4" w:space="0" w:color="auto"/>
              <w:right w:val="single" w:sz="4" w:space="0" w:color="auto"/>
            </w:tcBorders>
            <w:noWrap/>
            <w:vAlign w:val="center"/>
            <w:hideMark/>
          </w:tcPr>
          <w:p w14:paraId="30DEA388" w14:textId="692EA360" w:rsidR="007A6928" w:rsidRPr="00D73A58" w:rsidRDefault="0032495C" w:rsidP="00DC18CE">
            <w:pPr>
              <w:spacing w:after="0"/>
              <w:jc w:val="right"/>
              <w:rPr>
                <w:rFonts w:eastAsia="Times New Roman"/>
                <w:color w:val="000000"/>
              </w:rPr>
            </w:pPr>
            <w:r w:rsidRPr="00D73A58">
              <w:rPr>
                <w:rFonts w:eastAsia="Times New Roman"/>
                <w:color w:val="000000"/>
              </w:rPr>
              <w:t>534</w:t>
            </w:r>
            <w:r w:rsidR="00F25F26" w:rsidRPr="00D73A58">
              <w:rPr>
                <w:rFonts w:eastAsia="Times New Roman"/>
                <w:color w:val="000000"/>
              </w:rPr>
              <w:t>,</w:t>
            </w:r>
            <w:r w:rsidRPr="00D73A58">
              <w:rPr>
                <w:rFonts w:eastAsia="Times New Roman"/>
                <w:color w:val="000000"/>
              </w:rPr>
              <w:t>353</w:t>
            </w:r>
          </w:p>
        </w:tc>
        <w:tc>
          <w:tcPr>
            <w:tcW w:w="418" w:type="pct"/>
            <w:tcBorders>
              <w:top w:val="nil"/>
              <w:left w:val="nil"/>
              <w:bottom w:val="single" w:sz="4" w:space="0" w:color="auto"/>
              <w:right w:val="single" w:sz="4" w:space="0" w:color="auto"/>
            </w:tcBorders>
            <w:noWrap/>
            <w:vAlign w:val="center"/>
            <w:hideMark/>
          </w:tcPr>
          <w:p w14:paraId="68347790" w14:textId="77777777" w:rsidR="007A6928" w:rsidRPr="00D73A58" w:rsidRDefault="0032495C" w:rsidP="00DC18CE">
            <w:pPr>
              <w:spacing w:after="0"/>
              <w:jc w:val="right"/>
              <w:rPr>
                <w:rFonts w:eastAsia="Times New Roman"/>
                <w:color w:val="000000"/>
              </w:rPr>
            </w:pPr>
            <w:r w:rsidRPr="00D73A58">
              <w:rPr>
                <w:rFonts w:eastAsia="Times New Roman"/>
                <w:color w:val="000000"/>
              </w:rPr>
              <w:t>0</w:t>
            </w:r>
          </w:p>
        </w:tc>
        <w:tc>
          <w:tcPr>
            <w:tcW w:w="311" w:type="pct"/>
            <w:tcBorders>
              <w:top w:val="nil"/>
              <w:left w:val="nil"/>
              <w:bottom w:val="single" w:sz="4" w:space="0" w:color="auto"/>
              <w:right w:val="single" w:sz="4" w:space="0" w:color="auto"/>
            </w:tcBorders>
            <w:noWrap/>
            <w:vAlign w:val="center"/>
            <w:hideMark/>
          </w:tcPr>
          <w:p w14:paraId="3FDBC360" w14:textId="477A26CE" w:rsidR="007A6928" w:rsidRPr="006578EC" w:rsidRDefault="0032495C" w:rsidP="00DC18CE">
            <w:pPr>
              <w:spacing w:after="0"/>
              <w:jc w:val="right"/>
              <w:rPr>
                <w:rFonts w:eastAsia="Times New Roman"/>
                <w:color w:val="000000"/>
              </w:rPr>
            </w:pPr>
            <w:r w:rsidRPr="006578EC">
              <w:rPr>
                <w:rFonts w:eastAsia="Times New Roman"/>
                <w:color w:val="000000"/>
              </w:rPr>
              <w:t xml:space="preserve">  16.</w:t>
            </w:r>
            <w:r w:rsidR="004103B1">
              <w:rPr>
                <w:rFonts w:eastAsia="Times New Roman"/>
                <w:color w:val="000000"/>
              </w:rPr>
              <w:t>19</w:t>
            </w:r>
            <w:r w:rsidR="004103B1" w:rsidRPr="006578EC">
              <w:rPr>
                <w:rFonts w:eastAsia="Times New Roman"/>
                <w:color w:val="000000"/>
              </w:rPr>
              <w:t xml:space="preserve"> </w:t>
            </w:r>
          </w:p>
        </w:tc>
      </w:tr>
      <w:tr w:rsidR="00F90461" w14:paraId="55B44843" w14:textId="77777777" w:rsidTr="00FE5C31">
        <w:trPr>
          <w:trHeight w:val="600"/>
        </w:trPr>
        <w:tc>
          <w:tcPr>
            <w:tcW w:w="641"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08BED3A" w14:textId="77777777" w:rsidR="007A6928" w:rsidRPr="006578EC" w:rsidRDefault="0032495C" w:rsidP="00F1317F">
            <w:pPr>
              <w:spacing w:after="0"/>
              <w:rPr>
                <w:rFonts w:eastAsia="Times New Roman"/>
                <w:color w:val="000000"/>
              </w:rPr>
            </w:pPr>
            <w:r w:rsidRPr="006578EC">
              <w:rPr>
                <w:rFonts w:eastAsia="Times New Roman"/>
                <w:color w:val="000000"/>
              </w:rPr>
              <w:t xml:space="preserve">Bosnia and Herzegovina (6) </w:t>
            </w:r>
          </w:p>
        </w:tc>
        <w:tc>
          <w:tcPr>
            <w:tcW w:w="335" w:type="pct"/>
            <w:tcBorders>
              <w:top w:val="nil"/>
              <w:left w:val="nil"/>
              <w:bottom w:val="single" w:sz="4" w:space="0" w:color="auto"/>
              <w:right w:val="single" w:sz="4" w:space="0" w:color="auto"/>
            </w:tcBorders>
            <w:hideMark/>
          </w:tcPr>
          <w:p w14:paraId="7318A867" w14:textId="77777777" w:rsidR="007A6928" w:rsidRPr="006578EC" w:rsidRDefault="0032495C" w:rsidP="00094256">
            <w:pPr>
              <w:spacing w:after="0"/>
              <w:rPr>
                <w:rFonts w:eastAsia="Times New Roman"/>
                <w:color w:val="000000"/>
              </w:rPr>
            </w:pPr>
            <w:r w:rsidRPr="006578EC">
              <w:rPr>
                <w:rFonts w:eastAsia="Times New Roman"/>
                <w:color w:val="000000"/>
              </w:rPr>
              <w:t>Comm. Ref.</w:t>
            </w:r>
          </w:p>
        </w:tc>
        <w:tc>
          <w:tcPr>
            <w:tcW w:w="318" w:type="pct"/>
            <w:tcBorders>
              <w:top w:val="nil"/>
              <w:left w:val="nil"/>
              <w:bottom w:val="single" w:sz="4" w:space="0" w:color="auto"/>
              <w:right w:val="single" w:sz="4" w:space="0" w:color="auto"/>
            </w:tcBorders>
            <w:noWrap/>
            <w:vAlign w:val="center"/>
            <w:hideMark/>
          </w:tcPr>
          <w:p w14:paraId="14016B8F" w14:textId="77777777" w:rsidR="007A6928" w:rsidRPr="006578EC" w:rsidRDefault="0032495C" w:rsidP="00DC18CE">
            <w:pPr>
              <w:spacing w:after="0"/>
              <w:jc w:val="right"/>
              <w:rPr>
                <w:rFonts w:eastAsia="Times New Roman"/>
                <w:color w:val="000000"/>
              </w:rPr>
            </w:pPr>
            <w:r w:rsidRPr="006578EC">
              <w:rPr>
                <w:rFonts w:eastAsia="Times New Roman"/>
                <w:color w:val="000000"/>
              </w:rPr>
              <w:t>0.8</w:t>
            </w:r>
          </w:p>
        </w:tc>
        <w:tc>
          <w:tcPr>
            <w:tcW w:w="379" w:type="pct"/>
            <w:tcBorders>
              <w:top w:val="nil"/>
              <w:left w:val="nil"/>
              <w:bottom w:val="single" w:sz="4" w:space="0" w:color="auto"/>
              <w:right w:val="single" w:sz="4" w:space="0" w:color="auto"/>
            </w:tcBorders>
            <w:vAlign w:val="center"/>
            <w:hideMark/>
          </w:tcPr>
          <w:p w14:paraId="15881568" w14:textId="77777777" w:rsidR="007A6928" w:rsidRPr="006578EC" w:rsidRDefault="0032495C" w:rsidP="00DC18CE">
            <w:pPr>
              <w:spacing w:after="0"/>
              <w:jc w:val="right"/>
              <w:rPr>
                <w:rFonts w:eastAsia="Times New Roman"/>
                <w:color w:val="000000"/>
              </w:rPr>
            </w:pPr>
            <w:r w:rsidRPr="006578EC">
              <w:rPr>
                <w:rFonts w:eastAsia="Times New Roman"/>
                <w:color w:val="000000"/>
              </w:rPr>
              <w:t>0.2</w:t>
            </w:r>
          </w:p>
        </w:tc>
        <w:tc>
          <w:tcPr>
            <w:tcW w:w="409" w:type="pct"/>
            <w:tcBorders>
              <w:top w:val="nil"/>
              <w:left w:val="nil"/>
              <w:bottom w:val="single" w:sz="4" w:space="0" w:color="auto"/>
              <w:right w:val="single" w:sz="4" w:space="0" w:color="auto"/>
            </w:tcBorders>
            <w:noWrap/>
            <w:vAlign w:val="center"/>
            <w:hideMark/>
          </w:tcPr>
          <w:p w14:paraId="20AA030F" w14:textId="342F8939" w:rsidR="007A6928" w:rsidRPr="006578EC" w:rsidRDefault="0032495C" w:rsidP="00DC18CE">
            <w:pPr>
              <w:spacing w:after="0"/>
              <w:jc w:val="right"/>
              <w:rPr>
                <w:rFonts w:eastAsia="Times New Roman"/>
                <w:color w:val="000000"/>
              </w:rPr>
            </w:pPr>
            <w:r w:rsidRPr="006578EC">
              <w:rPr>
                <w:rFonts w:eastAsia="Times New Roman"/>
                <w:color w:val="000000"/>
              </w:rPr>
              <w:t xml:space="preserve">    14</w:t>
            </w:r>
            <w:r w:rsidR="00B102AE">
              <w:rPr>
                <w:rFonts w:eastAsia="Times New Roman"/>
                <w:color w:val="000000"/>
              </w:rPr>
              <w:t>,</w:t>
            </w:r>
            <w:r w:rsidRPr="006578EC">
              <w:rPr>
                <w:rFonts w:eastAsia="Times New Roman"/>
                <w:color w:val="000000"/>
              </w:rPr>
              <w:t>545</w:t>
            </w:r>
          </w:p>
          <w:p w14:paraId="35442CD8"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390" w:type="pct"/>
            <w:tcBorders>
              <w:top w:val="nil"/>
              <w:left w:val="nil"/>
              <w:bottom w:val="single" w:sz="4" w:space="0" w:color="auto"/>
              <w:right w:val="single" w:sz="4" w:space="0" w:color="auto"/>
            </w:tcBorders>
            <w:noWrap/>
            <w:vAlign w:val="center"/>
            <w:hideMark/>
          </w:tcPr>
          <w:p w14:paraId="13791E82" w14:textId="1EB02820" w:rsidR="007A6928" w:rsidRPr="006578EC" w:rsidRDefault="0032495C" w:rsidP="00DC18CE">
            <w:pPr>
              <w:spacing w:after="0"/>
              <w:jc w:val="right"/>
              <w:rPr>
                <w:rFonts w:eastAsia="Times New Roman"/>
                <w:color w:val="000000"/>
              </w:rPr>
            </w:pPr>
            <w:r w:rsidRPr="006578EC">
              <w:rPr>
                <w:rFonts w:eastAsia="Times New Roman"/>
                <w:color w:val="000000"/>
              </w:rPr>
              <w:t xml:space="preserve">      1</w:t>
            </w:r>
            <w:r w:rsidR="00B102AE">
              <w:rPr>
                <w:rFonts w:eastAsia="Times New Roman"/>
                <w:color w:val="000000"/>
              </w:rPr>
              <w:t>,</w:t>
            </w:r>
            <w:r w:rsidRPr="006578EC">
              <w:rPr>
                <w:rFonts w:eastAsia="Times New Roman"/>
                <w:color w:val="000000"/>
              </w:rPr>
              <w:t>818</w:t>
            </w:r>
          </w:p>
          <w:p w14:paraId="28941202"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964" w:type="pct"/>
            <w:tcBorders>
              <w:top w:val="nil"/>
              <w:left w:val="nil"/>
              <w:bottom w:val="single" w:sz="4" w:space="0" w:color="auto"/>
              <w:right w:val="single" w:sz="4" w:space="0" w:color="auto"/>
            </w:tcBorders>
            <w:noWrap/>
            <w:vAlign w:val="center"/>
            <w:hideMark/>
          </w:tcPr>
          <w:p w14:paraId="538393B8" w14:textId="77777777" w:rsidR="007A6928" w:rsidRPr="006578EC" w:rsidRDefault="0032495C" w:rsidP="00DC18CE">
            <w:pPr>
              <w:spacing w:after="0"/>
              <w:rPr>
                <w:rFonts w:eastAsia="Times New Roman"/>
                <w:color w:val="000000"/>
              </w:rPr>
            </w:pPr>
            <w:r w:rsidRPr="006578EC">
              <w:rPr>
                <w:rFonts w:eastAsia="Times New Roman"/>
                <w:color w:val="000000"/>
              </w:rPr>
              <w:t>R-410A, R</w:t>
            </w:r>
            <w:r w:rsidRPr="006578EC">
              <w:rPr>
                <w:rFonts w:eastAsia="Times New Roman"/>
                <w:color w:val="000000"/>
              </w:rPr>
              <w:noBreakHyphen/>
              <w:t>404A</w:t>
            </w:r>
          </w:p>
        </w:tc>
        <w:tc>
          <w:tcPr>
            <w:tcW w:w="418" w:type="pct"/>
            <w:tcBorders>
              <w:top w:val="nil"/>
              <w:left w:val="nil"/>
              <w:bottom w:val="single" w:sz="4" w:space="0" w:color="auto"/>
              <w:right w:val="single" w:sz="4" w:space="0" w:color="auto"/>
            </w:tcBorders>
            <w:noWrap/>
            <w:vAlign w:val="center"/>
            <w:hideMark/>
          </w:tcPr>
          <w:p w14:paraId="79C6CE23" w14:textId="3D3E8134" w:rsidR="007A6928" w:rsidRPr="00D73A58" w:rsidRDefault="0032495C" w:rsidP="00DC18CE">
            <w:pPr>
              <w:spacing w:after="0"/>
              <w:jc w:val="right"/>
              <w:rPr>
                <w:rFonts w:eastAsia="Times New Roman"/>
                <w:color w:val="000000"/>
              </w:rPr>
            </w:pPr>
            <w:r w:rsidRPr="00D73A58">
              <w:rPr>
                <w:rFonts w:eastAsia="Times New Roman"/>
                <w:color w:val="000000"/>
              </w:rPr>
              <w:t>247</w:t>
            </w:r>
            <w:r w:rsidR="00F25F26" w:rsidRPr="00D73A58">
              <w:rPr>
                <w:rFonts w:eastAsia="Times New Roman"/>
                <w:color w:val="000000"/>
              </w:rPr>
              <w:t>,</w:t>
            </w:r>
            <w:r w:rsidRPr="00D73A58">
              <w:rPr>
                <w:rFonts w:eastAsia="Times New Roman"/>
                <w:color w:val="000000"/>
              </w:rPr>
              <w:t>923</w:t>
            </w:r>
          </w:p>
        </w:tc>
        <w:tc>
          <w:tcPr>
            <w:tcW w:w="417" w:type="pct"/>
            <w:tcBorders>
              <w:top w:val="nil"/>
              <w:left w:val="nil"/>
              <w:bottom w:val="single" w:sz="4" w:space="0" w:color="auto"/>
              <w:right w:val="single" w:sz="4" w:space="0" w:color="auto"/>
            </w:tcBorders>
            <w:noWrap/>
            <w:vAlign w:val="center"/>
            <w:hideMark/>
          </w:tcPr>
          <w:p w14:paraId="5ADEFBD1" w14:textId="21EF6DE0" w:rsidR="007A6928" w:rsidRPr="00D73A58" w:rsidRDefault="0032495C" w:rsidP="00DC18CE">
            <w:pPr>
              <w:spacing w:after="0"/>
              <w:jc w:val="right"/>
              <w:rPr>
                <w:rFonts w:eastAsia="Times New Roman"/>
                <w:color w:val="000000"/>
              </w:rPr>
            </w:pPr>
            <w:r w:rsidRPr="00D73A58">
              <w:rPr>
                <w:rFonts w:eastAsia="Times New Roman"/>
                <w:color w:val="000000"/>
              </w:rPr>
              <w:t>166</w:t>
            </w:r>
            <w:r w:rsidR="00F25F26" w:rsidRPr="00D73A58">
              <w:rPr>
                <w:rFonts w:eastAsia="Times New Roman"/>
                <w:color w:val="000000"/>
              </w:rPr>
              <w:t>,</w:t>
            </w:r>
            <w:r w:rsidRPr="00D73A58">
              <w:rPr>
                <w:rFonts w:eastAsia="Times New Roman"/>
                <w:color w:val="000000"/>
              </w:rPr>
              <w:t>108</w:t>
            </w:r>
          </w:p>
        </w:tc>
        <w:tc>
          <w:tcPr>
            <w:tcW w:w="418" w:type="pct"/>
            <w:tcBorders>
              <w:top w:val="nil"/>
              <w:left w:val="nil"/>
              <w:bottom w:val="single" w:sz="4" w:space="0" w:color="auto"/>
              <w:right w:val="single" w:sz="4" w:space="0" w:color="auto"/>
            </w:tcBorders>
            <w:noWrap/>
            <w:vAlign w:val="center"/>
            <w:hideMark/>
          </w:tcPr>
          <w:p w14:paraId="376F585E" w14:textId="7956F6E0" w:rsidR="007A6928" w:rsidRPr="00D73A58" w:rsidRDefault="0032495C" w:rsidP="00DC18CE">
            <w:pPr>
              <w:spacing w:after="0"/>
              <w:jc w:val="right"/>
              <w:rPr>
                <w:rFonts w:eastAsia="Times New Roman"/>
                <w:color w:val="000000"/>
              </w:rPr>
            </w:pPr>
            <w:r w:rsidRPr="00D73A58">
              <w:rPr>
                <w:rFonts w:eastAsia="Times New Roman"/>
                <w:color w:val="000000"/>
              </w:rPr>
              <w:t>81</w:t>
            </w:r>
            <w:r w:rsidR="00F25F26" w:rsidRPr="00D73A58">
              <w:rPr>
                <w:rFonts w:eastAsia="Times New Roman"/>
                <w:color w:val="000000"/>
              </w:rPr>
              <w:t>,</w:t>
            </w:r>
            <w:r w:rsidRPr="00D73A58">
              <w:rPr>
                <w:rFonts w:eastAsia="Times New Roman"/>
                <w:color w:val="000000"/>
              </w:rPr>
              <w:t>815</w:t>
            </w:r>
          </w:p>
        </w:tc>
        <w:tc>
          <w:tcPr>
            <w:tcW w:w="311" w:type="pct"/>
            <w:tcBorders>
              <w:top w:val="nil"/>
              <w:left w:val="nil"/>
              <w:bottom w:val="single" w:sz="4" w:space="0" w:color="auto"/>
              <w:right w:val="single" w:sz="4" w:space="0" w:color="auto"/>
            </w:tcBorders>
            <w:noWrap/>
            <w:vAlign w:val="center"/>
            <w:hideMark/>
          </w:tcPr>
          <w:p w14:paraId="459DE703" w14:textId="670013FD" w:rsidR="007A6928" w:rsidRPr="006578EC" w:rsidRDefault="0032495C" w:rsidP="00DC18CE">
            <w:pPr>
              <w:spacing w:after="0"/>
              <w:jc w:val="right"/>
              <w:rPr>
                <w:rFonts w:eastAsia="Times New Roman"/>
                <w:color w:val="000000"/>
              </w:rPr>
            </w:pPr>
            <w:r w:rsidRPr="006578EC">
              <w:rPr>
                <w:rFonts w:eastAsia="Times New Roman"/>
                <w:color w:val="000000"/>
              </w:rPr>
              <w:t xml:space="preserve">  15.</w:t>
            </w:r>
            <w:r w:rsidR="004103B1">
              <w:rPr>
                <w:rFonts w:eastAsia="Times New Roman"/>
                <w:color w:val="000000"/>
              </w:rPr>
              <w:t>24</w:t>
            </w:r>
            <w:r w:rsidRPr="006578EC">
              <w:rPr>
                <w:rFonts w:eastAsia="Times New Roman"/>
                <w:color w:val="000000"/>
              </w:rPr>
              <w:t xml:space="preserve"> </w:t>
            </w:r>
          </w:p>
        </w:tc>
      </w:tr>
      <w:tr w:rsidR="00F90461" w14:paraId="6AB461AD" w14:textId="77777777" w:rsidTr="00FE5C31">
        <w:trPr>
          <w:trHeight w:val="600"/>
        </w:trPr>
        <w:tc>
          <w:tcPr>
            <w:tcW w:w="641"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0451AF2" w14:textId="77777777" w:rsidR="007A6928" w:rsidRPr="006578EC" w:rsidRDefault="0032495C" w:rsidP="00F1317F">
            <w:pPr>
              <w:spacing w:after="0"/>
              <w:rPr>
                <w:rFonts w:eastAsia="Times New Roman"/>
                <w:color w:val="000000"/>
              </w:rPr>
            </w:pPr>
            <w:r w:rsidRPr="006578EC">
              <w:rPr>
                <w:rFonts w:eastAsia="Times New Roman"/>
                <w:color w:val="000000"/>
              </w:rPr>
              <w:t>Indonesia (33)</w:t>
            </w:r>
          </w:p>
        </w:tc>
        <w:tc>
          <w:tcPr>
            <w:tcW w:w="335" w:type="pct"/>
            <w:tcBorders>
              <w:top w:val="nil"/>
              <w:left w:val="nil"/>
              <w:bottom w:val="single" w:sz="4" w:space="0" w:color="auto"/>
              <w:right w:val="single" w:sz="4" w:space="0" w:color="auto"/>
            </w:tcBorders>
            <w:hideMark/>
          </w:tcPr>
          <w:p w14:paraId="762758E7" w14:textId="77777777" w:rsidR="007A6928" w:rsidRPr="006578EC" w:rsidRDefault="0032495C" w:rsidP="00094256">
            <w:pPr>
              <w:spacing w:after="0"/>
              <w:rPr>
                <w:rFonts w:eastAsia="Times New Roman"/>
                <w:color w:val="000000"/>
              </w:rPr>
            </w:pPr>
            <w:r w:rsidRPr="006578EC">
              <w:rPr>
                <w:rFonts w:eastAsia="Times New Roman"/>
                <w:color w:val="000000"/>
              </w:rPr>
              <w:t>Comm. Ref.</w:t>
            </w:r>
          </w:p>
        </w:tc>
        <w:tc>
          <w:tcPr>
            <w:tcW w:w="318" w:type="pct"/>
            <w:tcBorders>
              <w:top w:val="nil"/>
              <w:left w:val="nil"/>
              <w:bottom w:val="single" w:sz="4" w:space="0" w:color="auto"/>
              <w:right w:val="single" w:sz="4" w:space="0" w:color="auto"/>
            </w:tcBorders>
            <w:noWrap/>
            <w:vAlign w:val="center"/>
            <w:hideMark/>
          </w:tcPr>
          <w:p w14:paraId="5E8A8F74" w14:textId="77777777" w:rsidR="007A6928" w:rsidRPr="006578EC" w:rsidRDefault="0032495C" w:rsidP="00DC18CE">
            <w:pPr>
              <w:spacing w:after="0"/>
              <w:jc w:val="right"/>
              <w:rPr>
                <w:rFonts w:eastAsia="Times New Roman"/>
                <w:color w:val="000000"/>
              </w:rPr>
            </w:pPr>
            <w:r w:rsidRPr="006578EC">
              <w:rPr>
                <w:rFonts w:eastAsia="Times New Roman"/>
                <w:color w:val="000000"/>
              </w:rPr>
              <w:t>9.1</w:t>
            </w:r>
          </w:p>
        </w:tc>
        <w:tc>
          <w:tcPr>
            <w:tcW w:w="379" w:type="pct"/>
            <w:tcBorders>
              <w:top w:val="nil"/>
              <w:left w:val="nil"/>
              <w:bottom w:val="single" w:sz="4" w:space="0" w:color="auto"/>
              <w:right w:val="single" w:sz="4" w:space="0" w:color="auto"/>
            </w:tcBorders>
            <w:vAlign w:val="center"/>
            <w:hideMark/>
          </w:tcPr>
          <w:p w14:paraId="04AE2ED5" w14:textId="77777777" w:rsidR="007A6928" w:rsidRPr="006578EC" w:rsidRDefault="0032495C" w:rsidP="00DC18CE">
            <w:pPr>
              <w:spacing w:after="0"/>
              <w:jc w:val="right"/>
              <w:rPr>
                <w:rFonts w:eastAsia="Times New Roman"/>
                <w:color w:val="000000"/>
              </w:rPr>
            </w:pPr>
            <w:r w:rsidRPr="006578EC">
              <w:rPr>
                <w:rFonts w:eastAsia="Times New Roman"/>
                <w:color w:val="000000"/>
              </w:rPr>
              <w:t>45.4</w:t>
            </w:r>
          </w:p>
        </w:tc>
        <w:tc>
          <w:tcPr>
            <w:tcW w:w="409" w:type="pct"/>
            <w:tcBorders>
              <w:top w:val="nil"/>
              <w:left w:val="nil"/>
              <w:bottom w:val="single" w:sz="4" w:space="0" w:color="auto"/>
              <w:right w:val="single" w:sz="4" w:space="0" w:color="auto"/>
            </w:tcBorders>
            <w:noWrap/>
            <w:vAlign w:val="center"/>
            <w:hideMark/>
          </w:tcPr>
          <w:p w14:paraId="2947651E" w14:textId="090BABE0" w:rsidR="007A6928" w:rsidRPr="006578EC" w:rsidRDefault="0032495C" w:rsidP="00DC18CE">
            <w:pPr>
              <w:spacing w:after="0"/>
              <w:jc w:val="right"/>
              <w:rPr>
                <w:rFonts w:eastAsia="Times New Roman"/>
                <w:color w:val="000000"/>
              </w:rPr>
            </w:pPr>
            <w:r w:rsidRPr="006578EC">
              <w:rPr>
                <w:rFonts w:eastAsia="Times New Roman"/>
                <w:color w:val="000000"/>
              </w:rPr>
              <w:t xml:space="preserve">  165</w:t>
            </w:r>
            <w:r w:rsidR="00B102AE">
              <w:rPr>
                <w:rFonts w:eastAsia="Times New Roman"/>
                <w:color w:val="000000"/>
              </w:rPr>
              <w:t>,</w:t>
            </w:r>
            <w:r w:rsidRPr="006578EC">
              <w:rPr>
                <w:rFonts w:eastAsia="Times New Roman"/>
                <w:color w:val="000000"/>
              </w:rPr>
              <w:t>455</w:t>
            </w:r>
          </w:p>
          <w:p w14:paraId="32FEEB2B"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390" w:type="pct"/>
            <w:tcBorders>
              <w:top w:val="nil"/>
              <w:left w:val="nil"/>
              <w:bottom w:val="single" w:sz="4" w:space="0" w:color="auto"/>
              <w:right w:val="single" w:sz="4" w:space="0" w:color="auto"/>
            </w:tcBorders>
            <w:noWrap/>
            <w:vAlign w:val="center"/>
            <w:hideMark/>
          </w:tcPr>
          <w:p w14:paraId="78909E18" w14:textId="1FCD777C" w:rsidR="2E7655E2" w:rsidRDefault="0032495C" w:rsidP="00DC18CE">
            <w:pPr>
              <w:spacing w:after="0"/>
              <w:jc w:val="right"/>
            </w:pPr>
            <w:r w:rsidRPr="2E7655E2">
              <w:rPr>
                <w:rFonts w:eastAsia="Times New Roman"/>
                <w:color w:val="000000" w:themeColor="text1"/>
              </w:rPr>
              <w:t xml:space="preserve">  412</w:t>
            </w:r>
            <w:r w:rsidR="00B102AE">
              <w:rPr>
                <w:rFonts w:eastAsia="Times New Roman"/>
                <w:color w:val="000000" w:themeColor="text1"/>
              </w:rPr>
              <w:t>,</w:t>
            </w:r>
            <w:r w:rsidRPr="2E7655E2">
              <w:rPr>
                <w:rFonts w:eastAsia="Times New Roman"/>
                <w:color w:val="000000" w:themeColor="text1"/>
              </w:rPr>
              <w:t>727</w:t>
            </w:r>
          </w:p>
          <w:p w14:paraId="5F0DF7E0"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964" w:type="pct"/>
            <w:tcBorders>
              <w:top w:val="nil"/>
              <w:left w:val="nil"/>
              <w:bottom w:val="single" w:sz="4" w:space="0" w:color="auto"/>
              <w:right w:val="single" w:sz="4" w:space="0" w:color="auto"/>
            </w:tcBorders>
            <w:noWrap/>
            <w:vAlign w:val="center"/>
            <w:hideMark/>
          </w:tcPr>
          <w:p w14:paraId="35EB41A4" w14:textId="77777777" w:rsidR="007A6928" w:rsidRPr="006578EC" w:rsidRDefault="0032495C" w:rsidP="00DC18CE">
            <w:pPr>
              <w:spacing w:after="0"/>
              <w:rPr>
                <w:rFonts w:eastAsia="Times New Roman"/>
                <w:color w:val="000000"/>
              </w:rPr>
            </w:pPr>
            <w:r w:rsidRPr="006578EC">
              <w:rPr>
                <w:rFonts w:eastAsia="Times New Roman"/>
                <w:color w:val="000000"/>
              </w:rPr>
              <w:t>HFC-32/CO</w:t>
            </w:r>
            <w:r w:rsidRPr="006578EC">
              <w:rPr>
                <w:rFonts w:eastAsia="Times New Roman"/>
                <w:color w:val="000000"/>
                <w:vertAlign w:val="subscript"/>
              </w:rPr>
              <w:t>2</w:t>
            </w:r>
            <w:r w:rsidRPr="006578EC">
              <w:rPr>
                <w:rFonts w:eastAsia="Times New Roman"/>
                <w:color w:val="000000"/>
              </w:rPr>
              <w:t>/ NH</w:t>
            </w:r>
            <w:r w:rsidRPr="006578EC">
              <w:rPr>
                <w:rFonts w:eastAsia="Times New Roman"/>
                <w:color w:val="000000"/>
                <w:vertAlign w:val="subscript"/>
              </w:rPr>
              <w:t>3</w:t>
            </w:r>
            <w:r w:rsidRPr="006578EC">
              <w:rPr>
                <w:rFonts w:eastAsia="Times New Roman"/>
                <w:color w:val="000000"/>
              </w:rPr>
              <w:t>/HC</w:t>
            </w:r>
          </w:p>
        </w:tc>
        <w:tc>
          <w:tcPr>
            <w:tcW w:w="418" w:type="pct"/>
            <w:tcBorders>
              <w:top w:val="nil"/>
              <w:left w:val="nil"/>
              <w:bottom w:val="single" w:sz="4" w:space="0" w:color="auto"/>
              <w:right w:val="single" w:sz="4" w:space="0" w:color="auto"/>
            </w:tcBorders>
            <w:noWrap/>
            <w:vAlign w:val="center"/>
            <w:hideMark/>
          </w:tcPr>
          <w:p w14:paraId="1D41EE52" w14:textId="6456D684" w:rsidR="007A6928" w:rsidRPr="00D73A58" w:rsidRDefault="0032495C" w:rsidP="00DC18CE">
            <w:pPr>
              <w:spacing w:after="0"/>
              <w:jc w:val="right"/>
              <w:rPr>
                <w:rFonts w:eastAsia="Times New Roman"/>
                <w:color w:val="000000"/>
              </w:rPr>
            </w:pPr>
            <w:r w:rsidRPr="00D73A58">
              <w:rPr>
                <w:rFonts w:eastAsia="Times New Roman"/>
                <w:color w:val="000000"/>
              </w:rPr>
              <w:t>4</w:t>
            </w:r>
            <w:r w:rsidR="00F25F26" w:rsidRPr="00D73A58">
              <w:rPr>
                <w:rFonts w:eastAsia="Times New Roman"/>
                <w:color w:val="000000"/>
              </w:rPr>
              <w:t>,</w:t>
            </w:r>
            <w:r w:rsidRPr="00D73A58">
              <w:rPr>
                <w:rFonts w:eastAsia="Times New Roman"/>
                <w:color w:val="000000"/>
              </w:rPr>
              <w:t>022</w:t>
            </w:r>
            <w:r w:rsidR="00F25F26" w:rsidRPr="00D73A58">
              <w:rPr>
                <w:rFonts w:eastAsia="Times New Roman"/>
                <w:color w:val="000000"/>
              </w:rPr>
              <w:t>,</w:t>
            </w:r>
            <w:r w:rsidRPr="00D73A58">
              <w:rPr>
                <w:rFonts w:eastAsia="Times New Roman"/>
                <w:color w:val="000000"/>
              </w:rPr>
              <w:t>649</w:t>
            </w:r>
          </w:p>
        </w:tc>
        <w:tc>
          <w:tcPr>
            <w:tcW w:w="417" w:type="pct"/>
            <w:tcBorders>
              <w:top w:val="nil"/>
              <w:left w:val="nil"/>
              <w:bottom w:val="single" w:sz="4" w:space="0" w:color="auto"/>
              <w:right w:val="single" w:sz="4" w:space="0" w:color="auto"/>
            </w:tcBorders>
            <w:noWrap/>
            <w:vAlign w:val="center"/>
            <w:hideMark/>
          </w:tcPr>
          <w:p w14:paraId="05608D0B" w14:textId="619B20EB" w:rsidR="007A6928" w:rsidRPr="00D73A58" w:rsidRDefault="0032495C" w:rsidP="00DC18CE">
            <w:pPr>
              <w:spacing w:after="0"/>
              <w:jc w:val="right"/>
              <w:rPr>
                <w:rFonts w:eastAsia="Times New Roman"/>
                <w:color w:val="000000"/>
              </w:rPr>
            </w:pPr>
            <w:r w:rsidRPr="00D73A58">
              <w:rPr>
                <w:rFonts w:eastAsia="Times New Roman"/>
                <w:color w:val="000000"/>
              </w:rPr>
              <w:t>3</w:t>
            </w:r>
            <w:r w:rsidR="00F25F26" w:rsidRPr="00D73A58">
              <w:rPr>
                <w:rFonts w:eastAsia="Times New Roman"/>
                <w:color w:val="000000"/>
              </w:rPr>
              <w:t>,</w:t>
            </w:r>
            <w:r w:rsidRPr="00D73A58">
              <w:rPr>
                <w:rFonts w:eastAsia="Times New Roman"/>
                <w:color w:val="000000"/>
              </w:rPr>
              <w:t>464</w:t>
            </w:r>
            <w:r w:rsidR="00F25F26" w:rsidRPr="00D73A58">
              <w:rPr>
                <w:rFonts w:eastAsia="Times New Roman"/>
                <w:color w:val="000000"/>
              </w:rPr>
              <w:t>,</w:t>
            </w:r>
            <w:r w:rsidRPr="00D73A58">
              <w:rPr>
                <w:rFonts w:eastAsia="Times New Roman"/>
                <w:color w:val="000000"/>
              </w:rPr>
              <w:t>450</w:t>
            </w:r>
          </w:p>
        </w:tc>
        <w:tc>
          <w:tcPr>
            <w:tcW w:w="418" w:type="pct"/>
            <w:tcBorders>
              <w:top w:val="nil"/>
              <w:left w:val="nil"/>
              <w:bottom w:val="single" w:sz="4" w:space="0" w:color="auto"/>
              <w:right w:val="single" w:sz="4" w:space="0" w:color="auto"/>
            </w:tcBorders>
            <w:noWrap/>
            <w:vAlign w:val="center"/>
            <w:hideMark/>
          </w:tcPr>
          <w:p w14:paraId="640F9CE3" w14:textId="174ABAA7" w:rsidR="007A6928" w:rsidRPr="00D73A58" w:rsidRDefault="0032495C" w:rsidP="00DC18CE">
            <w:pPr>
              <w:spacing w:after="0"/>
              <w:jc w:val="right"/>
              <w:rPr>
                <w:rFonts w:eastAsia="Times New Roman"/>
                <w:color w:val="000000"/>
              </w:rPr>
            </w:pPr>
            <w:r w:rsidRPr="00D73A58">
              <w:rPr>
                <w:rFonts w:eastAsia="Times New Roman"/>
                <w:color w:val="000000"/>
              </w:rPr>
              <w:t>438</w:t>
            </w:r>
            <w:r w:rsidR="00F25F26" w:rsidRPr="00D73A58">
              <w:rPr>
                <w:rFonts w:eastAsia="Times New Roman"/>
                <w:color w:val="000000"/>
              </w:rPr>
              <w:t>,</w:t>
            </w:r>
            <w:r w:rsidRPr="00D73A58">
              <w:rPr>
                <w:rFonts w:eastAsia="Times New Roman"/>
                <w:color w:val="000000"/>
              </w:rPr>
              <w:t>199</w:t>
            </w:r>
          </w:p>
        </w:tc>
        <w:tc>
          <w:tcPr>
            <w:tcW w:w="311" w:type="pct"/>
            <w:tcBorders>
              <w:top w:val="nil"/>
              <w:left w:val="nil"/>
              <w:bottom w:val="single" w:sz="4" w:space="0" w:color="auto"/>
              <w:right w:val="single" w:sz="4" w:space="0" w:color="auto"/>
            </w:tcBorders>
            <w:noWrap/>
            <w:vAlign w:val="center"/>
            <w:hideMark/>
          </w:tcPr>
          <w:p w14:paraId="46028BA7" w14:textId="286D91FC"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r w:rsidR="004103B1">
              <w:rPr>
                <w:rFonts w:eastAsia="Times New Roman"/>
                <w:color w:val="000000"/>
              </w:rPr>
              <w:t>8.11</w:t>
            </w:r>
            <w:r w:rsidRPr="006578EC">
              <w:rPr>
                <w:rFonts w:eastAsia="Times New Roman"/>
                <w:color w:val="000000"/>
              </w:rPr>
              <w:t xml:space="preserve"> </w:t>
            </w:r>
          </w:p>
        </w:tc>
      </w:tr>
      <w:tr w:rsidR="00F90461" w14:paraId="11EE82C7" w14:textId="77777777" w:rsidTr="00FE5C31">
        <w:trPr>
          <w:trHeight w:val="300"/>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D9E2F3" w:themeFill="accent1" w:themeFillTint="33"/>
            <w:noWrap/>
            <w:vAlign w:val="center"/>
            <w:hideMark/>
          </w:tcPr>
          <w:p w14:paraId="25142C26" w14:textId="77777777" w:rsidR="007A6928" w:rsidRPr="00D73A58" w:rsidRDefault="0032495C" w:rsidP="00F1317F">
            <w:pPr>
              <w:spacing w:after="0"/>
              <w:rPr>
                <w:rFonts w:eastAsia="Times New Roman"/>
                <w:b/>
                <w:bCs/>
                <w:color w:val="000000"/>
              </w:rPr>
            </w:pPr>
            <w:r w:rsidRPr="00D73A58">
              <w:rPr>
                <w:rFonts w:eastAsia="Times New Roman"/>
                <w:b/>
                <w:bCs/>
                <w:color w:val="000000"/>
              </w:rPr>
              <w:t>Stage II</w:t>
            </w:r>
          </w:p>
        </w:tc>
      </w:tr>
      <w:tr w:rsidR="00F90461" w14:paraId="30A538C1" w14:textId="77777777" w:rsidTr="00FE5C31">
        <w:trPr>
          <w:trHeight w:val="600"/>
        </w:trPr>
        <w:tc>
          <w:tcPr>
            <w:tcW w:w="641"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61BBF06" w14:textId="77777777" w:rsidR="007A6928" w:rsidRPr="006578EC" w:rsidRDefault="0032495C" w:rsidP="00F1317F">
            <w:pPr>
              <w:spacing w:after="0"/>
              <w:rPr>
                <w:rFonts w:eastAsia="Times New Roman"/>
                <w:color w:val="000000"/>
              </w:rPr>
            </w:pPr>
            <w:r w:rsidRPr="006578EC">
              <w:rPr>
                <w:rFonts w:eastAsia="Times New Roman"/>
                <w:color w:val="000000"/>
              </w:rPr>
              <w:t>Brazil (25)</w:t>
            </w:r>
          </w:p>
        </w:tc>
        <w:tc>
          <w:tcPr>
            <w:tcW w:w="335" w:type="pct"/>
            <w:tcBorders>
              <w:top w:val="nil"/>
              <w:left w:val="nil"/>
              <w:bottom w:val="single" w:sz="4" w:space="0" w:color="auto"/>
              <w:right w:val="single" w:sz="4" w:space="0" w:color="auto"/>
            </w:tcBorders>
            <w:hideMark/>
          </w:tcPr>
          <w:p w14:paraId="717BFB87" w14:textId="77777777" w:rsidR="007A6928" w:rsidRPr="006578EC" w:rsidRDefault="0032495C" w:rsidP="00094256">
            <w:pPr>
              <w:spacing w:after="0"/>
              <w:rPr>
                <w:rFonts w:eastAsia="Times New Roman"/>
                <w:color w:val="000000"/>
              </w:rPr>
            </w:pPr>
            <w:r w:rsidRPr="006578EC">
              <w:rPr>
                <w:rFonts w:eastAsia="Times New Roman"/>
                <w:color w:val="000000"/>
              </w:rPr>
              <w:t>Comm. Ref.</w:t>
            </w:r>
          </w:p>
        </w:tc>
        <w:tc>
          <w:tcPr>
            <w:tcW w:w="318" w:type="pct"/>
            <w:tcBorders>
              <w:top w:val="nil"/>
              <w:left w:val="nil"/>
              <w:bottom w:val="single" w:sz="4" w:space="0" w:color="auto"/>
              <w:right w:val="single" w:sz="4" w:space="0" w:color="auto"/>
            </w:tcBorders>
            <w:noWrap/>
            <w:vAlign w:val="center"/>
            <w:hideMark/>
          </w:tcPr>
          <w:p w14:paraId="3C6D6CA5" w14:textId="77777777" w:rsidR="007A6928" w:rsidRPr="006578EC" w:rsidRDefault="0032495C" w:rsidP="00DC18CE">
            <w:pPr>
              <w:spacing w:after="0"/>
              <w:jc w:val="right"/>
              <w:rPr>
                <w:rFonts w:eastAsia="Times New Roman"/>
                <w:color w:val="000000"/>
              </w:rPr>
            </w:pPr>
            <w:r w:rsidRPr="006578EC">
              <w:rPr>
                <w:rFonts w:eastAsia="Times New Roman"/>
                <w:color w:val="000000"/>
              </w:rPr>
              <w:t>15.74</w:t>
            </w:r>
          </w:p>
        </w:tc>
        <w:tc>
          <w:tcPr>
            <w:tcW w:w="379" w:type="pct"/>
            <w:tcBorders>
              <w:top w:val="nil"/>
              <w:left w:val="nil"/>
              <w:bottom w:val="single" w:sz="4" w:space="0" w:color="auto"/>
              <w:right w:val="single" w:sz="4" w:space="0" w:color="auto"/>
            </w:tcBorders>
            <w:vAlign w:val="center"/>
            <w:hideMark/>
          </w:tcPr>
          <w:p w14:paraId="4CEDC07F" w14:textId="77777777" w:rsidR="007A6928" w:rsidRPr="006578EC" w:rsidRDefault="0032495C" w:rsidP="00DC18CE">
            <w:pPr>
              <w:spacing w:after="0"/>
              <w:jc w:val="right"/>
              <w:rPr>
                <w:rFonts w:eastAsia="Times New Roman"/>
                <w:color w:val="000000"/>
              </w:rPr>
            </w:pPr>
            <w:r w:rsidRPr="006578EC">
              <w:rPr>
                <w:rFonts w:eastAsia="Times New Roman"/>
                <w:color w:val="000000"/>
              </w:rPr>
              <w:t>0</w:t>
            </w:r>
          </w:p>
        </w:tc>
        <w:tc>
          <w:tcPr>
            <w:tcW w:w="409" w:type="pct"/>
            <w:tcBorders>
              <w:top w:val="nil"/>
              <w:left w:val="nil"/>
              <w:bottom w:val="single" w:sz="4" w:space="0" w:color="auto"/>
              <w:right w:val="single" w:sz="4" w:space="0" w:color="auto"/>
            </w:tcBorders>
            <w:noWrap/>
            <w:vAlign w:val="center"/>
            <w:hideMark/>
          </w:tcPr>
          <w:p w14:paraId="57FE97B6" w14:textId="0E864465" w:rsidR="007A6928" w:rsidRPr="006578EC" w:rsidRDefault="0032495C" w:rsidP="00DC18CE">
            <w:pPr>
              <w:spacing w:after="0"/>
              <w:jc w:val="right"/>
              <w:rPr>
                <w:rFonts w:eastAsia="Times New Roman"/>
                <w:color w:val="000000"/>
              </w:rPr>
            </w:pPr>
            <w:r w:rsidRPr="006578EC">
              <w:rPr>
                <w:rFonts w:eastAsia="Times New Roman"/>
                <w:color w:val="000000"/>
              </w:rPr>
              <w:t xml:space="preserve">   286</w:t>
            </w:r>
            <w:r w:rsidR="00B102AE">
              <w:rPr>
                <w:rFonts w:eastAsia="Times New Roman"/>
                <w:color w:val="000000"/>
              </w:rPr>
              <w:t>,</w:t>
            </w:r>
            <w:r w:rsidRPr="006578EC">
              <w:rPr>
                <w:rFonts w:eastAsia="Times New Roman"/>
                <w:color w:val="000000"/>
              </w:rPr>
              <w:t>182</w:t>
            </w:r>
          </w:p>
          <w:p w14:paraId="5D0EF735"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390" w:type="pct"/>
            <w:tcBorders>
              <w:top w:val="nil"/>
              <w:left w:val="nil"/>
              <w:bottom w:val="single" w:sz="4" w:space="0" w:color="auto"/>
              <w:right w:val="single" w:sz="4" w:space="0" w:color="auto"/>
            </w:tcBorders>
            <w:noWrap/>
            <w:vAlign w:val="center"/>
            <w:hideMark/>
          </w:tcPr>
          <w:p w14:paraId="222EA125" w14:textId="77777777" w:rsidR="007A6928" w:rsidRPr="006578EC" w:rsidRDefault="0032495C" w:rsidP="00DC18CE">
            <w:pPr>
              <w:spacing w:after="0"/>
              <w:jc w:val="right"/>
              <w:rPr>
                <w:rFonts w:eastAsia="Times New Roman"/>
                <w:color w:val="000000"/>
              </w:rPr>
            </w:pPr>
            <w:r w:rsidRPr="006578EC">
              <w:rPr>
                <w:rFonts w:eastAsia="Times New Roman"/>
                <w:color w:val="000000"/>
              </w:rPr>
              <w:t> </w:t>
            </w:r>
          </w:p>
        </w:tc>
        <w:tc>
          <w:tcPr>
            <w:tcW w:w="964" w:type="pct"/>
            <w:tcBorders>
              <w:top w:val="nil"/>
              <w:left w:val="nil"/>
              <w:bottom w:val="single" w:sz="4" w:space="0" w:color="auto"/>
              <w:right w:val="single" w:sz="4" w:space="0" w:color="auto"/>
            </w:tcBorders>
            <w:noWrap/>
            <w:vAlign w:val="center"/>
            <w:hideMark/>
          </w:tcPr>
          <w:p w14:paraId="71E8C9B4" w14:textId="77777777" w:rsidR="007A6928" w:rsidRPr="006578EC" w:rsidRDefault="0032495C" w:rsidP="00DC18CE">
            <w:pPr>
              <w:spacing w:after="0"/>
              <w:rPr>
                <w:rFonts w:eastAsia="Times New Roman"/>
                <w:color w:val="000000"/>
              </w:rPr>
            </w:pPr>
            <w:r w:rsidRPr="006578EC">
              <w:rPr>
                <w:rFonts w:eastAsia="Times New Roman"/>
                <w:color w:val="000000"/>
              </w:rPr>
              <w:t>R-290, R</w:t>
            </w:r>
            <w:r w:rsidRPr="006578EC">
              <w:rPr>
                <w:rFonts w:eastAsia="Times New Roman"/>
                <w:color w:val="000000"/>
              </w:rPr>
              <w:noBreakHyphen/>
              <w:t>600a, CO</w:t>
            </w:r>
            <w:r w:rsidRPr="006578EC">
              <w:rPr>
                <w:rFonts w:eastAsia="Times New Roman"/>
                <w:color w:val="000000"/>
                <w:vertAlign w:val="subscript"/>
              </w:rPr>
              <w:t>2</w:t>
            </w:r>
            <w:r w:rsidRPr="006578EC">
              <w:rPr>
                <w:rFonts w:eastAsia="Times New Roman"/>
                <w:color w:val="000000"/>
              </w:rPr>
              <w:t>, HFOs pure/ blends</w:t>
            </w:r>
          </w:p>
        </w:tc>
        <w:tc>
          <w:tcPr>
            <w:tcW w:w="418" w:type="pct"/>
            <w:tcBorders>
              <w:top w:val="nil"/>
              <w:left w:val="nil"/>
              <w:bottom w:val="single" w:sz="4" w:space="0" w:color="auto"/>
              <w:right w:val="single" w:sz="4" w:space="0" w:color="auto"/>
            </w:tcBorders>
            <w:noWrap/>
            <w:vAlign w:val="center"/>
            <w:hideMark/>
          </w:tcPr>
          <w:p w14:paraId="0A8EE040" w14:textId="5040AC7F" w:rsidR="007A6928" w:rsidRPr="00D73A58" w:rsidRDefault="0032495C" w:rsidP="00DC18CE">
            <w:pPr>
              <w:spacing w:after="0"/>
              <w:jc w:val="right"/>
              <w:rPr>
                <w:rFonts w:eastAsia="Times New Roman"/>
                <w:color w:val="000000"/>
              </w:rPr>
            </w:pPr>
            <w:r w:rsidRPr="00D73A58">
              <w:rPr>
                <w:rFonts w:eastAsia="Times New Roman"/>
                <w:color w:val="000000"/>
              </w:rPr>
              <w:t>2</w:t>
            </w:r>
            <w:r w:rsidR="00F25F26" w:rsidRPr="00D73A58">
              <w:rPr>
                <w:rFonts w:eastAsia="Times New Roman"/>
                <w:color w:val="000000"/>
              </w:rPr>
              <w:t>,</w:t>
            </w:r>
            <w:r w:rsidRPr="00D73A58">
              <w:rPr>
                <w:rFonts w:eastAsia="Times New Roman"/>
                <w:color w:val="000000"/>
              </w:rPr>
              <w:t>695</w:t>
            </w:r>
            <w:r w:rsidR="00F25F26" w:rsidRPr="00D73A58">
              <w:rPr>
                <w:rFonts w:eastAsia="Times New Roman"/>
                <w:color w:val="000000"/>
              </w:rPr>
              <w:t>,</w:t>
            </w:r>
            <w:r w:rsidRPr="00D73A58">
              <w:rPr>
                <w:rFonts w:eastAsia="Times New Roman"/>
                <w:color w:val="000000"/>
              </w:rPr>
              <w:t>332</w:t>
            </w:r>
          </w:p>
        </w:tc>
        <w:tc>
          <w:tcPr>
            <w:tcW w:w="417" w:type="pct"/>
            <w:tcBorders>
              <w:top w:val="nil"/>
              <w:left w:val="nil"/>
              <w:bottom w:val="single" w:sz="4" w:space="0" w:color="auto"/>
              <w:right w:val="single" w:sz="4" w:space="0" w:color="auto"/>
            </w:tcBorders>
            <w:noWrap/>
            <w:vAlign w:val="center"/>
            <w:hideMark/>
          </w:tcPr>
          <w:p w14:paraId="263DB36B" w14:textId="4685B647" w:rsidR="007A6928" w:rsidRPr="00D73A58" w:rsidRDefault="0032495C" w:rsidP="00DC18CE">
            <w:pPr>
              <w:spacing w:after="0"/>
              <w:jc w:val="right"/>
              <w:rPr>
                <w:rFonts w:eastAsia="Times New Roman"/>
                <w:color w:val="000000"/>
              </w:rPr>
            </w:pPr>
            <w:r w:rsidRPr="00D73A58">
              <w:rPr>
                <w:rFonts w:eastAsia="Times New Roman"/>
                <w:color w:val="000000"/>
              </w:rPr>
              <w:t>2</w:t>
            </w:r>
            <w:r w:rsidR="00F25F26" w:rsidRPr="00D73A58">
              <w:rPr>
                <w:rFonts w:eastAsia="Times New Roman"/>
                <w:color w:val="000000"/>
              </w:rPr>
              <w:t>,</w:t>
            </w:r>
            <w:r w:rsidRPr="00D73A58">
              <w:rPr>
                <w:rFonts w:eastAsia="Times New Roman"/>
                <w:color w:val="000000"/>
              </w:rPr>
              <w:t>472</w:t>
            </w:r>
            <w:r w:rsidR="00F25F26" w:rsidRPr="00D73A58">
              <w:rPr>
                <w:rFonts w:eastAsia="Times New Roman"/>
                <w:color w:val="000000"/>
              </w:rPr>
              <w:t>,</w:t>
            </w:r>
            <w:r w:rsidRPr="00D73A58">
              <w:rPr>
                <w:rFonts w:eastAsia="Times New Roman"/>
                <w:color w:val="000000"/>
              </w:rPr>
              <w:t>500</w:t>
            </w:r>
          </w:p>
        </w:tc>
        <w:tc>
          <w:tcPr>
            <w:tcW w:w="418" w:type="pct"/>
            <w:tcBorders>
              <w:top w:val="nil"/>
              <w:left w:val="nil"/>
              <w:bottom w:val="single" w:sz="4" w:space="0" w:color="auto"/>
              <w:right w:val="single" w:sz="4" w:space="0" w:color="auto"/>
            </w:tcBorders>
            <w:noWrap/>
            <w:vAlign w:val="center"/>
            <w:hideMark/>
          </w:tcPr>
          <w:p w14:paraId="2818E43E" w14:textId="12AE9A36" w:rsidR="007A6928" w:rsidRPr="00D73A58" w:rsidRDefault="0032495C" w:rsidP="00DC18CE">
            <w:pPr>
              <w:spacing w:after="0"/>
              <w:jc w:val="right"/>
              <w:rPr>
                <w:rFonts w:eastAsia="Times New Roman"/>
                <w:color w:val="000000"/>
              </w:rPr>
            </w:pPr>
            <w:r w:rsidRPr="00D73A58">
              <w:rPr>
                <w:rFonts w:eastAsia="Times New Roman"/>
                <w:color w:val="000000"/>
              </w:rPr>
              <w:t>222</w:t>
            </w:r>
            <w:r w:rsidR="00F25F26" w:rsidRPr="00D73A58">
              <w:rPr>
                <w:rFonts w:eastAsia="Times New Roman"/>
                <w:color w:val="000000"/>
              </w:rPr>
              <w:t>,</w:t>
            </w:r>
            <w:r w:rsidRPr="00D73A58">
              <w:rPr>
                <w:rFonts w:eastAsia="Times New Roman"/>
                <w:color w:val="000000"/>
              </w:rPr>
              <w:t>832</w:t>
            </w:r>
          </w:p>
        </w:tc>
        <w:tc>
          <w:tcPr>
            <w:tcW w:w="311" w:type="pct"/>
            <w:tcBorders>
              <w:top w:val="nil"/>
              <w:left w:val="nil"/>
              <w:bottom w:val="single" w:sz="4" w:space="0" w:color="auto"/>
              <w:right w:val="single" w:sz="4" w:space="0" w:color="auto"/>
            </w:tcBorders>
            <w:noWrap/>
            <w:vAlign w:val="center"/>
            <w:hideMark/>
          </w:tcPr>
          <w:p w14:paraId="5DF8E63A"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9.42 </w:t>
            </w:r>
          </w:p>
        </w:tc>
      </w:tr>
      <w:tr w:rsidR="00F90461" w14:paraId="67C3832E" w14:textId="77777777" w:rsidTr="00FE5C31">
        <w:trPr>
          <w:trHeight w:val="600"/>
        </w:trPr>
        <w:tc>
          <w:tcPr>
            <w:tcW w:w="641" w:type="pct"/>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D7F1D5A" w14:textId="77777777" w:rsidR="007A6928" w:rsidRPr="006578EC" w:rsidRDefault="0032495C" w:rsidP="00F1317F">
            <w:pPr>
              <w:spacing w:after="0"/>
              <w:rPr>
                <w:rFonts w:eastAsia="Times New Roman"/>
                <w:color w:val="000000"/>
              </w:rPr>
            </w:pPr>
            <w:r w:rsidRPr="006578EC">
              <w:rPr>
                <w:rFonts w:eastAsia="Times New Roman"/>
                <w:color w:val="000000"/>
              </w:rPr>
              <w:t xml:space="preserve">Viet Nam </w:t>
            </w:r>
          </w:p>
        </w:tc>
        <w:tc>
          <w:tcPr>
            <w:tcW w:w="335" w:type="pct"/>
            <w:tcBorders>
              <w:top w:val="nil"/>
              <w:left w:val="nil"/>
              <w:bottom w:val="single" w:sz="4" w:space="0" w:color="auto"/>
              <w:right w:val="single" w:sz="4" w:space="0" w:color="auto"/>
            </w:tcBorders>
            <w:hideMark/>
          </w:tcPr>
          <w:p w14:paraId="2095EC59" w14:textId="77777777" w:rsidR="007A6928" w:rsidRPr="006578EC" w:rsidRDefault="0032495C" w:rsidP="00094256">
            <w:pPr>
              <w:spacing w:after="0"/>
              <w:rPr>
                <w:rFonts w:eastAsia="Times New Roman"/>
                <w:color w:val="000000"/>
              </w:rPr>
            </w:pPr>
            <w:r w:rsidRPr="006578EC">
              <w:rPr>
                <w:rFonts w:eastAsia="Times New Roman"/>
                <w:color w:val="000000"/>
              </w:rPr>
              <w:t>Comm. Ref.</w:t>
            </w:r>
          </w:p>
        </w:tc>
        <w:tc>
          <w:tcPr>
            <w:tcW w:w="318" w:type="pct"/>
            <w:tcBorders>
              <w:top w:val="nil"/>
              <w:left w:val="nil"/>
              <w:bottom w:val="single" w:sz="4" w:space="0" w:color="auto"/>
              <w:right w:val="single" w:sz="4" w:space="0" w:color="auto"/>
            </w:tcBorders>
            <w:noWrap/>
            <w:vAlign w:val="center"/>
            <w:hideMark/>
          </w:tcPr>
          <w:p w14:paraId="3298E654" w14:textId="77777777" w:rsidR="007A6928" w:rsidRPr="006578EC" w:rsidRDefault="0032495C" w:rsidP="00DC18CE">
            <w:pPr>
              <w:spacing w:after="0"/>
              <w:jc w:val="right"/>
              <w:rPr>
                <w:rFonts w:eastAsia="Times New Roman"/>
                <w:color w:val="000000"/>
              </w:rPr>
            </w:pPr>
            <w:r w:rsidRPr="006578EC">
              <w:rPr>
                <w:rFonts w:eastAsia="Times New Roman"/>
                <w:color w:val="000000"/>
              </w:rPr>
              <w:t>16.67</w:t>
            </w:r>
          </w:p>
        </w:tc>
        <w:tc>
          <w:tcPr>
            <w:tcW w:w="379" w:type="pct"/>
            <w:tcBorders>
              <w:top w:val="nil"/>
              <w:left w:val="nil"/>
              <w:bottom w:val="single" w:sz="4" w:space="0" w:color="auto"/>
              <w:right w:val="single" w:sz="4" w:space="0" w:color="auto"/>
            </w:tcBorders>
            <w:vAlign w:val="center"/>
            <w:hideMark/>
          </w:tcPr>
          <w:p w14:paraId="2EC8EFBF" w14:textId="77777777" w:rsidR="007A6928" w:rsidRPr="006578EC" w:rsidRDefault="0032495C" w:rsidP="00DC18CE">
            <w:pPr>
              <w:spacing w:after="0"/>
              <w:jc w:val="right"/>
              <w:rPr>
                <w:rFonts w:eastAsia="Times New Roman"/>
                <w:color w:val="000000"/>
              </w:rPr>
            </w:pPr>
            <w:r w:rsidRPr="006578EC">
              <w:rPr>
                <w:rFonts w:eastAsia="Times New Roman"/>
                <w:color w:val="000000"/>
              </w:rPr>
              <w:t>0</w:t>
            </w:r>
          </w:p>
        </w:tc>
        <w:tc>
          <w:tcPr>
            <w:tcW w:w="409" w:type="pct"/>
            <w:tcBorders>
              <w:top w:val="nil"/>
              <w:left w:val="nil"/>
              <w:bottom w:val="single" w:sz="4" w:space="0" w:color="auto"/>
              <w:right w:val="single" w:sz="4" w:space="0" w:color="auto"/>
            </w:tcBorders>
            <w:noWrap/>
            <w:vAlign w:val="center"/>
            <w:hideMark/>
          </w:tcPr>
          <w:p w14:paraId="6DA233F2" w14:textId="4FFA93FB" w:rsidR="007A6928" w:rsidRPr="006578EC" w:rsidRDefault="0032495C" w:rsidP="00DC18CE">
            <w:pPr>
              <w:spacing w:after="0"/>
              <w:jc w:val="right"/>
              <w:rPr>
                <w:rFonts w:eastAsia="Times New Roman"/>
                <w:color w:val="000000"/>
              </w:rPr>
            </w:pPr>
            <w:r w:rsidRPr="006578EC">
              <w:rPr>
                <w:rFonts w:eastAsia="Times New Roman"/>
                <w:color w:val="000000"/>
              </w:rPr>
              <w:t xml:space="preserve">   303</w:t>
            </w:r>
            <w:r w:rsidR="00B102AE">
              <w:rPr>
                <w:rFonts w:eastAsia="Times New Roman"/>
                <w:color w:val="000000"/>
              </w:rPr>
              <w:t>,</w:t>
            </w:r>
            <w:r w:rsidRPr="006578EC">
              <w:rPr>
                <w:rFonts w:eastAsia="Times New Roman"/>
                <w:color w:val="000000"/>
              </w:rPr>
              <w:t>091</w:t>
            </w:r>
          </w:p>
          <w:p w14:paraId="02AFC8A6"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c>
          <w:tcPr>
            <w:tcW w:w="390" w:type="pct"/>
            <w:tcBorders>
              <w:top w:val="nil"/>
              <w:left w:val="nil"/>
              <w:bottom w:val="single" w:sz="4" w:space="0" w:color="auto"/>
              <w:right w:val="single" w:sz="4" w:space="0" w:color="auto"/>
            </w:tcBorders>
            <w:noWrap/>
            <w:vAlign w:val="center"/>
            <w:hideMark/>
          </w:tcPr>
          <w:p w14:paraId="2CB133FD" w14:textId="77777777" w:rsidR="007A6928" w:rsidRPr="006578EC" w:rsidRDefault="0032495C" w:rsidP="00DC18CE">
            <w:pPr>
              <w:spacing w:after="0"/>
              <w:jc w:val="right"/>
              <w:rPr>
                <w:rFonts w:eastAsia="Times New Roman"/>
                <w:color w:val="000000"/>
              </w:rPr>
            </w:pPr>
            <w:r w:rsidRPr="006578EC">
              <w:rPr>
                <w:rFonts w:eastAsia="Times New Roman"/>
                <w:color w:val="000000"/>
              </w:rPr>
              <w:t> </w:t>
            </w:r>
          </w:p>
        </w:tc>
        <w:tc>
          <w:tcPr>
            <w:tcW w:w="964" w:type="pct"/>
            <w:tcBorders>
              <w:top w:val="nil"/>
              <w:left w:val="nil"/>
              <w:bottom w:val="single" w:sz="4" w:space="0" w:color="auto"/>
              <w:right w:val="single" w:sz="4" w:space="0" w:color="auto"/>
            </w:tcBorders>
            <w:noWrap/>
            <w:vAlign w:val="center"/>
            <w:hideMark/>
          </w:tcPr>
          <w:p w14:paraId="252446C8" w14:textId="77777777" w:rsidR="007A6928" w:rsidRPr="006578EC" w:rsidRDefault="0032495C" w:rsidP="00DC18CE">
            <w:pPr>
              <w:spacing w:after="0"/>
              <w:rPr>
                <w:rFonts w:eastAsia="Times New Roman"/>
                <w:color w:val="000000"/>
              </w:rPr>
            </w:pPr>
            <w:r w:rsidRPr="006578EC">
              <w:rPr>
                <w:rFonts w:eastAsia="Times New Roman"/>
                <w:color w:val="000000"/>
              </w:rPr>
              <w:t>low-GWP</w:t>
            </w:r>
          </w:p>
        </w:tc>
        <w:tc>
          <w:tcPr>
            <w:tcW w:w="418" w:type="pct"/>
            <w:tcBorders>
              <w:top w:val="nil"/>
              <w:left w:val="nil"/>
              <w:bottom w:val="single" w:sz="4" w:space="0" w:color="auto"/>
              <w:right w:val="single" w:sz="4" w:space="0" w:color="auto"/>
            </w:tcBorders>
            <w:noWrap/>
            <w:vAlign w:val="center"/>
            <w:hideMark/>
          </w:tcPr>
          <w:p w14:paraId="7BBC3747" w14:textId="02777D27" w:rsidR="007A6928" w:rsidRPr="00D73A58" w:rsidRDefault="0032495C" w:rsidP="00DC18CE">
            <w:pPr>
              <w:spacing w:after="0"/>
              <w:jc w:val="right"/>
              <w:rPr>
                <w:rFonts w:eastAsia="Times New Roman"/>
                <w:color w:val="000000"/>
              </w:rPr>
            </w:pPr>
            <w:r w:rsidRPr="00D73A58">
              <w:rPr>
                <w:rFonts w:eastAsia="Times New Roman"/>
                <w:color w:val="000000"/>
              </w:rPr>
              <w:t>3</w:t>
            </w:r>
            <w:r w:rsidR="00F25F26" w:rsidRPr="00D73A58">
              <w:rPr>
                <w:rFonts w:eastAsia="Times New Roman"/>
                <w:color w:val="000000"/>
              </w:rPr>
              <w:t>,</w:t>
            </w:r>
            <w:r w:rsidRPr="00D73A58">
              <w:rPr>
                <w:rFonts w:eastAsia="Times New Roman"/>
                <w:color w:val="000000"/>
              </w:rPr>
              <w:t>636</w:t>
            </w:r>
            <w:r w:rsidR="00F25F26" w:rsidRPr="00D73A58">
              <w:rPr>
                <w:rFonts w:eastAsia="Times New Roman"/>
                <w:color w:val="000000"/>
              </w:rPr>
              <w:t>,</w:t>
            </w:r>
            <w:r w:rsidRPr="00D73A58">
              <w:rPr>
                <w:rFonts w:eastAsia="Times New Roman"/>
                <w:color w:val="000000"/>
              </w:rPr>
              <w:t>000</w:t>
            </w:r>
          </w:p>
        </w:tc>
        <w:tc>
          <w:tcPr>
            <w:tcW w:w="417" w:type="pct"/>
            <w:tcBorders>
              <w:top w:val="nil"/>
              <w:left w:val="nil"/>
              <w:bottom w:val="single" w:sz="4" w:space="0" w:color="auto"/>
              <w:right w:val="single" w:sz="4" w:space="0" w:color="auto"/>
            </w:tcBorders>
            <w:noWrap/>
            <w:vAlign w:val="center"/>
            <w:hideMark/>
          </w:tcPr>
          <w:p w14:paraId="7EA189B6" w14:textId="18CF8FF3" w:rsidR="007A6928" w:rsidRPr="00D73A58" w:rsidRDefault="0032495C" w:rsidP="00DC18CE">
            <w:pPr>
              <w:spacing w:after="0"/>
              <w:jc w:val="right"/>
              <w:rPr>
                <w:rFonts w:eastAsia="Times New Roman"/>
                <w:color w:val="000000"/>
              </w:rPr>
            </w:pPr>
            <w:r w:rsidRPr="00D73A58">
              <w:rPr>
                <w:rFonts w:eastAsia="Times New Roman"/>
                <w:color w:val="000000"/>
              </w:rPr>
              <w:t>2</w:t>
            </w:r>
            <w:r w:rsidR="00F25F26" w:rsidRPr="00D73A58">
              <w:rPr>
                <w:rFonts w:eastAsia="Times New Roman"/>
                <w:color w:val="000000"/>
              </w:rPr>
              <w:t>,</w:t>
            </w:r>
            <w:r w:rsidRPr="00D73A58">
              <w:rPr>
                <w:rFonts w:eastAsia="Times New Roman"/>
                <w:color w:val="000000"/>
              </w:rPr>
              <w:t>484</w:t>
            </w:r>
            <w:r w:rsidR="00F25F26" w:rsidRPr="00D73A58">
              <w:rPr>
                <w:rFonts w:eastAsia="Times New Roman"/>
                <w:color w:val="000000"/>
              </w:rPr>
              <w:t>,</w:t>
            </w:r>
            <w:r w:rsidRPr="00D73A58">
              <w:rPr>
                <w:rFonts w:eastAsia="Times New Roman"/>
                <w:color w:val="000000"/>
              </w:rPr>
              <w:t>600</w:t>
            </w:r>
          </w:p>
        </w:tc>
        <w:tc>
          <w:tcPr>
            <w:tcW w:w="418" w:type="pct"/>
            <w:tcBorders>
              <w:top w:val="nil"/>
              <w:left w:val="nil"/>
              <w:bottom w:val="single" w:sz="4" w:space="0" w:color="auto"/>
              <w:right w:val="single" w:sz="4" w:space="0" w:color="auto"/>
            </w:tcBorders>
            <w:noWrap/>
            <w:vAlign w:val="center"/>
            <w:hideMark/>
          </w:tcPr>
          <w:p w14:paraId="162D131D" w14:textId="3166106E" w:rsidR="007A6928" w:rsidRPr="00D73A58" w:rsidRDefault="0032495C" w:rsidP="00DC18CE">
            <w:pPr>
              <w:spacing w:after="0"/>
              <w:jc w:val="right"/>
              <w:rPr>
                <w:rFonts w:eastAsia="Times New Roman"/>
                <w:color w:val="000000"/>
              </w:rPr>
            </w:pPr>
            <w:r w:rsidRPr="00D73A58">
              <w:rPr>
                <w:rFonts w:eastAsia="Times New Roman"/>
                <w:color w:val="000000"/>
              </w:rPr>
              <w:t>1</w:t>
            </w:r>
            <w:r w:rsidR="00F25F26" w:rsidRPr="00D73A58">
              <w:rPr>
                <w:rFonts w:eastAsia="Times New Roman"/>
                <w:color w:val="000000"/>
              </w:rPr>
              <w:t>,</w:t>
            </w:r>
            <w:r w:rsidRPr="00D73A58">
              <w:rPr>
                <w:rFonts w:eastAsia="Times New Roman"/>
                <w:color w:val="000000"/>
              </w:rPr>
              <w:t>151</w:t>
            </w:r>
            <w:r w:rsidR="00F25F26" w:rsidRPr="00D73A58">
              <w:rPr>
                <w:rFonts w:eastAsia="Times New Roman"/>
                <w:color w:val="000000"/>
              </w:rPr>
              <w:t>,</w:t>
            </w:r>
            <w:r w:rsidRPr="00D73A58">
              <w:rPr>
                <w:rFonts w:eastAsia="Times New Roman"/>
                <w:color w:val="000000"/>
              </w:rPr>
              <w:t>400</w:t>
            </w:r>
          </w:p>
        </w:tc>
        <w:tc>
          <w:tcPr>
            <w:tcW w:w="311" w:type="pct"/>
            <w:tcBorders>
              <w:top w:val="nil"/>
              <w:left w:val="nil"/>
              <w:bottom w:val="single" w:sz="4" w:space="0" w:color="auto"/>
              <w:right w:val="single" w:sz="4" w:space="0" w:color="auto"/>
            </w:tcBorders>
            <w:noWrap/>
            <w:vAlign w:val="center"/>
            <w:hideMark/>
          </w:tcPr>
          <w:p w14:paraId="5A430D16"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12.00</w:t>
            </w:r>
          </w:p>
          <w:p w14:paraId="5959DEC1" w14:textId="77777777" w:rsidR="007A6928" w:rsidRPr="006578EC" w:rsidRDefault="0032495C" w:rsidP="00DC18CE">
            <w:pPr>
              <w:spacing w:after="0"/>
              <w:jc w:val="right"/>
              <w:rPr>
                <w:rFonts w:eastAsia="Times New Roman"/>
                <w:color w:val="000000"/>
              </w:rPr>
            </w:pPr>
            <w:r w:rsidRPr="006578EC">
              <w:rPr>
                <w:rFonts w:eastAsia="Times New Roman"/>
                <w:color w:val="000000"/>
              </w:rPr>
              <w:t xml:space="preserve"> </w:t>
            </w:r>
          </w:p>
        </w:tc>
      </w:tr>
    </w:tbl>
    <w:p w14:paraId="528C5938" w14:textId="77777777" w:rsidR="007A6928" w:rsidRPr="00A81971" w:rsidRDefault="0032495C" w:rsidP="007A6928">
      <w:pPr>
        <w:spacing w:after="0"/>
        <w:rPr>
          <w:rFonts w:eastAsia="Times New Roman"/>
          <w:color w:val="000000"/>
          <w:sz w:val="20"/>
          <w:szCs w:val="20"/>
        </w:rPr>
      </w:pPr>
      <w:r w:rsidRPr="00A81971">
        <w:rPr>
          <w:rFonts w:eastAsia="Times New Roman"/>
          <w:color w:val="000000"/>
          <w:sz w:val="18"/>
          <w:szCs w:val="18"/>
        </w:rPr>
        <w:t>*Information Extracted from ExCom 89/10 rev1- Table 4.</w:t>
      </w:r>
    </w:p>
    <w:p w14:paraId="6D47AD8E" w14:textId="77777777" w:rsidR="007A6928" w:rsidRPr="00A81971" w:rsidRDefault="007A6928" w:rsidP="007A6928">
      <w:pPr>
        <w:spacing w:after="0"/>
        <w:rPr>
          <w:rFonts w:eastAsia="Times New Roman"/>
          <w:bCs/>
          <w:sz w:val="24"/>
          <w:szCs w:val="24"/>
        </w:rPr>
      </w:pPr>
    </w:p>
    <w:p w14:paraId="71DA1638" w14:textId="77777777" w:rsidR="00B2247A" w:rsidRDefault="0032495C">
      <w:pPr>
        <w:spacing w:after="0"/>
        <w:rPr>
          <w:rFonts w:eastAsia="Times New Roman"/>
          <w:bCs/>
        </w:rPr>
      </w:pPr>
      <w:r>
        <w:rPr>
          <w:rFonts w:eastAsia="Times New Roman"/>
          <w:bCs/>
        </w:rPr>
        <w:br w:type="page"/>
      </w:r>
    </w:p>
    <w:p w14:paraId="56936970" w14:textId="77777777" w:rsidR="00B2247A" w:rsidRDefault="00B2247A" w:rsidP="007A6928">
      <w:pPr>
        <w:spacing w:after="0"/>
        <w:rPr>
          <w:rFonts w:eastAsia="Times New Roman"/>
          <w:bCs/>
        </w:rPr>
        <w:sectPr w:rsidR="00B2247A" w:rsidSect="00602C5A">
          <w:pgSz w:w="16838" w:h="11906" w:orient="landscape" w:code="9"/>
          <w:pgMar w:top="1411" w:right="1411" w:bottom="1411" w:left="1411" w:header="706" w:footer="706" w:gutter="0"/>
          <w:cols w:space="708"/>
          <w:docGrid w:linePitch="360"/>
        </w:sectPr>
      </w:pPr>
    </w:p>
    <w:p w14:paraId="7040DAB5" w14:textId="77777777" w:rsidR="007A6928" w:rsidRPr="00A81971" w:rsidRDefault="0032495C" w:rsidP="007A6928">
      <w:pPr>
        <w:spacing w:after="0"/>
        <w:rPr>
          <w:rFonts w:eastAsia="Times New Roman"/>
          <w:bCs/>
          <w:u w:val="single"/>
        </w:rPr>
      </w:pPr>
      <w:r w:rsidRPr="00A81971">
        <w:rPr>
          <w:rFonts w:eastAsia="Times New Roman"/>
          <w:bCs/>
        </w:rPr>
        <w:lastRenderedPageBreak/>
        <w:t>The following information in Table 3.</w:t>
      </w:r>
      <w:r w:rsidR="00530404">
        <w:rPr>
          <w:rFonts w:eastAsia="Times New Roman"/>
          <w:bCs/>
        </w:rPr>
        <w:t>3</w:t>
      </w:r>
      <w:r w:rsidRPr="00A81971">
        <w:rPr>
          <w:rFonts w:eastAsia="Times New Roman"/>
          <w:bCs/>
        </w:rPr>
        <w:t xml:space="preserve"> was used to derive CEs for China to be applied as CE Historical under </w:t>
      </w:r>
      <w:r w:rsidRPr="00A81971">
        <w:rPr>
          <w:rFonts w:eastAsia="Times New Roman"/>
          <w:bCs/>
          <w:u w:val="single"/>
        </w:rPr>
        <w:t>New Scenario 1a.</w:t>
      </w:r>
    </w:p>
    <w:p w14:paraId="0313369D" w14:textId="77777777" w:rsidR="00293DB8" w:rsidRPr="00A81971" w:rsidRDefault="00293DB8" w:rsidP="007A6928">
      <w:pPr>
        <w:spacing w:after="0"/>
        <w:rPr>
          <w:rFonts w:eastAsia="Times New Roman"/>
          <w:color w:val="000000"/>
        </w:rPr>
      </w:pPr>
    </w:p>
    <w:p w14:paraId="1322C508" w14:textId="77777777" w:rsidR="007A6928" w:rsidRPr="00A81971" w:rsidRDefault="0032495C" w:rsidP="00BF685A">
      <w:pPr>
        <w:tabs>
          <w:tab w:val="left" w:pos="0"/>
          <w:tab w:val="left" w:pos="1276"/>
        </w:tabs>
        <w:spacing w:after="120"/>
        <w:ind w:left="1282" w:hanging="1282"/>
        <w:rPr>
          <w:rFonts w:eastAsia="Times New Roman"/>
          <w:sz w:val="24"/>
          <w:szCs w:val="24"/>
          <w:lang w:eastAsia="nl-NL"/>
        </w:rPr>
      </w:pPr>
      <w:r w:rsidRPr="0006445E">
        <w:rPr>
          <w:rFonts w:eastAsia="Yu Mincho"/>
          <w:b/>
          <w:bCs/>
          <w:color w:val="000000"/>
          <w:lang w:val="en-CA"/>
        </w:rPr>
        <w:t xml:space="preserve">Table </w:t>
      </w:r>
      <w:r>
        <w:rPr>
          <w:rFonts w:eastAsia="Yu Mincho"/>
          <w:b/>
          <w:bCs/>
          <w:color w:val="000000"/>
          <w:lang w:val="en-CA"/>
        </w:rPr>
        <w:t>3.</w:t>
      </w:r>
      <w:r w:rsidR="00530404">
        <w:rPr>
          <w:rFonts w:eastAsia="Yu Mincho"/>
          <w:b/>
          <w:bCs/>
          <w:color w:val="000000"/>
          <w:lang w:val="en-CA"/>
        </w:rPr>
        <w:t>3</w:t>
      </w:r>
      <w:r>
        <w:rPr>
          <w:rFonts w:eastAsia="Yu Mincho"/>
          <w:b/>
          <w:bCs/>
          <w:color w:val="000000"/>
          <w:lang w:val="en-CA"/>
        </w:rPr>
        <w:t>:</w:t>
      </w:r>
      <w:r w:rsidRPr="0006445E">
        <w:rPr>
          <w:rFonts w:eastAsia="Times New Roman"/>
          <w:color w:val="000000"/>
          <w:lang w:val="en-CA"/>
        </w:rPr>
        <w:tab/>
      </w:r>
      <w:r w:rsidRPr="2E7655E2">
        <w:rPr>
          <w:rFonts w:eastAsia="Calibri"/>
          <w:b/>
          <w:bCs/>
          <w:color w:val="000000"/>
          <w:lang w:eastAsia="nl-NL"/>
        </w:rPr>
        <w:t>Average HPMP I and II Sector-based CEs used for China</w:t>
      </w:r>
      <w:r>
        <w:rPr>
          <w:rFonts w:eastAsia="Calibri"/>
          <w:b/>
          <w:bCs/>
          <w:color w:val="000000"/>
          <w:vertAlign w:val="superscript"/>
          <w:lang w:eastAsia="nl-NL"/>
        </w:rPr>
        <w:footnoteReference w:id="20"/>
      </w:r>
      <w:r w:rsidRPr="2E7655E2">
        <w:rPr>
          <w:rFonts w:eastAsia="Calibri"/>
          <w:b/>
          <w:bCs/>
          <w:color w:val="000000"/>
          <w:lang w:eastAsia="nl-NL"/>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701"/>
        <w:gridCol w:w="1842"/>
        <w:gridCol w:w="1843"/>
        <w:gridCol w:w="1843"/>
      </w:tblGrid>
      <w:tr w:rsidR="00F90461" w14:paraId="2C02BB2A" w14:textId="77777777" w:rsidTr="00C10272">
        <w:trPr>
          <w:trHeight w:val="320"/>
        </w:trPr>
        <w:tc>
          <w:tcPr>
            <w:tcW w:w="2122" w:type="dxa"/>
            <w:shd w:val="clear" w:color="auto" w:fill="D9E2F3" w:themeFill="accent1" w:themeFillTint="33"/>
            <w:noWrap/>
            <w:vAlign w:val="bottom"/>
            <w:hideMark/>
          </w:tcPr>
          <w:p w14:paraId="37ED8CE4" w14:textId="77777777" w:rsidR="007A6928" w:rsidRPr="00A81971" w:rsidRDefault="0032495C" w:rsidP="007A6928">
            <w:pPr>
              <w:spacing w:after="0"/>
              <w:rPr>
                <w:rFonts w:eastAsia="Times New Roman"/>
                <w:b/>
                <w:bCs/>
              </w:rPr>
            </w:pPr>
            <w:r w:rsidRPr="00A81971">
              <w:rPr>
                <w:rFonts w:eastAsia="Times New Roman"/>
                <w:b/>
                <w:bCs/>
              </w:rPr>
              <w:t>CHINA</w:t>
            </w:r>
          </w:p>
        </w:tc>
        <w:tc>
          <w:tcPr>
            <w:tcW w:w="1701" w:type="dxa"/>
            <w:shd w:val="clear" w:color="auto" w:fill="D9E2F3" w:themeFill="accent1" w:themeFillTint="33"/>
            <w:noWrap/>
            <w:vAlign w:val="bottom"/>
            <w:hideMark/>
          </w:tcPr>
          <w:p w14:paraId="2F42CE29" w14:textId="77777777" w:rsidR="007A6928" w:rsidRPr="00A81971" w:rsidRDefault="007A6928" w:rsidP="007A6928">
            <w:pPr>
              <w:spacing w:after="0"/>
              <w:rPr>
                <w:rFonts w:eastAsia="Times New Roman"/>
              </w:rPr>
            </w:pPr>
          </w:p>
        </w:tc>
        <w:tc>
          <w:tcPr>
            <w:tcW w:w="1842" w:type="dxa"/>
            <w:shd w:val="clear" w:color="auto" w:fill="D9E2F3" w:themeFill="accent1" w:themeFillTint="33"/>
            <w:noWrap/>
            <w:vAlign w:val="bottom"/>
            <w:hideMark/>
          </w:tcPr>
          <w:p w14:paraId="30EBD1BD" w14:textId="77777777" w:rsidR="007A6928" w:rsidRPr="00A81971" w:rsidRDefault="0032495C" w:rsidP="007A6928">
            <w:pPr>
              <w:spacing w:after="0"/>
              <w:rPr>
                <w:rFonts w:eastAsia="Times New Roman"/>
                <w:b/>
                <w:bCs/>
                <w:color w:val="000000"/>
              </w:rPr>
            </w:pPr>
            <w:r w:rsidRPr="00A81971">
              <w:rPr>
                <w:rFonts w:eastAsia="Times New Roman"/>
                <w:b/>
                <w:bCs/>
                <w:color w:val="000000"/>
              </w:rPr>
              <w:t>HPMP I</w:t>
            </w:r>
          </w:p>
        </w:tc>
        <w:tc>
          <w:tcPr>
            <w:tcW w:w="1843" w:type="dxa"/>
            <w:shd w:val="clear" w:color="auto" w:fill="D9E2F3" w:themeFill="accent1" w:themeFillTint="33"/>
            <w:noWrap/>
            <w:vAlign w:val="bottom"/>
            <w:hideMark/>
          </w:tcPr>
          <w:p w14:paraId="61DA0724" w14:textId="77777777" w:rsidR="007A6928" w:rsidRPr="00A81971" w:rsidRDefault="0032495C" w:rsidP="007A6928">
            <w:pPr>
              <w:spacing w:after="0"/>
              <w:rPr>
                <w:rFonts w:eastAsia="Times New Roman"/>
                <w:b/>
                <w:bCs/>
                <w:color w:val="000000"/>
              </w:rPr>
            </w:pPr>
            <w:r w:rsidRPr="00A81971">
              <w:rPr>
                <w:rFonts w:eastAsia="Times New Roman"/>
                <w:b/>
                <w:bCs/>
                <w:color w:val="000000"/>
              </w:rPr>
              <w:t xml:space="preserve">HPMP II </w:t>
            </w:r>
          </w:p>
        </w:tc>
        <w:tc>
          <w:tcPr>
            <w:tcW w:w="1843" w:type="dxa"/>
            <w:shd w:val="clear" w:color="auto" w:fill="D9E2F3" w:themeFill="accent1" w:themeFillTint="33"/>
            <w:noWrap/>
            <w:vAlign w:val="bottom"/>
            <w:hideMark/>
          </w:tcPr>
          <w:p w14:paraId="0450D4DC" w14:textId="77777777" w:rsidR="007A6928" w:rsidRPr="00A81971" w:rsidRDefault="0032495C" w:rsidP="007A6928">
            <w:pPr>
              <w:spacing w:after="0"/>
              <w:rPr>
                <w:rFonts w:eastAsia="Times New Roman"/>
                <w:b/>
                <w:bCs/>
                <w:color w:val="000000"/>
              </w:rPr>
            </w:pPr>
            <w:r w:rsidRPr="00A81971">
              <w:rPr>
                <w:rFonts w:eastAsia="Times New Roman"/>
                <w:b/>
                <w:bCs/>
                <w:color w:val="000000"/>
              </w:rPr>
              <w:t>HPMP I and II</w:t>
            </w:r>
          </w:p>
        </w:tc>
      </w:tr>
      <w:tr w:rsidR="00F90461" w14:paraId="21744980" w14:textId="77777777" w:rsidTr="00FE5C31">
        <w:trPr>
          <w:trHeight w:val="521"/>
        </w:trPr>
        <w:tc>
          <w:tcPr>
            <w:tcW w:w="2122" w:type="dxa"/>
            <w:shd w:val="clear" w:color="auto" w:fill="D9E2F3" w:themeFill="accent1" w:themeFillTint="33"/>
            <w:noWrap/>
            <w:vAlign w:val="center"/>
            <w:hideMark/>
          </w:tcPr>
          <w:p w14:paraId="2A218894" w14:textId="5023B4B0" w:rsidR="007A6928" w:rsidRPr="00A81971" w:rsidRDefault="0032495C" w:rsidP="00EF4669">
            <w:pPr>
              <w:spacing w:after="0"/>
              <w:rPr>
                <w:rFonts w:eastAsia="Times New Roman"/>
                <w:b/>
                <w:bCs/>
                <w:color w:val="000000"/>
              </w:rPr>
            </w:pPr>
            <w:r w:rsidRPr="00A81971">
              <w:rPr>
                <w:rFonts w:eastAsia="Times New Roman"/>
                <w:b/>
                <w:bCs/>
                <w:color w:val="000000"/>
              </w:rPr>
              <w:t>Sector</w:t>
            </w:r>
          </w:p>
        </w:tc>
        <w:tc>
          <w:tcPr>
            <w:tcW w:w="1701" w:type="dxa"/>
            <w:shd w:val="clear" w:color="auto" w:fill="D9E2F3" w:themeFill="accent1" w:themeFillTint="33"/>
            <w:noWrap/>
            <w:vAlign w:val="center"/>
            <w:hideMark/>
          </w:tcPr>
          <w:p w14:paraId="10E981DD" w14:textId="569C06E4" w:rsidR="007A6928" w:rsidRPr="00A81971" w:rsidRDefault="0032495C" w:rsidP="00EF4669">
            <w:pPr>
              <w:spacing w:after="0"/>
              <w:rPr>
                <w:rFonts w:eastAsia="Times New Roman"/>
                <w:b/>
                <w:bCs/>
                <w:color w:val="000000"/>
              </w:rPr>
            </w:pPr>
            <w:r w:rsidRPr="00A81971">
              <w:rPr>
                <w:rFonts w:eastAsia="Times New Roman"/>
                <w:b/>
                <w:bCs/>
                <w:color w:val="000000"/>
              </w:rPr>
              <w:t xml:space="preserve">Chemical </w:t>
            </w:r>
          </w:p>
        </w:tc>
        <w:tc>
          <w:tcPr>
            <w:tcW w:w="1842" w:type="dxa"/>
            <w:shd w:val="clear" w:color="auto" w:fill="D9E2F3" w:themeFill="accent1" w:themeFillTint="33"/>
            <w:vAlign w:val="center"/>
            <w:hideMark/>
          </w:tcPr>
          <w:p w14:paraId="6927C670" w14:textId="77777777" w:rsidR="007A6928" w:rsidRPr="00A81971" w:rsidRDefault="0032495C" w:rsidP="00EF4669">
            <w:pPr>
              <w:spacing w:after="0"/>
              <w:rPr>
                <w:rFonts w:eastAsia="Times New Roman"/>
                <w:b/>
                <w:bCs/>
                <w:color w:val="000000"/>
              </w:rPr>
            </w:pPr>
            <w:r w:rsidRPr="00A81971">
              <w:rPr>
                <w:rFonts w:eastAsia="Times New Roman"/>
                <w:b/>
                <w:bCs/>
                <w:color w:val="000000"/>
              </w:rPr>
              <w:t>CE (US$/kg)</w:t>
            </w:r>
            <w:r w:rsidRPr="00A81971">
              <w:rPr>
                <w:rFonts w:eastAsia="Times New Roman"/>
                <w:b/>
                <w:bCs/>
                <w:color w:val="000000"/>
              </w:rPr>
              <w:br/>
            </w:r>
            <w:r w:rsidRPr="00A81971">
              <w:rPr>
                <w:rFonts w:eastAsia="Times New Roman"/>
                <w:color w:val="000000"/>
              </w:rPr>
              <w:t>(Without PMU)</w:t>
            </w:r>
          </w:p>
        </w:tc>
        <w:tc>
          <w:tcPr>
            <w:tcW w:w="1843" w:type="dxa"/>
            <w:shd w:val="clear" w:color="auto" w:fill="D9E2F3" w:themeFill="accent1" w:themeFillTint="33"/>
            <w:vAlign w:val="center"/>
            <w:hideMark/>
          </w:tcPr>
          <w:p w14:paraId="35F497A5" w14:textId="77777777" w:rsidR="007A6928" w:rsidRPr="00A81971" w:rsidRDefault="0032495C" w:rsidP="00EF4669">
            <w:pPr>
              <w:spacing w:after="0"/>
              <w:rPr>
                <w:rFonts w:eastAsia="Times New Roman"/>
                <w:color w:val="000000"/>
              </w:rPr>
            </w:pPr>
            <w:r w:rsidRPr="00A81971">
              <w:rPr>
                <w:rFonts w:eastAsia="Times New Roman"/>
                <w:b/>
                <w:bCs/>
                <w:color w:val="000000"/>
              </w:rPr>
              <w:t>CE (US$/kg)</w:t>
            </w:r>
            <w:r w:rsidRPr="00A81971">
              <w:rPr>
                <w:rFonts w:eastAsia="Times New Roman"/>
                <w:b/>
                <w:bCs/>
                <w:color w:val="000000"/>
              </w:rPr>
              <w:br/>
            </w:r>
            <w:r w:rsidRPr="00A81971">
              <w:rPr>
                <w:rFonts w:eastAsia="Times New Roman"/>
                <w:color w:val="000000"/>
              </w:rPr>
              <w:t>(Without PMU)</w:t>
            </w:r>
          </w:p>
        </w:tc>
        <w:tc>
          <w:tcPr>
            <w:tcW w:w="1843" w:type="dxa"/>
            <w:shd w:val="clear" w:color="auto" w:fill="D9E2F3" w:themeFill="accent1" w:themeFillTint="33"/>
            <w:noWrap/>
            <w:vAlign w:val="center"/>
            <w:hideMark/>
          </w:tcPr>
          <w:p w14:paraId="2567FD7C" w14:textId="75B084CF" w:rsidR="007A6928" w:rsidRPr="00A81971" w:rsidRDefault="0032495C" w:rsidP="00EF4669">
            <w:pPr>
              <w:spacing w:after="0"/>
              <w:rPr>
                <w:rFonts w:eastAsia="Times New Roman"/>
                <w:b/>
                <w:bCs/>
                <w:color w:val="000000"/>
              </w:rPr>
            </w:pPr>
            <w:r w:rsidRPr="00A81971">
              <w:rPr>
                <w:rFonts w:eastAsia="Times New Roman"/>
                <w:b/>
                <w:bCs/>
                <w:color w:val="000000"/>
              </w:rPr>
              <w:t>Average CE (US$/kg)</w:t>
            </w:r>
          </w:p>
        </w:tc>
      </w:tr>
      <w:tr w:rsidR="00F90461" w14:paraId="34F9CFB4" w14:textId="77777777" w:rsidTr="00FE5C31">
        <w:trPr>
          <w:trHeight w:val="300"/>
        </w:trPr>
        <w:tc>
          <w:tcPr>
            <w:tcW w:w="2122" w:type="dxa"/>
            <w:shd w:val="clear" w:color="auto" w:fill="E2EFD9" w:themeFill="accent6" w:themeFillTint="33"/>
            <w:noWrap/>
            <w:vAlign w:val="bottom"/>
            <w:hideMark/>
          </w:tcPr>
          <w:p w14:paraId="053489F9" w14:textId="77777777" w:rsidR="007A6928" w:rsidRPr="00A81971" w:rsidRDefault="0032495C" w:rsidP="007A6928">
            <w:pPr>
              <w:spacing w:after="0"/>
              <w:rPr>
                <w:rFonts w:eastAsia="Times New Roman"/>
                <w:color w:val="000000"/>
              </w:rPr>
            </w:pPr>
            <w:r w:rsidRPr="00A81971">
              <w:rPr>
                <w:rFonts w:eastAsia="Times New Roman"/>
                <w:color w:val="000000"/>
              </w:rPr>
              <w:t>Industrial and Com. Ref. and AC</w:t>
            </w:r>
          </w:p>
        </w:tc>
        <w:tc>
          <w:tcPr>
            <w:tcW w:w="1701" w:type="dxa"/>
            <w:noWrap/>
            <w:vAlign w:val="center"/>
            <w:hideMark/>
          </w:tcPr>
          <w:p w14:paraId="4B9DBA19" w14:textId="77777777" w:rsidR="007A6928" w:rsidRPr="00A81971" w:rsidRDefault="0032495C" w:rsidP="00EF4669">
            <w:pPr>
              <w:spacing w:after="0"/>
              <w:rPr>
                <w:rFonts w:eastAsia="Times New Roman"/>
                <w:color w:val="000000"/>
              </w:rPr>
            </w:pPr>
            <w:r w:rsidRPr="00A81971">
              <w:rPr>
                <w:rFonts w:eastAsia="Times New Roman"/>
                <w:color w:val="000000"/>
              </w:rPr>
              <w:t>HCFC-22</w:t>
            </w:r>
          </w:p>
        </w:tc>
        <w:tc>
          <w:tcPr>
            <w:tcW w:w="1842" w:type="dxa"/>
            <w:noWrap/>
            <w:vAlign w:val="center"/>
            <w:hideMark/>
          </w:tcPr>
          <w:p w14:paraId="7CF92419" w14:textId="77777777" w:rsidR="007A6928" w:rsidRPr="00A81971" w:rsidRDefault="0032495C" w:rsidP="00EF4669">
            <w:pPr>
              <w:spacing w:after="0"/>
              <w:jc w:val="center"/>
              <w:rPr>
                <w:rFonts w:eastAsia="Times New Roman"/>
                <w:color w:val="000000"/>
              </w:rPr>
            </w:pPr>
            <w:r w:rsidRPr="00A81971">
              <w:rPr>
                <w:rFonts w:eastAsia="Times New Roman"/>
                <w:color w:val="000000"/>
              </w:rPr>
              <w:t>7.33</w:t>
            </w:r>
          </w:p>
        </w:tc>
        <w:tc>
          <w:tcPr>
            <w:tcW w:w="1843" w:type="dxa"/>
            <w:noWrap/>
            <w:vAlign w:val="center"/>
            <w:hideMark/>
          </w:tcPr>
          <w:p w14:paraId="7CEADD2C" w14:textId="77777777" w:rsidR="007A6928" w:rsidRPr="00A81971" w:rsidRDefault="0032495C" w:rsidP="00EF4669">
            <w:pPr>
              <w:spacing w:after="0"/>
              <w:jc w:val="center"/>
              <w:rPr>
                <w:rFonts w:eastAsia="Times New Roman"/>
                <w:color w:val="000000"/>
              </w:rPr>
            </w:pPr>
            <w:r w:rsidRPr="00A81971">
              <w:rPr>
                <w:rFonts w:eastAsia="Times New Roman"/>
                <w:color w:val="000000"/>
              </w:rPr>
              <w:t>2.59</w:t>
            </w:r>
          </w:p>
        </w:tc>
        <w:tc>
          <w:tcPr>
            <w:tcW w:w="1843" w:type="dxa"/>
            <w:shd w:val="clear" w:color="auto" w:fill="E2EFD9" w:themeFill="accent6" w:themeFillTint="33"/>
            <w:noWrap/>
            <w:vAlign w:val="center"/>
            <w:hideMark/>
          </w:tcPr>
          <w:p w14:paraId="5933D832" w14:textId="77777777" w:rsidR="007A6928" w:rsidRPr="00A81971" w:rsidRDefault="0032495C" w:rsidP="00EF4669">
            <w:pPr>
              <w:spacing w:after="0"/>
              <w:jc w:val="center"/>
              <w:rPr>
                <w:rFonts w:eastAsia="Times New Roman"/>
                <w:color w:val="000000"/>
              </w:rPr>
            </w:pPr>
            <w:r w:rsidRPr="00A81971">
              <w:rPr>
                <w:rFonts w:eastAsia="Times New Roman"/>
                <w:color w:val="000000"/>
              </w:rPr>
              <w:t>4.96</w:t>
            </w:r>
          </w:p>
        </w:tc>
      </w:tr>
      <w:tr w:rsidR="00F90461" w14:paraId="44B777EE" w14:textId="77777777" w:rsidTr="00FE5C31">
        <w:trPr>
          <w:trHeight w:val="300"/>
        </w:trPr>
        <w:tc>
          <w:tcPr>
            <w:tcW w:w="2122" w:type="dxa"/>
            <w:shd w:val="clear" w:color="auto" w:fill="E2EFD9" w:themeFill="accent6" w:themeFillTint="33"/>
            <w:noWrap/>
            <w:vAlign w:val="bottom"/>
            <w:hideMark/>
          </w:tcPr>
          <w:p w14:paraId="6EA2088D" w14:textId="77777777" w:rsidR="007A6928" w:rsidRPr="00A81971" w:rsidRDefault="0032495C" w:rsidP="007A6928">
            <w:pPr>
              <w:spacing w:after="0"/>
              <w:rPr>
                <w:rFonts w:eastAsia="Times New Roman"/>
                <w:color w:val="000000"/>
              </w:rPr>
            </w:pPr>
            <w:r w:rsidRPr="00A81971">
              <w:rPr>
                <w:rFonts w:eastAsia="Times New Roman"/>
                <w:color w:val="000000"/>
              </w:rPr>
              <w:t>Residential AC and Heat Pumps</w:t>
            </w:r>
          </w:p>
        </w:tc>
        <w:tc>
          <w:tcPr>
            <w:tcW w:w="1701" w:type="dxa"/>
            <w:noWrap/>
            <w:vAlign w:val="center"/>
            <w:hideMark/>
          </w:tcPr>
          <w:p w14:paraId="592EF318" w14:textId="77777777" w:rsidR="007A6928" w:rsidRPr="00A81971" w:rsidRDefault="0032495C" w:rsidP="00EF4669">
            <w:pPr>
              <w:spacing w:after="0"/>
              <w:rPr>
                <w:rFonts w:eastAsia="Times New Roman"/>
                <w:color w:val="000000"/>
              </w:rPr>
            </w:pPr>
            <w:r w:rsidRPr="00A81971">
              <w:rPr>
                <w:rFonts w:eastAsia="Times New Roman"/>
                <w:color w:val="000000"/>
              </w:rPr>
              <w:t>HCFC-22</w:t>
            </w:r>
          </w:p>
        </w:tc>
        <w:tc>
          <w:tcPr>
            <w:tcW w:w="1842" w:type="dxa"/>
            <w:noWrap/>
            <w:vAlign w:val="center"/>
            <w:hideMark/>
          </w:tcPr>
          <w:p w14:paraId="7930D2E1" w14:textId="77777777" w:rsidR="007A6928" w:rsidRPr="00A81971" w:rsidRDefault="0032495C" w:rsidP="00EF4669">
            <w:pPr>
              <w:spacing w:after="0"/>
              <w:jc w:val="center"/>
              <w:rPr>
                <w:rFonts w:eastAsia="Times New Roman"/>
                <w:color w:val="000000"/>
              </w:rPr>
            </w:pPr>
            <w:r w:rsidRPr="00A81971">
              <w:rPr>
                <w:rFonts w:eastAsia="Times New Roman"/>
                <w:color w:val="000000"/>
              </w:rPr>
              <w:t>6.75</w:t>
            </w:r>
          </w:p>
        </w:tc>
        <w:tc>
          <w:tcPr>
            <w:tcW w:w="1843" w:type="dxa"/>
            <w:noWrap/>
            <w:vAlign w:val="center"/>
            <w:hideMark/>
          </w:tcPr>
          <w:p w14:paraId="611708E8" w14:textId="77777777" w:rsidR="007A6928" w:rsidRPr="00A81971" w:rsidRDefault="0032495C" w:rsidP="00EF4669">
            <w:pPr>
              <w:spacing w:after="0"/>
              <w:jc w:val="center"/>
              <w:rPr>
                <w:rFonts w:eastAsia="Times New Roman"/>
                <w:color w:val="000000"/>
              </w:rPr>
            </w:pPr>
            <w:r w:rsidRPr="00A81971">
              <w:rPr>
                <w:rFonts w:eastAsia="Times New Roman"/>
                <w:color w:val="000000"/>
              </w:rPr>
              <w:t>1.29</w:t>
            </w:r>
          </w:p>
        </w:tc>
        <w:tc>
          <w:tcPr>
            <w:tcW w:w="1843" w:type="dxa"/>
            <w:shd w:val="clear" w:color="auto" w:fill="E2EFD9" w:themeFill="accent6" w:themeFillTint="33"/>
            <w:noWrap/>
            <w:vAlign w:val="center"/>
            <w:hideMark/>
          </w:tcPr>
          <w:p w14:paraId="4BBDA032" w14:textId="77777777" w:rsidR="007A6928" w:rsidRPr="00A81971" w:rsidRDefault="0032495C" w:rsidP="00EF4669">
            <w:pPr>
              <w:spacing w:after="0"/>
              <w:jc w:val="center"/>
              <w:rPr>
                <w:rFonts w:eastAsia="Times New Roman"/>
                <w:color w:val="000000"/>
              </w:rPr>
            </w:pPr>
            <w:r w:rsidRPr="00A81971">
              <w:rPr>
                <w:rFonts w:eastAsia="Times New Roman"/>
                <w:color w:val="000000"/>
              </w:rPr>
              <w:t>4.02</w:t>
            </w:r>
          </w:p>
        </w:tc>
      </w:tr>
      <w:tr w:rsidR="00F90461" w14:paraId="1CB48FEF" w14:textId="77777777" w:rsidTr="00FE5C31">
        <w:trPr>
          <w:trHeight w:val="300"/>
        </w:trPr>
        <w:tc>
          <w:tcPr>
            <w:tcW w:w="2122" w:type="dxa"/>
            <w:shd w:val="clear" w:color="auto" w:fill="EDEDED"/>
            <w:noWrap/>
            <w:vAlign w:val="bottom"/>
            <w:hideMark/>
          </w:tcPr>
          <w:p w14:paraId="4D80B02A" w14:textId="77777777" w:rsidR="007A6928" w:rsidRPr="00A81971" w:rsidRDefault="0032495C" w:rsidP="007A6928">
            <w:pPr>
              <w:spacing w:after="0"/>
              <w:rPr>
                <w:rFonts w:eastAsia="Times New Roman"/>
                <w:color w:val="000000"/>
              </w:rPr>
            </w:pPr>
            <w:r w:rsidRPr="00A81971">
              <w:rPr>
                <w:rFonts w:eastAsia="Times New Roman"/>
                <w:color w:val="000000"/>
              </w:rPr>
              <w:t>Solvents*</w:t>
            </w:r>
          </w:p>
        </w:tc>
        <w:tc>
          <w:tcPr>
            <w:tcW w:w="1701" w:type="dxa"/>
            <w:shd w:val="clear" w:color="auto" w:fill="EDEDED"/>
            <w:noWrap/>
            <w:vAlign w:val="center"/>
            <w:hideMark/>
          </w:tcPr>
          <w:p w14:paraId="5CF318C4" w14:textId="77777777" w:rsidR="007A6928" w:rsidRPr="00A81971" w:rsidRDefault="0032495C" w:rsidP="00EF4669">
            <w:pPr>
              <w:spacing w:after="0"/>
              <w:rPr>
                <w:rFonts w:eastAsia="Times New Roman"/>
                <w:color w:val="000000"/>
              </w:rPr>
            </w:pPr>
            <w:r w:rsidRPr="00A81971">
              <w:rPr>
                <w:rFonts w:eastAsia="Times New Roman"/>
                <w:color w:val="000000"/>
              </w:rPr>
              <w:t>HCFC-141b</w:t>
            </w:r>
          </w:p>
        </w:tc>
        <w:tc>
          <w:tcPr>
            <w:tcW w:w="1842" w:type="dxa"/>
            <w:shd w:val="clear" w:color="auto" w:fill="EDEDED"/>
            <w:noWrap/>
            <w:vAlign w:val="center"/>
            <w:hideMark/>
          </w:tcPr>
          <w:p w14:paraId="750A0B6A" w14:textId="77777777" w:rsidR="007A6928" w:rsidRPr="00A81971" w:rsidRDefault="0032495C" w:rsidP="00EF4669">
            <w:pPr>
              <w:spacing w:after="0"/>
              <w:jc w:val="center"/>
              <w:rPr>
                <w:rFonts w:eastAsia="Times New Roman"/>
                <w:color w:val="000000"/>
              </w:rPr>
            </w:pPr>
            <w:r w:rsidRPr="00A81971">
              <w:rPr>
                <w:rFonts w:eastAsia="Times New Roman"/>
                <w:color w:val="000000"/>
              </w:rPr>
              <w:t>7.45</w:t>
            </w:r>
          </w:p>
        </w:tc>
        <w:tc>
          <w:tcPr>
            <w:tcW w:w="1843" w:type="dxa"/>
            <w:shd w:val="clear" w:color="auto" w:fill="EDEDED"/>
            <w:noWrap/>
            <w:vAlign w:val="center"/>
            <w:hideMark/>
          </w:tcPr>
          <w:p w14:paraId="1D64D726" w14:textId="77777777" w:rsidR="007A6928" w:rsidRPr="00A81971" w:rsidRDefault="0032495C" w:rsidP="00EF4669">
            <w:pPr>
              <w:spacing w:after="0"/>
              <w:jc w:val="center"/>
              <w:rPr>
                <w:rFonts w:eastAsia="Times New Roman"/>
                <w:color w:val="000000"/>
              </w:rPr>
            </w:pPr>
            <w:r w:rsidRPr="00A81971">
              <w:rPr>
                <w:rFonts w:eastAsia="Times New Roman"/>
                <w:color w:val="000000"/>
              </w:rPr>
              <w:t>6.01</w:t>
            </w:r>
          </w:p>
        </w:tc>
        <w:tc>
          <w:tcPr>
            <w:tcW w:w="1843" w:type="dxa"/>
            <w:noWrap/>
            <w:vAlign w:val="center"/>
            <w:hideMark/>
          </w:tcPr>
          <w:p w14:paraId="409E872D" w14:textId="77777777" w:rsidR="007A6928" w:rsidRPr="00A81971" w:rsidRDefault="007A6928" w:rsidP="00EF4669">
            <w:pPr>
              <w:spacing w:after="0"/>
              <w:jc w:val="center"/>
              <w:rPr>
                <w:rFonts w:eastAsia="Times New Roman"/>
                <w:color w:val="000000"/>
              </w:rPr>
            </w:pPr>
          </w:p>
        </w:tc>
      </w:tr>
      <w:tr w:rsidR="00F90461" w14:paraId="362ECFFB" w14:textId="77777777" w:rsidTr="00FE5C31">
        <w:trPr>
          <w:trHeight w:val="300"/>
        </w:trPr>
        <w:tc>
          <w:tcPr>
            <w:tcW w:w="2122" w:type="dxa"/>
            <w:shd w:val="clear" w:color="auto" w:fill="EDEDED"/>
            <w:noWrap/>
            <w:vAlign w:val="bottom"/>
            <w:hideMark/>
          </w:tcPr>
          <w:p w14:paraId="56027B58" w14:textId="77777777" w:rsidR="007A6928" w:rsidRPr="00A81971" w:rsidRDefault="0032495C" w:rsidP="007A6928">
            <w:pPr>
              <w:spacing w:after="0"/>
              <w:rPr>
                <w:rFonts w:eastAsia="Times New Roman"/>
                <w:color w:val="000000"/>
              </w:rPr>
            </w:pPr>
            <w:r w:rsidRPr="00A81971">
              <w:rPr>
                <w:rFonts w:eastAsia="Times New Roman"/>
                <w:color w:val="000000"/>
              </w:rPr>
              <w:t>PU Foam*</w:t>
            </w:r>
          </w:p>
        </w:tc>
        <w:tc>
          <w:tcPr>
            <w:tcW w:w="1701" w:type="dxa"/>
            <w:shd w:val="clear" w:color="auto" w:fill="EDEDED"/>
            <w:noWrap/>
            <w:vAlign w:val="center"/>
            <w:hideMark/>
          </w:tcPr>
          <w:p w14:paraId="3842CFA9" w14:textId="77777777" w:rsidR="007A6928" w:rsidRPr="00A81971" w:rsidRDefault="0032495C" w:rsidP="00EF4669">
            <w:pPr>
              <w:spacing w:after="0"/>
              <w:rPr>
                <w:rFonts w:eastAsia="Times New Roman"/>
                <w:color w:val="000000"/>
              </w:rPr>
            </w:pPr>
            <w:r w:rsidRPr="00A81971">
              <w:rPr>
                <w:rFonts w:eastAsia="Times New Roman"/>
                <w:color w:val="000000"/>
              </w:rPr>
              <w:t>HCFC-141b</w:t>
            </w:r>
          </w:p>
        </w:tc>
        <w:tc>
          <w:tcPr>
            <w:tcW w:w="1842" w:type="dxa"/>
            <w:shd w:val="clear" w:color="auto" w:fill="EDEDED"/>
            <w:noWrap/>
            <w:vAlign w:val="center"/>
            <w:hideMark/>
          </w:tcPr>
          <w:p w14:paraId="7625676C" w14:textId="77777777" w:rsidR="007A6928" w:rsidRPr="00A81971" w:rsidRDefault="0032495C" w:rsidP="00EF4669">
            <w:pPr>
              <w:spacing w:after="0"/>
              <w:jc w:val="center"/>
              <w:rPr>
                <w:rFonts w:eastAsia="Times New Roman"/>
                <w:color w:val="000000"/>
              </w:rPr>
            </w:pPr>
            <w:r w:rsidRPr="00A81971">
              <w:rPr>
                <w:rFonts w:eastAsia="Times New Roman"/>
                <w:color w:val="000000"/>
              </w:rPr>
              <w:t>4.72</w:t>
            </w:r>
          </w:p>
        </w:tc>
        <w:tc>
          <w:tcPr>
            <w:tcW w:w="1843" w:type="dxa"/>
            <w:shd w:val="clear" w:color="auto" w:fill="EDEDED"/>
            <w:noWrap/>
            <w:vAlign w:val="center"/>
            <w:hideMark/>
          </w:tcPr>
          <w:p w14:paraId="13FDA30E" w14:textId="77777777" w:rsidR="007A6928" w:rsidRPr="00A81971" w:rsidRDefault="0032495C" w:rsidP="00EF4669">
            <w:pPr>
              <w:spacing w:after="0"/>
              <w:jc w:val="center"/>
              <w:rPr>
                <w:rFonts w:eastAsia="Times New Roman"/>
                <w:color w:val="000000"/>
              </w:rPr>
            </w:pPr>
            <w:r w:rsidRPr="00A81971">
              <w:rPr>
                <w:rFonts w:eastAsia="Times New Roman"/>
                <w:color w:val="000000"/>
              </w:rPr>
              <w:t>0.77</w:t>
            </w:r>
          </w:p>
        </w:tc>
        <w:tc>
          <w:tcPr>
            <w:tcW w:w="1843" w:type="dxa"/>
            <w:noWrap/>
            <w:vAlign w:val="center"/>
            <w:hideMark/>
          </w:tcPr>
          <w:p w14:paraId="04651DA4" w14:textId="77777777" w:rsidR="007A6928" w:rsidRPr="00A81971" w:rsidRDefault="007A6928" w:rsidP="00EF4669">
            <w:pPr>
              <w:spacing w:after="0"/>
              <w:jc w:val="center"/>
              <w:rPr>
                <w:rFonts w:eastAsia="Times New Roman"/>
                <w:color w:val="000000"/>
              </w:rPr>
            </w:pPr>
          </w:p>
        </w:tc>
      </w:tr>
      <w:tr w:rsidR="00F90461" w14:paraId="471471C1" w14:textId="77777777" w:rsidTr="00FE5C31">
        <w:trPr>
          <w:trHeight w:val="300"/>
        </w:trPr>
        <w:tc>
          <w:tcPr>
            <w:tcW w:w="2122" w:type="dxa"/>
            <w:shd w:val="clear" w:color="auto" w:fill="EDEDED"/>
            <w:noWrap/>
            <w:vAlign w:val="bottom"/>
            <w:hideMark/>
          </w:tcPr>
          <w:p w14:paraId="3CED9AE3" w14:textId="77777777" w:rsidR="007A6928" w:rsidRPr="00A81971" w:rsidRDefault="0032495C" w:rsidP="007A6928">
            <w:pPr>
              <w:spacing w:after="0"/>
              <w:rPr>
                <w:rFonts w:eastAsia="Times New Roman"/>
                <w:color w:val="000000"/>
              </w:rPr>
            </w:pPr>
            <w:r w:rsidRPr="00A81971">
              <w:rPr>
                <w:rFonts w:eastAsia="Times New Roman"/>
                <w:color w:val="000000"/>
              </w:rPr>
              <w:t>XPS Foam*</w:t>
            </w:r>
          </w:p>
        </w:tc>
        <w:tc>
          <w:tcPr>
            <w:tcW w:w="1701" w:type="dxa"/>
            <w:shd w:val="clear" w:color="auto" w:fill="EDEDED"/>
            <w:noWrap/>
            <w:vAlign w:val="center"/>
            <w:hideMark/>
          </w:tcPr>
          <w:p w14:paraId="025BD3FB" w14:textId="77777777" w:rsidR="007A6928" w:rsidRPr="00A81971" w:rsidRDefault="0032495C" w:rsidP="00EF4669">
            <w:pPr>
              <w:spacing w:after="0"/>
              <w:rPr>
                <w:rFonts w:eastAsia="Times New Roman"/>
                <w:color w:val="000000"/>
              </w:rPr>
            </w:pPr>
            <w:r w:rsidRPr="00A81971">
              <w:rPr>
                <w:rFonts w:eastAsia="Times New Roman"/>
                <w:color w:val="000000"/>
              </w:rPr>
              <w:t>HCFC-142b</w:t>
            </w:r>
          </w:p>
        </w:tc>
        <w:tc>
          <w:tcPr>
            <w:tcW w:w="1842" w:type="dxa"/>
            <w:shd w:val="clear" w:color="auto" w:fill="EDEDED"/>
            <w:noWrap/>
            <w:vAlign w:val="center"/>
            <w:hideMark/>
          </w:tcPr>
          <w:p w14:paraId="17DFEBAC" w14:textId="77777777" w:rsidR="007A6928" w:rsidRPr="00A81971" w:rsidRDefault="0032495C" w:rsidP="00EF4669">
            <w:pPr>
              <w:spacing w:after="0"/>
              <w:jc w:val="center"/>
              <w:rPr>
                <w:rFonts w:eastAsia="Times New Roman"/>
                <w:color w:val="000000"/>
              </w:rPr>
            </w:pPr>
            <w:r w:rsidRPr="00A81971">
              <w:rPr>
                <w:rFonts w:eastAsia="Times New Roman"/>
                <w:color w:val="000000"/>
              </w:rPr>
              <w:t>4.82</w:t>
            </w:r>
          </w:p>
        </w:tc>
        <w:tc>
          <w:tcPr>
            <w:tcW w:w="1843" w:type="dxa"/>
            <w:shd w:val="clear" w:color="auto" w:fill="EDEDED"/>
            <w:noWrap/>
            <w:vAlign w:val="center"/>
            <w:hideMark/>
          </w:tcPr>
          <w:p w14:paraId="0460F4C4" w14:textId="77777777" w:rsidR="007A6928" w:rsidRPr="00A81971" w:rsidRDefault="0032495C" w:rsidP="00EF4669">
            <w:pPr>
              <w:spacing w:after="0"/>
              <w:jc w:val="center"/>
              <w:rPr>
                <w:rFonts w:eastAsia="Times New Roman"/>
                <w:color w:val="000000"/>
              </w:rPr>
            </w:pPr>
            <w:r w:rsidRPr="00A81971">
              <w:rPr>
                <w:rFonts w:eastAsia="Times New Roman"/>
                <w:color w:val="000000"/>
              </w:rPr>
              <w:t>1.08</w:t>
            </w:r>
          </w:p>
        </w:tc>
        <w:tc>
          <w:tcPr>
            <w:tcW w:w="1843" w:type="dxa"/>
            <w:noWrap/>
            <w:vAlign w:val="center"/>
            <w:hideMark/>
          </w:tcPr>
          <w:p w14:paraId="169AAE11" w14:textId="77777777" w:rsidR="007A6928" w:rsidRPr="00A81971" w:rsidRDefault="007A6928" w:rsidP="00EF4669">
            <w:pPr>
              <w:spacing w:after="0"/>
              <w:jc w:val="center"/>
              <w:rPr>
                <w:rFonts w:eastAsia="Times New Roman"/>
                <w:color w:val="000000"/>
              </w:rPr>
            </w:pPr>
          </w:p>
        </w:tc>
      </w:tr>
      <w:tr w:rsidR="00F90461" w14:paraId="73427DB9" w14:textId="77777777" w:rsidTr="00FE5C31">
        <w:trPr>
          <w:trHeight w:val="217"/>
        </w:trPr>
        <w:tc>
          <w:tcPr>
            <w:tcW w:w="2122" w:type="dxa"/>
            <w:shd w:val="clear" w:color="auto" w:fill="E2EFD9" w:themeFill="accent6" w:themeFillTint="33"/>
            <w:noWrap/>
            <w:vAlign w:val="bottom"/>
            <w:hideMark/>
          </w:tcPr>
          <w:p w14:paraId="765CE010" w14:textId="77777777" w:rsidR="007A6928" w:rsidRPr="00A81971" w:rsidRDefault="0032495C" w:rsidP="007A6928">
            <w:pPr>
              <w:spacing w:after="0"/>
              <w:rPr>
                <w:rFonts w:eastAsia="Times New Roman"/>
                <w:color w:val="000000"/>
              </w:rPr>
            </w:pPr>
            <w:r w:rsidRPr="00A81971">
              <w:rPr>
                <w:rFonts w:eastAsia="Times New Roman"/>
                <w:color w:val="000000"/>
              </w:rPr>
              <w:t>Servicing Sector</w:t>
            </w:r>
          </w:p>
        </w:tc>
        <w:tc>
          <w:tcPr>
            <w:tcW w:w="1701" w:type="dxa"/>
            <w:noWrap/>
            <w:vAlign w:val="center"/>
            <w:hideMark/>
          </w:tcPr>
          <w:p w14:paraId="640CB5AE" w14:textId="77777777" w:rsidR="007A6928" w:rsidRPr="00A81971" w:rsidRDefault="007A6928" w:rsidP="00FE5C31">
            <w:pPr>
              <w:spacing w:after="0"/>
              <w:jc w:val="center"/>
              <w:rPr>
                <w:rFonts w:eastAsia="Times New Roman"/>
                <w:color w:val="000000"/>
              </w:rPr>
            </w:pPr>
          </w:p>
        </w:tc>
        <w:tc>
          <w:tcPr>
            <w:tcW w:w="1842" w:type="dxa"/>
            <w:noWrap/>
            <w:vAlign w:val="center"/>
            <w:hideMark/>
          </w:tcPr>
          <w:p w14:paraId="56A2B564" w14:textId="77777777" w:rsidR="007A6928" w:rsidRPr="00A81971" w:rsidRDefault="0032495C" w:rsidP="00EF4669">
            <w:pPr>
              <w:spacing w:after="0"/>
              <w:jc w:val="center"/>
              <w:rPr>
                <w:rFonts w:eastAsia="Times New Roman"/>
                <w:color w:val="000000"/>
              </w:rPr>
            </w:pPr>
            <w:r w:rsidRPr="00A81971">
              <w:rPr>
                <w:rFonts w:eastAsia="Times New Roman"/>
                <w:color w:val="000000"/>
              </w:rPr>
              <w:t>4.8</w:t>
            </w:r>
          </w:p>
        </w:tc>
        <w:tc>
          <w:tcPr>
            <w:tcW w:w="1843" w:type="dxa"/>
            <w:noWrap/>
            <w:vAlign w:val="center"/>
            <w:hideMark/>
          </w:tcPr>
          <w:p w14:paraId="3B15ADB9" w14:textId="77777777" w:rsidR="007A6928" w:rsidRPr="00A81971" w:rsidRDefault="0032495C" w:rsidP="00EF4669">
            <w:pPr>
              <w:spacing w:after="0"/>
              <w:jc w:val="center"/>
              <w:rPr>
                <w:rFonts w:eastAsia="Times New Roman"/>
                <w:color w:val="000000"/>
              </w:rPr>
            </w:pPr>
            <w:r w:rsidRPr="00A81971">
              <w:rPr>
                <w:rFonts w:eastAsia="Times New Roman"/>
                <w:color w:val="000000"/>
              </w:rPr>
              <w:t>1.36</w:t>
            </w:r>
          </w:p>
        </w:tc>
        <w:tc>
          <w:tcPr>
            <w:tcW w:w="1843" w:type="dxa"/>
            <w:shd w:val="clear" w:color="auto" w:fill="E2EFD9" w:themeFill="accent6" w:themeFillTint="33"/>
            <w:noWrap/>
            <w:vAlign w:val="center"/>
            <w:hideMark/>
          </w:tcPr>
          <w:p w14:paraId="49B6575E" w14:textId="77777777" w:rsidR="007A6928" w:rsidRPr="00A81971" w:rsidRDefault="0032495C" w:rsidP="00EF4669">
            <w:pPr>
              <w:spacing w:after="0"/>
              <w:jc w:val="center"/>
              <w:rPr>
                <w:rFonts w:eastAsia="Times New Roman"/>
                <w:color w:val="000000"/>
              </w:rPr>
            </w:pPr>
            <w:r w:rsidRPr="00A81971">
              <w:rPr>
                <w:rFonts w:eastAsia="Times New Roman"/>
                <w:color w:val="000000"/>
              </w:rPr>
              <w:t>3.08</w:t>
            </w:r>
          </w:p>
        </w:tc>
      </w:tr>
    </w:tbl>
    <w:p w14:paraId="58DE1479" w14:textId="77777777" w:rsidR="007A6928" w:rsidRPr="00A81971" w:rsidRDefault="0032495C" w:rsidP="007A6928">
      <w:pPr>
        <w:spacing w:after="0"/>
        <w:rPr>
          <w:rFonts w:eastAsia="Times New Roman"/>
          <w:sz w:val="20"/>
          <w:szCs w:val="20"/>
          <w:lang w:eastAsia="nl-NL"/>
        </w:rPr>
      </w:pPr>
      <w:r w:rsidRPr="00A81971">
        <w:rPr>
          <w:rFonts w:eastAsia="Times New Roman"/>
          <w:sz w:val="20"/>
          <w:szCs w:val="20"/>
          <w:lang w:eastAsia="nl-NL"/>
        </w:rPr>
        <w:t>*No eligible remaining consumption in those sectors</w:t>
      </w:r>
    </w:p>
    <w:p w14:paraId="5AC43FF2" w14:textId="77777777" w:rsidR="007A6928" w:rsidRPr="00A81971" w:rsidRDefault="007A6928" w:rsidP="007A6928">
      <w:pPr>
        <w:spacing w:after="0"/>
        <w:rPr>
          <w:rFonts w:eastAsia="Times New Roman"/>
          <w:sz w:val="24"/>
          <w:szCs w:val="24"/>
          <w:lang w:eastAsia="nl-NL"/>
        </w:rPr>
      </w:pPr>
    </w:p>
    <w:p w14:paraId="35D60686" w14:textId="77777777" w:rsidR="007A6928" w:rsidRPr="00A81971" w:rsidRDefault="0032495C" w:rsidP="34B0439A">
      <w:pPr>
        <w:spacing w:after="0"/>
      </w:pPr>
      <w:r w:rsidRPr="2E7655E2">
        <w:rPr>
          <w:rFonts w:eastAsia="Times New Roman"/>
          <w:lang w:eastAsia="nl-NL"/>
        </w:rPr>
        <w:t>The following Table 3.</w:t>
      </w:r>
      <w:r w:rsidR="00530404">
        <w:rPr>
          <w:rFonts w:eastAsia="Times New Roman"/>
          <w:lang w:eastAsia="nl-NL"/>
        </w:rPr>
        <w:t>4</w:t>
      </w:r>
      <w:r w:rsidRPr="2E7655E2">
        <w:rPr>
          <w:rFonts w:eastAsia="Times New Roman"/>
          <w:lang w:eastAsia="nl-NL"/>
        </w:rPr>
        <w:t xml:space="preserve"> compares the funding estimates when using the Updated RTF May Report (Low-end Scenario 1), with the estimates when applying the historical CEs to non-LVC parties as per </w:t>
      </w:r>
      <w:r w:rsidRPr="2E7655E2">
        <w:rPr>
          <w:rFonts w:eastAsia="Times New Roman"/>
          <w:b/>
          <w:bCs/>
          <w:lang w:eastAsia="nl-NL"/>
        </w:rPr>
        <w:t>New</w:t>
      </w:r>
      <w:r w:rsidRPr="2E7655E2">
        <w:rPr>
          <w:rFonts w:eastAsia="Times New Roman"/>
          <w:b/>
          <w:bCs/>
          <w:color w:val="000000" w:themeColor="text1"/>
          <w:lang w:eastAsia="nl-NL"/>
        </w:rPr>
        <w:t xml:space="preserve"> Scenario 1a Historical CE. </w:t>
      </w:r>
    </w:p>
    <w:p w14:paraId="6EC513D3" w14:textId="77777777" w:rsidR="00AF6FEE" w:rsidRPr="00A81971" w:rsidRDefault="00AF6FEE">
      <w:pPr>
        <w:spacing w:after="0"/>
        <w:rPr>
          <w:rFonts w:eastAsia="Times New Roman"/>
          <w:b/>
          <w:bCs/>
          <w:color w:val="000000"/>
          <w:lang w:eastAsia="nl-NL"/>
        </w:rPr>
      </w:pPr>
    </w:p>
    <w:p w14:paraId="19967AFE" w14:textId="77777777" w:rsidR="00AF6FEE" w:rsidRPr="00A81971" w:rsidRDefault="0032495C" w:rsidP="002F7FEC">
      <w:pPr>
        <w:tabs>
          <w:tab w:val="left" w:pos="0"/>
          <w:tab w:val="left" w:pos="1276"/>
        </w:tabs>
        <w:spacing w:after="120"/>
        <w:ind w:left="1282" w:hanging="1282"/>
        <w:rPr>
          <w:rFonts w:eastAsia="Times New Roman"/>
          <w:b/>
          <w:bCs/>
          <w:color w:val="000000"/>
          <w:lang w:eastAsia="nl-NL"/>
        </w:rPr>
      </w:pPr>
      <w:r w:rsidRPr="0006445E">
        <w:rPr>
          <w:rFonts w:eastAsia="Yu Mincho"/>
          <w:b/>
          <w:bCs/>
          <w:color w:val="000000"/>
          <w:lang w:val="en-CA"/>
        </w:rPr>
        <w:t xml:space="preserve">Table </w:t>
      </w:r>
      <w:r>
        <w:rPr>
          <w:rFonts w:eastAsia="Yu Mincho"/>
          <w:b/>
          <w:bCs/>
          <w:color w:val="000000"/>
          <w:lang w:val="en-CA"/>
        </w:rPr>
        <w:t>3.</w:t>
      </w:r>
      <w:r w:rsidR="00530404">
        <w:rPr>
          <w:rFonts w:eastAsia="Yu Mincho"/>
          <w:b/>
          <w:bCs/>
          <w:color w:val="000000"/>
          <w:lang w:val="en-CA"/>
        </w:rPr>
        <w:t>4</w:t>
      </w:r>
      <w:r>
        <w:rPr>
          <w:rFonts w:eastAsia="Yu Mincho"/>
          <w:b/>
          <w:bCs/>
          <w:color w:val="000000"/>
          <w:lang w:val="en-CA"/>
        </w:rPr>
        <w:t>:</w:t>
      </w:r>
      <w:r w:rsidRPr="0006445E">
        <w:rPr>
          <w:rFonts w:eastAsia="Times New Roman"/>
          <w:color w:val="000000"/>
          <w:lang w:val="en-CA"/>
        </w:rPr>
        <w:tab/>
      </w:r>
      <w:r w:rsidRPr="00A81971">
        <w:rPr>
          <w:rFonts w:eastAsia="Times New Roman"/>
          <w:b/>
          <w:bCs/>
          <w:color w:val="000000" w:themeColor="text1"/>
          <w:lang w:eastAsia="nl-NL"/>
        </w:rPr>
        <w:t>Funding Estimates for HCFC Consumption Sector for New Scenario 1a Historical CE</w:t>
      </w:r>
      <w:r w:rsidR="34B0439A" w:rsidRPr="00A81971">
        <w:rPr>
          <w:rFonts w:eastAsia="Times New Roman"/>
          <w:b/>
          <w:bCs/>
          <w:color w:val="000000" w:themeColor="text1"/>
          <w:lang w:eastAsia="nl-NL"/>
        </w:rPr>
        <w:t xml:space="preserve"> </w:t>
      </w:r>
    </w:p>
    <w:p w14:paraId="3CF92722" w14:textId="77777777" w:rsidR="007A6928" w:rsidRPr="00A81971" w:rsidRDefault="0032495C" w:rsidP="3A2552F7">
      <w:pPr>
        <w:spacing w:after="0"/>
        <w:jc w:val="center"/>
      </w:pPr>
      <w:r>
        <w:rPr>
          <w:noProof/>
        </w:rPr>
        <w:drawing>
          <wp:inline distT="0" distB="0" distL="0" distR="0" wp14:anchorId="65E648FF" wp14:editId="4E8B498F">
            <wp:extent cx="5768340" cy="3229055"/>
            <wp:effectExtent l="0" t="0" r="3810" b="0"/>
            <wp:docPr id="5381702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70245"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68340" cy="3229055"/>
                    </a:xfrm>
                    <a:prstGeom prst="rect">
                      <a:avLst/>
                    </a:prstGeom>
                    <a:noFill/>
                  </pic:spPr>
                </pic:pic>
              </a:graphicData>
            </a:graphic>
          </wp:inline>
        </w:drawing>
      </w:r>
    </w:p>
    <w:p w14:paraId="3D5F1A6B" w14:textId="77777777" w:rsidR="46A3B0F3" w:rsidRPr="00A81971" w:rsidRDefault="0032495C" w:rsidP="46A3B0F3">
      <w:pPr>
        <w:spacing w:after="0"/>
      </w:pPr>
      <w:r w:rsidRPr="2E7655E2">
        <w:rPr>
          <w:rFonts w:eastAsia="Times New Roman"/>
          <w:sz w:val="20"/>
          <w:szCs w:val="20"/>
        </w:rPr>
        <w:t xml:space="preserve">*Percentage PMU applied: 5 % for China and 10% for other parties. </w:t>
      </w:r>
    </w:p>
    <w:p w14:paraId="04855743" w14:textId="77777777" w:rsidR="46A3B0F3" w:rsidRPr="00A81971" w:rsidRDefault="46A3B0F3" w:rsidP="2E7655E2">
      <w:pPr>
        <w:spacing w:after="0"/>
        <w:rPr>
          <w:rFonts w:eastAsia="Times New Roman"/>
          <w:sz w:val="20"/>
          <w:szCs w:val="20"/>
          <w:highlight w:val="yellow"/>
        </w:rPr>
      </w:pPr>
    </w:p>
    <w:p w14:paraId="0A715765" w14:textId="77777777" w:rsidR="46A3B0F3" w:rsidRPr="00CC5972" w:rsidRDefault="0032495C" w:rsidP="46A3B0F3">
      <w:pPr>
        <w:spacing w:after="0"/>
        <w:rPr>
          <w:sz w:val="24"/>
          <w:szCs w:val="24"/>
        </w:rPr>
      </w:pPr>
      <w:r w:rsidRPr="00CC5972">
        <w:rPr>
          <w:rFonts w:eastAsia="Times New Roman"/>
        </w:rPr>
        <w:t>In order to simplify presentation of figures in tables, which for all other HCFC calculations do not go beyond 2032, the final committed tranche for one party for 2033 is included in the 2030-2032 triennium.</w:t>
      </w:r>
    </w:p>
    <w:p w14:paraId="39327E0E" w14:textId="77777777" w:rsidR="007A6928" w:rsidRPr="00A81971" w:rsidRDefault="007A6928" w:rsidP="007A6928">
      <w:pPr>
        <w:spacing w:after="0"/>
        <w:rPr>
          <w:rFonts w:eastAsia="Times New Roman"/>
          <w:bCs/>
          <w:color w:val="000000"/>
          <w:lang w:eastAsia="nl-NL"/>
        </w:rPr>
      </w:pPr>
    </w:p>
    <w:p w14:paraId="611ABA0C" w14:textId="77777777" w:rsidR="007A6928" w:rsidRPr="00A81971" w:rsidRDefault="0032495C" w:rsidP="007A6928">
      <w:pPr>
        <w:spacing w:after="0"/>
        <w:rPr>
          <w:rFonts w:eastAsia="Times New Roman"/>
          <w:color w:val="000000"/>
          <w:lang w:eastAsia="nl-NL"/>
        </w:rPr>
      </w:pPr>
      <w:r w:rsidRPr="00A81971">
        <w:rPr>
          <w:rFonts w:eastAsia="Times New Roman"/>
          <w:color w:val="000000" w:themeColor="text1"/>
          <w:lang w:eastAsia="nl-NL"/>
        </w:rPr>
        <w:t xml:space="preserve">Estimated funding figures include 15% foreign ownership, PMU and 9.6% support costs. The </w:t>
      </w:r>
      <w:r w:rsidR="00E75F2F" w:rsidRPr="00A81971">
        <w:rPr>
          <w:rFonts w:eastAsia="Times New Roman"/>
          <w:color w:val="000000" w:themeColor="text1"/>
          <w:lang w:eastAsia="nl-NL"/>
        </w:rPr>
        <w:t>t</w:t>
      </w:r>
      <w:r w:rsidRPr="00A81971">
        <w:rPr>
          <w:rFonts w:eastAsia="Times New Roman"/>
          <w:color w:val="000000" w:themeColor="text1"/>
          <w:lang w:eastAsia="nl-NL"/>
        </w:rPr>
        <w:t xml:space="preserve">otal </w:t>
      </w:r>
      <w:r w:rsidR="00E75F2F" w:rsidRPr="00A81971">
        <w:rPr>
          <w:rFonts w:eastAsia="Times New Roman"/>
          <w:color w:val="000000" w:themeColor="text1"/>
          <w:lang w:eastAsia="nl-NL"/>
        </w:rPr>
        <w:t>e</w:t>
      </w:r>
      <w:r w:rsidRPr="00A81971">
        <w:rPr>
          <w:rFonts w:eastAsia="Times New Roman"/>
          <w:color w:val="000000" w:themeColor="text1"/>
          <w:lang w:eastAsia="nl-NL"/>
        </w:rPr>
        <w:t xml:space="preserve">stimated </w:t>
      </w:r>
      <w:r w:rsidR="00E75F2F" w:rsidRPr="00A81971">
        <w:rPr>
          <w:rFonts w:eastAsia="Times New Roman"/>
          <w:color w:val="000000" w:themeColor="text1"/>
          <w:lang w:eastAsia="nl-NL"/>
        </w:rPr>
        <w:t>f</w:t>
      </w:r>
      <w:r w:rsidRPr="00A81971">
        <w:rPr>
          <w:rFonts w:eastAsia="Times New Roman"/>
          <w:color w:val="000000" w:themeColor="text1"/>
          <w:lang w:eastAsia="nl-NL"/>
        </w:rPr>
        <w:t xml:space="preserve">unding for HCFC </w:t>
      </w:r>
      <w:r w:rsidR="00E75F2F" w:rsidRPr="00A81971">
        <w:rPr>
          <w:rFonts w:eastAsia="Times New Roman"/>
          <w:color w:val="000000" w:themeColor="text1"/>
          <w:lang w:eastAsia="nl-NL"/>
        </w:rPr>
        <w:t>c</w:t>
      </w:r>
      <w:r w:rsidRPr="00A81971">
        <w:rPr>
          <w:rFonts w:eastAsia="Times New Roman"/>
          <w:color w:val="000000" w:themeColor="text1"/>
          <w:lang w:eastAsia="nl-NL"/>
        </w:rPr>
        <w:t xml:space="preserve">onsumption </w:t>
      </w:r>
      <w:r w:rsidR="00E75F2F" w:rsidRPr="00A81971">
        <w:rPr>
          <w:rFonts w:eastAsia="Times New Roman"/>
          <w:color w:val="000000" w:themeColor="text1"/>
          <w:lang w:eastAsia="nl-NL"/>
        </w:rPr>
        <w:t>s</w:t>
      </w:r>
      <w:r w:rsidRPr="00A81971">
        <w:rPr>
          <w:rFonts w:eastAsia="Times New Roman"/>
          <w:color w:val="000000" w:themeColor="text1"/>
          <w:lang w:eastAsia="nl-NL"/>
        </w:rPr>
        <w:t xml:space="preserve">ector in Table 3.3 does not include project preparation </w:t>
      </w:r>
      <w:r w:rsidRPr="00A81971">
        <w:rPr>
          <w:rFonts w:eastAsia="Times New Roman"/>
          <w:color w:val="000000" w:themeColor="text1"/>
          <w:lang w:eastAsia="nl-NL"/>
        </w:rPr>
        <w:lastRenderedPageBreak/>
        <w:t>(PRP), verification (VER), and energy efficiency (EE</w:t>
      </w:r>
      <w:r w:rsidR="46A3B0F3" w:rsidRPr="00A81971">
        <w:rPr>
          <w:rFonts w:eastAsia="Times New Roman"/>
          <w:color w:val="000000" w:themeColor="text1"/>
          <w:lang w:eastAsia="nl-NL"/>
        </w:rPr>
        <w:t>)</w:t>
      </w:r>
      <w:r>
        <w:rPr>
          <w:rFonts w:eastAsia="Times New Roman"/>
          <w:color w:val="000000" w:themeColor="text1"/>
          <w:vertAlign w:val="superscript"/>
          <w:lang w:eastAsia="nl-NL"/>
        </w:rPr>
        <w:footnoteReference w:id="21"/>
      </w:r>
      <w:r w:rsidR="46A3B0F3" w:rsidRPr="00A81971">
        <w:rPr>
          <w:rFonts w:eastAsia="Times New Roman"/>
          <w:color w:val="000000" w:themeColor="text1"/>
          <w:lang w:eastAsia="nl-NL"/>
        </w:rPr>
        <w:t>,</w:t>
      </w:r>
      <w:r w:rsidRPr="00A81971">
        <w:rPr>
          <w:rFonts w:eastAsia="Times New Roman"/>
          <w:color w:val="000000" w:themeColor="text1"/>
          <w:lang w:eastAsia="nl-NL"/>
        </w:rPr>
        <w:t xml:space="preserve"> which are accounted for, and included, separately. </w:t>
      </w:r>
    </w:p>
    <w:p w14:paraId="59604BD4" w14:textId="77777777" w:rsidR="007A6928" w:rsidRPr="00FE5C31" w:rsidRDefault="0032495C" w:rsidP="34B0439A">
      <w:pPr>
        <w:keepNext/>
        <w:snapToGrid w:val="0"/>
        <w:spacing w:before="240" w:after="240" w:line="240" w:lineRule="atLeast"/>
        <w:ind w:left="720" w:hanging="720"/>
        <w:outlineLvl w:val="2"/>
        <w:rPr>
          <w:rStyle w:val="Heading3Char3"/>
        </w:rPr>
      </w:pPr>
      <w:r w:rsidRPr="00A81971">
        <w:rPr>
          <w:rFonts w:eastAsia="Calibri"/>
          <w:b/>
          <w:bCs/>
          <w:i/>
          <w:iCs/>
          <w:color w:val="000000" w:themeColor="text1"/>
          <w:lang w:eastAsia="nl-NL"/>
        </w:rPr>
        <w:t>3.2.2</w:t>
      </w:r>
      <w:r w:rsidRPr="00A81971">
        <w:tab/>
      </w:r>
      <w:r w:rsidRPr="00FE5C31">
        <w:rPr>
          <w:rStyle w:val="Heading3Char3"/>
        </w:rPr>
        <w:t>New Scenario 1b for HPMPs: Scenario based on CE factors for each A5 party over the past 6 years</w:t>
      </w:r>
    </w:p>
    <w:p w14:paraId="5E49EC50" w14:textId="77777777" w:rsidR="007A6928" w:rsidRPr="00A81971" w:rsidRDefault="0032495C" w:rsidP="007A6928">
      <w:pPr>
        <w:spacing w:after="0"/>
        <w:rPr>
          <w:rFonts w:eastAsia="Times New Roman"/>
          <w:lang w:eastAsia="nl-NL"/>
        </w:rPr>
      </w:pPr>
      <w:r w:rsidRPr="00A81971">
        <w:rPr>
          <w:rFonts w:eastAsia="Times New Roman"/>
          <w:lang w:eastAsia="nl-NL"/>
        </w:rPr>
        <w:t xml:space="preserve">For most parties CE thresholds from projects over the past 6 years covered different HPMP </w:t>
      </w:r>
      <w:r w:rsidR="00771C82">
        <w:rPr>
          <w:rFonts w:eastAsia="Times New Roman"/>
          <w:lang w:eastAsia="nl-NL"/>
        </w:rPr>
        <w:t>s</w:t>
      </w:r>
      <w:r w:rsidRPr="00A81971">
        <w:rPr>
          <w:rFonts w:eastAsia="Times New Roman"/>
          <w:lang w:eastAsia="nl-NL"/>
        </w:rPr>
        <w:t xml:space="preserve">tages, Therefore, for the 3 parties with remaining consumption in Commercial Refrigeration sector and 7 with servicing sector consumption only, the same CEs used for New Scenario 1 a. (Historical) were applied. They are 10.7 US$/kg for Commercial Refrigeration and 4.8$/kg for servicing sectors. For China, RTF used CE information per sector for the past 6 years from the </w:t>
      </w:r>
      <w:r w:rsidRPr="00A81971">
        <w:rPr>
          <w:rFonts w:eastAsia="Times New Roman"/>
          <w:u w:val="single"/>
          <w:lang w:eastAsia="nl-NL"/>
        </w:rPr>
        <w:t>HPMP II</w:t>
      </w:r>
      <w:r w:rsidRPr="00A81971">
        <w:rPr>
          <w:rFonts w:eastAsia="Times New Roman"/>
          <w:lang w:eastAsia="nl-NL"/>
        </w:rPr>
        <w:t xml:space="preserve"> approved, as in Table 3.</w:t>
      </w:r>
      <w:r w:rsidR="00530404">
        <w:rPr>
          <w:rFonts w:eastAsia="Times New Roman"/>
          <w:lang w:eastAsia="nl-NL"/>
        </w:rPr>
        <w:t>5</w:t>
      </w:r>
      <w:r w:rsidRPr="00A81971">
        <w:rPr>
          <w:rFonts w:eastAsia="Times New Roman"/>
          <w:lang w:eastAsia="nl-NL"/>
        </w:rPr>
        <w:t>.</w:t>
      </w:r>
    </w:p>
    <w:p w14:paraId="54FBB345" w14:textId="77777777" w:rsidR="34B0439A" w:rsidRPr="00A81971" w:rsidRDefault="34B0439A" w:rsidP="34B0439A">
      <w:pPr>
        <w:spacing w:after="0"/>
        <w:rPr>
          <w:rFonts w:eastAsia="Times New Roman"/>
          <w:lang w:eastAsia="nl-NL"/>
        </w:rPr>
      </w:pPr>
    </w:p>
    <w:p w14:paraId="571941B8" w14:textId="77777777" w:rsidR="007A6928" w:rsidRPr="00A81971" w:rsidRDefault="0032495C" w:rsidP="00C06DDC">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3.</w:t>
      </w:r>
      <w:r w:rsidR="00530404">
        <w:rPr>
          <w:rFonts w:eastAsia="Yu Mincho"/>
          <w:b/>
          <w:bCs/>
          <w:color w:val="000000"/>
          <w:lang w:val="en-CA"/>
        </w:rPr>
        <w:t>5</w:t>
      </w:r>
      <w:r>
        <w:rPr>
          <w:rFonts w:eastAsia="Yu Mincho"/>
          <w:b/>
          <w:bCs/>
          <w:color w:val="000000"/>
          <w:lang w:val="en-CA"/>
        </w:rPr>
        <w:t>:</w:t>
      </w:r>
      <w:r w:rsidRPr="0006445E">
        <w:rPr>
          <w:rFonts w:eastAsia="Times New Roman"/>
          <w:color w:val="000000"/>
          <w:lang w:val="en-CA"/>
        </w:rPr>
        <w:tab/>
      </w:r>
      <w:r w:rsidRPr="00A81971">
        <w:rPr>
          <w:rFonts w:eastAsia="Times New Roman"/>
          <w:b/>
          <w:bCs/>
        </w:rPr>
        <w:t>CEs applied to China under New Scenario 1b (CE for the past 6 years)</w:t>
      </w:r>
      <w:r w:rsidR="34B0439A" w:rsidRPr="00A81971">
        <w:rPr>
          <w:rFonts w:eastAsia="Times New Roman"/>
          <w:b/>
          <w:bCs/>
        </w:rPr>
        <w:t xml:space="preserve"> </w:t>
      </w:r>
    </w:p>
    <w:tbl>
      <w:tblPr>
        <w:tblW w:w="88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0"/>
        <w:gridCol w:w="1560"/>
        <w:gridCol w:w="1545"/>
        <w:gridCol w:w="2880"/>
      </w:tblGrid>
      <w:tr w:rsidR="00F90461" w14:paraId="6FCB52F7" w14:textId="77777777" w:rsidTr="00FE5C31">
        <w:trPr>
          <w:trHeight w:val="915"/>
        </w:trPr>
        <w:tc>
          <w:tcPr>
            <w:tcW w:w="2820" w:type="dxa"/>
            <w:tcBorders>
              <w:top w:val="single" w:sz="6" w:space="0" w:color="auto"/>
              <w:left w:val="single" w:sz="6" w:space="0" w:color="auto"/>
              <w:bottom w:val="single" w:sz="6" w:space="0" w:color="auto"/>
              <w:right w:val="single" w:sz="6" w:space="0" w:color="auto"/>
            </w:tcBorders>
            <w:shd w:val="clear" w:color="auto" w:fill="D9E2F3" w:themeFill="accent1" w:themeFillTint="33"/>
            <w:tcMar>
              <w:left w:w="105" w:type="dxa"/>
              <w:right w:w="105" w:type="dxa"/>
            </w:tcMar>
            <w:vAlign w:val="center"/>
          </w:tcPr>
          <w:p w14:paraId="7EFB2002" w14:textId="77777777"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CHINA</w:t>
            </w:r>
          </w:p>
        </w:tc>
        <w:tc>
          <w:tcPr>
            <w:tcW w:w="1560" w:type="dxa"/>
            <w:tcBorders>
              <w:top w:val="single" w:sz="6" w:space="0" w:color="auto"/>
              <w:left w:val="single" w:sz="6" w:space="0" w:color="auto"/>
              <w:bottom w:val="single" w:sz="6" w:space="0" w:color="auto"/>
              <w:right w:val="single" w:sz="6" w:space="0" w:color="auto"/>
            </w:tcBorders>
            <w:shd w:val="clear" w:color="auto" w:fill="D9E2F3" w:themeFill="accent1" w:themeFillTint="33"/>
            <w:tcMar>
              <w:left w:w="105" w:type="dxa"/>
              <w:right w:w="105" w:type="dxa"/>
            </w:tcMar>
            <w:vAlign w:val="center"/>
          </w:tcPr>
          <w:p w14:paraId="0307E9B6" w14:textId="77777777"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HPMP I</w:t>
            </w:r>
          </w:p>
        </w:tc>
        <w:tc>
          <w:tcPr>
            <w:tcW w:w="1545" w:type="dxa"/>
            <w:tcBorders>
              <w:top w:val="single" w:sz="6" w:space="0" w:color="auto"/>
              <w:left w:val="single" w:sz="6" w:space="0" w:color="auto"/>
              <w:bottom w:val="single" w:sz="6" w:space="0" w:color="auto"/>
              <w:right w:val="single" w:sz="6" w:space="0" w:color="auto"/>
            </w:tcBorders>
            <w:shd w:val="clear" w:color="auto" w:fill="D9E2F3" w:themeFill="accent1" w:themeFillTint="33"/>
            <w:tcMar>
              <w:left w:w="105" w:type="dxa"/>
              <w:right w:w="105" w:type="dxa"/>
            </w:tcMar>
            <w:vAlign w:val="center"/>
          </w:tcPr>
          <w:p w14:paraId="619D9DB1" w14:textId="77777777"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 xml:space="preserve">HPMP II </w:t>
            </w:r>
          </w:p>
        </w:tc>
        <w:tc>
          <w:tcPr>
            <w:tcW w:w="2880" w:type="dxa"/>
            <w:tcBorders>
              <w:top w:val="single" w:sz="6" w:space="0" w:color="auto"/>
              <w:left w:val="single" w:sz="6" w:space="0" w:color="auto"/>
              <w:bottom w:val="single" w:sz="6" w:space="0" w:color="auto"/>
              <w:right w:val="single" w:sz="6" w:space="0" w:color="auto"/>
            </w:tcBorders>
            <w:shd w:val="clear" w:color="auto" w:fill="D9E2F3" w:themeFill="accent1" w:themeFillTint="33"/>
            <w:tcMar>
              <w:left w:w="105" w:type="dxa"/>
              <w:right w:w="105" w:type="dxa"/>
            </w:tcMar>
            <w:vAlign w:val="center"/>
          </w:tcPr>
          <w:p w14:paraId="76B78071" w14:textId="77777777" w:rsidR="34B0439A" w:rsidRPr="00A81971" w:rsidRDefault="0032495C" w:rsidP="0019680B">
            <w:pPr>
              <w:spacing w:after="0"/>
              <w:rPr>
                <w:rFonts w:eastAsia="Times New Roman"/>
                <w:color w:val="000000" w:themeColor="text1"/>
              </w:rPr>
            </w:pPr>
            <w:r w:rsidRPr="00A81971">
              <w:rPr>
                <w:rFonts w:eastAsia="Times New Roman"/>
                <w:b/>
                <w:bCs/>
                <w:color w:val="000000" w:themeColor="text1"/>
                <w:u w:val="single"/>
              </w:rPr>
              <w:t>New Scenario 1 b.</w:t>
            </w:r>
          </w:p>
          <w:p w14:paraId="78C76A88" w14:textId="77777777"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 xml:space="preserve">CE for past 6 years </w:t>
            </w:r>
          </w:p>
          <w:p w14:paraId="0AB8D4E0" w14:textId="73342DBB"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(2020-2025 period)</w:t>
            </w:r>
          </w:p>
        </w:tc>
      </w:tr>
      <w:tr w:rsidR="00F90461" w14:paraId="7A78D84C" w14:textId="77777777" w:rsidTr="00FE5C31">
        <w:trPr>
          <w:trHeight w:val="765"/>
        </w:trPr>
        <w:tc>
          <w:tcPr>
            <w:tcW w:w="282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56FF231A" w14:textId="4393DFB2" w:rsidR="34B0439A" w:rsidRPr="00A81971" w:rsidRDefault="0032495C" w:rsidP="0019680B">
            <w:pPr>
              <w:spacing w:after="0"/>
              <w:rPr>
                <w:rFonts w:eastAsia="Times New Roman"/>
                <w:color w:val="000000" w:themeColor="text1"/>
              </w:rPr>
            </w:pPr>
            <w:r w:rsidRPr="00A81971">
              <w:rPr>
                <w:rFonts w:eastAsia="Times New Roman"/>
                <w:b/>
                <w:bCs/>
                <w:color w:val="000000" w:themeColor="text1"/>
              </w:rPr>
              <w:t>SECTOR</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F27B62" w14:textId="77777777" w:rsidR="34B0439A" w:rsidRPr="00A81971" w:rsidRDefault="0032495C" w:rsidP="0019680B">
            <w:pPr>
              <w:spacing w:after="0"/>
              <w:rPr>
                <w:rFonts w:eastAsia="Times New Roman"/>
                <w:color w:val="000000" w:themeColor="text1"/>
              </w:rPr>
            </w:pPr>
            <w:r w:rsidRPr="00A81971">
              <w:rPr>
                <w:rFonts w:eastAsia="Times New Roman"/>
                <w:color w:val="000000" w:themeColor="text1"/>
              </w:rPr>
              <w:t>CE (US$/kg)</w:t>
            </w:r>
            <w:r w:rsidRPr="00A81971">
              <w:br/>
            </w:r>
            <w:r w:rsidRPr="00A81971">
              <w:rPr>
                <w:rFonts w:eastAsia="Times New Roman"/>
                <w:color w:val="000000" w:themeColor="text1"/>
              </w:rPr>
              <w:t>(Without PMU)</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741766" w14:textId="77777777" w:rsidR="34B0439A" w:rsidRPr="00A81971" w:rsidRDefault="0032495C" w:rsidP="0019680B">
            <w:pPr>
              <w:spacing w:after="0"/>
              <w:rPr>
                <w:rFonts w:eastAsia="Times New Roman"/>
                <w:color w:val="000000" w:themeColor="text1"/>
              </w:rPr>
            </w:pPr>
            <w:r w:rsidRPr="00A81971">
              <w:rPr>
                <w:rFonts w:eastAsia="Times New Roman"/>
                <w:color w:val="000000" w:themeColor="text1"/>
              </w:rPr>
              <w:t>CE (US$/kg)</w:t>
            </w:r>
            <w:r w:rsidRPr="00A81971">
              <w:br/>
            </w:r>
            <w:r w:rsidRPr="00A81971">
              <w:rPr>
                <w:rFonts w:eastAsia="Times New Roman"/>
                <w:color w:val="000000" w:themeColor="text1"/>
              </w:rPr>
              <w:t>(Without PMU)</w:t>
            </w:r>
          </w:p>
        </w:tc>
        <w:tc>
          <w:tcPr>
            <w:tcW w:w="288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50377463" w14:textId="0654FD92" w:rsidR="34B0439A" w:rsidRPr="00A81971" w:rsidRDefault="0032495C" w:rsidP="00FE5C31">
            <w:pPr>
              <w:spacing w:after="0"/>
              <w:rPr>
                <w:rFonts w:eastAsia="Times New Roman"/>
                <w:color w:val="000000" w:themeColor="text1"/>
              </w:rPr>
            </w:pPr>
            <w:r w:rsidRPr="00A81971">
              <w:rPr>
                <w:rFonts w:eastAsia="Times New Roman"/>
                <w:b/>
                <w:bCs/>
                <w:color w:val="000000" w:themeColor="text1"/>
              </w:rPr>
              <w:t>CE for HPMP II (US$/kg)</w:t>
            </w:r>
          </w:p>
        </w:tc>
      </w:tr>
      <w:tr w:rsidR="00F90461" w14:paraId="3D57A182" w14:textId="77777777" w:rsidTr="00FE5C31">
        <w:trPr>
          <w:trHeight w:val="285"/>
        </w:trPr>
        <w:tc>
          <w:tcPr>
            <w:tcW w:w="282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bottom"/>
          </w:tcPr>
          <w:p w14:paraId="090ECFC0" w14:textId="77777777" w:rsidR="34B0439A" w:rsidRPr="00A81971" w:rsidRDefault="0032495C" w:rsidP="34B0439A">
            <w:pPr>
              <w:spacing w:after="0"/>
              <w:rPr>
                <w:rFonts w:eastAsia="Times New Roman"/>
                <w:color w:val="000000" w:themeColor="text1"/>
              </w:rPr>
            </w:pPr>
            <w:r w:rsidRPr="00A81971">
              <w:rPr>
                <w:rFonts w:eastAsia="Times New Roman"/>
                <w:b/>
                <w:bCs/>
                <w:color w:val="000000" w:themeColor="text1"/>
              </w:rPr>
              <w:t>Industrial and Commercial Ref. and AC</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44C135"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7.33</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B4DA88"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2.59</w:t>
            </w:r>
          </w:p>
        </w:tc>
        <w:tc>
          <w:tcPr>
            <w:tcW w:w="288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553069CC" w14:textId="77777777" w:rsidR="34B0439A" w:rsidRPr="00A81971" w:rsidRDefault="0032495C" w:rsidP="00F25F26">
            <w:pPr>
              <w:spacing w:after="0"/>
              <w:jc w:val="center"/>
              <w:rPr>
                <w:rFonts w:eastAsia="Times New Roman"/>
                <w:color w:val="000000" w:themeColor="text1"/>
              </w:rPr>
            </w:pPr>
            <w:r w:rsidRPr="00A81971">
              <w:rPr>
                <w:rFonts w:eastAsia="Times New Roman"/>
                <w:color w:val="000000" w:themeColor="text1"/>
              </w:rPr>
              <w:t>2.59</w:t>
            </w:r>
          </w:p>
        </w:tc>
      </w:tr>
      <w:tr w:rsidR="00F90461" w14:paraId="2E515C4B" w14:textId="77777777" w:rsidTr="00FE5C31">
        <w:trPr>
          <w:trHeight w:val="285"/>
        </w:trPr>
        <w:tc>
          <w:tcPr>
            <w:tcW w:w="282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bottom"/>
          </w:tcPr>
          <w:p w14:paraId="65DBCF5E" w14:textId="77777777" w:rsidR="34B0439A" w:rsidRPr="00A81971" w:rsidRDefault="0032495C" w:rsidP="34B0439A">
            <w:pPr>
              <w:spacing w:after="0"/>
              <w:rPr>
                <w:rFonts w:eastAsia="Times New Roman"/>
                <w:color w:val="000000" w:themeColor="text1"/>
              </w:rPr>
            </w:pPr>
            <w:r w:rsidRPr="00A81971">
              <w:rPr>
                <w:rFonts w:eastAsia="Times New Roman"/>
                <w:b/>
                <w:bCs/>
                <w:color w:val="000000" w:themeColor="text1"/>
              </w:rPr>
              <w:t>Residential AC and Heat Pumps</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AF2C81"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6.75</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4B2529"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1.29</w:t>
            </w:r>
          </w:p>
        </w:tc>
        <w:tc>
          <w:tcPr>
            <w:tcW w:w="288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08DD56A3" w14:textId="77777777" w:rsidR="34B0439A" w:rsidRPr="00A81971" w:rsidRDefault="0032495C" w:rsidP="00F25F26">
            <w:pPr>
              <w:spacing w:after="0"/>
              <w:jc w:val="center"/>
              <w:rPr>
                <w:rFonts w:eastAsia="Times New Roman"/>
                <w:color w:val="000000" w:themeColor="text1"/>
              </w:rPr>
            </w:pPr>
            <w:r w:rsidRPr="00A81971">
              <w:rPr>
                <w:rFonts w:eastAsia="Times New Roman"/>
                <w:color w:val="000000" w:themeColor="text1"/>
              </w:rPr>
              <w:t>1.29</w:t>
            </w:r>
          </w:p>
        </w:tc>
      </w:tr>
      <w:tr w:rsidR="00F90461" w14:paraId="4432B629" w14:textId="77777777" w:rsidTr="00FE5C31">
        <w:trPr>
          <w:trHeight w:val="285"/>
        </w:trPr>
        <w:tc>
          <w:tcPr>
            <w:tcW w:w="282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bottom"/>
          </w:tcPr>
          <w:p w14:paraId="024E821D" w14:textId="77777777" w:rsidR="34B0439A" w:rsidRPr="00A81971" w:rsidRDefault="0032495C" w:rsidP="34B0439A">
            <w:pPr>
              <w:spacing w:after="0"/>
              <w:rPr>
                <w:rFonts w:eastAsia="Times New Roman"/>
                <w:color w:val="000000" w:themeColor="text1"/>
              </w:rPr>
            </w:pPr>
            <w:r w:rsidRPr="00A81971">
              <w:rPr>
                <w:rFonts w:eastAsia="Times New Roman"/>
                <w:b/>
                <w:bCs/>
                <w:color w:val="000000" w:themeColor="text1"/>
              </w:rPr>
              <w:t>Servicing Sector</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E25659"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4.8</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175692" w14:textId="77777777" w:rsidR="34B0439A" w:rsidRPr="00A81971" w:rsidRDefault="0032495C" w:rsidP="00FE5C31">
            <w:pPr>
              <w:spacing w:after="0"/>
              <w:jc w:val="right"/>
              <w:rPr>
                <w:rFonts w:eastAsia="Times New Roman"/>
                <w:color w:val="000000" w:themeColor="text1"/>
              </w:rPr>
            </w:pPr>
            <w:r w:rsidRPr="00A81971">
              <w:rPr>
                <w:rFonts w:eastAsia="Times New Roman"/>
                <w:color w:val="000000" w:themeColor="text1"/>
              </w:rPr>
              <w:t>1.36</w:t>
            </w:r>
          </w:p>
        </w:tc>
        <w:tc>
          <w:tcPr>
            <w:tcW w:w="2880" w:type="dxa"/>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2060FF66" w14:textId="77777777" w:rsidR="34B0439A" w:rsidRPr="00A81971" w:rsidRDefault="0032495C" w:rsidP="00F25F26">
            <w:pPr>
              <w:spacing w:after="0"/>
              <w:jc w:val="center"/>
              <w:rPr>
                <w:rFonts w:eastAsia="Times New Roman"/>
                <w:color w:val="000000" w:themeColor="text1"/>
              </w:rPr>
            </w:pPr>
            <w:r w:rsidRPr="00A81971">
              <w:rPr>
                <w:rFonts w:eastAsia="Times New Roman"/>
                <w:color w:val="000000" w:themeColor="text1"/>
              </w:rPr>
              <w:t>1.36</w:t>
            </w:r>
          </w:p>
        </w:tc>
      </w:tr>
    </w:tbl>
    <w:p w14:paraId="68830F05" w14:textId="77777777" w:rsidR="007A6928" w:rsidRPr="00A81971" w:rsidRDefault="007A6928" w:rsidP="007A6928">
      <w:pPr>
        <w:spacing w:after="0"/>
        <w:rPr>
          <w:rFonts w:eastAsia="Times New Roman"/>
          <w:sz w:val="24"/>
          <w:szCs w:val="24"/>
          <w:lang w:eastAsia="nl-NL"/>
        </w:rPr>
      </w:pPr>
    </w:p>
    <w:p w14:paraId="06E421A4" w14:textId="77777777" w:rsidR="007A6928" w:rsidRPr="00A81971" w:rsidRDefault="0032495C" w:rsidP="007A6928">
      <w:pPr>
        <w:spacing w:after="0"/>
      </w:pPr>
      <w:r w:rsidRPr="00A81971">
        <w:rPr>
          <w:rFonts w:eastAsia="Times New Roman"/>
          <w:lang w:eastAsia="nl-NL"/>
        </w:rPr>
        <w:t>The following Table 3.</w:t>
      </w:r>
      <w:r w:rsidR="00530404">
        <w:rPr>
          <w:rFonts w:eastAsia="Times New Roman"/>
          <w:lang w:eastAsia="nl-NL"/>
        </w:rPr>
        <w:t>6</w:t>
      </w:r>
      <w:r w:rsidRPr="00A81971">
        <w:rPr>
          <w:rFonts w:eastAsia="Times New Roman"/>
          <w:lang w:eastAsia="nl-NL"/>
        </w:rPr>
        <w:t xml:space="preserve"> shows the comparison funding estimates when applying the CEs for New Scenario 1b (CEs for the past 6 years) with the Updated RTF May Report Low-end Scenario1.</w:t>
      </w:r>
    </w:p>
    <w:p w14:paraId="78EB367D" w14:textId="77777777" w:rsidR="00530404" w:rsidRDefault="00530404">
      <w:pPr>
        <w:spacing w:after="0"/>
        <w:rPr>
          <w:rFonts w:eastAsia="Yu Mincho"/>
          <w:b/>
          <w:bCs/>
          <w:color w:val="000000"/>
          <w:lang w:val="en-CA"/>
        </w:rPr>
      </w:pPr>
    </w:p>
    <w:p w14:paraId="7296562A" w14:textId="77777777" w:rsidR="00530404" w:rsidRDefault="0032495C">
      <w:pPr>
        <w:spacing w:after="0"/>
        <w:rPr>
          <w:rFonts w:eastAsia="Yu Mincho"/>
          <w:b/>
          <w:bCs/>
          <w:color w:val="000000"/>
          <w:lang w:val="en-CA"/>
        </w:rPr>
      </w:pPr>
      <w:r>
        <w:rPr>
          <w:rFonts w:eastAsia="Yu Mincho"/>
          <w:b/>
          <w:bCs/>
          <w:color w:val="000000"/>
          <w:lang w:val="en-CA"/>
        </w:rPr>
        <w:br w:type="page"/>
      </w:r>
    </w:p>
    <w:p w14:paraId="0C7473BC" w14:textId="77777777" w:rsidR="00530404" w:rsidRDefault="0032495C" w:rsidP="00AF2528">
      <w:pPr>
        <w:tabs>
          <w:tab w:val="left" w:pos="0"/>
          <w:tab w:val="left" w:pos="1276"/>
        </w:tabs>
        <w:spacing w:after="120"/>
        <w:ind w:left="1282" w:hanging="1282"/>
        <w:rPr>
          <w:rFonts w:eastAsia="Times New Roman"/>
          <w:b/>
          <w:bCs/>
          <w:color w:val="000000" w:themeColor="text1"/>
          <w:lang w:eastAsia="nl-NL"/>
        </w:rPr>
      </w:pPr>
      <w:r w:rsidRPr="0006445E">
        <w:rPr>
          <w:rFonts w:eastAsia="Yu Mincho"/>
          <w:b/>
          <w:bCs/>
          <w:color w:val="000000"/>
          <w:lang w:val="en-CA"/>
        </w:rPr>
        <w:lastRenderedPageBreak/>
        <w:t xml:space="preserve">Table </w:t>
      </w:r>
      <w:r>
        <w:rPr>
          <w:rFonts w:eastAsia="Yu Mincho"/>
          <w:b/>
          <w:bCs/>
          <w:color w:val="000000"/>
          <w:lang w:val="en-CA"/>
        </w:rPr>
        <w:t>3.6:</w:t>
      </w:r>
      <w:r w:rsidRPr="0006445E">
        <w:rPr>
          <w:rFonts w:eastAsia="Times New Roman"/>
          <w:color w:val="000000"/>
          <w:lang w:val="en-CA"/>
        </w:rPr>
        <w:tab/>
      </w:r>
      <w:r w:rsidRPr="00A81971">
        <w:rPr>
          <w:rFonts w:eastAsia="Times New Roman"/>
          <w:b/>
          <w:bCs/>
          <w:color w:val="000000" w:themeColor="text1"/>
          <w:lang w:eastAsia="nl-NL"/>
        </w:rPr>
        <w:t>Funding Estimates when applying New Scenario 1b (CEs for the past 6 years)</w:t>
      </w:r>
    </w:p>
    <w:p w14:paraId="6A88AB1E" w14:textId="77777777" w:rsidR="007A6928" w:rsidRPr="00530404" w:rsidRDefault="0032495C" w:rsidP="00AF2528">
      <w:pPr>
        <w:tabs>
          <w:tab w:val="left" w:pos="0"/>
          <w:tab w:val="left" w:pos="1276"/>
        </w:tabs>
        <w:spacing w:after="120"/>
        <w:ind w:left="1282" w:hanging="1282"/>
        <w:rPr>
          <w:sz w:val="18"/>
          <w:szCs w:val="18"/>
        </w:rPr>
      </w:pPr>
      <w:r w:rsidRPr="00530404">
        <w:rPr>
          <w:noProof/>
          <w:sz w:val="18"/>
          <w:szCs w:val="18"/>
        </w:rPr>
        <w:drawing>
          <wp:inline distT="0" distB="0" distL="0" distR="0" wp14:anchorId="5091D481" wp14:editId="059245BD">
            <wp:extent cx="5762625" cy="3257550"/>
            <wp:effectExtent l="0" t="0" r="0" b="0"/>
            <wp:docPr id="822892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92430" name="Picture 822892430"/>
                    <pic:cNvPicPr/>
                  </pic:nvPicPr>
                  <pic:blipFill>
                    <a:blip r:embed="rId24">
                      <a:extLst>
                        <a:ext uri="{28A0092B-C50C-407E-A947-70E740481C1C}">
                          <a14:useLocalDpi xmlns:a14="http://schemas.microsoft.com/office/drawing/2010/main" val="0"/>
                        </a:ext>
                      </a:extLst>
                    </a:blip>
                    <a:stretch>
                      <a:fillRect/>
                    </a:stretch>
                  </pic:blipFill>
                  <pic:spPr>
                    <a:xfrm>
                      <a:off x="0" y="0"/>
                      <a:ext cx="5762625" cy="3257550"/>
                    </a:xfrm>
                    <a:prstGeom prst="rect">
                      <a:avLst/>
                    </a:prstGeom>
                  </pic:spPr>
                </pic:pic>
              </a:graphicData>
            </a:graphic>
          </wp:inline>
        </w:drawing>
      </w:r>
    </w:p>
    <w:p w14:paraId="1819841A" w14:textId="77777777" w:rsidR="007A6928" w:rsidRPr="00530404" w:rsidRDefault="0032495C" w:rsidP="007A6928">
      <w:pPr>
        <w:spacing w:after="0"/>
        <w:rPr>
          <w:sz w:val="18"/>
          <w:szCs w:val="18"/>
        </w:rPr>
      </w:pPr>
      <w:r w:rsidRPr="00530404">
        <w:rPr>
          <w:rFonts w:eastAsia="Times New Roman"/>
          <w:sz w:val="18"/>
          <w:szCs w:val="18"/>
        </w:rPr>
        <w:t>*Percentage PMU applied: 5% for China and 10% for other parties.</w:t>
      </w:r>
    </w:p>
    <w:p w14:paraId="25EDA9FF" w14:textId="77777777" w:rsidR="007A6928" w:rsidRPr="00A81971" w:rsidRDefault="007A6928" w:rsidP="2E7655E2">
      <w:pPr>
        <w:spacing w:after="0"/>
        <w:rPr>
          <w:rFonts w:eastAsia="Times New Roman"/>
          <w:sz w:val="20"/>
          <w:szCs w:val="20"/>
        </w:rPr>
      </w:pPr>
    </w:p>
    <w:p w14:paraId="299F593B" w14:textId="77777777" w:rsidR="007A6928" w:rsidRPr="00CC5972" w:rsidRDefault="0032495C" w:rsidP="007A6928">
      <w:pPr>
        <w:spacing w:after="0"/>
        <w:rPr>
          <w:sz w:val="24"/>
          <w:szCs w:val="24"/>
        </w:rPr>
      </w:pPr>
      <w:r w:rsidRPr="00CC5972">
        <w:rPr>
          <w:rFonts w:eastAsia="Times New Roman"/>
        </w:rPr>
        <w:t>In order to simplify presentation of figures in tables, which for all other HCFC calculations do not go beyond 2032, the final committed tranche for one party for 2033 is included in the 2030-2032 triennium.</w:t>
      </w:r>
    </w:p>
    <w:p w14:paraId="612EEBBF" w14:textId="77777777" w:rsidR="007A6928" w:rsidRPr="00A81971" w:rsidRDefault="007A6928" w:rsidP="007A6928">
      <w:pPr>
        <w:spacing w:after="0"/>
        <w:rPr>
          <w:rFonts w:eastAsia="Times New Roman"/>
          <w:sz w:val="20"/>
          <w:szCs w:val="20"/>
        </w:rPr>
      </w:pPr>
    </w:p>
    <w:p w14:paraId="6016EAE2" w14:textId="77777777" w:rsidR="007A6928" w:rsidRPr="00A81971" w:rsidRDefault="0032495C" w:rsidP="007A6928">
      <w:pPr>
        <w:spacing w:after="0"/>
        <w:rPr>
          <w:rFonts w:eastAsia="Times New Roman"/>
          <w:sz w:val="20"/>
          <w:szCs w:val="20"/>
        </w:rPr>
      </w:pPr>
      <w:r w:rsidRPr="00A81971">
        <w:rPr>
          <w:rFonts w:eastAsia="Times New Roman"/>
          <w:color w:val="000000" w:themeColor="text1"/>
          <w:lang w:eastAsia="nl-NL"/>
        </w:rPr>
        <w:t>The estimated funding figures in Table 3.6 include 15% foreign ownership, PMU and 9.6% support costs. The total estimated funding for HCFC consumption sector in Table 3.</w:t>
      </w:r>
      <w:r w:rsidR="00F32D9A">
        <w:rPr>
          <w:rFonts w:eastAsia="Times New Roman"/>
          <w:color w:val="000000" w:themeColor="text1"/>
          <w:lang w:eastAsia="nl-NL"/>
        </w:rPr>
        <w:t>6</w:t>
      </w:r>
      <w:r w:rsidRPr="00A81971">
        <w:rPr>
          <w:rFonts w:eastAsia="Times New Roman"/>
          <w:color w:val="000000" w:themeColor="text1"/>
          <w:lang w:eastAsia="nl-NL"/>
        </w:rPr>
        <w:t xml:space="preserve"> does not include PRP, VER, and EE, which are accounted for and included separately.</w:t>
      </w:r>
    </w:p>
    <w:p w14:paraId="6A3DBA8A" w14:textId="77777777" w:rsidR="007A6928" w:rsidRPr="00A81971" w:rsidRDefault="0032495C" w:rsidP="00FE5C31">
      <w:pPr>
        <w:keepNext/>
        <w:snapToGrid w:val="0"/>
        <w:spacing w:before="240" w:after="240" w:line="240" w:lineRule="atLeast"/>
        <w:ind w:left="709" w:hanging="709"/>
        <w:outlineLvl w:val="2"/>
        <w:rPr>
          <w:rFonts w:eastAsia="Calibri"/>
          <w:b/>
          <w:bCs/>
          <w:i/>
          <w:iCs/>
          <w:color w:val="000000"/>
          <w:lang w:eastAsia="nl-NL"/>
        </w:rPr>
      </w:pPr>
      <w:r w:rsidRPr="00A81971">
        <w:rPr>
          <w:rFonts w:eastAsia="Calibri"/>
          <w:b/>
          <w:bCs/>
          <w:i/>
          <w:iCs/>
          <w:color w:val="000000" w:themeColor="text1"/>
          <w:lang w:eastAsia="nl-NL"/>
        </w:rPr>
        <w:t>3.2.3</w:t>
      </w:r>
      <w:r w:rsidR="34B0439A" w:rsidRPr="00A81971">
        <w:tab/>
      </w:r>
      <w:r w:rsidRPr="00FE5C31">
        <w:rPr>
          <w:rStyle w:val="Heading3Char3"/>
        </w:rPr>
        <w:t>New Scenario 1c for HPMPs: CE based on average funding levels for each A5 party over the past 6 years</w:t>
      </w:r>
    </w:p>
    <w:p w14:paraId="5D2A2330" w14:textId="77777777" w:rsidR="007A6928" w:rsidRPr="00A81971" w:rsidRDefault="0032495C" w:rsidP="007A6928">
      <w:pPr>
        <w:spacing w:after="0"/>
        <w:rPr>
          <w:rFonts w:eastAsia="Times New Roman"/>
          <w:lang w:eastAsia="nl-NL"/>
        </w:rPr>
      </w:pPr>
      <w:r w:rsidRPr="00A81971">
        <w:rPr>
          <w:rFonts w:eastAsia="Times New Roman"/>
          <w:lang w:eastAsia="nl-NL"/>
        </w:rPr>
        <w:t>RTF requested the MLFS for support to compile data required on CEs based on the average funding levels for each A5 party. While RTF received the list with all the parties, RTF focused on the CEs for those parties in the list that have eligible remaining consumption, that is, 8 no-LVCs, including China and 2 non-LVC with cancelled HPMPS. RTF used CE provided by the MLFS for each individual party.  For Yemen, as no information was available RTF used 4.8 US$/kg for remaining consumption in servicing sector. The MLFS information on CEs applied is presented in Table 3.</w:t>
      </w:r>
      <w:r w:rsidR="00F32D9A">
        <w:rPr>
          <w:rFonts w:eastAsia="Times New Roman"/>
          <w:lang w:eastAsia="nl-NL"/>
        </w:rPr>
        <w:t>7</w:t>
      </w:r>
      <w:r w:rsidRPr="00A81971">
        <w:rPr>
          <w:rFonts w:eastAsia="Times New Roman"/>
          <w:lang w:eastAsia="nl-NL"/>
        </w:rPr>
        <w:t>.</w:t>
      </w:r>
    </w:p>
    <w:p w14:paraId="3494C739" w14:textId="2E7A237B" w:rsidR="00BA1F36" w:rsidRDefault="00BA1F36" w:rsidP="007A6928">
      <w:pPr>
        <w:spacing w:after="0"/>
        <w:rPr>
          <w:rFonts w:eastAsia="Times New Roman"/>
          <w:lang w:eastAsia="nl-NL"/>
        </w:rPr>
      </w:pPr>
      <w:r>
        <w:rPr>
          <w:rFonts w:eastAsia="Times New Roman"/>
          <w:lang w:eastAsia="nl-NL"/>
        </w:rPr>
        <w:br w:type="page"/>
      </w:r>
    </w:p>
    <w:p w14:paraId="1EB0012C" w14:textId="77777777" w:rsidR="007A6928" w:rsidRPr="00A81971" w:rsidRDefault="007A6928" w:rsidP="007A6928">
      <w:pPr>
        <w:spacing w:after="0"/>
        <w:rPr>
          <w:rFonts w:eastAsia="Times New Roman"/>
          <w:lang w:eastAsia="nl-NL"/>
        </w:rPr>
      </w:pPr>
    </w:p>
    <w:p w14:paraId="4AABA6EE" w14:textId="77777777" w:rsidR="007A6928" w:rsidRPr="00A81971" w:rsidRDefault="0032495C" w:rsidP="00CF20EE">
      <w:pPr>
        <w:tabs>
          <w:tab w:val="left" w:pos="0"/>
          <w:tab w:val="left" w:pos="1276"/>
        </w:tabs>
        <w:spacing w:after="120"/>
        <w:ind w:left="1282" w:hanging="1282"/>
        <w:rPr>
          <w:rFonts w:eastAsia="Times New Roman"/>
          <w:b/>
          <w:bCs/>
          <w:lang w:eastAsia="nl-NL"/>
        </w:rPr>
      </w:pPr>
      <w:r w:rsidRPr="0006445E">
        <w:rPr>
          <w:rFonts w:eastAsia="Yu Mincho"/>
          <w:b/>
          <w:bCs/>
          <w:color w:val="000000"/>
          <w:lang w:val="en-CA"/>
        </w:rPr>
        <w:t xml:space="preserve">Table </w:t>
      </w:r>
      <w:r>
        <w:rPr>
          <w:rFonts w:eastAsia="Yu Mincho"/>
          <w:b/>
          <w:bCs/>
          <w:color w:val="000000"/>
          <w:lang w:val="en-CA"/>
        </w:rPr>
        <w:t>3.</w:t>
      </w:r>
      <w:r w:rsidR="00F32D9A">
        <w:rPr>
          <w:rFonts w:eastAsia="Yu Mincho"/>
          <w:b/>
          <w:bCs/>
          <w:color w:val="000000"/>
          <w:lang w:val="en-CA"/>
        </w:rPr>
        <w:t>7</w:t>
      </w:r>
      <w:r>
        <w:rPr>
          <w:rFonts w:eastAsia="Yu Mincho"/>
          <w:b/>
          <w:bCs/>
          <w:color w:val="000000"/>
          <w:lang w:val="en-CA"/>
        </w:rPr>
        <w:t>:</w:t>
      </w:r>
      <w:r w:rsidRPr="0006445E">
        <w:rPr>
          <w:rFonts w:eastAsia="Times New Roman"/>
          <w:color w:val="000000"/>
          <w:lang w:val="en-CA"/>
        </w:rPr>
        <w:tab/>
      </w:r>
      <w:r w:rsidRPr="00A81971">
        <w:rPr>
          <w:rFonts w:eastAsia="Times New Roman"/>
          <w:b/>
          <w:bCs/>
          <w:lang w:eastAsia="nl-NL"/>
        </w:rPr>
        <w:t xml:space="preserve">Scenario 1c CEs based on average funding levels for each A5 party over the past 6 years </w:t>
      </w:r>
    </w:p>
    <w:tbl>
      <w:tblPr>
        <w:tblpPr w:leftFromText="180" w:rightFromText="180" w:vertAnchor="text" w:horzAnchor="margin" w:tblpXSpec="center" w:tblpY="83"/>
        <w:tblW w:w="9126" w:type="dxa"/>
        <w:tblLayout w:type="fixed"/>
        <w:tblCellMar>
          <w:left w:w="0" w:type="dxa"/>
          <w:right w:w="0" w:type="dxa"/>
        </w:tblCellMar>
        <w:tblLook w:val="0700" w:firstRow="0" w:lastRow="0" w:firstColumn="0" w:lastColumn="1" w:noHBand="1" w:noVBand="1"/>
      </w:tblPr>
      <w:tblGrid>
        <w:gridCol w:w="2425"/>
        <w:gridCol w:w="2106"/>
        <w:gridCol w:w="1800"/>
        <w:gridCol w:w="1440"/>
        <w:gridCol w:w="1355"/>
      </w:tblGrid>
      <w:tr w:rsidR="00F90461" w14:paraId="5878314F" w14:textId="77777777" w:rsidTr="005C0963">
        <w:trPr>
          <w:trHeight w:val="994"/>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15" w:type="dxa"/>
              <w:left w:w="40" w:type="dxa"/>
              <w:bottom w:w="0" w:type="dxa"/>
              <w:right w:w="40" w:type="dxa"/>
            </w:tcMar>
            <w:vAlign w:val="center"/>
            <w:hideMark/>
          </w:tcPr>
          <w:p w14:paraId="362FCE68"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Country</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15" w:type="dxa"/>
              <w:left w:w="40" w:type="dxa"/>
              <w:bottom w:w="0" w:type="dxa"/>
              <w:right w:w="40" w:type="dxa"/>
            </w:tcMar>
            <w:vAlign w:val="center"/>
            <w:hideMark/>
          </w:tcPr>
          <w:p w14:paraId="630E2C5E" w14:textId="77777777" w:rsidR="007A6928" w:rsidRPr="00A81971" w:rsidRDefault="0032495C" w:rsidP="00DD223B">
            <w:pPr>
              <w:spacing w:after="0"/>
              <w:jc w:val="center"/>
              <w:rPr>
                <w:rFonts w:eastAsia="Times New Roman"/>
                <w:b/>
                <w:bCs/>
                <w:lang w:eastAsia="nl-NL"/>
              </w:rPr>
            </w:pPr>
            <w:r w:rsidRPr="00A81971">
              <w:rPr>
                <w:rFonts w:eastAsia="Times New Roman"/>
                <w:b/>
                <w:bCs/>
                <w:lang w:eastAsia="nl-NL"/>
              </w:rPr>
              <w:t>2020-2025 Funding</w:t>
            </w:r>
          </w:p>
          <w:p w14:paraId="31C90204"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(US$, with Support Cost)</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15" w:type="dxa"/>
              <w:left w:w="40" w:type="dxa"/>
              <w:bottom w:w="0" w:type="dxa"/>
              <w:right w:w="40" w:type="dxa"/>
            </w:tcMar>
            <w:vAlign w:val="center"/>
            <w:hideMark/>
          </w:tcPr>
          <w:p w14:paraId="075F3490"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Phase-out</w:t>
            </w:r>
          </w:p>
          <w:p w14:paraId="6A703B5F"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in 2020-2025 (mt)</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15" w:type="dxa"/>
              <w:left w:w="40" w:type="dxa"/>
              <w:bottom w:w="0" w:type="dxa"/>
              <w:right w:w="40" w:type="dxa"/>
            </w:tcMar>
            <w:vAlign w:val="center"/>
            <w:hideMark/>
          </w:tcPr>
          <w:p w14:paraId="6EA29B27" w14:textId="77777777" w:rsidR="007A6928" w:rsidRPr="00A81971" w:rsidRDefault="0032495C" w:rsidP="00DD223B">
            <w:pPr>
              <w:spacing w:after="0"/>
              <w:jc w:val="center"/>
              <w:rPr>
                <w:rFonts w:eastAsia="Times New Roman"/>
                <w:b/>
                <w:bCs/>
                <w:lang w:eastAsia="nl-NL"/>
              </w:rPr>
            </w:pPr>
            <w:r w:rsidRPr="00A81971">
              <w:rPr>
                <w:rFonts w:eastAsia="Times New Roman"/>
                <w:b/>
                <w:bCs/>
                <w:lang w:eastAsia="nl-NL"/>
              </w:rPr>
              <w:t>CE 2020-2025</w:t>
            </w:r>
          </w:p>
          <w:p w14:paraId="6F2719BB"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(US $/kg)</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15" w:type="dxa"/>
              <w:left w:w="40" w:type="dxa"/>
              <w:bottom w:w="0" w:type="dxa"/>
              <w:right w:w="40" w:type="dxa"/>
            </w:tcMar>
            <w:vAlign w:val="center"/>
            <w:hideMark/>
          </w:tcPr>
          <w:p w14:paraId="4A1310CC" w14:textId="77777777" w:rsidR="007A6928" w:rsidRPr="00A81971" w:rsidRDefault="0032495C" w:rsidP="00DD223B">
            <w:pPr>
              <w:spacing w:after="0"/>
              <w:jc w:val="center"/>
              <w:rPr>
                <w:rFonts w:eastAsia="Times New Roman"/>
                <w:lang w:eastAsia="nl-NL"/>
              </w:rPr>
            </w:pPr>
            <w:r w:rsidRPr="00A81971">
              <w:rPr>
                <w:rFonts w:eastAsia="Times New Roman"/>
                <w:b/>
                <w:bCs/>
                <w:lang w:eastAsia="nl-NL"/>
              </w:rPr>
              <w:t>Stage</w:t>
            </w:r>
          </w:p>
        </w:tc>
      </w:tr>
      <w:tr w:rsidR="00F25F26" w14:paraId="04059CEB"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16087D51" w14:textId="77777777" w:rsidR="00F25F26" w:rsidRPr="00A81971" w:rsidRDefault="00F25F26" w:rsidP="005C0963">
            <w:pPr>
              <w:spacing w:before="40" w:after="40"/>
              <w:rPr>
                <w:rFonts w:eastAsia="Times New Roman"/>
                <w:lang w:eastAsia="nl-NL"/>
              </w:rPr>
            </w:pPr>
            <w:r w:rsidRPr="00A81971">
              <w:rPr>
                <w:rFonts w:eastAsia="Times New Roman"/>
                <w:lang w:eastAsia="nl-NL"/>
              </w:rPr>
              <w:t>China (no production included)</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5EBC4931" w14:textId="7A009710" w:rsidR="00F25F26" w:rsidRPr="007A3218" w:rsidRDefault="00F25F26" w:rsidP="005C0963">
            <w:pPr>
              <w:spacing w:before="40" w:after="40"/>
              <w:jc w:val="right"/>
            </w:pPr>
            <w:r w:rsidRPr="007A3218">
              <w:t>126,760,897</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850C28D" w14:textId="1D75B449" w:rsidR="00F25F26" w:rsidRPr="007A3218" w:rsidRDefault="00F25F26" w:rsidP="005C0963">
            <w:pPr>
              <w:spacing w:before="40" w:after="40"/>
              <w:jc w:val="right"/>
              <w:rPr>
                <w:rFonts w:eastAsia="Times New Roman"/>
                <w:lang w:eastAsia="nl-NL"/>
              </w:rPr>
            </w:pPr>
            <w:r w:rsidRPr="007A3218">
              <w:t>81,251.58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D448EB0" w14:textId="4BE449CB" w:rsidR="00F25F26" w:rsidRPr="007A3218" w:rsidRDefault="00F25F26" w:rsidP="005C0963">
            <w:pPr>
              <w:spacing w:before="40" w:after="40"/>
              <w:jc w:val="right"/>
              <w:rPr>
                <w:rFonts w:eastAsia="Times New Roman"/>
                <w:lang w:eastAsia="nl-NL"/>
              </w:rPr>
            </w:pPr>
            <w:r w:rsidRPr="007A3218">
              <w:t>1.56</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5A22CC54" w14:textId="77777777" w:rsidR="00F25F26" w:rsidRPr="007A3218" w:rsidRDefault="00F25F26" w:rsidP="005C0963">
            <w:pPr>
              <w:spacing w:before="40" w:after="40"/>
              <w:jc w:val="right"/>
              <w:rPr>
                <w:rFonts w:eastAsia="Times New Roman"/>
                <w:lang w:eastAsia="nl-NL"/>
              </w:rPr>
            </w:pPr>
            <w:r w:rsidRPr="007A3218">
              <w:rPr>
                <w:rFonts w:eastAsia="Times New Roman"/>
                <w:lang w:eastAsia="nl-NL"/>
              </w:rPr>
              <w:t>II</w:t>
            </w:r>
          </w:p>
        </w:tc>
      </w:tr>
      <w:tr w:rsidR="00F25F26" w14:paraId="42988F44"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66619426" w14:textId="77777777" w:rsidR="00F25F26" w:rsidRPr="00A81971" w:rsidRDefault="00F25F26" w:rsidP="005C0963">
            <w:pPr>
              <w:spacing w:before="40" w:after="40"/>
              <w:rPr>
                <w:rFonts w:eastAsia="Times New Roman"/>
                <w:lang w:eastAsia="nl-NL"/>
              </w:rPr>
            </w:pPr>
            <w:r w:rsidRPr="00A81971">
              <w:rPr>
                <w:rFonts w:eastAsia="Times New Roman"/>
                <w:lang w:eastAsia="nl-NL"/>
              </w:rPr>
              <w:t>Kuwait</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487D5929" w14:textId="0FEFDDFF" w:rsidR="00F25F26" w:rsidRPr="00A81971" w:rsidRDefault="00F25F26" w:rsidP="005C0963">
            <w:pPr>
              <w:spacing w:before="40" w:after="40"/>
              <w:jc w:val="right"/>
              <w:rPr>
                <w:rFonts w:eastAsia="Times New Roman"/>
                <w:lang w:eastAsia="nl-NL"/>
              </w:rPr>
            </w:pPr>
            <w:r>
              <w:rPr>
                <w:color w:val="000000"/>
              </w:rPr>
              <w:t>3,917,817</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0BD24E31" w14:textId="06D27C55" w:rsidR="00F25F26" w:rsidRPr="00A81971" w:rsidRDefault="00F25F26" w:rsidP="005C0963">
            <w:pPr>
              <w:spacing w:before="40" w:after="40"/>
              <w:jc w:val="right"/>
              <w:rPr>
                <w:rFonts w:eastAsia="Times New Roman"/>
                <w:lang w:eastAsia="nl-NL"/>
              </w:rPr>
            </w:pPr>
            <w:r>
              <w:rPr>
                <w:color w:val="000000"/>
              </w:rPr>
              <w:t>1,911.58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1E0E6E8B" w14:textId="0015001C" w:rsidR="00F25F26" w:rsidRPr="00A81971" w:rsidRDefault="00F25F26" w:rsidP="005C0963">
            <w:pPr>
              <w:spacing w:before="40" w:after="40"/>
              <w:jc w:val="right"/>
              <w:rPr>
                <w:rFonts w:eastAsia="Times New Roman"/>
                <w:lang w:eastAsia="nl-NL"/>
              </w:rPr>
            </w:pPr>
            <w:r>
              <w:rPr>
                <w:color w:val="000000"/>
              </w:rPr>
              <w:t>2.05</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2AB37B93"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 and II</w:t>
            </w:r>
          </w:p>
        </w:tc>
      </w:tr>
      <w:tr w:rsidR="00F25F26" w14:paraId="285D060E"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71BD0DE0" w14:textId="77777777" w:rsidR="00F25F26" w:rsidRPr="00A81971" w:rsidRDefault="00F25F26" w:rsidP="005C0963">
            <w:pPr>
              <w:spacing w:before="40" w:after="40"/>
              <w:rPr>
                <w:rFonts w:eastAsia="Times New Roman"/>
                <w:lang w:eastAsia="nl-NL"/>
              </w:rPr>
            </w:pPr>
            <w:r w:rsidRPr="00A81971">
              <w:rPr>
                <w:rFonts w:eastAsia="Times New Roman"/>
                <w:lang w:eastAsia="nl-NL"/>
              </w:rPr>
              <w:t>Syrian Arab Republic</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CCA32F9" w14:textId="03C9A2B9" w:rsidR="00F25F26" w:rsidRPr="00A81971" w:rsidRDefault="00F25F26" w:rsidP="005C0963">
            <w:pPr>
              <w:spacing w:before="40" w:after="40"/>
              <w:jc w:val="right"/>
              <w:rPr>
                <w:rFonts w:eastAsia="Times New Roman"/>
                <w:lang w:eastAsia="nl-NL"/>
              </w:rPr>
            </w:pPr>
            <w:r>
              <w:rPr>
                <w:color w:val="000000"/>
              </w:rPr>
              <w:t>3,082,658</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4126A2C" w14:textId="2D8630B6" w:rsidR="00F25F26" w:rsidRPr="00A81971" w:rsidRDefault="00F25F26" w:rsidP="005C0963">
            <w:pPr>
              <w:spacing w:before="40" w:after="40"/>
              <w:jc w:val="right"/>
              <w:rPr>
                <w:rFonts w:eastAsia="Times New Roman"/>
                <w:lang w:eastAsia="nl-NL"/>
              </w:rPr>
            </w:pPr>
            <w:r>
              <w:rPr>
                <w:color w:val="000000"/>
              </w:rPr>
              <w:t>661.32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01801399" w14:textId="0C950267" w:rsidR="00F25F26" w:rsidRPr="00A81971" w:rsidRDefault="00F25F26" w:rsidP="005C0963">
            <w:pPr>
              <w:spacing w:before="40" w:after="40"/>
              <w:jc w:val="right"/>
              <w:rPr>
                <w:rFonts w:eastAsia="Times New Roman"/>
                <w:lang w:eastAsia="nl-NL"/>
              </w:rPr>
            </w:pPr>
            <w:r>
              <w:rPr>
                <w:color w:val="000000"/>
              </w:rPr>
              <w:t>4.66</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297C8091"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w:t>
            </w:r>
          </w:p>
        </w:tc>
      </w:tr>
      <w:tr w:rsidR="00F25F26" w14:paraId="36FCB8B9"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13BE2217" w14:textId="77777777" w:rsidR="00F25F26" w:rsidRPr="00A81971" w:rsidRDefault="00F25F26" w:rsidP="005C0963">
            <w:pPr>
              <w:spacing w:before="40" w:after="40"/>
              <w:rPr>
                <w:rFonts w:eastAsia="Times New Roman"/>
                <w:lang w:eastAsia="nl-NL"/>
              </w:rPr>
            </w:pPr>
            <w:r w:rsidRPr="00A81971">
              <w:rPr>
                <w:rFonts w:eastAsia="Times New Roman"/>
                <w:lang w:eastAsia="nl-NL"/>
              </w:rPr>
              <w:t>Libya</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002E83C5" w14:textId="063928D8" w:rsidR="00F25F26" w:rsidRPr="00A81971" w:rsidRDefault="00F25F26" w:rsidP="005C0963">
            <w:pPr>
              <w:spacing w:before="40" w:after="40"/>
              <w:jc w:val="right"/>
              <w:rPr>
                <w:rFonts w:eastAsia="Times New Roman"/>
                <w:lang w:eastAsia="nl-NL"/>
              </w:rPr>
            </w:pPr>
            <w:r>
              <w:rPr>
                <w:color w:val="000000"/>
              </w:rPr>
              <w:t>1,886,162</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1381C944" w14:textId="1AD48FB0" w:rsidR="00F25F26" w:rsidRPr="00A81971" w:rsidRDefault="00F25F26" w:rsidP="005C0963">
            <w:pPr>
              <w:spacing w:before="40" w:after="40"/>
              <w:jc w:val="right"/>
              <w:rPr>
                <w:rFonts w:eastAsia="Times New Roman"/>
                <w:lang w:eastAsia="nl-NL"/>
              </w:rPr>
            </w:pPr>
            <w:r>
              <w:rPr>
                <w:color w:val="000000"/>
              </w:rPr>
              <w:t>367.28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7512E35F" w14:textId="784C7780" w:rsidR="00F25F26" w:rsidRPr="00A81971" w:rsidRDefault="00F25F26" w:rsidP="005C0963">
            <w:pPr>
              <w:spacing w:before="40" w:after="40"/>
              <w:jc w:val="right"/>
              <w:rPr>
                <w:rFonts w:eastAsia="Times New Roman"/>
                <w:lang w:eastAsia="nl-NL"/>
              </w:rPr>
            </w:pPr>
            <w:r>
              <w:rPr>
                <w:color w:val="000000"/>
              </w:rPr>
              <w:t>5.14</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0A9A3C5"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II</w:t>
            </w:r>
          </w:p>
        </w:tc>
      </w:tr>
      <w:tr w:rsidR="00F25F26" w14:paraId="444601CB"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18476A4D" w14:textId="77777777" w:rsidR="00F25F26" w:rsidRPr="00A81971" w:rsidRDefault="00F25F26" w:rsidP="005C0963">
            <w:pPr>
              <w:spacing w:before="40" w:after="40"/>
              <w:rPr>
                <w:rFonts w:eastAsia="Times New Roman"/>
                <w:lang w:eastAsia="nl-NL"/>
              </w:rPr>
            </w:pPr>
            <w:r w:rsidRPr="00A81971">
              <w:rPr>
                <w:rFonts w:eastAsia="Times New Roman"/>
                <w:lang w:eastAsia="nl-NL"/>
              </w:rPr>
              <w:t>Iraq </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06C5BE54" w14:textId="6AEA8EA8" w:rsidR="00F25F26" w:rsidRPr="00A81971" w:rsidRDefault="00F25F26" w:rsidP="005C0963">
            <w:pPr>
              <w:spacing w:before="40" w:after="40"/>
              <w:jc w:val="right"/>
              <w:rPr>
                <w:rFonts w:eastAsia="Times New Roman"/>
                <w:lang w:eastAsia="nl-NL"/>
              </w:rPr>
            </w:pPr>
            <w:r>
              <w:rPr>
                <w:color w:val="000000"/>
              </w:rPr>
              <w:t>1,052,950</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6B235263" w14:textId="2EE1664E" w:rsidR="00F25F26" w:rsidRPr="00A81971" w:rsidRDefault="00F25F26" w:rsidP="005C0963">
            <w:pPr>
              <w:spacing w:before="40" w:after="40"/>
              <w:jc w:val="right"/>
              <w:rPr>
                <w:rFonts w:eastAsia="Times New Roman"/>
                <w:lang w:eastAsia="nl-NL"/>
              </w:rPr>
            </w:pPr>
            <w:r>
              <w:rPr>
                <w:color w:val="000000"/>
              </w:rPr>
              <w:t>207.44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51C90CF" w14:textId="66DAFDE0" w:rsidR="00F25F26" w:rsidRPr="00A81971" w:rsidRDefault="00F25F26" w:rsidP="005C0963">
            <w:pPr>
              <w:spacing w:before="40" w:after="40"/>
              <w:jc w:val="right"/>
              <w:rPr>
                <w:rFonts w:eastAsia="Times New Roman"/>
                <w:lang w:eastAsia="nl-NL"/>
              </w:rPr>
            </w:pPr>
            <w:r>
              <w:rPr>
                <w:color w:val="000000"/>
              </w:rPr>
              <w:t>5.08</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3EC1DF4"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II</w:t>
            </w:r>
          </w:p>
        </w:tc>
      </w:tr>
      <w:tr w:rsidR="00F25F26" w14:paraId="02F10C77"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CBF8ECE" w14:textId="77777777" w:rsidR="00F25F26" w:rsidRPr="00A81971" w:rsidRDefault="00F25F26" w:rsidP="005C0963">
            <w:pPr>
              <w:spacing w:before="40" w:after="40"/>
              <w:rPr>
                <w:rFonts w:eastAsia="Times New Roman"/>
                <w:lang w:eastAsia="nl-NL"/>
              </w:rPr>
            </w:pPr>
            <w:r w:rsidRPr="00A81971">
              <w:rPr>
                <w:rFonts w:eastAsia="Times New Roman"/>
                <w:lang w:eastAsia="nl-NL"/>
              </w:rPr>
              <w:t>Senegal</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6BD6484E" w14:textId="115F6A37" w:rsidR="00F25F26" w:rsidRPr="00A81971" w:rsidRDefault="00F25F26" w:rsidP="005C0963">
            <w:pPr>
              <w:spacing w:before="40" w:after="40"/>
              <w:jc w:val="right"/>
              <w:rPr>
                <w:rFonts w:eastAsia="Times New Roman"/>
                <w:lang w:eastAsia="nl-NL"/>
              </w:rPr>
            </w:pPr>
            <w:r>
              <w:rPr>
                <w:color w:val="000000"/>
              </w:rPr>
              <w:t>978,160</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16A0BF84" w14:textId="39869759" w:rsidR="00F25F26" w:rsidRPr="00A81971" w:rsidRDefault="00F25F26" w:rsidP="005C0963">
            <w:pPr>
              <w:spacing w:before="40" w:after="40"/>
              <w:jc w:val="right"/>
              <w:rPr>
                <w:rFonts w:eastAsia="Times New Roman"/>
                <w:lang w:eastAsia="nl-NL"/>
              </w:rPr>
            </w:pPr>
            <w:r>
              <w:rPr>
                <w:color w:val="000000"/>
              </w:rPr>
              <w:t>160.25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2FDFE313" w14:textId="06DBB44D" w:rsidR="00F25F26" w:rsidRPr="00A81971" w:rsidRDefault="00F25F26" w:rsidP="005C0963">
            <w:pPr>
              <w:spacing w:before="40" w:after="40"/>
              <w:jc w:val="right"/>
              <w:rPr>
                <w:rFonts w:eastAsia="Times New Roman"/>
                <w:lang w:eastAsia="nl-NL"/>
              </w:rPr>
            </w:pPr>
            <w:r>
              <w:rPr>
                <w:color w:val="000000"/>
              </w:rPr>
              <w:t>6.10</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3B172B9D"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 and II</w:t>
            </w:r>
          </w:p>
        </w:tc>
      </w:tr>
      <w:tr w:rsidR="00F25F26" w14:paraId="6EC44D51"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7477F051" w14:textId="77777777" w:rsidR="00F25F26" w:rsidRPr="00A81971" w:rsidRDefault="00F25F26" w:rsidP="005C0963">
            <w:pPr>
              <w:spacing w:before="40" w:after="40"/>
              <w:rPr>
                <w:rFonts w:eastAsia="Times New Roman"/>
                <w:lang w:eastAsia="nl-NL"/>
              </w:rPr>
            </w:pPr>
            <w:r w:rsidRPr="00A81971">
              <w:rPr>
                <w:rFonts w:eastAsia="Times New Roman"/>
                <w:lang w:eastAsia="nl-NL"/>
              </w:rPr>
              <w:t>Qatar</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384B5162" w14:textId="6C64A135" w:rsidR="00F25F26" w:rsidRPr="00A81971" w:rsidRDefault="00F25F26" w:rsidP="005C0963">
            <w:pPr>
              <w:spacing w:before="40" w:after="40"/>
              <w:jc w:val="right"/>
              <w:rPr>
                <w:rFonts w:eastAsia="Times New Roman"/>
                <w:lang w:eastAsia="nl-NL"/>
              </w:rPr>
            </w:pPr>
            <w:r>
              <w:rPr>
                <w:color w:val="000000"/>
              </w:rPr>
              <w:t>647,270</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3C7DF40B" w14:textId="11C4173D" w:rsidR="00F25F26" w:rsidRPr="00A81971" w:rsidRDefault="00F25F26" w:rsidP="005C0963">
            <w:pPr>
              <w:spacing w:before="40" w:after="40"/>
              <w:jc w:val="right"/>
              <w:rPr>
                <w:rFonts w:eastAsia="Times New Roman"/>
                <w:lang w:eastAsia="nl-NL"/>
              </w:rPr>
            </w:pPr>
            <w:r>
              <w:rPr>
                <w:color w:val="000000"/>
              </w:rPr>
              <w:t>207.66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70822DC" w14:textId="10C72AB3" w:rsidR="00F25F26" w:rsidRPr="00A81971" w:rsidRDefault="00F25F26" w:rsidP="005C0963">
            <w:pPr>
              <w:spacing w:before="40" w:after="40"/>
              <w:jc w:val="right"/>
              <w:rPr>
                <w:rFonts w:eastAsia="Times New Roman"/>
                <w:lang w:eastAsia="nl-NL"/>
              </w:rPr>
            </w:pPr>
            <w:r>
              <w:rPr>
                <w:color w:val="000000"/>
              </w:rPr>
              <w:t>3.12</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1E2E3C19"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II</w:t>
            </w:r>
          </w:p>
        </w:tc>
      </w:tr>
      <w:tr w:rsidR="00F25F26" w14:paraId="25015A36"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7BD70C24" w14:textId="77777777" w:rsidR="00F25F26" w:rsidRPr="00A81971" w:rsidRDefault="00F25F26" w:rsidP="005C0963">
            <w:pPr>
              <w:spacing w:before="40" w:after="40"/>
              <w:rPr>
                <w:rFonts w:eastAsia="Times New Roman"/>
                <w:lang w:eastAsia="nl-NL"/>
              </w:rPr>
            </w:pPr>
            <w:r w:rsidRPr="00A81971">
              <w:rPr>
                <w:rFonts w:eastAsia="Times New Roman"/>
                <w:lang w:eastAsia="nl-NL"/>
              </w:rPr>
              <w:t xml:space="preserve">Afghanistan* </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03F9BAB1" w14:textId="65962DF1" w:rsidR="00F25F26" w:rsidRPr="00A81971" w:rsidRDefault="00F25F26" w:rsidP="005C0963">
            <w:pPr>
              <w:spacing w:before="40" w:after="40"/>
              <w:jc w:val="right"/>
              <w:rPr>
                <w:rFonts w:eastAsia="Times New Roman"/>
                <w:lang w:eastAsia="nl-NL"/>
              </w:rPr>
            </w:pPr>
            <w:r>
              <w:rPr>
                <w:color w:val="000000"/>
              </w:rPr>
              <w:t>420,672</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1E7BC449" w14:textId="7AF8E137" w:rsidR="00F25F26" w:rsidRPr="00A81971" w:rsidRDefault="00F25F26" w:rsidP="005C0963">
            <w:pPr>
              <w:spacing w:before="40" w:after="40"/>
              <w:jc w:val="right"/>
              <w:rPr>
                <w:rFonts w:eastAsia="Times New Roman"/>
                <w:lang w:eastAsia="nl-NL"/>
              </w:rPr>
            </w:pPr>
            <w:r>
              <w:rPr>
                <w:color w:val="000000"/>
              </w:rPr>
              <w:t>154.50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0D25EFE7" w14:textId="40A52CEE" w:rsidR="00F25F26" w:rsidRPr="00A81971" w:rsidRDefault="00F25F26" w:rsidP="005C0963">
            <w:pPr>
              <w:spacing w:before="40" w:after="40"/>
              <w:jc w:val="right"/>
              <w:rPr>
                <w:rFonts w:eastAsia="Times New Roman"/>
                <w:lang w:eastAsia="nl-NL"/>
              </w:rPr>
            </w:pPr>
            <w:r>
              <w:rPr>
                <w:color w:val="000000"/>
              </w:rPr>
              <w:t>2.72</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03711A0F"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 and II</w:t>
            </w:r>
          </w:p>
        </w:tc>
      </w:tr>
      <w:tr w:rsidR="00F25F26" w14:paraId="75801D60"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3FEE9C43" w14:textId="77777777" w:rsidR="00F25F26" w:rsidRPr="00A81971" w:rsidRDefault="00F25F26" w:rsidP="005C0963">
            <w:pPr>
              <w:spacing w:before="40" w:after="40"/>
              <w:rPr>
                <w:rFonts w:eastAsia="Times New Roman"/>
                <w:lang w:eastAsia="nl-NL"/>
              </w:rPr>
            </w:pPr>
            <w:r w:rsidRPr="00A81971">
              <w:rPr>
                <w:rFonts w:eastAsia="Times New Roman"/>
                <w:lang w:eastAsia="nl-NL"/>
              </w:rPr>
              <w:t>Mauritania</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3FED9D97" w14:textId="34961180" w:rsidR="00F25F26" w:rsidRPr="00A81971" w:rsidRDefault="00F25F26" w:rsidP="005C0963">
            <w:pPr>
              <w:spacing w:before="40" w:after="40"/>
              <w:jc w:val="right"/>
              <w:rPr>
                <w:rFonts w:eastAsia="Times New Roman"/>
                <w:lang w:eastAsia="nl-NL"/>
              </w:rPr>
            </w:pPr>
            <w:r>
              <w:rPr>
                <w:color w:val="000000"/>
              </w:rPr>
              <w:t>386,326</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19C38F3C" w14:textId="7B1EF2D5" w:rsidR="00F25F26" w:rsidRPr="00A81971" w:rsidRDefault="00F25F26" w:rsidP="005C0963">
            <w:pPr>
              <w:spacing w:before="40" w:after="40"/>
              <w:jc w:val="right"/>
              <w:rPr>
                <w:rFonts w:eastAsia="Times New Roman"/>
                <w:lang w:eastAsia="nl-NL"/>
              </w:rPr>
            </w:pPr>
            <w:r>
              <w:rPr>
                <w:color w:val="000000"/>
              </w:rPr>
              <w:t>46.88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7E5AC16B" w14:textId="3826FD0C" w:rsidR="00F25F26" w:rsidRPr="00A81971" w:rsidRDefault="00F25F26" w:rsidP="005C0963">
            <w:pPr>
              <w:spacing w:before="40" w:after="40"/>
              <w:jc w:val="right"/>
              <w:rPr>
                <w:rFonts w:eastAsia="Times New Roman"/>
                <w:lang w:eastAsia="nl-NL"/>
              </w:rPr>
            </w:pPr>
            <w:r>
              <w:rPr>
                <w:color w:val="000000"/>
              </w:rPr>
              <w:t>8.24</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ABB10CA" w14:textId="77777777" w:rsidR="00F25F26" w:rsidRPr="00A81971" w:rsidRDefault="00F25F26" w:rsidP="005C0963">
            <w:pPr>
              <w:spacing w:before="40" w:after="40"/>
              <w:jc w:val="right"/>
              <w:rPr>
                <w:rFonts w:eastAsia="Times New Roman"/>
                <w:lang w:eastAsia="nl-NL"/>
              </w:rPr>
            </w:pPr>
            <w:r w:rsidRPr="00A81971">
              <w:rPr>
                <w:rFonts w:eastAsia="Times New Roman"/>
                <w:lang w:eastAsia="nl-NL"/>
              </w:rPr>
              <w:t>I</w:t>
            </w:r>
          </w:p>
        </w:tc>
      </w:tr>
      <w:tr w:rsidR="00F90461" w14:paraId="21CF0204" w14:textId="77777777" w:rsidTr="005C0963">
        <w:trPr>
          <w:trHeight w:val="20"/>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EF3DFCA" w14:textId="77777777" w:rsidR="007A6928" w:rsidRPr="00A81971" w:rsidRDefault="0032495C" w:rsidP="005C0963">
            <w:pPr>
              <w:spacing w:before="40" w:after="40"/>
              <w:rPr>
                <w:rFonts w:eastAsia="Times New Roman"/>
                <w:lang w:eastAsia="nl-NL"/>
              </w:rPr>
            </w:pPr>
            <w:r w:rsidRPr="00A81971">
              <w:rPr>
                <w:rFonts w:eastAsia="Times New Roman"/>
                <w:lang w:eastAsia="nl-NL"/>
              </w:rPr>
              <w:t>Yemen*</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7CDD2238" w14:textId="77777777" w:rsidR="007A6928" w:rsidRPr="00A81971" w:rsidRDefault="0032495C" w:rsidP="005C0963">
            <w:pPr>
              <w:spacing w:before="40" w:after="40"/>
              <w:jc w:val="right"/>
              <w:rPr>
                <w:rFonts w:eastAsia="Times New Roman"/>
                <w:lang w:eastAsia="nl-NL"/>
              </w:rPr>
            </w:pPr>
            <w:r w:rsidRPr="00A81971">
              <w:rPr>
                <w:rFonts w:eastAsia="Times New Roman"/>
                <w:lang w:eastAsia="nl-NL"/>
              </w:rPr>
              <w:t>0</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4A76B661" w14:textId="77777777" w:rsidR="007A6928" w:rsidRPr="00A81971" w:rsidRDefault="0032495C" w:rsidP="005C0963">
            <w:pPr>
              <w:spacing w:before="40" w:after="40"/>
              <w:jc w:val="right"/>
              <w:rPr>
                <w:rFonts w:eastAsia="Times New Roman"/>
                <w:lang w:eastAsia="nl-NL"/>
              </w:rPr>
            </w:pPr>
            <w:r w:rsidRPr="00A81971">
              <w:rPr>
                <w:rFonts w:eastAsia="Times New Roman"/>
                <w:lang w:eastAsia="nl-NL"/>
              </w:rPr>
              <w:t>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15" w:type="dxa"/>
              <w:left w:w="40" w:type="dxa"/>
              <w:bottom w:w="0" w:type="dxa"/>
              <w:right w:w="40" w:type="dxa"/>
            </w:tcMar>
            <w:vAlign w:val="center"/>
            <w:hideMark/>
          </w:tcPr>
          <w:p w14:paraId="473F80C7" w14:textId="77777777" w:rsidR="007A6928" w:rsidRPr="00A81971" w:rsidRDefault="0032495C" w:rsidP="005C0963">
            <w:pPr>
              <w:spacing w:before="40" w:after="40"/>
              <w:jc w:val="right"/>
              <w:rPr>
                <w:rFonts w:eastAsia="Times New Roman"/>
                <w:lang w:eastAsia="nl-NL"/>
              </w:rPr>
            </w:pPr>
            <w:r w:rsidRPr="00A81971">
              <w:rPr>
                <w:rFonts w:eastAsia="Times New Roman"/>
                <w:lang w:eastAsia="nl-NL"/>
              </w:rPr>
              <w:t>n/a</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40" w:type="dxa"/>
              <w:bottom w:w="0" w:type="dxa"/>
              <w:right w:w="40" w:type="dxa"/>
            </w:tcMar>
            <w:vAlign w:val="center"/>
            <w:hideMark/>
          </w:tcPr>
          <w:p w14:paraId="6A3C2E74" w14:textId="77777777" w:rsidR="007A6928" w:rsidRPr="00A81971" w:rsidRDefault="0032495C" w:rsidP="005C0963">
            <w:pPr>
              <w:spacing w:before="40" w:after="40"/>
              <w:jc w:val="right"/>
              <w:rPr>
                <w:rFonts w:eastAsia="Times New Roman"/>
                <w:lang w:eastAsia="nl-NL"/>
              </w:rPr>
            </w:pPr>
            <w:r w:rsidRPr="00A81971">
              <w:rPr>
                <w:rFonts w:eastAsia="Times New Roman"/>
                <w:lang w:eastAsia="nl-NL"/>
              </w:rPr>
              <w:t>n/a</w:t>
            </w:r>
          </w:p>
        </w:tc>
      </w:tr>
    </w:tbl>
    <w:p w14:paraId="1D8D202F" w14:textId="77777777" w:rsidR="007A6928" w:rsidRPr="00A81971" w:rsidRDefault="0032495C" w:rsidP="00C34AE7">
      <w:pPr>
        <w:spacing w:after="0"/>
        <w:rPr>
          <w:rFonts w:eastAsia="Times New Roman"/>
          <w:sz w:val="18"/>
          <w:szCs w:val="18"/>
          <w:lang w:eastAsia="nl-NL"/>
        </w:rPr>
      </w:pPr>
      <w:r w:rsidRPr="00A81971">
        <w:rPr>
          <w:rFonts w:eastAsia="Times New Roman"/>
          <w:sz w:val="18"/>
          <w:szCs w:val="18"/>
          <w:lang w:eastAsia="nl-NL"/>
        </w:rPr>
        <w:t>Source: MLFS</w:t>
      </w:r>
    </w:p>
    <w:p w14:paraId="4A185E8D" w14:textId="77777777" w:rsidR="00643659" w:rsidRPr="00A81971" w:rsidRDefault="00643659" w:rsidP="1E375DFC">
      <w:pPr>
        <w:spacing w:after="0"/>
        <w:jc w:val="center"/>
        <w:rPr>
          <w:rFonts w:eastAsia="Times New Roman"/>
          <w:lang w:eastAsia="nl-NL"/>
        </w:rPr>
      </w:pPr>
    </w:p>
    <w:p w14:paraId="23F018E6" w14:textId="77777777" w:rsidR="007A6928" w:rsidRPr="00A81971" w:rsidRDefault="0032495C" w:rsidP="007A6928">
      <w:pPr>
        <w:spacing w:after="0"/>
        <w:rPr>
          <w:rFonts w:eastAsia="Times New Roman"/>
          <w:sz w:val="24"/>
          <w:szCs w:val="24"/>
          <w:lang w:eastAsia="nl-NL"/>
        </w:rPr>
      </w:pPr>
      <w:r w:rsidRPr="00A81971">
        <w:rPr>
          <w:rFonts w:eastAsia="Times New Roman"/>
          <w:lang w:eastAsia="nl-NL"/>
        </w:rPr>
        <w:t>Table 3.</w:t>
      </w:r>
      <w:r w:rsidR="00F32D9A">
        <w:rPr>
          <w:rFonts w:eastAsia="Times New Roman"/>
          <w:lang w:eastAsia="nl-NL"/>
        </w:rPr>
        <w:t>8</w:t>
      </w:r>
      <w:r w:rsidRPr="00A81971">
        <w:rPr>
          <w:rFonts w:eastAsia="Times New Roman"/>
          <w:lang w:eastAsia="nl-NL"/>
        </w:rPr>
        <w:t xml:space="preserve"> below compares the funding estimates when using the Updated RTF May Report (Low-end Scenario 1), with the estimates when applying New Scenario 1c. (CEs based on average funding levels over the past 6 years).</w:t>
      </w:r>
    </w:p>
    <w:p w14:paraId="4CF7E295" w14:textId="77777777" w:rsidR="007A6928" w:rsidRPr="00A81971" w:rsidRDefault="007A6928" w:rsidP="007A6928">
      <w:pPr>
        <w:spacing w:after="0"/>
        <w:rPr>
          <w:rFonts w:eastAsia="Times New Roman"/>
          <w:sz w:val="24"/>
          <w:szCs w:val="24"/>
          <w:lang w:eastAsia="nl-NL"/>
        </w:rPr>
      </w:pPr>
    </w:p>
    <w:p w14:paraId="5CBC3C5A" w14:textId="77777777" w:rsidR="007A6928" w:rsidRDefault="0032495C" w:rsidP="00FE5C31">
      <w:pPr>
        <w:keepNext/>
        <w:keepLines/>
        <w:tabs>
          <w:tab w:val="left" w:pos="0"/>
          <w:tab w:val="left" w:pos="1276"/>
        </w:tabs>
        <w:spacing w:after="120"/>
        <w:ind w:left="1281" w:hanging="1281"/>
        <w:rPr>
          <w:rFonts w:eastAsia="Times New Roman"/>
          <w:b/>
          <w:bCs/>
          <w:lang w:eastAsia="nl-NL"/>
        </w:rPr>
      </w:pPr>
      <w:r w:rsidRPr="2E7655E2">
        <w:rPr>
          <w:rFonts w:eastAsia="Yu Mincho"/>
          <w:b/>
          <w:bCs/>
          <w:color w:val="000000" w:themeColor="text1"/>
          <w:lang w:val="en-CA"/>
        </w:rPr>
        <w:t>Table 3.</w:t>
      </w:r>
      <w:r w:rsidR="00F32D9A">
        <w:rPr>
          <w:rFonts w:eastAsia="Yu Mincho"/>
          <w:b/>
          <w:bCs/>
          <w:color w:val="000000" w:themeColor="text1"/>
          <w:lang w:val="en-CA"/>
        </w:rPr>
        <w:t>8</w:t>
      </w:r>
      <w:r w:rsidRPr="2E7655E2">
        <w:rPr>
          <w:rFonts w:eastAsia="Yu Mincho"/>
          <w:b/>
          <w:bCs/>
          <w:color w:val="000000" w:themeColor="text1"/>
          <w:lang w:val="en-CA"/>
        </w:rPr>
        <w:t>:</w:t>
      </w:r>
      <w:r w:rsidR="00043437">
        <w:tab/>
      </w:r>
      <w:r w:rsidRPr="2E7655E2">
        <w:rPr>
          <w:rFonts w:eastAsia="Times New Roman"/>
          <w:b/>
          <w:bCs/>
          <w:color w:val="000000" w:themeColor="text1"/>
          <w:lang w:eastAsia="nl-NL"/>
        </w:rPr>
        <w:t xml:space="preserve">Funding Estimates for HCFC Consumption Sector for New Scenario 1c (CEs </w:t>
      </w:r>
      <w:r w:rsidRPr="2E7655E2">
        <w:rPr>
          <w:rFonts w:eastAsia="Times New Roman"/>
          <w:b/>
          <w:bCs/>
          <w:lang w:eastAsia="nl-NL"/>
        </w:rPr>
        <w:t>based on average funding levels over the past 6 years)</w:t>
      </w:r>
    </w:p>
    <w:p w14:paraId="3C643AD0" w14:textId="77777777" w:rsidR="00CC5972" w:rsidRPr="00A81971" w:rsidRDefault="0032495C" w:rsidP="00043437">
      <w:pPr>
        <w:tabs>
          <w:tab w:val="left" w:pos="0"/>
          <w:tab w:val="left" w:pos="1276"/>
        </w:tabs>
        <w:spacing w:after="120"/>
        <w:ind w:left="1282" w:hanging="1282"/>
      </w:pPr>
      <w:r>
        <w:rPr>
          <w:noProof/>
          <w:lang w:val="en-US"/>
        </w:rPr>
        <w:drawing>
          <wp:inline distT="0" distB="0" distL="0" distR="0" wp14:anchorId="578A1436" wp14:editId="6736506E">
            <wp:extent cx="5768340" cy="3344052"/>
            <wp:effectExtent l="0" t="0" r="3810" b="0"/>
            <wp:docPr id="8134766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7669"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68340" cy="3344052"/>
                    </a:xfrm>
                    <a:prstGeom prst="rect">
                      <a:avLst/>
                    </a:prstGeom>
                    <a:noFill/>
                  </pic:spPr>
                </pic:pic>
              </a:graphicData>
            </a:graphic>
          </wp:inline>
        </w:drawing>
      </w:r>
    </w:p>
    <w:p w14:paraId="6C31098A" w14:textId="77777777" w:rsidR="007A6928" w:rsidRPr="00A81971" w:rsidRDefault="0032495C" w:rsidP="2E7655E2">
      <w:pPr>
        <w:spacing w:after="0"/>
        <w:rPr>
          <w:rFonts w:eastAsia="Times New Roman"/>
          <w:sz w:val="20"/>
          <w:szCs w:val="20"/>
          <w:highlight w:val="yellow"/>
        </w:rPr>
      </w:pPr>
      <w:r w:rsidRPr="2E7655E2">
        <w:rPr>
          <w:rFonts w:eastAsia="Times New Roman"/>
          <w:sz w:val="20"/>
          <w:szCs w:val="20"/>
        </w:rPr>
        <w:t>*Percentage PMU applied: 5 % for China and 10% for other parties.</w:t>
      </w:r>
    </w:p>
    <w:p w14:paraId="3047D404" w14:textId="77777777" w:rsidR="007A6928" w:rsidRPr="00A81971" w:rsidRDefault="007A6928" w:rsidP="2E7655E2">
      <w:pPr>
        <w:spacing w:after="0"/>
        <w:rPr>
          <w:rFonts w:eastAsia="Times New Roman"/>
          <w:sz w:val="20"/>
          <w:szCs w:val="20"/>
          <w:highlight w:val="yellow"/>
        </w:rPr>
      </w:pPr>
    </w:p>
    <w:p w14:paraId="4E9D720C" w14:textId="77777777" w:rsidR="007A6928" w:rsidRPr="00DD73CD" w:rsidRDefault="0032495C" w:rsidP="007A6928">
      <w:pPr>
        <w:spacing w:after="0"/>
        <w:rPr>
          <w:sz w:val="24"/>
          <w:szCs w:val="24"/>
        </w:rPr>
      </w:pPr>
      <w:r w:rsidRPr="00DD73CD">
        <w:rPr>
          <w:rFonts w:eastAsia="Times New Roman"/>
        </w:rPr>
        <w:lastRenderedPageBreak/>
        <w:t xml:space="preserve">In order to simplify presentation of figures in tables, which for all other HCFC calculations do not go beyond 2032, the final </w:t>
      </w:r>
      <w:r w:rsidR="00DD73CD" w:rsidRPr="00DD73CD">
        <w:rPr>
          <w:rFonts w:eastAsia="Times New Roman"/>
        </w:rPr>
        <w:t xml:space="preserve">committed </w:t>
      </w:r>
      <w:r w:rsidRPr="00DD73CD">
        <w:rPr>
          <w:rFonts w:eastAsia="Times New Roman"/>
        </w:rPr>
        <w:t>tranche for one party for 2033 is included in the 2030-2032 triennium.</w:t>
      </w:r>
    </w:p>
    <w:p w14:paraId="092D12F9" w14:textId="77777777" w:rsidR="007A6928" w:rsidRPr="00A81971" w:rsidRDefault="007A6928" w:rsidP="007A6928">
      <w:pPr>
        <w:spacing w:after="0"/>
        <w:rPr>
          <w:rFonts w:eastAsia="Times New Roman"/>
          <w:sz w:val="20"/>
          <w:szCs w:val="20"/>
        </w:rPr>
      </w:pPr>
    </w:p>
    <w:p w14:paraId="213DA16B" w14:textId="77777777" w:rsidR="007A6928" w:rsidRPr="00A81971" w:rsidRDefault="0032495C" w:rsidP="1E375DFC">
      <w:pPr>
        <w:spacing w:after="0"/>
        <w:rPr>
          <w:rFonts w:eastAsia="Times New Roman"/>
          <w:color w:val="000000"/>
          <w:lang w:eastAsia="nl-NL"/>
        </w:rPr>
      </w:pPr>
      <w:r w:rsidRPr="00A81971">
        <w:rPr>
          <w:rFonts w:eastAsia="Times New Roman"/>
          <w:color w:val="000000" w:themeColor="text1"/>
          <w:lang w:eastAsia="nl-NL"/>
        </w:rPr>
        <w:t>The estimated funding figures include 15% discount for foreign ownership in manufacturing sectors, PMU and 9.6% support costs. The total estimated funding for HCFC consumption sector in Table 3.7 does not include project PRP, VER, and EE, which are accounted for and included separately. This is because, f</w:t>
      </w:r>
      <w:r w:rsidRPr="00A81971">
        <w:rPr>
          <w:rFonts w:eastAsia="Times New Roman"/>
        </w:rPr>
        <w:t>or the application of the new CEs in scenarios, the production sector, PRP, VER, and EE were modelled separately and included in the final funding figures. As these amounts remain constant across all scenarios, they are presented only in the final compilation and do not affect the modelling conditions or the comparison of results among scenarios.</w:t>
      </w:r>
    </w:p>
    <w:p w14:paraId="546639DF" w14:textId="77777777" w:rsidR="007A6928" w:rsidRDefault="0032495C" w:rsidP="007A6928">
      <w:pPr>
        <w:tabs>
          <w:tab w:val="left" w:pos="2281"/>
        </w:tabs>
        <w:spacing w:after="0"/>
        <w:rPr>
          <w:rFonts w:eastAsia="Times New Roman"/>
        </w:rPr>
      </w:pPr>
      <w:r w:rsidRPr="00A81971">
        <w:rPr>
          <w:rFonts w:eastAsia="Times New Roman"/>
        </w:rPr>
        <w:t xml:space="preserve">The new estimates for HCFC </w:t>
      </w:r>
      <w:r w:rsidR="00122030" w:rsidRPr="00A81971">
        <w:rPr>
          <w:rFonts w:eastAsia="Times New Roman"/>
        </w:rPr>
        <w:t>a</w:t>
      </w:r>
      <w:r w:rsidRPr="00A81971">
        <w:rPr>
          <w:rFonts w:eastAsia="Times New Roman"/>
        </w:rPr>
        <w:t>ctivities applying new OEWG-48 scenarios 1a, 1b</w:t>
      </w:r>
      <w:r w:rsidR="00122030" w:rsidRPr="00A81971">
        <w:rPr>
          <w:rFonts w:eastAsia="Times New Roman"/>
        </w:rPr>
        <w:t>,</w:t>
      </w:r>
      <w:r w:rsidRPr="00A81971">
        <w:rPr>
          <w:rFonts w:eastAsia="Times New Roman"/>
        </w:rPr>
        <w:t xml:space="preserve"> and 1c are in Table 3.</w:t>
      </w:r>
      <w:r w:rsidR="00F32D9A">
        <w:rPr>
          <w:rFonts w:eastAsia="Times New Roman"/>
        </w:rPr>
        <w:t>9</w:t>
      </w:r>
      <w:r w:rsidRPr="00A81971">
        <w:rPr>
          <w:rFonts w:eastAsia="Times New Roman"/>
        </w:rPr>
        <w:t xml:space="preserve"> below. To clari</w:t>
      </w:r>
      <w:r w:rsidR="00122030" w:rsidRPr="00A81971">
        <w:rPr>
          <w:rFonts w:eastAsia="Times New Roman"/>
        </w:rPr>
        <w:t>f</w:t>
      </w:r>
      <w:r w:rsidRPr="00A81971">
        <w:rPr>
          <w:rFonts w:eastAsia="Times New Roman"/>
        </w:rPr>
        <w:t xml:space="preserve">y and better explain final funding figures, RTF detailed the breakdown of the calculations. </w:t>
      </w:r>
    </w:p>
    <w:p w14:paraId="1CC22DFD" w14:textId="041151F1" w:rsidR="00F32D9A" w:rsidRDefault="00F32D9A">
      <w:pPr>
        <w:spacing w:after="0"/>
        <w:rPr>
          <w:rFonts w:eastAsia="Yu Mincho"/>
          <w:b/>
          <w:bCs/>
          <w:color w:val="000000"/>
          <w:lang w:val="en-CA"/>
        </w:rPr>
      </w:pPr>
    </w:p>
    <w:p w14:paraId="606B13C2" w14:textId="77777777" w:rsidR="002B607F" w:rsidRPr="00A81971" w:rsidRDefault="0032495C" w:rsidP="002B607F">
      <w:pPr>
        <w:tabs>
          <w:tab w:val="left" w:pos="0"/>
          <w:tab w:val="left" w:pos="1276"/>
        </w:tabs>
        <w:spacing w:after="120"/>
        <w:ind w:left="1282" w:hanging="1282"/>
        <w:rPr>
          <w:rFonts w:ascii="Segoe UI" w:eastAsia="Times New Roman" w:hAnsi="Segoe UI" w:cs="Segoe UI"/>
          <w:b/>
          <w:bCs/>
          <w:sz w:val="18"/>
          <w:szCs w:val="18"/>
        </w:rPr>
      </w:pPr>
      <w:r w:rsidRPr="0006445E">
        <w:rPr>
          <w:rFonts w:eastAsia="Yu Mincho"/>
          <w:b/>
          <w:bCs/>
          <w:color w:val="000000"/>
          <w:lang w:val="en-CA"/>
        </w:rPr>
        <w:t xml:space="preserve">Table </w:t>
      </w:r>
      <w:r>
        <w:rPr>
          <w:rFonts w:eastAsia="Yu Mincho"/>
          <w:b/>
          <w:bCs/>
          <w:color w:val="000000"/>
          <w:lang w:val="en-CA"/>
        </w:rPr>
        <w:t>3.</w:t>
      </w:r>
      <w:r w:rsidR="00F32D9A">
        <w:rPr>
          <w:rFonts w:eastAsia="Yu Mincho"/>
          <w:b/>
          <w:bCs/>
          <w:color w:val="000000"/>
          <w:lang w:val="en-CA"/>
        </w:rPr>
        <w:t>9</w:t>
      </w:r>
      <w:r>
        <w:rPr>
          <w:rFonts w:eastAsia="Yu Mincho"/>
          <w:b/>
          <w:bCs/>
          <w:color w:val="000000"/>
          <w:lang w:val="en-CA"/>
        </w:rPr>
        <w:t>:</w:t>
      </w:r>
      <w:r w:rsidRPr="0006445E">
        <w:rPr>
          <w:rFonts w:eastAsia="Times New Roman"/>
          <w:color w:val="000000"/>
          <w:lang w:val="en-CA"/>
        </w:rPr>
        <w:tab/>
      </w:r>
      <w:r w:rsidRPr="00A81971">
        <w:rPr>
          <w:rFonts w:eastAsia="Times New Roman"/>
          <w:b/>
          <w:bCs/>
        </w:rPr>
        <w:t>Breakdown of Funding Calculations and Impact on Funding Estimates for all New Scenarios based on CEs for all HCFCs Activities* (US$ million)</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1256"/>
        <w:gridCol w:w="1721"/>
        <w:gridCol w:w="1842"/>
        <w:gridCol w:w="1701"/>
      </w:tblGrid>
      <w:tr w:rsidR="00F90461" w:rsidRPr="00FE5C31" w14:paraId="25F01D08" w14:textId="77777777" w:rsidTr="00FE5C31">
        <w:trPr>
          <w:trHeight w:val="1214"/>
        </w:trPr>
        <w:tc>
          <w:tcPr>
            <w:tcW w:w="2544"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06E1D2F2" w14:textId="77777777" w:rsidR="007A6928" w:rsidRPr="00FE5C31" w:rsidRDefault="0032495C" w:rsidP="00FE5C31">
            <w:pPr>
              <w:spacing w:after="0"/>
              <w:jc w:val="center"/>
              <w:rPr>
                <w:rFonts w:eastAsia="Times New Roman"/>
                <w:b/>
                <w:bCs/>
                <w:color w:val="000000"/>
              </w:rPr>
            </w:pPr>
            <w:r w:rsidRPr="00FE5C31">
              <w:rPr>
                <w:rFonts w:eastAsia="Times New Roman"/>
                <w:b/>
                <w:bCs/>
                <w:color w:val="000000"/>
              </w:rPr>
              <w:t>HCFCs Consumption and Production Sector Activities for Low-End Scenario 1 using 90% Allocation Schedule</w:t>
            </w:r>
          </w:p>
        </w:tc>
        <w:tc>
          <w:tcPr>
            <w:tcW w:w="1256"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20663CBF" w14:textId="77777777" w:rsidR="007A6928" w:rsidRPr="00FE5C31" w:rsidRDefault="0032495C" w:rsidP="0032267B">
            <w:pPr>
              <w:spacing w:after="0"/>
              <w:jc w:val="center"/>
              <w:rPr>
                <w:rFonts w:eastAsia="Times New Roman"/>
                <w:b/>
                <w:bCs/>
                <w:color w:val="000000"/>
              </w:rPr>
            </w:pPr>
            <w:r w:rsidRPr="00FE5C31">
              <w:rPr>
                <w:rFonts w:eastAsia="Times New Roman"/>
                <w:b/>
                <w:bCs/>
                <w:color w:val="000000"/>
              </w:rPr>
              <w:t>Updated RTF May Report Estimates</w:t>
            </w:r>
          </w:p>
          <w:p w14:paraId="4CF3132B" w14:textId="244D5928" w:rsidR="007A6928" w:rsidRPr="00FE5C31" w:rsidRDefault="0032495C" w:rsidP="00FE5C31">
            <w:pPr>
              <w:spacing w:after="0"/>
              <w:jc w:val="center"/>
              <w:rPr>
                <w:rFonts w:eastAsia="Times New Roman"/>
                <w:b/>
                <w:bCs/>
                <w:color w:val="000000"/>
              </w:rPr>
            </w:pPr>
            <w:r w:rsidRPr="00FE5C31">
              <w:rPr>
                <w:rFonts w:eastAsia="Times New Roman"/>
                <w:b/>
                <w:bCs/>
                <w:color w:val="000000"/>
              </w:rPr>
              <w:t>2027-2029</w:t>
            </w:r>
          </w:p>
        </w:tc>
        <w:tc>
          <w:tcPr>
            <w:tcW w:w="1721"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5BAAC476" w14:textId="36072C9D" w:rsidR="007A6928" w:rsidRPr="00FE5C31" w:rsidRDefault="0032495C" w:rsidP="00FE5C31">
            <w:pPr>
              <w:spacing w:after="0"/>
              <w:jc w:val="center"/>
              <w:rPr>
                <w:rFonts w:eastAsia="Times New Roman"/>
                <w:b/>
                <w:bCs/>
                <w:color w:val="000000"/>
              </w:rPr>
            </w:pPr>
            <w:r w:rsidRPr="00FE5C31">
              <w:rPr>
                <w:rFonts w:eastAsia="Times New Roman"/>
                <w:b/>
                <w:bCs/>
                <w:color w:val="000000"/>
              </w:rPr>
              <w:t>New Scenario 1a (CE Historical) </w:t>
            </w:r>
          </w:p>
        </w:tc>
        <w:tc>
          <w:tcPr>
            <w:tcW w:w="1842"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44DE216F" w14:textId="09439D7A" w:rsidR="007A6928" w:rsidRPr="00FE5C31" w:rsidRDefault="0032495C" w:rsidP="00FE5C31">
            <w:pPr>
              <w:spacing w:after="0"/>
              <w:jc w:val="center"/>
              <w:rPr>
                <w:rFonts w:eastAsia="Times New Roman"/>
                <w:b/>
                <w:bCs/>
                <w:color w:val="000000"/>
              </w:rPr>
            </w:pPr>
            <w:r w:rsidRPr="00FE5C31">
              <w:rPr>
                <w:rFonts w:eastAsia="Times New Roman"/>
                <w:b/>
                <w:bCs/>
                <w:color w:val="000000"/>
              </w:rPr>
              <w:t>New Scenario 1b (CE past 6 y</w:t>
            </w:r>
            <w:r w:rsidR="00C17FD8" w:rsidRPr="00FE5C31">
              <w:rPr>
                <w:rFonts w:eastAsia="Times New Roman"/>
                <w:b/>
                <w:bCs/>
                <w:color w:val="000000"/>
              </w:rPr>
              <w:t>ears</w:t>
            </w:r>
            <w:r w:rsidRPr="00FE5C31">
              <w:rPr>
                <w:rFonts w:eastAsia="Times New Roman"/>
                <w:b/>
                <w:bCs/>
                <w:color w:val="000000"/>
              </w:rPr>
              <w:t>) </w:t>
            </w:r>
          </w:p>
        </w:tc>
        <w:tc>
          <w:tcPr>
            <w:tcW w:w="1701"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06CA9CDA" w14:textId="40DA45B9" w:rsidR="007A6928" w:rsidRPr="00FE5C31" w:rsidRDefault="0032495C" w:rsidP="00FE5C31">
            <w:pPr>
              <w:spacing w:after="0"/>
              <w:jc w:val="center"/>
              <w:rPr>
                <w:rFonts w:eastAsia="Times New Roman"/>
                <w:b/>
                <w:bCs/>
                <w:color w:val="000000"/>
              </w:rPr>
            </w:pPr>
            <w:r w:rsidRPr="00FE5C31">
              <w:rPr>
                <w:rFonts w:eastAsia="Times New Roman"/>
                <w:b/>
                <w:bCs/>
                <w:color w:val="000000"/>
              </w:rPr>
              <w:t>New Scenario 1c (CE based on average funding past 6 y</w:t>
            </w:r>
            <w:r w:rsidR="00C17FD8" w:rsidRPr="00FE5C31">
              <w:rPr>
                <w:rFonts w:eastAsia="Times New Roman"/>
                <w:b/>
                <w:bCs/>
                <w:color w:val="000000"/>
              </w:rPr>
              <w:t>ears</w:t>
            </w:r>
            <w:r w:rsidRPr="00FE5C31">
              <w:rPr>
                <w:rFonts w:eastAsia="Times New Roman"/>
                <w:b/>
                <w:bCs/>
                <w:color w:val="000000"/>
              </w:rPr>
              <w:t>)</w:t>
            </w:r>
          </w:p>
        </w:tc>
      </w:tr>
      <w:tr w:rsidR="00F90461" w14:paraId="2AF52EEB" w14:textId="77777777" w:rsidTr="00FE5C31">
        <w:trPr>
          <w:trHeight w:val="285"/>
        </w:trPr>
        <w:tc>
          <w:tcPr>
            <w:tcW w:w="254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967A7A" w14:textId="77777777" w:rsidR="007A6928" w:rsidRPr="00A81971" w:rsidRDefault="0032495C" w:rsidP="00FE5C31">
            <w:pPr>
              <w:spacing w:after="0"/>
              <w:textAlignment w:val="baseline"/>
              <w:rPr>
                <w:rFonts w:eastAsia="Times New Roman"/>
                <w:color w:val="000000"/>
                <w:sz w:val="20"/>
                <w:szCs w:val="20"/>
              </w:rPr>
            </w:pPr>
            <w:r w:rsidRPr="00A81971">
              <w:rPr>
                <w:rFonts w:eastAsia="Times New Roman"/>
                <w:color w:val="000000"/>
                <w:sz w:val="20"/>
                <w:szCs w:val="20"/>
              </w:rPr>
              <w:t>HCFC Activities Scenario 1 (without PRP/VER/EE) </w:t>
            </w:r>
          </w:p>
        </w:tc>
        <w:tc>
          <w:tcPr>
            <w:tcW w:w="12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E54122"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408.32</w:t>
            </w:r>
          </w:p>
        </w:tc>
        <w:tc>
          <w:tcPr>
            <w:tcW w:w="172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0092A4"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sz w:val="20"/>
                <w:szCs w:val="20"/>
              </w:rPr>
              <w:t>321.22</w:t>
            </w:r>
          </w:p>
          <w:p w14:paraId="51065686"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(408.32-87.10)</w:t>
            </w:r>
          </w:p>
        </w:tc>
        <w:tc>
          <w:tcPr>
            <w:tcW w:w="18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322E50"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206.50</w:t>
            </w:r>
          </w:p>
          <w:p w14:paraId="4F27B8E2"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(408.32-201.82)</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EC9FD3"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201.22</w:t>
            </w:r>
          </w:p>
          <w:p w14:paraId="2DBC46CF"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(408.32- 207.10)</w:t>
            </w:r>
          </w:p>
        </w:tc>
      </w:tr>
      <w:tr w:rsidR="00F90461" w14:paraId="63FBF021" w14:textId="77777777" w:rsidTr="00FE5C31">
        <w:trPr>
          <w:trHeight w:val="285"/>
        </w:trPr>
        <w:tc>
          <w:tcPr>
            <w:tcW w:w="2544" w:type="dxa"/>
            <w:tcBorders>
              <w:top w:val="single" w:sz="6" w:space="0" w:color="auto"/>
              <w:left w:val="single" w:sz="6" w:space="0" w:color="auto"/>
              <w:bottom w:val="single" w:sz="6" w:space="0" w:color="auto"/>
              <w:right w:val="single" w:sz="6" w:space="0" w:color="auto"/>
            </w:tcBorders>
            <w:vAlign w:val="center"/>
            <w:hideMark/>
          </w:tcPr>
          <w:p w14:paraId="1B15BE4C" w14:textId="77777777" w:rsidR="007A6928" w:rsidRPr="00A81971" w:rsidRDefault="0032495C" w:rsidP="00FE5C31">
            <w:pPr>
              <w:spacing w:after="0"/>
              <w:textAlignment w:val="baseline"/>
              <w:rPr>
                <w:rFonts w:eastAsia="Times New Roman"/>
                <w:sz w:val="20"/>
                <w:szCs w:val="20"/>
              </w:rPr>
            </w:pPr>
            <w:r w:rsidRPr="00A81971">
              <w:rPr>
                <w:rFonts w:eastAsia="Times New Roman"/>
                <w:color w:val="000000" w:themeColor="text1"/>
                <w:sz w:val="20"/>
                <w:szCs w:val="20"/>
              </w:rPr>
              <w:t xml:space="preserve">PRP/VER/EE </w:t>
            </w:r>
            <w:r w:rsidR="6AD4C592" w:rsidRPr="00A81971">
              <w:rPr>
                <w:rFonts w:eastAsia="Times New Roman"/>
                <w:color w:val="000000" w:themeColor="text1"/>
                <w:sz w:val="20"/>
                <w:szCs w:val="20"/>
              </w:rPr>
              <w:t>for LVCs</w:t>
            </w:r>
            <w:r w:rsidR="3DDCDE33" w:rsidRPr="00A81971">
              <w:rPr>
                <w:rFonts w:eastAsia="Times New Roman"/>
                <w:color w:val="000000" w:themeColor="text1"/>
                <w:sz w:val="20"/>
                <w:szCs w:val="20"/>
              </w:rPr>
              <w:t xml:space="preserve"> </w:t>
            </w:r>
            <w:r w:rsidRPr="00A81971">
              <w:rPr>
                <w:rFonts w:eastAsia="Times New Roman"/>
                <w:color w:val="000000" w:themeColor="text1"/>
                <w:sz w:val="20"/>
                <w:szCs w:val="20"/>
              </w:rPr>
              <w:t> </w:t>
            </w:r>
          </w:p>
        </w:tc>
        <w:tc>
          <w:tcPr>
            <w:tcW w:w="1256" w:type="dxa"/>
            <w:tcBorders>
              <w:top w:val="single" w:sz="6" w:space="0" w:color="auto"/>
              <w:left w:val="single" w:sz="6" w:space="0" w:color="auto"/>
              <w:bottom w:val="single" w:sz="6" w:space="0" w:color="auto"/>
              <w:right w:val="single" w:sz="6" w:space="0" w:color="auto"/>
            </w:tcBorders>
            <w:vAlign w:val="center"/>
            <w:hideMark/>
          </w:tcPr>
          <w:p w14:paraId="2C3223AE"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5</w:t>
            </w:r>
          </w:p>
        </w:tc>
        <w:tc>
          <w:tcPr>
            <w:tcW w:w="1721" w:type="dxa"/>
            <w:tcBorders>
              <w:top w:val="single" w:sz="6" w:space="0" w:color="auto"/>
              <w:left w:val="single" w:sz="6" w:space="0" w:color="auto"/>
              <w:bottom w:val="single" w:sz="6" w:space="0" w:color="auto"/>
              <w:right w:val="single" w:sz="6" w:space="0" w:color="auto"/>
            </w:tcBorders>
            <w:vAlign w:val="center"/>
            <w:hideMark/>
          </w:tcPr>
          <w:p w14:paraId="1A8F9B49"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5</w:t>
            </w:r>
          </w:p>
        </w:tc>
        <w:tc>
          <w:tcPr>
            <w:tcW w:w="1842" w:type="dxa"/>
            <w:tcBorders>
              <w:top w:val="single" w:sz="6" w:space="0" w:color="auto"/>
              <w:left w:val="single" w:sz="6" w:space="0" w:color="auto"/>
              <w:bottom w:val="single" w:sz="6" w:space="0" w:color="auto"/>
              <w:right w:val="single" w:sz="6" w:space="0" w:color="auto"/>
            </w:tcBorders>
            <w:vAlign w:val="center"/>
            <w:hideMark/>
          </w:tcPr>
          <w:p w14:paraId="12450787"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5</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D3E8EDF"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5</w:t>
            </w:r>
          </w:p>
        </w:tc>
      </w:tr>
      <w:tr w:rsidR="00F90461" w14:paraId="4FE9F64E" w14:textId="77777777" w:rsidTr="00FE5C31">
        <w:trPr>
          <w:trHeight w:val="285"/>
        </w:trPr>
        <w:tc>
          <w:tcPr>
            <w:tcW w:w="2544"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53380A36" w14:textId="77777777" w:rsidR="007A6928" w:rsidRPr="00A81971" w:rsidRDefault="0032495C" w:rsidP="00FE5C31">
            <w:pPr>
              <w:spacing w:after="0"/>
              <w:textAlignment w:val="baseline"/>
              <w:rPr>
                <w:rFonts w:eastAsia="Times New Roman"/>
                <w:sz w:val="20"/>
                <w:szCs w:val="20"/>
              </w:rPr>
            </w:pPr>
            <w:r w:rsidRPr="00A81971">
              <w:rPr>
                <w:rFonts w:eastAsia="Times New Roman"/>
                <w:color w:val="000000"/>
                <w:sz w:val="20"/>
                <w:szCs w:val="20"/>
              </w:rPr>
              <w:t>Sub-Total</w:t>
            </w:r>
          </w:p>
        </w:tc>
        <w:tc>
          <w:tcPr>
            <w:tcW w:w="125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27ECACDC"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413.33</w:t>
            </w:r>
          </w:p>
        </w:tc>
        <w:tc>
          <w:tcPr>
            <w:tcW w:w="1721"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3DB03556"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326</w:t>
            </w:r>
          </w:p>
        </w:tc>
        <w:tc>
          <w:tcPr>
            <w:tcW w:w="1842"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2BFAEDAC"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w:t>
            </w:r>
            <w:r w:rsidRPr="00A81971">
              <w:rPr>
                <w:rFonts w:eastAsia="Times New Roman"/>
                <w:sz w:val="20"/>
                <w:szCs w:val="20"/>
              </w:rPr>
              <w:t>11.5</w:t>
            </w:r>
          </w:p>
        </w:tc>
        <w:tc>
          <w:tcPr>
            <w:tcW w:w="1701"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547CB99F"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w:t>
            </w:r>
            <w:r w:rsidRPr="00A81971">
              <w:rPr>
                <w:rFonts w:eastAsia="Times New Roman"/>
                <w:sz w:val="20"/>
                <w:szCs w:val="20"/>
              </w:rPr>
              <w:t>06.22</w:t>
            </w:r>
          </w:p>
        </w:tc>
      </w:tr>
      <w:tr w:rsidR="00F90461" w14:paraId="662071A5" w14:textId="77777777" w:rsidTr="00FE5C31">
        <w:trPr>
          <w:trHeight w:val="285"/>
        </w:trPr>
        <w:tc>
          <w:tcPr>
            <w:tcW w:w="2544" w:type="dxa"/>
            <w:tcBorders>
              <w:top w:val="single" w:sz="6" w:space="0" w:color="auto"/>
              <w:left w:val="single" w:sz="6" w:space="0" w:color="auto"/>
              <w:bottom w:val="single" w:sz="6" w:space="0" w:color="auto"/>
              <w:right w:val="single" w:sz="6" w:space="0" w:color="auto"/>
            </w:tcBorders>
            <w:vAlign w:val="center"/>
            <w:hideMark/>
          </w:tcPr>
          <w:p w14:paraId="5D9AFD9A" w14:textId="77777777" w:rsidR="007A6928" w:rsidRPr="00A81971" w:rsidRDefault="0032495C" w:rsidP="00FE5C31">
            <w:pPr>
              <w:spacing w:after="0"/>
              <w:textAlignment w:val="baseline"/>
              <w:rPr>
                <w:rFonts w:eastAsia="Times New Roman"/>
                <w:sz w:val="20"/>
                <w:szCs w:val="20"/>
              </w:rPr>
            </w:pPr>
            <w:r w:rsidRPr="00A81971">
              <w:rPr>
                <w:rFonts w:eastAsia="Times New Roman"/>
                <w:color w:val="000000"/>
                <w:sz w:val="20"/>
                <w:szCs w:val="20"/>
              </w:rPr>
              <w:t>Production Sector  </w:t>
            </w:r>
          </w:p>
        </w:tc>
        <w:tc>
          <w:tcPr>
            <w:tcW w:w="1256" w:type="dxa"/>
            <w:tcBorders>
              <w:top w:val="single" w:sz="6" w:space="0" w:color="auto"/>
              <w:left w:val="single" w:sz="6" w:space="0" w:color="auto"/>
              <w:bottom w:val="single" w:sz="6" w:space="0" w:color="auto"/>
              <w:right w:val="single" w:sz="6" w:space="0" w:color="auto"/>
            </w:tcBorders>
            <w:vAlign w:val="center"/>
            <w:hideMark/>
          </w:tcPr>
          <w:p w14:paraId="1DFFF309"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23.54</w:t>
            </w:r>
          </w:p>
        </w:tc>
        <w:tc>
          <w:tcPr>
            <w:tcW w:w="1721" w:type="dxa"/>
            <w:tcBorders>
              <w:top w:val="single" w:sz="6" w:space="0" w:color="auto"/>
              <w:left w:val="single" w:sz="6" w:space="0" w:color="auto"/>
              <w:bottom w:val="single" w:sz="6" w:space="0" w:color="auto"/>
              <w:right w:val="single" w:sz="6" w:space="0" w:color="auto"/>
            </w:tcBorders>
            <w:vAlign w:val="center"/>
            <w:hideMark/>
          </w:tcPr>
          <w:p w14:paraId="7F1B5DEF"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23.54</w:t>
            </w:r>
          </w:p>
        </w:tc>
        <w:tc>
          <w:tcPr>
            <w:tcW w:w="1842" w:type="dxa"/>
            <w:tcBorders>
              <w:top w:val="single" w:sz="6" w:space="0" w:color="auto"/>
              <w:left w:val="single" w:sz="6" w:space="0" w:color="auto"/>
              <w:bottom w:val="single" w:sz="6" w:space="0" w:color="auto"/>
              <w:right w:val="single" w:sz="6" w:space="0" w:color="auto"/>
            </w:tcBorders>
            <w:vAlign w:val="center"/>
            <w:hideMark/>
          </w:tcPr>
          <w:p w14:paraId="57EF8678"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23.54</w:t>
            </w:r>
          </w:p>
        </w:tc>
        <w:tc>
          <w:tcPr>
            <w:tcW w:w="1701" w:type="dxa"/>
            <w:tcBorders>
              <w:top w:val="single" w:sz="6" w:space="0" w:color="auto"/>
              <w:left w:val="single" w:sz="6" w:space="0" w:color="auto"/>
              <w:bottom w:val="single" w:sz="6" w:space="0" w:color="auto"/>
              <w:right w:val="single" w:sz="6" w:space="0" w:color="auto"/>
            </w:tcBorders>
            <w:vAlign w:val="center"/>
            <w:hideMark/>
          </w:tcPr>
          <w:p w14:paraId="1B06921F" w14:textId="77777777" w:rsidR="007A6928" w:rsidRPr="00A81971" w:rsidRDefault="0032495C" w:rsidP="00FE5C31">
            <w:pPr>
              <w:spacing w:after="0"/>
              <w:jc w:val="center"/>
              <w:textAlignment w:val="baseline"/>
              <w:rPr>
                <w:rFonts w:eastAsia="Times New Roman"/>
                <w:sz w:val="20"/>
                <w:szCs w:val="20"/>
              </w:rPr>
            </w:pPr>
            <w:r w:rsidRPr="00A81971">
              <w:rPr>
                <w:rFonts w:eastAsia="Times New Roman"/>
                <w:color w:val="000000"/>
                <w:sz w:val="20"/>
                <w:szCs w:val="20"/>
              </w:rPr>
              <w:t>23.54</w:t>
            </w:r>
          </w:p>
        </w:tc>
      </w:tr>
      <w:tr w:rsidR="00F90461" w14:paraId="0DFDF39C" w14:textId="77777777" w:rsidTr="00FE5C31">
        <w:trPr>
          <w:trHeight w:val="300"/>
        </w:trPr>
        <w:tc>
          <w:tcPr>
            <w:tcW w:w="254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5B4C49A" w14:textId="77777777" w:rsidR="007A6928" w:rsidRPr="00A81971" w:rsidRDefault="0032495C" w:rsidP="00FE5C31">
            <w:pPr>
              <w:spacing w:after="0"/>
              <w:textAlignment w:val="baseline"/>
              <w:rPr>
                <w:rFonts w:eastAsia="Times New Roman"/>
                <w:color w:val="000000"/>
                <w:sz w:val="20"/>
                <w:szCs w:val="20"/>
              </w:rPr>
            </w:pPr>
            <w:r w:rsidRPr="00A81971">
              <w:rPr>
                <w:rFonts w:eastAsia="Times New Roman"/>
                <w:color w:val="000000"/>
                <w:sz w:val="20"/>
                <w:szCs w:val="20"/>
              </w:rPr>
              <w:t xml:space="preserve">New Scenarios Reduction </w:t>
            </w:r>
          </w:p>
        </w:tc>
        <w:tc>
          <w:tcPr>
            <w:tcW w:w="125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2E6EC84" w14:textId="77777777" w:rsidR="007A6928" w:rsidRPr="00A81971" w:rsidRDefault="007A6928" w:rsidP="00FE5C31">
            <w:pPr>
              <w:spacing w:after="0"/>
              <w:jc w:val="center"/>
              <w:textAlignment w:val="baseline"/>
              <w:rPr>
                <w:rFonts w:eastAsia="Times New Roman"/>
                <w:color w:val="000000"/>
                <w:sz w:val="20"/>
                <w:szCs w:val="20"/>
              </w:rPr>
            </w:pPr>
          </w:p>
        </w:tc>
        <w:tc>
          <w:tcPr>
            <w:tcW w:w="172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0C29A4" w14:textId="77777777" w:rsidR="007A6928" w:rsidRPr="00A81971" w:rsidRDefault="0032495C" w:rsidP="00FE5C31">
            <w:pPr>
              <w:spacing w:after="0"/>
              <w:jc w:val="center"/>
              <w:textAlignment w:val="baseline"/>
              <w:rPr>
                <w:rFonts w:eastAsia="Times New Roman"/>
                <w:color w:val="000000"/>
                <w:sz w:val="20"/>
                <w:szCs w:val="20"/>
              </w:rPr>
            </w:pPr>
            <w:r w:rsidRPr="00A81971">
              <w:rPr>
                <w:rFonts w:eastAsia="Times New Roman"/>
                <w:color w:val="000000"/>
                <w:sz w:val="20"/>
                <w:szCs w:val="20"/>
              </w:rPr>
              <w:t>87.1</w:t>
            </w:r>
          </w:p>
        </w:tc>
        <w:tc>
          <w:tcPr>
            <w:tcW w:w="184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A6606F" w14:textId="77777777" w:rsidR="007A6928" w:rsidRPr="00A81971" w:rsidRDefault="0032495C" w:rsidP="00FE5C31">
            <w:pPr>
              <w:spacing w:after="0"/>
              <w:jc w:val="center"/>
              <w:textAlignment w:val="baseline"/>
              <w:rPr>
                <w:rFonts w:eastAsia="Times New Roman"/>
                <w:color w:val="000000"/>
                <w:sz w:val="20"/>
                <w:szCs w:val="20"/>
              </w:rPr>
            </w:pPr>
            <w:r w:rsidRPr="00A81971">
              <w:rPr>
                <w:rFonts w:eastAsia="Times New Roman"/>
                <w:color w:val="000000"/>
                <w:sz w:val="20"/>
                <w:szCs w:val="20"/>
              </w:rPr>
              <w:t>201.82</w:t>
            </w:r>
          </w:p>
        </w:tc>
        <w:tc>
          <w:tcPr>
            <w:tcW w:w="170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CE4371" w14:textId="77777777" w:rsidR="007A6928" w:rsidRPr="00A81971" w:rsidRDefault="0032495C" w:rsidP="00FE5C31">
            <w:pPr>
              <w:spacing w:after="0"/>
              <w:jc w:val="center"/>
              <w:textAlignment w:val="baseline"/>
              <w:rPr>
                <w:rFonts w:eastAsia="Times New Roman"/>
                <w:color w:val="000000"/>
                <w:sz w:val="20"/>
                <w:szCs w:val="20"/>
              </w:rPr>
            </w:pPr>
            <w:r w:rsidRPr="00A81971">
              <w:rPr>
                <w:rFonts w:eastAsia="Times New Roman"/>
                <w:color w:val="000000"/>
                <w:sz w:val="20"/>
                <w:szCs w:val="20"/>
              </w:rPr>
              <w:t>207.10</w:t>
            </w:r>
          </w:p>
        </w:tc>
      </w:tr>
      <w:tr w:rsidR="00F90461" w14:paraId="2019D5B1" w14:textId="77777777" w:rsidTr="00FE5C31">
        <w:trPr>
          <w:trHeight w:val="300"/>
        </w:trPr>
        <w:tc>
          <w:tcPr>
            <w:tcW w:w="2544"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2776BEE" w14:textId="77777777" w:rsidR="007A6928" w:rsidRPr="00A81971" w:rsidRDefault="0032495C" w:rsidP="00FE5C31">
            <w:pPr>
              <w:spacing w:after="0"/>
              <w:textAlignment w:val="baseline"/>
              <w:rPr>
                <w:rFonts w:eastAsia="Times New Roman"/>
                <w:b/>
                <w:bCs/>
                <w:sz w:val="20"/>
                <w:szCs w:val="20"/>
              </w:rPr>
            </w:pPr>
            <w:r w:rsidRPr="00A81971">
              <w:rPr>
                <w:rFonts w:eastAsia="Times New Roman"/>
                <w:b/>
                <w:bCs/>
                <w:color w:val="000000"/>
                <w:sz w:val="20"/>
                <w:szCs w:val="20"/>
              </w:rPr>
              <w:t>Total HCFC ACTIVITIES</w:t>
            </w:r>
          </w:p>
        </w:tc>
        <w:tc>
          <w:tcPr>
            <w:tcW w:w="125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A747583" w14:textId="77777777" w:rsidR="007A6928" w:rsidRPr="00A81971" w:rsidRDefault="0032495C" w:rsidP="00FE5C31">
            <w:pPr>
              <w:spacing w:after="0"/>
              <w:jc w:val="center"/>
              <w:textAlignment w:val="baseline"/>
              <w:rPr>
                <w:rFonts w:eastAsia="Times New Roman"/>
                <w:b/>
                <w:bCs/>
                <w:sz w:val="20"/>
                <w:szCs w:val="20"/>
              </w:rPr>
            </w:pPr>
            <w:r w:rsidRPr="00A81971">
              <w:rPr>
                <w:rFonts w:eastAsia="Times New Roman"/>
                <w:b/>
                <w:bCs/>
                <w:color w:val="000000"/>
                <w:sz w:val="20"/>
                <w:szCs w:val="20"/>
              </w:rPr>
              <w:t>437</w:t>
            </w:r>
          </w:p>
        </w:tc>
        <w:tc>
          <w:tcPr>
            <w:tcW w:w="1721"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0CCD339" w14:textId="77777777" w:rsidR="007A6928" w:rsidRPr="00A81971" w:rsidRDefault="0032495C" w:rsidP="00FE5C31">
            <w:pPr>
              <w:spacing w:after="0"/>
              <w:jc w:val="center"/>
              <w:textAlignment w:val="baseline"/>
              <w:rPr>
                <w:rFonts w:eastAsia="Times New Roman"/>
                <w:b/>
                <w:bCs/>
                <w:sz w:val="20"/>
                <w:szCs w:val="20"/>
              </w:rPr>
            </w:pPr>
            <w:r w:rsidRPr="00A81971">
              <w:rPr>
                <w:rFonts w:eastAsia="Times New Roman"/>
                <w:b/>
                <w:bCs/>
                <w:color w:val="000000"/>
                <w:sz w:val="20"/>
                <w:szCs w:val="20"/>
              </w:rPr>
              <w:t>350</w:t>
            </w:r>
          </w:p>
        </w:tc>
        <w:tc>
          <w:tcPr>
            <w:tcW w:w="1842"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CCFE0C3" w14:textId="77777777" w:rsidR="007A6928" w:rsidRPr="00A81971" w:rsidRDefault="0032495C" w:rsidP="00FE5C31">
            <w:pPr>
              <w:spacing w:after="0"/>
              <w:jc w:val="center"/>
              <w:textAlignment w:val="baseline"/>
              <w:rPr>
                <w:rFonts w:eastAsia="Times New Roman"/>
                <w:b/>
                <w:bCs/>
                <w:sz w:val="20"/>
                <w:szCs w:val="20"/>
              </w:rPr>
            </w:pPr>
            <w:r w:rsidRPr="00A81971">
              <w:rPr>
                <w:rFonts w:eastAsia="Times New Roman"/>
                <w:b/>
                <w:bCs/>
                <w:color w:val="000000"/>
                <w:sz w:val="20"/>
                <w:szCs w:val="20"/>
              </w:rPr>
              <w:t>2</w:t>
            </w:r>
            <w:r w:rsidRPr="00A81971">
              <w:rPr>
                <w:rFonts w:eastAsia="Times New Roman"/>
                <w:b/>
                <w:bCs/>
                <w:sz w:val="20"/>
                <w:szCs w:val="20"/>
              </w:rPr>
              <w:t>35</w:t>
            </w:r>
          </w:p>
        </w:tc>
        <w:tc>
          <w:tcPr>
            <w:tcW w:w="1701"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DEE7560" w14:textId="77777777" w:rsidR="007A6928" w:rsidRPr="00A81971" w:rsidRDefault="0032495C" w:rsidP="00FE5C31">
            <w:pPr>
              <w:spacing w:after="0"/>
              <w:jc w:val="center"/>
              <w:textAlignment w:val="baseline"/>
              <w:rPr>
                <w:rFonts w:eastAsia="Times New Roman"/>
                <w:b/>
                <w:bCs/>
                <w:sz w:val="20"/>
                <w:szCs w:val="20"/>
              </w:rPr>
            </w:pPr>
            <w:r w:rsidRPr="00A81971">
              <w:rPr>
                <w:rFonts w:eastAsia="Times New Roman"/>
                <w:b/>
                <w:bCs/>
                <w:color w:val="000000"/>
                <w:sz w:val="20"/>
                <w:szCs w:val="20"/>
              </w:rPr>
              <w:t>230</w:t>
            </w:r>
          </w:p>
        </w:tc>
      </w:tr>
    </w:tbl>
    <w:p w14:paraId="1A27BDC5" w14:textId="77777777" w:rsidR="007A6928" w:rsidRPr="00A81971" w:rsidRDefault="0032495C" w:rsidP="007A6928">
      <w:pPr>
        <w:rPr>
          <w:rFonts w:eastAsia="Times New Roman"/>
          <w:sz w:val="18"/>
          <w:szCs w:val="18"/>
        </w:rPr>
      </w:pPr>
      <w:r w:rsidRPr="00A81971">
        <w:rPr>
          <w:rFonts w:eastAsia="Times New Roman"/>
          <w:sz w:val="18"/>
          <w:szCs w:val="18"/>
        </w:rPr>
        <w:t>*Numbers may differ slightly due to rounding.</w:t>
      </w:r>
    </w:p>
    <w:p w14:paraId="01A7F993" w14:textId="77777777" w:rsidR="007A6928" w:rsidRPr="00A81971" w:rsidRDefault="0032495C" w:rsidP="007A6928">
      <w:pPr>
        <w:spacing w:after="0"/>
      </w:pPr>
      <w:r w:rsidRPr="00A81971">
        <w:rPr>
          <w:rFonts w:eastAsia="Times New Roman"/>
        </w:rPr>
        <w:t>The new lowest funding estimate for HCFC activities is US$ 230 million for the 2027-2029 triennium. Therefore, the range</w:t>
      </w:r>
      <w:r w:rsidR="20B2DBFD" w:rsidRPr="00A81971">
        <w:rPr>
          <w:rFonts w:eastAsia="Times New Roman"/>
        </w:rPr>
        <w:t xml:space="preserve"> </w:t>
      </w:r>
      <w:r w:rsidR="4C4D891E" w:rsidRPr="00A81971">
        <w:rPr>
          <w:rFonts w:eastAsia="Times New Roman"/>
        </w:rPr>
        <w:t>(</w:t>
      </w:r>
      <w:r w:rsidRPr="00A81971">
        <w:rPr>
          <w:rFonts w:eastAsia="Times New Roman"/>
        </w:rPr>
        <w:t xml:space="preserve">using the largest reduction new scenario </w:t>
      </w:r>
      <w:r w:rsidR="39C9A181" w:rsidRPr="00A81971">
        <w:rPr>
          <w:rFonts w:eastAsia="Times New Roman"/>
        </w:rPr>
        <w:t xml:space="preserve">that brings the </w:t>
      </w:r>
      <w:r w:rsidR="03B7490A" w:rsidRPr="00A81971">
        <w:rPr>
          <w:rFonts w:eastAsia="Times New Roman"/>
        </w:rPr>
        <w:t>largest funding reduction and</w:t>
      </w:r>
      <w:r w:rsidRPr="00A81971">
        <w:rPr>
          <w:rFonts w:eastAsia="Times New Roman"/>
        </w:rPr>
        <w:t xml:space="preserve"> keeping the high-end scenario as in the Updated RTF May Report</w:t>
      </w:r>
      <w:r w:rsidR="4C4D891E" w:rsidRPr="00A81971">
        <w:rPr>
          <w:rFonts w:eastAsia="Times New Roman"/>
        </w:rPr>
        <w:t>),</w:t>
      </w:r>
      <w:r w:rsidRPr="00A81971">
        <w:rPr>
          <w:rFonts w:eastAsia="Times New Roman"/>
        </w:rPr>
        <w:t xml:space="preserve"> is </w:t>
      </w:r>
      <w:r w:rsidRPr="00A81971">
        <w:rPr>
          <w:rFonts w:eastAsia="Times New Roman"/>
          <w:b/>
          <w:bCs/>
        </w:rPr>
        <w:t xml:space="preserve">US$ </w:t>
      </w:r>
      <w:r w:rsidRPr="00A81971">
        <w:rPr>
          <w:rFonts w:eastAsia="Times New Roman"/>
          <w:b/>
          <w:color w:val="000000" w:themeColor="text1"/>
        </w:rPr>
        <w:t>230-564 million for the 2027-2029 triennium</w:t>
      </w:r>
      <w:r w:rsidRPr="00A81971">
        <w:rPr>
          <w:rFonts w:eastAsia="Times New Roman"/>
          <w:color w:val="000000" w:themeColor="text1"/>
        </w:rPr>
        <w:t xml:space="preserve"> </w:t>
      </w:r>
      <w:r w:rsidR="003E16D3" w:rsidRPr="00A81971">
        <w:rPr>
          <w:rFonts w:eastAsia="Times New Roman"/>
          <w:color w:val="000000" w:themeColor="text1"/>
        </w:rPr>
        <w:t xml:space="preserve">as shown in </w:t>
      </w:r>
      <w:r w:rsidRPr="00A81971">
        <w:rPr>
          <w:rFonts w:eastAsia="Times New Roman"/>
          <w:color w:val="000000" w:themeColor="text1"/>
        </w:rPr>
        <w:t>Table 3.</w:t>
      </w:r>
      <w:r w:rsidR="00F32D9A">
        <w:rPr>
          <w:rFonts w:eastAsia="Times New Roman"/>
          <w:color w:val="000000" w:themeColor="text1"/>
        </w:rPr>
        <w:t>10</w:t>
      </w:r>
      <w:r w:rsidRPr="00A81971">
        <w:rPr>
          <w:rFonts w:eastAsia="Times New Roman"/>
          <w:color w:val="000000" w:themeColor="text1"/>
        </w:rPr>
        <w:t>.</w:t>
      </w:r>
    </w:p>
    <w:p w14:paraId="241E2910" w14:textId="77777777" w:rsidR="007A6928" w:rsidRPr="00A81971" w:rsidRDefault="007A6928" w:rsidP="007A6928">
      <w:pPr>
        <w:spacing w:after="0"/>
        <w:rPr>
          <w:rFonts w:eastAsia="Times New Roman"/>
          <w:b/>
          <w:bCs/>
          <w:color w:val="000000"/>
          <w:u w:val="single"/>
        </w:rPr>
      </w:pPr>
    </w:p>
    <w:p w14:paraId="341A082E" w14:textId="77777777" w:rsidR="007A6928" w:rsidRPr="00A81971" w:rsidRDefault="0032495C" w:rsidP="00480B62">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3.</w:t>
      </w:r>
      <w:r w:rsidR="00F32D9A">
        <w:rPr>
          <w:rFonts w:eastAsia="Yu Mincho"/>
          <w:b/>
          <w:bCs/>
          <w:color w:val="000000"/>
          <w:lang w:val="en-CA"/>
        </w:rPr>
        <w:t>10</w:t>
      </w:r>
      <w:r>
        <w:rPr>
          <w:rFonts w:eastAsia="Yu Mincho"/>
          <w:b/>
          <w:bCs/>
          <w:color w:val="000000"/>
          <w:lang w:val="en-CA"/>
        </w:rPr>
        <w:t>:</w:t>
      </w:r>
      <w:r w:rsidRPr="0006445E">
        <w:rPr>
          <w:rFonts w:eastAsia="Times New Roman"/>
          <w:color w:val="000000"/>
          <w:lang w:val="en-CA"/>
        </w:rPr>
        <w:tab/>
      </w:r>
      <w:r w:rsidR="00694405" w:rsidRPr="00A81971">
        <w:rPr>
          <w:rFonts w:eastAsia="Times New Roman"/>
          <w:b/>
          <w:iCs/>
        </w:rPr>
        <w:t>Summary of estimated funding 2027-2029 for HCFC phase-out applying New Scenario 1c (largest reduction) compared to Updated RTF May Report estimates (US$ million)</w:t>
      </w:r>
      <w:r w:rsidRPr="00A81971">
        <w:rPr>
          <w:rFonts w:eastAsia="Times New Roman"/>
          <w:b/>
          <w:iCs/>
        </w:rPr>
        <w:t xml:space="preserve"> </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2551"/>
        <w:gridCol w:w="3402"/>
      </w:tblGrid>
      <w:tr w:rsidR="00F90461" w14:paraId="224F4308" w14:textId="77777777" w:rsidTr="00D47791">
        <w:trPr>
          <w:trHeight w:val="60"/>
        </w:trPr>
        <w:tc>
          <w:tcPr>
            <w:tcW w:w="3676" w:type="dxa"/>
            <w:shd w:val="clear" w:color="auto" w:fill="D9E2F3"/>
            <w:vAlign w:val="center"/>
          </w:tcPr>
          <w:p w14:paraId="65B8A8FC" w14:textId="77777777" w:rsidR="007A6928" w:rsidRPr="00A81971" w:rsidRDefault="0032495C" w:rsidP="007A6928">
            <w:pPr>
              <w:spacing w:after="0"/>
              <w:jc w:val="center"/>
              <w:rPr>
                <w:rFonts w:eastAsia="Times New Roman"/>
                <w:color w:val="000000"/>
              </w:rPr>
            </w:pPr>
            <w:r w:rsidRPr="00A81971">
              <w:rPr>
                <w:rFonts w:eastAsia="Times New Roman"/>
                <w:b/>
                <w:bCs/>
                <w:color w:val="000000"/>
              </w:rPr>
              <w:t>2027-2029 Triennium</w:t>
            </w:r>
          </w:p>
        </w:tc>
        <w:tc>
          <w:tcPr>
            <w:tcW w:w="2551" w:type="dxa"/>
            <w:shd w:val="clear" w:color="auto" w:fill="D9E2F3"/>
            <w:vAlign w:val="center"/>
          </w:tcPr>
          <w:p w14:paraId="7837ACB0" w14:textId="77777777" w:rsidR="007A6928" w:rsidRPr="00A81971" w:rsidRDefault="0032495C" w:rsidP="007A6928">
            <w:pPr>
              <w:spacing w:after="0"/>
              <w:jc w:val="center"/>
              <w:rPr>
                <w:rFonts w:eastAsia="Times New Roman"/>
                <w:color w:val="000000"/>
              </w:rPr>
            </w:pPr>
            <w:r w:rsidRPr="00A81971">
              <w:rPr>
                <w:rFonts w:eastAsia="Times New Roman"/>
                <w:b/>
                <w:bCs/>
                <w:color w:val="000000"/>
              </w:rPr>
              <w:t xml:space="preserve">Updated </w:t>
            </w:r>
            <w:r w:rsidRPr="00A81971">
              <w:rPr>
                <w:rFonts w:eastAsia="Times New Roman"/>
                <w:b/>
                <w:bCs/>
              </w:rPr>
              <w:t xml:space="preserve">May Report Estimates </w:t>
            </w:r>
          </w:p>
        </w:tc>
        <w:tc>
          <w:tcPr>
            <w:tcW w:w="3402" w:type="dxa"/>
            <w:shd w:val="clear" w:color="auto" w:fill="D9E2F3"/>
          </w:tcPr>
          <w:p w14:paraId="0AE8DC12" w14:textId="77777777" w:rsidR="007A6928" w:rsidRPr="00A81971" w:rsidRDefault="0032495C" w:rsidP="007A6928">
            <w:pPr>
              <w:spacing w:after="0"/>
              <w:jc w:val="center"/>
              <w:rPr>
                <w:rFonts w:eastAsia="Times New Roman"/>
                <w:b/>
                <w:bCs/>
                <w:color w:val="000000"/>
              </w:rPr>
            </w:pPr>
            <w:r w:rsidRPr="00A81971">
              <w:rPr>
                <w:rFonts w:eastAsia="Times New Roman"/>
                <w:b/>
                <w:bCs/>
                <w:color w:val="000000"/>
              </w:rPr>
              <w:t>Supplementary Report Estimates Applying New Scenarios</w:t>
            </w:r>
          </w:p>
        </w:tc>
      </w:tr>
      <w:tr w:rsidR="00F90461" w14:paraId="2682221E" w14:textId="77777777" w:rsidTr="00480B62">
        <w:trPr>
          <w:trHeight w:val="285"/>
        </w:trPr>
        <w:tc>
          <w:tcPr>
            <w:tcW w:w="3676" w:type="dxa"/>
            <w:shd w:val="clear" w:color="auto" w:fill="FFFF00"/>
            <w:vAlign w:val="bottom"/>
          </w:tcPr>
          <w:p w14:paraId="55CB4EFD" w14:textId="77777777" w:rsidR="007A6928" w:rsidRPr="00A81971" w:rsidRDefault="007A6928" w:rsidP="007A6928">
            <w:pPr>
              <w:spacing w:after="0"/>
              <w:jc w:val="center"/>
              <w:rPr>
                <w:rFonts w:eastAsia="Times New Roman"/>
                <w:b/>
                <w:bCs/>
                <w:color w:val="000000"/>
              </w:rPr>
            </w:pPr>
          </w:p>
          <w:p w14:paraId="73A22BE1" w14:textId="77777777" w:rsidR="007A6928" w:rsidRPr="00A81971" w:rsidRDefault="0032495C" w:rsidP="007A6928">
            <w:pPr>
              <w:spacing w:after="0"/>
              <w:jc w:val="center"/>
              <w:rPr>
                <w:rFonts w:eastAsia="Times New Roman"/>
                <w:b/>
                <w:bCs/>
                <w:color w:val="000000"/>
              </w:rPr>
            </w:pPr>
            <w:r w:rsidRPr="00A81971">
              <w:rPr>
                <w:rFonts w:eastAsia="Times New Roman"/>
                <w:b/>
                <w:bCs/>
                <w:color w:val="000000"/>
              </w:rPr>
              <w:t>SUBTOTAL – HCFC ACTIVITIES</w:t>
            </w:r>
          </w:p>
          <w:p w14:paraId="2F7A4D20" w14:textId="77777777" w:rsidR="007A6928" w:rsidRPr="00A81971" w:rsidRDefault="0032495C" w:rsidP="007A6928">
            <w:pPr>
              <w:spacing w:after="0"/>
              <w:jc w:val="center"/>
              <w:rPr>
                <w:rFonts w:eastAsia="Times New Roman"/>
                <w:b/>
                <w:color w:val="000000"/>
              </w:rPr>
            </w:pPr>
            <w:r w:rsidRPr="00A81971">
              <w:rPr>
                <w:rFonts w:eastAsia="Times New Roman"/>
                <w:b/>
                <w:color w:val="000000"/>
              </w:rPr>
              <w:t>US$ million</w:t>
            </w:r>
          </w:p>
          <w:p w14:paraId="01ED9E2B" w14:textId="77777777" w:rsidR="007A6928" w:rsidRPr="00A81971" w:rsidRDefault="007A6928" w:rsidP="007A6928">
            <w:pPr>
              <w:spacing w:after="0"/>
              <w:jc w:val="center"/>
              <w:rPr>
                <w:rFonts w:eastAsia="Times New Roman"/>
                <w:color w:val="000000"/>
              </w:rPr>
            </w:pPr>
          </w:p>
        </w:tc>
        <w:tc>
          <w:tcPr>
            <w:tcW w:w="2551" w:type="dxa"/>
            <w:shd w:val="clear" w:color="auto" w:fill="FFFF00"/>
            <w:vAlign w:val="center"/>
          </w:tcPr>
          <w:p w14:paraId="13D98D6C" w14:textId="77777777" w:rsidR="007A6928" w:rsidRPr="00A81971" w:rsidRDefault="0032495C" w:rsidP="007A6928">
            <w:pPr>
              <w:spacing w:after="0"/>
              <w:jc w:val="center"/>
              <w:rPr>
                <w:rFonts w:eastAsia="Times New Roman"/>
                <w:color w:val="000000"/>
              </w:rPr>
            </w:pPr>
            <w:r w:rsidRPr="00A81971">
              <w:rPr>
                <w:rFonts w:eastAsia="Times New Roman"/>
                <w:b/>
                <w:bCs/>
                <w:color w:val="000000"/>
              </w:rPr>
              <w:t>437 – 564</w:t>
            </w:r>
          </w:p>
        </w:tc>
        <w:tc>
          <w:tcPr>
            <w:tcW w:w="3402" w:type="dxa"/>
            <w:shd w:val="clear" w:color="auto" w:fill="FFFF00"/>
            <w:vAlign w:val="center"/>
          </w:tcPr>
          <w:p w14:paraId="1C132BC0" w14:textId="77777777" w:rsidR="007A6928" w:rsidRPr="00A81971" w:rsidRDefault="0032495C" w:rsidP="007A6928">
            <w:pPr>
              <w:spacing w:after="0"/>
              <w:jc w:val="center"/>
              <w:rPr>
                <w:rFonts w:eastAsia="Times New Roman"/>
                <w:b/>
                <w:bCs/>
                <w:color w:val="000000"/>
              </w:rPr>
            </w:pPr>
            <w:r w:rsidRPr="00A81971">
              <w:rPr>
                <w:rFonts w:eastAsia="Times New Roman"/>
                <w:b/>
                <w:bCs/>
                <w:color w:val="000000"/>
              </w:rPr>
              <w:t>230*– 564</w:t>
            </w:r>
          </w:p>
        </w:tc>
      </w:tr>
    </w:tbl>
    <w:p w14:paraId="6963A9AB" w14:textId="77777777" w:rsidR="007A6928" w:rsidRPr="00A81971" w:rsidRDefault="0032495C" w:rsidP="007A6928">
      <w:pPr>
        <w:spacing w:after="0"/>
        <w:rPr>
          <w:rFonts w:eastAsia="Times New Roman"/>
          <w:i/>
          <w:sz w:val="18"/>
          <w:szCs w:val="18"/>
        </w:rPr>
      </w:pPr>
      <w:r w:rsidRPr="00A81971">
        <w:rPr>
          <w:rFonts w:eastAsia="Times New Roman"/>
          <w:color w:val="000000"/>
          <w:sz w:val="18"/>
          <w:szCs w:val="18"/>
        </w:rPr>
        <w:t>*Lowest funding estimate from applying New Scenario 1c, a reduction of US$ 207 million from the May Report low-end range for HCFC activities for 2027-2029.</w:t>
      </w:r>
    </w:p>
    <w:p w14:paraId="2F70FDFB" w14:textId="77777777" w:rsidR="007A6928" w:rsidRPr="00A81971" w:rsidRDefault="007A6928" w:rsidP="007A6928">
      <w:pPr>
        <w:tabs>
          <w:tab w:val="left" w:pos="2281"/>
        </w:tabs>
        <w:spacing w:after="0"/>
        <w:rPr>
          <w:rFonts w:eastAsia="Times New Roman"/>
        </w:rPr>
      </w:pPr>
    </w:p>
    <w:p w14:paraId="1CCC5F80" w14:textId="77777777" w:rsidR="007A6928" w:rsidRPr="00A81971" w:rsidRDefault="0032495C" w:rsidP="1E375DFC">
      <w:pPr>
        <w:rPr>
          <w:rFonts w:eastAsia="Times New Roman"/>
          <w:b/>
          <w:bCs/>
          <w:i/>
          <w:iCs/>
          <w:color w:val="000000"/>
        </w:rPr>
      </w:pPr>
      <w:r w:rsidRPr="00A81971">
        <w:rPr>
          <w:rFonts w:eastAsia="Times New Roman"/>
          <w:b/>
          <w:bCs/>
          <w:i/>
          <w:iCs/>
          <w:color w:val="000000" w:themeColor="text1"/>
        </w:rPr>
        <w:t>Additional New Scenario 2a for HCFCs: A low-end scenario based on the most recently reported consumption data for HCFCs and a high-end scenario based on HCFC remaining eligible consumption</w:t>
      </w:r>
    </w:p>
    <w:p w14:paraId="677878C1" w14:textId="77777777" w:rsidR="007A6928" w:rsidRPr="00A81971" w:rsidRDefault="0032495C" w:rsidP="007A20BD">
      <w:pPr>
        <w:pStyle w:val="ListParagraph"/>
        <w:numPr>
          <w:ilvl w:val="0"/>
          <w:numId w:val="65"/>
        </w:numPr>
        <w:tabs>
          <w:tab w:val="left" w:pos="2281"/>
        </w:tabs>
        <w:spacing w:after="0" w:line="259" w:lineRule="auto"/>
        <w:rPr>
          <w:rFonts w:eastAsia="Times New Roman"/>
        </w:rPr>
      </w:pPr>
      <w:r w:rsidRPr="00A81971">
        <w:rPr>
          <w:rFonts w:eastAsia="Times New Roman"/>
          <w:color w:val="000000" w:themeColor="text1"/>
        </w:rPr>
        <w:t xml:space="preserve">For HCFCs, where the eligible remaining consumption differs from the most recently reported A7 data, the lower of the two values was used in the calculations. The funding estimates and </w:t>
      </w:r>
      <w:r w:rsidRPr="00A81971">
        <w:rPr>
          <w:rFonts w:eastAsia="Times New Roman"/>
          <w:color w:val="000000" w:themeColor="text1"/>
        </w:rPr>
        <w:lastRenderedPageBreak/>
        <w:t>adjustments presented in the “Updated May Report” scenarios and funding ranges, already take that suggestion into consideration. Therefore, the funding estimates presented in the “Updated RTF May Report” are the same for this new scenario.</w:t>
      </w:r>
    </w:p>
    <w:p w14:paraId="670B9A4C" w14:textId="77777777" w:rsidR="007A6928" w:rsidRPr="00A81971" w:rsidRDefault="0032495C" w:rsidP="00201CFA">
      <w:pPr>
        <w:pStyle w:val="Heading2"/>
        <w:rPr>
          <w:color w:val="000000"/>
        </w:rPr>
      </w:pPr>
      <w:bookmarkStart w:id="215" w:name="_Toc240987329"/>
      <w:r w:rsidRPr="00A81971">
        <w:t xml:space="preserve">3.3 </w:t>
      </w:r>
      <w:r w:rsidR="34B0439A" w:rsidRPr="00A81971">
        <w:tab/>
      </w:r>
      <w:r w:rsidRPr="002E3156">
        <w:t>HFC New Scenarios applying CE FACTORS</w:t>
      </w:r>
      <w:bookmarkEnd w:id="215"/>
    </w:p>
    <w:p w14:paraId="432B3A03" w14:textId="77777777" w:rsidR="007A6928" w:rsidRPr="00A81971" w:rsidRDefault="0032495C" w:rsidP="009B43FB">
      <w:pPr>
        <w:pStyle w:val="Heading3"/>
      </w:pPr>
      <w:r w:rsidRPr="00A81971">
        <w:rPr>
          <w:lang w:eastAsia="nl-NL"/>
        </w:rPr>
        <w:t>3.3.1</w:t>
      </w:r>
      <w:r w:rsidRPr="00A81971">
        <w:tab/>
      </w:r>
      <w:r w:rsidRPr="00FE5C31">
        <w:t>New Scenario 1a for KIPs: Based on the application of historical CE factors</w:t>
      </w:r>
      <w:r w:rsidRPr="00A81971">
        <w:rPr>
          <w:bCs/>
          <w:lang w:eastAsia="nl-NL"/>
        </w:rPr>
        <w:t xml:space="preserve"> </w:t>
      </w:r>
    </w:p>
    <w:p w14:paraId="6C5D6E36" w14:textId="77777777" w:rsidR="007A6928" w:rsidRPr="00A81971" w:rsidRDefault="0032495C" w:rsidP="007A6928">
      <w:pPr>
        <w:spacing w:after="0"/>
        <w:rPr>
          <w:rFonts w:eastAsia="Times New Roman"/>
        </w:rPr>
      </w:pPr>
      <w:r w:rsidRPr="00A81971">
        <w:rPr>
          <w:rFonts w:eastAsia="Times New Roman"/>
        </w:rPr>
        <w:t>For estimating funding based on this scenario, RTF used as the basis the analysis that the MLFS shared, based on CEs for manufacturing sectors in 37 HFC conversion projects in 18 countries, as in Table 3.1</w:t>
      </w:r>
      <w:r w:rsidR="00F32D9A">
        <w:rPr>
          <w:rFonts w:eastAsia="Times New Roman"/>
        </w:rPr>
        <w:t>1</w:t>
      </w:r>
      <w:r w:rsidRPr="00A81971">
        <w:rPr>
          <w:rFonts w:eastAsia="Times New Roman"/>
        </w:rPr>
        <w:t xml:space="preserve"> below.</w:t>
      </w:r>
    </w:p>
    <w:p w14:paraId="575A07C0" w14:textId="77777777" w:rsidR="007A6928" w:rsidRPr="00A81971" w:rsidRDefault="007A6928" w:rsidP="007A6928">
      <w:pPr>
        <w:spacing w:after="0"/>
        <w:rPr>
          <w:rFonts w:eastAsia="Times New Roman"/>
        </w:rPr>
      </w:pPr>
    </w:p>
    <w:p w14:paraId="33E82D96" w14:textId="77777777" w:rsidR="00147E71" w:rsidRPr="00A81971" w:rsidRDefault="0032495C" w:rsidP="00FE5C31">
      <w:pPr>
        <w:keepNext/>
        <w:keepLines/>
        <w:tabs>
          <w:tab w:val="left" w:pos="0"/>
          <w:tab w:val="left" w:pos="1276"/>
        </w:tabs>
        <w:spacing w:after="120"/>
        <w:ind w:left="1281" w:hanging="1281"/>
        <w:rPr>
          <w:rFonts w:eastAsia="Times New Roman"/>
          <w:b/>
          <w:bCs/>
        </w:rPr>
      </w:pPr>
      <w:r w:rsidRPr="0006445E">
        <w:rPr>
          <w:rFonts w:eastAsia="Yu Mincho"/>
          <w:b/>
          <w:bCs/>
          <w:color w:val="000000"/>
          <w:lang w:val="en-CA"/>
        </w:rPr>
        <w:t xml:space="preserve">Table </w:t>
      </w:r>
      <w:r>
        <w:rPr>
          <w:rFonts w:eastAsia="Yu Mincho"/>
          <w:b/>
          <w:bCs/>
          <w:color w:val="000000"/>
          <w:lang w:val="en-CA"/>
        </w:rPr>
        <w:t>3.1</w:t>
      </w:r>
      <w:r w:rsidR="00F32D9A">
        <w:rPr>
          <w:rFonts w:eastAsia="Yu Mincho"/>
          <w:b/>
          <w:bCs/>
          <w:color w:val="000000"/>
          <w:lang w:val="en-CA"/>
        </w:rPr>
        <w:t>1</w:t>
      </w:r>
      <w:r>
        <w:rPr>
          <w:rFonts w:eastAsia="Yu Mincho"/>
          <w:b/>
          <w:bCs/>
          <w:color w:val="000000"/>
          <w:lang w:val="en-CA"/>
        </w:rPr>
        <w:t>:</w:t>
      </w:r>
      <w:r w:rsidRPr="0006445E">
        <w:rPr>
          <w:rFonts w:eastAsia="Times New Roman"/>
          <w:color w:val="000000"/>
          <w:lang w:val="en-CA"/>
        </w:rPr>
        <w:tab/>
      </w:r>
      <w:r w:rsidR="00272B42" w:rsidRPr="00A81971">
        <w:rPr>
          <w:rFonts w:eastAsia="Times New Roman"/>
          <w:b/>
          <w:bCs/>
        </w:rPr>
        <w:t xml:space="preserve">Analysis of </w:t>
      </w:r>
      <w:r w:rsidR="00194F67">
        <w:rPr>
          <w:rFonts w:eastAsia="Times New Roman"/>
          <w:b/>
          <w:bCs/>
        </w:rPr>
        <w:t>37</w:t>
      </w:r>
      <w:r w:rsidR="00272B42" w:rsidRPr="00A81971">
        <w:rPr>
          <w:rFonts w:eastAsia="Times New Roman"/>
          <w:b/>
          <w:bCs/>
        </w:rPr>
        <w:t xml:space="preserve"> projects in 18 countries to determine Historical CEs for Scenario 1a</w:t>
      </w:r>
    </w:p>
    <w:p w14:paraId="6A928B06" w14:textId="77777777" w:rsidR="0095350D" w:rsidRDefault="0095350D" w:rsidP="007A6928">
      <w:pPr>
        <w:spacing w:after="0"/>
        <w:rPr>
          <w:rFonts w:eastAsia="Times New Roman"/>
          <w:color w:val="000000"/>
          <w:sz w:val="20"/>
          <w:szCs w:val="20"/>
        </w:rPr>
      </w:pPr>
    </w:p>
    <w:tbl>
      <w:tblPr>
        <w:tblStyle w:val="TableGrid"/>
        <w:tblW w:w="9250" w:type="dxa"/>
        <w:tblLook w:val="04A0" w:firstRow="1" w:lastRow="0" w:firstColumn="1" w:lastColumn="0" w:noHBand="0" w:noVBand="1"/>
      </w:tblPr>
      <w:tblGrid>
        <w:gridCol w:w="2220"/>
        <w:gridCol w:w="974"/>
        <w:gridCol w:w="995"/>
        <w:gridCol w:w="1081"/>
        <w:gridCol w:w="1280"/>
        <w:gridCol w:w="866"/>
        <w:gridCol w:w="866"/>
        <w:gridCol w:w="1002"/>
      </w:tblGrid>
      <w:tr w:rsidR="0095350D" w:rsidRPr="0095350D" w14:paraId="1449F65C" w14:textId="77777777" w:rsidTr="00FE5C31">
        <w:trPr>
          <w:trHeight w:val="1050"/>
        </w:trPr>
        <w:tc>
          <w:tcPr>
            <w:tcW w:w="2220" w:type="dxa"/>
            <w:shd w:val="clear" w:color="auto" w:fill="2F5496" w:themeFill="accent1" w:themeFillShade="BF"/>
            <w:vAlign w:val="center"/>
            <w:hideMark/>
          </w:tcPr>
          <w:p w14:paraId="2E804256" w14:textId="77777777" w:rsidR="0095350D" w:rsidRPr="00FE5C31" w:rsidRDefault="0095350D" w:rsidP="00040A74">
            <w:pPr>
              <w:spacing w:after="0"/>
              <w:jc w:val="center"/>
              <w:rPr>
                <w:rFonts w:eastAsia="Times New Roman"/>
                <w:b/>
                <w:bCs/>
                <w:color w:val="FFFFFF" w:themeColor="background1"/>
                <w:lang w:val="pt-BR"/>
              </w:rPr>
            </w:pPr>
            <w:r w:rsidRPr="00FE5C31">
              <w:rPr>
                <w:rFonts w:eastAsia="Times New Roman"/>
                <w:b/>
                <w:bCs/>
                <w:color w:val="FFFFFF" w:themeColor="background1"/>
              </w:rPr>
              <w:t>Sector</w:t>
            </w:r>
          </w:p>
        </w:tc>
        <w:tc>
          <w:tcPr>
            <w:tcW w:w="940" w:type="dxa"/>
            <w:shd w:val="clear" w:color="auto" w:fill="2F5496" w:themeFill="accent1" w:themeFillShade="BF"/>
            <w:vAlign w:val="center"/>
            <w:hideMark/>
          </w:tcPr>
          <w:p w14:paraId="097DB104"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No. of projects</w:t>
            </w:r>
          </w:p>
        </w:tc>
        <w:tc>
          <w:tcPr>
            <w:tcW w:w="995" w:type="dxa"/>
            <w:shd w:val="clear" w:color="auto" w:fill="2F5496" w:themeFill="accent1" w:themeFillShade="BF"/>
            <w:vAlign w:val="center"/>
            <w:hideMark/>
          </w:tcPr>
          <w:p w14:paraId="35FC9CC7"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Metric tonnes phased out</w:t>
            </w:r>
          </w:p>
        </w:tc>
        <w:tc>
          <w:tcPr>
            <w:tcW w:w="1081" w:type="dxa"/>
            <w:shd w:val="clear" w:color="auto" w:fill="2F5496" w:themeFill="accent1" w:themeFillShade="BF"/>
            <w:vAlign w:val="center"/>
            <w:hideMark/>
          </w:tcPr>
          <w:p w14:paraId="37174C38"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CO</w:t>
            </w:r>
            <w:r w:rsidRPr="00FE5C31">
              <w:rPr>
                <w:rFonts w:eastAsia="Times New Roman"/>
                <w:b/>
                <w:bCs/>
                <w:color w:val="FFFFFF" w:themeColor="background1"/>
                <w:vertAlign w:val="subscript"/>
              </w:rPr>
              <w:t>2</w:t>
            </w:r>
            <w:r w:rsidRPr="00FE5C31">
              <w:rPr>
                <w:rFonts w:eastAsia="Times New Roman"/>
                <w:b/>
                <w:bCs/>
                <w:color w:val="FFFFFF" w:themeColor="background1"/>
              </w:rPr>
              <w:t xml:space="preserve"> eq. tonnes replaced</w:t>
            </w:r>
          </w:p>
        </w:tc>
        <w:tc>
          <w:tcPr>
            <w:tcW w:w="1280" w:type="dxa"/>
            <w:shd w:val="clear" w:color="auto" w:fill="2F5496" w:themeFill="accent1" w:themeFillShade="BF"/>
            <w:vAlign w:val="center"/>
            <w:hideMark/>
          </w:tcPr>
          <w:p w14:paraId="13D3D697"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Approved cost (US $)</w:t>
            </w:r>
          </w:p>
        </w:tc>
        <w:tc>
          <w:tcPr>
            <w:tcW w:w="866" w:type="dxa"/>
            <w:shd w:val="clear" w:color="auto" w:fill="2F5496" w:themeFill="accent1" w:themeFillShade="BF"/>
            <w:vAlign w:val="center"/>
            <w:hideMark/>
          </w:tcPr>
          <w:p w14:paraId="40DC14F4"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ICCs (US $)</w:t>
            </w:r>
          </w:p>
        </w:tc>
        <w:tc>
          <w:tcPr>
            <w:tcW w:w="866" w:type="dxa"/>
            <w:shd w:val="clear" w:color="auto" w:fill="2F5496" w:themeFill="accent1" w:themeFillShade="BF"/>
            <w:vAlign w:val="center"/>
            <w:hideMark/>
          </w:tcPr>
          <w:p w14:paraId="561CB406"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IOCs (US $)</w:t>
            </w:r>
          </w:p>
        </w:tc>
        <w:tc>
          <w:tcPr>
            <w:tcW w:w="1002" w:type="dxa"/>
            <w:shd w:val="clear" w:color="auto" w:fill="2F5496" w:themeFill="accent1" w:themeFillShade="BF"/>
            <w:vAlign w:val="center"/>
            <w:hideMark/>
          </w:tcPr>
          <w:p w14:paraId="26332CCA" w14:textId="77777777" w:rsidR="0095350D" w:rsidRPr="00FE5C31" w:rsidRDefault="0095350D" w:rsidP="00040A74">
            <w:pPr>
              <w:spacing w:after="0"/>
              <w:jc w:val="center"/>
              <w:rPr>
                <w:rFonts w:eastAsia="Times New Roman"/>
                <w:b/>
                <w:bCs/>
                <w:color w:val="FFFFFF" w:themeColor="background1"/>
              </w:rPr>
            </w:pPr>
            <w:r w:rsidRPr="00FE5C31">
              <w:rPr>
                <w:rFonts w:eastAsia="Times New Roman"/>
                <w:b/>
                <w:bCs/>
                <w:color w:val="FFFFFF" w:themeColor="background1"/>
              </w:rPr>
              <w:t>CE (US $ /kg)</w:t>
            </w:r>
          </w:p>
        </w:tc>
      </w:tr>
      <w:tr w:rsidR="0095350D" w:rsidRPr="0095350D" w14:paraId="36B880AB" w14:textId="77777777" w:rsidTr="00DD223B">
        <w:trPr>
          <w:trHeight w:val="300"/>
        </w:trPr>
        <w:tc>
          <w:tcPr>
            <w:tcW w:w="2220" w:type="dxa"/>
            <w:shd w:val="clear" w:color="auto" w:fill="D9E2F3" w:themeFill="accent1" w:themeFillTint="33"/>
            <w:noWrap/>
            <w:vAlign w:val="center"/>
            <w:hideMark/>
          </w:tcPr>
          <w:p w14:paraId="747CEB01"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PU foam</w:t>
            </w:r>
          </w:p>
        </w:tc>
        <w:tc>
          <w:tcPr>
            <w:tcW w:w="940" w:type="dxa"/>
            <w:noWrap/>
            <w:vAlign w:val="center"/>
            <w:hideMark/>
          </w:tcPr>
          <w:p w14:paraId="77507F6B"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3</w:t>
            </w:r>
          </w:p>
        </w:tc>
        <w:tc>
          <w:tcPr>
            <w:tcW w:w="995" w:type="dxa"/>
            <w:noWrap/>
            <w:vAlign w:val="center"/>
            <w:hideMark/>
          </w:tcPr>
          <w:p w14:paraId="66352806"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1,230.09</w:t>
            </w:r>
          </w:p>
        </w:tc>
        <w:tc>
          <w:tcPr>
            <w:tcW w:w="1081" w:type="dxa"/>
            <w:noWrap/>
            <w:vAlign w:val="center"/>
            <w:hideMark/>
          </w:tcPr>
          <w:p w14:paraId="204D6DA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1,087,534</w:t>
            </w:r>
          </w:p>
        </w:tc>
        <w:tc>
          <w:tcPr>
            <w:tcW w:w="1280" w:type="dxa"/>
            <w:noWrap/>
            <w:vAlign w:val="center"/>
            <w:hideMark/>
          </w:tcPr>
          <w:p w14:paraId="5573B891"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3,244,089</w:t>
            </w:r>
          </w:p>
        </w:tc>
        <w:tc>
          <w:tcPr>
            <w:tcW w:w="866" w:type="dxa"/>
            <w:noWrap/>
            <w:vAlign w:val="center"/>
          </w:tcPr>
          <w:p w14:paraId="537C6EE9" w14:textId="2288E3BD" w:rsidR="0095350D" w:rsidRPr="0095350D" w:rsidRDefault="0095350D" w:rsidP="00DD223B">
            <w:pPr>
              <w:spacing w:after="0"/>
              <w:jc w:val="right"/>
              <w:rPr>
                <w:rFonts w:eastAsia="Times New Roman"/>
                <w:color w:val="000000"/>
                <w:sz w:val="20"/>
                <w:szCs w:val="20"/>
              </w:rPr>
            </w:pPr>
          </w:p>
        </w:tc>
        <w:tc>
          <w:tcPr>
            <w:tcW w:w="866" w:type="dxa"/>
            <w:noWrap/>
            <w:vAlign w:val="center"/>
          </w:tcPr>
          <w:p w14:paraId="67B7D17C" w14:textId="210D9E91"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11EC7105"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2.64</w:t>
            </w:r>
          </w:p>
        </w:tc>
      </w:tr>
      <w:tr w:rsidR="0095350D" w:rsidRPr="0095350D" w14:paraId="14257FAD" w14:textId="77777777" w:rsidTr="00DD223B">
        <w:trPr>
          <w:trHeight w:val="300"/>
        </w:trPr>
        <w:tc>
          <w:tcPr>
            <w:tcW w:w="2220" w:type="dxa"/>
            <w:shd w:val="clear" w:color="auto" w:fill="D9E2F3" w:themeFill="accent1" w:themeFillTint="33"/>
            <w:noWrap/>
            <w:vAlign w:val="center"/>
            <w:hideMark/>
          </w:tcPr>
          <w:p w14:paraId="5F2CEE45"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Dom ref</w:t>
            </w:r>
          </w:p>
        </w:tc>
        <w:tc>
          <w:tcPr>
            <w:tcW w:w="940" w:type="dxa"/>
            <w:noWrap/>
            <w:vAlign w:val="center"/>
            <w:hideMark/>
          </w:tcPr>
          <w:p w14:paraId="59BDB836"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6</w:t>
            </w:r>
          </w:p>
        </w:tc>
        <w:tc>
          <w:tcPr>
            <w:tcW w:w="995" w:type="dxa"/>
            <w:noWrap/>
            <w:vAlign w:val="center"/>
            <w:hideMark/>
          </w:tcPr>
          <w:p w14:paraId="5E50E614"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785.88</w:t>
            </w:r>
          </w:p>
        </w:tc>
        <w:tc>
          <w:tcPr>
            <w:tcW w:w="1081" w:type="dxa"/>
            <w:noWrap/>
            <w:vAlign w:val="center"/>
            <w:hideMark/>
          </w:tcPr>
          <w:p w14:paraId="60976DC6"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1,123,812</w:t>
            </w:r>
          </w:p>
        </w:tc>
        <w:tc>
          <w:tcPr>
            <w:tcW w:w="1280" w:type="dxa"/>
            <w:noWrap/>
            <w:vAlign w:val="center"/>
            <w:hideMark/>
          </w:tcPr>
          <w:p w14:paraId="2C5B1CF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6,890,919</w:t>
            </w:r>
          </w:p>
        </w:tc>
        <w:tc>
          <w:tcPr>
            <w:tcW w:w="866" w:type="dxa"/>
            <w:noWrap/>
            <w:vAlign w:val="center"/>
          </w:tcPr>
          <w:p w14:paraId="3E734058" w14:textId="65F98996" w:rsidR="0095350D" w:rsidRPr="0095350D" w:rsidRDefault="0095350D" w:rsidP="00DD223B">
            <w:pPr>
              <w:spacing w:after="0"/>
              <w:jc w:val="right"/>
              <w:rPr>
                <w:rFonts w:eastAsia="Times New Roman"/>
                <w:color w:val="000000"/>
                <w:sz w:val="20"/>
                <w:szCs w:val="20"/>
              </w:rPr>
            </w:pPr>
          </w:p>
        </w:tc>
        <w:tc>
          <w:tcPr>
            <w:tcW w:w="866" w:type="dxa"/>
            <w:noWrap/>
            <w:vAlign w:val="center"/>
          </w:tcPr>
          <w:p w14:paraId="6678392C" w14:textId="0ABF3FA6"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2D363895"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8.77</w:t>
            </w:r>
          </w:p>
        </w:tc>
      </w:tr>
      <w:tr w:rsidR="0095350D" w:rsidRPr="0095350D" w14:paraId="36D06859" w14:textId="77777777" w:rsidTr="00DD223B">
        <w:trPr>
          <w:trHeight w:val="300"/>
        </w:trPr>
        <w:tc>
          <w:tcPr>
            <w:tcW w:w="2220" w:type="dxa"/>
            <w:shd w:val="clear" w:color="auto" w:fill="D9E2F3" w:themeFill="accent1" w:themeFillTint="33"/>
            <w:noWrap/>
            <w:vAlign w:val="center"/>
            <w:hideMark/>
          </w:tcPr>
          <w:p w14:paraId="7D9FD7A0"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Res AC</w:t>
            </w:r>
          </w:p>
        </w:tc>
        <w:tc>
          <w:tcPr>
            <w:tcW w:w="940" w:type="dxa"/>
            <w:noWrap/>
            <w:vAlign w:val="center"/>
            <w:hideMark/>
          </w:tcPr>
          <w:p w14:paraId="782015C6"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6</w:t>
            </w:r>
          </w:p>
        </w:tc>
        <w:tc>
          <w:tcPr>
            <w:tcW w:w="995" w:type="dxa"/>
            <w:noWrap/>
            <w:vAlign w:val="center"/>
            <w:hideMark/>
          </w:tcPr>
          <w:p w14:paraId="01F0487E"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650.26</w:t>
            </w:r>
          </w:p>
        </w:tc>
        <w:tc>
          <w:tcPr>
            <w:tcW w:w="1081" w:type="dxa"/>
            <w:noWrap/>
            <w:vAlign w:val="center"/>
            <w:hideMark/>
          </w:tcPr>
          <w:p w14:paraId="7A19AB1D"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1,357,417</w:t>
            </w:r>
          </w:p>
        </w:tc>
        <w:tc>
          <w:tcPr>
            <w:tcW w:w="1280" w:type="dxa"/>
            <w:noWrap/>
            <w:vAlign w:val="center"/>
            <w:hideMark/>
          </w:tcPr>
          <w:p w14:paraId="45C6713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5,538,039</w:t>
            </w:r>
          </w:p>
        </w:tc>
        <w:tc>
          <w:tcPr>
            <w:tcW w:w="866" w:type="dxa"/>
            <w:noWrap/>
            <w:vAlign w:val="center"/>
          </w:tcPr>
          <w:p w14:paraId="68F261A9" w14:textId="6E9FC996" w:rsidR="0095350D" w:rsidRPr="0095350D" w:rsidRDefault="0095350D" w:rsidP="00DD223B">
            <w:pPr>
              <w:spacing w:after="0"/>
              <w:jc w:val="right"/>
              <w:rPr>
                <w:rFonts w:eastAsia="Times New Roman"/>
                <w:color w:val="000000"/>
                <w:sz w:val="20"/>
                <w:szCs w:val="20"/>
              </w:rPr>
            </w:pPr>
          </w:p>
        </w:tc>
        <w:tc>
          <w:tcPr>
            <w:tcW w:w="866" w:type="dxa"/>
            <w:noWrap/>
            <w:vAlign w:val="center"/>
          </w:tcPr>
          <w:p w14:paraId="359974F3" w14:textId="23AAE855"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5B285EF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8.52</w:t>
            </w:r>
          </w:p>
        </w:tc>
      </w:tr>
      <w:tr w:rsidR="0095350D" w:rsidRPr="0095350D" w14:paraId="268B8EB4" w14:textId="77777777" w:rsidTr="00DD223B">
        <w:trPr>
          <w:trHeight w:val="300"/>
        </w:trPr>
        <w:tc>
          <w:tcPr>
            <w:tcW w:w="2220" w:type="dxa"/>
            <w:shd w:val="clear" w:color="auto" w:fill="D9E2F3" w:themeFill="accent1" w:themeFillTint="33"/>
            <w:noWrap/>
            <w:vAlign w:val="center"/>
            <w:hideMark/>
          </w:tcPr>
          <w:p w14:paraId="743FFBC4"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Light commercial refrigeration</w:t>
            </w:r>
          </w:p>
        </w:tc>
        <w:tc>
          <w:tcPr>
            <w:tcW w:w="940" w:type="dxa"/>
            <w:noWrap/>
            <w:vAlign w:val="center"/>
            <w:hideMark/>
          </w:tcPr>
          <w:p w14:paraId="55AA7B73"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084EBE5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307.77</w:t>
            </w:r>
          </w:p>
        </w:tc>
        <w:tc>
          <w:tcPr>
            <w:tcW w:w="1081" w:type="dxa"/>
            <w:noWrap/>
            <w:vAlign w:val="center"/>
            <w:hideMark/>
          </w:tcPr>
          <w:p w14:paraId="4FE83DEF"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539,775</w:t>
            </w:r>
          </w:p>
        </w:tc>
        <w:tc>
          <w:tcPr>
            <w:tcW w:w="1280" w:type="dxa"/>
            <w:noWrap/>
            <w:vAlign w:val="center"/>
            <w:hideMark/>
          </w:tcPr>
          <w:p w14:paraId="1B9CD41E"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7,425,000</w:t>
            </w:r>
          </w:p>
        </w:tc>
        <w:tc>
          <w:tcPr>
            <w:tcW w:w="866" w:type="dxa"/>
            <w:noWrap/>
            <w:vAlign w:val="center"/>
          </w:tcPr>
          <w:p w14:paraId="6A8231A7" w14:textId="1FC671B6" w:rsidR="0095350D" w:rsidRPr="0095350D" w:rsidRDefault="0095350D" w:rsidP="00DD223B">
            <w:pPr>
              <w:spacing w:after="0"/>
              <w:jc w:val="right"/>
              <w:rPr>
                <w:rFonts w:eastAsia="Times New Roman"/>
                <w:color w:val="000000"/>
                <w:sz w:val="20"/>
                <w:szCs w:val="20"/>
              </w:rPr>
            </w:pPr>
          </w:p>
        </w:tc>
        <w:tc>
          <w:tcPr>
            <w:tcW w:w="866" w:type="dxa"/>
            <w:noWrap/>
            <w:vAlign w:val="center"/>
          </w:tcPr>
          <w:p w14:paraId="1FB7BAB2" w14:textId="7689CE90"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66820F2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24.13</w:t>
            </w:r>
          </w:p>
        </w:tc>
      </w:tr>
      <w:tr w:rsidR="0095350D" w:rsidRPr="0095350D" w14:paraId="04C754FC" w14:textId="77777777" w:rsidTr="00DD223B">
        <w:trPr>
          <w:trHeight w:val="300"/>
        </w:trPr>
        <w:tc>
          <w:tcPr>
            <w:tcW w:w="2220" w:type="dxa"/>
            <w:shd w:val="clear" w:color="auto" w:fill="D9E2F3" w:themeFill="accent1" w:themeFillTint="33"/>
            <w:noWrap/>
            <w:vAlign w:val="center"/>
            <w:hideMark/>
          </w:tcPr>
          <w:p w14:paraId="52EE52D3"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Com ref</w:t>
            </w:r>
          </w:p>
        </w:tc>
        <w:tc>
          <w:tcPr>
            <w:tcW w:w="940" w:type="dxa"/>
            <w:noWrap/>
            <w:vAlign w:val="center"/>
            <w:hideMark/>
          </w:tcPr>
          <w:p w14:paraId="1BEC54C7"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7</w:t>
            </w:r>
          </w:p>
        </w:tc>
        <w:tc>
          <w:tcPr>
            <w:tcW w:w="995" w:type="dxa"/>
            <w:noWrap/>
            <w:vAlign w:val="center"/>
            <w:hideMark/>
          </w:tcPr>
          <w:p w14:paraId="547D0DE4"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268.02</w:t>
            </w:r>
          </w:p>
        </w:tc>
        <w:tc>
          <w:tcPr>
            <w:tcW w:w="1081" w:type="dxa"/>
            <w:noWrap/>
            <w:vAlign w:val="center"/>
            <w:hideMark/>
          </w:tcPr>
          <w:p w14:paraId="5C8AB520"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722,762</w:t>
            </w:r>
          </w:p>
        </w:tc>
        <w:tc>
          <w:tcPr>
            <w:tcW w:w="1280" w:type="dxa"/>
            <w:noWrap/>
            <w:vAlign w:val="center"/>
            <w:hideMark/>
          </w:tcPr>
          <w:p w14:paraId="5053698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4,794,939</w:t>
            </w:r>
          </w:p>
        </w:tc>
        <w:tc>
          <w:tcPr>
            <w:tcW w:w="866" w:type="dxa"/>
            <w:noWrap/>
            <w:vAlign w:val="center"/>
            <w:hideMark/>
          </w:tcPr>
          <w:p w14:paraId="2B048F9A"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340,515</w:t>
            </w:r>
          </w:p>
        </w:tc>
        <w:tc>
          <w:tcPr>
            <w:tcW w:w="866" w:type="dxa"/>
            <w:noWrap/>
            <w:vAlign w:val="center"/>
            <w:hideMark/>
          </w:tcPr>
          <w:p w14:paraId="6905D0D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83,250</w:t>
            </w:r>
          </w:p>
        </w:tc>
        <w:tc>
          <w:tcPr>
            <w:tcW w:w="1002" w:type="dxa"/>
            <w:shd w:val="clear" w:color="auto" w:fill="D9E2F3" w:themeFill="accent1" w:themeFillTint="33"/>
            <w:noWrap/>
            <w:vAlign w:val="center"/>
            <w:hideMark/>
          </w:tcPr>
          <w:p w14:paraId="1F290C3D"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17.89</w:t>
            </w:r>
          </w:p>
        </w:tc>
      </w:tr>
      <w:tr w:rsidR="0095350D" w:rsidRPr="0095350D" w14:paraId="5FC9F1DE" w14:textId="77777777" w:rsidTr="00DD223B">
        <w:trPr>
          <w:trHeight w:val="300"/>
        </w:trPr>
        <w:tc>
          <w:tcPr>
            <w:tcW w:w="2220" w:type="dxa"/>
            <w:shd w:val="clear" w:color="auto" w:fill="D9E2F3" w:themeFill="accent1" w:themeFillTint="33"/>
            <w:noWrap/>
            <w:vAlign w:val="center"/>
            <w:hideMark/>
          </w:tcPr>
          <w:p w14:paraId="6E13EC56"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XPS foam</w:t>
            </w:r>
          </w:p>
        </w:tc>
        <w:tc>
          <w:tcPr>
            <w:tcW w:w="940" w:type="dxa"/>
            <w:noWrap/>
            <w:vAlign w:val="center"/>
            <w:hideMark/>
          </w:tcPr>
          <w:p w14:paraId="0D5E8034"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7D69002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227.00</w:t>
            </w:r>
          </w:p>
        </w:tc>
        <w:tc>
          <w:tcPr>
            <w:tcW w:w="1081" w:type="dxa"/>
            <w:noWrap/>
            <w:vAlign w:val="center"/>
            <w:hideMark/>
          </w:tcPr>
          <w:p w14:paraId="40382AB7"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28,148</w:t>
            </w:r>
          </w:p>
        </w:tc>
        <w:tc>
          <w:tcPr>
            <w:tcW w:w="1280" w:type="dxa"/>
            <w:noWrap/>
            <w:vAlign w:val="center"/>
            <w:hideMark/>
          </w:tcPr>
          <w:p w14:paraId="45CB9834"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853,021</w:t>
            </w:r>
          </w:p>
        </w:tc>
        <w:tc>
          <w:tcPr>
            <w:tcW w:w="866" w:type="dxa"/>
            <w:noWrap/>
            <w:vAlign w:val="center"/>
          </w:tcPr>
          <w:p w14:paraId="2E9AE80C" w14:textId="55CE387C" w:rsidR="0095350D" w:rsidRPr="0095350D" w:rsidRDefault="0095350D" w:rsidP="00DD223B">
            <w:pPr>
              <w:spacing w:after="0"/>
              <w:jc w:val="right"/>
              <w:rPr>
                <w:rFonts w:eastAsia="Times New Roman"/>
                <w:color w:val="000000"/>
                <w:sz w:val="20"/>
                <w:szCs w:val="20"/>
              </w:rPr>
            </w:pPr>
          </w:p>
        </w:tc>
        <w:tc>
          <w:tcPr>
            <w:tcW w:w="866" w:type="dxa"/>
            <w:noWrap/>
            <w:vAlign w:val="center"/>
          </w:tcPr>
          <w:p w14:paraId="07C4D015" w14:textId="3E622264"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246F6031"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3.76</w:t>
            </w:r>
          </w:p>
        </w:tc>
      </w:tr>
      <w:tr w:rsidR="0095350D" w:rsidRPr="0095350D" w14:paraId="0B43A82F" w14:textId="77777777" w:rsidTr="00DD223B">
        <w:trPr>
          <w:trHeight w:val="300"/>
        </w:trPr>
        <w:tc>
          <w:tcPr>
            <w:tcW w:w="2220" w:type="dxa"/>
            <w:shd w:val="clear" w:color="auto" w:fill="D9E2F3" w:themeFill="accent1" w:themeFillTint="33"/>
            <w:noWrap/>
            <w:vAlign w:val="center"/>
            <w:hideMark/>
          </w:tcPr>
          <w:p w14:paraId="6150C915"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Industrial Refrigeration</w:t>
            </w:r>
          </w:p>
        </w:tc>
        <w:tc>
          <w:tcPr>
            <w:tcW w:w="940" w:type="dxa"/>
            <w:noWrap/>
            <w:vAlign w:val="center"/>
            <w:hideMark/>
          </w:tcPr>
          <w:p w14:paraId="733F18FF"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4</w:t>
            </w:r>
          </w:p>
        </w:tc>
        <w:tc>
          <w:tcPr>
            <w:tcW w:w="995" w:type="dxa"/>
            <w:noWrap/>
            <w:vAlign w:val="center"/>
            <w:hideMark/>
          </w:tcPr>
          <w:p w14:paraId="56AEDDD4"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69.87</w:t>
            </w:r>
          </w:p>
        </w:tc>
        <w:tc>
          <w:tcPr>
            <w:tcW w:w="1081" w:type="dxa"/>
            <w:noWrap/>
            <w:vAlign w:val="center"/>
            <w:hideMark/>
          </w:tcPr>
          <w:p w14:paraId="0D80FD2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249,891</w:t>
            </w:r>
          </w:p>
        </w:tc>
        <w:tc>
          <w:tcPr>
            <w:tcW w:w="1280" w:type="dxa"/>
            <w:noWrap/>
            <w:vAlign w:val="center"/>
            <w:hideMark/>
          </w:tcPr>
          <w:p w14:paraId="287BE981"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1,031,122</w:t>
            </w:r>
          </w:p>
        </w:tc>
        <w:tc>
          <w:tcPr>
            <w:tcW w:w="866" w:type="dxa"/>
            <w:noWrap/>
            <w:vAlign w:val="center"/>
          </w:tcPr>
          <w:p w14:paraId="34B9BFC6" w14:textId="4ED09EAF" w:rsidR="0095350D" w:rsidRPr="0095350D" w:rsidRDefault="0095350D" w:rsidP="00DD223B">
            <w:pPr>
              <w:spacing w:after="0"/>
              <w:jc w:val="right"/>
              <w:rPr>
                <w:rFonts w:eastAsia="Times New Roman"/>
                <w:color w:val="000000"/>
                <w:sz w:val="20"/>
                <w:szCs w:val="20"/>
              </w:rPr>
            </w:pPr>
          </w:p>
        </w:tc>
        <w:tc>
          <w:tcPr>
            <w:tcW w:w="866" w:type="dxa"/>
            <w:noWrap/>
            <w:vAlign w:val="center"/>
          </w:tcPr>
          <w:p w14:paraId="54FED476" w14:textId="247F9DAC"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4F29A24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14.76</w:t>
            </w:r>
          </w:p>
        </w:tc>
      </w:tr>
      <w:tr w:rsidR="0095350D" w:rsidRPr="0095350D" w14:paraId="2EA581E3" w14:textId="77777777" w:rsidTr="00DD223B">
        <w:trPr>
          <w:trHeight w:val="300"/>
        </w:trPr>
        <w:tc>
          <w:tcPr>
            <w:tcW w:w="2220" w:type="dxa"/>
            <w:shd w:val="clear" w:color="auto" w:fill="D9E2F3" w:themeFill="accent1" w:themeFillTint="33"/>
            <w:noWrap/>
            <w:vAlign w:val="center"/>
            <w:hideMark/>
          </w:tcPr>
          <w:p w14:paraId="3D97C880"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Large commercial AC</w:t>
            </w:r>
          </w:p>
        </w:tc>
        <w:tc>
          <w:tcPr>
            <w:tcW w:w="940" w:type="dxa"/>
            <w:noWrap/>
            <w:vAlign w:val="center"/>
            <w:hideMark/>
          </w:tcPr>
          <w:p w14:paraId="02F39D89"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56EF4BBD"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66.84</w:t>
            </w:r>
          </w:p>
        </w:tc>
        <w:tc>
          <w:tcPr>
            <w:tcW w:w="1081" w:type="dxa"/>
            <w:noWrap/>
            <w:vAlign w:val="center"/>
            <w:hideMark/>
          </w:tcPr>
          <w:p w14:paraId="353969A1"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139,530</w:t>
            </w:r>
          </w:p>
        </w:tc>
        <w:tc>
          <w:tcPr>
            <w:tcW w:w="1280" w:type="dxa"/>
            <w:noWrap/>
            <w:vAlign w:val="center"/>
            <w:hideMark/>
          </w:tcPr>
          <w:p w14:paraId="76961968"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1,007,815</w:t>
            </w:r>
          </w:p>
        </w:tc>
        <w:tc>
          <w:tcPr>
            <w:tcW w:w="866" w:type="dxa"/>
            <w:noWrap/>
            <w:vAlign w:val="center"/>
          </w:tcPr>
          <w:p w14:paraId="77599567" w14:textId="0D0B437D" w:rsidR="0095350D" w:rsidRPr="0095350D" w:rsidRDefault="0095350D" w:rsidP="00DD223B">
            <w:pPr>
              <w:spacing w:after="0"/>
              <w:jc w:val="right"/>
              <w:rPr>
                <w:rFonts w:eastAsia="Times New Roman"/>
                <w:color w:val="000000"/>
                <w:sz w:val="20"/>
                <w:szCs w:val="20"/>
              </w:rPr>
            </w:pPr>
          </w:p>
        </w:tc>
        <w:tc>
          <w:tcPr>
            <w:tcW w:w="866" w:type="dxa"/>
            <w:noWrap/>
            <w:vAlign w:val="center"/>
          </w:tcPr>
          <w:p w14:paraId="42C57C8A" w14:textId="24F6042F"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2D47982B"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15.08</w:t>
            </w:r>
          </w:p>
        </w:tc>
      </w:tr>
      <w:tr w:rsidR="0095350D" w:rsidRPr="0095350D" w14:paraId="0BCD1C84" w14:textId="77777777" w:rsidTr="00DD223B">
        <w:trPr>
          <w:trHeight w:val="300"/>
        </w:trPr>
        <w:tc>
          <w:tcPr>
            <w:tcW w:w="2220" w:type="dxa"/>
            <w:shd w:val="clear" w:color="auto" w:fill="D9E2F3" w:themeFill="accent1" w:themeFillTint="33"/>
            <w:noWrap/>
            <w:vAlign w:val="center"/>
            <w:hideMark/>
          </w:tcPr>
          <w:p w14:paraId="1E74BA42"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light commercial AC</w:t>
            </w:r>
          </w:p>
        </w:tc>
        <w:tc>
          <w:tcPr>
            <w:tcW w:w="940" w:type="dxa"/>
            <w:noWrap/>
            <w:vAlign w:val="center"/>
            <w:hideMark/>
          </w:tcPr>
          <w:p w14:paraId="7F1A32D1"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2B1C68A6"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34.91</w:t>
            </w:r>
          </w:p>
        </w:tc>
        <w:tc>
          <w:tcPr>
            <w:tcW w:w="1081" w:type="dxa"/>
            <w:noWrap/>
            <w:vAlign w:val="center"/>
            <w:hideMark/>
          </w:tcPr>
          <w:p w14:paraId="7BE7715B"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63,383</w:t>
            </w:r>
          </w:p>
        </w:tc>
        <w:tc>
          <w:tcPr>
            <w:tcW w:w="1280" w:type="dxa"/>
            <w:noWrap/>
            <w:vAlign w:val="center"/>
            <w:hideMark/>
          </w:tcPr>
          <w:p w14:paraId="78F4B414"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422,561</w:t>
            </w:r>
          </w:p>
        </w:tc>
        <w:tc>
          <w:tcPr>
            <w:tcW w:w="866" w:type="dxa"/>
            <w:noWrap/>
            <w:vAlign w:val="center"/>
            <w:hideMark/>
          </w:tcPr>
          <w:p w14:paraId="5EAD6590"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244,500</w:t>
            </w:r>
          </w:p>
        </w:tc>
        <w:tc>
          <w:tcPr>
            <w:tcW w:w="866" w:type="dxa"/>
            <w:noWrap/>
            <w:vAlign w:val="center"/>
            <w:hideMark/>
          </w:tcPr>
          <w:p w14:paraId="3D1E40B8"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178,061</w:t>
            </w:r>
          </w:p>
        </w:tc>
        <w:tc>
          <w:tcPr>
            <w:tcW w:w="1002" w:type="dxa"/>
            <w:shd w:val="clear" w:color="auto" w:fill="D9E2F3" w:themeFill="accent1" w:themeFillTint="33"/>
            <w:noWrap/>
            <w:vAlign w:val="center"/>
            <w:hideMark/>
          </w:tcPr>
          <w:p w14:paraId="4CA5B2E7"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12.10</w:t>
            </w:r>
          </w:p>
        </w:tc>
      </w:tr>
      <w:tr w:rsidR="0095350D" w:rsidRPr="0095350D" w14:paraId="6614D6DD" w14:textId="77777777" w:rsidTr="00DD223B">
        <w:trPr>
          <w:trHeight w:val="300"/>
        </w:trPr>
        <w:tc>
          <w:tcPr>
            <w:tcW w:w="2220" w:type="dxa"/>
            <w:shd w:val="clear" w:color="auto" w:fill="D9E2F3" w:themeFill="accent1" w:themeFillTint="33"/>
            <w:noWrap/>
            <w:vAlign w:val="center"/>
            <w:hideMark/>
          </w:tcPr>
          <w:p w14:paraId="56CBAA33"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Com ref and assembly</w:t>
            </w:r>
          </w:p>
        </w:tc>
        <w:tc>
          <w:tcPr>
            <w:tcW w:w="940" w:type="dxa"/>
            <w:noWrap/>
            <w:vAlign w:val="center"/>
            <w:hideMark/>
          </w:tcPr>
          <w:p w14:paraId="5E4D53D9"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2</w:t>
            </w:r>
          </w:p>
        </w:tc>
        <w:tc>
          <w:tcPr>
            <w:tcW w:w="995" w:type="dxa"/>
            <w:noWrap/>
            <w:vAlign w:val="center"/>
            <w:hideMark/>
          </w:tcPr>
          <w:p w14:paraId="57968632"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18.10</w:t>
            </w:r>
          </w:p>
        </w:tc>
        <w:tc>
          <w:tcPr>
            <w:tcW w:w="1081" w:type="dxa"/>
            <w:noWrap/>
            <w:vAlign w:val="center"/>
            <w:hideMark/>
          </w:tcPr>
          <w:p w14:paraId="44A70840"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66,319</w:t>
            </w:r>
          </w:p>
        </w:tc>
        <w:tc>
          <w:tcPr>
            <w:tcW w:w="1280" w:type="dxa"/>
            <w:noWrap/>
            <w:vAlign w:val="center"/>
            <w:hideMark/>
          </w:tcPr>
          <w:p w14:paraId="56F46227"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234,800</w:t>
            </w:r>
          </w:p>
        </w:tc>
        <w:tc>
          <w:tcPr>
            <w:tcW w:w="866" w:type="dxa"/>
            <w:noWrap/>
            <w:vAlign w:val="center"/>
            <w:hideMark/>
          </w:tcPr>
          <w:p w14:paraId="78666960"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14,000</w:t>
            </w:r>
          </w:p>
        </w:tc>
        <w:tc>
          <w:tcPr>
            <w:tcW w:w="866" w:type="dxa"/>
            <w:noWrap/>
            <w:vAlign w:val="center"/>
            <w:hideMark/>
          </w:tcPr>
          <w:p w14:paraId="0BE587B5" w14:textId="539FD7AB"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7F93D9BB"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12.97</w:t>
            </w:r>
          </w:p>
        </w:tc>
      </w:tr>
      <w:tr w:rsidR="0095350D" w:rsidRPr="0095350D" w14:paraId="251794CF" w14:textId="77777777" w:rsidTr="00DD223B">
        <w:trPr>
          <w:trHeight w:val="300"/>
        </w:trPr>
        <w:tc>
          <w:tcPr>
            <w:tcW w:w="2220" w:type="dxa"/>
            <w:shd w:val="clear" w:color="auto" w:fill="D9E2F3" w:themeFill="accent1" w:themeFillTint="33"/>
            <w:noWrap/>
            <w:vAlign w:val="center"/>
            <w:hideMark/>
          </w:tcPr>
          <w:p w14:paraId="4883C6E8"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Local installation and assembly</w:t>
            </w:r>
          </w:p>
        </w:tc>
        <w:tc>
          <w:tcPr>
            <w:tcW w:w="940" w:type="dxa"/>
            <w:noWrap/>
            <w:vAlign w:val="center"/>
            <w:hideMark/>
          </w:tcPr>
          <w:p w14:paraId="02729E55"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0230D383"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13.14</w:t>
            </w:r>
          </w:p>
        </w:tc>
        <w:tc>
          <w:tcPr>
            <w:tcW w:w="1081" w:type="dxa"/>
            <w:noWrap/>
            <w:vAlign w:val="center"/>
            <w:hideMark/>
          </w:tcPr>
          <w:p w14:paraId="262EF7A6"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26,643</w:t>
            </w:r>
          </w:p>
        </w:tc>
        <w:tc>
          <w:tcPr>
            <w:tcW w:w="1280" w:type="dxa"/>
            <w:noWrap/>
            <w:vAlign w:val="center"/>
            <w:hideMark/>
          </w:tcPr>
          <w:p w14:paraId="72DF6879"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67,014</w:t>
            </w:r>
          </w:p>
        </w:tc>
        <w:tc>
          <w:tcPr>
            <w:tcW w:w="866" w:type="dxa"/>
            <w:noWrap/>
            <w:vAlign w:val="center"/>
          </w:tcPr>
          <w:p w14:paraId="7FB7E5F6" w14:textId="2AA28659" w:rsidR="0095350D" w:rsidRPr="0095350D" w:rsidRDefault="0095350D" w:rsidP="00DD223B">
            <w:pPr>
              <w:spacing w:after="0"/>
              <w:jc w:val="right"/>
              <w:rPr>
                <w:rFonts w:eastAsia="Times New Roman"/>
                <w:color w:val="000000"/>
                <w:sz w:val="20"/>
                <w:szCs w:val="20"/>
              </w:rPr>
            </w:pPr>
          </w:p>
        </w:tc>
        <w:tc>
          <w:tcPr>
            <w:tcW w:w="866" w:type="dxa"/>
            <w:noWrap/>
            <w:vAlign w:val="center"/>
          </w:tcPr>
          <w:p w14:paraId="4CFDFFE2" w14:textId="34B1F8CC"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474E6222"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5.10</w:t>
            </w:r>
          </w:p>
        </w:tc>
      </w:tr>
      <w:tr w:rsidR="0095350D" w:rsidRPr="0095350D" w14:paraId="3DD8FE2E" w14:textId="77777777" w:rsidTr="00DD223B">
        <w:trPr>
          <w:trHeight w:val="300"/>
        </w:trPr>
        <w:tc>
          <w:tcPr>
            <w:tcW w:w="2220" w:type="dxa"/>
            <w:shd w:val="clear" w:color="auto" w:fill="D9E2F3" w:themeFill="accent1" w:themeFillTint="33"/>
            <w:noWrap/>
            <w:vAlign w:val="center"/>
            <w:hideMark/>
          </w:tcPr>
          <w:p w14:paraId="14B4969A"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Rail AC</w:t>
            </w:r>
          </w:p>
        </w:tc>
        <w:tc>
          <w:tcPr>
            <w:tcW w:w="940" w:type="dxa"/>
            <w:noWrap/>
            <w:vAlign w:val="center"/>
            <w:hideMark/>
          </w:tcPr>
          <w:p w14:paraId="6F025DC5"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48D447E0"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12.00</w:t>
            </w:r>
          </w:p>
        </w:tc>
        <w:tc>
          <w:tcPr>
            <w:tcW w:w="1081" w:type="dxa"/>
            <w:noWrap/>
            <w:vAlign w:val="center"/>
            <w:hideMark/>
          </w:tcPr>
          <w:p w14:paraId="12D63937"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21,286</w:t>
            </w:r>
          </w:p>
        </w:tc>
        <w:tc>
          <w:tcPr>
            <w:tcW w:w="1280" w:type="dxa"/>
            <w:noWrap/>
            <w:vAlign w:val="center"/>
            <w:hideMark/>
          </w:tcPr>
          <w:p w14:paraId="3F5DA87B"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250,000</w:t>
            </w:r>
          </w:p>
        </w:tc>
        <w:tc>
          <w:tcPr>
            <w:tcW w:w="866" w:type="dxa"/>
            <w:noWrap/>
            <w:vAlign w:val="center"/>
          </w:tcPr>
          <w:p w14:paraId="071544B0" w14:textId="44F2CA2B" w:rsidR="0095350D" w:rsidRPr="0095350D" w:rsidRDefault="0095350D" w:rsidP="00DD223B">
            <w:pPr>
              <w:spacing w:after="0"/>
              <w:jc w:val="right"/>
              <w:rPr>
                <w:rFonts w:eastAsia="Times New Roman"/>
                <w:color w:val="000000"/>
                <w:sz w:val="20"/>
                <w:szCs w:val="20"/>
              </w:rPr>
            </w:pPr>
          </w:p>
        </w:tc>
        <w:tc>
          <w:tcPr>
            <w:tcW w:w="866" w:type="dxa"/>
            <w:noWrap/>
            <w:vAlign w:val="center"/>
          </w:tcPr>
          <w:p w14:paraId="55F8CAC9" w14:textId="3808CED0"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4488595C"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20.83</w:t>
            </w:r>
          </w:p>
        </w:tc>
      </w:tr>
      <w:tr w:rsidR="0095350D" w:rsidRPr="0095350D" w14:paraId="0D6C6EF4" w14:textId="77777777" w:rsidTr="00DD223B">
        <w:trPr>
          <w:trHeight w:val="300"/>
        </w:trPr>
        <w:tc>
          <w:tcPr>
            <w:tcW w:w="2220" w:type="dxa"/>
            <w:shd w:val="clear" w:color="auto" w:fill="D9E2F3" w:themeFill="accent1" w:themeFillTint="33"/>
            <w:noWrap/>
            <w:vAlign w:val="center"/>
            <w:hideMark/>
          </w:tcPr>
          <w:p w14:paraId="489C09CB"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Mobile AC</w:t>
            </w:r>
          </w:p>
        </w:tc>
        <w:tc>
          <w:tcPr>
            <w:tcW w:w="940" w:type="dxa"/>
            <w:noWrap/>
            <w:vAlign w:val="center"/>
            <w:hideMark/>
          </w:tcPr>
          <w:p w14:paraId="25309DD8"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55242CED"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8.10</w:t>
            </w:r>
          </w:p>
        </w:tc>
        <w:tc>
          <w:tcPr>
            <w:tcW w:w="1081" w:type="dxa"/>
            <w:noWrap/>
            <w:vAlign w:val="center"/>
            <w:hideMark/>
          </w:tcPr>
          <w:p w14:paraId="67DC688C"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11,583</w:t>
            </w:r>
          </w:p>
        </w:tc>
        <w:tc>
          <w:tcPr>
            <w:tcW w:w="1280" w:type="dxa"/>
            <w:noWrap/>
            <w:vAlign w:val="center"/>
            <w:hideMark/>
          </w:tcPr>
          <w:p w14:paraId="0DA3A4A5"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946,700</w:t>
            </w:r>
          </w:p>
        </w:tc>
        <w:tc>
          <w:tcPr>
            <w:tcW w:w="866" w:type="dxa"/>
            <w:noWrap/>
            <w:vAlign w:val="center"/>
          </w:tcPr>
          <w:p w14:paraId="59F002FD" w14:textId="6613B8E4" w:rsidR="0095350D" w:rsidRPr="0095350D" w:rsidRDefault="0095350D" w:rsidP="00DD223B">
            <w:pPr>
              <w:spacing w:after="0"/>
              <w:jc w:val="right"/>
              <w:rPr>
                <w:rFonts w:eastAsia="Times New Roman"/>
                <w:color w:val="000000"/>
                <w:sz w:val="20"/>
                <w:szCs w:val="20"/>
              </w:rPr>
            </w:pPr>
          </w:p>
        </w:tc>
        <w:tc>
          <w:tcPr>
            <w:tcW w:w="866" w:type="dxa"/>
            <w:noWrap/>
            <w:vAlign w:val="center"/>
          </w:tcPr>
          <w:p w14:paraId="67AF94D3" w14:textId="3142ADD6"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55ED5897"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116.88</w:t>
            </w:r>
          </w:p>
        </w:tc>
      </w:tr>
      <w:tr w:rsidR="0095350D" w:rsidRPr="0095350D" w14:paraId="33770586" w14:textId="77777777" w:rsidTr="00DD223B">
        <w:trPr>
          <w:trHeight w:val="300"/>
        </w:trPr>
        <w:tc>
          <w:tcPr>
            <w:tcW w:w="2220" w:type="dxa"/>
            <w:shd w:val="clear" w:color="auto" w:fill="D9E2F3" w:themeFill="accent1" w:themeFillTint="33"/>
            <w:noWrap/>
            <w:vAlign w:val="center"/>
            <w:hideMark/>
          </w:tcPr>
          <w:p w14:paraId="13E92ECE"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Res AC (Cold-Water Dispensers)</w:t>
            </w:r>
          </w:p>
        </w:tc>
        <w:tc>
          <w:tcPr>
            <w:tcW w:w="940" w:type="dxa"/>
            <w:noWrap/>
            <w:vAlign w:val="center"/>
            <w:hideMark/>
          </w:tcPr>
          <w:p w14:paraId="73B55618"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0EB4DEF1"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4.03</w:t>
            </w:r>
          </w:p>
        </w:tc>
        <w:tc>
          <w:tcPr>
            <w:tcW w:w="1081" w:type="dxa"/>
            <w:noWrap/>
            <w:vAlign w:val="center"/>
            <w:hideMark/>
          </w:tcPr>
          <w:p w14:paraId="4BD97FB8"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5,759</w:t>
            </w:r>
          </w:p>
        </w:tc>
        <w:tc>
          <w:tcPr>
            <w:tcW w:w="1280" w:type="dxa"/>
            <w:noWrap/>
            <w:vAlign w:val="center"/>
            <w:hideMark/>
          </w:tcPr>
          <w:p w14:paraId="72058A36" w14:textId="6F167CDE" w:rsidR="0095350D" w:rsidRPr="0095350D" w:rsidRDefault="0095350D" w:rsidP="00DD223B">
            <w:pPr>
              <w:spacing w:after="0"/>
              <w:jc w:val="right"/>
              <w:rPr>
                <w:rFonts w:eastAsia="Times New Roman"/>
                <w:color w:val="000000"/>
                <w:sz w:val="20"/>
                <w:szCs w:val="20"/>
              </w:rPr>
            </w:pPr>
          </w:p>
        </w:tc>
        <w:tc>
          <w:tcPr>
            <w:tcW w:w="866" w:type="dxa"/>
            <w:noWrap/>
            <w:vAlign w:val="center"/>
          </w:tcPr>
          <w:p w14:paraId="599427B0" w14:textId="74BE5FEA" w:rsidR="0095350D" w:rsidRPr="0095350D" w:rsidRDefault="0095350D" w:rsidP="00DD223B">
            <w:pPr>
              <w:spacing w:after="0"/>
              <w:jc w:val="right"/>
              <w:rPr>
                <w:rFonts w:eastAsia="Times New Roman"/>
                <w:color w:val="000000"/>
                <w:sz w:val="20"/>
                <w:szCs w:val="20"/>
              </w:rPr>
            </w:pPr>
          </w:p>
        </w:tc>
        <w:tc>
          <w:tcPr>
            <w:tcW w:w="866" w:type="dxa"/>
            <w:noWrap/>
            <w:vAlign w:val="center"/>
          </w:tcPr>
          <w:p w14:paraId="23C35E56" w14:textId="1DA8EDFA"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tcPr>
          <w:p w14:paraId="1906C317" w14:textId="7E7DB16F" w:rsidR="0095350D" w:rsidRPr="0095350D" w:rsidRDefault="0095350D" w:rsidP="00DD223B">
            <w:pPr>
              <w:spacing w:after="0"/>
              <w:jc w:val="right"/>
              <w:rPr>
                <w:rFonts w:eastAsia="Times New Roman"/>
                <w:color w:val="000000"/>
                <w:sz w:val="20"/>
                <w:szCs w:val="20"/>
              </w:rPr>
            </w:pPr>
          </w:p>
        </w:tc>
      </w:tr>
      <w:tr w:rsidR="0095350D" w:rsidRPr="0095350D" w14:paraId="585BA46A" w14:textId="77777777" w:rsidTr="00DD223B">
        <w:trPr>
          <w:trHeight w:val="300"/>
        </w:trPr>
        <w:tc>
          <w:tcPr>
            <w:tcW w:w="2220" w:type="dxa"/>
            <w:shd w:val="clear" w:color="auto" w:fill="D9E2F3" w:themeFill="accent1" w:themeFillTint="33"/>
            <w:noWrap/>
            <w:vAlign w:val="center"/>
            <w:hideMark/>
          </w:tcPr>
          <w:p w14:paraId="781BBA0C" w14:textId="77777777" w:rsidR="0095350D" w:rsidRPr="0095350D" w:rsidRDefault="0095350D" w:rsidP="00DD223B">
            <w:pPr>
              <w:spacing w:after="0"/>
              <w:rPr>
                <w:rFonts w:eastAsia="Times New Roman"/>
                <w:b/>
                <w:bCs/>
                <w:color w:val="000000"/>
                <w:sz w:val="20"/>
                <w:szCs w:val="20"/>
              </w:rPr>
            </w:pPr>
            <w:r w:rsidRPr="0095350D">
              <w:rPr>
                <w:rFonts w:eastAsia="Times New Roman"/>
                <w:b/>
                <w:bCs/>
                <w:color w:val="000000"/>
                <w:sz w:val="20"/>
                <w:szCs w:val="20"/>
              </w:rPr>
              <w:t>Small commercial refrigeration</w:t>
            </w:r>
          </w:p>
        </w:tc>
        <w:tc>
          <w:tcPr>
            <w:tcW w:w="940" w:type="dxa"/>
            <w:noWrap/>
            <w:vAlign w:val="center"/>
            <w:hideMark/>
          </w:tcPr>
          <w:p w14:paraId="5ABD4C6E" w14:textId="77777777" w:rsidR="0095350D" w:rsidRPr="0095350D" w:rsidRDefault="0095350D" w:rsidP="00DD223B">
            <w:pPr>
              <w:spacing w:after="0"/>
              <w:jc w:val="center"/>
              <w:rPr>
                <w:rFonts w:eastAsia="Times New Roman"/>
                <w:color w:val="000000"/>
                <w:sz w:val="20"/>
                <w:szCs w:val="20"/>
              </w:rPr>
            </w:pPr>
            <w:r w:rsidRPr="0095350D">
              <w:rPr>
                <w:rFonts w:eastAsia="Times New Roman"/>
                <w:color w:val="000000"/>
                <w:sz w:val="20"/>
                <w:szCs w:val="20"/>
              </w:rPr>
              <w:t>1</w:t>
            </w:r>
          </w:p>
        </w:tc>
        <w:tc>
          <w:tcPr>
            <w:tcW w:w="995" w:type="dxa"/>
            <w:noWrap/>
            <w:vAlign w:val="center"/>
            <w:hideMark/>
          </w:tcPr>
          <w:p w14:paraId="2B29EB5C"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2.07</w:t>
            </w:r>
          </w:p>
        </w:tc>
        <w:tc>
          <w:tcPr>
            <w:tcW w:w="1081" w:type="dxa"/>
            <w:noWrap/>
            <w:vAlign w:val="center"/>
            <w:hideMark/>
          </w:tcPr>
          <w:p w14:paraId="0236E245"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3,753</w:t>
            </w:r>
          </w:p>
        </w:tc>
        <w:tc>
          <w:tcPr>
            <w:tcW w:w="1280" w:type="dxa"/>
            <w:noWrap/>
            <w:vAlign w:val="center"/>
            <w:hideMark/>
          </w:tcPr>
          <w:p w14:paraId="0E932D3D"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67,627</w:t>
            </w:r>
          </w:p>
        </w:tc>
        <w:tc>
          <w:tcPr>
            <w:tcW w:w="866" w:type="dxa"/>
            <w:noWrap/>
            <w:vAlign w:val="center"/>
          </w:tcPr>
          <w:p w14:paraId="3F3B2B2B" w14:textId="35AC81C8" w:rsidR="0095350D" w:rsidRPr="0095350D" w:rsidRDefault="0095350D" w:rsidP="00DD223B">
            <w:pPr>
              <w:spacing w:after="0"/>
              <w:jc w:val="right"/>
              <w:rPr>
                <w:rFonts w:eastAsia="Times New Roman"/>
                <w:color w:val="000000"/>
                <w:sz w:val="20"/>
                <w:szCs w:val="20"/>
              </w:rPr>
            </w:pPr>
          </w:p>
        </w:tc>
        <w:tc>
          <w:tcPr>
            <w:tcW w:w="866" w:type="dxa"/>
            <w:noWrap/>
            <w:vAlign w:val="center"/>
          </w:tcPr>
          <w:p w14:paraId="5BF3EF54" w14:textId="46729AE1" w:rsidR="0095350D" w:rsidRPr="0095350D" w:rsidRDefault="0095350D" w:rsidP="00DD223B">
            <w:pPr>
              <w:spacing w:after="0"/>
              <w:jc w:val="right"/>
              <w:rPr>
                <w:rFonts w:eastAsia="Times New Roman"/>
                <w:color w:val="000000"/>
                <w:sz w:val="20"/>
                <w:szCs w:val="20"/>
              </w:rPr>
            </w:pPr>
          </w:p>
        </w:tc>
        <w:tc>
          <w:tcPr>
            <w:tcW w:w="1002" w:type="dxa"/>
            <w:shd w:val="clear" w:color="auto" w:fill="D9E2F3" w:themeFill="accent1" w:themeFillTint="33"/>
            <w:noWrap/>
            <w:vAlign w:val="center"/>
            <w:hideMark/>
          </w:tcPr>
          <w:p w14:paraId="38315A22" w14:textId="77777777" w:rsidR="0095350D" w:rsidRPr="0095350D" w:rsidRDefault="0095350D" w:rsidP="00DD223B">
            <w:pPr>
              <w:spacing w:after="0"/>
              <w:jc w:val="right"/>
              <w:rPr>
                <w:rFonts w:eastAsia="Times New Roman"/>
                <w:color w:val="000000"/>
                <w:sz w:val="20"/>
                <w:szCs w:val="20"/>
              </w:rPr>
            </w:pPr>
            <w:r w:rsidRPr="0095350D">
              <w:rPr>
                <w:rFonts w:eastAsia="Times New Roman"/>
                <w:color w:val="000000"/>
                <w:sz w:val="20"/>
                <w:szCs w:val="20"/>
              </w:rPr>
              <w:t>32.67</w:t>
            </w:r>
          </w:p>
        </w:tc>
      </w:tr>
      <w:tr w:rsidR="0095350D" w:rsidRPr="0095350D" w14:paraId="47154E3B" w14:textId="77777777" w:rsidTr="00DD223B">
        <w:trPr>
          <w:trHeight w:val="300"/>
        </w:trPr>
        <w:tc>
          <w:tcPr>
            <w:tcW w:w="2220" w:type="dxa"/>
            <w:shd w:val="clear" w:color="auto" w:fill="2F5496" w:themeFill="accent1" w:themeFillShade="BF"/>
            <w:noWrap/>
            <w:vAlign w:val="center"/>
            <w:hideMark/>
          </w:tcPr>
          <w:p w14:paraId="4EBF5D16" w14:textId="77777777" w:rsidR="0095350D" w:rsidRPr="00FE5C31" w:rsidRDefault="0095350D" w:rsidP="00DD223B">
            <w:pPr>
              <w:spacing w:after="0"/>
              <w:rPr>
                <w:rFonts w:eastAsia="Times New Roman"/>
                <w:b/>
                <w:bCs/>
                <w:color w:val="FFFFFF" w:themeColor="background1"/>
                <w:sz w:val="20"/>
                <w:szCs w:val="20"/>
              </w:rPr>
            </w:pPr>
            <w:r w:rsidRPr="00FE5C31">
              <w:rPr>
                <w:rFonts w:eastAsia="Times New Roman"/>
                <w:b/>
                <w:bCs/>
                <w:color w:val="FFFFFF" w:themeColor="background1"/>
                <w:sz w:val="20"/>
                <w:szCs w:val="20"/>
              </w:rPr>
              <w:t>GRAND TOTAL</w:t>
            </w:r>
          </w:p>
        </w:tc>
        <w:tc>
          <w:tcPr>
            <w:tcW w:w="940" w:type="dxa"/>
            <w:shd w:val="clear" w:color="auto" w:fill="2F5496" w:themeFill="accent1" w:themeFillShade="BF"/>
            <w:noWrap/>
            <w:vAlign w:val="center"/>
            <w:hideMark/>
          </w:tcPr>
          <w:p w14:paraId="1E62E205" w14:textId="77777777" w:rsidR="0095350D" w:rsidRPr="00FE5C31" w:rsidRDefault="0095350D" w:rsidP="00DD223B">
            <w:pPr>
              <w:spacing w:after="0"/>
              <w:jc w:val="center"/>
              <w:rPr>
                <w:rFonts w:eastAsia="Times New Roman"/>
                <w:b/>
                <w:bCs/>
                <w:color w:val="FFFFFF" w:themeColor="background1"/>
                <w:sz w:val="20"/>
                <w:szCs w:val="20"/>
              </w:rPr>
            </w:pPr>
            <w:r w:rsidRPr="00FE5C31">
              <w:rPr>
                <w:rFonts w:eastAsia="Times New Roman"/>
                <w:b/>
                <w:bCs/>
                <w:color w:val="FFFFFF" w:themeColor="background1"/>
                <w:sz w:val="20"/>
                <w:szCs w:val="20"/>
              </w:rPr>
              <w:t>37</w:t>
            </w:r>
          </w:p>
        </w:tc>
        <w:tc>
          <w:tcPr>
            <w:tcW w:w="995" w:type="dxa"/>
            <w:shd w:val="clear" w:color="auto" w:fill="2F5496" w:themeFill="accent1" w:themeFillShade="BF"/>
            <w:noWrap/>
            <w:vAlign w:val="center"/>
            <w:hideMark/>
          </w:tcPr>
          <w:p w14:paraId="5285A92A"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3,698.08</w:t>
            </w:r>
          </w:p>
        </w:tc>
        <w:tc>
          <w:tcPr>
            <w:tcW w:w="1081" w:type="dxa"/>
            <w:shd w:val="clear" w:color="auto" w:fill="2F5496" w:themeFill="accent1" w:themeFillShade="BF"/>
            <w:noWrap/>
            <w:vAlign w:val="center"/>
            <w:hideMark/>
          </w:tcPr>
          <w:p w14:paraId="6CB797CE"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5,447,595</w:t>
            </w:r>
          </w:p>
        </w:tc>
        <w:tc>
          <w:tcPr>
            <w:tcW w:w="1280" w:type="dxa"/>
            <w:shd w:val="clear" w:color="auto" w:fill="2F5496" w:themeFill="accent1" w:themeFillShade="BF"/>
            <w:noWrap/>
            <w:vAlign w:val="center"/>
            <w:hideMark/>
          </w:tcPr>
          <w:p w14:paraId="5A47BB16"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32,773,646</w:t>
            </w:r>
          </w:p>
        </w:tc>
        <w:tc>
          <w:tcPr>
            <w:tcW w:w="866" w:type="dxa"/>
            <w:shd w:val="clear" w:color="auto" w:fill="2F5496" w:themeFill="accent1" w:themeFillShade="BF"/>
            <w:noWrap/>
            <w:vAlign w:val="center"/>
            <w:hideMark/>
          </w:tcPr>
          <w:p w14:paraId="0CE12193"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599,015</w:t>
            </w:r>
          </w:p>
        </w:tc>
        <w:tc>
          <w:tcPr>
            <w:tcW w:w="866" w:type="dxa"/>
            <w:shd w:val="clear" w:color="auto" w:fill="2F5496" w:themeFill="accent1" w:themeFillShade="BF"/>
            <w:noWrap/>
            <w:vAlign w:val="center"/>
            <w:hideMark/>
          </w:tcPr>
          <w:p w14:paraId="33D1AB11"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261,311</w:t>
            </w:r>
          </w:p>
        </w:tc>
        <w:tc>
          <w:tcPr>
            <w:tcW w:w="1002" w:type="dxa"/>
            <w:shd w:val="clear" w:color="auto" w:fill="2F5496" w:themeFill="accent1" w:themeFillShade="BF"/>
            <w:noWrap/>
            <w:vAlign w:val="center"/>
            <w:hideMark/>
          </w:tcPr>
          <w:p w14:paraId="0D9C7A87" w14:textId="77777777" w:rsidR="0095350D" w:rsidRPr="00FE5C31" w:rsidRDefault="0095350D" w:rsidP="00DD223B">
            <w:pPr>
              <w:spacing w:after="0"/>
              <w:jc w:val="right"/>
              <w:rPr>
                <w:rFonts w:eastAsia="Times New Roman"/>
                <w:b/>
                <w:bCs/>
                <w:color w:val="FFFFFF" w:themeColor="background1"/>
                <w:sz w:val="20"/>
                <w:szCs w:val="20"/>
              </w:rPr>
            </w:pPr>
            <w:r w:rsidRPr="00FE5C31">
              <w:rPr>
                <w:rFonts w:eastAsia="Times New Roman"/>
                <w:b/>
                <w:bCs/>
                <w:color w:val="FFFFFF" w:themeColor="background1"/>
                <w:sz w:val="20"/>
                <w:szCs w:val="20"/>
              </w:rPr>
              <w:t>8.86</w:t>
            </w:r>
          </w:p>
        </w:tc>
      </w:tr>
    </w:tbl>
    <w:p w14:paraId="7C18E3A6" w14:textId="77777777" w:rsidR="0095350D" w:rsidRDefault="0095350D" w:rsidP="007A6928">
      <w:pPr>
        <w:spacing w:after="0"/>
        <w:rPr>
          <w:rFonts w:eastAsia="Times New Roman"/>
          <w:color w:val="000000"/>
          <w:sz w:val="20"/>
          <w:szCs w:val="20"/>
        </w:rPr>
      </w:pPr>
    </w:p>
    <w:p w14:paraId="3B87A9F4" w14:textId="6FBE8C4A" w:rsidR="007A6928" w:rsidRPr="00A81971" w:rsidRDefault="0032495C" w:rsidP="007A6928">
      <w:pPr>
        <w:spacing w:after="0"/>
        <w:rPr>
          <w:rFonts w:eastAsia="Times New Roman"/>
          <w:color w:val="000000"/>
          <w:sz w:val="20"/>
          <w:szCs w:val="20"/>
        </w:rPr>
      </w:pPr>
      <w:r w:rsidRPr="00A81971">
        <w:rPr>
          <w:rFonts w:eastAsia="Times New Roman"/>
          <w:color w:val="000000"/>
          <w:sz w:val="20"/>
          <w:szCs w:val="20"/>
        </w:rPr>
        <w:t xml:space="preserve">Source: MLFS, as received. </w:t>
      </w:r>
    </w:p>
    <w:p w14:paraId="5E8FD9D1" w14:textId="77777777" w:rsidR="007A6928" w:rsidRPr="00A81971" w:rsidRDefault="007A6928" w:rsidP="007A6928">
      <w:pPr>
        <w:spacing w:after="0"/>
        <w:rPr>
          <w:rFonts w:eastAsia="Times New Roman"/>
          <w:color w:val="000000"/>
          <w:sz w:val="24"/>
          <w:szCs w:val="24"/>
        </w:rPr>
      </w:pPr>
    </w:p>
    <w:p w14:paraId="4FA42182" w14:textId="77777777" w:rsidR="007A6928" w:rsidRPr="00A81971" w:rsidRDefault="0032495C" w:rsidP="1E375DFC">
      <w:pPr>
        <w:spacing w:after="0"/>
        <w:rPr>
          <w:rFonts w:eastAsia="Times New Roman"/>
          <w:color w:val="000000"/>
        </w:rPr>
      </w:pPr>
      <w:r w:rsidRPr="00A81971">
        <w:rPr>
          <w:rFonts w:eastAsia="Times New Roman"/>
          <w:color w:val="000000" w:themeColor="text1"/>
        </w:rPr>
        <w:t>As the CEs thresholds in the MLF cost guidelines are by sector and not by subsector, RTF bundled subsectors CEs, such as, light commercial, commercial, commercial ref. and assembly, and small commercial, as “Commercial Refrigeration” and used the average CEs.</w:t>
      </w:r>
    </w:p>
    <w:p w14:paraId="66A6585C" w14:textId="77777777" w:rsidR="00E94397" w:rsidRPr="00A81971" w:rsidRDefault="00E94397" w:rsidP="007A6928">
      <w:pPr>
        <w:spacing w:after="0"/>
        <w:rPr>
          <w:rFonts w:eastAsia="Times New Roman"/>
          <w:color w:val="000000"/>
        </w:rPr>
      </w:pPr>
    </w:p>
    <w:p w14:paraId="77CB4809" w14:textId="5E1DAEBA" w:rsidR="00762C78" w:rsidRPr="00A81971" w:rsidRDefault="0032495C">
      <w:pPr>
        <w:spacing w:after="0"/>
        <w:rPr>
          <w:rFonts w:eastAsia="Times New Roman"/>
          <w:b/>
          <w:bCs/>
          <w:color w:val="000000"/>
        </w:rPr>
      </w:pPr>
      <w:r w:rsidRPr="00A81971">
        <w:rPr>
          <w:rFonts w:eastAsia="Times New Roman"/>
          <w:color w:val="000000" w:themeColor="text1"/>
        </w:rPr>
        <w:t xml:space="preserve">For Commercial AC, RTF combined large commercial with light commercial AC. RTF removed the project on local assembly, as CEs applied are considered for servicing sector, and the cold-water dispenser project (no information). RTF did not consider projects for Rail AC and MAC (RTF considered them as demonstration projects as the first ones to come in HFCs phasedown). Average CEs used by RTF </w:t>
      </w:r>
      <w:r w:rsidRPr="00A81971">
        <w:rPr>
          <w:rFonts w:eastAsia="Calibri"/>
          <w:color w:val="000000" w:themeColor="text1"/>
          <w:lang w:eastAsia="nl-NL"/>
        </w:rPr>
        <w:t xml:space="preserve">The CE values widely vary from </w:t>
      </w:r>
      <w:r w:rsidRPr="00A81971">
        <w:rPr>
          <w:rFonts w:eastAsia="Times New Roman"/>
          <w:color w:val="000000" w:themeColor="text1"/>
        </w:rPr>
        <w:t>US$ 2.64 for PUF to US$ 116.8 for MAC.  by bundling subsectors, are shown in Table 3.1</w:t>
      </w:r>
      <w:r w:rsidR="00444BCC">
        <w:rPr>
          <w:rFonts w:eastAsia="Times New Roman"/>
          <w:color w:val="000000" w:themeColor="text1"/>
        </w:rPr>
        <w:t>2</w:t>
      </w:r>
      <w:r w:rsidRPr="00A81971">
        <w:rPr>
          <w:rFonts w:eastAsia="Times New Roman"/>
          <w:color w:val="000000" w:themeColor="text1"/>
        </w:rPr>
        <w:t xml:space="preserve"> as below.</w:t>
      </w:r>
      <w:r w:rsidRPr="00A81971">
        <w:rPr>
          <w:rFonts w:eastAsia="Times New Roman"/>
          <w:b/>
          <w:bCs/>
          <w:color w:val="000000" w:themeColor="text1"/>
        </w:rPr>
        <w:br w:type="page"/>
      </w:r>
    </w:p>
    <w:p w14:paraId="4C976EF7" w14:textId="77777777" w:rsidR="00E94397" w:rsidRPr="00A81971" w:rsidRDefault="0032495C" w:rsidP="00C72386">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lastRenderedPageBreak/>
        <w:t xml:space="preserve">Table </w:t>
      </w:r>
      <w:r>
        <w:rPr>
          <w:rFonts w:eastAsia="Yu Mincho"/>
          <w:b/>
          <w:bCs/>
          <w:color w:val="000000"/>
          <w:lang w:val="en-CA"/>
        </w:rPr>
        <w:t>3.1</w:t>
      </w:r>
      <w:r w:rsidR="00444BCC">
        <w:rPr>
          <w:rFonts w:eastAsia="Yu Mincho"/>
          <w:b/>
          <w:bCs/>
          <w:color w:val="000000"/>
          <w:lang w:val="en-CA"/>
        </w:rPr>
        <w:t>2</w:t>
      </w:r>
      <w:r>
        <w:rPr>
          <w:rFonts w:eastAsia="Yu Mincho"/>
          <w:b/>
          <w:bCs/>
          <w:color w:val="000000"/>
          <w:lang w:val="en-CA"/>
        </w:rPr>
        <w:t>:</w:t>
      </w:r>
      <w:r w:rsidRPr="0006445E">
        <w:rPr>
          <w:rFonts w:eastAsia="Times New Roman"/>
          <w:color w:val="000000"/>
          <w:lang w:val="en-CA"/>
        </w:rPr>
        <w:tab/>
      </w:r>
      <w:r w:rsidRPr="00A81971">
        <w:rPr>
          <w:rFonts w:eastAsia="Times New Roman"/>
          <w:b/>
          <w:bCs/>
          <w:color w:val="000000"/>
        </w:rPr>
        <w:t>RTF Historical CEs by Sector Applied to New Scenario 1a. for KIPs</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691"/>
        <w:gridCol w:w="1134"/>
        <w:gridCol w:w="1560"/>
        <w:gridCol w:w="1275"/>
        <w:gridCol w:w="1418"/>
        <w:gridCol w:w="992"/>
        <w:gridCol w:w="851"/>
        <w:gridCol w:w="992"/>
      </w:tblGrid>
      <w:tr w:rsidR="00F90461" w14:paraId="75B628EA" w14:textId="77777777" w:rsidTr="00C72386">
        <w:trPr>
          <w:trHeight w:val="300"/>
        </w:trPr>
        <w:tc>
          <w:tcPr>
            <w:tcW w:w="1691" w:type="dxa"/>
            <w:shd w:val="clear" w:color="auto" w:fill="D9E2F3" w:themeFill="accent1" w:themeFillTint="33"/>
            <w:tcMar>
              <w:top w:w="15" w:type="dxa"/>
              <w:left w:w="15" w:type="dxa"/>
              <w:bottom w:w="0" w:type="dxa"/>
              <w:right w:w="15" w:type="dxa"/>
            </w:tcMar>
            <w:vAlign w:val="center"/>
            <w:hideMark/>
          </w:tcPr>
          <w:p w14:paraId="6888D092"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Sector</w:t>
            </w:r>
          </w:p>
        </w:tc>
        <w:tc>
          <w:tcPr>
            <w:tcW w:w="1134" w:type="dxa"/>
            <w:shd w:val="clear" w:color="auto" w:fill="D9E2F3" w:themeFill="accent1" w:themeFillTint="33"/>
            <w:tcMar>
              <w:top w:w="15" w:type="dxa"/>
              <w:left w:w="15" w:type="dxa"/>
              <w:bottom w:w="0" w:type="dxa"/>
              <w:right w:w="15" w:type="dxa"/>
            </w:tcMar>
            <w:vAlign w:val="center"/>
            <w:hideMark/>
          </w:tcPr>
          <w:p w14:paraId="63B65EE2"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 of projects</w:t>
            </w:r>
          </w:p>
        </w:tc>
        <w:tc>
          <w:tcPr>
            <w:tcW w:w="1560" w:type="dxa"/>
            <w:shd w:val="clear" w:color="auto" w:fill="D9E2F3" w:themeFill="accent1" w:themeFillTint="33"/>
            <w:tcMar>
              <w:top w:w="15" w:type="dxa"/>
              <w:left w:w="15" w:type="dxa"/>
              <w:bottom w:w="0" w:type="dxa"/>
              <w:right w:w="15" w:type="dxa"/>
            </w:tcMar>
            <w:vAlign w:val="center"/>
            <w:hideMark/>
          </w:tcPr>
          <w:p w14:paraId="6662E8E1"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Metric tonnes phased out</w:t>
            </w:r>
          </w:p>
        </w:tc>
        <w:tc>
          <w:tcPr>
            <w:tcW w:w="1275" w:type="dxa"/>
            <w:shd w:val="clear" w:color="auto" w:fill="D9E2F3" w:themeFill="accent1" w:themeFillTint="33"/>
            <w:tcMar>
              <w:top w:w="15" w:type="dxa"/>
              <w:left w:w="15" w:type="dxa"/>
              <w:bottom w:w="0" w:type="dxa"/>
              <w:right w:w="15" w:type="dxa"/>
            </w:tcMar>
            <w:vAlign w:val="center"/>
            <w:hideMark/>
          </w:tcPr>
          <w:p w14:paraId="7B8CE556"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CO</w:t>
            </w:r>
            <w:r w:rsidRPr="00A81971">
              <w:rPr>
                <w:rFonts w:eastAsia="Times New Roman"/>
                <w:b/>
                <w:color w:val="000000"/>
                <w:sz w:val="20"/>
                <w:szCs w:val="20"/>
                <w:vertAlign w:val="subscript"/>
              </w:rPr>
              <w:t>2</w:t>
            </w:r>
            <w:r w:rsidRPr="00A81971">
              <w:rPr>
                <w:rFonts w:eastAsia="Times New Roman"/>
                <w:b/>
                <w:color w:val="000000"/>
                <w:sz w:val="20"/>
                <w:szCs w:val="20"/>
              </w:rPr>
              <w:t xml:space="preserve"> eq. tonnes replaced</w:t>
            </w:r>
          </w:p>
        </w:tc>
        <w:tc>
          <w:tcPr>
            <w:tcW w:w="1418" w:type="dxa"/>
            <w:shd w:val="clear" w:color="auto" w:fill="D9E2F3" w:themeFill="accent1" w:themeFillTint="33"/>
            <w:tcMar>
              <w:top w:w="15" w:type="dxa"/>
              <w:left w:w="15" w:type="dxa"/>
              <w:bottom w:w="0" w:type="dxa"/>
              <w:right w:w="15" w:type="dxa"/>
            </w:tcMar>
            <w:vAlign w:val="center"/>
            <w:hideMark/>
          </w:tcPr>
          <w:p w14:paraId="67472022"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Approved cost (US$)</w:t>
            </w:r>
          </w:p>
        </w:tc>
        <w:tc>
          <w:tcPr>
            <w:tcW w:w="992" w:type="dxa"/>
            <w:shd w:val="clear" w:color="auto" w:fill="D9E2F3" w:themeFill="accent1" w:themeFillTint="33"/>
            <w:tcMar>
              <w:top w:w="15" w:type="dxa"/>
              <w:left w:w="15" w:type="dxa"/>
              <w:bottom w:w="0" w:type="dxa"/>
              <w:right w:w="15" w:type="dxa"/>
            </w:tcMar>
            <w:vAlign w:val="center"/>
            <w:hideMark/>
          </w:tcPr>
          <w:p w14:paraId="2EA896FD"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 xml:space="preserve">ICCs </w:t>
            </w:r>
          </w:p>
          <w:p w14:paraId="14B52B33"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(US$)</w:t>
            </w:r>
          </w:p>
        </w:tc>
        <w:tc>
          <w:tcPr>
            <w:tcW w:w="851" w:type="dxa"/>
            <w:shd w:val="clear" w:color="auto" w:fill="D9E2F3" w:themeFill="accent1" w:themeFillTint="33"/>
            <w:tcMar>
              <w:top w:w="15" w:type="dxa"/>
              <w:left w:w="15" w:type="dxa"/>
              <w:bottom w:w="0" w:type="dxa"/>
              <w:right w:w="15" w:type="dxa"/>
            </w:tcMar>
            <w:vAlign w:val="center"/>
            <w:hideMark/>
          </w:tcPr>
          <w:p w14:paraId="0546FB5A"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 xml:space="preserve">IOCs </w:t>
            </w:r>
          </w:p>
          <w:p w14:paraId="0F256B8A"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(US$)</w:t>
            </w:r>
          </w:p>
        </w:tc>
        <w:tc>
          <w:tcPr>
            <w:tcW w:w="992" w:type="dxa"/>
            <w:shd w:val="clear" w:color="auto" w:fill="D9E2F3" w:themeFill="accent1" w:themeFillTint="33"/>
            <w:tcMar>
              <w:top w:w="15" w:type="dxa"/>
              <w:left w:w="15" w:type="dxa"/>
              <w:bottom w:w="0" w:type="dxa"/>
              <w:right w:w="15" w:type="dxa"/>
            </w:tcMar>
            <w:vAlign w:val="center"/>
            <w:hideMark/>
          </w:tcPr>
          <w:p w14:paraId="299B3752"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 xml:space="preserve">CE </w:t>
            </w:r>
          </w:p>
          <w:p w14:paraId="42A60261" w14:textId="77777777" w:rsidR="007A6928" w:rsidRPr="00A81971" w:rsidRDefault="0032495C" w:rsidP="007A6928">
            <w:pPr>
              <w:spacing w:after="0"/>
              <w:jc w:val="center"/>
              <w:rPr>
                <w:rFonts w:eastAsia="Times New Roman"/>
                <w:b/>
                <w:color w:val="000000"/>
                <w:sz w:val="20"/>
                <w:szCs w:val="20"/>
              </w:rPr>
            </w:pPr>
            <w:r w:rsidRPr="00A81971">
              <w:rPr>
                <w:rFonts w:eastAsia="Times New Roman"/>
                <w:b/>
                <w:color w:val="000000"/>
                <w:sz w:val="20"/>
                <w:szCs w:val="20"/>
              </w:rPr>
              <w:t>(US$/kg)</w:t>
            </w:r>
          </w:p>
        </w:tc>
      </w:tr>
      <w:tr w:rsidR="00F90461" w14:paraId="6DD29A8E" w14:textId="77777777" w:rsidTr="00FE5C31">
        <w:trPr>
          <w:trHeight w:val="328"/>
        </w:trPr>
        <w:tc>
          <w:tcPr>
            <w:tcW w:w="1691" w:type="dxa"/>
            <w:shd w:val="clear" w:color="auto" w:fill="E2EFD9" w:themeFill="accent6" w:themeFillTint="33"/>
            <w:tcMar>
              <w:top w:w="15" w:type="dxa"/>
              <w:left w:w="15" w:type="dxa"/>
              <w:bottom w:w="0" w:type="dxa"/>
              <w:right w:w="15" w:type="dxa"/>
            </w:tcMar>
            <w:hideMark/>
          </w:tcPr>
          <w:p w14:paraId="684C8580"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PU foam</w:t>
            </w:r>
          </w:p>
        </w:tc>
        <w:tc>
          <w:tcPr>
            <w:tcW w:w="1134" w:type="dxa"/>
            <w:tcMar>
              <w:top w:w="15" w:type="dxa"/>
              <w:left w:w="15" w:type="dxa"/>
              <w:bottom w:w="0" w:type="dxa"/>
              <w:right w:w="15" w:type="dxa"/>
            </w:tcMar>
            <w:hideMark/>
          </w:tcPr>
          <w:p w14:paraId="5AAA804D"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3</w:t>
            </w:r>
          </w:p>
        </w:tc>
        <w:tc>
          <w:tcPr>
            <w:tcW w:w="1560" w:type="dxa"/>
            <w:tcMar>
              <w:top w:w="15" w:type="dxa"/>
              <w:left w:w="15" w:type="dxa"/>
              <w:bottom w:w="0" w:type="dxa"/>
              <w:right w:w="15" w:type="dxa"/>
            </w:tcMar>
            <w:vAlign w:val="center"/>
            <w:hideMark/>
          </w:tcPr>
          <w:p w14:paraId="5A08ED07" w14:textId="3336A73C"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1</w:t>
            </w:r>
            <w:r w:rsidR="00040A74">
              <w:rPr>
                <w:rFonts w:eastAsia="Times New Roman"/>
                <w:color w:val="000000"/>
                <w:sz w:val="20"/>
                <w:szCs w:val="20"/>
              </w:rPr>
              <w:t>,</w:t>
            </w:r>
            <w:r w:rsidRPr="00A81971">
              <w:rPr>
                <w:rFonts w:eastAsia="Times New Roman"/>
                <w:color w:val="000000"/>
                <w:sz w:val="20"/>
                <w:szCs w:val="20"/>
              </w:rPr>
              <w:t>230</w:t>
            </w:r>
            <w:r w:rsidR="00040A74">
              <w:rPr>
                <w:rFonts w:eastAsia="Times New Roman"/>
                <w:color w:val="000000"/>
                <w:sz w:val="20"/>
                <w:szCs w:val="20"/>
              </w:rPr>
              <w:t>.</w:t>
            </w:r>
            <w:r w:rsidRPr="00A81971">
              <w:rPr>
                <w:rFonts w:eastAsia="Times New Roman"/>
                <w:color w:val="000000"/>
                <w:sz w:val="20"/>
                <w:szCs w:val="20"/>
              </w:rPr>
              <w:t>09</w:t>
            </w:r>
          </w:p>
        </w:tc>
        <w:tc>
          <w:tcPr>
            <w:tcW w:w="1275" w:type="dxa"/>
            <w:tcMar>
              <w:top w:w="15" w:type="dxa"/>
              <w:left w:w="15" w:type="dxa"/>
              <w:bottom w:w="0" w:type="dxa"/>
              <w:right w:w="15" w:type="dxa"/>
            </w:tcMar>
            <w:vAlign w:val="center"/>
            <w:hideMark/>
          </w:tcPr>
          <w:p w14:paraId="237A0454" w14:textId="54F0DE64" w:rsidR="007A6928" w:rsidRPr="00A81971" w:rsidRDefault="0032495C" w:rsidP="00FE5C31">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087</w:t>
            </w:r>
            <w:r w:rsidR="00040A74">
              <w:rPr>
                <w:rFonts w:eastAsia="Times New Roman"/>
                <w:color w:val="000000"/>
                <w:sz w:val="20"/>
                <w:szCs w:val="20"/>
              </w:rPr>
              <w:t>,</w:t>
            </w:r>
            <w:r w:rsidRPr="00A81971">
              <w:rPr>
                <w:rFonts w:eastAsia="Times New Roman"/>
                <w:color w:val="000000"/>
                <w:sz w:val="20"/>
                <w:szCs w:val="20"/>
              </w:rPr>
              <w:t xml:space="preserve">534 </w:t>
            </w:r>
          </w:p>
        </w:tc>
        <w:tc>
          <w:tcPr>
            <w:tcW w:w="1418" w:type="dxa"/>
            <w:tcMar>
              <w:top w:w="15" w:type="dxa"/>
              <w:left w:w="15" w:type="dxa"/>
              <w:bottom w:w="0" w:type="dxa"/>
              <w:right w:w="15" w:type="dxa"/>
            </w:tcMar>
            <w:vAlign w:val="center"/>
            <w:hideMark/>
          </w:tcPr>
          <w:p w14:paraId="1B04DBBE" w14:textId="3DC745FB"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3</w:t>
            </w:r>
            <w:r w:rsidR="00040A74">
              <w:rPr>
                <w:rFonts w:eastAsia="Times New Roman"/>
                <w:color w:val="000000"/>
                <w:sz w:val="20"/>
                <w:szCs w:val="20"/>
              </w:rPr>
              <w:t>,</w:t>
            </w:r>
            <w:r w:rsidRPr="00A81971">
              <w:rPr>
                <w:rFonts w:eastAsia="Times New Roman"/>
                <w:color w:val="000000"/>
                <w:sz w:val="20"/>
                <w:szCs w:val="20"/>
              </w:rPr>
              <w:t>244</w:t>
            </w:r>
            <w:r w:rsidR="00040A74">
              <w:rPr>
                <w:rFonts w:eastAsia="Times New Roman"/>
                <w:color w:val="000000"/>
                <w:sz w:val="20"/>
                <w:szCs w:val="20"/>
              </w:rPr>
              <w:t>,</w:t>
            </w:r>
            <w:r w:rsidRPr="00A81971">
              <w:rPr>
                <w:rFonts w:eastAsia="Times New Roman"/>
                <w:color w:val="000000"/>
                <w:sz w:val="20"/>
                <w:szCs w:val="20"/>
              </w:rPr>
              <w:t xml:space="preserve">089 </w:t>
            </w:r>
          </w:p>
        </w:tc>
        <w:tc>
          <w:tcPr>
            <w:tcW w:w="992" w:type="dxa"/>
            <w:tcMar>
              <w:top w:w="15" w:type="dxa"/>
              <w:left w:w="15" w:type="dxa"/>
              <w:bottom w:w="0" w:type="dxa"/>
              <w:right w:w="15" w:type="dxa"/>
            </w:tcMar>
            <w:vAlign w:val="center"/>
            <w:hideMark/>
          </w:tcPr>
          <w:p w14:paraId="246EB79B"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851" w:type="dxa"/>
            <w:tcMar>
              <w:top w:w="15" w:type="dxa"/>
              <w:left w:w="15" w:type="dxa"/>
              <w:bottom w:w="0" w:type="dxa"/>
              <w:right w:w="15" w:type="dxa"/>
            </w:tcMar>
            <w:vAlign w:val="center"/>
            <w:hideMark/>
          </w:tcPr>
          <w:p w14:paraId="468675E6"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992" w:type="dxa"/>
            <w:shd w:val="clear" w:color="auto" w:fill="E2EFD9" w:themeFill="accent6" w:themeFillTint="33"/>
            <w:tcMar>
              <w:top w:w="15" w:type="dxa"/>
              <w:left w:w="15" w:type="dxa"/>
              <w:bottom w:w="0" w:type="dxa"/>
              <w:right w:w="15" w:type="dxa"/>
            </w:tcMar>
            <w:vAlign w:val="center"/>
            <w:hideMark/>
          </w:tcPr>
          <w:p w14:paraId="2F65C210"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2.64 </w:t>
            </w:r>
          </w:p>
        </w:tc>
      </w:tr>
      <w:tr w:rsidR="00F90461" w14:paraId="7C6A56D8" w14:textId="77777777" w:rsidTr="00FE5C31">
        <w:trPr>
          <w:trHeight w:val="337"/>
        </w:trPr>
        <w:tc>
          <w:tcPr>
            <w:tcW w:w="1691" w:type="dxa"/>
            <w:shd w:val="clear" w:color="auto" w:fill="E2EFD9" w:themeFill="accent6" w:themeFillTint="33"/>
            <w:tcMar>
              <w:top w:w="15" w:type="dxa"/>
              <w:left w:w="15" w:type="dxa"/>
              <w:bottom w:w="0" w:type="dxa"/>
              <w:right w:w="15" w:type="dxa"/>
            </w:tcMar>
            <w:hideMark/>
          </w:tcPr>
          <w:p w14:paraId="43802303"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Dom ref</w:t>
            </w:r>
          </w:p>
        </w:tc>
        <w:tc>
          <w:tcPr>
            <w:tcW w:w="1134" w:type="dxa"/>
            <w:tcMar>
              <w:top w:w="15" w:type="dxa"/>
              <w:left w:w="15" w:type="dxa"/>
              <w:bottom w:w="0" w:type="dxa"/>
              <w:right w:w="15" w:type="dxa"/>
            </w:tcMar>
            <w:hideMark/>
          </w:tcPr>
          <w:p w14:paraId="25CBF372"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6</w:t>
            </w:r>
          </w:p>
        </w:tc>
        <w:tc>
          <w:tcPr>
            <w:tcW w:w="1560" w:type="dxa"/>
            <w:tcMar>
              <w:top w:w="15" w:type="dxa"/>
              <w:left w:w="15" w:type="dxa"/>
              <w:bottom w:w="0" w:type="dxa"/>
              <w:right w:w="15" w:type="dxa"/>
            </w:tcMar>
            <w:vAlign w:val="center"/>
            <w:hideMark/>
          </w:tcPr>
          <w:p w14:paraId="1C472F96" w14:textId="20D491C4"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785</w:t>
            </w:r>
            <w:r w:rsidR="00040A74">
              <w:rPr>
                <w:rFonts w:eastAsia="Times New Roman"/>
                <w:color w:val="000000"/>
                <w:sz w:val="20"/>
                <w:szCs w:val="20"/>
              </w:rPr>
              <w:t>.</w:t>
            </w:r>
            <w:r w:rsidRPr="00A81971">
              <w:rPr>
                <w:rFonts w:eastAsia="Times New Roman"/>
                <w:color w:val="000000"/>
                <w:sz w:val="20"/>
                <w:szCs w:val="20"/>
              </w:rPr>
              <w:t>88</w:t>
            </w:r>
          </w:p>
        </w:tc>
        <w:tc>
          <w:tcPr>
            <w:tcW w:w="1275" w:type="dxa"/>
            <w:tcMar>
              <w:top w:w="15" w:type="dxa"/>
              <w:left w:w="15" w:type="dxa"/>
              <w:bottom w:w="0" w:type="dxa"/>
              <w:right w:w="15" w:type="dxa"/>
            </w:tcMar>
            <w:vAlign w:val="center"/>
            <w:hideMark/>
          </w:tcPr>
          <w:p w14:paraId="71F958CB" w14:textId="1F5B8D60" w:rsidR="007A6928" w:rsidRPr="00A81971" w:rsidRDefault="0032495C" w:rsidP="00FE5C31">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123</w:t>
            </w:r>
            <w:r w:rsidR="00040A74">
              <w:rPr>
                <w:rFonts w:eastAsia="Times New Roman"/>
                <w:color w:val="000000"/>
                <w:sz w:val="20"/>
                <w:szCs w:val="20"/>
              </w:rPr>
              <w:t>,</w:t>
            </w:r>
            <w:r w:rsidRPr="00A81971">
              <w:rPr>
                <w:rFonts w:eastAsia="Times New Roman"/>
                <w:color w:val="000000"/>
                <w:sz w:val="20"/>
                <w:szCs w:val="20"/>
              </w:rPr>
              <w:t xml:space="preserve">812 </w:t>
            </w:r>
          </w:p>
        </w:tc>
        <w:tc>
          <w:tcPr>
            <w:tcW w:w="1418" w:type="dxa"/>
            <w:tcMar>
              <w:top w:w="15" w:type="dxa"/>
              <w:left w:w="15" w:type="dxa"/>
              <w:bottom w:w="0" w:type="dxa"/>
              <w:right w:w="15" w:type="dxa"/>
            </w:tcMar>
            <w:vAlign w:val="center"/>
            <w:hideMark/>
          </w:tcPr>
          <w:p w14:paraId="05D052A5" w14:textId="61FF2390"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6</w:t>
            </w:r>
            <w:r w:rsidR="00040A74">
              <w:rPr>
                <w:rFonts w:eastAsia="Times New Roman"/>
                <w:color w:val="000000"/>
                <w:sz w:val="20"/>
                <w:szCs w:val="20"/>
              </w:rPr>
              <w:t>,</w:t>
            </w:r>
            <w:r w:rsidRPr="00A81971">
              <w:rPr>
                <w:rFonts w:eastAsia="Times New Roman"/>
                <w:color w:val="000000"/>
                <w:sz w:val="20"/>
                <w:szCs w:val="20"/>
              </w:rPr>
              <w:t>890</w:t>
            </w:r>
            <w:r w:rsidR="00040A74">
              <w:rPr>
                <w:rFonts w:eastAsia="Times New Roman"/>
                <w:color w:val="000000"/>
                <w:sz w:val="20"/>
                <w:szCs w:val="20"/>
              </w:rPr>
              <w:t>,</w:t>
            </w:r>
            <w:r w:rsidRPr="00A81971">
              <w:rPr>
                <w:rFonts w:eastAsia="Times New Roman"/>
                <w:color w:val="000000"/>
                <w:sz w:val="20"/>
                <w:szCs w:val="20"/>
              </w:rPr>
              <w:t xml:space="preserve">919 </w:t>
            </w:r>
          </w:p>
        </w:tc>
        <w:tc>
          <w:tcPr>
            <w:tcW w:w="992" w:type="dxa"/>
            <w:tcMar>
              <w:top w:w="15" w:type="dxa"/>
              <w:left w:w="15" w:type="dxa"/>
              <w:bottom w:w="0" w:type="dxa"/>
              <w:right w:w="15" w:type="dxa"/>
            </w:tcMar>
            <w:vAlign w:val="center"/>
            <w:hideMark/>
          </w:tcPr>
          <w:p w14:paraId="23FF30D3"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851" w:type="dxa"/>
            <w:tcMar>
              <w:top w:w="15" w:type="dxa"/>
              <w:left w:w="15" w:type="dxa"/>
              <w:bottom w:w="0" w:type="dxa"/>
              <w:right w:w="15" w:type="dxa"/>
            </w:tcMar>
            <w:vAlign w:val="center"/>
            <w:hideMark/>
          </w:tcPr>
          <w:p w14:paraId="1000E0ED"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992" w:type="dxa"/>
            <w:shd w:val="clear" w:color="auto" w:fill="E2EFD9" w:themeFill="accent6" w:themeFillTint="33"/>
            <w:tcMar>
              <w:top w:w="15" w:type="dxa"/>
              <w:left w:w="15" w:type="dxa"/>
              <w:bottom w:w="0" w:type="dxa"/>
              <w:right w:w="15" w:type="dxa"/>
            </w:tcMar>
            <w:vAlign w:val="center"/>
            <w:hideMark/>
          </w:tcPr>
          <w:p w14:paraId="0CC1A883"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8.77 </w:t>
            </w:r>
          </w:p>
        </w:tc>
      </w:tr>
      <w:tr w:rsidR="00F90461" w14:paraId="55973F71" w14:textId="77777777" w:rsidTr="00FE5C31">
        <w:trPr>
          <w:trHeight w:val="300"/>
        </w:trPr>
        <w:tc>
          <w:tcPr>
            <w:tcW w:w="1691" w:type="dxa"/>
            <w:shd w:val="clear" w:color="auto" w:fill="E2EFD9" w:themeFill="accent6" w:themeFillTint="33"/>
            <w:tcMar>
              <w:top w:w="15" w:type="dxa"/>
              <w:left w:w="15" w:type="dxa"/>
              <w:bottom w:w="0" w:type="dxa"/>
              <w:right w:w="15" w:type="dxa"/>
            </w:tcMar>
            <w:hideMark/>
          </w:tcPr>
          <w:p w14:paraId="16929196"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Res AC</w:t>
            </w:r>
          </w:p>
        </w:tc>
        <w:tc>
          <w:tcPr>
            <w:tcW w:w="1134" w:type="dxa"/>
            <w:tcMar>
              <w:top w:w="15" w:type="dxa"/>
              <w:left w:w="15" w:type="dxa"/>
              <w:bottom w:w="0" w:type="dxa"/>
              <w:right w:w="15" w:type="dxa"/>
            </w:tcMar>
            <w:hideMark/>
          </w:tcPr>
          <w:p w14:paraId="0FE7D760"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6</w:t>
            </w:r>
          </w:p>
        </w:tc>
        <w:tc>
          <w:tcPr>
            <w:tcW w:w="1560" w:type="dxa"/>
            <w:tcMar>
              <w:top w:w="15" w:type="dxa"/>
              <w:left w:w="15" w:type="dxa"/>
              <w:bottom w:w="0" w:type="dxa"/>
              <w:right w:w="15" w:type="dxa"/>
            </w:tcMar>
            <w:vAlign w:val="center"/>
            <w:hideMark/>
          </w:tcPr>
          <w:p w14:paraId="4C3E33F9" w14:textId="14044466"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650</w:t>
            </w:r>
            <w:r w:rsidR="00040A74">
              <w:rPr>
                <w:rFonts w:eastAsia="Times New Roman"/>
                <w:color w:val="000000"/>
                <w:sz w:val="20"/>
                <w:szCs w:val="20"/>
              </w:rPr>
              <w:t>.</w:t>
            </w:r>
            <w:r w:rsidRPr="00A81971">
              <w:rPr>
                <w:rFonts w:eastAsia="Times New Roman"/>
                <w:color w:val="000000"/>
                <w:sz w:val="20"/>
                <w:szCs w:val="20"/>
              </w:rPr>
              <w:t>26</w:t>
            </w:r>
          </w:p>
        </w:tc>
        <w:tc>
          <w:tcPr>
            <w:tcW w:w="1275" w:type="dxa"/>
            <w:tcMar>
              <w:top w:w="15" w:type="dxa"/>
              <w:left w:w="15" w:type="dxa"/>
              <w:bottom w:w="0" w:type="dxa"/>
              <w:right w:w="15" w:type="dxa"/>
            </w:tcMar>
            <w:vAlign w:val="center"/>
            <w:hideMark/>
          </w:tcPr>
          <w:p w14:paraId="095CB6D8" w14:textId="384EFFE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357</w:t>
            </w:r>
            <w:r w:rsidR="00040A74">
              <w:rPr>
                <w:rFonts w:eastAsia="Times New Roman"/>
                <w:color w:val="000000"/>
                <w:sz w:val="20"/>
                <w:szCs w:val="20"/>
              </w:rPr>
              <w:t>,</w:t>
            </w:r>
            <w:r w:rsidRPr="00A81971">
              <w:rPr>
                <w:rFonts w:eastAsia="Times New Roman"/>
                <w:color w:val="000000"/>
                <w:sz w:val="20"/>
                <w:szCs w:val="20"/>
              </w:rPr>
              <w:t xml:space="preserve">417 </w:t>
            </w:r>
          </w:p>
        </w:tc>
        <w:tc>
          <w:tcPr>
            <w:tcW w:w="1418" w:type="dxa"/>
            <w:tcMar>
              <w:top w:w="15" w:type="dxa"/>
              <w:left w:w="15" w:type="dxa"/>
              <w:bottom w:w="0" w:type="dxa"/>
              <w:right w:w="15" w:type="dxa"/>
            </w:tcMar>
            <w:vAlign w:val="center"/>
            <w:hideMark/>
          </w:tcPr>
          <w:p w14:paraId="44DF38B6" w14:textId="4F083C69"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5</w:t>
            </w:r>
            <w:r w:rsidR="00040A74">
              <w:rPr>
                <w:rFonts w:eastAsia="Times New Roman"/>
                <w:color w:val="000000"/>
                <w:sz w:val="20"/>
                <w:szCs w:val="20"/>
              </w:rPr>
              <w:t>,</w:t>
            </w:r>
            <w:r w:rsidRPr="00A81971">
              <w:rPr>
                <w:rFonts w:eastAsia="Times New Roman"/>
                <w:color w:val="000000"/>
                <w:sz w:val="20"/>
                <w:szCs w:val="20"/>
              </w:rPr>
              <w:t>538</w:t>
            </w:r>
            <w:r w:rsidR="00040A74">
              <w:rPr>
                <w:rFonts w:eastAsia="Times New Roman"/>
                <w:color w:val="000000"/>
                <w:sz w:val="20"/>
                <w:szCs w:val="20"/>
              </w:rPr>
              <w:t>,</w:t>
            </w:r>
            <w:r w:rsidRPr="00A81971">
              <w:rPr>
                <w:rFonts w:eastAsia="Times New Roman"/>
                <w:color w:val="000000"/>
                <w:sz w:val="20"/>
                <w:szCs w:val="20"/>
              </w:rPr>
              <w:t xml:space="preserve">039 </w:t>
            </w:r>
          </w:p>
        </w:tc>
        <w:tc>
          <w:tcPr>
            <w:tcW w:w="992" w:type="dxa"/>
            <w:tcMar>
              <w:top w:w="15" w:type="dxa"/>
              <w:left w:w="15" w:type="dxa"/>
              <w:bottom w:w="0" w:type="dxa"/>
              <w:right w:w="15" w:type="dxa"/>
            </w:tcMar>
            <w:vAlign w:val="center"/>
            <w:hideMark/>
          </w:tcPr>
          <w:p w14:paraId="428F7974"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851" w:type="dxa"/>
            <w:tcMar>
              <w:top w:w="15" w:type="dxa"/>
              <w:left w:w="15" w:type="dxa"/>
              <w:bottom w:w="0" w:type="dxa"/>
              <w:right w:w="15" w:type="dxa"/>
            </w:tcMar>
            <w:vAlign w:val="center"/>
            <w:hideMark/>
          </w:tcPr>
          <w:p w14:paraId="15334118"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992" w:type="dxa"/>
            <w:shd w:val="clear" w:color="auto" w:fill="E2EFD9" w:themeFill="accent6" w:themeFillTint="33"/>
            <w:tcMar>
              <w:top w:w="15" w:type="dxa"/>
              <w:left w:w="15" w:type="dxa"/>
              <w:bottom w:w="0" w:type="dxa"/>
              <w:right w:w="15" w:type="dxa"/>
            </w:tcMar>
            <w:vAlign w:val="center"/>
            <w:hideMark/>
          </w:tcPr>
          <w:p w14:paraId="6A54E30C"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8.52 </w:t>
            </w:r>
          </w:p>
        </w:tc>
      </w:tr>
      <w:tr w:rsidR="00F90461" w14:paraId="380EE3D7" w14:textId="77777777" w:rsidTr="00FE5C31">
        <w:trPr>
          <w:trHeight w:val="300"/>
        </w:trPr>
        <w:tc>
          <w:tcPr>
            <w:tcW w:w="1691" w:type="dxa"/>
            <w:shd w:val="clear" w:color="auto" w:fill="E2EFD9" w:themeFill="accent6" w:themeFillTint="33"/>
            <w:tcMar>
              <w:top w:w="15" w:type="dxa"/>
              <w:left w:w="15" w:type="dxa"/>
              <w:bottom w:w="0" w:type="dxa"/>
              <w:right w:w="15" w:type="dxa"/>
            </w:tcMar>
            <w:hideMark/>
          </w:tcPr>
          <w:p w14:paraId="2669A419"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Commercial refrigeration</w:t>
            </w:r>
          </w:p>
        </w:tc>
        <w:tc>
          <w:tcPr>
            <w:tcW w:w="1134" w:type="dxa"/>
            <w:tcMar>
              <w:top w:w="15" w:type="dxa"/>
              <w:left w:w="15" w:type="dxa"/>
              <w:bottom w:w="0" w:type="dxa"/>
              <w:right w:w="15" w:type="dxa"/>
            </w:tcMar>
            <w:hideMark/>
          </w:tcPr>
          <w:p w14:paraId="3DC928F3"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11</w:t>
            </w:r>
          </w:p>
        </w:tc>
        <w:tc>
          <w:tcPr>
            <w:tcW w:w="1560" w:type="dxa"/>
            <w:tcMar>
              <w:top w:w="15" w:type="dxa"/>
              <w:left w:w="15" w:type="dxa"/>
              <w:bottom w:w="0" w:type="dxa"/>
              <w:right w:w="15" w:type="dxa"/>
            </w:tcMar>
            <w:vAlign w:val="center"/>
            <w:hideMark/>
          </w:tcPr>
          <w:p w14:paraId="6934D242" w14:textId="0A027265"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595</w:t>
            </w:r>
            <w:r w:rsidR="00040A74">
              <w:rPr>
                <w:rFonts w:eastAsia="Times New Roman"/>
                <w:color w:val="000000"/>
                <w:sz w:val="20"/>
                <w:szCs w:val="20"/>
              </w:rPr>
              <w:t>.</w:t>
            </w:r>
            <w:r w:rsidRPr="00A81971">
              <w:rPr>
                <w:rFonts w:eastAsia="Times New Roman"/>
                <w:color w:val="000000"/>
                <w:sz w:val="20"/>
                <w:szCs w:val="20"/>
              </w:rPr>
              <w:t>96</w:t>
            </w:r>
          </w:p>
        </w:tc>
        <w:tc>
          <w:tcPr>
            <w:tcW w:w="1275" w:type="dxa"/>
            <w:tcMar>
              <w:top w:w="15" w:type="dxa"/>
              <w:left w:w="15" w:type="dxa"/>
              <w:bottom w:w="0" w:type="dxa"/>
              <w:right w:w="15" w:type="dxa"/>
            </w:tcMar>
            <w:vAlign w:val="center"/>
            <w:hideMark/>
          </w:tcPr>
          <w:p w14:paraId="2A7321F8" w14:textId="514B1DCA"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332</w:t>
            </w:r>
            <w:r w:rsidR="00040A74">
              <w:rPr>
                <w:rFonts w:eastAsia="Times New Roman"/>
                <w:color w:val="000000"/>
                <w:sz w:val="20"/>
                <w:szCs w:val="20"/>
              </w:rPr>
              <w:t>,</w:t>
            </w:r>
            <w:r w:rsidRPr="00A81971">
              <w:rPr>
                <w:rFonts w:eastAsia="Times New Roman"/>
                <w:color w:val="000000"/>
                <w:sz w:val="20"/>
                <w:szCs w:val="20"/>
              </w:rPr>
              <w:t xml:space="preserve">609 </w:t>
            </w:r>
          </w:p>
        </w:tc>
        <w:tc>
          <w:tcPr>
            <w:tcW w:w="1418" w:type="dxa"/>
            <w:tcMar>
              <w:top w:w="15" w:type="dxa"/>
              <w:left w:w="15" w:type="dxa"/>
              <w:bottom w:w="0" w:type="dxa"/>
              <w:right w:w="15" w:type="dxa"/>
            </w:tcMar>
            <w:vAlign w:val="center"/>
            <w:hideMark/>
          </w:tcPr>
          <w:p w14:paraId="1DEAE177" w14:textId="4ACAEF3E"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12</w:t>
            </w:r>
            <w:r w:rsidR="00040A74">
              <w:rPr>
                <w:rFonts w:eastAsia="Times New Roman"/>
                <w:color w:val="000000"/>
                <w:sz w:val="20"/>
                <w:szCs w:val="20"/>
              </w:rPr>
              <w:t>,</w:t>
            </w:r>
            <w:r w:rsidRPr="00A81971">
              <w:rPr>
                <w:rFonts w:eastAsia="Times New Roman"/>
                <w:color w:val="000000"/>
                <w:sz w:val="20"/>
                <w:szCs w:val="20"/>
              </w:rPr>
              <w:t>522</w:t>
            </w:r>
            <w:r w:rsidR="00040A74">
              <w:rPr>
                <w:rFonts w:eastAsia="Times New Roman"/>
                <w:color w:val="000000"/>
                <w:sz w:val="20"/>
                <w:szCs w:val="20"/>
              </w:rPr>
              <w:t>,</w:t>
            </w:r>
            <w:r w:rsidRPr="00A81971">
              <w:rPr>
                <w:rFonts w:eastAsia="Times New Roman"/>
                <w:color w:val="000000"/>
                <w:sz w:val="20"/>
                <w:szCs w:val="20"/>
              </w:rPr>
              <w:t xml:space="preserve">366 </w:t>
            </w:r>
          </w:p>
        </w:tc>
        <w:tc>
          <w:tcPr>
            <w:tcW w:w="992" w:type="dxa"/>
            <w:tcMar>
              <w:top w:w="15" w:type="dxa"/>
              <w:left w:w="15" w:type="dxa"/>
              <w:bottom w:w="0" w:type="dxa"/>
              <w:right w:w="15" w:type="dxa"/>
            </w:tcMar>
            <w:vAlign w:val="center"/>
            <w:hideMark/>
          </w:tcPr>
          <w:p w14:paraId="56D858D0" w14:textId="6648F7CF"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354</w:t>
            </w:r>
            <w:r w:rsidR="00040A74">
              <w:rPr>
                <w:rFonts w:eastAsia="Times New Roman"/>
                <w:color w:val="000000"/>
                <w:sz w:val="20"/>
                <w:szCs w:val="20"/>
              </w:rPr>
              <w:t>,</w:t>
            </w:r>
            <w:r w:rsidRPr="00A81971">
              <w:rPr>
                <w:rFonts w:eastAsia="Times New Roman"/>
                <w:color w:val="000000"/>
                <w:sz w:val="20"/>
                <w:szCs w:val="20"/>
              </w:rPr>
              <w:t xml:space="preserve">515 </w:t>
            </w:r>
          </w:p>
        </w:tc>
        <w:tc>
          <w:tcPr>
            <w:tcW w:w="851" w:type="dxa"/>
            <w:tcMar>
              <w:top w:w="15" w:type="dxa"/>
              <w:left w:w="15" w:type="dxa"/>
              <w:bottom w:w="0" w:type="dxa"/>
              <w:right w:w="15" w:type="dxa"/>
            </w:tcMar>
            <w:vAlign w:val="center"/>
            <w:hideMark/>
          </w:tcPr>
          <w:p w14:paraId="44D40173" w14:textId="1857BBAF"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83</w:t>
            </w:r>
            <w:r w:rsidR="00040A74">
              <w:rPr>
                <w:rFonts w:eastAsia="Times New Roman"/>
                <w:color w:val="000000"/>
                <w:sz w:val="20"/>
                <w:szCs w:val="20"/>
              </w:rPr>
              <w:t>,</w:t>
            </w:r>
            <w:r w:rsidRPr="00A81971">
              <w:rPr>
                <w:rFonts w:eastAsia="Times New Roman"/>
                <w:color w:val="000000"/>
                <w:sz w:val="20"/>
                <w:szCs w:val="20"/>
              </w:rPr>
              <w:t xml:space="preserve">250 </w:t>
            </w:r>
          </w:p>
        </w:tc>
        <w:tc>
          <w:tcPr>
            <w:tcW w:w="992" w:type="dxa"/>
            <w:shd w:val="clear" w:color="auto" w:fill="E2EFD9" w:themeFill="accent6" w:themeFillTint="33"/>
            <w:tcMar>
              <w:top w:w="15" w:type="dxa"/>
              <w:left w:w="15" w:type="dxa"/>
              <w:bottom w:w="0" w:type="dxa"/>
              <w:right w:w="15" w:type="dxa"/>
            </w:tcMar>
            <w:vAlign w:val="center"/>
            <w:hideMark/>
          </w:tcPr>
          <w:p w14:paraId="1448631C"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21.01 </w:t>
            </w:r>
          </w:p>
        </w:tc>
      </w:tr>
      <w:tr w:rsidR="00F90461" w14:paraId="239EFA86" w14:textId="77777777" w:rsidTr="00FE5C31">
        <w:trPr>
          <w:trHeight w:val="300"/>
        </w:trPr>
        <w:tc>
          <w:tcPr>
            <w:tcW w:w="1691" w:type="dxa"/>
            <w:shd w:val="clear" w:color="auto" w:fill="E2EFD9" w:themeFill="accent6" w:themeFillTint="33"/>
            <w:tcMar>
              <w:top w:w="15" w:type="dxa"/>
              <w:left w:w="15" w:type="dxa"/>
              <w:bottom w:w="0" w:type="dxa"/>
              <w:right w:w="15" w:type="dxa"/>
            </w:tcMar>
            <w:hideMark/>
          </w:tcPr>
          <w:p w14:paraId="2E479190"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XPS foam</w:t>
            </w:r>
          </w:p>
        </w:tc>
        <w:tc>
          <w:tcPr>
            <w:tcW w:w="1134" w:type="dxa"/>
            <w:tcMar>
              <w:top w:w="15" w:type="dxa"/>
              <w:left w:w="15" w:type="dxa"/>
              <w:bottom w:w="0" w:type="dxa"/>
              <w:right w:w="15" w:type="dxa"/>
            </w:tcMar>
            <w:hideMark/>
          </w:tcPr>
          <w:p w14:paraId="0AA80EB8"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1</w:t>
            </w:r>
          </w:p>
        </w:tc>
        <w:tc>
          <w:tcPr>
            <w:tcW w:w="1560" w:type="dxa"/>
            <w:tcMar>
              <w:top w:w="15" w:type="dxa"/>
              <w:left w:w="15" w:type="dxa"/>
              <w:bottom w:w="0" w:type="dxa"/>
              <w:right w:w="15" w:type="dxa"/>
            </w:tcMar>
            <w:vAlign w:val="center"/>
            <w:hideMark/>
          </w:tcPr>
          <w:p w14:paraId="6C494E4E"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227</w:t>
            </w:r>
          </w:p>
        </w:tc>
        <w:tc>
          <w:tcPr>
            <w:tcW w:w="1275" w:type="dxa"/>
            <w:tcMar>
              <w:top w:w="15" w:type="dxa"/>
              <w:left w:w="15" w:type="dxa"/>
              <w:bottom w:w="0" w:type="dxa"/>
              <w:right w:w="15" w:type="dxa"/>
            </w:tcMar>
            <w:vAlign w:val="center"/>
            <w:hideMark/>
          </w:tcPr>
          <w:p w14:paraId="534DFFA5" w14:textId="78C7E93C"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28</w:t>
            </w:r>
            <w:r w:rsidR="00040A74">
              <w:rPr>
                <w:rFonts w:eastAsia="Times New Roman"/>
                <w:color w:val="000000"/>
                <w:sz w:val="20"/>
                <w:szCs w:val="20"/>
              </w:rPr>
              <w:t>,</w:t>
            </w:r>
            <w:r w:rsidRPr="00A81971">
              <w:rPr>
                <w:rFonts w:eastAsia="Times New Roman"/>
                <w:color w:val="000000"/>
                <w:sz w:val="20"/>
                <w:szCs w:val="20"/>
              </w:rPr>
              <w:t xml:space="preserve">148 </w:t>
            </w:r>
          </w:p>
        </w:tc>
        <w:tc>
          <w:tcPr>
            <w:tcW w:w="1418" w:type="dxa"/>
            <w:tcMar>
              <w:top w:w="15" w:type="dxa"/>
              <w:left w:w="15" w:type="dxa"/>
              <w:bottom w:w="0" w:type="dxa"/>
              <w:right w:w="15" w:type="dxa"/>
            </w:tcMar>
            <w:vAlign w:val="center"/>
            <w:hideMark/>
          </w:tcPr>
          <w:p w14:paraId="725539C6" w14:textId="284B99A3"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853</w:t>
            </w:r>
            <w:r w:rsidR="00040A74">
              <w:rPr>
                <w:rFonts w:eastAsia="Times New Roman"/>
                <w:color w:val="000000"/>
                <w:sz w:val="20"/>
                <w:szCs w:val="20"/>
              </w:rPr>
              <w:t>,</w:t>
            </w:r>
            <w:r w:rsidRPr="00A81971">
              <w:rPr>
                <w:rFonts w:eastAsia="Times New Roman"/>
                <w:color w:val="000000"/>
                <w:sz w:val="20"/>
                <w:szCs w:val="20"/>
              </w:rPr>
              <w:t xml:space="preserve">021 </w:t>
            </w:r>
          </w:p>
        </w:tc>
        <w:tc>
          <w:tcPr>
            <w:tcW w:w="992" w:type="dxa"/>
            <w:tcMar>
              <w:top w:w="15" w:type="dxa"/>
              <w:left w:w="15" w:type="dxa"/>
              <w:bottom w:w="0" w:type="dxa"/>
              <w:right w:w="15" w:type="dxa"/>
            </w:tcMar>
            <w:vAlign w:val="center"/>
            <w:hideMark/>
          </w:tcPr>
          <w:p w14:paraId="4A966328"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851" w:type="dxa"/>
            <w:tcMar>
              <w:top w:w="15" w:type="dxa"/>
              <w:left w:w="15" w:type="dxa"/>
              <w:bottom w:w="0" w:type="dxa"/>
              <w:right w:w="15" w:type="dxa"/>
            </w:tcMar>
            <w:vAlign w:val="center"/>
            <w:hideMark/>
          </w:tcPr>
          <w:p w14:paraId="0666C3AF"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992" w:type="dxa"/>
            <w:shd w:val="clear" w:color="auto" w:fill="E2EFD9" w:themeFill="accent6" w:themeFillTint="33"/>
            <w:tcMar>
              <w:top w:w="15" w:type="dxa"/>
              <w:left w:w="15" w:type="dxa"/>
              <w:bottom w:w="0" w:type="dxa"/>
              <w:right w:w="15" w:type="dxa"/>
            </w:tcMar>
            <w:vAlign w:val="center"/>
            <w:hideMark/>
          </w:tcPr>
          <w:p w14:paraId="2F6DD55C"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3.76 </w:t>
            </w:r>
          </w:p>
        </w:tc>
      </w:tr>
      <w:tr w:rsidR="00F90461" w14:paraId="13D41B55" w14:textId="77777777" w:rsidTr="00FE5C31">
        <w:trPr>
          <w:trHeight w:val="300"/>
        </w:trPr>
        <w:tc>
          <w:tcPr>
            <w:tcW w:w="1691" w:type="dxa"/>
            <w:shd w:val="clear" w:color="auto" w:fill="E2EFD9" w:themeFill="accent6" w:themeFillTint="33"/>
            <w:tcMar>
              <w:top w:w="15" w:type="dxa"/>
              <w:left w:w="15" w:type="dxa"/>
              <w:bottom w:w="0" w:type="dxa"/>
              <w:right w:w="15" w:type="dxa"/>
            </w:tcMar>
            <w:hideMark/>
          </w:tcPr>
          <w:p w14:paraId="24FDA0D3"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Industrial Refrigeration</w:t>
            </w:r>
          </w:p>
        </w:tc>
        <w:tc>
          <w:tcPr>
            <w:tcW w:w="1134" w:type="dxa"/>
            <w:tcMar>
              <w:top w:w="15" w:type="dxa"/>
              <w:left w:w="15" w:type="dxa"/>
              <w:bottom w:w="0" w:type="dxa"/>
              <w:right w:w="15" w:type="dxa"/>
            </w:tcMar>
            <w:hideMark/>
          </w:tcPr>
          <w:p w14:paraId="310F96B2"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4</w:t>
            </w:r>
          </w:p>
        </w:tc>
        <w:tc>
          <w:tcPr>
            <w:tcW w:w="1560" w:type="dxa"/>
            <w:tcMar>
              <w:top w:w="15" w:type="dxa"/>
              <w:left w:w="15" w:type="dxa"/>
              <w:bottom w:w="0" w:type="dxa"/>
              <w:right w:w="15" w:type="dxa"/>
            </w:tcMar>
            <w:vAlign w:val="center"/>
            <w:hideMark/>
          </w:tcPr>
          <w:p w14:paraId="3E14EE8D" w14:textId="7751B8FC"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69</w:t>
            </w:r>
            <w:r w:rsidR="00040A74">
              <w:rPr>
                <w:rFonts w:eastAsia="Times New Roman"/>
                <w:color w:val="000000"/>
                <w:sz w:val="20"/>
                <w:szCs w:val="20"/>
              </w:rPr>
              <w:t>.</w:t>
            </w:r>
            <w:r w:rsidRPr="00A81971">
              <w:rPr>
                <w:rFonts w:eastAsia="Times New Roman"/>
                <w:color w:val="000000"/>
                <w:sz w:val="20"/>
                <w:szCs w:val="20"/>
              </w:rPr>
              <w:t>87</w:t>
            </w:r>
          </w:p>
        </w:tc>
        <w:tc>
          <w:tcPr>
            <w:tcW w:w="1275" w:type="dxa"/>
            <w:tcMar>
              <w:top w:w="15" w:type="dxa"/>
              <w:left w:w="15" w:type="dxa"/>
              <w:bottom w:w="0" w:type="dxa"/>
              <w:right w:w="15" w:type="dxa"/>
            </w:tcMar>
            <w:vAlign w:val="center"/>
            <w:hideMark/>
          </w:tcPr>
          <w:p w14:paraId="4410606D" w14:textId="15329349"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249</w:t>
            </w:r>
            <w:r w:rsidR="00040A74">
              <w:rPr>
                <w:rFonts w:eastAsia="Times New Roman"/>
                <w:color w:val="000000"/>
                <w:sz w:val="20"/>
                <w:szCs w:val="20"/>
              </w:rPr>
              <w:t>,</w:t>
            </w:r>
            <w:r w:rsidRPr="00A81971">
              <w:rPr>
                <w:rFonts w:eastAsia="Times New Roman"/>
                <w:color w:val="000000"/>
                <w:sz w:val="20"/>
                <w:szCs w:val="20"/>
              </w:rPr>
              <w:t xml:space="preserve">891 </w:t>
            </w:r>
          </w:p>
        </w:tc>
        <w:tc>
          <w:tcPr>
            <w:tcW w:w="1418" w:type="dxa"/>
            <w:tcMar>
              <w:top w:w="15" w:type="dxa"/>
              <w:left w:w="15" w:type="dxa"/>
              <w:bottom w:w="0" w:type="dxa"/>
              <w:right w:w="15" w:type="dxa"/>
            </w:tcMar>
            <w:vAlign w:val="center"/>
            <w:hideMark/>
          </w:tcPr>
          <w:p w14:paraId="43502132" w14:textId="1EBE98B9"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031</w:t>
            </w:r>
            <w:r w:rsidR="00040A74">
              <w:rPr>
                <w:rFonts w:eastAsia="Times New Roman"/>
                <w:color w:val="000000"/>
                <w:sz w:val="20"/>
                <w:szCs w:val="20"/>
              </w:rPr>
              <w:t>,</w:t>
            </w:r>
            <w:r w:rsidRPr="00A81971">
              <w:rPr>
                <w:rFonts w:eastAsia="Times New Roman"/>
                <w:color w:val="000000"/>
                <w:sz w:val="20"/>
                <w:szCs w:val="20"/>
              </w:rPr>
              <w:t xml:space="preserve">122 </w:t>
            </w:r>
          </w:p>
        </w:tc>
        <w:tc>
          <w:tcPr>
            <w:tcW w:w="992" w:type="dxa"/>
            <w:tcMar>
              <w:top w:w="15" w:type="dxa"/>
              <w:left w:w="15" w:type="dxa"/>
              <w:bottom w:w="0" w:type="dxa"/>
              <w:right w:w="15" w:type="dxa"/>
            </w:tcMar>
            <w:vAlign w:val="center"/>
            <w:hideMark/>
          </w:tcPr>
          <w:p w14:paraId="74164EB5"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851" w:type="dxa"/>
            <w:tcMar>
              <w:top w:w="15" w:type="dxa"/>
              <w:left w:w="15" w:type="dxa"/>
              <w:bottom w:w="0" w:type="dxa"/>
              <w:right w:w="15" w:type="dxa"/>
            </w:tcMar>
            <w:vAlign w:val="center"/>
            <w:hideMark/>
          </w:tcPr>
          <w:p w14:paraId="16D663E7"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   </w:t>
            </w:r>
          </w:p>
        </w:tc>
        <w:tc>
          <w:tcPr>
            <w:tcW w:w="992" w:type="dxa"/>
            <w:shd w:val="clear" w:color="auto" w:fill="E2EFD9" w:themeFill="accent6" w:themeFillTint="33"/>
            <w:tcMar>
              <w:top w:w="15" w:type="dxa"/>
              <w:left w:w="15" w:type="dxa"/>
              <w:bottom w:w="0" w:type="dxa"/>
              <w:right w:w="15" w:type="dxa"/>
            </w:tcMar>
            <w:vAlign w:val="center"/>
            <w:hideMark/>
          </w:tcPr>
          <w:p w14:paraId="39C348FE"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14.76 </w:t>
            </w:r>
          </w:p>
        </w:tc>
      </w:tr>
      <w:tr w:rsidR="00F90461" w14:paraId="5406A350" w14:textId="77777777" w:rsidTr="00FE5C31">
        <w:trPr>
          <w:trHeight w:val="300"/>
        </w:trPr>
        <w:tc>
          <w:tcPr>
            <w:tcW w:w="1691" w:type="dxa"/>
            <w:shd w:val="clear" w:color="auto" w:fill="E2EFD9" w:themeFill="accent6" w:themeFillTint="33"/>
            <w:tcMar>
              <w:top w:w="15" w:type="dxa"/>
              <w:left w:w="15" w:type="dxa"/>
              <w:bottom w:w="0" w:type="dxa"/>
              <w:right w:w="15" w:type="dxa"/>
            </w:tcMar>
            <w:hideMark/>
          </w:tcPr>
          <w:p w14:paraId="4B29444D" w14:textId="77777777" w:rsidR="007A6928" w:rsidRPr="00A81971" w:rsidRDefault="0032495C" w:rsidP="00E9676D">
            <w:pPr>
              <w:spacing w:after="0"/>
              <w:rPr>
                <w:rFonts w:eastAsia="Times New Roman"/>
                <w:color w:val="000000"/>
                <w:sz w:val="20"/>
                <w:szCs w:val="20"/>
              </w:rPr>
            </w:pPr>
            <w:r w:rsidRPr="00A81971">
              <w:rPr>
                <w:rFonts w:eastAsia="Times New Roman"/>
                <w:color w:val="000000"/>
                <w:sz w:val="20"/>
                <w:szCs w:val="20"/>
              </w:rPr>
              <w:t>Commercial AC</w:t>
            </w:r>
          </w:p>
        </w:tc>
        <w:tc>
          <w:tcPr>
            <w:tcW w:w="1134" w:type="dxa"/>
            <w:tcMar>
              <w:top w:w="15" w:type="dxa"/>
              <w:left w:w="15" w:type="dxa"/>
              <w:bottom w:w="0" w:type="dxa"/>
              <w:right w:w="15" w:type="dxa"/>
            </w:tcMar>
            <w:hideMark/>
          </w:tcPr>
          <w:p w14:paraId="092E0F33" w14:textId="77777777" w:rsidR="007A6928" w:rsidRPr="00A81971" w:rsidRDefault="0032495C" w:rsidP="00E9676D">
            <w:pPr>
              <w:spacing w:after="0"/>
              <w:jc w:val="center"/>
              <w:rPr>
                <w:rFonts w:eastAsia="Times New Roman"/>
                <w:color w:val="000000"/>
                <w:sz w:val="20"/>
                <w:szCs w:val="20"/>
              </w:rPr>
            </w:pPr>
            <w:r w:rsidRPr="00A81971">
              <w:rPr>
                <w:rFonts w:eastAsia="Times New Roman"/>
                <w:color w:val="000000"/>
                <w:sz w:val="20"/>
                <w:szCs w:val="20"/>
              </w:rPr>
              <w:t>2</w:t>
            </w:r>
          </w:p>
        </w:tc>
        <w:tc>
          <w:tcPr>
            <w:tcW w:w="1560" w:type="dxa"/>
            <w:tcMar>
              <w:top w:w="15" w:type="dxa"/>
              <w:left w:w="15" w:type="dxa"/>
              <w:bottom w:w="0" w:type="dxa"/>
              <w:right w:w="15" w:type="dxa"/>
            </w:tcMar>
            <w:vAlign w:val="center"/>
            <w:hideMark/>
          </w:tcPr>
          <w:p w14:paraId="4709C71B" w14:textId="10F5B339"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101</w:t>
            </w:r>
            <w:r w:rsidR="00040A74">
              <w:rPr>
                <w:rFonts w:eastAsia="Times New Roman"/>
                <w:color w:val="000000"/>
                <w:sz w:val="20"/>
                <w:szCs w:val="20"/>
              </w:rPr>
              <w:t>.</w:t>
            </w:r>
            <w:r w:rsidRPr="00A81971">
              <w:rPr>
                <w:rFonts w:eastAsia="Times New Roman"/>
                <w:color w:val="000000"/>
                <w:sz w:val="20"/>
                <w:szCs w:val="20"/>
              </w:rPr>
              <w:t>75</w:t>
            </w:r>
          </w:p>
        </w:tc>
        <w:tc>
          <w:tcPr>
            <w:tcW w:w="1275" w:type="dxa"/>
            <w:tcMar>
              <w:top w:w="15" w:type="dxa"/>
              <w:left w:w="15" w:type="dxa"/>
              <w:bottom w:w="0" w:type="dxa"/>
              <w:right w:w="15" w:type="dxa"/>
            </w:tcMar>
            <w:vAlign w:val="center"/>
            <w:hideMark/>
          </w:tcPr>
          <w:p w14:paraId="5D283DC2" w14:textId="3CE94628"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202</w:t>
            </w:r>
            <w:r w:rsidR="00040A74">
              <w:rPr>
                <w:rFonts w:eastAsia="Times New Roman"/>
                <w:color w:val="000000"/>
                <w:sz w:val="20"/>
                <w:szCs w:val="20"/>
              </w:rPr>
              <w:t>,</w:t>
            </w:r>
            <w:r w:rsidRPr="00A81971">
              <w:rPr>
                <w:rFonts w:eastAsia="Times New Roman"/>
                <w:color w:val="000000"/>
                <w:sz w:val="20"/>
                <w:szCs w:val="20"/>
              </w:rPr>
              <w:t xml:space="preserve">913 </w:t>
            </w:r>
          </w:p>
        </w:tc>
        <w:tc>
          <w:tcPr>
            <w:tcW w:w="1418" w:type="dxa"/>
            <w:tcMar>
              <w:top w:w="15" w:type="dxa"/>
              <w:left w:w="15" w:type="dxa"/>
              <w:bottom w:w="0" w:type="dxa"/>
              <w:right w:w="15" w:type="dxa"/>
            </w:tcMar>
            <w:vAlign w:val="center"/>
            <w:hideMark/>
          </w:tcPr>
          <w:p w14:paraId="6BD62B58" w14:textId="03B3F25C"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w:t>
            </w:r>
            <w:r w:rsidR="00040A74">
              <w:rPr>
                <w:rFonts w:eastAsia="Times New Roman"/>
                <w:color w:val="000000"/>
                <w:sz w:val="20"/>
                <w:szCs w:val="20"/>
              </w:rPr>
              <w:t>,</w:t>
            </w:r>
            <w:r w:rsidRPr="00A81971">
              <w:rPr>
                <w:rFonts w:eastAsia="Times New Roman"/>
                <w:color w:val="000000"/>
                <w:sz w:val="20"/>
                <w:szCs w:val="20"/>
              </w:rPr>
              <w:t>430</w:t>
            </w:r>
            <w:r w:rsidR="00040A74">
              <w:rPr>
                <w:rFonts w:eastAsia="Times New Roman"/>
                <w:color w:val="000000"/>
                <w:sz w:val="20"/>
                <w:szCs w:val="20"/>
              </w:rPr>
              <w:t>,</w:t>
            </w:r>
            <w:r w:rsidRPr="00A81971">
              <w:rPr>
                <w:rFonts w:eastAsia="Times New Roman"/>
                <w:color w:val="000000"/>
                <w:sz w:val="20"/>
                <w:szCs w:val="20"/>
              </w:rPr>
              <w:t xml:space="preserve">376 </w:t>
            </w:r>
          </w:p>
        </w:tc>
        <w:tc>
          <w:tcPr>
            <w:tcW w:w="992" w:type="dxa"/>
            <w:tcMar>
              <w:top w:w="15" w:type="dxa"/>
              <w:left w:w="15" w:type="dxa"/>
              <w:bottom w:w="0" w:type="dxa"/>
              <w:right w:w="15" w:type="dxa"/>
            </w:tcMar>
            <w:vAlign w:val="center"/>
            <w:hideMark/>
          </w:tcPr>
          <w:p w14:paraId="1249B014" w14:textId="29656028"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244</w:t>
            </w:r>
            <w:r w:rsidR="00040A74">
              <w:rPr>
                <w:rFonts w:eastAsia="Times New Roman"/>
                <w:color w:val="000000"/>
                <w:sz w:val="20"/>
                <w:szCs w:val="20"/>
              </w:rPr>
              <w:t>,</w:t>
            </w:r>
            <w:r w:rsidRPr="00A81971">
              <w:rPr>
                <w:rFonts w:eastAsia="Times New Roman"/>
                <w:color w:val="000000"/>
                <w:sz w:val="20"/>
                <w:szCs w:val="20"/>
              </w:rPr>
              <w:t xml:space="preserve">500 </w:t>
            </w:r>
          </w:p>
        </w:tc>
        <w:tc>
          <w:tcPr>
            <w:tcW w:w="851" w:type="dxa"/>
            <w:tcMar>
              <w:top w:w="15" w:type="dxa"/>
              <w:left w:w="15" w:type="dxa"/>
              <w:bottom w:w="0" w:type="dxa"/>
              <w:right w:w="15" w:type="dxa"/>
            </w:tcMar>
            <w:vAlign w:val="center"/>
            <w:hideMark/>
          </w:tcPr>
          <w:p w14:paraId="2FF4B254" w14:textId="3126A2DE"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178</w:t>
            </w:r>
            <w:r w:rsidR="00040A74">
              <w:rPr>
                <w:rFonts w:eastAsia="Times New Roman"/>
                <w:color w:val="000000"/>
                <w:sz w:val="20"/>
                <w:szCs w:val="20"/>
              </w:rPr>
              <w:t>,</w:t>
            </w:r>
            <w:r w:rsidRPr="00A81971">
              <w:rPr>
                <w:rFonts w:eastAsia="Times New Roman"/>
                <w:color w:val="000000"/>
                <w:sz w:val="20"/>
                <w:szCs w:val="20"/>
              </w:rPr>
              <w:t xml:space="preserve">061 </w:t>
            </w:r>
          </w:p>
        </w:tc>
        <w:tc>
          <w:tcPr>
            <w:tcW w:w="992" w:type="dxa"/>
            <w:shd w:val="clear" w:color="auto" w:fill="E2EFD9" w:themeFill="accent6" w:themeFillTint="33"/>
            <w:tcMar>
              <w:top w:w="15" w:type="dxa"/>
              <w:left w:w="15" w:type="dxa"/>
              <w:bottom w:w="0" w:type="dxa"/>
              <w:right w:w="15" w:type="dxa"/>
            </w:tcMar>
            <w:vAlign w:val="center"/>
            <w:hideMark/>
          </w:tcPr>
          <w:p w14:paraId="596A09CB" w14:textId="77777777" w:rsidR="007A6928" w:rsidRPr="00A81971" w:rsidRDefault="0032495C" w:rsidP="00A66F1B">
            <w:pPr>
              <w:spacing w:after="0"/>
              <w:jc w:val="right"/>
              <w:rPr>
                <w:rFonts w:eastAsia="Times New Roman"/>
                <w:color w:val="000000"/>
                <w:sz w:val="20"/>
                <w:szCs w:val="20"/>
              </w:rPr>
            </w:pPr>
            <w:r w:rsidRPr="00A81971">
              <w:rPr>
                <w:rFonts w:eastAsia="Times New Roman"/>
                <w:color w:val="000000"/>
                <w:sz w:val="20"/>
                <w:szCs w:val="20"/>
              </w:rPr>
              <w:t xml:space="preserve">          14.06 </w:t>
            </w:r>
          </w:p>
        </w:tc>
      </w:tr>
    </w:tbl>
    <w:p w14:paraId="1DB4037D" w14:textId="77777777" w:rsidR="007A6928" w:rsidRPr="00A81971" w:rsidRDefault="007A6928" w:rsidP="007A6928">
      <w:pPr>
        <w:spacing w:after="0"/>
        <w:rPr>
          <w:rFonts w:eastAsia="Times New Roman"/>
          <w:color w:val="000000"/>
          <w:sz w:val="24"/>
          <w:szCs w:val="24"/>
        </w:rPr>
      </w:pPr>
    </w:p>
    <w:p w14:paraId="1DF69A92" w14:textId="77777777" w:rsidR="007A6928" w:rsidRPr="00A81971" w:rsidRDefault="0032495C" w:rsidP="007A6928">
      <w:pPr>
        <w:spacing w:after="0"/>
        <w:rPr>
          <w:rFonts w:eastAsia="Times New Roman"/>
          <w:color w:val="000000"/>
        </w:rPr>
      </w:pPr>
      <w:r w:rsidRPr="00A81971">
        <w:rPr>
          <w:rFonts w:eastAsia="Times New Roman"/>
          <w:color w:val="000000" w:themeColor="text1"/>
        </w:rPr>
        <w:t>In order to estimate funding, RTF used the above new sector CEs, and the same Resource Allocation (Schedules A and B) as in the “Updated May Report Scenario 1” (low-end) model, reproduced in Table 3.1</w:t>
      </w:r>
      <w:r w:rsidR="00444BCC">
        <w:rPr>
          <w:rFonts w:eastAsia="Times New Roman"/>
          <w:color w:val="000000" w:themeColor="text1"/>
        </w:rPr>
        <w:t>3</w:t>
      </w:r>
      <w:r w:rsidRPr="00A81971">
        <w:rPr>
          <w:rFonts w:eastAsia="Times New Roman"/>
          <w:color w:val="000000" w:themeColor="text1"/>
        </w:rPr>
        <w:t xml:space="preserve"> below.</w:t>
      </w:r>
    </w:p>
    <w:p w14:paraId="18948372" w14:textId="77777777" w:rsidR="007A6928" w:rsidRPr="00A81971" w:rsidRDefault="007A6928" w:rsidP="007A6928">
      <w:pPr>
        <w:tabs>
          <w:tab w:val="left" w:pos="1134"/>
        </w:tabs>
        <w:spacing w:after="120"/>
        <w:ind w:left="1418" w:hanging="1418"/>
        <w:rPr>
          <w:rFonts w:eastAsia="Times New Roman"/>
          <w:b/>
        </w:rPr>
      </w:pPr>
    </w:p>
    <w:p w14:paraId="14836CEE" w14:textId="77777777" w:rsidR="007A6928" w:rsidRPr="00A81971" w:rsidRDefault="0032495C" w:rsidP="00AE671A">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3.</w:t>
      </w:r>
      <w:r w:rsidR="00AE671A">
        <w:rPr>
          <w:rFonts w:eastAsia="Yu Mincho"/>
          <w:b/>
          <w:bCs/>
          <w:color w:val="000000"/>
          <w:lang w:val="en-CA"/>
        </w:rPr>
        <w:t>1</w:t>
      </w:r>
      <w:r w:rsidR="00444BCC">
        <w:rPr>
          <w:rFonts w:eastAsia="Yu Mincho"/>
          <w:b/>
          <w:bCs/>
          <w:color w:val="000000"/>
          <w:lang w:val="en-CA"/>
        </w:rPr>
        <w:t>3</w:t>
      </w:r>
      <w:r>
        <w:rPr>
          <w:rFonts w:eastAsia="Yu Mincho"/>
          <w:b/>
          <w:bCs/>
          <w:color w:val="000000"/>
          <w:lang w:val="en-CA"/>
        </w:rPr>
        <w:t>:</w:t>
      </w:r>
      <w:r w:rsidRPr="0006445E">
        <w:rPr>
          <w:rFonts w:eastAsia="Times New Roman"/>
          <w:color w:val="000000"/>
          <w:lang w:val="en-CA"/>
        </w:rPr>
        <w:tab/>
      </w:r>
      <w:r w:rsidR="00AE671A" w:rsidRPr="00A81971">
        <w:rPr>
          <w:rFonts w:eastAsia="Times New Roman"/>
          <w:b/>
          <w:bCs/>
        </w:rPr>
        <w:t>Resource allocation schedule A and B</w:t>
      </w:r>
      <w:r w:rsidR="1E375DFC" w:rsidRPr="00A81971">
        <w:rPr>
          <w:rFonts w:eastAsia="Times New Roman"/>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154"/>
        <w:gridCol w:w="2454"/>
        <w:gridCol w:w="2060"/>
      </w:tblGrid>
      <w:tr w:rsidR="00F90461" w14:paraId="0DF5EFBB" w14:textId="77777777" w:rsidTr="0013396E">
        <w:trPr>
          <w:trHeight w:val="495"/>
        </w:trPr>
        <w:tc>
          <w:tcPr>
            <w:tcW w:w="1326" w:type="pct"/>
            <w:shd w:val="clear" w:color="auto" w:fill="D9E2F3"/>
            <w:vAlign w:val="center"/>
          </w:tcPr>
          <w:p w14:paraId="10F6A900" w14:textId="77777777" w:rsidR="007A6928" w:rsidRPr="00A81971" w:rsidRDefault="0032495C" w:rsidP="007A6928">
            <w:pPr>
              <w:spacing w:after="0"/>
              <w:jc w:val="center"/>
              <w:rPr>
                <w:rFonts w:eastAsia="Times New Roman"/>
                <w:b/>
                <w:bCs/>
              </w:rPr>
            </w:pPr>
            <w:r w:rsidRPr="00A81971">
              <w:rPr>
                <w:rFonts w:eastAsia="Times New Roman"/>
                <w:b/>
                <w:bCs/>
              </w:rPr>
              <w:t>Group</w:t>
            </w:r>
          </w:p>
        </w:tc>
        <w:tc>
          <w:tcPr>
            <w:tcW w:w="1187" w:type="pct"/>
            <w:shd w:val="clear" w:color="auto" w:fill="D9E2F3"/>
            <w:vAlign w:val="center"/>
          </w:tcPr>
          <w:p w14:paraId="61BE23DD" w14:textId="77777777" w:rsidR="007A6928" w:rsidRPr="00A81971" w:rsidRDefault="0032495C" w:rsidP="007A6928">
            <w:pPr>
              <w:spacing w:after="0"/>
              <w:jc w:val="center"/>
              <w:rPr>
                <w:rFonts w:eastAsia="Times New Roman"/>
                <w:b/>
                <w:bCs/>
              </w:rPr>
            </w:pPr>
            <w:r w:rsidRPr="00A81971">
              <w:rPr>
                <w:rFonts w:eastAsia="Times New Roman"/>
                <w:b/>
                <w:bCs/>
              </w:rPr>
              <w:t>KIP Stage</w:t>
            </w:r>
          </w:p>
        </w:tc>
        <w:tc>
          <w:tcPr>
            <w:tcW w:w="1352" w:type="pct"/>
            <w:shd w:val="clear" w:color="auto" w:fill="C5E0B3"/>
            <w:vAlign w:val="center"/>
          </w:tcPr>
          <w:p w14:paraId="5672BE55" w14:textId="77777777" w:rsidR="007A6928" w:rsidRPr="00A81971" w:rsidRDefault="0032495C" w:rsidP="007A6928">
            <w:pPr>
              <w:spacing w:after="0"/>
              <w:jc w:val="center"/>
              <w:rPr>
                <w:rFonts w:eastAsia="Times New Roman"/>
                <w:b/>
                <w:bCs/>
              </w:rPr>
            </w:pPr>
            <w:r w:rsidRPr="00A81971">
              <w:rPr>
                <w:rFonts w:eastAsia="Times New Roman"/>
                <w:b/>
                <w:bCs/>
              </w:rPr>
              <w:t>Schedule A</w:t>
            </w:r>
          </w:p>
          <w:p w14:paraId="0AFCB60C" w14:textId="77777777" w:rsidR="007A6928" w:rsidRPr="00A81971" w:rsidRDefault="0032495C" w:rsidP="007A6928">
            <w:pPr>
              <w:spacing w:after="0"/>
              <w:jc w:val="center"/>
              <w:rPr>
                <w:rFonts w:eastAsia="Times New Roman"/>
                <w:b/>
                <w:bCs/>
              </w:rPr>
            </w:pPr>
            <w:r w:rsidRPr="00A81971">
              <w:rPr>
                <w:rFonts w:eastAsia="Times New Roman"/>
                <w:b/>
                <w:bCs/>
              </w:rPr>
              <w:t>(% per triennium)</w:t>
            </w:r>
          </w:p>
        </w:tc>
        <w:tc>
          <w:tcPr>
            <w:tcW w:w="1135" w:type="pct"/>
            <w:shd w:val="clear" w:color="auto" w:fill="FFE599"/>
            <w:vAlign w:val="center"/>
          </w:tcPr>
          <w:p w14:paraId="1BE0A4CE" w14:textId="77777777" w:rsidR="007A6928" w:rsidRPr="00A81971" w:rsidRDefault="0032495C" w:rsidP="007A6928">
            <w:pPr>
              <w:spacing w:after="0"/>
              <w:jc w:val="center"/>
              <w:rPr>
                <w:rFonts w:eastAsia="Times New Roman"/>
                <w:b/>
                <w:bCs/>
              </w:rPr>
            </w:pPr>
            <w:r w:rsidRPr="00A81971">
              <w:rPr>
                <w:rFonts w:eastAsia="Times New Roman"/>
                <w:b/>
                <w:bCs/>
              </w:rPr>
              <w:t>Schedule B</w:t>
            </w:r>
          </w:p>
          <w:p w14:paraId="141F4064" w14:textId="77777777" w:rsidR="007A6928" w:rsidRPr="00A81971" w:rsidRDefault="0032495C" w:rsidP="007A6928">
            <w:pPr>
              <w:spacing w:after="0"/>
              <w:jc w:val="center"/>
              <w:rPr>
                <w:rFonts w:eastAsia="Times New Roman"/>
                <w:b/>
                <w:bCs/>
              </w:rPr>
            </w:pPr>
            <w:r w:rsidRPr="00A81971">
              <w:rPr>
                <w:rFonts w:eastAsia="Times New Roman"/>
                <w:b/>
                <w:bCs/>
              </w:rPr>
              <w:t>(% per triennium)</w:t>
            </w:r>
          </w:p>
        </w:tc>
      </w:tr>
      <w:tr w:rsidR="00F90461" w14:paraId="1EA01336" w14:textId="77777777" w:rsidTr="0013396E">
        <w:trPr>
          <w:trHeight w:val="495"/>
        </w:trPr>
        <w:tc>
          <w:tcPr>
            <w:tcW w:w="1326" w:type="pct"/>
            <w:vMerge w:val="restart"/>
            <w:vAlign w:val="center"/>
          </w:tcPr>
          <w:p w14:paraId="2EFAA3A3" w14:textId="77777777" w:rsidR="007A6928" w:rsidRPr="00A81971" w:rsidRDefault="0032495C" w:rsidP="007A6928">
            <w:pPr>
              <w:spacing w:after="0"/>
              <w:rPr>
                <w:rFonts w:eastAsia="Times New Roman"/>
              </w:rPr>
            </w:pPr>
            <w:r w:rsidRPr="00A81971">
              <w:rPr>
                <w:rFonts w:eastAsia="Times New Roman"/>
              </w:rPr>
              <w:t xml:space="preserve">G1 parties without KIPs </w:t>
            </w:r>
          </w:p>
        </w:tc>
        <w:tc>
          <w:tcPr>
            <w:tcW w:w="1187" w:type="pct"/>
            <w:vAlign w:val="center"/>
          </w:tcPr>
          <w:p w14:paraId="606481B9" w14:textId="77777777" w:rsidR="007A6928" w:rsidRPr="00A81971" w:rsidRDefault="0032495C" w:rsidP="007A6928">
            <w:pPr>
              <w:spacing w:after="0"/>
              <w:jc w:val="center"/>
              <w:rPr>
                <w:rFonts w:eastAsia="Times New Roman"/>
              </w:rPr>
            </w:pPr>
            <w:r w:rsidRPr="00A81971">
              <w:rPr>
                <w:rFonts w:eastAsia="Times New Roman"/>
              </w:rPr>
              <w:t>I</w:t>
            </w:r>
          </w:p>
        </w:tc>
        <w:tc>
          <w:tcPr>
            <w:tcW w:w="1352" w:type="pct"/>
            <w:shd w:val="clear" w:color="auto" w:fill="E2EFD9"/>
            <w:vAlign w:val="center"/>
          </w:tcPr>
          <w:p w14:paraId="0AD18A6D" w14:textId="77777777" w:rsidR="007A6928" w:rsidRPr="00A81971" w:rsidRDefault="0032495C" w:rsidP="007A6928">
            <w:pPr>
              <w:spacing w:after="0"/>
              <w:jc w:val="center"/>
              <w:rPr>
                <w:rFonts w:eastAsia="Times New Roman"/>
              </w:rPr>
            </w:pPr>
            <w:r w:rsidRPr="00A81971">
              <w:rPr>
                <w:rFonts w:eastAsia="Times New Roman"/>
              </w:rPr>
              <w:t>100% - 2027-2029</w:t>
            </w:r>
          </w:p>
        </w:tc>
        <w:tc>
          <w:tcPr>
            <w:tcW w:w="1135" w:type="pct"/>
            <w:shd w:val="clear" w:color="auto" w:fill="FFF2CC"/>
            <w:vAlign w:val="center"/>
          </w:tcPr>
          <w:p w14:paraId="23B82083" w14:textId="77777777" w:rsidR="007A6928" w:rsidRPr="00A81971" w:rsidRDefault="0032495C" w:rsidP="007A6928">
            <w:pPr>
              <w:spacing w:after="0"/>
              <w:jc w:val="center"/>
              <w:rPr>
                <w:rFonts w:eastAsia="Times New Roman"/>
              </w:rPr>
            </w:pPr>
            <w:r w:rsidRPr="00A81971">
              <w:rPr>
                <w:rFonts w:eastAsia="Times New Roman"/>
              </w:rPr>
              <w:t>90% - 2027-2029</w:t>
            </w:r>
          </w:p>
          <w:p w14:paraId="69C3FBCF" w14:textId="77777777" w:rsidR="007A6928" w:rsidRPr="00A81971" w:rsidRDefault="0032495C" w:rsidP="007A6928">
            <w:pPr>
              <w:spacing w:after="0"/>
              <w:jc w:val="center"/>
              <w:rPr>
                <w:rFonts w:eastAsia="Times New Roman"/>
              </w:rPr>
            </w:pPr>
            <w:r w:rsidRPr="00A81971">
              <w:rPr>
                <w:rFonts w:eastAsia="Times New Roman"/>
              </w:rPr>
              <w:t>10% - 2030-2032</w:t>
            </w:r>
          </w:p>
        </w:tc>
      </w:tr>
      <w:tr w:rsidR="00F90461" w14:paraId="2C2E04DD" w14:textId="77777777" w:rsidTr="0013396E">
        <w:trPr>
          <w:trHeight w:val="420"/>
        </w:trPr>
        <w:tc>
          <w:tcPr>
            <w:tcW w:w="1326" w:type="pct"/>
            <w:vMerge/>
            <w:vAlign w:val="center"/>
          </w:tcPr>
          <w:p w14:paraId="7E0DBE61" w14:textId="77777777" w:rsidR="007A6928" w:rsidRPr="00A81971" w:rsidRDefault="007A6928" w:rsidP="007A6928">
            <w:pPr>
              <w:spacing w:after="0"/>
              <w:rPr>
                <w:rFonts w:eastAsia="Times New Roman"/>
              </w:rPr>
            </w:pPr>
          </w:p>
        </w:tc>
        <w:tc>
          <w:tcPr>
            <w:tcW w:w="1187" w:type="pct"/>
            <w:vAlign w:val="center"/>
          </w:tcPr>
          <w:p w14:paraId="704D7F2E" w14:textId="77777777" w:rsidR="007A6928" w:rsidRPr="00A81971" w:rsidRDefault="0032495C" w:rsidP="007A6928">
            <w:pPr>
              <w:spacing w:after="0"/>
              <w:jc w:val="center"/>
              <w:rPr>
                <w:rFonts w:eastAsia="Times New Roman"/>
              </w:rPr>
            </w:pPr>
            <w:r w:rsidRPr="00A81971">
              <w:rPr>
                <w:rFonts w:eastAsia="Times New Roman"/>
              </w:rPr>
              <w:t>II</w:t>
            </w:r>
          </w:p>
        </w:tc>
        <w:tc>
          <w:tcPr>
            <w:tcW w:w="1352" w:type="pct"/>
            <w:shd w:val="clear" w:color="auto" w:fill="E2EFD9"/>
            <w:vAlign w:val="center"/>
          </w:tcPr>
          <w:p w14:paraId="6814EFEF" w14:textId="77777777" w:rsidR="007A6928" w:rsidRPr="00A81971" w:rsidRDefault="0032495C" w:rsidP="007A6928">
            <w:pPr>
              <w:spacing w:after="0"/>
              <w:jc w:val="center"/>
              <w:rPr>
                <w:rFonts w:eastAsia="Times New Roman"/>
              </w:rPr>
            </w:pPr>
            <w:r w:rsidRPr="00A81971">
              <w:rPr>
                <w:rFonts w:eastAsia="Times New Roman"/>
              </w:rPr>
              <w:t>60% - 2030-2032</w:t>
            </w:r>
          </w:p>
          <w:p w14:paraId="06459725" w14:textId="77777777" w:rsidR="007A6928" w:rsidRPr="00A81971" w:rsidRDefault="0032495C" w:rsidP="007A6928">
            <w:pPr>
              <w:spacing w:after="0"/>
              <w:jc w:val="center"/>
              <w:rPr>
                <w:rFonts w:eastAsia="Times New Roman"/>
              </w:rPr>
            </w:pPr>
            <w:r w:rsidRPr="00A81971">
              <w:rPr>
                <w:rFonts w:eastAsia="Times New Roman"/>
              </w:rPr>
              <w:t>40% - 2033-2035</w:t>
            </w:r>
          </w:p>
        </w:tc>
        <w:tc>
          <w:tcPr>
            <w:tcW w:w="1135" w:type="pct"/>
            <w:shd w:val="clear" w:color="auto" w:fill="FFF2CC"/>
            <w:vAlign w:val="center"/>
          </w:tcPr>
          <w:p w14:paraId="36C40876" w14:textId="77777777" w:rsidR="007A6928" w:rsidRPr="00A81971" w:rsidRDefault="0032495C" w:rsidP="007A6928">
            <w:pPr>
              <w:spacing w:after="0"/>
              <w:jc w:val="center"/>
              <w:rPr>
                <w:rFonts w:eastAsia="Times New Roman"/>
              </w:rPr>
            </w:pPr>
            <w:r w:rsidRPr="00A81971">
              <w:rPr>
                <w:rFonts w:eastAsia="Times New Roman"/>
              </w:rPr>
              <w:t>60% - 2030-2032</w:t>
            </w:r>
          </w:p>
          <w:p w14:paraId="19855C2E" w14:textId="77777777" w:rsidR="007A6928" w:rsidRPr="00A81971" w:rsidRDefault="0032495C" w:rsidP="007A6928">
            <w:pPr>
              <w:spacing w:after="0"/>
              <w:jc w:val="center"/>
              <w:rPr>
                <w:rFonts w:eastAsia="Times New Roman"/>
              </w:rPr>
            </w:pPr>
            <w:r w:rsidRPr="00A81971">
              <w:rPr>
                <w:rFonts w:eastAsia="Times New Roman"/>
              </w:rPr>
              <w:t>40% - 2033-2035</w:t>
            </w:r>
          </w:p>
        </w:tc>
      </w:tr>
      <w:tr w:rsidR="00F90461" w14:paraId="1762D2A3" w14:textId="77777777" w:rsidTr="0013396E">
        <w:trPr>
          <w:trHeight w:val="390"/>
        </w:trPr>
        <w:tc>
          <w:tcPr>
            <w:tcW w:w="1326" w:type="pct"/>
            <w:vAlign w:val="center"/>
          </w:tcPr>
          <w:p w14:paraId="7C7D55F1" w14:textId="77777777" w:rsidR="007A6928" w:rsidRPr="00A81971" w:rsidRDefault="0032495C" w:rsidP="007A6928">
            <w:pPr>
              <w:spacing w:after="0"/>
              <w:rPr>
                <w:rFonts w:eastAsia="Times New Roman"/>
              </w:rPr>
            </w:pPr>
            <w:r w:rsidRPr="00A81971">
              <w:rPr>
                <w:rFonts w:eastAsia="Times New Roman"/>
              </w:rPr>
              <w:t xml:space="preserve">G1 parties with KIPs  </w:t>
            </w:r>
          </w:p>
        </w:tc>
        <w:tc>
          <w:tcPr>
            <w:tcW w:w="1187" w:type="pct"/>
            <w:vAlign w:val="center"/>
          </w:tcPr>
          <w:p w14:paraId="6F56FF93" w14:textId="77777777" w:rsidR="007A6928" w:rsidRPr="00A81971" w:rsidRDefault="0032495C" w:rsidP="007A6928">
            <w:pPr>
              <w:spacing w:after="0"/>
              <w:jc w:val="center"/>
              <w:rPr>
                <w:rFonts w:eastAsia="Times New Roman"/>
              </w:rPr>
            </w:pPr>
            <w:r w:rsidRPr="00A81971">
              <w:rPr>
                <w:rFonts w:eastAsia="Times New Roman"/>
              </w:rPr>
              <w:t>II</w:t>
            </w:r>
          </w:p>
        </w:tc>
        <w:tc>
          <w:tcPr>
            <w:tcW w:w="1352" w:type="pct"/>
            <w:shd w:val="clear" w:color="auto" w:fill="E2EFD9"/>
            <w:vAlign w:val="center"/>
          </w:tcPr>
          <w:p w14:paraId="7797A282" w14:textId="77777777" w:rsidR="007A6928" w:rsidRPr="00A81971" w:rsidRDefault="0032495C" w:rsidP="007A6928">
            <w:pPr>
              <w:spacing w:after="0"/>
              <w:jc w:val="center"/>
              <w:rPr>
                <w:rFonts w:eastAsia="Times New Roman"/>
              </w:rPr>
            </w:pPr>
            <w:r w:rsidRPr="00A81971">
              <w:rPr>
                <w:rFonts w:eastAsia="Times New Roman"/>
              </w:rPr>
              <w:t>60% - 2027-2029</w:t>
            </w:r>
          </w:p>
          <w:p w14:paraId="0F425C07" w14:textId="77777777" w:rsidR="007A6928" w:rsidRPr="00A81971" w:rsidRDefault="0032495C" w:rsidP="007A6928">
            <w:pPr>
              <w:spacing w:after="0"/>
              <w:jc w:val="center"/>
              <w:rPr>
                <w:rFonts w:eastAsia="Times New Roman"/>
              </w:rPr>
            </w:pPr>
            <w:r w:rsidRPr="00A81971">
              <w:rPr>
                <w:rFonts w:eastAsia="Times New Roman"/>
              </w:rPr>
              <w:t>40% - 2030-2032</w:t>
            </w:r>
          </w:p>
        </w:tc>
        <w:tc>
          <w:tcPr>
            <w:tcW w:w="1135" w:type="pct"/>
            <w:shd w:val="clear" w:color="auto" w:fill="FFF2CC"/>
            <w:vAlign w:val="center"/>
          </w:tcPr>
          <w:p w14:paraId="7FD12353" w14:textId="77777777" w:rsidR="007A6928" w:rsidRPr="00A81971" w:rsidRDefault="0032495C" w:rsidP="007A6928">
            <w:pPr>
              <w:spacing w:after="0"/>
              <w:jc w:val="center"/>
              <w:rPr>
                <w:rFonts w:eastAsia="Times New Roman"/>
              </w:rPr>
            </w:pPr>
            <w:r w:rsidRPr="00A81971">
              <w:rPr>
                <w:rFonts w:eastAsia="Times New Roman"/>
              </w:rPr>
              <w:t>60% - 2030-2032</w:t>
            </w:r>
          </w:p>
          <w:p w14:paraId="15451C7E" w14:textId="77777777" w:rsidR="007A6928" w:rsidRPr="00A81971" w:rsidRDefault="0032495C" w:rsidP="007A6928">
            <w:pPr>
              <w:spacing w:after="0"/>
              <w:jc w:val="center"/>
              <w:rPr>
                <w:rFonts w:eastAsia="Times New Roman"/>
              </w:rPr>
            </w:pPr>
            <w:r w:rsidRPr="00A81971">
              <w:rPr>
                <w:rFonts w:eastAsia="Times New Roman"/>
              </w:rPr>
              <w:t>40% - 2033-2035</w:t>
            </w:r>
          </w:p>
        </w:tc>
      </w:tr>
      <w:tr w:rsidR="00F90461" w14:paraId="24E17DD1" w14:textId="77777777" w:rsidTr="0013396E">
        <w:trPr>
          <w:trHeight w:val="285"/>
        </w:trPr>
        <w:tc>
          <w:tcPr>
            <w:tcW w:w="1326" w:type="pct"/>
            <w:vAlign w:val="center"/>
          </w:tcPr>
          <w:p w14:paraId="453767EB" w14:textId="77777777" w:rsidR="007A6928" w:rsidRPr="00A81971" w:rsidRDefault="0032495C" w:rsidP="007A6928">
            <w:pPr>
              <w:spacing w:after="0"/>
              <w:rPr>
                <w:rFonts w:eastAsia="Times New Roman"/>
              </w:rPr>
            </w:pPr>
            <w:r w:rsidRPr="00A81971">
              <w:rPr>
                <w:rFonts w:eastAsia="Times New Roman"/>
              </w:rPr>
              <w:t xml:space="preserve">G2 parties without KIPs  </w:t>
            </w:r>
          </w:p>
        </w:tc>
        <w:tc>
          <w:tcPr>
            <w:tcW w:w="1187" w:type="pct"/>
            <w:vAlign w:val="center"/>
          </w:tcPr>
          <w:p w14:paraId="799A7EC1" w14:textId="77777777" w:rsidR="007A6928" w:rsidRPr="00A81971" w:rsidRDefault="0032495C" w:rsidP="007A6928">
            <w:pPr>
              <w:spacing w:after="0"/>
              <w:jc w:val="center"/>
              <w:rPr>
                <w:rFonts w:eastAsia="Times New Roman"/>
              </w:rPr>
            </w:pPr>
            <w:r w:rsidRPr="00A81971">
              <w:rPr>
                <w:rFonts w:eastAsia="Times New Roman"/>
              </w:rPr>
              <w:t>I</w:t>
            </w:r>
          </w:p>
        </w:tc>
        <w:tc>
          <w:tcPr>
            <w:tcW w:w="1352" w:type="pct"/>
            <w:shd w:val="clear" w:color="auto" w:fill="E2EFD9"/>
            <w:vAlign w:val="center"/>
          </w:tcPr>
          <w:p w14:paraId="36FDB0E5" w14:textId="77777777" w:rsidR="007A6928" w:rsidRPr="00A81971" w:rsidRDefault="0032495C" w:rsidP="007A6928">
            <w:pPr>
              <w:spacing w:after="0"/>
              <w:jc w:val="center"/>
              <w:rPr>
                <w:rFonts w:eastAsia="Times New Roman"/>
              </w:rPr>
            </w:pPr>
            <w:r w:rsidRPr="00A81971">
              <w:rPr>
                <w:rFonts w:eastAsia="Times New Roman"/>
              </w:rPr>
              <w:t>60% - 2027-2029</w:t>
            </w:r>
          </w:p>
          <w:p w14:paraId="3D78018E" w14:textId="77777777" w:rsidR="007A6928" w:rsidRPr="00A81971" w:rsidRDefault="0032495C" w:rsidP="007A6928">
            <w:pPr>
              <w:spacing w:after="0"/>
              <w:jc w:val="center"/>
              <w:rPr>
                <w:rFonts w:eastAsia="Times New Roman"/>
              </w:rPr>
            </w:pPr>
            <w:r w:rsidRPr="00A81971">
              <w:rPr>
                <w:rFonts w:eastAsia="Times New Roman"/>
              </w:rPr>
              <w:t>40% - 2030-2032</w:t>
            </w:r>
          </w:p>
        </w:tc>
        <w:tc>
          <w:tcPr>
            <w:tcW w:w="1135" w:type="pct"/>
            <w:shd w:val="clear" w:color="auto" w:fill="FFF2CC"/>
            <w:vAlign w:val="center"/>
          </w:tcPr>
          <w:p w14:paraId="3FE07F8D" w14:textId="77777777" w:rsidR="007A6928" w:rsidRPr="00A81971" w:rsidRDefault="0032495C" w:rsidP="007A6928">
            <w:pPr>
              <w:spacing w:after="0"/>
              <w:jc w:val="center"/>
              <w:rPr>
                <w:rFonts w:eastAsia="Times New Roman"/>
              </w:rPr>
            </w:pPr>
            <w:r w:rsidRPr="00A81971">
              <w:rPr>
                <w:rFonts w:eastAsia="Times New Roman"/>
              </w:rPr>
              <w:t>90% - 2030-2032</w:t>
            </w:r>
          </w:p>
          <w:p w14:paraId="228A0B55" w14:textId="77777777" w:rsidR="007A6928" w:rsidRPr="00A81971" w:rsidRDefault="0032495C" w:rsidP="007A6928">
            <w:pPr>
              <w:spacing w:after="0"/>
              <w:jc w:val="center"/>
              <w:rPr>
                <w:rFonts w:eastAsia="Times New Roman"/>
              </w:rPr>
            </w:pPr>
            <w:r w:rsidRPr="00A81971">
              <w:rPr>
                <w:rFonts w:eastAsia="Times New Roman"/>
              </w:rPr>
              <w:t>10% - 2033-2035</w:t>
            </w:r>
          </w:p>
        </w:tc>
      </w:tr>
    </w:tbl>
    <w:p w14:paraId="79A48EC4" w14:textId="77777777" w:rsidR="007A6928" w:rsidRPr="00A81971" w:rsidRDefault="007A6928" w:rsidP="007A6928">
      <w:pPr>
        <w:spacing w:after="0"/>
        <w:rPr>
          <w:rFonts w:eastAsia="Times New Roman"/>
          <w:sz w:val="24"/>
          <w:szCs w:val="24"/>
        </w:rPr>
      </w:pPr>
    </w:p>
    <w:p w14:paraId="3905FF39" w14:textId="77777777" w:rsidR="007A6928" w:rsidRPr="00A81971" w:rsidRDefault="0032495C" w:rsidP="007A6928">
      <w:pPr>
        <w:spacing w:after="0"/>
        <w:rPr>
          <w:rFonts w:eastAsia="Times New Roman"/>
        </w:rPr>
      </w:pPr>
      <w:r w:rsidRPr="00A81971">
        <w:rPr>
          <w:rFonts w:eastAsia="Times New Roman"/>
        </w:rPr>
        <w:t xml:space="preserve">As explained in the RTF May Report, the two suggested resource allocation schedules differ in the percentage of the KIP funding to be allocated to each different triennium. For instance, for G1 and G2 parties </w:t>
      </w:r>
      <w:r w:rsidRPr="00A81971">
        <w:rPr>
          <w:rFonts w:eastAsia="Times New Roman"/>
          <w:u w:val="single"/>
        </w:rPr>
        <w:t>without KIPs,</w:t>
      </w:r>
      <w:r w:rsidRPr="00A81971">
        <w:rPr>
          <w:rFonts w:eastAsia="Times New Roman"/>
        </w:rPr>
        <w:t xml:space="preserve"> the schedule A for funding Stage I is faster, while schedules A and B are the same for funding Stage II for G1 parties without KIPs. For G1 parties </w:t>
      </w:r>
      <w:r w:rsidRPr="00A81971">
        <w:rPr>
          <w:rFonts w:eastAsia="Times New Roman"/>
          <w:u w:val="single"/>
        </w:rPr>
        <w:t xml:space="preserve">with </w:t>
      </w:r>
      <w:r w:rsidRPr="00A81971">
        <w:rPr>
          <w:rFonts w:eastAsia="Times New Roman"/>
        </w:rPr>
        <w:t>KIPs Stage I, schedule A proposes faster funding for Stage II.</w:t>
      </w:r>
    </w:p>
    <w:p w14:paraId="361CF7AA" w14:textId="77777777" w:rsidR="00000152" w:rsidRPr="00A81971" w:rsidRDefault="00000152" w:rsidP="007A6928">
      <w:pPr>
        <w:spacing w:after="0"/>
        <w:rPr>
          <w:rFonts w:eastAsia="Times New Roman"/>
        </w:rPr>
      </w:pPr>
    </w:p>
    <w:p w14:paraId="1055F2F4" w14:textId="77777777" w:rsidR="007A6928" w:rsidRPr="00A81971" w:rsidRDefault="0032495C" w:rsidP="1E375DFC">
      <w:pPr>
        <w:spacing w:after="0"/>
        <w:rPr>
          <w:rFonts w:eastAsia="Times New Roman"/>
          <w:color w:val="000000" w:themeColor="text1"/>
        </w:rPr>
      </w:pPr>
      <w:r w:rsidRPr="00A81971">
        <w:rPr>
          <w:rFonts w:eastAsia="Times New Roman"/>
        </w:rPr>
        <w:t>The e</w:t>
      </w:r>
      <w:r w:rsidRPr="00A81971">
        <w:rPr>
          <w:rFonts w:eastAsia="Times New Roman"/>
          <w:color w:val="000000" w:themeColor="text1"/>
        </w:rPr>
        <w:t xml:space="preserve">stimated funding results for </w:t>
      </w:r>
      <w:r w:rsidRPr="00A81971">
        <w:rPr>
          <w:rFonts w:eastAsia="Times New Roman"/>
          <w:b/>
          <w:bCs/>
          <w:color w:val="000000" w:themeColor="text1"/>
        </w:rPr>
        <w:t>Scenario 1a for KIPs</w:t>
      </w:r>
      <w:r w:rsidRPr="00A81971">
        <w:rPr>
          <w:rFonts w:eastAsia="Times New Roman"/>
          <w:color w:val="000000" w:themeColor="text1"/>
        </w:rPr>
        <w:t xml:space="preserve"> are presented in Tables 3.1</w:t>
      </w:r>
      <w:r w:rsidR="00444BCC">
        <w:rPr>
          <w:rFonts w:eastAsia="Times New Roman"/>
          <w:color w:val="000000" w:themeColor="text1"/>
        </w:rPr>
        <w:t>4</w:t>
      </w:r>
      <w:r w:rsidRPr="00A81971">
        <w:rPr>
          <w:rFonts w:eastAsia="Times New Roman"/>
          <w:color w:val="000000" w:themeColor="text1"/>
        </w:rPr>
        <w:t xml:space="preserve"> and 3.1</w:t>
      </w:r>
      <w:r w:rsidR="00444BCC">
        <w:rPr>
          <w:rFonts w:eastAsia="Times New Roman"/>
          <w:color w:val="000000" w:themeColor="text1"/>
        </w:rPr>
        <w:t>5</w:t>
      </w:r>
      <w:r w:rsidRPr="00A81971">
        <w:rPr>
          <w:rFonts w:eastAsia="Times New Roman"/>
          <w:color w:val="000000" w:themeColor="text1"/>
        </w:rPr>
        <w:t xml:space="preserve"> for Resource Allocation Schedule A and B respectively.</w:t>
      </w:r>
    </w:p>
    <w:p w14:paraId="4C5624FA" w14:textId="77777777" w:rsidR="007A6928" w:rsidRPr="00A81971" w:rsidRDefault="007A6928" w:rsidP="34B0439A">
      <w:pPr>
        <w:spacing w:after="0"/>
        <w:rPr>
          <w:rFonts w:eastAsia="Times New Roman"/>
          <w:color w:val="000000"/>
        </w:rPr>
      </w:pPr>
    </w:p>
    <w:p w14:paraId="1FD5565A" w14:textId="77777777" w:rsidR="009005D1" w:rsidRDefault="0032495C">
      <w:pPr>
        <w:spacing w:after="0"/>
        <w:rPr>
          <w:rFonts w:eastAsia="Yu Mincho"/>
          <w:b/>
          <w:bCs/>
          <w:color w:val="000000"/>
          <w:lang w:val="en-CA"/>
        </w:rPr>
      </w:pPr>
      <w:r>
        <w:rPr>
          <w:rFonts w:eastAsia="Yu Mincho"/>
          <w:b/>
          <w:bCs/>
          <w:color w:val="000000"/>
          <w:lang w:val="en-CA"/>
        </w:rPr>
        <w:br w:type="page"/>
      </w:r>
    </w:p>
    <w:p w14:paraId="565E71C4" w14:textId="77777777" w:rsidR="005C237D" w:rsidRDefault="005C237D" w:rsidP="00274EF8">
      <w:pPr>
        <w:tabs>
          <w:tab w:val="left" w:pos="0"/>
          <w:tab w:val="left" w:pos="1276"/>
        </w:tabs>
        <w:spacing w:after="120"/>
        <w:ind w:left="1282" w:hanging="1282"/>
        <w:rPr>
          <w:rFonts w:eastAsia="Yu Mincho"/>
          <w:b/>
          <w:bCs/>
          <w:color w:val="000000"/>
          <w:lang w:val="en-CA"/>
        </w:rPr>
        <w:sectPr w:rsidR="005C237D" w:rsidSect="00B2247A">
          <w:pgSz w:w="11906" w:h="16838" w:code="9"/>
          <w:pgMar w:top="1411" w:right="1411" w:bottom="1411" w:left="1411" w:header="706" w:footer="706" w:gutter="0"/>
          <w:cols w:space="708"/>
          <w:docGrid w:linePitch="360"/>
        </w:sectPr>
      </w:pPr>
    </w:p>
    <w:p w14:paraId="003F5974" w14:textId="77777777" w:rsidR="009005D1" w:rsidRDefault="0032495C" w:rsidP="00274EF8">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lastRenderedPageBreak/>
        <w:t xml:space="preserve">Table </w:t>
      </w:r>
      <w:r>
        <w:rPr>
          <w:rFonts w:eastAsia="Yu Mincho"/>
          <w:b/>
          <w:bCs/>
          <w:color w:val="000000"/>
          <w:lang w:val="en-CA"/>
        </w:rPr>
        <w:t>3.1</w:t>
      </w:r>
      <w:r w:rsidR="00444BCC">
        <w:rPr>
          <w:rFonts w:eastAsia="Yu Mincho"/>
          <w:b/>
          <w:bCs/>
          <w:color w:val="000000"/>
          <w:lang w:val="en-CA"/>
        </w:rPr>
        <w:t>4</w:t>
      </w:r>
      <w:r>
        <w:rPr>
          <w:rFonts w:eastAsia="Yu Mincho"/>
          <w:b/>
          <w:bCs/>
          <w:color w:val="000000"/>
          <w:lang w:val="en-CA"/>
        </w:rPr>
        <w:t>:</w:t>
      </w:r>
      <w:r w:rsidRPr="0006445E">
        <w:rPr>
          <w:rFonts w:eastAsia="Times New Roman"/>
          <w:color w:val="000000"/>
          <w:lang w:val="en-CA"/>
        </w:rPr>
        <w:tab/>
      </w:r>
      <w:r w:rsidRPr="00A81971">
        <w:rPr>
          <w:rFonts w:eastAsia="Times New Roman"/>
          <w:b/>
          <w:bCs/>
          <w:color w:val="000000" w:themeColor="text1"/>
        </w:rPr>
        <w:t>Estimated Funding for Scenario 1a for KIPs: Historical CE using Resource Allocation Schedule</w:t>
      </w:r>
      <w:r w:rsidR="0032568B">
        <w:rPr>
          <w:rFonts w:eastAsia="Times New Roman"/>
          <w:b/>
          <w:bCs/>
          <w:color w:val="000000" w:themeColor="text1"/>
        </w:rPr>
        <w:t xml:space="preserve"> A*</w:t>
      </w:r>
    </w:p>
    <w:p w14:paraId="1957642D" w14:textId="77777777" w:rsidR="009005D1" w:rsidRDefault="0032495C" w:rsidP="00274EF8">
      <w:pPr>
        <w:tabs>
          <w:tab w:val="left" w:pos="0"/>
          <w:tab w:val="left" w:pos="1276"/>
        </w:tabs>
        <w:spacing w:after="120"/>
        <w:ind w:left="1282" w:hanging="1282"/>
        <w:rPr>
          <w:rFonts w:eastAsia="Times New Roman"/>
          <w:color w:val="000000" w:themeColor="text1"/>
          <w:sz w:val="18"/>
          <w:szCs w:val="18"/>
        </w:rPr>
      </w:pPr>
      <w:r>
        <w:rPr>
          <w:rFonts w:eastAsia="Times New Roman"/>
          <w:noProof/>
          <w:color w:val="000000" w:themeColor="text1"/>
          <w:sz w:val="18"/>
          <w:szCs w:val="18"/>
        </w:rPr>
        <w:drawing>
          <wp:inline distT="0" distB="0" distL="0" distR="0" wp14:anchorId="29B86C9F" wp14:editId="232BCF61">
            <wp:extent cx="8790587" cy="4276725"/>
            <wp:effectExtent l="0" t="0" r="0" b="0"/>
            <wp:docPr id="54008041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80418" name="Picture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814328" cy="4288275"/>
                    </a:xfrm>
                    <a:prstGeom prst="rect">
                      <a:avLst/>
                    </a:prstGeom>
                    <a:noFill/>
                  </pic:spPr>
                </pic:pic>
              </a:graphicData>
            </a:graphic>
          </wp:inline>
        </w:drawing>
      </w:r>
    </w:p>
    <w:p w14:paraId="48AACC32" w14:textId="77777777" w:rsidR="007A6928" w:rsidRPr="009005D1" w:rsidRDefault="0032495C" w:rsidP="00274EF8">
      <w:pPr>
        <w:tabs>
          <w:tab w:val="left" w:pos="0"/>
          <w:tab w:val="left" w:pos="1276"/>
        </w:tabs>
        <w:spacing w:after="120"/>
        <w:ind w:left="1282" w:hanging="1282"/>
        <w:rPr>
          <w:rFonts w:eastAsia="Times New Roman"/>
          <w:color w:val="000000"/>
          <w:sz w:val="18"/>
          <w:szCs w:val="18"/>
        </w:rPr>
      </w:pPr>
      <w:r w:rsidRPr="009005D1">
        <w:rPr>
          <w:rFonts w:eastAsia="Times New Roman"/>
          <w:color w:val="000000" w:themeColor="text1"/>
          <w:sz w:val="18"/>
          <w:szCs w:val="18"/>
        </w:rPr>
        <w:t>*Includes PMUs. CEs historical applied to “updated Scenario 1” funding estimates, and same Resource Allocation Schedule</w:t>
      </w:r>
      <w:r w:rsidR="009005D1">
        <w:rPr>
          <w:rFonts w:eastAsia="Times New Roman"/>
          <w:color w:val="000000" w:themeColor="text1"/>
          <w:sz w:val="18"/>
          <w:szCs w:val="18"/>
        </w:rPr>
        <w:t xml:space="preserve"> </w:t>
      </w:r>
      <w:r w:rsidRPr="009005D1">
        <w:rPr>
          <w:rFonts w:eastAsia="Times New Roman"/>
          <w:color w:val="000000" w:themeColor="text1"/>
          <w:sz w:val="18"/>
          <w:szCs w:val="18"/>
        </w:rPr>
        <w:t>A as May Report</w:t>
      </w:r>
    </w:p>
    <w:p w14:paraId="5B6864B3" w14:textId="77777777" w:rsidR="007A6928" w:rsidRDefault="0032495C" w:rsidP="007A6928">
      <w:pPr>
        <w:spacing w:after="0"/>
        <w:rPr>
          <w:rFonts w:eastAsia="Calibri"/>
          <w:color w:val="000000"/>
        </w:rPr>
      </w:pPr>
      <w:r w:rsidRPr="00A81971">
        <w:rPr>
          <w:rFonts w:eastAsia="Calibri"/>
          <w:color w:val="000000"/>
        </w:rPr>
        <w:t xml:space="preserve"> </w:t>
      </w:r>
    </w:p>
    <w:p w14:paraId="4EEBFE78" w14:textId="77777777" w:rsidR="0032568B" w:rsidRDefault="0032568B" w:rsidP="007A6928">
      <w:pPr>
        <w:spacing w:after="0"/>
        <w:rPr>
          <w:rFonts w:eastAsia="Calibri"/>
          <w:color w:val="000000"/>
        </w:rPr>
      </w:pPr>
    </w:p>
    <w:p w14:paraId="4E8E1A75" w14:textId="77777777" w:rsidR="0032568B" w:rsidRDefault="0032568B" w:rsidP="007A6928">
      <w:pPr>
        <w:spacing w:after="0"/>
        <w:rPr>
          <w:rFonts w:eastAsia="Calibri"/>
          <w:color w:val="000000"/>
        </w:rPr>
      </w:pPr>
    </w:p>
    <w:p w14:paraId="3C99E4AE" w14:textId="77777777" w:rsidR="0032568B" w:rsidRDefault="0032568B" w:rsidP="007A6928">
      <w:pPr>
        <w:spacing w:after="0"/>
        <w:rPr>
          <w:rFonts w:eastAsia="Calibri"/>
          <w:color w:val="000000"/>
        </w:rPr>
      </w:pPr>
    </w:p>
    <w:p w14:paraId="76E6A972" w14:textId="77777777" w:rsidR="0032568B" w:rsidRDefault="0032568B" w:rsidP="007A6928">
      <w:pPr>
        <w:spacing w:after="0"/>
        <w:rPr>
          <w:rFonts w:eastAsia="Calibri"/>
          <w:color w:val="000000"/>
        </w:rPr>
      </w:pPr>
    </w:p>
    <w:p w14:paraId="09FF6A23" w14:textId="77777777" w:rsidR="0032568B" w:rsidRDefault="0032568B" w:rsidP="007A6928">
      <w:pPr>
        <w:spacing w:after="0"/>
        <w:rPr>
          <w:rFonts w:eastAsia="Calibri"/>
          <w:color w:val="000000"/>
        </w:rPr>
      </w:pPr>
    </w:p>
    <w:p w14:paraId="26976D99" w14:textId="77777777" w:rsidR="0032568B" w:rsidRPr="00A81971" w:rsidRDefault="0032568B" w:rsidP="007A6928">
      <w:pPr>
        <w:spacing w:after="0"/>
        <w:rPr>
          <w:rFonts w:eastAsia="Times New Roman"/>
          <w:b/>
          <w:bCs/>
          <w:color w:val="000000"/>
        </w:rPr>
      </w:pPr>
    </w:p>
    <w:p w14:paraId="1A5458DB" w14:textId="77777777" w:rsidR="007A6928" w:rsidRPr="00A81971" w:rsidRDefault="0032495C" w:rsidP="009005D1">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t xml:space="preserve">Table </w:t>
      </w:r>
      <w:r>
        <w:rPr>
          <w:rFonts w:eastAsia="Yu Mincho"/>
          <w:b/>
          <w:bCs/>
          <w:color w:val="000000"/>
          <w:lang w:val="en-CA"/>
        </w:rPr>
        <w:t>3.1</w:t>
      </w:r>
      <w:r w:rsidR="00444BCC">
        <w:rPr>
          <w:rFonts w:eastAsia="Yu Mincho"/>
          <w:b/>
          <w:bCs/>
          <w:color w:val="000000"/>
          <w:lang w:val="en-CA"/>
        </w:rPr>
        <w:t>5</w:t>
      </w:r>
      <w:r>
        <w:rPr>
          <w:rFonts w:eastAsia="Yu Mincho"/>
          <w:b/>
          <w:bCs/>
          <w:color w:val="000000"/>
          <w:lang w:val="en-CA"/>
        </w:rPr>
        <w:t>:</w:t>
      </w:r>
      <w:r w:rsidRPr="0006445E">
        <w:rPr>
          <w:rFonts w:eastAsia="Times New Roman"/>
          <w:color w:val="000000"/>
          <w:lang w:val="en-CA"/>
        </w:rPr>
        <w:tab/>
      </w:r>
      <w:r w:rsidRPr="00A81971">
        <w:rPr>
          <w:rFonts w:eastAsia="Times New Roman"/>
          <w:b/>
          <w:bCs/>
          <w:color w:val="000000" w:themeColor="text1"/>
        </w:rPr>
        <w:t>Estimated Funding for Scenario 1a for KIPs: Historical CE using Resource Allocation Schedule B*</w:t>
      </w:r>
      <w:r w:rsidR="1E375DFC" w:rsidRPr="00A81971">
        <w:rPr>
          <w:rFonts w:eastAsia="Times New Roman"/>
          <w:b/>
          <w:bCs/>
          <w:color w:val="000000" w:themeColor="text1"/>
        </w:rPr>
        <w:t xml:space="preserve"> </w:t>
      </w:r>
    </w:p>
    <w:p w14:paraId="30E18DF8" w14:textId="77777777" w:rsidR="00DE5911" w:rsidRDefault="0032495C" w:rsidP="28A930F7">
      <w:pPr>
        <w:keepNext/>
        <w:spacing w:before="240" w:after="240" w:line="240" w:lineRule="atLeast"/>
        <w:ind w:left="720" w:hanging="720"/>
        <w:outlineLvl w:val="2"/>
        <w:rPr>
          <w:rFonts w:eastAsia="Times New Roman"/>
          <w:color w:val="000000" w:themeColor="text1"/>
          <w:sz w:val="20"/>
          <w:szCs w:val="20"/>
        </w:rPr>
      </w:pPr>
      <w:r w:rsidRPr="00A81971">
        <w:rPr>
          <w:noProof/>
        </w:rPr>
        <w:drawing>
          <wp:inline distT="0" distB="0" distL="0" distR="0" wp14:anchorId="62BF77E1" wp14:editId="6666E30E">
            <wp:extent cx="8760460" cy="3705225"/>
            <wp:effectExtent l="0" t="0" r="2540" b="9525"/>
            <wp:docPr id="1931613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13228" name="Picture 1931613228"/>
                    <pic:cNvPicPr/>
                  </pic:nvPicPr>
                  <pic:blipFill>
                    <a:blip r:embed="rId27">
                      <a:extLst>
                        <a:ext uri="{28A0092B-C50C-407E-A947-70E740481C1C}">
                          <a14:useLocalDpi xmlns:a14="http://schemas.microsoft.com/office/drawing/2010/main" val="0"/>
                        </a:ext>
                      </a:extLst>
                    </a:blip>
                    <a:stretch>
                      <a:fillRect/>
                    </a:stretch>
                  </pic:blipFill>
                  <pic:spPr>
                    <a:xfrm>
                      <a:off x="0" y="0"/>
                      <a:ext cx="8813450" cy="3727637"/>
                    </a:xfrm>
                    <a:prstGeom prst="rect">
                      <a:avLst/>
                    </a:prstGeom>
                  </pic:spPr>
                </pic:pic>
              </a:graphicData>
            </a:graphic>
          </wp:inline>
        </w:drawing>
      </w:r>
    </w:p>
    <w:p w14:paraId="581036B6" w14:textId="77777777" w:rsidR="007A6928" w:rsidRPr="00A81971" w:rsidRDefault="0032495C" w:rsidP="28A930F7">
      <w:pPr>
        <w:keepNext/>
        <w:spacing w:before="240" w:after="240" w:line="240" w:lineRule="atLeast"/>
        <w:ind w:left="720" w:hanging="720"/>
        <w:outlineLvl w:val="2"/>
        <w:rPr>
          <w:rFonts w:eastAsia="Times New Roman"/>
          <w:color w:val="000000"/>
          <w:sz w:val="20"/>
          <w:szCs w:val="20"/>
        </w:rPr>
      </w:pPr>
      <w:r w:rsidRPr="00A81971">
        <w:rPr>
          <w:rFonts w:eastAsia="Times New Roman"/>
          <w:color w:val="000000" w:themeColor="text1"/>
          <w:sz w:val="20"/>
          <w:szCs w:val="20"/>
        </w:rPr>
        <w:t>*Includes PMUs. CEs historical applied to “updated Scenario 1” funding estimates, and same Resource Allocation Schedule B as May Report</w:t>
      </w:r>
    </w:p>
    <w:p w14:paraId="010FD93C" w14:textId="77777777" w:rsidR="007A6928" w:rsidRPr="00A81971" w:rsidRDefault="007A6928" w:rsidP="007A6928">
      <w:pPr>
        <w:spacing w:after="0"/>
        <w:rPr>
          <w:rFonts w:eastAsia="Times New Roman"/>
          <w:color w:val="000000"/>
          <w:sz w:val="20"/>
          <w:szCs w:val="20"/>
        </w:rPr>
      </w:pPr>
    </w:p>
    <w:p w14:paraId="580D829A" w14:textId="77777777" w:rsidR="00DE5911" w:rsidRDefault="0032495C">
      <w:pPr>
        <w:spacing w:after="0"/>
        <w:rPr>
          <w:rFonts w:eastAsia="Times New Roman"/>
        </w:rPr>
      </w:pPr>
      <w:r>
        <w:rPr>
          <w:rFonts w:eastAsia="Times New Roman"/>
        </w:rPr>
        <w:br w:type="page"/>
      </w:r>
    </w:p>
    <w:p w14:paraId="19582371" w14:textId="77777777" w:rsidR="00DE5911" w:rsidRDefault="00DE5911" w:rsidP="007A6928">
      <w:pPr>
        <w:tabs>
          <w:tab w:val="left" w:pos="2281"/>
        </w:tabs>
        <w:spacing w:after="0"/>
        <w:rPr>
          <w:rFonts w:eastAsia="Times New Roman"/>
        </w:rPr>
        <w:sectPr w:rsidR="00DE5911" w:rsidSect="005C237D">
          <w:pgSz w:w="16838" w:h="11906" w:orient="landscape" w:code="9"/>
          <w:pgMar w:top="1411" w:right="1411" w:bottom="1411" w:left="1411" w:header="706" w:footer="706" w:gutter="0"/>
          <w:cols w:space="708"/>
          <w:docGrid w:linePitch="360"/>
        </w:sectPr>
      </w:pPr>
    </w:p>
    <w:p w14:paraId="65546EA8" w14:textId="77777777" w:rsidR="007A6928" w:rsidRPr="00A81971" w:rsidRDefault="0032495C" w:rsidP="007A6928">
      <w:pPr>
        <w:tabs>
          <w:tab w:val="left" w:pos="2281"/>
        </w:tabs>
        <w:spacing w:after="0"/>
        <w:rPr>
          <w:rFonts w:eastAsia="Times New Roman"/>
        </w:rPr>
      </w:pPr>
      <w:r w:rsidRPr="00A81971">
        <w:rPr>
          <w:rFonts w:eastAsia="Times New Roman"/>
        </w:rPr>
        <w:lastRenderedPageBreak/>
        <w:t xml:space="preserve">The new estimates for all </w:t>
      </w:r>
      <w:r w:rsidRPr="00491BBE">
        <w:rPr>
          <w:rFonts w:eastAsia="Times New Roman"/>
        </w:rPr>
        <w:t>HFCs Activities applying new OEWG-48 scenario 1a, with Resource Allocations A and B, are in Table 3.1</w:t>
      </w:r>
      <w:r w:rsidR="00444BCC">
        <w:rPr>
          <w:rFonts w:eastAsia="Times New Roman"/>
        </w:rPr>
        <w:t>6</w:t>
      </w:r>
      <w:r w:rsidRPr="00491BBE">
        <w:rPr>
          <w:rFonts w:eastAsia="Times New Roman"/>
        </w:rPr>
        <w:t xml:space="preserve"> below</w:t>
      </w:r>
      <w:r w:rsidRPr="00A81971">
        <w:rPr>
          <w:rFonts w:eastAsia="Times New Roman"/>
        </w:rPr>
        <w:t>. To clarify and better explain final funding figures, RTF detailed the breakdown of the calculations.</w:t>
      </w:r>
    </w:p>
    <w:p w14:paraId="7325FD3E" w14:textId="77777777" w:rsidR="007A6928" w:rsidRPr="00A81971" w:rsidRDefault="007A6928" w:rsidP="007A6928">
      <w:pPr>
        <w:tabs>
          <w:tab w:val="left" w:pos="2281"/>
        </w:tabs>
        <w:spacing w:after="0"/>
        <w:rPr>
          <w:rFonts w:eastAsia="Times New Roman"/>
          <w:b/>
          <w:bCs/>
        </w:rPr>
      </w:pPr>
    </w:p>
    <w:p w14:paraId="1371280A" w14:textId="77777777" w:rsidR="007A6928" w:rsidRPr="00A81971" w:rsidRDefault="0032495C" w:rsidP="00491BBE">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3.1</w:t>
      </w:r>
      <w:r w:rsidR="00444BCC">
        <w:rPr>
          <w:rFonts w:eastAsia="Yu Mincho"/>
          <w:b/>
          <w:bCs/>
          <w:color w:val="000000"/>
          <w:lang w:val="en-CA"/>
        </w:rPr>
        <w:t>6</w:t>
      </w:r>
      <w:r>
        <w:rPr>
          <w:rFonts w:eastAsia="Yu Mincho"/>
          <w:b/>
          <w:bCs/>
          <w:color w:val="000000"/>
          <w:lang w:val="en-CA"/>
        </w:rPr>
        <w:t>:</w:t>
      </w:r>
      <w:r w:rsidRPr="0006445E">
        <w:rPr>
          <w:rFonts w:eastAsia="Times New Roman"/>
          <w:color w:val="000000"/>
          <w:lang w:val="en-CA"/>
        </w:rPr>
        <w:tab/>
      </w:r>
      <w:r w:rsidRPr="00A81971">
        <w:rPr>
          <w:rFonts w:eastAsia="Times New Roman"/>
          <w:b/>
          <w:bCs/>
        </w:rPr>
        <w:t>Breakdown of Funding Calculations and Impact on Funding Estimates for New Scenario 1a. with Resource Allocations A and B (US$ million)</w:t>
      </w:r>
      <w:r w:rsidR="1E375DFC" w:rsidRPr="00A81971">
        <w:rPr>
          <w:rFonts w:eastAsia="Times New Roman"/>
          <w:b/>
          <w:bCs/>
        </w:rPr>
        <w:t xml:space="preserve"> </w:t>
      </w:r>
    </w:p>
    <w:p w14:paraId="7719CC7D" w14:textId="77777777" w:rsidR="007A6928" w:rsidRPr="00A81971" w:rsidRDefault="007A6928" w:rsidP="007A6928">
      <w:pPr>
        <w:tabs>
          <w:tab w:val="left" w:pos="2281"/>
        </w:tabs>
        <w:spacing w:after="0"/>
        <w:rPr>
          <w:rFonts w:eastAsia="Times New Roman"/>
        </w:rPr>
      </w:pPr>
    </w:p>
    <w:tbl>
      <w:tblPr>
        <w:tblW w:w="9497"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665"/>
        <w:gridCol w:w="1666"/>
        <w:gridCol w:w="1665"/>
        <w:gridCol w:w="1666"/>
      </w:tblGrid>
      <w:tr w:rsidR="00F90461" w14:paraId="60F804C9" w14:textId="77777777" w:rsidTr="00FE5C31">
        <w:trPr>
          <w:trHeight w:val="285"/>
        </w:trPr>
        <w:tc>
          <w:tcPr>
            <w:tcW w:w="2835"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6DE018A4" w14:textId="77777777" w:rsidR="007A6928" w:rsidRPr="00A81971" w:rsidRDefault="0032495C" w:rsidP="00FE5C31">
            <w:pP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rPr>
              <w:t>HFCs Consumption and Production Sector Activities for Low-End Scenario 1 Allocation Schedules A and B</w:t>
            </w:r>
          </w:p>
        </w:tc>
        <w:tc>
          <w:tcPr>
            <w:tcW w:w="1665"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491E31EE"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Updated RTF May Report Scenario1</w:t>
            </w:r>
          </w:p>
          <w:p w14:paraId="266E5619"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2027-2029</w:t>
            </w:r>
          </w:p>
          <w:p w14:paraId="71E9C05D"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Resource Allocation A</w:t>
            </w:r>
          </w:p>
        </w:tc>
        <w:tc>
          <w:tcPr>
            <w:tcW w:w="1666"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2F85B456"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New Scenario 1a.</w:t>
            </w:r>
          </w:p>
          <w:p w14:paraId="37640728"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(Using CE Historical)</w:t>
            </w:r>
          </w:p>
          <w:p w14:paraId="1373610D" w14:textId="77777777" w:rsidR="007A6928" w:rsidRPr="00A81971" w:rsidRDefault="0032495C" w:rsidP="006766FE">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u w:val="single"/>
              </w:rPr>
              <w:t>Resource Allocation A</w:t>
            </w:r>
          </w:p>
        </w:tc>
        <w:tc>
          <w:tcPr>
            <w:tcW w:w="1665"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4C5EE931"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Updated RTF May Report Scenario1</w:t>
            </w:r>
          </w:p>
          <w:p w14:paraId="7024E2DA"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2027-2029</w:t>
            </w:r>
          </w:p>
          <w:p w14:paraId="521FAE2B" w14:textId="77777777" w:rsidR="007A6928" w:rsidRPr="00A81971" w:rsidRDefault="0032495C" w:rsidP="006766FE">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Resource Allocation B</w:t>
            </w:r>
          </w:p>
        </w:tc>
        <w:tc>
          <w:tcPr>
            <w:tcW w:w="1666"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246993E5"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New Scenario 1a.</w:t>
            </w:r>
          </w:p>
          <w:p w14:paraId="015B7DBB"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(Using CE Historical)</w:t>
            </w:r>
          </w:p>
          <w:p w14:paraId="2DF311A0"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u w:val="single"/>
              </w:rPr>
              <w:t>Resource Allocation B</w:t>
            </w:r>
          </w:p>
        </w:tc>
      </w:tr>
      <w:tr w:rsidR="00F90461" w14:paraId="43A51F4D" w14:textId="77777777" w:rsidTr="00771B67">
        <w:trPr>
          <w:trHeight w:val="479"/>
        </w:trPr>
        <w:tc>
          <w:tcPr>
            <w:tcW w:w="28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5DC7A4F" w14:textId="77777777" w:rsidR="007A6928" w:rsidRPr="00A81971" w:rsidRDefault="0032495C" w:rsidP="00783A7D">
            <w:pP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 xml:space="preserve">HFC Activities </w:t>
            </w:r>
            <w:r w:rsidRPr="00A81971">
              <w:rPr>
                <w:rFonts w:ascii="Times New Roman Bold" w:eastAsia="Times New Roman Bold" w:hAnsi="Times New Roman Bold" w:cs="Times New Roman Bold"/>
                <w:b/>
                <w:bCs/>
                <w:color w:val="000000" w:themeColor="text1"/>
                <w:u w:val="single"/>
              </w:rPr>
              <w:t>without</w:t>
            </w:r>
            <w:r w:rsidRPr="00A81971">
              <w:rPr>
                <w:rFonts w:ascii="Times New Roman Bold" w:eastAsia="Times New Roman Bold" w:hAnsi="Times New Roman Bold" w:cs="Times New Roman Bold"/>
                <w:b/>
                <w:bCs/>
                <w:color w:val="000000" w:themeColor="text1"/>
              </w:rPr>
              <w:t xml:space="preserve"> PRP/VER/EE/ATM</w:t>
            </w:r>
            <w:r w:rsidRPr="00A81971">
              <w:rPr>
                <w:rFonts w:ascii="Times New Roman Bold" w:eastAsia="Times New Roman Bold" w:hAnsi="Times New Roman Bold" w:cs="Times New Roman Bold"/>
                <w:color w:val="000000" w:themeColor="text1"/>
              </w:rPr>
              <w:t> </w:t>
            </w:r>
          </w:p>
        </w:tc>
        <w:tc>
          <w:tcPr>
            <w:tcW w:w="1665"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hideMark/>
          </w:tcPr>
          <w:p w14:paraId="164CFE6C"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864.55</w:t>
            </w:r>
          </w:p>
        </w:tc>
        <w:tc>
          <w:tcPr>
            <w:tcW w:w="1666"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22C920EB"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799.30</w:t>
            </w:r>
          </w:p>
          <w:p w14:paraId="1900AD3E"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(864.55-65.2)</w:t>
            </w:r>
          </w:p>
        </w:tc>
        <w:tc>
          <w:tcPr>
            <w:tcW w:w="1665"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4A02DD25"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rPr>
              <w:t>566.2</w:t>
            </w:r>
          </w:p>
        </w:tc>
        <w:tc>
          <w:tcPr>
            <w:tcW w:w="166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6AEAA211"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528.10</w:t>
            </w:r>
          </w:p>
          <w:p w14:paraId="465846E8"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(566.2- 38)</w:t>
            </w:r>
          </w:p>
        </w:tc>
      </w:tr>
      <w:tr w:rsidR="00F90461" w14:paraId="6B64A943" w14:textId="77777777" w:rsidTr="00771B67">
        <w:trPr>
          <w:trHeight w:val="151"/>
        </w:trPr>
        <w:tc>
          <w:tcPr>
            <w:tcW w:w="28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0AEB1D4" w14:textId="77777777" w:rsidR="007A6928" w:rsidRPr="00A81971" w:rsidRDefault="0032495C" w:rsidP="00783A7D">
            <w:pP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PRP/VER/EE /ATM</w:t>
            </w:r>
          </w:p>
        </w:tc>
        <w:tc>
          <w:tcPr>
            <w:tcW w:w="1665"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hideMark/>
          </w:tcPr>
          <w:p w14:paraId="38E8D839"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93.43</w:t>
            </w:r>
          </w:p>
          <w:p w14:paraId="57BBE41D" w14:textId="77777777" w:rsidR="007A6928" w:rsidRPr="00A81971" w:rsidRDefault="007A6928" w:rsidP="00771B67">
            <w:pPr>
              <w:jc w:val="center"/>
              <w:textAlignment w:val="baseline"/>
              <w:rPr>
                <w:rFonts w:ascii="Times New Roman Bold" w:eastAsia="Times New Roman Bold" w:hAnsi="Times New Roman Bold" w:cs="Times New Roman Bold"/>
              </w:rPr>
            </w:pPr>
          </w:p>
        </w:tc>
        <w:tc>
          <w:tcPr>
            <w:tcW w:w="1666"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5E2B0B78" w14:textId="77777777" w:rsidR="007A6928" w:rsidRPr="00A81971" w:rsidRDefault="0032495C" w:rsidP="00771B67">
            <w:pPr>
              <w:jc w:val="center"/>
              <w:textAlignment w:val="baseline"/>
              <w:rPr>
                <w:rFonts w:ascii="Times New Roman Bold" w:eastAsia="Times New Roman Bold" w:hAnsi="Times New Roman Bold" w:cs="Times New Roman Bold"/>
                <w:color w:val="000000"/>
              </w:rPr>
            </w:pPr>
            <w:r w:rsidRPr="00A81971">
              <w:rPr>
                <w:rFonts w:ascii="Times New Roman Bold" w:eastAsia="Times New Roman Bold" w:hAnsi="Times New Roman Bold" w:cs="Times New Roman Bold"/>
                <w:color w:val="000000" w:themeColor="text1"/>
              </w:rPr>
              <w:t>93.43</w:t>
            </w:r>
          </w:p>
        </w:tc>
        <w:tc>
          <w:tcPr>
            <w:tcW w:w="1665"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3463D9C1"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93.43</w:t>
            </w:r>
          </w:p>
        </w:tc>
        <w:tc>
          <w:tcPr>
            <w:tcW w:w="166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75A58ED0"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93.43</w:t>
            </w:r>
          </w:p>
        </w:tc>
      </w:tr>
      <w:tr w:rsidR="00F90461" w14:paraId="300C9940" w14:textId="77777777" w:rsidTr="00771B67">
        <w:trPr>
          <w:trHeight w:val="271"/>
        </w:trPr>
        <w:tc>
          <w:tcPr>
            <w:tcW w:w="28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FBE582B" w14:textId="77777777" w:rsidR="007A6928" w:rsidRPr="00A81971" w:rsidRDefault="0032495C" w:rsidP="00783A7D">
            <w:pP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Sub-Total</w:t>
            </w:r>
          </w:p>
        </w:tc>
        <w:tc>
          <w:tcPr>
            <w:tcW w:w="1665"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hideMark/>
          </w:tcPr>
          <w:p w14:paraId="14492198"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957.98</w:t>
            </w:r>
          </w:p>
        </w:tc>
        <w:tc>
          <w:tcPr>
            <w:tcW w:w="1666"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549A91FE" w14:textId="77777777" w:rsidR="007A6928" w:rsidRPr="00A81971" w:rsidRDefault="0032495C" w:rsidP="00771B67">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892.73</w:t>
            </w:r>
          </w:p>
        </w:tc>
        <w:tc>
          <w:tcPr>
            <w:tcW w:w="1665"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48DFABF1"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659.61</w:t>
            </w:r>
          </w:p>
        </w:tc>
        <w:tc>
          <w:tcPr>
            <w:tcW w:w="166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47D42141"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b/>
                <w:bCs/>
                <w:color w:val="000000" w:themeColor="text1"/>
              </w:rPr>
              <w:t>621.53</w:t>
            </w:r>
          </w:p>
        </w:tc>
      </w:tr>
      <w:tr w:rsidR="00F90461" w14:paraId="5CB28B8D" w14:textId="77777777" w:rsidTr="00771B67">
        <w:trPr>
          <w:trHeight w:val="138"/>
        </w:trPr>
        <w:tc>
          <w:tcPr>
            <w:tcW w:w="28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E5FEF88" w14:textId="77777777" w:rsidR="007A6928" w:rsidRPr="00A81971" w:rsidRDefault="0032495C" w:rsidP="00783A7D">
            <w:pPr>
              <w:textAlignment w:val="baseline"/>
              <w:rPr>
                <w:rFonts w:ascii="Times New Roman Bold" w:eastAsia="Times New Roman Bold" w:hAnsi="Times New Roman Bold" w:cs="Times New Roman Bold"/>
                <w:color w:val="000000" w:themeColor="text1"/>
              </w:rPr>
            </w:pPr>
            <w:r w:rsidRPr="00A81971">
              <w:rPr>
                <w:rFonts w:ascii="Times New Roman Bold" w:eastAsia="Times New Roman Bold" w:hAnsi="Times New Roman Bold" w:cs="Times New Roman Bold"/>
                <w:b/>
                <w:bCs/>
                <w:color w:val="000000" w:themeColor="text1"/>
              </w:rPr>
              <w:t>Production Sector/HFC</w:t>
            </w:r>
            <w:r w:rsidR="00CB6147">
              <w:rPr>
                <w:rFonts w:ascii="Times New Roman Bold" w:eastAsia="Times New Roman Bold" w:hAnsi="Times New Roman Bold" w:cs="Times New Roman Bold"/>
                <w:b/>
                <w:bCs/>
                <w:color w:val="000000" w:themeColor="text1"/>
              </w:rPr>
              <w:t>-</w:t>
            </w:r>
            <w:r w:rsidRPr="00A81971">
              <w:rPr>
                <w:rFonts w:ascii="Times New Roman Bold" w:eastAsia="Times New Roman Bold" w:hAnsi="Times New Roman Bold" w:cs="Times New Roman Bold"/>
                <w:b/>
                <w:bCs/>
                <w:color w:val="000000" w:themeColor="text1"/>
              </w:rPr>
              <w:t>23 mitigation</w:t>
            </w:r>
            <w:r w:rsidRPr="00A81971">
              <w:rPr>
                <w:rFonts w:ascii="Times New Roman Bold" w:eastAsia="Times New Roman Bold" w:hAnsi="Times New Roman Bold" w:cs="Times New Roman Bold"/>
                <w:color w:val="000000" w:themeColor="text1"/>
              </w:rPr>
              <w:t> </w:t>
            </w:r>
          </w:p>
        </w:tc>
        <w:tc>
          <w:tcPr>
            <w:tcW w:w="1665"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hideMark/>
          </w:tcPr>
          <w:p w14:paraId="717538F4"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3.61</w:t>
            </w:r>
          </w:p>
        </w:tc>
        <w:tc>
          <w:tcPr>
            <w:tcW w:w="1666"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3916CEEB" w14:textId="77777777" w:rsidR="007A6928" w:rsidRPr="00A81971" w:rsidRDefault="0032495C" w:rsidP="00771B67">
            <w:pPr>
              <w:jc w:val="center"/>
              <w:textAlignment w:val="baseline"/>
              <w:rPr>
                <w:rFonts w:ascii="Times New Roman Bold" w:eastAsia="Times New Roman Bold" w:hAnsi="Times New Roman Bold" w:cs="Times New Roman Bold"/>
                <w:color w:val="000000"/>
              </w:rPr>
            </w:pPr>
            <w:r w:rsidRPr="00A81971">
              <w:rPr>
                <w:rFonts w:ascii="Times New Roman Bold" w:eastAsia="Times New Roman Bold" w:hAnsi="Times New Roman Bold" w:cs="Times New Roman Bold"/>
                <w:color w:val="000000" w:themeColor="text1"/>
              </w:rPr>
              <w:t>3.61</w:t>
            </w:r>
          </w:p>
        </w:tc>
        <w:tc>
          <w:tcPr>
            <w:tcW w:w="1665"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3B0CE4F7"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3.61</w:t>
            </w:r>
          </w:p>
        </w:tc>
        <w:tc>
          <w:tcPr>
            <w:tcW w:w="166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hideMark/>
          </w:tcPr>
          <w:p w14:paraId="78B8982A" w14:textId="77777777" w:rsidR="007A6928" w:rsidRPr="00A81971" w:rsidRDefault="0032495C" w:rsidP="00771B67">
            <w:pPr>
              <w:jc w:val="center"/>
              <w:textAlignment w:val="baseline"/>
              <w:rPr>
                <w:rFonts w:ascii="Times New Roman Bold" w:eastAsia="Times New Roman Bold" w:hAnsi="Times New Roman Bold" w:cs="Times New Roman Bold"/>
              </w:rPr>
            </w:pPr>
            <w:r w:rsidRPr="00A81971">
              <w:rPr>
                <w:rFonts w:ascii="Times New Roman Bold" w:eastAsia="Times New Roman Bold" w:hAnsi="Times New Roman Bold" w:cs="Times New Roman Bold"/>
                <w:color w:val="000000" w:themeColor="text1"/>
              </w:rPr>
              <w:t>3.61</w:t>
            </w:r>
          </w:p>
        </w:tc>
      </w:tr>
      <w:tr w:rsidR="00F90461" w14:paraId="4D87125B" w14:textId="77777777" w:rsidTr="00FE5C31">
        <w:trPr>
          <w:trHeight w:val="285"/>
        </w:trPr>
        <w:tc>
          <w:tcPr>
            <w:tcW w:w="283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8A089A6" w14:textId="77777777" w:rsidR="007A6928" w:rsidRPr="00A81971" w:rsidRDefault="0032495C" w:rsidP="00783A7D">
            <w:pPr>
              <w:textAlignment w:val="baseline"/>
              <w:rPr>
                <w:rFonts w:ascii="Times New Roman Bold" w:eastAsia="Times New Roman Bold" w:hAnsi="Times New Roman Bold" w:cs="Times New Roman Bold"/>
                <w:b/>
                <w:bCs/>
              </w:rPr>
            </w:pPr>
            <w:r w:rsidRPr="00A81971">
              <w:rPr>
                <w:rFonts w:ascii="Times New Roman Bold" w:eastAsia="Times New Roman Bold" w:hAnsi="Times New Roman Bold" w:cs="Times New Roman Bold"/>
                <w:b/>
                <w:bCs/>
                <w:color w:val="000000" w:themeColor="text1"/>
              </w:rPr>
              <w:t xml:space="preserve">TOTAL HFC ACTIVITIES </w:t>
            </w:r>
          </w:p>
        </w:tc>
        <w:tc>
          <w:tcPr>
            <w:tcW w:w="166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1CD6E95" w14:textId="77777777" w:rsidR="007A6928" w:rsidRPr="00A81971" w:rsidRDefault="0032495C" w:rsidP="006766FE">
            <w:pPr>
              <w:jc w:val="center"/>
              <w:textAlignment w:val="baseline"/>
              <w:rPr>
                <w:rFonts w:ascii="Times New Roman Bold" w:eastAsia="Times New Roman Bold" w:hAnsi="Times New Roman Bold" w:cs="Times New Roman Bold"/>
                <w:b/>
                <w:bCs/>
              </w:rPr>
            </w:pPr>
            <w:r w:rsidRPr="00A81971">
              <w:rPr>
                <w:rFonts w:ascii="Times New Roman Bold" w:eastAsia="Times New Roman Bold" w:hAnsi="Times New Roman Bold" w:cs="Times New Roman Bold"/>
                <w:b/>
                <w:bCs/>
                <w:color w:val="000000" w:themeColor="text1"/>
              </w:rPr>
              <w:t>961.59</w:t>
            </w:r>
          </w:p>
        </w:tc>
        <w:tc>
          <w:tcPr>
            <w:tcW w:w="1666" w:type="dxa"/>
            <w:tcBorders>
              <w:top w:val="single" w:sz="6" w:space="0" w:color="auto"/>
              <w:left w:val="single" w:sz="6" w:space="0" w:color="auto"/>
              <w:bottom w:val="single" w:sz="6" w:space="0" w:color="auto"/>
              <w:right w:val="single" w:sz="6" w:space="0" w:color="auto"/>
            </w:tcBorders>
            <w:shd w:val="clear" w:color="auto" w:fill="FFFF00"/>
            <w:vAlign w:val="center"/>
          </w:tcPr>
          <w:p w14:paraId="51183CB2"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896.34</w:t>
            </w:r>
          </w:p>
        </w:tc>
        <w:tc>
          <w:tcPr>
            <w:tcW w:w="166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9DD4817" w14:textId="77777777" w:rsidR="007A6928" w:rsidRPr="00A81971" w:rsidRDefault="0032495C" w:rsidP="006766FE">
            <w:pPr>
              <w:jc w:val="center"/>
              <w:textAlignment w:val="baseline"/>
              <w:rPr>
                <w:rFonts w:ascii="Times New Roman Bold" w:eastAsia="Times New Roman Bold" w:hAnsi="Times New Roman Bold" w:cs="Times New Roman Bold"/>
                <w:b/>
                <w:bCs/>
              </w:rPr>
            </w:pPr>
            <w:r w:rsidRPr="00A81971">
              <w:rPr>
                <w:rFonts w:ascii="Times New Roman Bold" w:eastAsia="Times New Roman Bold" w:hAnsi="Times New Roman Bold" w:cs="Times New Roman Bold"/>
                <w:b/>
                <w:bCs/>
                <w:color w:val="000000" w:themeColor="text1"/>
              </w:rPr>
              <w:t>663.22</w:t>
            </w:r>
          </w:p>
        </w:tc>
        <w:tc>
          <w:tcPr>
            <w:tcW w:w="166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9236283"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shd w:val="clear" w:color="auto" w:fill="FFFF00"/>
              </w:rPr>
            </w:pPr>
            <w:r w:rsidRPr="00A81971">
              <w:rPr>
                <w:rFonts w:ascii="Times New Roman Bold" w:eastAsia="Times New Roman Bold" w:hAnsi="Times New Roman Bold" w:cs="Times New Roman Bold"/>
                <w:b/>
                <w:bCs/>
                <w:color w:val="000000"/>
                <w:shd w:val="clear" w:color="auto" w:fill="FFFF00"/>
              </w:rPr>
              <w:t>625.14</w:t>
            </w:r>
          </w:p>
        </w:tc>
      </w:tr>
      <w:tr w:rsidR="00F90461" w14:paraId="1340B9A8" w14:textId="77777777" w:rsidTr="00FE5C31">
        <w:trPr>
          <w:trHeight w:val="285"/>
        </w:trPr>
        <w:tc>
          <w:tcPr>
            <w:tcW w:w="28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D813EF" w14:textId="77777777" w:rsidR="007A6928" w:rsidRPr="00A81971" w:rsidRDefault="0032495C" w:rsidP="00783A7D">
            <w:pP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Funding Reductions when Applying Scenario 1a.</w:t>
            </w:r>
          </w:p>
        </w:tc>
        <w:tc>
          <w:tcPr>
            <w:tcW w:w="1665"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6981A0B9"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N/A</w:t>
            </w:r>
          </w:p>
        </w:tc>
        <w:tc>
          <w:tcPr>
            <w:tcW w:w="1666"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tcPr>
          <w:p w14:paraId="2CFFBE70"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65.2</w:t>
            </w:r>
          </w:p>
        </w:tc>
        <w:tc>
          <w:tcPr>
            <w:tcW w:w="1665"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tcPr>
          <w:p w14:paraId="6A39915F"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rPr>
            </w:pPr>
            <w:r w:rsidRPr="00A81971">
              <w:rPr>
                <w:rFonts w:ascii="Times New Roman Bold" w:eastAsia="Times New Roman Bold" w:hAnsi="Times New Roman Bold" w:cs="Times New Roman Bold"/>
                <w:b/>
                <w:bCs/>
                <w:color w:val="000000" w:themeColor="text1"/>
              </w:rPr>
              <w:t>N/A</w:t>
            </w:r>
          </w:p>
        </w:tc>
        <w:tc>
          <w:tcPr>
            <w:tcW w:w="1666" w:type="dxa"/>
            <w:tcBorders>
              <w:top w:val="single" w:sz="6" w:space="0" w:color="auto"/>
              <w:left w:val="single" w:sz="6" w:space="0" w:color="auto"/>
              <w:bottom w:val="single" w:sz="6" w:space="0" w:color="auto"/>
              <w:right w:val="single" w:sz="6" w:space="0" w:color="auto"/>
            </w:tcBorders>
            <w:shd w:val="clear" w:color="auto" w:fill="EDEDED" w:themeFill="accent3" w:themeFillTint="33"/>
            <w:vAlign w:val="center"/>
          </w:tcPr>
          <w:p w14:paraId="3D8ADCAD" w14:textId="77777777" w:rsidR="007A6928" w:rsidRPr="00A81971" w:rsidRDefault="0032495C" w:rsidP="006766FE">
            <w:pPr>
              <w:jc w:val="center"/>
              <w:textAlignment w:val="baseline"/>
              <w:rPr>
                <w:rFonts w:ascii="Times New Roman Bold" w:eastAsia="Times New Roman Bold" w:hAnsi="Times New Roman Bold" w:cs="Times New Roman Bold"/>
                <w:b/>
                <w:bCs/>
                <w:color w:val="000000"/>
                <w:shd w:val="clear" w:color="auto" w:fill="FFFF00"/>
              </w:rPr>
            </w:pPr>
            <w:r>
              <w:rPr>
                <w:rFonts w:ascii="Times New Roman Bold" w:eastAsia="Times New Roman Bold" w:hAnsi="Times New Roman Bold" w:cs="Times New Roman Bold"/>
                <w:b/>
                <w:bCs/>
                <w:color w:val="000000" w:themeColor="text1"/>
              </w:rPr>
              <w:t>38</w:t>
            </w:r>
          </w:p>
        </w:tc>
      </w:tr>
    </w:tbl>
    <w:p w14:paraId="351F2F95" w14:textId="77777777" w:rsidR="007A6928" w:rsidRPr="00A81971" w:rsidRDefault="0032495C" w:rsidP="007A6928">
      <w:pPr>
        <w:rPr>
          <w:rFonts w:eastAsia="Times New Roman"/>
          <w:sz w:val="18"/>
          <w:szCs w:val="18"/>
        </w:rPr>
      </w:pPr>
      <w:r w:rsidRPr="00A81971">
        <w:rPr>
          <w:rFonts w:eastAsia="Times New Roman"/>
          <w:sz w:val="18"/>
          <w:szCs w:val="18"/>
        </w:rPr>
        <w:t xml:space="preserve">  *Numbers may differ slightly due to rounding.</w:t>
      </w:r>
    </w:p>
    <w:p w14:paraId="087140E6" w14:textId="77777777" w:rsidR="007A6928" w:rsidRPr="00A81971" w:rsidRDefault="0032495C" w:rsidP="007A6928">
      <w:pPr>
        <w:spacing w:after="0"/>
        <w:rPr>
          <w:rFonts w:eastAsia="Times New Roman"/>
          <w:sz w:val="24"/>
          <w:szCs w:val="24"/>
        </w:rPr>
      </w:pPr>
      <w:r w:rsidRPr="00A81971">
        <w:rPr>
          <w:rFonts w:eastAsia="Times New Roman"/>
          <w:lang w:eastAsia="nl-NL"/>
        </w:rPr>
        <w:t xml:space="preserve">The impact of applying new Scenario 1a. for KIPs using </w:t>
      </w:r>
      <w:r w:rsidRPr="00A81971">
        <w:rPr>
          <w:rFonts w:eastAsia="Times New Roman"/>
          <w:b/>
          <w:bCs/>
          <w:lang w:eastAsia="nl-NL"/>
        </w:rPr>
        <w:t xml:space="preserve">Allocation Schedule A </w:t>
      </w:r>
      <w:r w:rsidRPr="00A81971">
        <w:rPr>
          <w:rFonts w:eastAsia="Times New Roman"/>
          <w:lang w:eastAsia="nl-NL"/>
        </w:rPr>
        <w:t xml:space="preserve">is a reduction of </w:t>
      </w:r>
      <w:r w:rsidRPr="00A81971">
        <w:rPr>
          <w:rFonts w:eastAsia="Times New Roman"/>
          <w:b/>
          <w:bCs/>
          <w:lang w:eastAsia="nl-NL"/>
        </w:rPr>
        <w:t>US$ 65.2 million</w:t>
      </w:r>
      <w:r w:rsidRPr="00A81971">
        <w:rPr>
          <w:rFonts w:eastAsia="Times New Roman"/>
          <w:lang w:eastAsia="nl-NL"/>
        </w:rPr>
        <w:t>. The impact of using</w:t>
      </w:r>
      <w:r w:rsidRPr="00A81971">
        <w:rPr>
          <w:rFonts w:eastAsia="Times New Roman"/>
          <w:b/>
          <w:bCs/>
          <w:lang w:eastAsia="nl-NL"/>
        </w:rPr>
        <w:t xml:space="preserve"> Allocation Schedule B </w:t>
      </w:r>
      <w:r w:rsidRPr="00A81971">
        <w:rPr>
          <w:rFonts w:eastAsia="Times New Roman"/>
          <w:lang w:eastAsia="nl-NL"/>
        </w:rPr>
        <w:t>is a reduction of</w:t>
      </w:r>
      <w:r w:rsidRPr="00A81971">
        <w:rPr>
          <w:rFonts w:eastAsia="Times New Roman"/>
          <w:b/>
          <w:bCs/>
          <w:lang w:eastAsia="nl-NL"/>
        </w:rPr>
        <w:t xml:space="preserve"> US$ 38 million </w:t>
      </w:r>
      <w:r w:rsidRPr="00A81971">
        <w:rPr>
          <w:rFonts w:eastAsia="Times New Roman"/>
          <w:lang w:eastAsia="nl-NL"/>
        </w:rPr>
        <w:t xml:space="preserve">when compared with RTF Updated May Report. </w:t>
      </w:r>
    </w:p>
    <w:p w14:paraId="7BD35BE4" w14:textId="77777777" w:rsidR="007A6928" w:rsidRPr="00A81971" w:rsidRDefault="0032495C" w:rsidP="1E375DFC">
      <w:pPr>
        <w:keepNext/>
        <w:snapToGrid w:val="0"/>
        <w:spacing w:before="240" w:after="240" w:line="240" w:lineRule="atLeast"/>
        <w:ind w:left="720" w:hanging="720"/>
        <w:outlineLvl w:val="2"/>
        <w:rPr>
          <w:rFonts w:eastAsia="Calibri"/>
          <w:b/>
          <w:bCs/>
          <w:i/>
          <w:iCs/>
          <w:color w:val="000000"/>
          <w:lang w:eastAsia="nl-NL"/>
        </w:rPr>
      </w:pPr>
      <w:r w:rsidRPr="00A81971">
        <w:rPr>
          <w:rFonts w:eastAsia="Calibri"/>
          <w:b/>
          <w:bCs/>
          <w:i/>
          <w:iCs/>
          <w:color w:val="000000" w:themeColor="text1"/>
          <w:lang w:eastAsia="nl-NL"/>
        </w:rPr>
        <w:t>3.3.2</w:t>
      </w:r>
      <w:r w:rsidR="34B0439A" w:rsidRPr="00A81971">
        <w:tab/>
      </w:r>
      <w:r w:rsidRPr="00FE5C31">
        <w:rPr>
          <w:rStyle w:val="Heading3Char3"/>
        </w:rPr>
        <w:t>Scenario 1b for KIPs: Based on CE factors for each A5 party over the past 6 years</w:t>
      </w:r>
    </w:p>
    <w:p w14:paraId="76793DB3" w14:textId="77777777" w:rsidR="007A6928" w:rsidRPr="00A81971" w:rsidRDefault="0032495C" w:rsidP="007A6928">
      <w:pPr>
        <w:spacing w:before="240"/>
        <w:rPr>
          <w:rFonts w:eastAsia="Times New Roman"/>
          <w:color w:val="000000"/>
          <w:lang w:eastAsia="nl-NL"/>
        </w:rPr>
      </w:pPr>
      <w:r w:rsidRPr="00A81971">
        <w:rPr>
          <w:rFonts w:eastAsia="Times New Roman"/>
          <w:color w:val="000000" w:themeColor="text1"/>
          <w:lang w:eastAsia="nl-NL"/>
        </w:rPr>
        <w:t xml:space="preserve">It was not feasible to address this </w:t>
      </w:r>
      <w:r w:rsidRPr="00A81971">
        <w:rPr>
          <w:rFonts w:eastAsia="Times New Roman"/>
          <w:lang w:eastAsia="nl-NL"/>
        </w:rPr>
        <w:t xml:space="preserve">request for lack of information on CE factors for each A5 party over the past 6 years. </w:t>
      </w:r>
      <w:r w:rsidRPr="00A81971">
        <w:rPr>
          <w:rFonts w:eastAsia="Times New Roman"/>
          <w:color w:val="000000" w:themeColor="text1"/>
          <w:lang w:eastAsia="nl-NL"/>
        </w:rPr>
        <w:t xml:space="preserve">While CEs for 37 HFC investment projects in 18 countries in the period 2020-2025 were compiled and shared with RTF by the MLFS, the information was used to calculate the estimated funding under </w:t>
      </w:r>
      <w:r w:rsidRPr="00A81971">
        <w:rPr>
          <w:rFonts w:eastAsia="Times New Roman"/>
          <w:b/>
          <w:bCs/>
          <w:color w:val="000000" w:themeColor="text1"/>
          <w:lang w:eastAsia="nl-NL"/>
        </w:rPr>
        <w:t xml:space="preserve">New Scenario 1a </w:t>
      </w:r>
      <w:r w:rsidRPr="00A81971">
        <w:rPr>
          <w:rFonts w:eastAsia="Times New Roman"/>
          <w:color w:val="000000" w:themeColor="text1"/>
          <w:lang w:eastAsia="nl-NL"/>
        </w:rPr>
        <w:t>for KIPs (historical CE), and no other information was available or could be compiled for each party. A large number of the 91 approved KIPs are for LVC countries (with only servicing sector). These CE values are not likely to be applicable for large volume consuming countries with manufacturing and servicing.</w:t>
      </w:r>
    </w:p>
    <w:p w14:paraId="2440F03E" w14:textId="77777777" w:rsidR="007A6928" w:rsidRPr="00FE5C31" w:rsidRDefault="0032495C" w:rsidP="00FE5C31">
      <w:pPr>
        <w:keepNext/>
        <w:snapToGrid w:val="0"/>
        <w:spacing w:before="240" w:after="240" w:line="240" w:lineRule="atLeast"/>
        <w:ind w:left="709" w:hanging="709"/>
        <w:outlineLvl w:val="2"/>
        <w:rPr>
          <w:rStyle w:val="Heading3Char3"/>
        </w:rPr>
      </w:pPr>
      <w:r w:rsidRPr="00A81971">
        <w:rPr>
          <w:rFonts w:eastAsia="Calibri"/>
          <w:b/>
          <w:bCs/>
          <w:i/>
          <w:iCs/>
          <w:color w:val="000000" w:themeColor="text1"/>
          <w:lang w:eastAsia="nl-NL"/>
        </w:rPr>
        <w:t>3.3.3</w:t>
      </w:r>
      <w:r w:rsidR="34B0439A" w:rsidRPr="00A81971">
        <w:tab/>
      </w:r>
      <w:r w:rsidRPr="00FE5C31">
        <w:rPr>
          <w:rStyle w:val="Heading3Char3"/>
        </w:rPr>
        <w:t>Scenario 1c for KIPs: CEs based on average funding levels for each A5 party over the past 6 years</w:t>
      </w:r>
    </w:p>
    <w:p w14:paraId="6A4D49DF" w14:textId="77777777" w:rsidR="007A6928" w:rsidRPr="00A81971" w:rsidRDefault="0032495C" w:rsidP="007A6928">
      <w:pPr>
        <w:rPr>
          <w:rFonts w:eastAsia="Calibri"/>
          <w:color w:val="000000"/>
          <w:lang w:eastAsia="nl-NL"/>
        </w:rPr>
      </w:pPr>
      <w:r w:rsidRPr="00A81971">
        <w:rPr>
          <w:rFonts w:eastAsia="Calibri"/>
          <w:color w:val="000000" w:themeColor="text1"/>
          <w:lang w:eastAsia="nl-NL"/>
        </w:rPr>
        <w:t>MLFS provided for each A5 party with approved KIP, the funding level for that KIP for the last 6 years (2020-2025). The information is presented in Annex 4 as submitted by the MLFS.</w:t>
      </w:r>
    </w:p>
    <w:p w14:paraId="3217D790" w14:textId="77777777" w:rsidR="007A6928" w:rsidRPr="00A81971" w:rsidRDefault="0032495C" w:rsidP="007A6928">
      <w:pPr>
        <w:rPr>
          <w:rFonts w:eastAsia="Calibri"/>
          <w:color w:val="000000"/>
          <w:lang w:eastAsia="nl-NL"/>
        </w:rPr>
      </w:pPr>
      <w:r w:rsidRPr="00A81971">
        <w:rPr>
          <w:rFonts w:eastAsia="Calibri"/>
          <w:color w:val="000000" w:themeColor="text1"/>
          <w:lang w:eastAsia="nl-NL"/>
        </w:rPr>
        <w:t xml:space="preserve">From this information, it was not feasible to extract CEs thresholds based on the average funding for each party for the period 2020-2025. The CEs thresholds in cost guidelines approved by the MLF are sector-based, and generating CEs from funding received in a 6-year period represents a new concept </w:t>
      </w:r>
      <w:r w:rsidRPr="00A81971">
        <w:rPr>
          <w:rFonts w:eastAsia="Calibri"/>
          <w:color w:val="000000" w:themeColor="text1"/>
          <w:lang w:eastAsia="nl-NL"/>
        </w:rPr>
        <w:lastRenderedPageBreak/>
        <w:t>which requires discussion based on proper understanding of its desired output. RTF discussed with the MLFS, and the understanding was that without an ExCom approved metric to define CEs from average funding levels to be applied to all parties, the RTF could only present without further analysis the financial data compiled on the funding amounts per party in the 2020-2025 period. There are a large number of LVCs and smaller countries with KIPs approved; funding information available for approved KIPs does not include the largest HFC consumption party nor all the G1 parties under the “top 10” cluster consumption category (that did not have a KIP approved as of ExCom-97), and none of the G2 parties who do not have an approved KIP. Therefore, it was not feasible for RTF to derive CEs based on funding information that is missing for a significant number of large consuming parties and therefore cannot be representative of all A5 parties.</w:t>
      </w:r>
    </w:p>
    <w:p w14:paraId="57B58A33" w14:textId="77777777" w:rsidR="007A6928" w:rsidRPr="00A81971" w:rsidRDefault="0032495C" w:rsidP="004B5F6E">
      <w:pPr>
        <w:spacing w:after="0"/>
        <w:rPr>
          <w:rFonts w:eastAsia="Calibri"/>
          <w:color w:val="000000"/>
          <w:lang w:eastAsia="nl-NL"/>
        </w:rPr>
      </w:pPr>
      <w:r w:rsidRPr="00A81971">
        <w:rPr>
          <w:rFonts w:eastAsia="Calibri"/>
          <w:color w:val="000000"/>
          <w:lang w:eastAsia="nl-NL"/>
        </w:rPr>
        <w:t>In summary, the lowest funding estimate for HFC activities is US$ 625 million for the 2027-2029 triennium and resulted from applying New Scenario 1a (historical CE applying Resource Allocation B) as shown in Table 3.1</w:t>
      </w:r>
      <w:r w:rsidR="00444BCC">
        <w:rPr>
          <w:rFonts w:eastAsia="Calibri"/>
          <w:color w:val="000000"/>
          <w:lang w:eastAsia="nl-NL"/>
        </w:rPr>
        <w:t>7</w:t>
      </w:r>
      <w:r w:rsidRPr="00A81971">
        <w:rPr>
          <w:rFonts w:eastAsia="Calibri"/>
          <w:color w:val="000000"/>
          <w:lang w:eastAsia="nl-NL"/>
        </w:rPr>
        <w:t xml:space="preserve"> below.</w:t>
      </w:r>
    </w:p>
    <w:p w14:paraId="6A83AD07" w14:textId="77777777" w:rsidR="00A35C68" w:rsidRPr="00A81971" w:rsidRDefault="00A35C68" w:rsidP="004B5F6E">
      <w:pPr>
        <w:spacing w:after="0"/>
        <w:rPr>
          <w:rFonts w:eastAsia="Times New Roman"/>
          <w:b/>
          <w:bCs/>
          <w:color w:val="000000"/>
        </w:rPr>
      </w:pPr>
    </w:p>
    <w:p w14:paraId="5891D1F7" w14:textId="77777777" w:rsidR="00A35C68" w:rsidRPr="00A81971" w:rsidRDefault="0032495C" w:rsidP="008A5660">
      <w:pPr>
        <w:tabs>
          <w:tab w:val="left" w:pos="0"/>
          <w:tab w:val="left" w:pos="1276"/>
        </w:tabs>
        <w:spacing w:after="120"/>
        <w:ind w:left="1282" w:hanging="1282"/>
        <w:rPr>
          <w:rFonts w:eastAsia="Calibri"/>
          <w:b/>
          <w:bCs/>
          <w:color w:val="000000"/>
          <w:lang w:eastAsia="nl-NL"/>
        </w:rPr>
      </w:pPr>
      <w:r w:rsidRPr="0006445E">
        <w:rPr>
          <w:rFonts w:eastAsia="Yu Mincho"/>
          <w:b/>
          <w:bCs/>
          <w:color w:val="000000"/>
          <w:lang w:val="en-CA"/>
        </w:rPr>
        <w:t xml:space="preserve">Table </w:t>
      </w:r>
      <w:r>
        <w:rPr>
          <w:rFonts w:eastAsia="Yu Mincho"/>
          <w:b/>
          <w:bCs/>
          <w:color w:val="000000"/>
          <w:lang w:val="en-CA"/>
        </w:rPr>
        <w:t>3.1</w:t>
      </w:r>
      <w:r w:rsidR="00444BCC">
        <w:rPr>
          <w:rFonts w:eastAsia="Yu Mincho"/>
          <w:b/>
          <w:bCs/>
          <w:color w:val="000000"/>
          <w:lang w:val="en-CA"/>
        </w:rPr>
        <w:t>7</w:t>
      </w:r>
      <w:r>
        <w:rPr>
          <w:rFonts w:eastAsia="Yu Mincho"/>
          <w:b/>
          <w:bCs/>
          <w:color w:val="000000"/>
          <w:lang w:val="en-CA"/>
        </w:rPr>
        <w:t>:</w:t>
      </w:r>
      <w:r w:rsidRPr="0006445E">
        <w:rPr>
          <w:rFonts w:eastAsia="Times New Roman"/>
          <w:color w:val="000000"/>
          <w:lang w:val="en-CA"/>
        </w:rPr>
        <w:tab/>
      </w:r>
      <w:r w:rsidRPr="00A81971">
        <w:rPr>
          <w:rFonts w:eastAsia="Calibri"/>
          <w:b/>
          <w:bCs/>
          <w:color w:val="000000"/>
          <w:lang w:eastAsia="nl-NL"/>
        </w:rPr>
        <w:t>Summary of estimated funding 2027-2029 for HFC phase-down applying New Scenarios 1a, compared with the Updated RTF May Report estimates (US$ million)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92"/>
        <w:gridCol w:w="2835"/>
        <w:gridCol w:w="2743"/>
      </w:tblGrid>
      <w:tr w:rsidR="00F90461" w14:paraId="4C657F17" w14:textId="77777777" w:rsidTr="1E375DFC">
        <w:trPr>
          <w:trHeight w:val="60"/>
        </w:trPr>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6D30C433" w14:textId="77777777" w:rsidR="007A6928" w:rsidRPr="00A81971" w:rsidRDefault="0032495C" w:rsidP="007A6928">
            <w:pPr>
              <w:spacing w:after="0"/>
              <w:rPr>
                <w:rFonts w:eastAsia="Times New Roman"/>
                <w:color w:val="000000"/>
              </w:rPr>
            </w:pPr>
            <w:r w:rsidRPr="00A81971">
              <w:rPr>
                <w:rFonts w:eastAsia="Times New Roman"/>
                <w:b/>
                <w:bCs/>
                <w:color w:val="000000"/>
              </w:rPr>
              <w:t>2027-2029 Triennium</w:t>
            </w:r>
            <w:r w:rsidRPr="00A81971">
              <w:rPr>
                <w:rFonts w:eastAsia="Times New Roman"/>
                <w:color w:val="000000"/>
              </w:rPr>
              <w:t xml:space="preserve"> </w:t>
            </w:r>
          </w:p>
        </w:tc>
        <w:tc>
          <w:tcPr>
            <w:tcW w:w="2835"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02E3BFB5" w14:textId="77777777" w:rsidR="007A6928" w:rsidRPr="00A81971" w:rsidRDefault="0032495C" w:rsidP="007A6928">
            <w:pPr>
              <w:spacing w:after="0"/>
              <w:jc w:val="center"/>
              <w:rPr>
                <w:rFonts w:eastAsia="Times New Roman"/>
                <w:color w:val="000000"/>
              </w:rPr>
            </w:pPr>
            <w:r w:rsidRPr="00A81971">
              <w:rPr>
                <w:rFonts w:eastAsia="Times New Roman"/>
                <w:b/>
                <w:bCs/>
                <w:color w:val="000000"/>
              </w:rPr>
              <w:t xml:space="preserve">Updated </w:t>
            </w:r>
            <w:r w:rsidRPr="00A81971">
              <w:rPr>
                <w:rFonts w:eastAsia="Times New Roman"/>
                <w:b/>
                <w:bCs/>
              </w:rPr>
              <w:t xml:space="preserve">May Report Estimates </w:t>
            </w:r>
            <w:r w:rsidRPr="00A81971">
              <w:rPr>
                <w:rFonts w:eastAsia="Times New Roman"/>
                <w:b/>
                <w:bCs/>
                <w:color w:val="000000"/>
                <w:vertAlign w:val="superscript"/>
              </w:rPr>
              <w:t>6</w:t>
            </w:r>
            <w:r w:rsidRPr="00A81971">
              <w:rPr>
                <w:rFonts w:eastAsia="Times New Roman"/>
                <w:color w:val="000000"/>
              </w:rPr>
              <w:t xml:space="preserve"> </w:t>
            </w:r>
          </w:p>
        </w:tc>
        <w:tc>
          <w:tcPr>
            <w:tcW w:w="2743"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763E3ADF" w14:textId="77777777" w:rsidR="007A6928" w:rsidRPr="00A81971" w:rsidRDefault="0032495C" w:rsidP="007A6928">
            <w:pPr>
              <w:spacing w:after="0"/>
              <w:jc w:val="center"/>
              <w:rPr>
                <w:rFonts w:eastAsia="Times New Roman"/>
                <w:b/>
                <w:bCs/>
                <w:color w:val="000000"/>
              </w:rPr>
            </w:pPr>
            <w:r w:rsidRPr="00A81971">
              <w:rPr>
                <w:rFonts w:eastAsia="Times New Roman"/>
                <w:b/>
                <w:bCs/>
                <w:color w:val="000000"/>
              </w:rPr>
              <w:t>Supplementary Report Estimates Applying New Scenarios</w:t>
            </w:r>
          </w:p>
        </w:tc>
      </w:tr>
      <w:tr w:rsidR="00F90461" w14:paraId="5C7BF004" w14:textId="77777777" w:rsidTr="008A5660">
        <w:trPr>
          <w:trHeight w:val="285"/>
        </w:trPr>
        <w:tc>
          <w:tcPr>
            <w:tcW w:w="3392" w:type="dxa"/>
            <w:tcBorders>
              <w:top w:val="single" w:sz="8" w:space="0" w:color="auto"/>
              <w:left w:val="single" w:sz="8" w:space="0" w:color="auto"/>
              <w:bottom w:val="single" w:sz="8" w:space="0" w:color="auto"/>
              <w:right w:val="single" w:sz="8" w:space="0" w:color="auto"/>
            </w:tcBorders>
            <w:shd w:val="clear" w:color="auto" w:fill="FFFF00"/>
            <w:vAlign w:val="bottom"/>
          </w:tcPr>
          <w:p w14:paraId="6CC96C7F" w14:textId="77777777" w:rsidR="007A6928" w:rsidRPr="008A5660" w:rsidRDefault="0032495C" w:rsidP="008A5660">
            <w:pPr>
              <w:spacing w:after="0"/>
              <w:jc w:val="center"/>
              <w:rPr>
                <w:rFonts w:eastAsia="Times New Roman"/>
                <w:b/>
                <w:bCs/>
                <w:color w:val="000000"/>
              </w:rPr>
            </w:pPr>
            <w:r w:rsidRPr="00A81971">
              <w:rPr>
                <w:rFonts w:eastAsia="Times New Roman"/>
                <w:b/>
                <w:bCs/>
                <w:color w:val="000000" w:themeColor="text1"/>
              </w:rPr>
              <w:t>SUBTOTAL – HFC ACTIV</w:t>
            </w:r>
            <w:r w:rsidRPr="00A81971">
              <w:rPr>
                <w:rFonts w:eastAsia="Times New Roman"/>
                <w:b/>
                <w:bCs/>
              </w:rPr>
              <w:t>ITIES</w:t>
            </w:r>
          </w:p>
        </w:tc>
        <w:tc>
          <w:tcPr>
            <w:tcW w:w="2835" w:type="dxa"/>
            <w:tcBorders>
              <w:top w:val="single" w:sz="8" w:space="0" w:color="auto"/>
              <w:left w:val="single" w:sz="8" w:space="0" w:color="auto"/>
              <w:bottom w:val="single" w:sz="8" w:space="0" w:color="auto"/>
              <w:right w:val="single" w:sz="8" w:space="0" w:color="auto"/>
            </w:tcBorders>
            <w:shd w:val="clear" w:color="auto" w:fill="FFFF00"/>
            <w:vAlign w:val="center"/>
          </w:tcPr>
          <w:p w14:paraId="0654277F" w14:textId="77777777" w:rsidR="007A6928" w:rsidRPr="00A81971" w:rsidRDefault="0032495C" w:rsidP="007A6928">
            <w:pPr>
              <w:spacing w:after="0"/>
              <w:jc w:val="center"/>
              <w:rPr>
                <w:rFonts w:eastAsia="Times New Roman"/>
                <w:color w:val="000000"/>
              </w:rPr>
            </w:pPr>
            <w:r w:rsidRPr="00A81971">
              <w:rPr>
                <w:rFonts w:eastAsia="Times New Roman"/>
                <w:b/>
                <w:bCs/>
                <w:color w:val="000000" w:themeColor="text1"/>
              </w:rPr>
              <w:t>660</w:t>
            </w:r>
            <w:r w:rsidRPr="00A81971">
              <w:rPr>
                <w:rFonts w:eastAsia="Times New Roman"/>
                <w:b/>
                <w:bCs/>
              </w:rPr>
              <w:t xml:space="preserve"> – 995</w:t>
            </w:r>
          </w:p>
        </w:tc>
        <w:tc>
          <w:tcPr>
            <w:tcW w:w="2743" w:type="dxa"/>
            <w:tcBorders>
              <w:top w:val="single" w:sz="8" w:space="0" w:color="auto"/>
              <w:left w:val="single" w:sz="8" w:space="0" w:color="auto"/>
              <w:bottom w:val="single" w:sz="8" w:space="0" w:color="auto"/>
              <w:right w:val="single" w:sz="8" w:space="0" w:color="auto"/>
            </w:tcBorders>
            <w:shd w:val="clear" w:color="auto" w:fill="FFFF00"/>
            <w:vAlign w:val="center"/>
          </w:tcPr>
          <w:p w14:paraId="657BE137" w14:textId="77777777" w:rsidR="007A6928" w:rsidRPr="00A81971" w:rsidRDefault="0032495C" w:rsidP="007A6928">
            <w:pPr>
              <w:spacing w:after="0"/>
              <w:jc w:val="center"/>
              <w:rPr>
                <w:rFonts w:eastAsia="Times New Roman"/>
                <w:b/>
                <w:bCs/>
                <w:color w:val="000000"/>
              </w:rPr>
            </w:pPr>
            <w:r w:rsidRPr="00A81971">
              <w:rPr>
                <w:rFonts w:eastAsia="Times New Roman"/>
                <w:b/>
                <w:bCs/>
                <w:color w:val="000000" w:themeColor="text1"/>
              </w:rPr>
              <w:t>625*</w:t>
            </w:r>
            <w:r w:rsidRPr="00A81971">
              <w:rPr>
                <w:rFonts w:eastAsia="Times New Roman"/>
                <w:b/>
                <w:bCs/>
              </w:rPr>
              <w:t xml:space="preserve"> – 995</w:t>
            </w:r>
          </w:p>
        </w:tc>
      </w:tr>
    </w:tbl>
    <w:p w14:paraId="19B3BF05" w14:textId="77777777" w:rsidR="007A6928" w:rsidRPr="00A81971" w:rsidRDefault="0032495C" w:rsidP="1E375DFC">
      <w:pPr>
        <w:spacing w:after="0"/>
        <w:rPr>
          <w:rFonts w:eastAsia="Times New Roman"/>
          <w:color w:val="000000"/>
          <w:sz w:val="18"/>
          <w:szCs w:val="18"/>
        </w:rPr>
      </w:pPr>
      <w:r w:rsidRPr="00A81971">
        <w:rPr>
          <w:rFonts w:eastAsia="Calibri"/>
          <w:color w:val="000000" w:themeColor="text1"/>
          <w:sz w:val="18"/>
          <w:szCs w:val="18"/>
          <w:lang w:eastAsia="nl-NL"/>
        </w:rPr>
        <w:t>*</w:t>
      </w:r>
      <w:r w:rsidRPr="00A81971">
        <w:rPr>
          <w:rFonts w:eastAsia="Times New Roman"/>
          <w:color w:val="000000" w:themeColor="text1"/>
          <w:sz w:val="18"/>
          <w:szCs w:val="18"/>
        </w:rPr>
        <w:t xml:space="preserve"> The low-end value selected is the estimate when applying New Scenario 1a. </w:t>
      </w:r>
      <w:r w:rsidRPr="00A81971">
        <w:rPr>
          <w:rFonts w:eastAsia="Times New Roman"/>
          <w:b/>
          <w:bCs/>
          <w:sz w:val="18"/>
          <w:szCs w:val="18"/>
        </w:rPr>
        <w:t xml:space="preserve">– </w:t>
      </w:r>
      <w:r w:rsidRPr="00A81971">
        <w:rPr>
          <w:rFonts w:eastAsia="Times New Roman"/>
          <w:color w:val="000000" w:themeColor="text1"/>
          <w:sz w:val="18"/>
          <w:szCs w:val="18"/>
        </w:rPr>
        <w:t xml:space="preserve">CE historical for KIPs with </w:t>
      </w:r>
      <w:r w:rsidRPr="00A81971">
        <w:rPr>
          <w:rFonts w:eastAsia="Times New Roman"/>
          <w:color w:val="000000" w:themeColor="text1"/>
          <w:sz w:val="18"/>
          <w:szCs w:val="18"/>
          <w:u w:val="single"/>
        </w:rPr>
        <w:t>Resource Allocation B</w:t>
      </w:r>
      <w:r w:rsidRPr="00A81971">
        <w:rPr>
          <w:rFonts w:eastAsia="Times New Roman"/>
          <w:color w:val="000000" w:themeColor="text1"/>
          <w:sz w:val="18"/>
          <w:szCs w:val="18"/>
        </w:rPr>
        <w:t>. High-end value is based on Scenario 2 high-end estimates in the Updated RTF May Report.</w:t>
      </w:r>
    </w:p>
    <w:p w14:paraId="1FB3D612" w14:textId="77777777" w:rsidR="007A6928" w:rsidRPr="00A81971" w:rsidRDefault="007A6928" w:rsidP="007A6928">
      <w:pPr>
        <w:spacing w:after="0"/>
        <w:rPr>
          <w:rFonts w:eastAsia="Times New Roman"/>
          <w:color w:val="000000"/>
        </w:rPr>
      </w:pPr>
    </w:p>
    <w:p w14:paraId="51282D4E" w14:textId="77777777" w:rsidR="009B3625" w:rsidRPr="00A81971" w:rsidRDefault="0032495C" w:rsidP="007A6928">
      <w:pPr>
        <w:spacing w:after="0"/>
        <w:rPr>
          <w:rFonts w:eastAsia="Times New Roman"/>
          <w:color w:val="000000"/>
        </w:rPr>
      </w:pPr>
      <w:r w:rsidRPr="00A81971">
        <w:rPr>
          <w:rFonts w:eastAsia="Times New Roman"/>
          <w:color w:val="000000" w:themeColor="text1"/>
        </w:rPr>
        <w:t>Ranges for the Updated May Report Scenario 1 (A and B), and Scenario 2 (A and B) in Table ES-2, considered low-end values of estimates according to both Scenario 1 and 2 and their respective Allocations A and B. Ranges for the Supplementary Report, consider only Scenario 1(Low-End) as the basis for comparison with the New Scenarios.</w:t>
      </w:r>
    </w:p>
    <w:p w14:paraId="0D5EEF18" w14:textId="5842D499" w:rsidR="007A6928" w:rsidRPr="00287FE6" w:rsidRDefault="0032495C" w:rsidP="00FE5C31">
      <w:pPr>
        <w:keepNext/>
        <w:tabs>
          <w:tab w:val="left" w:pos="709"/>
        </w:tabs>
        <w:spacing w:before="240" w:after="240"/>
        <w:jc w:val="both"/>
        <w:outlineLvl w:val="1"/>
        <w:rPr>
          <w:rFonts w:eastAsia="Times New Roman"/>
          <w:b/>
          <w:i/>
          <w:color w:val="000000"/>
          <w:sz w:val="24"/>
          <w:szCs w:val="24"/>
        </w:rPr>
      </w:pPr>
      <w:bookmarkStart w:id="216" w:name="_Toc240987330"/>
      <w:r w:rsidRPr="00287FE6">
        <w:rPr>
          <w:rFonts w:eastAsia="Calibri"/>
          <w:b/>
          <w:caps/>
          <w:color w:val="000000" w:themeColor="text1"/>
          <w:sz w:val="24"/>
          <w:szCs w:val="24"/>
          <w:lang w:eastAsia="nl-NL"/>
        </w:rPr>
        <w:t>3.4</w:t>
      </w:r>
      <w:r w:rsidR="002E3156">
        <w:rPr>
          <w:b/>
        </w:rPr>
        <w:tab/>
      </w:r>
      <w:r w:rsidRPr="00FE5C31">
        <w:rPr>
          <w:rStyle w:val="Heading2Char4"/>
        </w:rPr>
        <w:t>A</w:t>
      </w:r>
      <w:r w:rsidR="00287FE6" w:rsidRPr="00FE5C31">
        <w:rPr>
          <w:rStyle w:val="Heading2Char4"/>
        </w:rPr>
        <w:t xml:space="preserve">DDITIONAL SCENARIOS FOR </w:t>
      </w:r>
      <w:r w:rsidR="23BA8A30" w:rsidRPr="00FE5C31">
        <w:rPr>
          <w:rStyle w:val="Heading2Char4"/>
        </w:rPr>
        <w:t>KIP</w:t>
      </w:r>
      <w:bookmarkEnd w:id="216"/>
      <w:r w:rsidR="00287FE6" w:rsidRPr="00FE5C31">
        <w:rPr>
          <w:rStyle w:val="Heading2Char4"/>
        </w:rPr>
        <w:t>S</w:t>
      </w:r>
    </w:p>
    <w:p w14:paraId="0E071276" w14:textId="77777777" w:rsidR="007A6928" w:rsidRPr="004D2E0A" w:rsidRDefault="0032495C" w:rsidP="22321CF6">
      <w:pPr>
        <w:keepNext/>
        <w:snapToGrid w:val="0"/>
        <w:spacing w:before="240" w:after="240" w:line="240" w:lineRule="atLeast"/>
        <w:ind w:left="720" w:hanging="720"/>
        <w:outlineLvl w:val="2"/>
        <w:rPr>
          <w:rFonts w:eastAsia="Times New Roman"/>
          <w:b/>
          <w:bCs/>
          <w:i/>
          <w:iCs/>
        </w:rPr>
      </w:pPr>
      <w:r w:rsidRPr="00A81971">
        <w:rPr>
          <w:rFonts w:eastAsia="Times New Roman"/>
          <w:b/>
          <w:bCs/>
          <w:i/>
          <w:iCs/>
          <w:color w:val="000000" w:themeColor="text1"/>
        </w:rPr>
        <w:t>3.4.1</w:t>
      </w:r>
      <w:r w:rsidRPr="00A81971">
        <w:tab/>
      </w:r>
      <w:r w:rsidRPr="00FE5C31">
        <w:rPr>
          <w:rStyle w:val="Heading3Char3"/>
        </w:rPr>
        <w:t>Scenario 2a for KIPs: A low-end scenario based on the most recently reported consumption data for</w:t>
      </w:r>
      <w:r w:rsidR="707704DC" w:rsidRPr="00FE5C31">
        <w:rPr>
          <w:rStyle w:val="Heading3Char3"/>
        </w:rPr>
        <w:t xml:space="preserve"> </w:t>
      </w:r>
      <w:r w:rsidRPr="00FE5C31">
        <w:rPr>
          <w:rStyle w:val="Heading3Char3"/>
        </w:rPr>
        <w:t>HFCs and a high-end scenario based on established HFC baselines</w:t>
      </w:r>
      <w:r w:rsidRPr="004D2E0A">
        <w:rPr>
          <w:rFonts w:eastAsia="Times New Roman"/>
          <w:b/>
          <w:bCs/>
          <w:i/>
          <w:iCs/>
        </w:rPr>
        <w:t xml:space="preserve"> </w:t>
      </w:r>
    </w:p>
    <w:p w14:paraId="405BE8D2" w14:textId="77777777" w:rsidR="00DD687D" w:rsidRPr="004D2E0A" w:rsidRDefault="0032495C" w:rsidP="1E375DFC">
      <w:pPr>
        <w:keepNext/>
        <w:snapToGrid w:val="0"/>
        <w:spacing w:line="240" w:lineRule="atLeast"/>
        <w:rPr>
          <w:rFonts w:ascii="Times" w:eastAsia="Times" w:hAnsi="Times" w:cs="Times"/>
        </w:rPr>
      </w:pPr>
      <w:r w:rsidRPr="004D2E0A">
        <w:rPr>
          <w:rFonts w:eastAsia="Times New Roman"/>
        </w:rPr>
        <w:t xml:space="preserve">To estimate funding for </w:t>
      </w:r>
      <w:r w:rsidRPr="004D2E0A">
        <w:rPr>
          <w:rFonts w:eastAsia="Times New Roman"/>
          <w:b/>
          <w:bCs/>
        </w:rPr>
        <w:t>Scenario 2a</w:t>
      </w:r>
      <w:r w:rsidRPr="004D2E0A">
        <w:rPr>
          <w:rFonts w:eastAsia="Times New Roman"/>
        </w:rPr>
        <w:t xml:space="preserve">, RTF considered the most recently reported </w:t>
      </w:r>
      <w:r w:rsidRPr="00670549">
        <w:rPr>
          <w:rFonts w:eastAsia="Times New Roman"/>
        </w:rPr>
        <w:t>A7 HFC consumption data for all parties that had reported data. I</w:t>
      </w:r>
      <w:r w:rsidRPr="00670549">
        <w:rPr>
          <w:rFonts w:ascii="Times" w:eastAsia="Times" w:hAnsi="Times" w:cs="Times"/>
        </w:rPr>
        <w:t xml:space="preserve">t is the case </w:t>
      </w:r>
      <w:r w:rsidR="1B50C9EC" w:rsidRPr="00670549">
        <w:rPr>
          <w:rFonts w:ascii="Times" w:eastAsia="Times" w:hAnsi="Times" w:cs="Times"/>
        </w:rPr>
        <w:t>that there</w:t>
      </w:r>
      <w:r w:rsidRPr="00670549">
        <w:rPr>
          <w:rFonts w:ascii="Times" w:eastAsia="Times" w:hAnsi="Times" w:cs="Times"/>
        </w:rPr>
        <w:t xml:space="preserve"> could</w:t>
      </w:r>
      <w:r w:rsidRPr="004D2E0A">
        <w:rPr>
          <w:rFonts w:ascii="Times" w:eastAsia="Times" w:hAnsi="Times" w:cs="Times"/>
        </w:rPr>
        <w:t xml:space="preserve"> be a drawdown from stockpiles if 2024 data was used in certain countries. Nevertheless, the latest reported HFC consumption data was not adjusted for possible inventory reductions.</w:t>
      </w:r>
    </w:p>
    <w:p w14:paraId="20FFA3B9" w14:textId="77777777" w:rsidR="007A6928" w:rsidRPr="00A81971" w:rsidRDefault="0032495C" w:rsidP="1E375DFC">
      <w:pPr>
        <w:keepNext/>
        <w:snapToGrid w:val="0"/>
        <w:spacing w:line="240" w:lineRule="atLeast"/>
        <w:rPr>
          <w:rFonts w:eastAsia="Times New Roman"/>
        </w:rPr>
      </w:pPr>
      <w:r w:rsidRPr="00A81971">
        <w:rPr>
          <w:rFonts w:eastAsia="Times New Roman"/>
        </w:rPr>
        <w:t xml:space="preserve">For parties without HFC data, the HFC component of consumption baselines was used to estimate the most recent A7 HFC consumption data.  This HFC data was estimated using the process described in </w:t>
      </w:r>
      <w:r w:rsidRPr="00A81971">
        <w:rPr>
          <w:rFonts w:eastAsia="Times New Roman"/>
          <w:color w:val="000000" w:themeColor="text1"/>
        </w:rPr>
        <w:t>Annex 3 of RTF May Report (Methodology for Filling Baseline Data Gaps - Estimates and Assumptions)</w:t>
      </w:r>
      <w:r w:rsidRPr="00A81971">
        <w:rPr>
          <w:rFonts w:eastAsia="Times New Roman"/>
        </w:rPr>
        <w:t xml:space="preserve">. </w:t>
      </w:r>
    </w:p>
    <w:p w14:paraId="0A38A51C" w14:textId="77777777" w:rsidR="007A6928" w:rsidRPr="00A81971" w:rsidRDefault="0032495C" w:rsidP="1E375DFC">
      <w:pPr>
        <w:keepNext/>
        <w:snapToGrid w:val="0"/>
        <w:spacing w:after="0" w:line="240" w:lineRule="atLeast"/>
        <w:rPr>
          <w:rFonts w:eastAsia="Times New Roman"/>
        </w:rPr>
      </w:pPr>
      <w:r w:rsidRPr="00A81971">
        <w:rPr>
          <w:rFonts w:eastAsia="Times New Roman"/>
        </w:rPr>
        <w:t xml:space="preserve">The Updated RTF May Report methodology used to estimate funding considered the Kigali Amendment HFC established baselines. To address Scenario 2a, RTF had to introduce a considerable change in methodology. Nevertheless, for parties </w:t>
      </w:r>
      <w:r w:rsidRPr="00A81971">
        <w:rPr>
          <w:rFonts w:eastAsia="Times New Roman"/>
          <w:b/>
          <w:bCs/>
          <w:i/>
          <w:iCs/>
        </w:rPr>
        <w:t>with KIPs approved</w:t>
      </w:r>
      <w:r w:rsidRPr="00A81971">
        <w:rPr>
          <w:rFonts w:eastAsia="Times New Roman"/>
        </w:rPr>
        <w:t xml:space="preserve">, and because RTF cannot modify the funding commitments nor the agreed percentage reductions targets with the ExCom, the new methodology could not be applied. </w:t>
      </w:r>
    </w:p>
    <w:p w14:paraId="3A22DFCA" w14:textId="77777777" w:rsidR="007A6928" w:rsidRPr="00A81971" w:rsidRDefault="0032495C" w:rsidP="1E375DFC">
      <w:pPr>
        <w:keepNext/>
        <w:snapToGrid w:val="0"/>
        <w:spacing w:before="240" w:after="0" w:line="240" w:lineRule="atLeast"/>
        <w:rPr>
          <w:rFonts w:eastAsia="Times New Roman"/>
        </w:rPr>
      </w:pPr>
      <w:r w:rsidRPr="00A81971">
        <w:rPr>
          <w:rFonts w:eastAsia="Times New Roman"/>
        </w:rPr>
        <w:t xml:space="preserve">For A5 parties </w:t>
      </w:r>
      <w:r w:rsidRPr="00A81971">
        <w:rPr>
          <w:rFonts w:eastAsia="Times New Roman"/>
          <w:b/>
          <w:bCs/>
          <w:i/>
          <w:iCs/>
        </w:rPr>
        <w:t>without KIPs approved</w:t>
      </w:r>
      <w:r w:rsidRPr="00A81971">
        <w:rPr>
          <w:rFonts w:eastAsia="Times New Roman"/>
        </w:rPr>
        <w:t xml:space="preserve">, the most recently reported consumption data for HFCs was used, as requested in </w:t>
      </w:r>
      <w:r w:rsidRPr="00A81971">
        <w:rPr>
          <w:rFonts w:eastAsia="Times New Roman"/>
          <w:b/>
          <w:bCs/>
        </w:rPr>
        <w:t>New Scenario 2a.</w:t>
      </w:r>
      <w:r w:rsidRPr="00A81971">
        <w:rPr>
          <w:rFonts w:eastAsia="Times New Roman"/>
        </w:rPr>
        <w:t xml:space="preserve"> The CP data </w:t>
      </w:r>
      <w:r w:rsidRPr="00A81971">
        <w:rPr>
          <w:rFonts w:eastAsia="Times New Roman"/>
          <w:color w:val="000000" w:themeColor="text1"/>
        </w:rPr>
        <w:t>from the MLFS and A7 data from the OS</w:t>
      </w:r>
      <w:r w:rsidRPr="00A81971">
        <w:rPr>
          <w:rFonts w:eastAsia="Times New Roman"/>
        </w:rPr>
        <w:t xml:space="preserve"> were reviewed again by application of market sectors by chemical and applied to A7 HFC reported data to </w:t>
      </w:r>
      <w:r w:rsidRPr="00A81971">
        <w:rPr>
          <w:rFonts w:eastAsia="Times New Roman"/>
        </w:rPr>
        <w:lastRenderedPageBreak/>
        <w:t xml:space="preserve">derive a new percentage sector distribution by party cluster (and without 65% HCFC component). The new sector distribution is shown in </w:t>
      </w:r>
      <w:r w:rsidR="00024E9A">
        <w:rPr>
          <w:rFonts w:eastAsia="Times New Roman"/>
        </w:rPr>
        <w:t>Table 3.1</w:t>
      </w:r>
      <w:r w:rsidR="00444BCC">
        <w:rPr>
          <w:rFonts w:eastAsia="Times New Roman"/>
        </w:rPr>
        <w:t>8</w:t>
      </w:r>
      <w:r w:rsidR="00024E9A">
        <w:rPr>
          <w:rFonts w:eastAsia="Times New Roman"/>
        </w:rPr>
        <w:t>.</w:t>
      </w:r>
      <w:r w:rsidRPr="00A81971">
        <w:rPr>
          <w:rFonts w:eastAsia="Times New Roman"/>
          <w:color w:val="000000" w:themeColor="text1"/>
        </w:rPr>
        <w:t xml:space="preserve"> For the single</w:t>
      </w:r>
      <w:r w:rsidRPr="00A81971">
        <w:rPr>
          <w:rFonts w:eastAsia="Times New Roman"/>
          <w:color w:val="FF0000"/>
        </w:rPr>
        <w:t xml:space="preserve"> </w:t>
      </w:r>
      <w:r w:rsidRPr="00A81971">
        <w:rPr>
          <w:rFonts w:eastAsia="Times New Roman"/>
        </w:rPr>
        <w:t xml:space="preserve">country in the Top 10 G1 parties’ cluster </w:t>
      </w:r>
      <w:r w:rsidRPr="00A81971">
        <w:rPr>
          <w:rFonts w:eastAsia="Times New Roman"/>
          <w:b/>
          <w:bCs/>
          <w:i/>
          <w:iCs/>
        </w:rPr>
        <w:t>without a KIP,</w:t>
      </w:r>
      <w:r w:rsidRPr="00A81971">
        <w:rPr>
          <w:rFonts w:eastAsia="Times New Roman"/>
        </w:rPr>
        <w:t xml:space="preserve"> RTF used the country sector distribution reported in its Country Programme.</w:t>
      </w:r>
    </w:p>
    <w:p w14:paraId="66F02032" w14:textId="77777777" w:rsidR="007A6928" w:rsidRPr="00A81971" w:rsidRDefault="0032495C" w:rsidP="1E375DFC">
      <w:pPr>
        <w:keepNext/>
        <w:snapToGrid w:val="0"/>
        <w:spacing w:after="0" w:line="240" w:lineRule="atLeast"/>
        <w:rPr>
          <w:rFonts w:eastAsia="Times New Roman"/>
          <w:color w:val="000000" w:themeColor="text1"/>
        </w:rPr>
      </w:pPr>
      <w:r w:rsidRPr="00A81971">
        <w:rPr>
          <w:rFonts w:eastAsia="Times New Roman"/>
          <w:color w:val="000000" w:themeColor="text1"/>
        </w:rPr>
        <w:t xml:space="preserve"> </w:t>
      </w:r>
    </w:p>
    <w:p w14:paraId="251019DF" w14:textId="16E2E679" w:rsidR="00241E97" w:rsidRDefault="0032495C" w:rsidP="008A3973">
      <w:pPr>
        <w:spacing w:after="0"/>
        <w:rPr>
          <w:rFonts w:eastAsia="Times New Roman"/>
          <w:b/>
          <w:bCs/>
          <w:i/>
          <w:iCs/>
          <w:color w:val="000000" w:themeColor="text1"/>
        </w:rPr>
      </w:pPr>
      <w:r w:rsidRPr="0006445E">
        <w:rPr>
          <w:rFonts w:eastAsia="Yu Mincho"/>
          <w:b/>
          <w:bCs/>
          <w:color w:val="000000"/>
          <w:lang w:val="en-CA"/>
        </w:rPr>
        <w:t xml:space="preserve">Table </w:t>
      </w:r>
      <w:r>
        <w:rPr>
          <w:rFonts w:eastAsia="Yu Mincho"/>
          <w:b/>
          <w:bCs/>
          <w:color w:val="000000"/>
          <w:lang w:val="en-CA"/>
        </w:rPr>
        <w:t>3.1</w:t>
      </w:r>
      <w:r w:rsidR="00346DFD">
        <w:rPr>
          <w:rFonts w:eastAsia="Yu Mincho"/>
          <w:b/>
          <w:bCs/>
          <w:color w:val="000000"/>
          <w:lang w:val="en-CA"/>
        </w:rPr>
        <w:t>8</w:t>
      </w:r>
      <w:r w:rsidRPr="0006445E">
        <w:rPr>
          <w:rFonts w:eastAsia="Times New Roman"/>
          <w:color w:val="000000"/>
          <w:lang w:val="en-CA"/>
        </w:rPr>
        <w:tab/>
      </w:r>
      <w:r w:rsidRPr="00241E97">
        <w:rPr>
          <w:rFonts w:eastAsia="Times New Roman"/>
          <w:b/>
          <w:bCs/>
          <w:color w:val="000000" w:themeColor="text1"/>
        </w:rPr>
        <w:t>Sector Distribution of Consumption for parties without KIPs (%) applied to New Scenario 2a</w:t>
      </w:r>
    </w:p>
    <w:p w14:paraId="75BD5594" w14:textId="77777777" w:rsidR="007A6928" w:rsidRPr="00A81971" w:rsidRDefault="0032495C" w:rsidP="00AE640C">
      <w:pPr>
        <w:tabs>
          <w:tab w:val="left" w:pos="0"/>
          <w:tab w:val="left" w:pos="1276"/>
        </w:tabs>
        <w:spacing w:after="120"/>
        <w:ind w:left="1282" w:hanging="1282"/>
        <w:rPr>
          <w:rFonts w:eastAsia="Times New Roman"/>
          <w:b/>
          <w:bCs/>
          <w:i/>
          <w:iCs/>
          <w:color w:val="000000"/>
        </w:rPr>
      </w:pPr>
      <w:r w:rsidRPr="00A81971">
        <w:rPr>
          <w:noProof/>
        </w:rPr>
        <w:drawing>
          <wp:inline distT="0" distB="0" distL="0" distR="0" wp14:anchorId="142174A5" wp14:editId="681594D7">
            <wp:extent cx="6619875" cy="3238500"/>
            <wp:effectExtent l="0" t="0" r="9525" b="0"/>
            <wp:docPr id="14772798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79804" name="Picture 1477279804"/>
                    <pic:cNvPicPr/>
                  </pic:nvPicPr>
                  <pic:blipFill>
                    <a:blip r:embed="rId28">
                      <a:extLst>
                        <a:ext uri="{28A0092B-C50C-407E-A947-70E740481C1C}">
                          <a14:useLocalDpi xmlns:a14="http://schemas.microsoft.com/office/drawing/2010/main" val="0"/>
                        </a:ext>
                      </a:extLst>
                    </a:blip>
                    <a:stretch>
                      <a:fillRect/>
                    </a:stretch>
                  </pic:blipFill>
                  <pic:spPr>
                    <a:xfrm>
                      <a:off x="0" y="0"/>
                      <a:ext cx="6620216" cy="3238667"/>
                    </a:xfrm>
                    <a:prstGeom prst="rect">
                      <a:avLst/>
                    </a:prstGeom>
                  </pic:spPr>
                </pic:pic>
              </a:graphicData>
            </a:graphic>
          </wp:inline>
        </w:drawing>
      </w:r>
    </w:p>
    <w:p w14:paraId="5920FE13" w14:textId="77777777" w:rsidR="008A3973" w:rsidRDefault="008A3973">
      <w:pPr>
        <w:spacing w:after="0"/>
        <w:rPr>
          <w:rFonts w:eastAsia="Times New Roman"/>
        </w:rPr>
      </w:pPr>
      <w:r>
        <w:rPr>
          <w:rFonts w:eastAsia="Times New Roman"/>
        </w:rPr>
        <w:br w:type="page"/>
      </w:r>
    </w:p>
    <w:p w14:paraId="15CEEE6C" w14:textId="77777777" w:rsidR="008A3973" w:rsidRDefault="008A3973" w:rsidP="007A6928">
      <w:pPr>
        <w:spacing w:after="0"/>
        <w:textAlignment w:val="baseline"/>
        <w:rPr>
          <w:rFonts w:eastAsia="Times New Roman"/>
        </w:rPr>
        <w:sectPr w:rsidR="008A3973" w:rsidSect="008A3973">
          <w:pgSz w:w="11906" w:h="16838" w:code="9"/>
          <w:pgMar w:top="1411" w:right="1411" w:bottom="1411" w:left="1411" w:header="706" w:footer="706" w:gutter="0"/>
          <w:cols w:space="708"/>
          <w:docGrid w:linePitch="360"/>
        </w:sectPr>
      </w:pPr>
    </w:p>
    <w:p w14:paraId="7BCAB566" w14:textId="7A1A2C43" w:rsidR="007A6928" w:rsidRPr="00A81971" w:rsidRDefault="0032495C" w:rsidP="007A6928">
      <w:pPr>
        <w:spacing w:after="0"/>
        <w:textAlignment w:val="baseline"/>
        <w:rPr>
          <w:rFonts w:eastAsia="Times New Roman"/>
        </w:rPr>
      </w:pPr>
      <w:r w:rsidRPr="00A81971">
        <w:rPr>
          <w:rFonts w:eastAsia="Times New Roman"/>
        </w:rPr>
        <w:lastRenderedPageBreak/>
        <w:t>Estimated funding results can be seen in the following Tables 3.1</w:t>
      </w:r>
      <w:r w:rsidR="00444BCC">
        <w:rPr>
          <w:rFonts w:eastAsia="Times New Roman"/>
        </w:rPr>
        <w:t>9</w:t>
      </w:r>
      <w:r w:rsidRPr="00A81971">
        <w:rPr>
          <w:rFonts w:eastAsia="Times New Roman"/>
        </w:rPr>
        <w:t xml:space="preserve"> and 3.</w:t>
      </w:r>
      <w:r w:rsidR="00444BCC">
        <w:rPr>
          <w:rFonts w:eastAsia="Times New Roman"/>
        </w:rPr>
        <w:t>20</w:t>
      </w:r>
      <w:r w:rsidRPr="00A81971">
        <w:rPr>
          <w:rFonts w:eastAsia="Times New Roman"/>
        </w:rPr>
        <w:t>.</w:t>
      </w:r>
    </w:p>
    <w:p w14:paraId="2A9E1041" w14:textId="77777777" w:rsidR="007A6928" w:rsidRPr="00A81971" w:rsidRDefault="007A6928" w:rsidP="007A6928">
      <w:pPr>
        <w:spacing w:after="0"/>
        <w:textAlignment w:val="baseline"/>
        <w:rPr>
          <w:rFonts w:eastAsia="Times New Roman"/>
          <w:b/>
          <w:bCs/>
        </w:rPr>
      </w:pPr>
    </w:p>
    <w:p w14:paraId="0CE24D61" w14:textId="77777777" w:rsidR="007A6928" w:rsidRPr="00A81971" w:rsidRDefault="0032495C" w:rsidP="001C179A">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3.1</w:t>
      </w:r>
      <w:r w:rsidR="00444BCC">
        <w:rPr>
          <w:rFonts w:eastAsia="Yu Mincho"/>
          <w:b/>
          <w:bCs/>
          <w:color w:val="000000"/>
          <w:lang w:val="en-CA"/>
        </w:rPr>
        <w:t>9</w:t>
      </w:r>
      <w:r>
        <w:rPr>
          <w:rFonts w:eastAsia="Yu Mincho"/>
          <w:b/>
          <w:bCs/>
          <w:color w:val="000000"/>
          <w:lang w:val="en-CA"/>
        </w:rPr>
        <w:t>:</w:t>
      </w:r>
      <w:r w:rsidRPr="0006445E">
        <w:rPr>
          <w:rFonts w:eastAsia="Times New Roman"/>
          <w:color w:val="000000"/>
          <w:lang w:val="en-CA"/>
        </w:rPr>
        <w:tab/>
      </w:r>
      <w:r w:rsidRPr="00A81971">
        <w:rPr>
          <w:rFonts w:eastAsia="Times New Roman"/>
          <w:b/>
          <w:bCs/>
        </w:rPr>
        <w:t>Estimated Funding Applying New Scenario 2a (HFC Consumption) with Resource Allocation Schedule A*</w:t>
      </w:r>
      <w:r w:rsidR="28A930F7" w:rsidRPr="00A81971">
        <w:rPr>
          <w:rFonts w:eastAsia="Times New Roman"/>
          <w:b/>
          <w:bCs/>
        </w:rPr>
        <w:t xml:space="preserve"> </w:t>
      </w:r>
    </w:p>
    <w:p w14:paraId="60BF4BD1" w14:textId="77777777" w:rsidR="007A6928" w:rsidRPr="00A81971" w:rsidRDefault="0032495C" w:rsidP="28A930F7">
      <w:pPr>
        <w:spacing w:after="0"/>
        <w:textAlignment w:val="baseline"/>
      </w:pPr>
      <w:r w:rsidRPr="00A81971">
        <w:rPr>
          <w:noProof/>
        </w:rPr>
        <w:drawing>
          <wp:inline distT="0" distB="0" distL="0" distR="0" wp14:anchorId="116CD753" wp14:editId="178D423A">
            <wp:extent cx="9196377" cy="4114800"/>
            <wp:effectExtent l="0" t="0" r="5080" b="0"/>
            <wp:docPr id="12552630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63057" name="Picture 1255263057"/>
                    <pic:cNvPicPr/>
                  </pic:nvPicPr>
                  <pic:blipFill>
                    <a:blip r:embed="rId29">
                      <a:extLst>
                        <a:ext uri="{28A0092B-C50C-407E-A947-70E740481C1C}">
                          <a14:useLocalDpi xmlns:a14="http://schemas.microsoft.com/office/drawing/2010/main" val="0"/>
                        </a:ext>
                      </a:extLst>
                    </a:blip>
                    <a:stretch>
                      <a:fillRect/>
                    </a:stretch>
                  </pic:blipFill>
                  <pic:spPr>
                    <a:xfrm>
                      <a:off x="0" y="0"/>
                      <a:ext cx="9234810" cy="4131996"/>
                    </a:xfrm>
                    <a:prstGeom prst="rect">
                      <a:avLst/>
                    </a:prstGeom>
                  </pic:spPr>
                </pic:pic>
              </a:graphicData>
            </a:graphic>
          </wp:inline>
        </w:drawing>
      </w:r>
    </w:p>
    <w:p w14:paraId="25CC7901" w14:textId="77777777" w:rsidR="007A6928" w:rsidRPr="00A81971" w:rsidRDefault="0032495C" w:rsidP="007A6928">
      <w:pPr>
        <w:spacing w:after="0"/>
        <w:textAlignment w:val="baseline"/>
        <w:rPr>
          <w:rFonts w:eastAsia="Times New Roman"/>
          <w:color w:val="000000"/>
          <w:sz w:val="18"/>
          <w:szCs w:val="18"/>
        </w:rPr>
      </w:pPr>
      <w:r w:rsidRPr="00A81971">
        <w:rPr>
          <w:rFonts w:eastAsia="Times New Roman"/>
          <w:color w:val="000000"/>
          <w:sz w:val="18"/>
          <w:szCs w:val="18"/>
        </w:rPr>
        <w:t>*Using as the basis the “updated RTF May Report, Scenario 1” and applying Resource Allocation Schedule A, including PMUs</w:t>
      </w:r>
    </w:p>
    <w:p w14:paraId="304ADA4E" w14:textId="77777777" w:rsidR="007A6928" w:rsidRPr="00A81971" w:rsidRDefault="007A6928" w:rsidP="007A6928">
      <w:pPr>
        <w:spacing w:after="0"/>
        <w:textAlignment w:val="baseline"/>
        <w:rPr>
          <w:rFonts w:eastAsia="Times New Roman"/>
        </w:rPr>
      </w:pPr>
    </w:p>
    <w:p w14:paraId="42A5ABFE" w14:textId="77777777" w:rsidR="001C179A" w:rsidRDefault="0032495C">
      <w:pPr>
        <w:spacing w:after="0"/>
        <w:rPr>
          <w:rFonts w:eastAsia="Times New Roman"/>
          <w:b/>
          <w:bCs/>
        </w:rPr>
      </w:pPr>
      <w:r>
        <w:rPr>
          <w:rFonts w:eastAsia="Times New Roman"/>
          <w:b/>
          <w:bCs/>
        </w:rPr>
        <w:br w:type="page"/>
      </w:r>
    </w:p>
    <w:p w14:paraId="68C3F7F4" w14:textId="77777777" w:rsidR="007A6928" w:rsidRPr="00A81971" w:rsidRDefault="0032495C" w:rsidP="00745D94">
      <w:pPr>
        <w:tabs>
          <w:tab w:val="left" w:pos="0"/>
          <w:tab w:val="left" w:pos="1276"/>
        </w:tabs>
        <w:spacing w:after="120"/>
        <w:ind w:left="1282" w:hanging="1282"/>
        <w:rPr>
          <w:rFonts w:eastAsia="Times New Roman"/>
          <w:b/>
          <w:bCs/>
        </w:rPr>
      </w:pPr>
      <w:r w:rsidRPr="0006445E">
        <w:rPr>
          <w:rFonts w:eastAsia="Yu Mincho"/>
          <w:b/>
          <w:bCs/>
          <w:color w:val="000000"/>
          <w:lang w:val="en-CA"/>
        </w:rPr>
        <w:lastRenderedPageBreak/>
        <w:t xml:space="preserve">Table </w:t>
      </w:r>
      <w:r>
        <w:rPr>
          <w:rFonts w:eastAsia="Yu Mincho"/>
          <w:b/>
          <w:bCs/>
          <w:color w:val="000000"/>
          <w:lang w:val="en-CA"/>
        </w:rPr>
        <w:t>3.</w:t>
      </w:r>
      <w:r w:rsidR="00444BCC">
        <w:rPr>
          <w:rFonts w:eastAsia="Yu Mincho"/>
          <w:b/>
          <w:bCs/>
          <w:color w:val="000000"/>
          <w:lang w:val="en-CA"/>
        </w:rPr>
        <w:t>20</w:t>
      </w:r>
      <w:r>
        <w:rPr>
          <w:rFonts w:eastAsia="Yu Mincho"/>
          <w:b/>
          <w:bCs/>
          <w:color w:val="000000"/>
          <w:lang w:val="en-CA"/>
        </w:rPr>
        <w:t>:</w:t>
      </w:r>
      <w:r w:rsidRPr="0006445E">
        <w:rPr>
          <w:rFonts w:eastAsia="Times New Roman"/>
          <w:color w:val="000000"/>
          <w:lang w:val="en-CA"/>
        </w:rPr>
        <w:tab/>
      </w:r>
      <w:r w:rsidRPr="00A81971">
        <w:rPr>
          <w:rFonts w:eastAsia="Times New Roman"/>
          <w:b/>
          <w:bCs/>
        </w:rPr>
        <w:t>Estimated Funding Applying New Scenario 2a (HFC Consumption) with Resource Allocation B*</w:t>
      </w:r>
      <w:r w:rsidR="34B0439A" w:rsidRPr="00A81971">
        <w:rPr>
          <w:rFonts w:eastAsia="Times New Roman"/>
          <w:b/>
          <w:bCs/>
        </w:rPr>
        <w:t xml:space="preserve"> </w:t>
      </w:r>
    </w:p>
    <w:p w14:paraId="410C2CD3" w14:textId="77777777" w:rsidR="007A6928" w:rsidRPr="00A81971" w:rsidRDefault="0032495C" w:rsidP="28A930F7">
      <w:pPr>
        <w:spacing w:after="0"/>
        <w:textAlignment w:val="baseline"/>
      </w:pPr>
      <w:r w:rsidRPr="00A81971">
        <w:rPr>
          <w:noProof/>
        </w:rPr>
        <w:drawing>
          <wp:inline distT="0" distB="0" distL="0" distR="0" wp14:anchorId="213271F4" wp14:editId="274A710A">
            <wp:extent cx="9049454" cy="4381500"/>
            <wp:effectExtent l="0" t="0" r="0" b="0"/>
            <wp:docPr id="1558298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9868" name="Picture 155829868"/>
                    <pic:cNvPicPr/>
                  </pic:nvPicPr>
                  <pic:blipFill>
                    <a:blip r:embed="rId30">
                      <a:extLst>
                        <a:ext uri="{28A0092B-C50C-407E-A947-70E740481C1C}">
                          <a14:useLocalDpi xmlns:a14="http://schemas.microsoft.com/office/drawing/2010/main" val="0"/>
                        </a:ext>
                      </a:extLst>
                    </a:blip>
                    <a:stretch>
                      <a:fillRect/>
                    </a:stretch>
                  </pic:blipFill>
                  <pic:spPr>
                    <a:xfrm>
                      <a:off x="0" y="0"/>
                      <a:ext cx="9073301" cy="4393046"/>
                    </a:xfrm>
                    <a:prstGeom prst="rect">
                      <a:avLst/>
                    </a:prstGeom>
                  </pic:spPr>
                </pic:pic>
              </a:graphicData>
            </a:graphic>
          </wp:inline>
        </w:drawing>
      </w:r>
    </w:p>
    <w:p w14:paraId="0B2064AF" w14:textId="77777777" w:rsidR="007A6928" w:rsidRPr="00A81971" w:rsidRDefault="0032495C" w:rsidP="007A6928">
      <w:pPr>
        <w:rPr>
          <w:rFonts w:eastAsia="Times New Roman"/>
          <w:color w:val="000000"/>
        </w:rPr>
      </w:pPr>
      <w:r w:rsidRPr="00A81971">
        <w:rPr>
          <w:rFonts w:eastAsia="Times New Roman"/>
          <w:color w:val="000000" w:themeColor="text1"/>
          <w:sz w:val="18"/>
          <w:szCs w:val="18"/>
        </w:rPr>
        <w:t>*Using as the basis the “updated RTF May Report, Scenario 1” and applying Resource Allocation Schedule B, including PMUs</w:t>
      </w:r>
    </w:p>
    <w:p w14:paraId="1CC5D76E" w14:textId="77777777" w:rsidR="007A6928" w:rsidRPr="00A81971" w:rsidRDefault="0032495C" w:rsidP="2E7655E2">
      <w:pPr>
        <w:rPr>
          <w:rFonts w:ascii="Times New Roman Bold" w:eastAsia="Times New Roman Bold" w:hAnsi="Times New Roman Bold" w:cs="Times New Roman Bold"/>
          <w:color w:val="242424"/>
        </w:rPr>
      </w:pPr>
      <w:r w:rsidRPr="005F54B8">
        <w:rPr>
          <w:rFonts w:eastAsia="Times New Roman"/>
          <w:b/>
          <w:bCs/>
          <w:color w:val="000000" w:themeColor="text1"/>
        </w:rPr>
        <w:t>The funding estimated for New Scenario 2a for KIPs, using Resource Allocation A and B, shows a reduction of US$ 146 million (US$ 864 - US$ 718) and US$ 117 (US$ 516 – US$ 449) million respectively when compared with the Updated RTF May Report.</w:t>
      </w:r>
      <w:r w:rsidRPr="2E7655E2">
        <w:rPr>
          <w:rFonts w:eastAsia="Times New Roman"/>
          <w:color w:val="000000" w:themeColor="text1"/>
        </w:rPr>
        <w:t xml:space="preserve"> </w:t>
      </w:r>
      <w:r w:rsidRPr="2E7655E2">
        <w:rPr>
          <w:rFonts w:ascii="Times New Roman Bold" w:eastAsia="Times New Roman Bold" w:hAnsi="Times New Roman Bold" w:cs="Times New Roman Bold"/>
          <w:color w:val="242424"/>
        </w:rPr>
        <w:t>Nevertheless, Scenario 2a is an illustrative sensitivity scenario and is not directly comparable with the main estimated funding range. It involves a considerable change in methodology, including the use of recently reported consumption for Parties without KIPs, while approved KIPs are not recalculated because their funding commitments and agreed reductions have already been established.</w:t>
      </w:r>
    </w:p>
    <w:p w14:paraId="7B00F213" w14:textId="77777777" w:rsidR="008A3973" w:rsidRDefault="008A3973" w:rsidP="00D82C23">
      <w:pPr>
        <w:pStyle w:val="Heading3"/>
        <w:rPr>
          <w:rFonts w:eastAsia="Times New Roman"/>
        </w:rPr>
        <w:sectPr w:rsidR="008A3973" w:rsidSect="008A3973">
          <w:pgSz w:w="16838" w:h="11906" w:orient="landscape" w:code="9"/>
          <w:pgMar w:top="1411" w:right="1411" w:bottom="1411" w:left="1411" w:header="706" w:footer="706" w:gutter="0"/>
          <w:cols w:space="708"/>
          <w:docGrid w:linePitch="360"/>
        </w:sectPr>
      </w:pPr>
    </w:p>
    <w:p w14:paraId="6CE65872" w14:textId="77777777" w:rsidR="007A6928" w:rsidRPr="00A81971" w:rsidRDefault="0032495C" w:rsidP="00D82C23">
      <w:pPr>
        <w:pStyle w:val="Heading3"/>
        <w:rPr>
          <w:rFonts w:eastAsia="Times New Roman"/>
        </w:rPr>
      </w:pPr>
      <w:r w:rsidRPr="00A81971">
        <w:rPr>
          <w:rFonts w:eastAsia="Times New Roman"/>
        </w:rPr>
        <w:lastRenderedPageBreak/>
        <w:t>3.4.2</w:t>
      </w:r>
      <w:r w:rsidRPr="00A81971">
        <w:tab/>
      </w:r>
      <w:r w:rsidRPr="00FE5C31">
        <w:t xml:space="preserve">Scenario 2b for KIPs: Realistic project implementation timelines such as modifying resources allocation schedule A for </w:t>
      </w:r>
      <w:r w:rsidR="00771C82" w:rsidRPr="00FE5C31">
        <w:t>Stage</w:t>
      </w:r>
      <w:r w:rsidRPr="00FE5C31">
        <w:t xml:space="preserve"> II KIPs and to take into account rates of ratification for remaining non-parties to the Kigali Amendment</w:t>
      </w:r>
    </w:p>
    <w:p w14:paraId="5BDC042D" w14:textId="77777777" w:rsidR="007A6928" w:rsidRPr="00A81971" w:rsidRDefault="0032495C" w:rsidP="6BE7DEEC">
      <w:pPr>
        <w:rPr>
          <w:rFonts w:eastAsia="Times New Roman"/>
        </w:rPr>
      </w:pPr>
      <w:r w:rsidRPr="00A81971">
        <w:rPr>
          <w:rFonts w:eastAsia="Times New Roman"/>
        </w:rPr>
        <w:t xml:space="preserve">RTF modified the Resource Allocation Schedule A (from RTF Updated May Report) to account for a series of proposed new percentage allocations for the 2027-2029 triennium, using a reduced pace for the introduction of Stage II KIPs, and for the ratification pace applied to the non-parties to the KA (as of 10 August 2026) for both </w:t>
      </w:r>
      <w:r w:rsidR="7A93107A" w:rsidRPr="00A81971">
        <w:rPr>
          <w:rFonts w:eastAsia="Times New Roman"/>
        </w:rPr>
        <w:t xml:space="preserve">A5 </w:t>
      </w:r>
      <w:r w:rsidRPr="00A81971">
        <w:rPr>
          <w:rFonts w:eastAsia="Times New Roman"/>
        </w:rPr>
        <w:t>G1 and</w:t>
      </w:r>
      <w:r w:rsidR="7A93107A" w:rsidRPr="00A81971">
        <w:rPr>
          <w:rFonts w:eastAsia="Times New Roman"/>
        </w:rPr>
        <w:t xml:space="preserve"> A5</w:t>
      </w:r>
      <w:r w:rsidRPr="00A81971">
        <w:rPr>
          <w:rFonts w:eastAsia="Times New Roman"/>
        </w:rPr>
        <w:t xml:space="preserve"> G2 groups.  The following changes in resource allocation (in </w:t>
      </w:r>
      <w:r w:rsidRPr="00A7141E">
        <w:rPr>
          <w:rFonts w:eastAsia="Times New Roman"/>
          <w:color w:val="FF0000"/>
        </w:rPr>
        <w:t>red</w:t>
      </w:r>
      <w:r w:rsidRPr="00A81971">
        <w:rPr>
          <w:rFonts w:eastAsia="Times New Roman"/>
        </w:rPr>
        <w:t>), are presented in Table 3.</w:t>
      </w:r>
      <w:r w:rsidR="00F21CF5">
        <w:rPr>
          <w:rFonts w:eastAsia="Times New Roman"/>
        </w:rPr>
        <w:t>2</w:t>
      </w:r>
      <w:r w:rsidR="00444BCC">
        <w:rPr>
          <w:rFonts w:eastAsia="Times New Roman"/>
        </w:rPr>
        <w:t>1</w:t>
      </w:r>
      <w:r w:rsidRPr="00A81971">
        <w:rPr>
          <w:rFonts w:eastAsia="Times New Roman"/>
        </w:rPr>
        <w:t>.</w:t>
      </w:r>
    </w:p>
    <w:p w14:paraId="22990871" w14:textId="77777777" w:rsidR="007A6928" w:rsidRPr="00A81971" w:rsidRDefault="0032495C" w:rsidP="34B0439A">
      <w:pPr>
        <w:jc w:val="center"/>
        <w:rPr>
          <w:rFonts w:eastAsia="Times New Roman"/>
          <w:b/>
          <w:bCs/>
        </w:rPr>
      </w:pPr>
      <w:r w:rsidRPr="0006445E">
        <w:rPr>
          <w:rFonts w:eastAsia="Yu Mincho"/>
          <w:b/>
          <w:bCs/>
          <w:color w:val="000000"/>
          <w:lang w:val="en-CA"/>
        </w:rPr>
        <w:t xml:space="preserve">Table </w:t>
      </w:r>
      <w:r>
        <w:rPr>
          <w:rFonts w:eastAsia="Yu Mincho"/>
          <w:b/>
          <w:bCs/>
          <w:color w:val="000000"/>
          <w:lang w:val="en-CA"/>
        </w:rPr>
        <w:t>3.2</w:t>
      </w:r>
      <w:r w:rsidR="00444BCC">
        <w:rPr>
          <w:rFonts w:eastAsia="Yu Mincho"/>
          <w:b/>
          <w:bCs/>
          <w:color w:val="000000"/>
          <w:lang w:val="en-CA"/>
        </w:rPr>
        <w:t>1</w:t>
      </w:r>
      <w:r>
        <w:rPr>
          <w:rFonts w:eastAsia="Yu Mincho"/>
          <w:b/>
          <w:bCs/>
          <w:color w:val="000000"/>
          <w:lang w:val="en-CA"/>
        </w:rPr>
        <w:t>:</w:t>
      </w:r>
      <w:r w:rsidRPr="0006445E">
        <w:rPr>
          <w:rFonts w:eastAsia="Times New Roman"/>
          <w:color w:val="000000"/>
          <w:lang w:val="en-CA"/>
        </w:rPr>
        <w:tab/>
      </w:r>
      <w:r w:rsidRPr="00A81971">
        <w:rPr>
          <w:rFonts w:eastAsia="Times New Roman"/>
          <w:b/>
          <w:bCs/>
        </w:rPr>
        <w:t>New suggested changes in resource allocation to Schedule A for Stage II KIPs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1453"/>
        <w:gridCol w:w="2610"/>
        <w:gridCol w:w="2599"/>
      </w:tblGrid>
      <w:tr w:rsidR="00F90461" w14:paraId="10C9D799" w14:textId="77777777" w:rsidTr="7A93107A">
        <w:trPr>
          <w:trHeight w:val="495"/>
        </w:trPr>
        <w:tc>
          <w:tcPr>
            <w:tcW w:w="2412" w:type="dxa"/>
            <w:shd w:val="clear" w:color="auto" w:fill="D9E2F3" w:themeFill="accent1" w:themeFillTint="33"/>
            <w:tcMar>
              <w:left w:w="108" w:type="dxa"/>
              <w:right w:w="108" w:type="dxa"/>
            </w:tcMar>
            <w:vAlign w:val="center"/>
          </w:tcPr>
          <w:p w14:paraId="63E5A593"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Group</w:t>
            </w:r>
          </w:p>
        </w:tc>
        <w:tc>
          <w:tcPr>
            <w:tcW w:w="1453" w:type="dxa"/>
            <w:shd w:val="clear" w:color="auto" w:fill="D9E2F3" w:themeFill="accent1" w:themeFillTint="33"/>
            <w:tcMar>
              <w:left w:w="108" w:type="dxa"/>
              <w:right w:w="108" w:type="dxa"/>
            </w:tcMar>
            <w:vAlign w:val="center"/>
          </w:tcPr>
          <w:p w14:paraId="7C0DE006"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KIP Stage</w:t>
            </w:r>
          </w:p>
        </w:tc>
        <w:tc>
          <w:tcPr>
            <w:tcW w:w="2610" w:type="dxa"/>
            <w:shd w:val="clear" w:color="auto" w:fill="C5E0B3" w:themeFill="accent6" w:themeFillTint="66"/>
            <w:tcMar>
              <w:left w:w="108" w:type="dxa"/>
              <w:right w:w="108" w:type="dxa"/>
            </w:tcMar>
            <w:vAlign w:val="center"/>
          </w:tcPr>
          <w:p w14:paraId="3B584E66"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Schedule A</w:t>
            </w:r>
          </w:p>
          <w:p w14:paraId="45C48196"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 per triennium)</w:t>
            </w:r>
          </w:p>
        </w:tc>
        <w:tc>
          <w:tcPr>
            <w:tcW w:w="2599" w:type="dxa"/>
            <w:shd w:val="clear" w:color="auto" w:fill="FFE599" w:themeFill="accent4" w:themeFillTint="66"/>
            <w:tcMar>
              <w:left w:w="108" w:type="dxa"/>
              <w:right w:w="108" w:type="dxa"/>
            </w:tcMar>
            <w:vAlign w:val="center"/>
          </w:tcPr>
          <w:p w14:paraId="1EAC2BDD"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Modified Schedule A for KIPs Stage II</w:t>
            </w:r>
          </w:p>
          <w:p w14:paraId="4E1B84FE" w14:textId="77777777" w:rsidR="007A6928" w:rsidRPr="00A81971" w:rsidRDefault="0032495C" w:rsidP="007A6928">
            <w:pPr>
              <w:spacing w:after="0"/>
              <w:jc w:val="center"/>
              <w:rPr>
                <w:rFonts w:eastAsia="Times New Roman"/>
                <w:b/>
                <w:bCs/>
                <w:color w:val="000000"/>
                <w:sz w:val="24"/>
                <w:szCs w:val="24"/>
              </w:rPr>
            </w:pPr>
            <w:r w:rsidRPr="00A81971">
              <w:rPr>
                <w:rFonts w:eastAsia="Times New Roman"/>
                <w:b/>
                <w:bCs/>
                <w:color w:val="000000"/>
                <w:sz w:val="24"/>
                <w:szCs w:val="24"/>
              </w:rPr>
              <w:t>(% per triennium)</w:t>
            </w:r>
          </w:p>
        </w:tc>
      </w:tr>
      <w:tr w:rsidR="00F90461" w14:paraId="615124FE" w14:textId="77777777" w:rsidTr="7A93107A">
        <w:trPr>
          <w:trHeight w:val="495"/>
        </w:trPr>
        <w:tc>
          <w:tcPr>
            <w:tcW w:w="2412" w:type="dxa"/>
            <w:vMerge w:val="restart"/>
            <w:tcMar>
              <w:left w:w="108" w:type="dxa"/>
              <w:right w:w="108" w:type="dxa"/>
            </w:tcMar>
            <w:vAlign w:val="center"/>
          </w:tcPr>
          <w:p w14:paraId="2A60BB76" w14:textId="77777777" w:rsidR="007A6928" w:rsidRPr="00A81971" w:rsidRDefault="0032495C" w:rsidP="007A6928">
            <w:pPr>
              <w:spacing w:after="0"/>
              <w:rPr>
                <w:rFonts w:eastAsia="Times New Roman"/>
                <w:sz w:val="24"/>
                <w:szCs w:val="24"/>
              </w:rPr>
            </w:pPr>
            <w:r w:rsidRPr="00A81971">
              <w:rPr>
                <w:rFonts w:eastAsia="Times New Roman"/>
                <w:sz w:val="24"/>
                <w:szCs w:val="24"/>
              </w:rPr>
              <w:t xml:space="preserve">G1 parties without approved KIPs </w:t>
            </w:r>
          </w:p>
        </w:tc>
        <w:tc>
          <w:tcPr>
            <w:tcW w:w="1453" w:type="dxa"/>
            <w:tcMar>
              <w:left w:w="108" w:type="dxa"/>
              <w:right w:w="108" w:type="dxa"/>
            </w:tcMar>
            <w:vAlign w:val="center"/>
          </w:tcPr>
          <w:p w14:paraId="5C045E27" w14:textId="77777777" w:rsidR="007A6928" w:rsidRPr="00A81971" w:rsidRDefault="0032495C" w:rsidP="007A6928">
            <w:pPr>
              <w:spacing w:after="0"/>
              <w:jc w:val="center"/>
              <w:rPr>
                <w:rFonts w:eastAsia="Times New Roman"/>
                <w:sz w:val="24"/>
                <w:szCs w:val="24"/>
              </w:rPr>
            </w:pPr>
            <w:r w:rsidRPr="00A81971">
              <w:rPr>
                <w:rFonts w:eastAsia="Times New Roman"/>
                <w:sz w:val="24"/>
                <w:szCs w:val="24"/>
              </w:rPr>
              <w:t>I</w:t>
            </w:r>
          </w:p>
        </w:tc>
        <w:tc>
          <w:tcPr>
            <w:tcW w:w="2610" w:type="dxa"/>
            <w:shd w:val="clear" w:color="auto" w:fill="E2EFD9" w:themeFill="accent6" w:themeFillTint="33"/>
            <w:tcMar>
              <w:left w:w="108" w:type="dxa"/>
              <w:right w:w="108" w:type="dxa"/>
            </w:tcMar>
            <w:vAlign w:val="center"/>
          </w:tcPr>
          <w:p w14:paraId="2E9CF887"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100% - 2027-2029</w:t>
            </w:r>
          </w:p>
        </w:tc>
        <w:tc>
          <w:tcPr>
            <w:tcW w:w="2599" w:type="dxa"/>
            <w:shd w:val="clear" w:color="auto" w:fill="FFF2CC" w:themeFill="accent4" w:themeFillTint="33"/>
            <w:tcMar>
              <w:left w:w="108" w:type="dxa"/>
              <w:right w:w="108" w:type="dxa"/>
            </w:tcMar>
            <w:vAlign w:val="center"/>
          </w:tcPr>
          <w:p w14:paraId="56F71E45"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No change</w:t>
            </w:r>
          </w:p>
        </w:tc>
      </w:tr>
      <w:tr w:rsidR="00F90461" w14:paraId="0FC79302" w14:textId="77777777" w:rsidTr="7A93107A">
        <w:trPr>
          <w:trHeight w:val="420"/>
        </w:trPr>
        <w:tc>
          <w:tcPr>
            <w:tcW w:w="2412" w:type="dxa"/>
            <w:vMerge/>
            <w:vAlign w:val="center"/>
          </w:tcPr>
          <w:p w14:paraId="0104FBA5" w14:textId="77777777" w:rsidR="007A6928" w:rsidRPr="00A81971" w:rsidRDefault="007A6928" w:rsidP="007A6928"/>
        </w:tc>
        <w:tc>
          <w:tcPr>
            <w:tcW w:w="1453" w:type="dxa"/>
            <w:tcMar>
              <w:left w:w="108" w:type="dxa"/>
              <w:right w:w="108" w:type="dxa"/>
            </w:tcMar>
            <w:vAlign w:val="center"/>
          </w:tcPr>
          <w:p w14:paraId="3736947A" w14:textId="77777777" w:rsidR="007A6928" w:rsidRPr="00A81971" w:rsidRDefault="0032495C" w:rsidP="007A6928">
            <w:pPr>
              <w:spacing w:after="0"/>
              <w:jc w:val="center"/>
              <w:rPr>
                <w:rFonts w:eastAsia="Times New Roman"/>
                <w:b/>
                <w:bCs/>
                <w:color w:val="FF0000"/>
                <w:sz w:val="24"/>
                <w:szCs w:val="24"/>
              </w:rPr>
            </w:pPr>
            <w:r w:rsidRPr="00A81971">
              <w:rPr>
                <w:rFonts w:eastAsia="Times New Roman"/>
                <w:b/>
                <w:bCs/>
                <w:color w:val="FF0000"/>
                <w:sz w:val="24"/>
                <w:szCs w:val="24"/>
              </w:rPr>
              <w:t>II</w:t>
            </w:r>
          </w:p>
        </w:tc>
        <w:tc>
          <w:tcPr>
            <w:tcW w:w="2610" w:type="dxa"/>
            <w:shd w:val="clear" w:color="auto" w:fill="E2EFD9" w:themeFill="accent6" w:themeFillTint="33"/>
            <w:tcMar>
              <w:left w:w="108" w:type="dxa"/>
              <w:right w:w="108" w:type="dxa"/>
            </w:tcMar>
            <w:vAlign w:val="center"/>
          </w:tcPr>
          <w:p w14:paraId="43EAD441"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60% - 2030-2032</w:t>
            </w:r>
          </w:p>
          <w:p w14:paraId="22DD8EF1"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40% - 2033-2035</w:t>
            </w:r>
          </w:p>
        </w:tc>
        <w:tc>
          <w:tcPr>
            <w:tcW w:w="2599" w:type="dxa"/>
            <w:shd w:val="clear" w:color="auto" w:fill="FFF2CC" w:themeFill="accent4" w:themeFillTint="33"/>
            <w:tcMar>
              <w:left w:w="108" w:type="dxa"/>
              <w:right w:w="108" w:type="dxa"/>
            </w:tcMar>
            <w:vAlign w:val="center"/>
          </w:tcPr>
          <w:p w14:paraId="28C17869" w14:textId="77777777" w:rsidR="007A6928" w:rsidRPr="00A81971" w:rsidRDefault="0032495C" w:rsidP="007A6928">
            <w:pPr>
              <w:spacing w:after="0"/>
              <w:jc w:val="center"/>
              <w:rPr>
                <w:rFonts w:eastAsia="Times New Roman"/>
                <w:b/>
                <w:bCs/>
                <w:color w:val="FF0000"/>
                <w:sz w:val="24"/>
                <w:szCs w:val="24"/>
              </w:rPr>
            </w:pPr>
            <w:r w:rsidRPr="00A81971">
              <w:rPr>
                <w:rFonts w:eastAsia="Times New Roman"/>
                <w:b/>
                <w:bCs/>
                <w:color w:val="FF0000"/>
                <w:sz w:val="24"/>
                <w:szCs w:val="24"/>
              </w:rPr>
              <w:t>30% - 2030-2032</w:t>
            </w:r>
          </w:p>
          <w:p w14:paraId="21352B37" w14:textId="77777777" w:rsidR="007A6928" w:rsidRPr="00A81971" w:rsidRDefault="0032495C" w:rsidP="007A6928">
            <w:pPr>
              <w:spacing w:after="0"/>
              <w:jc w:val="center"/>
              <w:rPr>
                <w:rFonts w:eastAsia="Times New Roman"/>
                <w:color w:val="FF0000"/>
                <w:sz w:val="24"/>
                <w:szCs w:val="24"/>
              </w:rPr>
            </w:pPr>
            <w:r w:rsidRPr="00A81971">
              <w:rPr>
                <w:rFonts w:eastAsia="Times New Roman"/>
                <w:b/>
                <w:bCs/>
                <w:color w:val="FF0000"/>
                <w:sz w:val="24"/>
                <w:szCs w:val="24"/>
              </w:rPr>
              <w:t>70% - 2033-2035</w:t>
            </w:r>
          </w:p>
        </w:tc>
      </w:tr>
      <w:tr w:rsidR="00F90461" w14:paraId="311BD0B4" w14:textId="77777777" w:rsidTr="7A93107A">
        <w:trPr>
          <w:trHeight w:val="390"/>
        </w:trPr>
        <w:tc>
          <w:tcPr>
            <w:tcW w:w="2412" w:type="dxa"/>
            <w:tcMar>
              <w:left w:w="108" w:type="dxa"/>
              <w:right w:w="108" w:type="dxa"/>
            </w:tcMar>
            <w:vAlign w:val="center"/>
          </w:tcPr>
          <w:p w14:paraId="765F65C7" w14:textId="77777777" w:rsidR="007A6928" w:rsidRPr="00A81971" w:rsidRDefault="0032495C" w:rsidP="007A6928">
            <w:pPr>
              <w:spacing w:after="0"/>
              <w:rPr>
                <w:rFonts w:eastAsia="Times New Roman"/>
                <w:sz w:val="24"/>
                <w:szCs w:val="24"/>
              </w:rPr>
            </w:pPr>
            <w:r w:rsidRPr="00A81971">
              <w:rPr>
                <w:rFonts w:eastAsia="Times New Roman"/>
                <w:sz w:val="24"/>
                <w:szCs w:val="24"/>
              </w:rPr>
              <w:t xml:space="preserve">A5 G1 parties with approved KIPs </w:t>
            </w:r>
            <w:r w:rsidR="00771C82">
              <w:rPr>
                <w:rFonts w:eastAsia="Times New Roman"/>
                <w:sz w:val="24"/>
                <w:szCs w:val="24"/>
              </w:rPr>
              <w:t>S</w:t>
            </w:r>
            <w:r w:rsidRPr="00A81971">
              <w:rPr>
                <w:rFonts w:eastAsia="Times New Roman"/>
                <w:sz w:val="24"/>
                <w:szCs w:val="24"/>
              </w:rPr>
              <w:t xml:space="preserve">tage I  </w:t>
            </w:r>
          </w:p>
        </w:tc>
        <w:tc>
          <w:tcPr>
            <w:tcW w:w="1453" w:type="dxa"/>
            <w:tcMar>
              <w:left w:w="108" w:type="dxa"/>
              <w:right w:w="108" w:type="dxa"/>
            </w:tcMar>
            <w:vAlign w:val="center"/>
          </w:tcPr>
          <w:p w14:paraId="44D06A05" w14:textId="77777777" w:rsidR="007A6928" w:rsidRPr="00A81971" w:rsidRDefault="0032495C" w:rsidP="007A6928">
            <w:pPr>
              <w:spacing w:after="0"/>
              <w:jc w:val="center"/>
              <w:rPr>
                <w:rFonts w:eastAsia="Times New Roman"/>
                <w:b/>
                <w:bCs/>
                <w:color w:val="FF0000"/>
                <w:sz w:val="24"/>
                <w:szCs w:val="24"/>
              </w:rPr>
            </w:pPr>
            <w:r w:rsidRPr="00A81971">
              <w:rPr>
                <w:rFonts w:eastAsia="Times New Roman"/>
                <w:b/>
                <w:bCs/>
                <w:color w:val="FF0000"/>
                <w:sz w:val="24"/>
                <w:szCs w:val="24"/>
              </w:rPr>
              <w:t>II</w:t>
            </w:r>
          </w:p>
        </w:tc>
        <w:tc>
          <w:tcPr>
            <w:tcW w:w="2610" w:type="dxa"/>
            <w:shd w:val="clear" w:color="auto" w:fill="E2EFD9" w:themeFill="accent6" w:themeFillTint="33"/>
            <w:tcMar>
              <w:left w:w="108" w:type="dxa"/>
              <w:right w:w="108" w:type="dxa"/>
            </w:tcMar>
            <w:vAlign w:val="center"/>
          </w:tcPr>
          <w:p w14:paraId="0A801CDC"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60% - 2027-2029</w:t>
            </w:r>
          </w:p>
          <w:p w14:paraId="6FDFCBA2"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40% - 2030-2032</w:t>
            </w:r>
          </w:p>
        </w:tc>
        <w:tc>
          <w:tcPr>
            <w:tcW w:w="2599" w:type="dxa"/>
            <w:shd w:val="clear" w:color="auto" w:fill="FFF2CC" w:themeFill="accent4" w:themeFillTint="33"/>
            <w:tcMar>
              <w:left w:w="108" w:type="dxa"/>
              <w:right w:w="108" w:type="dxa"/>
            </w:tcMar>
            <w:vAlign w:val="center"/>
          </w:tcPr>
          <w:p w14:paraId="7793EA07" w14:textId="77777777" w:rsidR="007A6928" w:rsidRPr="00A81971" w:rsidRDefault="0032495C" w:rsidP="007A6928">
            <w:pPr>
              <w:spacing w:after="0"/>
              <w:jc w:val="center"/>
              <w:rPr>
                <w:rFonts w:eastAsia="Times New Roman"/>
                <w:b/>
                <w:bCs/>
                <w:color w:val="FF0000"/>
                <w:sz w:val="24"/>
                <w:szCs w:val="24"/>
              </w:rPr>
            </w:pPr>
            <w:r w:rsidRPr="00A81971">
              <w:rPr>
                <w:rFonts w:eastAsia="Times New Roman"/>
                <w:b/>
                <w:bCs/>
                <w:color w:val="FF0000"/>
                <w:sz w:val="24"/>
                <w:szCs w:val="24"/>
              </w:rPr>
              <w:t>50% - 2027-2029</w:t>
            </w:r>
          </w:p>
          <w:p w14:paraId="00860934" w14:textId="77777777" w:rsidR="007A6928" w:rsidRPr="00A81971" w:rsidRDefault="0032495C" w:rsidP="007A6928">
            <w:pPr>
              <w:spacing w:after="0"/>
              <w:jc w:val="center"/>
              <w:rPr>
                <w:rFonts w:eastAsia="Times New Roman"/>
                <w:color w:val="000000"/>
                <w:sz w:val="24"/>
                <w:szCs w:val="24"/>
              </w:rPr>
            </w:pPr>
            <w:r w:rsidRPr="00A81971">
              <w:rPr>
                <w:rFonts w:eastAsia="Times New Roman"/>
                <w:b/>
                <w:bCs/>
                <w:color w:val="FF0000"/>
                <w:sz w:val="24"/>
                <w:szCs w:val="24"/>
              </w:rPr>
              <w:t>50% - 2030-2032</w:t>
            </w:r>
          </w:p>
        </w:tc>
      </w:tr>
      <w:tr w:rsidR="00F90461" w14:paraId="7BFBAAFE" w14:textId="77777777" w:rsidTr="7A93107A">
        <w:trPr>
          <w:trHeight w:val="285"/>
        </w:trPr>
        <w:tc>
          <w:tcPr>
            <w:tcW w:w="2412" w:type="dxa"/>
            <w:tcMar>
              <w:left w:w="108" w:type="dxa"/>
              <w:right w:w="108" w:type="dxa"/>
            </w:tcMar>
            <w:vAlign w:val="center"/>
          </w:tcPr>
          <w:p w14:paraId="132267CE" w14:textId="77777777" w:rsidR="007A6928" w:rsidRPr="00A81971" w:rsidRDefault="0032495C" w:rsidP="007A6928">
            <w:pPr>
              <w:spacing w:after="0"/>
              <w:rPr>
                <w:rFonts w:eastAsia="Times New Roman"/>
                <w:sz w:val="24"/>
                <w:szCs w:val="24"/>
              </w:rPr>
            </w:pPr>
            <w:r w:rsidRPr="00A81971">
              <w:rPr>
                <w:rFonts w:eastAsia="Times New Roman"/>
                <w:sz w:val="24"/>
                <w:szCs w:val="24"/>
              </w:rPr>
              <w:t xml:space="preserve">A5 G2 parties without approved KIPs  </w:t>
            </w:r>
          </w:p>
        </w:tc>
        <w:tc>
          <w:tcPr>
            <w:tcW w:w="1453" w:type="dxa"/>
            <w:tcMar>
              <w:left w:w="108" w:type="dxa"/>
              <w:right w:w="108" w:type="dxa"/>
            </w:tcMar>
            <w:vAlign w:val="center"/>
          </w:tcPr>
          <w:p w14:paraId="29F503B8" w14:textId="77777777" w:rsidR="007A6928" w:rsidRPr="00A81971" w:rsidRDefault="0032495C" w:rsidP="007A6928">
            <w:pPr>
              <w:spacing w:after="0"/>
              <w:jc w:val="center"/>
              <w:rPr>
                <w:rFonts w:eastAsia="Times New Roman"/>
                <w:sz w:val="24"/>
                <w:szCs w:val="24"/>
              </w:rPr>
            </w:pPr>
            <w:r w:rsidRPr="00A81971">
              <w:rPr>
                <w:rFonts w:eastAsia="Times New Roman"/>
                <w:sz w:val="24"/>
                <w:szCs w:val="24"/>
              </w:rPr>
              <w:t>I</w:t>
            </w:r>
          </w:p>
        </w:tc>
        <w:tc>
          <w:tcPr>
            <w:tcW w:w="2610" w:type="dxa"/>
            <w:shd w:val="clear" w:color="auto" w:fill="E2EFD9" w:themeFill="accent6" w:themeFillTint="33"/>
            <w:tcMar>
              <w:left w:w="108" w:type="dxa"/>
              <w:right w:w="108" w:type="dxa"/>
            </w:tcMar>
            <w:vAlign w:val="center"/>
          </w:tcPr>
          <w:p w14:paraId="379C7CAE"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60% - 2027-2029</w:t>
            </w:r>
          </w:p>
          <w:p w14:paraId="0967DE57"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40% - 2030-2032</w:t>
            </w:r>
          </w:p>
        </w:tc>
        <w:tc>
          <w:tcPr>
            <w:tcW w:w="2599" w:type="dxa"/>
            <w:shd w:val="clear" w:color="auto" w:fill="FFF2CC" w:themeFill="accent4" w:themeFillTint="33"/>
            <w:tcMar>
              <w:left w:w="108" w:type="dxa"/>
              <w:right w:w="108" w:type="dxa"/>
            </w:tcMar>
            <w:vAlign w:val="center"/>
          </w:tcPr>
          <w:p w14:paraId="70C97789" w14:textId="77777777" w:rsidR="007A6928" w:rsidRPr="00A81971" w:rsidRDefault="0032495C" w:rsidP="007A6928">
            <w:pPr>
              <w:spacing w:after="0"/>
              <w:jc w:val="center"/>
              <w:rPr>
                <w:rFonts w:eastAsia="Times New Roman"/>
                <w:color w:val="000000"/>
                <w:sz w:val="24"/>
                <w:szCs w:val="24"/>
              </w:rPr>
            </w:pPr>
            <w:r w:rsidRPr="00A81971">
              <w:rPr>
                <w:rFonts w:eastAsia="Times New Roman"/>
                <w:color w:val="000000"/>
                <w:sz w:val="24"/>
                <w:szCs w:val="24"/>
              </w:rPr>
              <w:t xml:space="preserve">No change </w:t>
            </w:r>
          </w:p>
        </w:tc>
      </w:tr>
    </w:tbl>
    <w:p w14:paraId="00DBC598" w14:textId="77777777" w:rsidR="00357AB6" w:rsidRDefault="00357AB6" w:rsidP="34B0439A">
      <w:pPr>
        <w:spacing w:line="259" w:lineRule="auto"/>
      </w:pPr>
    </w:p>
    <w:p w14:paraId="0A37FA51" w14:textId="77777777" w:rsidR="007A6928" w:rsidRPr="00A81971" w:rsidRDefault="0032495C" w:rsidP="34B0439A">
      <w:pPr>
        <w:spacing w:line="259" w:lineRule="auto"/>
        <w:rPr>
          <w:color w:val="FF0000"/>
        </w:rPr>
      </w:pPr>
      <w:r w:rsidRPr="00A81971">
        <w:t xml:space="preserve">Additionally, for non-parties to Kigali Amendment (as of 10 August 2026) both in G1 and G2 Groups, RTF considered for KIP Stage II that, the percentage of total funding to be allocated to each triennium would be </w:t>
      </w:r>
      <w:r w:rsidRPr="00A81971">
        <w:rPr>
          <w:b/>
          <w:bCs/>
        </w:rPr>
        <w:t>30% in 2030-2032 and 70% in 2033-2035.</w:t>
      </w:r>
    </w:p>
    <w:p w14:paraId="208A9B58" w14:textId="77777777" w:rsidR="007A6928" w:rsidRPr="00A81971" w:rsidRDefault="0032495C" w:rsidP="007A6928">
      <w:pPr>
        <w:spacing w:after="0"/>
        <w:rPr>
          <w:rFonts w:eastAsia="Times New Roman"/>
        </w:rPr>
      </w:pPr>
      <w:r w:rsidRPr="00A81971">
        <w:rPr>
          <w:rFonts w:eastAsia="Times New Roman"/>
        </w:rPr>
        <w:t>The funding estimated based on the application of the suggested new percentage allocations are presented in Table 3.</w:t>
      </w:r>
      <w:r w:rsidR="00F21CF5">
        <w:rPr>
          <w:rFonts w:eastAsia="Times New Roman"/>
        </w:rPr>
        <w:t>2</w:t>
      </w:r>
      <w:r w:rsidR="00444BCC">
        <w:rPr>
          <w:rFonts w:eastAsia="Times New Roman"/>
        </w:rPr>
        <w:t>2</w:t>
      </w:r>
      <w:r w:rsidRPr="00A81971">
        <w:rPr>
          <w:rFonts w:eastAsia="Times New Roman"/>
        </w:rPr>
        <w:t>.</w:t>
      </w:r>
    </w:p>
    <w:p w14:paraId="00763A81" w14:textId="77777777" w:rsidR="007A6928" w:rsidRPr="00A81971" w:rsidRDefault="007A6928" w:rsidP="007A6928">
      <w:pPr>
        <w:spacing w:after="0"/>
        <w:rPr>
          <w:rFonts w:eastAsia="Times New Roman"/>
        </w:rPr>
      </w:pPr>
    </w:p>
    <w:p w14:paraId="52AF132F" w14:textId="77777777" w:rsidR="00F21CF5" w:rsidRDefault="0032495C">
      <w:pPr>
        <w:spacing w:after="0"/>
        <w:rPr>
          <w:rFonts w:eastAsia="Yu Mincho"/>
          <w:b/>
          <w:bCs/>
          <w:color w:val="000000"/>
          <w:lang w:val="en-CA"/>
        </w:rPr>
      </w:pPr>
      <w:r>
        <w:rPr>
          <w:rFonts w:eastAsia="Yu Mincho"/>
          <w:b/>
          <w:bCs/>
          <w:color w:val="000000"/>
          <w:lang w:val="en-CA"/>
        </w:rPr>
        <w:br w:type="page"/>
      </w:r>
    </w:p>
    <w:p w14:paraId="217FC9A2" w14:textId="77777777" w:rsidR="00FB079A" w:rsidRDefault="00FB079A" w:rsidP="00F21CF5">
      <w:pPr>
        <w:tabs>
          <w:tab w:val="left" w:pos="0"/>
          <w:tab w:val="left" w:pos="1276"/>
        </w:tabs>
        <w:spacing w:after="120"/>
        <w:ind w:left="1282" w:hanging="1282"/>
        <w:rPr>
          <w:rFonts w:eastAsia="Yu Mincho"/>
          <w:b/>
          <w:bCs/>
          <w:color w:val="000000"/>
          <w:lang w:val="en-CA"/>
        </w:rPr>
        <w:sectPr w:rsidR="00FB079A" w:rsidSect="008A3973">
          <w:pgSz w:w="11906" w:h="16838" w:code="9"/>
          <w:pgMar w:top="1411" w:right="1411" w:bottom="1411" w:left="1411" w:header="706" w:footer="706" w:gutter="0"/>
          <w:cols w:space="708"/>
          <w:docGrid w:linePitch="360"/>
        </w:sectPr>
      </w:pPr>
    </w:p>
    <w:p w14:paraId="3E670120" w14:textId="77777777" w:rsidR="007A6928" w:rsidRPr="00A81971" w:rsidRDefault="0032495C" w:rsidP="00F21CF5">
      <w:pPr>
        <w:tabs>
          <w:tab w:val="left" w:pos="0"/>
          <w:tab w:val="left" w:pos="1276"/>
        </w:tabs>
        <w:spacing w:after="120"/>
        <w:ind w:left="1282" w:hanging="1282"/>
        <w:rPr>
          <w:rFonts w:eastAsia="Times New Roman"/>
          <w:b/>
          <w:bCs/>
        </w:rPr>
      </w:pPr>
      <w:r w:rsidRPr="0006445E">
        <w:rPr>
          <w:rFonts w:eastAsia="Yu Mincho"/>
          <w:b/>
          <w:bCs/>
          <w:color w:val="000000"/>
          <w:lang w:val="en-CA"/>
        </w:rPr>
        <w:lastRenderedPageBreak/>
        <w:t xml:space="preserve">Table </w:t>
      </w:r>
      <w:r>
        <w:rPr>
          <w:rFonts w:eastAsia="Yu Mincho"/>
          <w:b/>
          <w:bCs/>
          <w:color w:val="000000"/>
          <w:lang w:val="en-CA"/>
        </w:rPr>
        <w:t>3.2</w:t>
      </w:r>
      <w:r w:rsidR="00444BCC">
        <w:rPr>
          <w:rFonts w:eastAsia="Yu Mincho"/>
          <w:b/>
          <w:bCs/>
          <w:color w:val="000000"/>
          <w:lang w:val="en-CA"/>
        </w:rPr>
        <w:t>2</w:t>
      </w:r>
      <w:r>
        <w:rPr>
          <w:rFonts w:eastAsia="Yu Mincho"/>
          <w:b/>
          <w:bCs/>
          <w:color w:val="000000"/>
          <w:lang w:val="en-CA"/>
        </w:rPr>
        <w:t>:</w:t>
      </w:r>
      <w:r w:rsidRPr="0006445E">
        <w:rPr>
          <w:rFonts w:eastAsia="Times New Roman"/>
          <w:color w:val="000000"/>
          <w:lang w:val="en-CA"/>
        </w:rPr>
        <w:tab/>
      </w:r>
      <w:r w:rsidRPr="00A81971">
        <w:rPr>
          <w:rFonts w:eastAsia="Times New Roman"/>
          <w:b/>
          <w:bCs/>
        </w:rPr>
        <w:t>New funding estimates to account for changes in Resource Allocation A for Stage II KIPs and ratification pace as per Scenario 2b</w:t>
      </w:r>
      <w:r w:rsidR="28A930F7" w:rsidRPr="00A81971">
        <w:rPr>
          <w:rFonts w:eastAsia="Times New Roman"/>
          <w:b/>
          <w:bCs/>
        </w:rPr>
        <w:t xml:space="preserve"> </w:t>
      </w:r>
    </w:p>
    <w:p w14:paraId="10A30816" w14:textId="77777777" w:rsidR="007A6928" w:rsidRPr="00A81971" w:rsidRDefault="0032495C" w:rsidP="28A930F7">
      <w:pPr>
        <w:spacing w:after="0"/>
      </w:pPr>
      <w:r w:rsidRPr="00A81971">
        <w:rPr>
          <w:noProof/>
        </w:rPr>
        <w:drawing>
          <wp:inline distT="0" distB="0" distL="0" distR="0" wp14:anchorId="6DDF467A" wp14:editId="299F98DA">
            <wp:extent cx="9219841" cy="4526104"/>
            <wp:effectExtent l="0" t="0" r="635" b="8255"/>
            <wp:docPr id="16589365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36511" name="Picture 1658936511"/>
                    <pic:cNvPicPr/>
                  </pic:nvPicPr>
                  <pic:blipFill>
                    <a:blip r:embed="rId31">
                      <a:extLst>
                        <a:ext uri="{28A0092B-C50C-407E-A947-70E740481C1C}">
                          <a14:useLocalDpi xmlns:a14="http://schemas.microsoft.com/office/drawing/2010/main" val="0"/>
                        </a:ext>
                      </a:extLst>
                    </a:blip>
                    <a:stretch>
                      <a:fillRect/>
                    </a:stretch>
                  </pic:blipFill>
                  <pic:spPr>
                    <a:xfrm>
                      <a:off x="0" y="0"/>
                      <a:ext cx="9240390" cy="4536192"/>
                    </a:xfrm>
                    <a:prstGeom prst="rect">
                      <a:avLst/>
                    </a:prstGeom>
                  </pic:spPr>
                </pic:pic>
              </a:graphicData>
            </a:graphic>
          </wp:inline>
        </w:drawing>
      </w:r>
    </w:p>
    <w:p w14:paraId="5979F734" w14:textId="77777777" w:rsidR="007A6928" w:rsidRPr="00A81971" w:rsidRDefault="0032495C" w:rsidP="007A6928">
      <w:pPr>
        <w:spacing w:after="0"/>
        <w:rPr>
          <w:rFonts w:eastAsia="Times New Roman"/>
          <w:color w:val="EE0000"/>
          <w:sz w:val="20"/>
          <w:szCs w:val="20"/>
        </w:rPr>
      </w:pPr>
      <w:r w:rsidRPr="00A81971">
        <w:rPr>
          <w:rFonts w:eastAsia="Times New Roman"/>
          <w:sz w:val="18"/>
          <w:szCs w:val="18"/>
        </w:rPr>
        <w:t xml:space="preserve">* </w:t>
      </w:r>
      <w:r w:rsidRPr="00A81971">
        <w:rPr>
          <w:rFonts w:eastAsia="Times New Roman"/>
          <w:sz w:val="20"/>
          <w:szCs w:val="20"/>
        </w:rPr>
        <w:t xml:space="preserve">Revised figures to reflect this new scenario are shown in </w:t>
      </w:r>
      <w:r w:rsidRPr="00A81971">
        <w:rPr>
          <w:rFonts w:eastAsia="Times New Roman"/>
          <w:color w:val="EE0000"/>
          <w:sz w:val="20"/>
          <w:szCs w:val="20"/>
        </w:rPr>
        <w:t>red.</w:t>
      </w:r>
    </w:p>
    <w:p w14:paraId="370D5D1C" w14:textId="77777777" w:rsidR="007A6928" w:rsidRPr="00A81971" w:rsidRDefault="007A6928" w:rsidP="007A6928">
      <w:pPr>
        <w:spacing w:after="0"/>
        <w:rPr>
          <w:rFonts w:eastAsia="Times New Roman"/>
          <w:color w:val="EE0000"/>
          <w:sz w:val="20"/>
          <w:szCs w:val="20"/>
        </w:rPr>
      </w:pPr>
    </w:p>
    <w:p w14:paraId="16B9BF22" w14:textId="77777777" w:rsidR="007A6928" w:rsidRPr="00A81971" w:rsidRDefault="007A6928" w:rsidP="007A6928">
      <w:pPr>
        <w:spacing w:after="0"/>
        <w:rPr>
          <w:rFonts w:eastAsia="Times New Roman"/>
          <w:color w:val="EE0000"/>
          <w:sz w:val="20"/>
          <w:szCs w:val="20"/>
        </w:rPr>
      </w:pPr>
    </w:p>
    <w:p w14:paraId="6EE64B86" w14:textId="77777777" w:rsidR="00F21CF5" w:rsidRDefault="0032495C">
      <w:pPr>
        <w:spacing w:after="0"/>
        <w:rPr>
          <w:rFonts w:eastAsia="Times New Roman"/>
        </w:rPr>
      </w:pPr>
      <w:r>
        <w:rPr>
          <w:rFonts w:eastAsia="Times New Roman"/>
        </w:rPr>
        <w:br w:type="page"/>
      </w:r>
    </w:p>
    <w:p w14:paraId="13EC3B29" w14:textId="77777777" w:rsidR="001C5F32" w:rsidRDefault="001C5F32" w:rsidP="34B0439A">
      <w:pPr>
        <w:rPr>
          <w:rFonts w:eastAsia="Times New Roman"/>
        </w:rPr>
        <w:sectPr w:rsidR="001C5F32" w:rsidSect="008A3973">
          <w:pgSz w:w="16838" w:h="11906" w:orient="landscape" w:code="9"/>
          <w:pgMar w:top="1411" w:right="1411" w:bottom="1411" w:left="1411" w:header="706" w:footer="706" w:gutter="0"/>
          <w:cols w:space="708"/>
          <w:docGrid w:linePitch="360"/>
        </w:sectPr>
      </w:pPr>
    </w:p>
    <w:p w14:paraId="68A64186" w14:textId="77777777" w:rsidR="007A6928" w:rsidRPr="00A81971" w:rsidRDefault="0032495C" w:rsidP="34B0439A">
      <w:pPr>
        <w:rPr>
          <w:rFonts w:eastAsia="Times New Roman"/>
        </w:rPr>
      </w:pPr>
      <w:r w:rsidRPr="00A81971">
        <w:rPr>
          <w:rFonts w:eastAsia="Times New Roman"/>
        </w:rPr>
        <w:lastRenderedPageBreak/>
        <w:t xml:space="preserve">Modifying the KIPs Stage II Resource Allocation Schedule A percentages results in a </w:t>
      </w:r>
      <w:r w:rsidRPr="00A81971">
        <w:rPr>
          <w:rFonts w:eastAsia="Times New Roman"/>
          <w:b/>
          <w:bCs/>
        </w:rPr>
        <w:t>reduction of US$ 24.9 million</w:t>
      </w:r>
      <w:r w:rsidRPr="00A81971">
        <w:rPr>
          <w:rFonts w:eastAsia="Times New Roman"/>
        </w:rPr>
        <w:t>, when compared with the estimated funding for the “Updated RTF May Report, Scenario 1” Resource Allocation A.</w:t>
      </w:r>
    </w:p>
    <w:p w14:paraId="4D2CA345" w14:textId="77777777" w:rsidR="007A6928" w:rsidRPr="00A81971" w:rsidRDefault="0032495C" w:rsidP="00201CFA">
      <w:pPr>
        <w:pStyle w:val="Heading2"/>
      </w:pPr>
      <w:bookmarkStart w:id="217" w:name="_Toc240987331"/>
      <w:r w:rsidRPr="00A81971">
        <w:t>3.5</w:t>
      </w:r>
      <w:r w:rsidRPr="00A81971">
        <w:tab/>
      </w:r>
      <w:r w:rsidRPr="002E3156">
        <w:t>Summary of updated ranges of total funding requirement for HCFC and HFC Activities in 2027-2029 Triennium</w:t>
      </w:r>
      <w:bookmarkEnd w:id="217"/>
    </w:p>
    <w:p w14:paraId="448075FE" w14:textId="77777777" w:rsidR="00E72064" w:rsidRPr="00444BCC" w:rsidRDefault="0032495C" w:rsidP="00444BCC">
      <w:pPr>
        <w:rPr>
          <w:rFonts w:eastAsia="Times New Roman"/>
        </w:rPr>
      </w:pPr>
      <w:r w:rsidRPr="00A81971">
        <w:rPr>
          <w:rFonts w:eastAsia="Times New Roman"/>
          <w:color w:val="000000"/>
        </w:rPr>
        <w:t>Table 3.2</w:t>
      </w:r>
      <w:r w:rsidR="00444BCC">
        <w:rPr>
          <w:rFonts w:eastAsia="Times New Roman"/>
          <w:color w:val="000000"/>
        </w:rPr>
        <w:t>3</w:t>
      </w:r>
      <w:r w:rsidRPr="00A81971">
        <w:rPr>
          <w:rFonts w:eastAsia="Times New Roman"/>
          <w:color w:val="000000"/>
        </w:rPr>
        <w:t xml:space="preserve"> summarises the updated ranges of total funding requirements for HCFC phaseout and </w:t>
      </w:r>
      <w:r w:rsidR="002A7033" w:rsidRPr="00A81971">
        <w:rPr>
          <w:rFonts w:eastAsia="Times New Roman"/>
          <w:color w:val="000000"/>
        </w:rPr>
        <w:t>HFC p</w:t>
      </w:r>
      <w:r w:rsidRPr="00A81971">
        <w:rPr>
          <w:rFonts w:eastAsia="Times New Roman"/>
          <w:color w:val="000000"/>
        </w:rPr>
        <w:t xml:space="preserve">hase-down activities in 2027-2029 with the </w:t>
      </w:r>
      <w:r w:rsidRPr="00A81971">
        <w:rPr>
          <w:rFonts w:eastAsia="Times New Roman"/>
        </w:rPr>
        <w:t>application of the new parameters and assumptions requested in different scenarios suggested by OEWG-48.</w:t>
      </w:r>
    </w:p>
    <w:p w14:paraId="0F3B68A5" w14:textId="77777777" w:rsidR="007A6928" w:rsidRPr="00A81971" w:rsidRDefault="0032495C" w:rsidP="007A6928">
      <w:pPr>
        <w:spacing w:after="0"/>
        <w:ind w:left="1415" w:hanging="1415"/>
        <w:rPr>
          <w:b/>
          <w:bCs/>
        </w:rPr>
      </w:pPr>
      <w:r w:rsidRPr="008B6F1D">
        <w:rPr>
          <w:b/>
          <w:bCs/>
        </w:rPr>
        <w:t>Table 3.</w:t>
      </w:r>
      <w:r>
        <w:rPr>
          <w:b/>
          <w:bCs/>
        </w:rPr>
        <w:t>2</w:t>
      </w:r>
      <w:r w:rsidR="00444BCC">
        <w:rPr>
          <w:b/>
          <w:bCs/>
        </w:rPr>
        <w:t>3</w:t>
      </w:r>
      <w:r w:rsidRPr="008B6F1D">
        <w:rPr>
          <w:b/>
          <w:bCs/>
        </w:rPr>
        <w:t>:</w:t>
      </w:r>
      <w:r w:rsidRPr="008B6F1D">
        <w:rPr>
          <w:b/>
          <w:bCs/>
        </w:rPr>
        <w:tab/>
      </w:r>
      <w:r w:rsidRPr="00A81971">
        <w:rPr>
          <w:b/>
          <w:bCs/>
        </w:rPr>
        <w:t xml:space="preserve">Updated ranges of estimated funding requirement </w:t>
      </w:r>
      <w:r w:rsidR="002A7033" w:rsidRPr="00A81971">
        <w:rPr>
          <w:b/>
          <w:bCs/>
        </w:rPr>
        <w:t xml:space="preserve">for the 2027-2029 triennium </w:t>
      </w:r>
      <w:r w:rsidRPr="00A81971">
        <w:rPr>
          <w:b/>
          <w:bCs/>
        </w:rPr>
        <w:t xml:space="preserve">with </w:t>
      </w:r>
      <w:r w:rsidR="002A7033" w:rsidRPr="00A81971">
        <w:rPr>
          <w:b/>
          <w:bCs/>
        </w:rPr>
        <w:t>a</w:t>
      </w:r>
      <w:r w:rsidRPr="00A81971">
        <w:rPr>
          <w:b/>
          <w:bCs/>
        </w:rPr>
        <w:t xml:space="preserve">pplication of </w:t>
      </w:r>
      <w:r w:rsidR="002A7033" w:rsidRPr="00A81971">
        <w:rPr>
          <w:b/>
          <w:bCs/>
        </w:rPr>
        <w:t>s</w:t>
      </w:r>
      <w:r w:rsidRPr="00A81971">
        <w:rPr>
          <w:b/>
          <w:bCs/>
        </w:rPr>
        <w:t xml:space="preserve">uggested </w:t>
      </w:r>
      <w:r w:rsidR="002A7033" w:rsidRPr="00A81971">
        <w:rPr>
          <w:b/>
          <w:bCs/>
        </w:rPr>
        <w:t xml:space="preserve">New </w:t>
      </w:r>
      <w:r w:rsidRPr="00A81971">
        <w:rPr>
          <w:b/>
          <w:bCs/>
        </w:rPr>
        <w:t>Scenarios (US$ million)</w:t>
      </w:r>
    </w:p>
    <w:p w14:paraId="752A2D79" w14:textId="77777777" w:rsidR="007A6928" w:rsidRPr="00A81971" w:rsidRDefault="007A6928" w:rsidP="007A6928">
      <w:pPr>
        <w:spacing w:after="0"/>
        <w:ind w:left="1415" w:hanging="1415"/>
        <w:rPr>
          <w:b/>
          <w:bCs/>
        </w:rPr>
      </w:pPr>
    </w:p>
    <w:tbl>
      <w:tblPr>
        <w:tblW w:w="5312" w:type="pct"/>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892"/>
        <w:gridCol w:w="1412"/>
        <w:gridCol w:w="1377"/>
        <w:gridCol w:w="2199"/>
        <w:gridCol w:w="2750"/>
      </w:tblGrid>
      <w:tr w:rsidR="00F90461" w14:paraId="79A4EF99" w14:textId="77777777" w:rsidTr="00FE5C31">
        <w:trPr>
          <w:trHeight w:val="60"/>
        </w:trPr>
        <w:tc>
          <w:tcPr>
            <w:tcW w:w="982" w:type="pct"/>
            <w:shd w:val="clear" w:color="auto" w:fill="D9E2F3" w:themeFill="accent1" w:themeFillTint="33"/>
            <w:vAlign w:val="center"/>
            <w:hideMark/>
          </w:tcPr>
          <w:p w14:paraId="6E1F6940" w14:textId="77777777" w:rsidR="007A6928" w:rsidRPr="00A81971" w:rsidRDefault="0032495C" w:rsidP="002F2D4E">
            <w:pPr>
              <w:spacing w:after="0"/>
              <w:jc w:val="center"/>
              <w:rPr>
                <w:b/>
                <w:bCs/>
              </w:rPr>
            </w:pPr>
            <w:r w:rsidRPr="00A81971">
              <w:rPr>
                <w:b/>
                <w:bCs/>
              </w:rPr>
              <w:t>2027-2029 Triennium</w:t>
            </w:r>
          </w:p>
        </w:tc>
        <w:tc>
          <w:tcPr>
            <w:tcW w:w="733" w:type="pct"/>
            <w:shd w:val="clear" w:color="auto" w:fill="D9E2F3" w:themeFill="accent1" w:themeFillTint="33"/>
            <w:vAlign w:val="center"/>
            <w:hideMark/>
          </w:tcPr>
          <w:p w14:paraId="4615A47A" w14:textId="77777777" w:rsidR="007A6928" w:rsidRPr="00A81971" w:rsidRDefault="0032495C" w:rsidP="002F2D4E">
            <w:pPr>
              <w:spacing w:after="0"/>
              <w:jc w:val="center"/>
              <w:rPr>
                <w:b/>
                <w:bCs/>
              </w:rPr>
            </w:pPr>
            <w:r w:rsidRPr="00A81971">
              <w:rPr>
                <w:b/>
                <w:bCs/>
              </w:rPr>
              <w:t>May 2026 Report Estimates</w:t>
            </w:r>
            <w:r>
              <w:rPr>
                <w:b/>
                <w:bCs/>
                <w:vertAlign w:val="superscript"/>
              </w:rPr>
              <w:footnoteReference w:id="22"/>
            </w:r>
          </w:p>
        </w:tc>
        <w:tc>
          <w:tcPr>
            <w:tcW w:w="715" w:type="pct"/>
            <w:shd w:val="clear" w:color="auto" w:fill="D9E2F3" w:themeFill="accent1" w:themeFillTint="33"/>
            <w:vAlign w:val="center"/>
            <w:hideMark/>
          </w:tcPr>
          <w:p w14:paraId="4753A946" w14:textId="4B0F209D" w:rsidR="007A6928" w:rsidRPr="00A81971" w:rsidRDefault="0032495C" w:rsidP="002F2D4E">
            <w:pPr>
              <w:spacing w:after="0"/>
              <w:jc w:val="center"/>
              <w:rPr>
                <w:b/>
                <w:bCs/>
              </w:rPr>
            </w:pPr>
            <w:r w:rsidRPr="00A81971">
              <w:rPr>
                <w:b/>
                <w:bCs/>
              </w:rPr>
              <w:t>Updated May Report Estimates</w:t>
            </w:r>
            <w:r>
              <w:rPr>
                <w:b/>
                <w:bCs/>
                <w:vertAlign w:val="superscript"/>
              </w:rPr>
              <w:footnoteReference w:id="23"/>
            </w:r>
          </w:p>
        </w:tc>
        <w:tc>
          <w:tcPr>
            <w:tcW w:w="1142" w:type="pct"/>
            <w:shd w:val="clear" w:color="auto" w:fill="D9E2F3" w:themeFill="accent1" w:themeFillTint="33"/>
            <w:vAlign w:val="center"/>
          </w:tcPr>
          <w:p w14:paraId="6F91AACF" w14:textId="77777777" w:rsidR="007A6928" w:rsidRPr="00A81971" w:rsidRDefault="0032495C" w:rsidP="002F2D4E">
            <w:pPr>
              <w:spacing w:after="0"/>
              <w:jc w:val="center"/>
              <w:rPr>
                <w:b/>
                <w:bCs/>
              </w:rPr>
            </w:pPr>
            <w:r w:rsidRPr="00A81971">
              <w:rPr>
                <w:b/>
                <w:bCs/>
              </w:rPr>
              <w:t>Supplementary Report Estimates Applying highest reduction New Scenarios to low-end*</w:t>
            </w:r>
          </w:p>
        </w:tc>
        <w:tc>
          <w:tcPr>
            <w:tcW w:w="1428" w:type="pct"/>
            <w:shd w:val="clear" w:color="auto" w:fill="D9E2F3" w:themeFill="accent1" w:themeFillTint="33"/>
            <w:vAlign w:val="center"/>
          </w:tcPr>
          <w:p w14:paraId="4252B2DF" w14:textId="77777777" w:rsidR="007A6928" w:rsidRPr="00A81971" w:rsidRDefault="0032495C" w:rsidP="002F2D4E">
            <w:pPr>
              <w:spacing w:after="0"/>
              <w:jc w:val="center"/>
              <w:rPr>
                <w:b/>
                <w:bCs/>
              </w:rPr>
            </w:pPr>
            <w:r w:rsidRPr="00A81971">
              <w:rPr>
                <w:b/>
                <w:bCs/>
              </w:rPr>
              <w:t>Supplementary Report Estimates considering highest reduction Scenario 2a (most recently reported HFC consumption)</w:t>
            </w:r>
          </w:p>
        </w:tc>
      </w:tr>
      <w:tr w:rsidR="00F90461" w14:paraId="2D10FD15" w14:textId="77777777" w:rsidTr="00FE5C31">
        <w:trPr>
          <w:trHeight w:val="285"/>
        </w:trPr>
        <w:tc>
          <w:tcPr>
            <w:tcW w:w="982" w:type="pct"/>
            <w:shd w:val="clear" w:color="auto" w:fill="E2EFD9" w:themeFill="accent6" w:themeFillTint="33"/>
            <w:vAlign w:val="center"/>
          </w:tcPr>
          <w:p w14:paraId="4788B193" w14:textId="77777777" w:rsidR="007A6928" w:rsidRPr="00A81971" w:rsidRDefault="0032495C" w:rsidP="002F2D4E">
            <w:pPr>
              <w:spacing w:after="0"/>
              <w:jc w:val="center"/>
              <w:rPr>
                <w:b/>
              </w:rPr>
            </w:pPr>
            <w:r w:rsidRPr="00A81971">
              <w:rPr>
                <w:b/>
              </w:rPr>
              <w:t>SUBTOTAL – HCFC ACTIVITIES</w:t>
            </w:r>
          </w:p>
        </w:tc>
        <w:tc>
          <w:tcPr>
            <w:tcW w:w="733" w:type="pct"/>
            <w:shd w:val="clear" w:color="auto" w:fill="FFFFFF" w:themeFill="background1"/>
            <w:vAlign w:val="center"/>
          </w:tcPr>
          <w:p w14:paraId="62112AF1" w14:textId="77777777" w:rsidR="007A6928" w:rsidRPr="00A81971" w:rsidRDefault="0032495C" w:rsidP="002F2D4E">
            <w:pPr>
              <w:spacing w:after="0"/>
              <w:jc w:val="center"/>
              <w:rPr>
                <w:b/>
                <w:bCs/>
              </w:rPr>
            </w:pPr>
            <w:r w:rsidRPr="00A81971">
              <w:rPr>
                <w:b/>
              </w:rPr>
              <w:t>451 – 573</w:t>
            </w:r>
          </w:p>
        </w:tc>
        <w:tc>
          <w:tcPr>
            <w:tcW w:w="715" w:type="pct"/>
            <w:shd w:val="clear" w:color="auto" w:fill="FFFFFF" w:themeFill="background1"/>
            <w:vAlign w:val="center"/>
          </w:tcPr>
          <w:p w14:paraId="47A957E3" w14:textId="77777777" w:rsidR="007A6928" w:rsidRPr="00A81971" w:rsidRDefault="0032495C" w:rsidP="002F2D4E">
            <w:pPr>
              <w:spacing w:after="0"/>
              <w:jc w:val="center"/>
              <w:rPr>
                <w:b/>
                <w:bCs/>
              </w:rPr>
            </w:pPr>
            <w:r w:rsidRPr="00A81971">
              <w:rPr>
                <w:b/>
                <w:bCs/>
              </w:rPr>
              <w:t>437 – 564</w:t>
            </w:r>
          </w:p>
        </w:tc>
        <w:tc>
          <w:tcPr>
            <w:tcW w:w="1142" w:type="pct"/>
            <w:shd w:val="clear" w:color="auto" w:fill="E2EFD9" w:themeFill="accent6" w:themeFillTint="33"/>
            <w:vAlign w:val="center"/>
          </w:tcPr>
          <w:p w14:paraId="469D6E5D" w14:textId="77777777" w:rsidR="007A6928" w:rsidRPr="00A81971" w:rsidRDefault="0032495C" w:rsidP="002F2D4E">
            <w:pPr>
              <w:spacing w:after="0"/>
              <w:jc w:val="center"/>
              <w:rPr>
                <w:b/>
                <w:bCs/>
              </w:rPr>
            </w:pPr>
            <w:r w:rsidRPr="00A81971">
              <w:rPr>
                <w:rFonts w:eastAsia="Times New Roman"/>
                <w:b/>
                <w:bCs/>
                <w:color w:val="000000"/>
              </w:rPr>
              <w:t>230 – 564</w:t>
            </w:r>
          </w:p>
        </w:tc>
        <w:tc>
          <w:tcPr>
            <w:tcW w:w="1428" w:type="pct"/>
            <w:shd w:val="clear" w:color="auto" w:fill="FFFFFF" w:themeFill="background1"/>
            <w:vAlign w:val="center"/>
          </w:tcPr>
          <w:p w14:paraId="209FC9E4" w14:textId="77777777" w:rsidR="007A6928" w:rsidRPr="00A81971" w:rsidRDefault="0032495C" w:rsidP="002F2D4E">
            <w:pPr>
              <w:spacing w:after="0"/>
              <w:jc w:val="center"/>
              <w:rPr>
                <w:rFonts w:eastAsia="Times New Roman"/>
                <w:b/>
                <w:bCs/>
                <w:color w:val="000000"/>
              </w:rPr>
            </w:pPr>
            <w:r w:rsidRPr="00A81971">
              <w:rPr>
                <w:rFonts w:eastAsia="Times New Roman"/>
                <w:b/>
                <w:bCs/>
                <w:color w:val="000000"/>
              </w:rPr>
              <w:t xml:space="preserve">230 </w:t>
            </w:r>
            <w:r w:rsidRPr="00A81971">
              <w:rPr>
                <w:rFonts w:eastAsia="Times New Roman"/>
                <w:b/>
                <w:bCs/>
              </w:rPr>
              <w:t xml:space="preserve">– </w:t>
            </w:r>
            <w:r w:rsidRPr="00A81971">
              <w:rPr>
                <w:rFonts w:eastAsia="Times New Roman"/>
                <w:b/>
                <w:bCs/>
                <w:color w:val="000000"/>
              </w:rPr>
              <w:t>564</w:t>
            </w:r>
          </w:p>
        </w:tc>
      </w:tr>
      <w:tr w:rsidR="00F90461" w14:paraId="4E7569ED" w14:textId="77777777" w:rsidTr="00FE5C31">
        <w:trPr>
          <w:trHeight w:val="285"/>
        </w:trPr>
        <w:tc>
          <w:tcPr>
            <w:tcW w:w="982" w:type="pct"/>
            <w:shd w:val="clear" w:color="auto" w:fill="E2EFD9" w:themeFill="accent6" w:themeFillTint="33"/>
            <w:vAlign w:val="center"/>
          </w:tcPr>
          <w:p w14:paraId="7FC9CC84" w14:textId="57AD3A99" w:rsidR="007A6928" w:rsidRPr="00A81971" w:rsidRDefault="0032495C" w:rsidP="002F2D4E">
            <w:pPr>
              <w:spacing w:after="0"/>
              <w:jc w:val="center"/>
              <w:rPr>
                <w:b/>
                <w:bCs/>
              </w:rPr>
            </w:pPr>
            <w:r w:rsidRPr="00A81971">
              <w:rPr>
                <w:b/>
                <w:bCs/>
              </w:rPr>
              <w:t>SUBTOTAL –</w:t>
            </w:r>
          </w:p>
          <w:p w14:paraId="7BB7E580" w14:textId="77777777" w:rsidR="007A6928" w:rsidRPr="00A81971" w:rsidRDefault="0032495C" w:rsidP="002F2D4E">
            <w:pPr>
              <w:spacing w:after="0"/>
              <w:jc w:val="center"/>
              <w:rPr>
                <w:b/>
                <w:bCs/>
              </w:rPr>
            </w:pPr>
            <w:r w:rsidRPr="00A81971">
              <w:rPr>
                <w:b/>
                <w:bCs/>
              </w:rPr>
              <w:t>HFC ACTIVITIES</w:t>
            </w:r>
          </w:p>
        </w:tc>
        <w:tc>
          <w:tcPr>
            <w:tcW w:w="733" w:type="pct"/>
            <w:shd w:val="clear" w:color="auto" w:fill="FFFFFF" w:themeFill="background1"/>
            <w:vAlign w:val="center"/>
          </w:tcPr>
          <w:p w14:paraId="58EC61F3" w14:textId="77777777" w:rsidR="007A6928" w:rsidRPr="00A81971" w:rsidRDefault="0032495C" w:rsidP="002F2D4E">
            <w:pPr>
              <w:spacing w:after="0"/>
              <w:jc w:val="center"/>
              <w:rPr>
                <w:b/>
                <w:bCs/>
              </w:rPr>
            </w:pPr>
            <w:r w:rsidRPr="00A81971">
              <w:rPr>
                <w:b/>
                <w:bCs/>
              </w:rPr>
              <w:t>702 – 1,053</w:t>
            </w:r>
          </w:p>
        </w:tc>
        <w:tc>
          <w:tcPr>
            <w:tcW w:w="715" w:type="pct"/>
            <w:shd w:val="clear" w:color="auto" w:fill="FFFFFF" w:themeFill="background1"/>
            <w:vAlign w:val="center"/>
          </w:tcPr>
          <w:p w14:paraId="7F768A41" w14:textId="77777777" w:rsidR="007A6928" w:rsidRPr="00A81971" w:rsidRDefault="0032495C" w:rsidP="002F2D4E">
            <w:pPr>
              <w:spacing w:after="0"/>
              <w:jc w:val="center"/>
              <w:rPr>
                <w:b/>
                <w:bCs/>
              </w:rPr>
            </w:pPr>
            <w:r w:rsidRPr="00A81971">
              <w:rPr>
                <w:b/>
                <w:bCs/>
              </w:rPr>
              <w:t>664 – 999</w:t>
            </w:r>
          </w:p>
        </w:tc>
        <w:tc>
          <w:tcPr>
            <w:tcW w:w="1142" w:type="pct"/>
            <w:shd w:val="clear" w:color="auto" w:fill="E2EFD9" w:themeFill="accent6" w:themeFillTint="33"/>
            <w:vAlign w:val="center"/>
          </w:tcPr>
          <w:p w14:paraId="01A2DDCC" w14:textId="77777777" w:rsidR="007A6928" w:rsidRPr="00A81971" w:rsidRDefault="0032495C" w:rsidP="002F2D4E">
            <w:pPr>
              <w:spacing w:after="0" w:line="259" w:lineRule="auto"/>
              <w:jc w:val="center"/>
              <w:rPr>
                <w:rFonts w:eastAsia="Times New Roman"/>
              </w:rPr>
            </w:pPr>
            <w:r w:rsidRPr="00A81971">
              <w:rPr>
                <w:rFonts w:eastAsia="Times New Roman"/>
                <w:b/>
                <w:bCs/>
              </w:rPr>
              <w:t>625 – 999</w:t>
            </w:r>
          </w:p>
        </w:tc>
        <w:tc>
          <w:tcPr>
            <w:tcW w:w="1428" w:type="pct"/>
            <w:shd w:val="clear" w:color="auto" w:fill="FFF2CC" w:themeFill="accent4" w:themeFillTint="33"/>
            <w:vAlign w:val="center"/>
          </w:tcPr>
          <w:p w14:paraId="60238A16" w14:textId="77777777" w:rsidR="007A6928" w:rsidRPr="00A81971" w:rsidRDefault="0032495C" w:rsidP="002F2D4E">
            <w:pPr>
              <w:spacing w:after="0"/>
              <w:jc w:val="center"/>
              <w:rPr>
                <w:rFonts w:eastAsia="Times New Roman"/>
                <w:b/>
                <w:bCs/>
              </w:rPr>
            </w:pPr>
            <w:r w:rsidRPr="00A81971">
              <w:rPr>
                <w:rFonts w:eastAsia="Times New Roman"/>
                <w:b/>
                <w:bCs/>
              </w:rPr>
              <w:t>479– 999</w:t>
            </w:r>
          </w:p>
        </w:tc>
      </w:tr>
    </w:tbl>
    <w:p w14:paraId="096D78AD" w14:textId="02E579D4" w:rsidR="007A6928" w:rsidRPr="00A81971" w:rsidRDefault="0032495C" w:rsidP="007A6928">
      <w:pPr>
        <w:spacing w:after="0"/>
        <w:rPr>
          <w:rFonts w:eastAsia="Times New Roman"/>
          <w:color w:val="EE0000"/>
          <w:sz w:val="20"/>
          <w:szCs w:val="20"/>
        </w:rPr>
      </w:pPr>
      <w:r w:rsidRPr="00A81971">
        <w:rPr>
          <w:rFonts w:eastAsia="Times New Roman"/>
          <w:sz w:val="20"/>
          <w:szCs w:val="20"/>
        </w:rPr>
        <w:t>* Based on highest reduction amongst Scenarios 1a, 1b, or 1c</w:t>
      </w:r>
    </w:p>
    <w:p w14:paraId="47BB3494" w14:textId="77777777" w:rsidR="007A6928" w:rsidRPr="00A81971" w:rsidRDefault="007A6928" w:rsidP="007A6928">
      <w:pPr>
        <w:textAlignment w:val="baseline"/>
        <w:rPr>
          <w:rFonts w:ascii="WordVisi_MSFontService" w:eastAsia="Times New Roman" w:hAnsi="WordVisi_MSFontService" w:cs="Segoe UI"/>
          <w:shd w:val="clear" w:color="auto" w:fill="FFFF00"/>
        </w:rPr>
      </w:pPr>
    </w:p>
    <w:bookmarkEnd w:id="211"/>
    <w:bookmarkEnd w:id="212"/>
    <w:bookmarkEnd w:id="213"/>
    <w:p w14:paraId="73DCE04A" w14:textId="77777777" w:rsidR="006B6FAC" w:rsidRPr="00926DD1" w:rsidRDefault="0032495C" w:rsidP="2E7655E2">
      <w:pPr>
        <w:spacing w:after="0"/>
      </w:pPr>
      <w:r w:rsidRPr="00357AB6">
        <w:rPr>
          <w:b/>
          <w:bCs/>
          <w:i/>
          <w:iCs/>
        </w:rPr>
        <w:t>Table 3.2</w:t>
      </w:r>
      <w:r w:rsidR="00444BCC" w:rsidRPr="00357AB6">
        <w:rPr>
          <w:b/>
          <w:bCs/>
          <w:i/>
          <w:iCs/>
        </w:rPr>
        <w:t>3</w:t>
      </w:r>
      <w:r w:rsidRPr="00357AB6">
        <w:rPr>
          <w:b/>
          <w:bCs/>
          <w:i/>
          <w:iCs/>
        </w:rPr>
        <w:t xml:space="preserve"> </w:t>
      </w:r>
      <w:r w:rsidRPr="00357AB6">
        <w:rPr>
          <w:b/>
          <w:bCs/>
          <w:i/>
          <w:iCs/>
          <w:u w:val="single"/>
        </w:rPr>
        <w:t>does not include</w:t>
      </w:r>
      <w:r w:rsidRPr="00357AB6">
        <w:rPr>
          <w:b/>
          <w:bCs/>
          <w:i/>
          <w:iCs/>
        </w:rPr>
        <w:t xml:space="preserve"> the suggested high-end scenario for possible increase in the resource allocation for LVCs/VLVCs for the triennium as shown in Table 4.3 in Chapter 4, nor the scenario for a possible funding of LRM as shown in table 5.3 in Chapter 5. </w:t>
      </w:r>
      <w:r w:rsidRPr="00926DD1">
        <w:t xml:space="preserve">The estimates for these requested scenarios are US$ 28.2 million (LVCs) and US$ 53 million for the potential funding window for LRM in the high-end range. </w:t>
      </w:r>
    </w:p>
    <w:p w14:paraId="7B955E81" w14:textId="77777777" w:rsidR="5B9D9D24" w:rsidRPr="00926DD1" w:rsidRDefault="5B9D9D24" w:rsidP="2E7655E2"/>
    <w:p w14:paraId="2C578329" w14:textId="77777777" w:rsidR="5B9D9D24" w:rsidRPr="00A81971" w:rsidRDefault="5B9D9D24"/>
    <w:p w14:paraId="344F7EF5" w14:textId="77777777" w:rsidR="00263868" w:rsidRPr="00BB76AF" w:rsidRDefault="00263868">
      <w:pPr>
        <w:spacing w:after="0"/>
        <w:sectPr w:rsidR="00263868" w:rsidRPr="00BB76AF" w:rsidSect="008A3973">
          <w:pgSz w:w="11906" w:h="16838" w:code="9"/>
          <w:pgMar w:top="1411" w:right="1411" w:bottom="1411" w:left="1411" w:header="706" w:footer="706" w:gutter="0"/>
          <w:cols w:space="708"/>
          <w:docGrid w:linePitch="360"/>
        </w:sectPr>
      </w:pPr>
    </w:p>
    <w:p w14:paraId="68C64648" w14:textId="20F45334" w:rsidR="00877431" w:rsidRPr="00A81971" w:rsidRDefault="0032495C" w:rsidP="00696E14">
      <w:pPr>
        <w:pStyle w:val="Heading1"/>
      </w:pPr>
      <w:bookmarkStart w:id="218" w:name="_Toc145692851"/>
      <w:bookmarkStart w:id="219" w:name="_Toc240987332"/>
      <w:r w:rsidRPr="00A81971">
        <w:lastRenderedPageBreak/>
        <w:t>CHAPTER 4</w:t>
      </w:r>
      <w:r w:rsidR="00236B2D">
        <w:t>:</w:t>
      </w:r>
      <w:r w:rsidR="005F2EDE">
        <w:tab/>
      </w:r>
      <w:r w:rsidRPr="002E3156">
        <w:t xml:space="preserve">ADDITIONAL INFORMATION AND SCENARIOS: </w:t>
      </w:r>
      <w:r w:rsidR="0086551C" w:rsidRPr="002E3156">
        <w:t>LVCS/VLVC</w:t>
      </w:r>
      <w:r w:rsidRPr="002E3156">
        <w:t>s</w:t>
      </w:r>
      <w:bookmarkEnd w:id="218"/>
      <w:bookmarkEnd w:id="219"/>
      <w:r w:rsidR="0ACBBE2E" w:rsidRPr="00A81971">
        <w:t xml:space="preserve"> </w:t>
      </w:r>
    </w:p>
    <w:p w14:paraId="19832AB9" w14:textId="77777777" w:rsidR="00B94077" w:rsidRPr="002E3156" w:rsidRDefault="0032495C" w:rsidP="00201CFA">
      <w:pPr>
        <w:pStyle w:val="Heading2"/>
      </w:pPr>
      <w:bookmarkStart w:id="220" w:name="_Toc145692852"/>
      <w:bookmarkStart w:id="221" w:name="_Toc240987333"/>
      <w:r w:rsidRPr="00A81971">
        <w:t>4.1</w:t>
      </w:r>
      <w:r w:rsidRPr="00A81971">
        <w:tab/>
      </w:r>
      <w:r w:rsidRPr="002E3156">
        <w:t>I</w:t>
      </w:r>
      <w:r w:rsidR="008E4CF2" w:rsidRPr="002E3156">
        <w:t>ntroduction</w:t>
      </w:r>
      <w:bookmarkEnd w:id="220"/>
      <w:bookmarkEnd w:id="221"/>
    </w:p>
    <w:p w14:paraId="580ACAA1" w14:textId="77777777" w:rsidR="091457C3" w:rsidRPr="003207D7" w:rsidRDefault="0032495C" w:rsidP="091457C3">
      <w:r w:rsidRPr="003207D7">
        <w:t>T</w:t>
      </w:r>
      <w:r w:rsidRPr="003207D7">
        <w:rPr>
          <w:rFonts w:eastAsia="Segoe UI"/>
          <w:color w:val="242424"/>
          <w:sz w:val="21"/>
          <w:szCs w:val="21"/>
        </w:rPr>
        <w:t>his chapter details the approach and information needed to estimate funding to address the following OEWG-48 suggestion:</w:t>
      </w:r>
    </w:p>
    <w:p w14:paraId="310C7102" w14:textId="77777777" w:rsidR="00E73720" w:rsidRPr="00A81971" w:rsidRDefault="0032495C" w:rsidP="004B5F6E">
      <w:pPr>
        <w:spacing w:after="160"/>
        <w:ind w:left="708"/>
        <w:rPr>
          <w:rFonts w:eastAsia="Times New Roman"/>
          <w:b/>
          <w:bCs/>
          <w:i/>
          <w:iCs/>
          <w:color w:val="FF0000"/>
        </w:rPr>
      </w:pPr>
      <w:r w:rsidRPr="00A81971">
        <w:rPr>
          <w:rFonts w:eastAsia="Times New Roman"/>
          <w:b/>
          <w:bCs/>
          <w:i/>
          <w:iCs/>
        </w:rPr>
        <w:t>"</w:t>
      </w:r>
      <w:r w:rsidR="00A10A8A" w:rsidRPr="00A81971">
        <w:rPr>
          <w:rFonts w:eastAsia="Times New Roman"/>
          <w:b/>
          <w:bCs/>
          <w:i/>
          <w:iCs/>
        </w:rPr>
        <w:t>Recalling the TOR in decision XXXVII/6, requests the RTF 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r w:rsidRPr="00A81971">
        <w:rPr>
          <w:rFonts w:eastAsia="Times New Roman"/>
          <w:b/>
          <w:bCs/>
          <w:i/>
          <w:iCs/>
        </w:rPr>
        <w:t>".</w:t>
      </w:r>
    </w:p>
    <w:p w14:paraId="4558307E" w14:textId="77777777" w:rsidR="00D34850" w:rsidRPr="002E3156" w:rsidRDefault="0032495C" w:rsidP="00201CFA">
      <w:pPr>
        <w:pStyle w:val="Heading2"/>
      </w:pPr>
      <w:bookmarkStart w:id="222" w:name="_Toc145692853"/>
      <w:bookmarkStart w:id="223" w:name="_Toc240987334"/>
      <w:r w:rsidRPr="00A81971">
        <w:t>4.</w:t>
      </w:r>
      <w:r w:rsidR="00B94077" w:rsidRPr="00A81971">
        <w:t>2</w:t>
      </w:r>
      <w:r w:rsidR="007965FB" w:rsidRPr="00A81971">
        <w:tab/>
      </w:r>
      <w:r w:rsidR="00EB4048" w:rsidRPr="002E3156">
        <w:t xml:space="preserve">SCENARIO: </w:t>
      </w:r>
      <w:r w:rsidR="00CA0203" w:rsidRPr="002E3156">
        <w:t xml:space="preserve">possible increase for lvc and vlvc </w:t>
      </w:r>
      <w:r w:rsidR="5C46D14F" w:rsidRPr="002E3156">
        <w:t>countries</w:t>
      </w:r>
      <w:r w:rsidR="00CA0203" w:rsidRPr="002E3156">
        <w:t xml:space="preserve"> for </w:t>
      </w:r>
      <w:r w:rsidR="00E10C69" w:rsidRPr="002E3156">
        <w:t>kips stage ii</w:t>
      </w:r>
      <w:bookmarkEnd w:id="222"/>
      <w:bookmarkEnd w:id="223"/>
      <w:r w:rsidRPr="002E3156">
        <w:t xml:space="preserve"> </w:t>
      </w:r>
    </w:p>
    <w:p w14:paraId="634938A6" w14:textId="77777777" w:rsidR="00736291" w:rsidRPr="00A81971" w:rsidRDefault="0032495C" w:rsidP="004B5F6E">
      <w:pPr>
        <w:rPr>
          <w:rFonts w:eastAsia="Times New Roman"/>
          <w:color w:val="000000" w:themeColor="text1"/>
        </w:rPr>
      </w:pPr>
      <w:r w:rsidRPr="00A81971">
        <w:rPr>
          <w:rFonts w:eastAsia="Times New Roman"/>
          <w:color w:val="000000" w:themeColor="text1"/>
        </w:rPr>
        <w:t xml:space="preserve">In its May 2026 Report for LVCs and VLVCs, the RTF had estimated funding for HPMPs and KIPs with budget allocation by category based on ExCom decisions 74/50 for HPMPs and 92/37 for KIPs. For HPMPs, decision 62/17 requires that the last tranche be a minimum 10% of the total funding for the refrigeration servicing sector and applied to the last year of the HPMP, which is 2030; consequently, the resource allocation for the 2027-2029 triennium is 90% as was estimated in the May 2026 RTF report. For KIPs, the assumption was that LVCs and VLVCs with </w:t>
      </w:r>
      <w:r w:rsidR="00771C82">
        <w:rPr>
          <w:rFonts w:eastAsia="Times New Roman"/>
          <w:color w:val="000000" w:themeColor="text1"/>
        </w:rPr>
        <w:t>Stage</w:t>
      </w:r>
      <w:r w:rsidRPr="00A81971">
        <w:rPr>
          <w:rFonts w:eastAsia="Times New Roman"/>
          <w:color w:val="000000" w:themeColor="text1"/>
        </w:rPr>
        <w:t xml:space="preserve"> I KIPs having a reduction from the baseline of less than 30% would submit </w:t>
      </w:r>
      <w:r w:rsidR="00771C82">
        <w:rPr>
          <w:rFonts w:eastAsia="Times New Roman"/>
          <w:color w:val="000000" w:themeColor="text1"/>
        </w:rPr>
        <w:t>Stage</w:t>
      </w:r>
      <w:r w:rsidRPr="00A81971">
        <w:rPr>
          <w:rFonts w:eastAsia="Times New Roman"/>
          <w:color w:val="000000" w:themeColor="text1"/>
        </w:rPr>
        <w:t xml:space="preserve"> II requests within the 2027-2029 triennium and that the maximum funding for the first tranche of </w:t>
      </w:r>
      <w:r w:rsidR="00771C82">
        <w:rPr>
          <w:rFonts w:eastAsia="Times New Roman"/>
          <w:color w:val="000000" w:themeColor="text1"/>
        </w:rPr>
        <w:t>Stage</w:t>
      </w:r>
      <w:r w:rsidRPr="00A81971">
        <w:rPr>
          <w:rFonts w:eastAsia="Times New Roman"/>
          <w:color w:val="000000" w:themeColor="text1"/>
        </w:rPr>
        <w:t xml:space="preserve"> II, which falls within the 2027-2029 triennium, would be 60% of </w:t>
      </w:r>
      <w:r w:rsidR="00771C82">
        <w:rPr>
          <w:rFonts w:eastAsia="Times New Roman"/>
          <w:color w:val="000000" w:themeColor="text1"/>
        </w:rPr>
        <w:t>Stage</w:t>
      </w:r>
      <w:r w:rsidRPr="00A81971">
        <w:rPr>
          <w:rFonts w:eastAsia="Times New Roman"/>
          <w:color w:val="000000" w:themeColor="text1"/>
        </w:rPr>
        <w:t xml:space="preserve"> II as per decision 94/59.</w:t>
      </w:r>
    </w:p>
    <w:p w14:paraId="0B0F2135" w14:textId="77777777" w:rsidR="00736291" w:rsidRPr="00A81971" w:rsidRDefault="0032495C" w:rsidP="004B5F6E">
      <w:pPr>
        <w:rPr>
          <w:rFonts w:eastAsia="Times New Roman"/>
          <w:color w:val="000000" w:themeColor="text1"/>
        </w:rPr>
      </w:pPr>
      <w:r w:rsidRPr="00A81971">
        <w:rPr>
          <w:rFonts w:eastAsia="Times New Roman"/>
          <w:color w:val="000000" w:themeColor="text1"/>
        </w:rPr>
        <w:t>In considering the above request from the OEWG-48 Contact Group, the RTF created a High-end Resource Allocation Scenario for both HPMPs and KIPs.</w:t>
      </w:r>
    </w:p>
    <w:p w14:paraId="5E79AD1E" w14:textId="2BAEDC2C" w:rsidR="00736291" w:rsidRPr="002E3156" w:rsidRDefault="0032495C" w:rsidP="00FE3922">
      <w:pPr>
        <w:pStyle w:val="Heading3"/>
        <w:spacing w:line="240" w:lineRule="auto"/>
      </w:pPr>
      <w:r w:rsidRPr="00A81971">
        <w:rPr>
          <w:rFonts w:eastAsia="Times New Roman"/>
        </w:rPr>
        <w:t xml:space="preserve">4.2.1 </w:t>
      </w:r>
      <w:r w:rsidR="002E3156">
        <w:rPr>
          <w:rFonts w:eastAsia="Times New Roman"/>
        </w:rPr>
        <w:tab/>
      </w:r>
      <w:r w:rsidRPr="00FE5C31">
        <w:t>High-end scenario for HPMPs</w:t>
      </w:r>
    </w:p>
    <w:p w14:paraId="7CF340F2" w14:textId="77777777" w:rsidR="00736291" w:rsidRPr="00A81971" w:rsidRDefault="0032495C" w:rsidP="00FE3922">
      <w:pPr>
        <w:spacing w:after="160"/>
        <w:rPr>
          <w:rFonts w:eastAsia="Times New Roman"/>
          <w:color w:val="000000" w:themeColor="text1"/>
        </w:rPr>
      </w:pPr>
      <w:r w:rsidRPr="00A81971">
        <w:rPr>
          <w:rFonts w:eastAsia="Times New Roman"/>
          <w:color w:val="000000" w:themeColor="text1"/>
        </w:rPr>
        <w:t xml:space="preserve">There are a few LVCs/VLVCs for which the last </w:t>
      </w:r>
      <w:r w:rsidR="00771C82">
        <w:rPr>
          <w:rFonts w:eastAsia="Times New Roman"/>
          <w:color w:val="000000" w:themeColor="text1"/>
        </w:rPr>
        <w:t>stage</w:t>
      </w:r>
      <w:r w:rsidRPr="00A81971">
        <w:rPr>
          <w:rFonts w:eastAsia="Times New Roman"/>
          <w:color w:val="000000" w:themeColor="text1"/>
        </w:rPr>
        <w:t xml:space="preserve"> of the HPMP has not been requested, so there is negligible impact on the estimated resource allocation to warrant a change from the May 2026 Report.</w:t>
      </w:r>
    </w:p>
    <w:p w14:paraId="1B0F7715" w14:textId="5EC10CC1" w:rsidR="00736291" w:rsidRPr="00A81971" w:rsidRDefault="0032495C" w:rsidP="00FE3922">
      <w:pPr>
        <w:pStyle w:val="Heading3"/>
        <w:spacing w:line="240" w:lineRule="auto"/>
        <w:rPr>
          <w:rFonts w:eastAsia="Times New Roman"/>
        </w:rPr>
      </w:pPr>
      <w:r w:rsidRPr="00A81971">
        <w:rPr>
          <w:rFonts w:eastAsia="Times New Roman"/>
        </w:rPr>
        <w:t xml:space="preserve">4.2.2 </w:t>
      </w:r>
      <w:r w:rsidR="002E3156">
        <w:rPr>
          <w:rFonts w:eastAsia="Times New Roman"/>
        </w:rPr>
        <w:tab/>
      </w:r>
      <w:r w:rsidRPr="00FE5C31">
        <w:t>High-end scenario for KIPs</w:t>
      </w:r>
    </w:p>
    <w:p w14:paraId="3B581B26" w14:textId="77777777" w:rsidR="00736291" w:rsidRPr="00A81971" w:rsidRDefault="0032495C" w:rsidP="00FE3922">
      <w:pPr>
        <w:spacing w:after="160"/>
        <w:rPr>
          <w:rFonts w:eastAsia="Times New Roman"/>
          <w:color w:val="000000" w:themeColor="text1"/>
        </w:rPr>
      </w:pPr>
      <w:r w:rsidRPr="00A81971">
        <w:rPr>
          <w:rFonts w:eastAsia="Times New Roman"/>
          <w:color w:val="000000" w:themeColor="text1"/>
        </w:rPr>
        <w:t>For KIPs, table 3.4 for the resource allocation in Chapter 3 of the May 2026 Report is reproduced in Table 4.1 below with the allocation for 2027-2029 triennium shown in blue</w:t>
      </w:r>
    </w:p>
    <w:p w14:paraId="3E165553" w14:textId="77777777" w:rsidR="00736291" w:rsidRPr="00A81971" w:rsidRDefault="0032495C" w:rsidP="005F3983">
      <w:pPr>
        <w:tabs>
          <w:tab w:val="left" w:pos="0"/>
          <w:tab w:val="left" w:pos="1276"/>
        </w:tabs>
        <w:spacing w:after="120"/>
        <w:ind w:left="1282" w:hanging="1282"/>
        <w:rPr>
          <w:b/>
          <w:bCs/>
          <w:color w:val="000000" w:themeColor="text1"/>
        </w:rPr>
      </w:pPr>
      <w:r w:rsidRPr="0006445E">
        <w:rPr>
          <w:rFonts w:eastAsia="Yu Mincho"/>
          <w:b/>
          <w:bCs/>
          <w:color w:val="000000"/>
          <w:lang w:val="en-CA"/>
        </w:rPr>
        <w:t xml:space="preserve">Table </w:t>
      </w:r>
      <w:r>
        <w:rPr>
          <w:rFonts w:eastAsia="Yu Mincho"/>
          <w:b/>
          <w:bCs/>
          <w:color w:val="000000"/>
          <w:lang w:val="en-CA"/>
        </w:rPr>
        <w:t>4.1:</w:t>
      </w:r>
      <w:r w:rsidRPr="0006445E">
        <w:rPr>
          <w:rFonts w:eastAsia="Times New Roman"/>
          <w:color w:val="000000"/>
          <w:lang w:val="en-CA"/>
        </w:rPr>
        <w:tab/>
      </w:r>
      <w:r w:rsidRPr="00A81971">
        <w:rPr>
          <w:b/>
          <w:bCs/>
          <w:color w:val="000000" w:themeColor="text1"/>
        </w:rPr>
        <w:t>Copy of Table 3.4 from the May 2026 Report as applicable to LVCs/VLVCs</w:t>
      </w:r>
      <w:r w:rsidR="43EEFCCE" w:rsidRPr="00A81971">
        <w:rPr>
          <w:b/>
          <w:bCs/>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305"/>
        <w:gridCol w:w="2305"/>
        <w:gridCol w:w="2060"/>
      </w:tblGrid>
      <w:tr w:rsidR="00F90461" w14:paraId="53274123" w14:textId="77777777" w:rsidTr="00924C53">
        <w:trPr>
          <w:trHeight w:val="495"/>
        </w:trPr>
        <w:tc>
          <w:tcPr>
            <w:tcW w:w="2405" w:type="dxa"/>
            <w:shd w:val="clear" w:color="auto" w:fill="DEEAF6" w:themeFill="accent5" w:themeFillTint="33"/>
            <w:tcMar>
              <w:left w:w="108" w:type="dxa"/>
              <w:right w:w="108" w:type="dxa"/>
            </w:tcMar>
            <w:vAlign w:val="center"/>
          </w:tcPr>
          <w:p w14:paraId="79D426CB" w14:textId="77777777" w:rsidR="43EEFCCE" w:rsidRPr="00A81971" w:rsidRDefault="0032495C" w:rsidP="00924C53">
            <w:pPr>
              <w:tabs>
                <w:tab w:val="left" w:pos="0"/>
              </w:tabs>
              <w:spacing w:after="0"/>
              <w:rPr>
                <w:rFonts w:eastAsia="Times New Roman"/>
                <w:b/>
                <w:bCs/>
                <w:color w:val="000000" w:themeColor="text1"/>
              </w:rPr>
            </w:pPr>
            <w:r w:rsidRPr="00A81971">
              <w:rPr>
                <w:rFonts w:eastAsia="Times New Roman"/>
                <w:b/>
                <w:bCs/>
                <w:color w:val="000000" w:themeColor="text1"/>
              </w:rPr>
              <w:t>LVCs/VLVCs – May report</w:t>
            </w:r>
          </w:p>
        </w:tc>
        <w:tc>
          <w:tcPr>
            <w:tcW w:w="2305" w:type="dxa"/>
            <w:shd w:val="clear" w:color="auto" w:fill="DEEAF6" w:themeFill="accent5" w:themeFillTint="33"/>
            <w:tcMar>
              <w:left w:w="108" w:type="dxa"/>
              <w:right w:w="108" w:type="dxa"/>
            </w:tcMar>
            <w:vAlign w:val="center"/>
          </w:tcPr>
          <w:p w14:paraId="5AE12B30" w14:textId="77777777" w:rsidR="43EEFCCE" w:rsidRPr="00A81971" w:rsidRDefault="0032495C" w:rsidP="00924C53">
            <w:pPr>
              <w:tabs>
                <w:tab w:val="left" w:pos="0"/>
              </w:tabs>
              <w:spacing w:after="0"/>
              <w:jc w:val="center"/>
              <w:rPr>
                <w:rFonts w:eastAsia="Times New Roman"/>
                <w:b/>
                <w:bCs/>
                <w:color w:val="000000" w:themeColor="text1"/>
              </w:rPr>
            </w:pPr>
            <w:r w:rsidRPr="00A81971">
              <w:rPr>
                <w:rFonts w:eastAsia="Times New Roman"/>
                <w:b/>
                <w:bCs/>
                <w:color w:val="000000" w:themeColor="text1"/>
              </w:rPr>
              <w:t>KIP Stage</w:t>
            </w:r>
          </w:p>
        </w:tc>
        <w:tc>
          <w:tcPr>
            <w:tcW w:w="2305" w:type="dxa"/>
            <w:shd w:val="clear" w:color="auto" w:fill="DEEAF6" w:themeFill="accent5" w:themeFillTint="33"/>
            <w:tcMar>
              <w:left w:w="108" w:type="dxa"/>
              <w:right w:w="108" w:type="dxa"/>
            </w:tcMar>
            <w:vAlign w:val="center"/>
          </w:tcPr>
          <w:p w14:paraId="0B42AA94" w14:textId="16DE6D1B" w:rsidR="43EEFCCE" w:rsidRPr="00A81971" w:rsidRDefault="0032495C" w:rsidP="00924C53">
            <w:pPr>
              <w:tabs>
                <w:tab w:val="left" w:pos="0"/>
              </w:tabs>
              <w:spacing w:after="0"/>
              <w:jc w:val="center"/>
              <w:rPr>
                <w:rFonts w:eastAsia="Times New Roman"/>
                <w:b/>
                <w:bCs/>
                <w:color w:val="000000" w:themeColor="text1"/>
              </w:rPr>
            </w:pPr>
            <w:r w:rsidRPr="00A81971">
              <w:rPr>
                <w:rFonts w:eastAsia="Times New Roman"/>
                <w:b/>
                <w:bCs/>
                <w:color w:val="000000" w:themeColor="text1"/>
              </w:rPr>
              <w:t>Schedule A</w:t>
            </w:r>
          </w:p>
          <w:p w14:paraId="1796B6F3" w14:textId="6E0C507D" w:rsidR="43EEFCCE" w:rsidRPr="00A81971" w:rsidRDefault="0032495C" w:rsidP="00924C53">
            <w:pPr>
              <w:tabs>
                <w:tab w:val="left" w:pos="0"/>
              </w:tabs>
              <w:spacing w:after="0"/>
              <w:jc w:val="center"/>
              <w:rPr>
                <w:rFonts w:eastAsia="Times New Roman"/>
                <w:b/>
                <w:bCs/>
                <w:color w:val="000000" w:themeColor="text1"/>
              </w:rPr>
            </w:pPr>
            <w:r w:rsidRPr="00A81971">
              <w:rPr>
                <w:rFonts w:eastAsia="Times New Roman"/>
                <w:b/>
                <w:bCs/>
                <w:color w:val="000000" w:themeColor="text1"/>
              </w:rPr>
              <w:t>(% per triennium)</w:t>
            </w:r>
          </w:p>
        </w:tc>
        <w:tc>
          <w:tcPr>
            <w:tcW w:w="2060" w:type="dxa"/>
            <w:shd w:val="clear" w:color="auto" w:fill="DEEAF6" w:themeFill="accent5" w:themeFillTint="33"/>
            <w:tcMar>
              <w:left w:w="108" w:type="dxa"/>
              <w:right w:w="108" w:type="dxa"/>
            </w:tcMar>
            <w:vAlign w:val="center"/>
          </w:tcPr>
          <w:p w14:paraId="0BF55130" w14:textId="6978C7A4" w:rsidR="43EEFCCE" w:rsidRPr="00A81971" w:rsidRDefault="0032495C" w:rsidP="00924C53">
            <w:pPr>
              <w:tabs>
                <w:tab w:val="left" w:pos="0"/>
              </w:tabs>
              <w:spacing w:after="0"/>
              <w:jc w:val="center"/>
              <w:rPr>
                <w:rFonts w:eastAsia="Times New Roman"/>
                <w:b/>
                <w:bCs/>
                <w:color w:val="000000" w:themeColor="text1"/>
              </w:rPr>
            </w:pPr>
            <w:r w:rsidRPr="00A81971">
              <w:rPr>
                <w:rFonts w:eastAsia="Times New Roman"/>
                <w:b/>
                <w:bCs/>
                <w:color w:val="000000" w:themeColor="text1"/>
              </w:rPr>
              <w:t>Schedule B</w:t>
            </w:r>
          </w:p>
          <w:p w14:paraId="5D3847CC" w14:textId="598FBEB6" w:rsidR="43EEFCCE" w:rsidRPr="00A81971" w:rsidRDefault="0032495C" w:rsidP="00924C53">
            <w:pPr>
              <w:tabs>
                <w:tab w:val="left" w:pos="0"/>
              </w:tabs>
              <w:spacing w:after="0"/>
              <w:jc w:val="center"/>
              <w:rPr>
                <w:rFonts w:eastAsia="Times New Roman"/>
                <w:b/>
                <w:bCs/>
                <w:color w:val="000000" w:themeColor="text1"/>
              </w:rPr>
            </w:pPr>
            <w:r w:rsidRPr="00A81971">
              <w:rPr>
                <w:rFonts w:eastAsia="Times New Roman"/>
                <w:b/>
                <w:bCs/>
                <w:color w:val="000000" w:themeColor="text1"/>
              </w:rPr>
              <w:t>(% per triennium)</w:t>
            </w:r>
          </w:p>
        </w:tc>
      </w:tr>
      <w:tr w:rsidR="00F90461" w14:paraId="0AF649A0" w14:textId="77777777" w:rsidTr="00924C53">
        <w:trPr>
          <w:trHeight w:val="495"/>
        </w:trPr>
        <w:tc>
          <w:tcPr>
            <w:tcW w:w="2405" w:type="dxa"/>
            <w:vMerge w:val="restart"/>
            <w:shd w:val="clear" w:color="auto" w:fill="E2EFD9" w:themeFill="accent6" w:themeFillTint="33"/>
            <w:tcMar>
              <w:left w:w="108" w:type="dxa"/>
              <w:right w:w="108" w:type="dxa"/>
            </w:tcMar>
            <w:vAlign w:val="center"/>
          </w:tcPr>
          <w:p w14:paraId="23FAC85D" w14:textId="77777777" w:rsidR="43EEFCCE" w:rsidRPr="00A81971" w:rsidRDefault="0032495C" w:rsidP="00924C53">
            <w:pPr>
              <w:tabs>
                <w:tab w:val="left" w:pos="0"/>
              </w:tabs>
              <w:spacing w:after="0"/>
              <w:rPr>
                <w:rFonts w:eastAsia="Times New Roman"/>
                <w:color w:val="000000" w:themeColor="text1"/>
              </w:rPr>
            </w:pPr>
            <w:r w:rsidRPr="00A81971">
              <w:rPr>
                <w:rFonts w:eastAsia="Times New Roman"/>
                <w:color w:val="000000" w:themeColor="text1"/>
              </w:rPr>
              <w:t xml:space="preserve">Parties without KIPs  </w:t>
            </w:r>
          </w:p>
          <w:p w14:paraId="66E559CC" w14:textId="77777777" w:rsidR="43EEFCCE" w:rsidRPr="00A81971" w:rsidRDefault="0032495C" w:rsidP="00924C53">
            <w:pPr>
              <w:tabs>
                <w:tab w:val="left" w:pos="0"/>
              </w:tabs>
              <w:spacing w:after="0"/>
              <w:rPr>
                <w:rFonts w:eastAsia="Times New Roman"/>
                <w:color w:val="000000" w:themeColor="text1"/>
              </w:rPr>
            </w:pPr>
            <w:r w:rsidRPr="00A81971">
              <w:rPr>
                <w:rFonts w:eastAsia="Times New Roman"/>
                <w:color w:val="000000" w:themeColor="text1"/>
              </w:rPr>
              <w:t xml:space="preserve"> </w:t>
            </w:r>
          </w:p>
        </w:tc>
        <w:tc>
          <w:tcPr>
            <w:tcW w:w="2305" w:type="dxa"/>
            <w:tcMar>
              <w:left w:w="108" w:type="dxa"/>
              <w:right w:w="108" w:type="dxa"/>
            </w:tcMar>
            <w:vAlign w:val="center"/>
          </w:tcPr>
          <w:p w14:paraId="07B2C1ED" w14:textId="77777777"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I</w:t>
            </w:r>
          </w:p>
        </w:tc>
        <w:tc>
          <w:tcPr>
            <w:tcW w:w="2305" w:type="dxa"/>
            <w:tcMar>
              <w:left w:w="108" w:type="dxa"/>
              <w:right w:w="108" w:type="dxa"/>
            </w:tcMar>
            <w:vAlign w:val="center"/>
          </w:tcPr>
          <w:p w14:paraId="6FC65A44" w14:textId="415F836C" w:rsidR="43EEFCCE" w:rsidRPr="00A81971" w:rsidRDefault="0032495C" w:rsidP="00924C53">
            <w:pPr>
              <w:tabs>
                <w:tab w:val="left" w:pos="0"/>
              </w:tabs>
              <w:spacing w:after="0"/>
              <w:jc w:val="center"/>
              <w:rPr>
                <w:rFonts w:eastAsia="Times New Roman"/>
                <w:color w:val="0070C0"/>
              </w:rPr>
            </w:pPr>
            <w:r w:rsidRPr="00A81971">
              <w:rPr>
                <w:rFonts w:eastAsia="Times New Roman"/>
                <w:color w:val="0070C0"/>
              </w:rPr>
              <w:t>100% - 2027-2029</w:t>
            </w:r>
          </w:p>
        </w:tc>
        <w:tc>
          <w:tcPr>
            <w:tcW w:w="2060" w:type="dxa"/>
            <w:tcMar>
              <w:left w:w="108" w:type="dxa"/>
              <w:right w:w="108" w:type="dxa"/>
            </w:tcMar>
            <w:vAlign w:val="center"/>
          </w:tcPr>
          <w:p w14:paraId="2781D33F" w14:textId="0841A8C5" w:rsidR="43EEFCCE" w:rsidRPr="00A81971" w:rsidRDefault="0032495C" w:rsidP="00924C53">
            <w:pPr>
              <w:tabs>
                <w:tab w:val="left" w:pos="0"/>
              </w:tabs>
              <w:spacing w:after="0"/>
              <w:jc w:val="center"/>
              <w:rPr>
                <w:rFonts w:eastAsia="Times New Roman"/>
                <w:color w:val="0070C0"/>
              </w:rPr>
            </w:pPr>
            <w:r w:rsidRPr="00A81971">
              <w:rPr>
                <w:rFonts w:eastAsia="Times New Roman"/>
                <w:color w:val="0070C0"/>
              </w:rPr>
              <w:t>90% - 2027-2029</w:t>
            </w:r>
          </w:p>
          <w:p w14:paraId="3A91EB22" w14:textId="59F43B92"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10% - 2030-2032</w:t>
            </w:r>
          </w:p>
        </w:tc>
      </w:tr>
      <w:tr w:rsidR="00F90461" w14:paraId="1783BC32" w14:textId="77777777" w:rsidTr="00924C53">
        <w:trPr>
          <w:trHeight w:val="420"/>
        </w:trPr>
        <w:tc>
          <w:tcPr>
            <w:tcW w:w="2405" w:type="dxa"/>
            <w:vMerge/>
            <w:shd w:val="clear" w:color="auto" w:fill="E2EFD9" w:themeFill="accent6" w:themeFillTint="33"/>
            <w:vAlign w:val="center"/>
          </w:tcPr>
          <w:p w14:paraId="25734389" w14:textId="77777777" w:rsidR="007B2372" w:rsidRPr="00A81971" w:rsidRDefault="007B2372" w:rsidP="00924C53">
            <w:pPr>
              <w:spacing w:after="0"/>
            </w:pPr>
          </w:p>
        </w:tc>
        <w:tc>
          <w:tcPr>
            <w:tcW w:w="2305" w:type="dxa"/>
            <w:tcMar>
              <w:left w:w="108" w:type="dxa"/>
              <w:right w:w="108" w:type="dxa"/>
            </w:tcMar>
            <w:vAlign w:val="center"/>
          </w:tcPr>
          <w:p w14:paraId="51F2B264" w14:textId="77777777"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II</w:t>
            </w:r>
          </w:p>
        </w:tc>
        <w:tc>
          <w:tcPr>
            <w:tcW w:w="2305" w:type="dxa"/>
            <w:tcMar>
              <w:left w:w="108" w:type="dxa"/>
              <w:right w:w="108" w:type="dxa"/>
            </w:tcMar>
            <w:vAlign w:val="center"/>
          </w:tcPr>
          <w:p w14:paraId="66B27513" w14:textId="099E3E1D"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60% - 2030-2032</w:t>
            </w:r>
          </w:p>
          <w:p w14:paraId="6742566E" w14:textId="16C18B7F"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40% - 2033-2035</w:t>
            </w:r>
          </w:p>
        </w:tc>
        <w:tc>
          <w:tcPr>
            <w:tcW w:w="2060" w:type="dxa"/>
            <w:tcMar>
              <w:left w:w="108" w:type="dxa"/>
              <w:right w:w="108" w:type="dxa"/>
            </w:tcMar>
            <w:vAlign w:val="center"/>
          </w:tcPr>
          <w:p w14:paraId="76FAB5D0" w14:textId="1A113A04"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60% - 2030-2032</w:t>
            </w:r>
          </w:p>
          <w:p w14:paraId="0B1DF66F" w14:textId="21EB6BBE"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40% - 2033-2035</w:t>
            </w:r>
          </w:p>
        </w:tc>
      </w:tr>
      <w:tr w:rsidR="00F90461" w14:paraId="6CDC4180" w14:textId="77777777" w:rsidTr="00924C53">
        <w:trPr>
          <w:trHeight w:val="390"/>
        </w:trPr>
        <w:tc>
          <w:tcPr>
            <w:tcW w:w="2405" w:type="dxa"/>
            <w:shd w:val="clear" w:color="auto" w:fill="E2EFD9" w:themeFill="accent6" w:themeFillTint="33"/>
            <w:tcMar>
              <w:left w:w="108" w:type="dxa"/>
              <w:right w:w="108" w:type="dxa"/>
            </w:tcMar>
            <w:vAlign w:val="center"/>
          </w:tcPr>
          <w:p w14:paraId="33D782A9" w14:textId="77777777" w:rsidR="43EEFCCE" w:rsidRPr="00A81971" w:rsidRDefault="0032495C" w:rsidP="00924C53">
            <w:pPr>
              <w:tabs>
                <w:tab w:val="left" w:pos="0"/>
              </w:tabs>
              <w:spacing w:after="0"/>
              <w:rPr>
                <w:rFonts w:eastAsia="Times New Roman"/>
                <w:color w:val="000000" w:themeColor="text1"/>
              </w:rPr>
            </w:pPr>
            <w:r w:rsidRPr="00A81971">
              <w:rPr>
                <w:rFonts w:eastAsia="Times New Roman"/>
                <w:color w:val="000000" w:themeColor="text1"/>
              </w:rPr>
              <w:t xml:space="preserve">Parties with KIPs  </w:t>
            </w:r>
          </w:p>
        </w:tc>
        <w:tc>
          <w:tcPr>
            <w:tcW w:w="2305" w:type="dxa"/>
            <w:tcMar>
              <w:left w:w="108" w:type="dxa"/>
              <w:right w:w="108" w:type="dxa"/>
            </w:tcMar>
            <w:vAlign w:val="center"/>
          </w:tcPr>
          <w:p w14:paraId="6DBC6595" w14:textId="77777777"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II</w:t>
            </w:r>
          </w:p>
        </w:tc>
        <w:tc>
          <w:tcPr>
            <w:tcW w:w="2305" w:type="dxa"/>
            <w:tcMar>
              <w:left w:w="108" w:type="dxa"/>
              <w:right w:w="108" w:type="dxa"/>
            </w:tcMar>
            <w:vAlign w:val="center"/>
          </w:tcPr>
          <w:p w14:paraId="6F91FD50" w14:textId="5F912C04" w:rsidR="43EEFCCE" w:rsidRPr="00A81971" w:rsidRDefault="0032495C" w:rsidP="00924C53">
            <w:pPr>
              <w:tabs>
                <w:tab w:val="left" w:pos="0"/>
              </w:tabs>
              <w:spacing w:after="0"/>
              <w:jc w:val="center"/>
              <w:rPr>
                <w:rFonts w:eastAsia="Times New Roman"/>
                <w:b/>
                <w:bCs/>
                <w:color w:val="0070C0"/>
              </w:rPr>
            </w:pPr>
            <w:r w:rsidRPr="00A81971">
              <w:rPr>
                <w:rFonts w:eastAsia="Times New Roman"/>
                <w:b/>
                <w:bCs/>
                <w:color w:val="0070C0"/>
              </w:rPr>
              <w:t>60% - 2027-2029</w:t>
            </w:r>
          </w:p>
          <w:p w14:paraId="4EAFCD63" w14:textId="5F52870B"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40% - 2030-2032</w:t>
            </w:r>
          </w:p>
        </w:tc>
        <w:tc>
          <w:tcPr>
            <w:tcW w:w="2060" w:type="dxa"/>
            <w:tcMar>
              <w:left w:w="108" w:type="dxa"/>
              <w:right w:w="108" w:type="dxa"/>
            </w:tcMar>
            <w:vAlign w:val="center"/>
          </w:tcPr>
          <w:p w14:paraId="49673B63" w14:textId="7C1398EB"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60% - 2030-2032</w:t>
            </w:r>
          </w:p>
          <w:p w14:paraId="185E1870" w14:textId="77777777" w:rsidR="43EEFCCE" w:rsidRPr="00A81971" w:rsidRDefault="0032495C" w:rsidP="00924C53">
            <w:pPr>
              <w:tabs>
                <w:tab w:val="left" w:pos="0"/>
              </w:tabs>
              <w:spacing w:after="0"/>
              <w:jc w:val="center"/>
              <w:rPr>
                <w:rFonts w:eastAsia="Times New Roman"/>
                <w:color w:val="000000" w:themeColor="text1"/>
              </w:rPr>
            </w:pPr>
            <w:r w:rsidRPr="00A81971">
              <w:rPr>
                <w:rFonts w:eastAsia="Times New Roman"/>
                <w:color w:val="000000" w:themeColor="text1"/>
              </w:rPr>
              <w:t>40% - 2033-2035</w:t>
            </w:r>
          </w:p>
        </w:tc>
      </w:tr>
    </w:tbl>
    <w:p w14:paraId="58C9A9E9" w14:textId="77777777" w:rsidR="00736291" w:rsidRPr="00A81971" w:rsidRDefault="0032495C" w:rsidP="43EEFCCE">
      <w:pPr>
        <w:spacing w:after="160" w:line="276" w:lineRule="auto"/>
        <w:rPr>
          <w:rFonts w:eastAsia="Times New Roman"/>
          <w:b/>
          <w:bCs/>
          <w:i/>
          <w:iCs/>
          <w:color w:val="0070C0"/>
        </w:rPr>
      </w:pPr>
      <w:r w:rsidRPr="00A81971">
        <w:rPr>
          <w:rFonts w:eastAsia="Times New Roman"/>
          <w:b/>
          <w:bCs/>
          <w:i/>
          <w:iCs/>
          <w:color w:val="0070C0"/>
        </w:rPr>
        <w:t>Note: 2027-2029 triennium percentages are shown in blue</w:t>
      </w:r>
    </w:p>
    <w:p w14:paraId="4B882463" w14:textId="77777777" w:rsidR="00736291" w:rsidRPr="00A81971" w:rsidRDefault="0032495C" w:rsidP="004B5F6E">
      <w:pPr>
        <w:spacing w:after="160"/>
        <w:rPr>
          <w:rFonts w:eastAsia="Times New Roman"/>
          <w:color w:val="000000" w:themeColor="text1"/>
        </w:rPr>
      </w:pPr>
      <w:r w:rsidRPr="00A81971">
        <w:rPr>
          <w:rFonts w:eastAsia="Times New Roman"/>
          <w:color w:val="000000" w:themeColor="text1"/>
        </w:rPr>
        <w:t>The discussion below is based on the KIP stages for LVCs/VLVCs.</w:t>
      </w:r>
    </w:p>
    <w:p w14:paraId="40E8D483" w14:textId="77777777" w:rsidR="00736291" w:rsidRPr="00A81971" w:rsidRDefault="0032495C" w:rsidP="007A20BD">
      <w:pPr>
        <w:pStyle w:val="ListParagraph"/>
        <w:numPr>
          <w:ilvl w:val="0"/>
          <w:numId w:val="25"/>
        </w:numPr>
        <w:spacing w:after="0"/>
        <w:ind w:left="360"/>
        <w:rPr>
          <w:rFonts w:eastAsia="Times New Roman"/>
          <w:color w:val="000000" w:themeColor="text1"/>
        </w:rPr>
      </w:pPr>
      <w:r w:rsidRPr="00A81971">
        <w:rPr>
          <w:rFonts w:eastAsia="Times New Roman"/>
          <w:color w:val="000000" w:themeColor="text1"/>
        </w:rPr>
        <w:lastRenderedPageBreak/>
        <w:t xml:space="preserve">For KIP </w:t>
      </w:r>
      <w:r w:rsidR="00771C82">
        <w:rPr>
          <w:rFonts w:eastAsia="Times New Roman"/>
          <w:color w:val="000000" w:themeColor="text1"/>
        </w:rPr>
        <w:t>Stage</w:t>
      </w:r>
      <w:r w:rsidRPr="00A81971">
        <w:rPr>
          <w:rFonts w:eastAsia="Times New Roman"/>
          <w:color w:val="000000" w:themeColor="text1"/>
        </w:rPr>
        <w:t xml:space="preserve"> I, the resource allocation scenarios for LVCs/VLVCs without KIPs are already funded at the maximum possible for the triennium; the High-end Resource Allocation Scenario adopts the 100% allocation for the 2027-2029 triennium.</w:t>
      </w:r>
    </w:p>
    <w:p w14:paraId="3F2D8AAB" w14:textId="77777777" w:rsidR="00736291" w:rsidRPr="00A81971" w:rsidRDefault="0032495C" w:rsidP="004B5F6E">
      <w:pPr>
        <w:spacing w:after="0"/>
        <w:rPr>
          <w:rFonts w:eastAsia="Times New Roman"/>
          <w:color w:val="000000" w:themeColor="text1"/>
        </w:rPr>
      </w:pPr>
      <w:r w:rsidRPr="00A81971">
        <w:rPr>
          <w:rFonts w:eastAsia="Times New Roman"/>
          <w:color w:val="000000" w:themeColor="text1"/>
        </w:rPr>
        <w:t xml:space="preserve"> </w:t>
      </w:r>
    </w:p>
    <w:p w14:paraId="512D9D3C" w14:textId="77777777" w:rsidR="00736291" w:rsidRPr="00A81971" w:rsidRDefault="0032495C" w:rsidP="007A20BD">
      <w:pPr>
        <w:pStyle w:val="ListParagraph"/>
        <w:numPr>
          <w:ilvl w:val="0"/>
          <w:numId w:val="25"/>
        </w:numPr>
        <w:spacing w:after="0"/>
        <w:ind w:left="360"/>
        <w:rPr>
          <w:rFonts w:eastAsia="Times New Roman"/>
          <w:color w:val="000000" w:themeColor="text1"/>
        </w:rPr>
      </w:pPr>
      <w:r w:rsidRPr="00A81971">
        <w:rPr>
          <w:rFonts w:eastAsia="Times New Roman"/>
          <w:color w:val="000000" w:themeColor="text1"/>
        </w:rPr>
        <w:t xml:space="preserve">For KIP </w:t>
      </w:r>
      <w:r w:rsidR="00771C82">
        <w:rPr>
          <w:rFonts w:eastAsia="Times New Roman"/>
          <w:color w:val="000000" w:themeColor="text1"/>
        </w:rPr>
        <w:t>Stage</w:t>
      </w:r>
      <w:r w:rsidRPr="00A81971">
        <w:rPr>
          <w:rFonts w:eastAsia="Times New Roman"/>
          <w:color w:val="000000" w:themeColor="text1"/>
        </w:rPr>
        <w:t xml:space="preserve"> II, and for countries without approved KIP </w:t>
      </w:r>
      <w:r w:rsidR="00771C82">
        <w:rPr>
          <w:rFonts w:eastAsia="Times New Roman"/>
          <w:color w:val="000000" w:themeColor="text1"/>
        </w:rPr>
        <w:t>Stage</w:t>
      </w:r>
      <w:r w:rsidRPr="00A81971">
        <w:rPr>
          <w:rFonts w:eastAsia="Times New Roman"/>
          <w:color w:val="000000" w:themeColor="text1"/>
        </w:rPr>
        <w:t xml:space="preserve"> I, the High-end Resource Allocation Scenario considered that there would be resource allocation for the 2027-2029 triennium (whereas the May 2026 RTF report considered that the first allocation would be in the </w:t>
      </w:r>
      <w:r w:rsidR="1F619B6D" w:rsidRPr="00A81971">
        <w:rPr>
          <w:rFonts w:eastAsia="Times New Roman"/>
          <w:color w:val="000000" w:themeColor="text1"/>
        </w:rPr>
        <w:t>2030</w:t>
      </w:r>
      <w:r w:rsidRPr="00A81971">
        <w:rPr>
          <w:rFonts w:eastAsia="Times New Roman"/>
          <w:color w:val="000000" w:themeColor="text1"/>
        </w:rPr>
        <w:t xml:space="preserve">-2032 triennium) and that this allocation would be 60% of </w:t>
      </w:r>
      <w:r w:rsidR="00771C82">
        <w:rPr>
          <w:rFonts w:eastAsia="Times New Roman"/>
          <w:color w:val="000000" w:themeColor="text1"/>
        </w:rPr>
        <w:t>Stage</w:t>
      </w:r>
      <w:r w:rsidRPr="00A81971">
        <w:rPr>
          <w:rFonts w:eastAsia="Times New Roman"/>
          <w:color w:val="000000" w:themeColor="text1"/>
        </w:rPr>
        <w:t xml:space="preserve"> II in conformity with ExCom decision 94/59.</w:t>
      </w:r>
    </w:p>
    <w:p w14:paraId="5DF5DBD7" w14:textId="77777777" w:rsidR="00736291" w:rsidRPr="00A81971" w:rsidRDefault="0032495C" w:rsidP="004B5F6E">
      <w:pPr>
        <w:spacing w:after="0"/>
        <w:ind w:left="720"/>
        <w:rPr>
          <w:rFonts w:eastAsia="Times New Roman"/>
          <w:color w:val="000000" w:themeColor="text1"/>
        </w:rPr>
      </w:pPr>
      <w:r w:rsidRPr="00A81971">
        <w:rPr>
          <w:rFonts w:eastAsia="Times New Roman"/>
          <w:color w:val="000000" w:themeColor="text1"/>
        </w:rPr>
        <w:t xml:space="preserve"> </w:t>
      </w:r>
    </w:p>
    <w:p w14:paraId="3BFFA72A" w14:textId="77777777" w:rsidR="00736291" w:rsidRPr="00A81971" w:rsidRDefault="0032495C" w:rsidP="007A20BD">
      <w:pPr>
        <w:pStyle w:val="ListParagraph"/>
        <w:numPr>
          <w:ilvl w:val="0"/>
          <w:numId w:val="25"/>
        </w:numPr>
        <w:spacing w:after="0"/>
        <w:ind w:left="360"/>
        <w:rPr>
          <w:rFonts w:eastAsia="Times New Roman"/>
          <w:color w:val="000000" w:themeColor="text1"/>
        </w:rPr>
      </w:pPr>
      <w:r w:rsidRPr="00A81971">
        <w:rPr>
          <w:rFonts w:eastAsia="Times New Roman"/>
          <w:color w:val="000000" w:themeColor="text1"/>
        </w:rPr>
        <w:t xml:space="preserve">For KIP </w:t>
      </w:r>
      <w:r w:rsidR="00771C82">
        <w:rPr>
          <w:rFonts w:eastAsia="Times New Roman"/>
          <w:color w:val="000000" w:themeColor="text1"/>
        </w:rPr>
        <w:t>Stage</w:t>
      </w:r>
      <w:r w:rsidRPr="00A81971">
        <w:rPr>
          <w:rFonts w:eastAsia="Times New Roman"/>
          <w:color w:val="000000" w:themeColor="text1"/>
        </w:rPr>
        <w:t xml:space="preserve"> II, and for countries with approved KIPs, the May 2026 RTF report considered a 60% allocation in the 2027-2029 triennium in conformity with ExCom decision 94/59. The High-end Resource Allocation Scenario is based on the following considerations:</w:t>
      </w:r>
    </w:p>
    <w:p w14:paraId="59BCCADA" w14:textId="77777777" w:rsidR="00736291" w:rsidRPr="00A81971" w:rsidRDefault="0032495C" w:rsidP="007A20BD">
      <w:pPr>
        <w:pStyle w:val="ListParagraph"/>
        <w:numPr>
          <w:ilvl w:val="1"/>
          <w:numId w:val="25"/>
        </w:numPr>
        <w:spacing w:after="0"/>
        <w:ind w:left="792" w:hanging="432"/>
        <w:rPr>
          <w:rFonts w:eastAsia="Times New Roman"/>
          <w:color w:val="000000" w:themeColor="text1"/>
        </w:rPr>
      </w:pPr>
      <w:r>
        <w:rPr>
          <w:rFonts w:eastAsia="Times New Roman"/>
          <w:color w:val="000000" w:themeColor="text1"/>
        </w:rPr>
        <w:t>Stage</w:t>
      </w:r>
      <w:r w:rsidR="43EEFCCE" w:rsidRPr="00A81971">
        <w:rPr>
          <w:rFonts w:eastAsia="Times New Roman"/>
          <w:color w:val="000000" w:themeColor="text1"/>
        </w:rPr>
        <w:t xml:space="preserve"> II KIPs are comprised of only two tranches;</w:t>
      </w:r>
    </w:p>
    <w:p w14:paraId="3ABEE9CF" w14:textId="77777777" w:rsidR="00736291" w:rsidRPr="00A81971" w:rsidRDefault="0032495C" w:rsidP="007A20BD">
      <w:pPr>
        <w:pStyle w:val="ListParagraph"/>
        <w:numPr>
          <w:ilvl w:val="1"/>
          <w:numId w:val="25"/>
        </w:numPr>
        <w:spacing w:after="0"/>
        <w:ind w:left="792" w:hanging="432"/>
        <w:rPr>
          <w:rFonts w:eastAsia="Times New Roman"/>
          <w:color w:val="000000" w:themeColor="text1"/>
        </w:rPr>
      </w:pPr>
      <w:r w:rsidRPr="00A81971">
        <w:rPr>
          <w:rFonts w:eastAsia="Times New Roman"/>
          <w:color w:val="000000" w:themeColor="text1"/>
        </w:rPr>
        <w:t xml:space="preserve">The first tranche is extended over five years out of the six-year normal span of </w:t>
      </w:r>
      <w:r w:rsidR="00311D9D">
        <w:rPr>
          <w:rFonts w:eastAsia="Times New Roman"/>
          <w:color w:val="000000" w:themeColor="text1"/>
        </w:rPr>
        <w:t>Stage</w:t>
      </w:r>
      <w:r w:rsidRPr="00A81971">
        <w:rPr>
          <w:rFonts w:eastAsia="Times New Roman"/>
          <w:color w:val="000000" w:themeColor="text1"/>
        </w:rPr>
        <w:t xml:space="preserve"> II (2030- 2035);</w:t>
      </w:r>
    </w:p>
    <w:p w14:paraId="491C7128" w14:textId="77777777" w:rsidR="00736291" w:rsidRPr="00A81971" w:rsidRDefault="0032495C" w:rsidP="007A20BD">
      <w:pPr>
        <w:pStyle w:val="ListParagraph"/>
        <w:numPr>
          <w:ilvl w:val="1"/>
          <w:numId w:val="25"/>
        </w:numPr>
        <w:spacing w:after="0"/>
        <w:ind w:left="792" w:hanging="432"/>
        <w:rPr>
          <w:rFonts w:eastAsia="Times New Roman"/>
          <w:color w:val="000000" w:themeColor="text1"/>
        </w:rPr>
      </w:pPr>
      <w:r w:rsidRPr="00A81971">
        <w:rPr>
          <w:rFonts w:eastAsia="Times New Roman"/>
          <w:color w:val="000000" w:themeColor="text1"/>
        </w:rPr>
        <w:t xml:space="preserve">LVCs and VLVCs are able to request funds for the first tranche that exceed decision 94/59, in this case up to 90% of </w:t>
      </w:r>
      <w:r w:rsidR="00311D9D">
        <w:rPr>
          <w:rFonts w:eastAsia="Times New Roman"/>
          <w:color w:val="000000" w:themeColor="text1"/>
        </w:rPr>
        <w:t>Stage</w:t>
      </w:r>
      <w:r w:rsidRPr="00A81971">
        <w:rPr>
          <w:rFonts w:eastAsia="Times New Roman"/>
          <w:color w:val="000000" w:themeColor="text1"/>
        </w:rPr>
        <w:t xml:space="preserve"> II for that first tranche and that funding will be within the 2027-2029 triennium; and </w:t>
      </w:r>
    </w:p>
    <w:p w14:paraId="632DE5E5" w14:textId="77777777" w:rsidR="004B5F6E" w:rsidRPr="00A81971" w:rsidRDefault="0032495C" w:rsidP="007A20BD">
      <w:pPr>
        <w:pStyle w:val="ListParagraph"/>
        <w:numPr>
          <w:ilvl w:val="1"/>
          <w:numId w:val="25"/>
        </w:numPr>
        <w:spacing w:after="0"/>
        <w:ind w:left="792" w:hanging="432"/>
        <w:rPr>
          <w:rFonts w:eastAsia="Times New Roman"/>
          <w:color w:val="000000" w:themeColor="text1"/>
        </w:rPr>
      </w:pPr>
      <w:r w:rsidRPr="00A81971">
        <w:rPr>
          <w:rFonts w:eastAsia="Times New Roman"/>
          <w:color w:val="000000" w:themeColor="text1"/>
        </w:rPr>
        <w:t xml:space="preserve">the second tranche would be over a one-year period and would be for 10% of </w:t>
      </w:r>
      <w:r w:rsidR="00311D9D">
        <w:rPr>
          <w:rFonts w:eastAsia="Times New Roman"/>
          <w:color w:val="000000" w:themeColor="text1"/>
        </w:rPr>
        <w:t>Stage</w:t>
      </w:r>
      <w:r w:rsidRPr="00A81971">
        <w:rPr>
          <w:rFonts w:eastAsia="Times New Roman"/>
          <w:color w:val="000000" w:themeColor="text1"/>
        </w:rPr>
        <w:t xml:space="preserve"> II total funding, in line with ExCom decision 62/17.</w:t>
      </w:r>
    </w:p>
    <w:p w14:paraId="72D95E47" w14:textId="77777777" w:rsidR="00736291" w:rsidRPr="00A81971" w:rsidRDefault="00736291" w:rsidP="00FE3922">
      <w:pPr>
        <w:spacing w:after="0"/>
        <w:rPr>
          <w:rFonts w:eastAsia="Times New Roman"/>
          <w:color w:val="000000" w:themeColor="text1"/>
        </w:rPr>
      </w:pPr>
    </w:p>
    <w:p w14:paraId="1802ACB3" w14:textId="77777777" w:rsidR="00736291" w:rsidRPr="00A81971" w:rsidRDefault="0032495C" w:rsidP="004B5F6E">
      <w:pPr>
        <w:spacing w:after="160"/>
        <w:rPr>
          <w:rFonts w:eastAsia="Times New Roman"/>
          <w:color w:val="000000" w:themeColor="text1"/>
        </w:rPr>
      </w:pPr>
      <w:r w:rsidRPr="00A81971">
        <w:rPr>
          <w:rFonts w:eastAsia="Times New Roman"/>
          <w:color w:val="000000" w:themeColor="text1"/>
        </w:rPr>
        <w:t>RTF new High-end Resource Allocation scenario as percentages of total funding per triennium is shown in Table 4.2 below.</w:t>
      </w:r>
    </w:p>
    <w:p w14:paraId="39A81FE0" w14:textId="77777777" w:rsidR="00736291" w:rsidRPr="00A81971" w:rsidRDefault="0032495C" w:rsidP="00823BB9">
      <w:pPr>
        <w:tabs>
          <w:tab w:val="left" w:pos="0"/>
          <w:tab w:val="left" w:pos="1276"/>
        </w:tabs>
        <w:spacing w:after="120"/>
        <w:ind w:left="1282" w:hanging="1282"/>
        <w:rPr>
          <w:b/>
          <w:bCs/>
          <w:color w:val="000000" w:themeColor="text1"/>
        </w:rPr>
      </w:pPr>
      <w:r w:rsidRPr="0006445E">
        <w:rPr>
          <w:rFonts w:eastAsia="Yu Mincho"/>
          <w:b/>
          <w:bCs/>
          <w:color w:val="000000"/>
          <w:lang w:val="en-CA"/>
        </w:rPr>
        <w:t xml:space="preserve">Table </w:t>
      </w:r>
      <w:r>
        <w:rPr>
          <w:rFonts w:eastAsia="Yu Mincho"/>
          <w:b/>
          <w:bCs/>
          <w:color w:val="000000"/>
          <w:lang w:val="en-CA"/>
        </w:rPr>
        <w:t>4.2:</w:t>
      </w:r>
      <w:r w:rsidRPr="0006445E">
        <w:rPr>
          <w:rFonts w:eastAsia="Times New Roman"/>
          <w:color w:val="000000"/>
          <w:lang w:val="en-CA"/>
        </w:rPr>
        <w:tab/>
      </w:r>
      <w:r w:rsidRPr="00A81971">
        <w:rPr>
          <w:b/>
          <w:bCs/>
          <w:color w:val="000000" w:themeColor="text1"/>
        </w:rPr>
        <w:t>High-end resource allocation percentages compared to the schedules in the May 2026 Report</w:t>
      </w:r>
      <w:r w:rsidR="43EEFCCE" w:rsidRPr="00A81971">
        <w:rPr>
          <w:b/>
          <w:bCs/>
          <w:color w:val="000000" w:themeColor="text1"/>
        </w:rPr>
        <w:t xml:space="preserve"> </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839"/>
        <w:gridCol w:w="1295"/>
        <w:gridCol w:w="1906"/>
        <w:gridCol w:w="1906"/>
        <w:gridCol w:w="2108"/>
      </w:tblGrid>
      <w:tr w:rsidR="00F90461" w14:paraId="07227C4E" w14:textId="77777777" w:rsidTr="2E7655E2">
        <w:trPr>
          <w:trHeight w:val="495"/>
        </w:trPr>
        <w:tc>
          <w:tcPr>
            <w:tcW w:w="1839" w:type="dxa"/>
            <w:tcBorders>
              <w:bottom w:val="single" w:sz="12" w:space="0" w:color="000000" w:themeColor="text1"/>
              <w:right w:val="single" w:sz="8" w:space="0" w:color="auto"/>
            </w:tcBorders>
            <w:shd w:val="clear" w:color="auto" w:fill="D9E2F3" w:themeFill="accent1" w:themeFillTint="33"/>
            <w:tcMar>
              <w:left w:w="108" w:type="dxa"/>
              <w:right w:w="108" w:type="dxa"/>
            </w:tcMar>
            <w:vAlign w:val="center"/>
          </w:tcPr>
          <w:p w14:paraId="01DBADD8" w14:textId="77777777" w:rsidR="43EEFCCE" w:rsidRPr="00A81971" w:rsidRDefault="0032495C" w:rsidP="43EEFCCE">
            <w:pPr>
              <w:tabs>
                <w:tab w:val="left" w:pos="0"/>
              </w:tabs>
              <w:spacing w:after="0"/>
              <w:rPr>
                <w:rFonts w:eastAsia="Times New Roman"/>
                <w:b/>
                <w:bCs/>
                <w:color w:val="000000" w:themeColor="text1"/>
              </w:rPr>
            </w:pPr>
            <w:r w:rsidRPr="00A81971">
              <w:rPr>
                <w:rFonts w:eastAsia="Times New Roman"/>
                <w:b/>
                <w:bCs/>
                <w:color w:val="000000" w:themeColor="text1"/>
              </w:rPr>
              <w:t xml:space="preserve">LVCs/VLVCs </w:t>
            </w:r>
          </w:p>
        </w:tc>
        <w:tc>
          <w:tcPr>
            <w:tcW w:w="1295" w:type="dxa"/>
            <w:tcBorders>
              <w:left w:val="single" w:sz="8" w:space="0" w:color="auto"/>
              <w:bottom w:val="single" w:sz="12" w:space="0" w:color="000000" w:themeColor="text1"/>
              <w:right w:val="single" w:sz="8" w:space="0" w:color="auto"/>
            </w:tcBorders>
            <w:shd w:val="clear" w:color="auto" w:fill="D9E2F3" w:themeFill="accent1" w:themeFillTint="33"/>
            <w:tcMar>
              <w:left w:w="108" w:type="dxa"/>
              <w:right w:w="108" w:type="dxa"/>
            </w:tcMar>
            <w:vAlign w:val="center"/>
          </w:tcPr>
          <w:p w14:paraId="63A8E64C" w14:textId="77777777" w:rsidR="43EEFCCE" w:rsidRPr="00A81971" w:rsidRDefault="0032495C" w:rsidP="43EEFCCE">
            <w:pPr>
              <w:tabs>
                <w:tab w:val="left" w:pos="0"/>
              </w:tabs>
              <w:spacing w:after="0"/>
              <w:jc w:val="center"/>
              <w:rPr>
                <w:rFonts w:eastAsia="Times New Roman"/>
                <w:b/>
                <w:bCs/>
                <w:color w:val="000000" w:themeColor="text1"/>
              </w:rPr>
            </w:pPr>
            <w:r w:rsidRPr="00A81971">
              <w:rPr>
                <w:rFonts w:eastAsia="Times New Roman"/>
                <w:b/>
                <w:bCs/>
                <w:color w:val="000000" w:themeColor="text1"/>
              </w:rPr>
              <w:t>KIP Stage</w:t>
            </w:r>
          </w:p>
        </w:tc>
        <w:tc>
          <w:tcPr>
            <w:tcW w:w="1906" w:type="dxa"/>
            <w:tcBorders>
              <w:left w:val="single" w:sz="8" w:space="0" w:color="auto"/>
              <w:bottom w:val="single" w:sz="12" w:space="0" w:color="000000" w:themeColor="text1"/>
              <w:right w:val="single" w:sz="8" w:space="0" w:color="auto"/>
            </w:tcBorders>
            <w:shd w:val="clear" w:color="auto" w:fill="D9E2F3" w:themeFill="accent1" w:themeFillTint="33"/>
            <w:tcMar>
              <w:left w:w="108" w:type="dxa"/>
              <w:right w:w="108" w:type="dxa"/>
            </w:tcMar>
            <w:vAlign w:val="center"/>
          </w:tcPr>
          <w:p w14:paraId="6197DF9B" w14:textId="77777777" w:rsidR="43EEFCCE" w:rsidRPr="00A81971" w:rsidRDefault="0032495C" w:rsidP="43EEFCCE">
            <w:pPr>
              <w:tabs>
                <w:tab w:val="left" w:pos="0"/>
              </w:tabs>
              <w:spacing w:after="0"/>
              <w:rPr>
                <w:rFonts w:eastAsia="Times New Roman"/>
                <w:b/>
                <w:bCs/>
                <w:color w:val="000000" w:themeColor="text1"/>
              </w:rPr>
            </w:pPr>
            <w:r w:rsidRPr="00A81971">
              <w:rPr>
                <w:rFonts w:eastAsia="Times New Roman"/>
                <w:b/>
                <w:bCs/>
                <w:color w:val="000000" w:themeColor="text1"/>
              </w:rPr>
              <w:t xml:space="preserve">Schedule A  </w:t>
            </w:r>
          </w:p>
          <w:p w14:paraId="1A6A20AB" w14:textId="77777777" w:rsidR="43EEFCCE" w:rsidRPr="00A81971" w:rsidRDefault="0032495C" w:rsidP="43EEFCCE">
            <w:pPr>
              <w:tabs>
                <w:tab w:val="left" w:pos="0"/>
              </w:tabs>
              <w:spacing w:after="0"/>
              <w:rPr>
                <w:rFonts w:eastAsia="Times New Roman"/>
                <w:b/>
                <w:bCs/>
                <w:color w:val="000000" w:themeColor="text1"/>
              </w:rPr>
            </w:pPr>
            <w:r w:rsidRPr="00A81971">
              <w:rPr>
                <w:rFonts w:eastAsia="Times New Roman"/>
                <w:b/>
                <w:bCs/>
                <w:color w:val="000000" w:themeColor="text1"/>
              </w:rPr>
              <w:t xml:space="preserve">(% per triennium) </w:t>
            </w:r>
          </w:p>
        </w:tc>
        <w:tc>
          <w:tcPr>
            <w:tcW w:w="1906" w:type="dxa"/>
            <w:tcBorders>
              <w:left w:val="single" w:sz="8" w:space="0" w:color="auto"/>
              <w:bottom w:val="single" w:sz="12" w:space="0" w:color="000000" w:themeColor="text1"/>
              <w:right w:val="single" w:sz="8" w:space="0" w:color="auto"/>
            </w:tcBorders>
            <w:shd w:val="clear" w:color="auto" w:fill="D9E2F3" w:themeFill="accent1" w:themeFillTint="33"/>
            <w:tcMar>
              <w:left w:w="108" w:type="dxa"/>
              <w:right w:w="108" w:type="dxa"/>
            </w:tcMar>
            <w:vAlign w:val="center"/>
          </w:tcPr>
          <w:p w14:paraId="7473EE0D" w14:textId="77777777" w:rsidR="43EEFCCE" w:rsidRPr="00A81971" w:rsidRDefault="0032495C" w:rsidP="43EEFCCE">
            <w:pPr>
              <w:tabs>
                <w:tab w:val="left" w:pos="0"/>
              </w:tabs>
              <w:spacing w:after="0"/>
              <w:rPr>
                <w:rFonts w:eastAsia="Times New Roman"/>
                <w:b/>
                <w:bCs/>
                <w:color w:val="000000" w:themeColor="text1"/>
              </w:rPr>
            </w:pPr>
            <w:r w:rsidRPr="00A81971">
              <w:rPr>
                <w:rFonts w:eastAsia="Times New Roman"/>
                <w:b/>
                <w:bCs/>
                <w:color w:val="000000" w:themeColor="text1"/>
              </w:rPr>
              <w:t xml:space="preserve">Schedule B </w:t>
            </w:r>
          </w:p>
          <w:p w14:paraId="1E804FD4" w14:textId="77777777" w:rsidR="43EEFCCE" w:rsidRPr="00A81971" w:rsidRDefault="0032495C" w:rsidP="43EEFCCE">
            <w:pPr>
              <w:tabs>
                <w:tab w:val="left" w:pos="0"/>
              </w:tabs>
              <w:spacing w:after="0"/>
              <w:rPr>
                <w:rFonts w:eastAsia="Times New Roman"/>
                <w:b/>
                <w:bCs/>
                <w:color w:val="000000" w:themeColor="text1"/>
              </w:rPr>
            </w:pPr>
            <w:r w:rsidRPr="00A81971">
              <w:rPr>
                <w:rFonts w:eastAsia="Times New Roman"/>
                <w:b/>
                <w:bCs/>
                <w:color w:val="000000" w:themeColor="text1"/>
              </w:rPr>
              <w:t xml:space="preserve">(% per triennium) </w:t>
            </w:r>
          </w:p>
        </w:tc>
        <w:tc>
          <w:tcPr>
            <w:tcW w:w="2108" w:type="dxa"/>
            <w:tcBorders>
              <w:left w:val="single" w:sz="8" w:space="0" w:color="auto"/>
              <w:bottom w:val="single" w:sz="12" w:space="0" w:color="000000" w:themeColor="text1"/>
            </w:tcBorders>
            <w:shd w:val="clear" w:color="auto" w:fill="D9E2F3" w:themeFill="accent1" w:themeFillTint="33"/>
            <w:tcMar>
              <w:left w:w="108" w:type="dxa"/>
              <w:right w:w="108" w:type="dxa"/>
            </w:tcMar>
          </w:tcPr>
          <w:p w14:paraId="3B832918" w14:textId="77777777" w:rsidR="43EEFCCE" w:rsidRPr="00354405" w:rsidRDefault="0032495C" w:rsidP="43EEFCCE">
            <w:pPr>
              <w:shd w:val="clear" w:color="auto" w:fill="F2F2F2" w:themeFill="background1" w:themeFillShade="F2"/>
              <w:tabs>
                <w:tab w:val="left" w:pos="0"/>
              </w:tabs>
              <w:spacing w:after="0"/>
              <w:rPr>
                <w:rFonts w:eastAsia="Times New Roman"/>
                <w:b/>
                <w:bCs/>
                <w:color w:val="000000" w:themeColor="text1"/>
              </w:rPr>
            </w:pPr>
            <w:r w:rsidRPr="00DD3892">
              <w:rPr>
                <w:rFonts w:eastAsia="Times New Roman"/>
                <w:b/>
                <w:bCs/>
              </w:rPr>
              <w:t xml:space="preserve">New </w:t>
            </w:r>
            <w:r w:rsidRPr="2E7655E2">
              <w:rPr>
                <w:rFonts w:eastAsia="Times New Roman"/>
                <w:b/>
                <w:bCs/>
                <w:color w:val="000000" w:themeColor="text1"/>
              </w:rPr>
              <w:t xml:space="preserve">High-end Resource Allocation Scenario </w:t>
            </w:r>
          </w:p>
          <w:p w14:paraId="31CC5696" w14:textId="77777777" w:rsidR="43EEFCCE" w:rsidRPr="00A81971" w:rsidRDefault="0032495C" w:rsidP="43EEFCCE">
            <w:pPr>
              <w:shd w:val="clear" w:color="auto" w:fill="F2F2F2" w:themeFill="background1" w:themeFillShade="F2"/>
              <w:tabs>
                <w:tab w:val="left" w:pos="0"/>
              </w:tabs>
              <w:spacing w:after="0"/>
              <w:rPr>
                <w:rFonts w:eastAsia="Times New Roman"/>
                <w:b/>
                <w:bCs/>
                <w:color w:val="000000" w:themeColor="text1"/>
              </w:rPr>
            </w:pPr>
            <w:r w:rsidRPr="00354405">
              <w:rPr>
                <w:rFonts w:eastAsia="Times New Roman"/>
                <w:b/>
                <w:bCs/>
                <w:color w:val="000000" w:themeColor="text1"/>
              </w:rPr>
              <w:t>(% per triennium)</w:t>
            </w:r>
          </w:p>
        </w:tc>
      </w:tr>
      <w:tr w:rsidR="00F90461" w14:paraId="2E6DD1FD" w14:textId="77777777" w:rsidTr="2E7655E2">
        <w:trPr>
          <w:trHeight w:val="495"/>
        </w:trPr>
        <w:tc>
          <w:tcPr>
            <w:tcW w:w="1839" w:type="dxa"/>
            <w:vMerge w:val="restart"/>
            <w:tcBorders>
              <w:top w:val="single" w:sz="12" w:space="0" w:color="000000" w:themeColor="text1"/>
              <w:left w:val="single" w:sz="12" w:space="0" w:color="000000" w:themeColor="text1"/>
              <w:right w:val="single" w:sz="12" w:space="0" w:color="000000" w:themeColor="text1"/>
            </w:tcBorders>
            <w:shd w:val="clear" w:color="auto" w:fill="E2EFD9" w:themeFill="accent6" w:themeFillTint="33"/>
            <w:tcMar>
              <w:left w:w="108" w:type="dxa"/>
              <w:right w:w="108" w:type="dxa"/>
            </w:tcMar>
            <w:vAlign w:val="center"/>
          </w:tcPr>
          <w:p w14:paraId="51077E92" w14:textId="77777777" w:rsidR="00354405" w:rsidRPr="00A81971" w:rsidRDefault="0032495C" w:rsidP="00D97500">
            <w:pPr>
              <w:tabs>
                <w:tab w:val="left" w:pos="0"/>
              </w:tabs>
              <w:spacing w:after="0"/>
              <w:rPr>
                <w:rFonts w:eastAsia="Times New Roman"/>
                <w:color w:val="000000" w:themeColor="text1"/>
              </w:rPr>
            </w:pPr>
            <w:r w:rsidRPr="00A81971">
              <w:rPr>
                <w:rFonts w:eastAsia="Times New Roman"/>
                <w:color w:val="000000" w:themeColor="text1"/>
              </w:rPr>
              <w:t xml:space="preserve">Parties without KIPs  </w:t>
            </w:r>
          </w:p>
        </w:tc>
        <w:tc>
          <w:tcPr>
            <w:tcW w:w="12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278F96C2" w14:textId="77777777" w:rsidR="00354405" w:rsidRPr="00A81971" w:rsidRDefault="0032495C" w:rsidP="43EEFCCE">
            <w:pPr>
              <w:tabs>
                <w:tab w:val="left" w:pos="0"/>
              </w:tabs>
              <w:spacing w:after="0"/>
              <w:jc w:val="center"/>
              <w:rPr>
                <w:rFonts w:eastAsia="Times New Roman"/>
                <w:color w:val="000000" w:themeColor="text1"/>
              </w:rPr>
            </w:pPr>
            <w:r w:rsidRPr="00A81971">
              <w:rPr>
                <w:rFonts w:eastAsia="Times New Roman"/>
                <w:color w:val="000000" w:themeColor="text1"/>
              </w:rPr>
              <w:t>I</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4A9763A6" w14:textId="77777777" w:rsidR="00354405" w:rsidRPr="00A81971" w:rsidRDefault="0032495C" w:rsidP="43EEFCCE">
            <w:pPr>
              <w:tabs>
                <w:tab w:val="left" w:pos="0"/>
              </w:tabs>
              <w:spacing w:after="0"/>
              <w:rPr>
                <w:rFonts w:eastAsia="Times New Roman"/>
                <w:b/>
                <w:bCs/>
                <w:color w:val="0070C0"/>
              </w:rPr>
            </w:pPr>
            <w:r w:rsidRPr="00A81971">
              <w:rPr>
                <w:rFonts w:eastAsia="Times New Roman"/>
                <w:b/>
                <w:bCs/>
                <w:color w:val="0070C0"/>
              </w:rPr>
              <w:t xml:space="preserve">100% - 2027-2029  </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2CD6A29C" w14:textId="77777777" w:rsidR="00354405" w:rsidRPr="00A81971" w:rsidRDefault="0032495C" w:rsidP="43EEFCCE">
            <w:pPr>
              <w:tabs>
                <w:tab w:val="left" w:pos="0"/>
              </w:tabs>
              <w:spacing w:after="0"/>
              <w:rPr>
                <w:rFonts w:eastAsia="Times New Roman"/>
                <w:b/>
                <w:bCs/>
                <w:color w:val="0070C0"/>
              </w:rPr>
            </w:pPr>
            <w:r w:rsidRPr="00A81971">
              <w:rPr>
                <w:rFonts w:eastAsia="Times New Roman"/>
                <w:b/>
                <w:bCs/>
                <w:color w:val="0070C0"/>
              </w:rPr>
              <w:t xml:space="preserve">90% - 2027-2029 </w:t>
            </w:r>
          </w:p>
          <w:p w14:paraId="41290334"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10% - 2030-2032 </w:t>
            </w:r>
          </w:p>
        </w:tc>
        <w:tc>
          <w:tcPr>
            <w:tcW w:w="21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AE2D5"/>
            <w:tcMar>
              <w:left w:w="108" w:type="dxa"/>
              <w:right w:w="108" w:type="dxa"/>
            </w:tcMar>
          </w:tcPr>
          <w:p w14:paraId="5D6CB522" w14:textId="77777777" w:rsidR="00354405" w:rsidRPr="00A81971" w:rsidRDefault="0032495C" w:rsidP="43EEFCCE">
            <w:pPr>
              <w:tabs>
                <w:tab w:val="left" w:pos="0"/>
              </w:tabs>
              <w:spacing w:after="0"/>
              <w:rPr>
                <w:rFonts w:eastAsia="Times New Roman"/>
                <w:b/>
                <w:bCs/>
                <w:color w:val="0070C0"/>
              </w:rPr>
            </w:pPr>
            <w:r w:rsidRPr="00A81971">
              <w:rPr>
                <w:rFonts w:eastAsia="Times New Roman"/>
                <w:b/>
                <w:bCs/>
                <w:color w:val="0070C0"/>
              </w:rPr>
              <w:t>100% - 2027-2029</w:t>
            </w:r>
          </w:p>
        </w:tc>
      </w:tr>
      <w:tr w:rsidR="00F90461" w14:paraId="57368CE7" w14:textId="77777777" w:rsidTr="2E7655E2">
        <w:trPr>
          <w:trHeight w:val="420"/>
        </w:trPr>
        <w:tc>
          <w:tcPr>
            <w:tcW w:w="1839" w:type="dxa"/>
            <w:vMerge/>
            <w:vAlign w:val="center"/>
          </w:tcPr>
          <w:p w14:paraId="461D9B52" w14:textId="77777777" w:rsidR="00354405" w:rsidRPr="00A81971" w:rsidRDefault="00354405"/>
        </w:tc>
        <w:tc>
          <w:tcPr>
            <w:tcW w:w="12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78DC6C68" w14:textId="77777777" w:rsidR="00354405" w:rsidRPr="00A81971" w:rsidRDefault="0032495C" w:rsidP="43EEFCCE">
            <w:pPr>
              <w:tabs>
                <w:tab w:val="left" w:pos="0"/>
              </w:tabs>
              <w:spacing w:after="0"/>
              <w:jc w:val="center"/>
              <w:rPr>
                <w:rFonts w:eastAsia="Times New Roman"/>
                <w:color w:val="000000" w:themeColor="text1"/>
              </w:rPr>
            </w:pPr>
            <w:r w:rsidRPr="00A81971">
              <w:rPr>
                <w:rFonts w:eastAsia="Times New Roman"/>
                <w:color w:val="000000" w:themeColor="text1"/>
              </w:rPr>
              <w:t>II</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3B37C6E5"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60% - 2030-2032  </w:t>
            </w:r>
          </w:p>
          <w:p w14:paraId="65D6156F"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40% - 2033-2035 </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61011FC9"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60% - 2030-2032 </w:t>
            </w:r>
          </w:p>
          <w:p w14:paraId="032D4168"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40% - 2033-2035 </w:t>
            </w:r>
          </w:p>
        </w:tc>
        <w:tc>
          <w:tcPr>
            <w:tcW w:w="21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AE2D5"/>
            <w:tcMar>
              <w:left w:w="108" w:type="dxa"/>
              <w:right w:w="108" w:type="dxa"/>
            </w:tcMar>
          </w:tcPr>
          <w:p w14:paraId="7A32EF05" w14:textId="77777777" w:rsidR="00354405" w:rsidRPr="00A81971" w:rsidRDefault="0032495C" w:rsidP="43EEFCCE">
            <w:pPr>
              <w:tabs>
                <w:tab w:val="left" w:pos="0"/>
              </w:tabs>
              <w:spacing w:after="0"/>
              <w:rPr>
                <w:rFonts w:eastAsia="Times New Roman"/>
                <w:b/>
                <w:bCs/>
                <w:color w:val="0070C0"/>
              </w:rPr>
            </w:pPr>
            <w:r w:rsidRPr="00A81971">
              <w:rPr>
                <w:rFonts w:eastAsia="Times New Roman"/>
                <w:b/>
                <w:bCs/>
                <w:color w:val="0070C0"/>
              </w:rPr>
              <w:t>60% - 2027-2029</w:t>
            </w:r>
          </w:p>
          <w:p w14:paraId="0F089486" w14:textId="77777777" w:rsidR="00354405"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40% - 2030-2035</w:t>
            </w:r>
          </w:p>
        </w:tc>
      </w:tr>
      <w:tr w:rsidR="00F90461" w14:paraId="19468C6E" w14:textId="77777777" w:rsidTr="2E7655E2">
        <w:trPr>
          <w:trHeight w:val="390"/>
        </w:trPr>
        <w:tc>
          <w:tcPr>
            <w:tcW w:w="183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FD9" w:themeFill="accent6" w:themeFillTint="33"/>
            <w:tcMar>
              <w:left w:w="108" w:type="dxa"/>
              <w:right w:w="108" w:type="dxa"/>
            </w:tcMar>
            <w:vAlign w:val="center"/>
          </w:tcPr>
          <w:p w14:paraId="62C86AE8" w14:textId="77777777" w:rsidR="43EEFCCE"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Parties with KIPs  </w:t>
            </w:r>
          </w:p>
        </w:tc>
        <w:tc>
          <w:tcPr>
            <w:tcW w:w="12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3DBA4330" w14:textId="77777777" w:rsidR="43EEFCCE" w:rsidRPr="00A81971" w:rsidRDefault="0032495C" w:rsidP="43EEFCCE">
            <w:pPr>
              <w:tabs>
                <w:tab w:val="left" w:pos="0"/>
              </w:tabs>
              <w:spacing w:after="0"/>
              <w:jc w:val="center"/>
              <w:rPr>
                <w:rFonts w:eastAsia="Times New Roman"/>
                <w:color w:val="000000" w:themeColor="text1"/>
              </w:rPr>
            </w:pPr>
            <w:r w:rsidRPr="00A81971">
              <w:rPr>
                <w:rFonts w:eastAsia="Times New Roman"/>
                <w:color w:val="000000" w:themeColor="text1"/>
              </w:rPr>
              <w:t>II</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2DB05A69" w14:textId="77777777" w:rsidR="43EEFCCE" w:rsidRPr="00A81971" w:rsidRDefault="0032495C" w:rsidP="43EEFCCE">
            <w:pPr>
              <w:tabs>
                <w:tab w:val="left" w:pos="0"/>
              </w:tabs>
              <w:spacing w:after="0"/>
              <w:rPr>
                <w:rFonts w:eastAsia="Times New Roman"/>
                <w:b/>
                <w:bCs/>
                <w:color w:val="0070C0"/>
              </w:rPr>
            </w:pPr>
            <w:r w:rsidRPr="00A81971">
              <w:rPr>
                <w:rFonts w:eastAsia="Times New Roman"/>
                <w:b/>
                <w:bCs/>
                <w:color w:val="0070C0"/>
              </w:rPr>
              <w:t xml:space="preserve">60% - 2027-2029  </w:t>
            </w:r>
          </w:p>
          <w:p w14:paraId="61893D0B" w14:textId="77777777" w:rsidR="43EEFCCE"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40% - 2030-2032 </w:t>
            </w:r>
          </w:p>
        </w:tc>
        <w:tc>
          <w:tcPr>
            <w:tcW w:w="19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vAlign w:val="center"/>
          </w:tcPr>
          <w:p w14:paraId="68F7B319" w14:textId="77777777" w:rsidR="43EEFCCE"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60% - 2030-2032 </w:t>
            </w:r>
          </w:p>
          <w:p w14:paraId="019EB9B3" w14:textId="77777777" w:rsidR="43EEFCCE"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 xml:space="preserve">40% - 2033-2035 </w:t>
            </w:r>
          </w:p>
        </w:tc>
        <w:tc>
          <w:tcPr>
            <w:tcW w:w="21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AE2D5"/>
            <w:tcMar>
              <w:left w:w="108" w:type="dxa"/>
              <w:right w:w="108" w:type="dxa"/>
            </w:tcMar>
          </w:tcPr>
          <w:p w14:paraId="4146C5EB" w14:textId="77777777" w:rsidR="43EEFCCE" w:rsidRPr="00A81971" w:rsidRDefault="0032495C" w:rsidP="43EEFCCE">
            <w:pPr>
              <w:tabs>
                <w:tab w:val="left" w:pos="0"/>
              </w:tabs>
              <w:spacing w:after="0"/>
              <w:rPr>
                <w:rFonts w:eastAsia="Times New Roman"/>
                <w:b/>
                <w:bCs/>
                <w:color w:val="0070C0"/>
              </w:rPr>
            </w:pPr>
            <w:r w:rsidRPr="00A81971">
              <w:rPr>
                <w:rFonts w:eastAsia="Times New Roman"/>
                <w:b/>
                <w:bCs/>
                <w:color w:val="0070C0"/>
              </w:rPr>
              <w:t>90% - 2027-2029</w:t>
            </w:r>
          </w:p>
          <w:p w14:paraId="5323A38F" w14:textId="77777777" w:rsidR="43EEFCCE" w:rsidRPr="00A81971" w:rsidRDefault="0032495C" w:rsidP="43EEFCCE">
            <w:pPr>
              <w:tabs>
                <w:tab w:val="left" w:pos="0"/>
              </w:tabs>
              <w:spacing w:after="0"/>
              <w:rPr>
                <w:rFonts w:eastAsia="Times New Roman"/>
                <w:color w:val="000000" w:themeColor="text1"/>
              </w:rPr>
            </w:pPr>
            <w:r w:rsidRPr="00A81971">
              <w:rPr>
                <w:rFonts w:eastAsia="Times New Roman"/>
                <w:color w:val="000000" w:themeColor="text1"/>
              </w:rPr>
              <w:t>10% - 2030-2035</w:t>
            </w:r>
          </w:p>
        </w:tc>
      </w:tr>
    </w:tbl>
    <w:p w14:paraId="42860584" w14:textId="77777777" w:rsidR="00736291" w:rsidRPr="00A81971" w:rsidRDefault="0032495C" w:rsidP="43EEFCCE">
      <w:pPr>
        <w:spacing w:after="160" w:line="276" w:lineRule="auto"/>
        <w:rPr>
          <w:rFonts w:eastAsia="Times New Roman"/>
          <w:b/>
          <w:bCs/>
          <w:i/>
          <w:iCs/>
          <w:color w:val="0070C0"/>
        </w:rPr>
      </w:pPr>
      <w:r w:rsidRPr="00A81971">
        <w:rPr>
          <w:rFonts w:eastAsia="Times New Roman"/>
          <w:b/>
          <w:bCs/>
          <w:i/>
          <w:iCs/>
          <w:color w:val="0070C0"/>
        </w:rPr>
        <w:t>Note: 2027-2029 triennium percentages are shown in blue</w:t>
      </w:r>
    </w:p>
    <w:p w14:paraId="2A8E8394" w14:textId="77777777" w:rsidR="00736291" w:rsidRPr="00A81971" w:rsidRDefault="0032495C" w:rsidP="004B5F6E">
      <w:pPr>
        <w:spacing w:after="160"/>
        <w:rPr>
          <w:rFonts w:eastAsia="Times New Roman"/>
          <w:color w:val="000000" w:themeColor="text1"/>
        </w:rPr>
      </w:pPr>
      <w:r w:rsidRPr="00A81971">
        <w:rPr>
          <w:rFonts w:eastAsia="Times New Roman"/>
          <w:color w:val="000000" w:themeColor="text1"/>
        </w:rPr>
        <w:t xml:space="preserve">As requested, the RTF considered the funding for the HFC Scenario 2 of the May 2026 RTF report (applying CEs for SMEs’ participation) and presented a possible increase to the funding estimate in the resource allocation for LVC and VLVC countries for </w:t>
      </w:r>
      <w:r w:rsidR="00311D9D">
        <w:rPr>
          <w:rFonts w:eastAsia="Times New Roman"/>
          <w:color w:val="000000" w:themeColor="text1"/>
        </w:rPr>
        <w:t>Stage</w:t>
      </w:r>
      <w:r w:rsidRPr="00A81971">
        <w:rPr>
          <w:rFonts w:eastAsia="Times New Roman"/>
          <w:color w:val="000000" w:themeColor="text1"/>
        </w:rPr>
        <w:t xml:space="preserve"> II of their KIPs (for parties with and without approved KIP </w:t>
      </w:r>
      <w:r w:rsidR="00311D9D">
        <w:rPr>
          <w:rFonts w:eastAsia="Times New Roman"/>
          <w:color w:val="000000" w:themeColor="text1"/>
        </w:rPr>
        <w:t>Stage</w:t>
      </w:r>
      <w:r w:rsidRPr="00A81971">
        <w:rPr>
          <w:rFonts w:eastAsia="Times New Roman"/>
          <w:color w:val="000000" w:themeColor="text1"/>
        </w:rPr>
        <w:t xml:space="preserve"> I). This is presented as a separate column entitled High-end Resource Allocation Scenario in Table 4.2</w:t>
      </w:r>
    </w:p>
    <w:p w14:paraId="385A8A73" w14:textId="77777777" w:rsidR="00736291" w:rsidRPr="00A81971" w:rsidRDefault="0032495C" w:rsidP="004B5F6E">
      <w:pPr>
        <w:spacing w:after="160"/>
        <w:rPr>
          <w:rFonts w:eastAsia="Times New Roman"/>
          <w:color w:val="000000" w:themeColor="text1"/>
        </w:rPr>
      </w:pPr>
      <w:r w:rsidRPr="00A81971">
        <w:rPr>
          <w:rFonts w:eastAsia="Times New Roman"/>
          <w:color w:val="000000" w:themeColor="text1"/>
        </w:rPr>
        <w:t>The calculation for the 2027-2029 triennium for the High-end Resource Allocation Scenario in comparison to schedules A and B of the May 2026 RTF report is shown Table 4.3 below.</w:t>
      </w:r>
    </w:p>
    <w:p w14:paraId="27D97600" w14:textId="77777777" w:rsidR="002E3156" w:rsidRDefault="002E3156">
      <w:pPr>
        <w:spacing w:after="0"/>
        <w:rPr>
          <w:rFonts w:eastAsia="Yu Mincho"/>
          <w:b/>
          <w:bCs/>
          <w:color w:val="000000"/>
          <w:lang w:val="en-CA"/>
        </w:rPr>
      </w:pPr>
      <w:r>
        <w:rPr>
          <w:rFonts w:eastAsia="Yu Mincho"/>
          <w:b/>
          <w:bCs/>
          <w:color w:val="000000"/>
          <w:lang w:val="en-CA"/>
        </w:rPr>
        <w:br w:type="page"/>
      </w:r>
    </w:p>
    <w:p w14:paraId="047E34C6" w14:textId="165722A9" w:rsidR="00736291" w:rsidRPr="00A81971" w:rsidRDefault="0032495C" w:rsidP="00CE5373">
      <w:pPr>
        <w:tabs>
          <w:tab w:val="left" w:pos="0"/>
          <w:tab w:val="left" w:pos="1276"/>
        </w:tabs>
        <w:spacing w:after="120"/>
        <w:ind w:left="1282" w:hanging="1282"/>
      </w:pPr>
      <w:r w:rsidRPr="0006445E">
        <w:rPr>
          <w:rFonts w:eastAsia="Yu Mincho"/>
          <w:b/>
          <w:bCs/>
          <w:color w:val="000000"/>
          <w:lang w:val="en-CA"/>
        </w:rPr>
        <w:lastRenderedPageBreak/>
        <w:t xml:space="preserve">Table </w:t>
      </w:r>
      <w:r>
        <w:rPr>
          <w:rFonts w:eastAsia="Yu Mincho"/>
          <w:b/>
          <w:bCs/>
          <w:color w:val="000000"/>
          <w:lang w:val="en-CA"/>
        </w:rPr>
        <w:t>4.3:</w:t>
      </w:r>
      <w:r w:rsidRPr="0006445E">
        <w:rPr>
          <w:rFonts w:eastAsia="Times New Roman"/>
          <w:color w:val="000000"/>
          <w:lang w:val="en-CA"/>
        </w:rPr>
        <w:tab/>
      </w:r>
      <w:r w:rsidRPr="00A81971">
        <w:rPr>
          <w:b/>
          <w:bCs/>
          <w:color w:val="000000" w:themeColor="text1"/>
        </w:rPr>
        <w:t>Calculation of the high-end scenario for KIPs for the triennium in comparison to resource allocation schedules A &amp; B of the May 2026 Report</w:t>
      </w:r>
      <w:r w:rsidR="43EEFCCE" w:rsidRPr="00A81971">
        <w:rPr>
          <w:b/>
          <w:bCs/>
          <w:color w:val="000000" w:themeColor="text1"/>
        </w:rPr>
        <w:t xml:space="preserve"> </w:t>
      </w: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430"/>
        <w:gridCol w:w="714"/>
        <w:gridCol w:w="1314"/>
        <w:gridCol w:w="1314"/>
        <w:gridCol w:w="1240"/>
        <w:gridCol w:w="1868"/>
      </w:tblGrid>
      <w:tr w:rsidR="00F90461" w14:paraId="62E33561" w14:textId="77777777" w:rsidTr="00FE5C31">
        <w:trPr>
          <w:trHeight w:val="285"/>
          <w:tblHeader/>
        </w:trPr>
        <w:tc>
          <w:tcPr>
            <w:tcW w:w="1358" w:type="dxa"/>
            <w:shd w:val="clear" w:color="auto" w:fill="D9E2F3" w:themeFill="accent1" w:themeFillTint="33"/>
            <w:tcMar>
              <w:left w:w="108" w:type="dxa"/>
              <w:right w:w="108" w:type="dxa"/>
            </w:tcMar>
            <w:vAlign w:val="center"/>
          </w:tcPr>
          <w:p w14:paraId="78BB3EFB" w14:textId="77777777" w:rsidR="43EEFCCE" w:rsidRPr="00A81971" w:rsidRDefault="0032495C" w:rsidP="00FE5C31">
            <w:pPr>
              <w:spacing w:before="40" w:after="40"/>
              <w:rPr>
                <w:rFonts w:eastAsia="Times New Roman"/>
                <w:b/>
                <w:bCs/>
                <w:color w:val="000000" w:themeColor="text1"/>
                <w:sz w:val="20"/>
                <w:szCs w:val="20"/>
              </w:rPr>
            </w:pPr>
            <w:r w:rsidRPr="00A81971">
              <w:rPr>
                <w:rFonts w:eastAsia="Times New Roman"/>
                <w:b/>
                <w:bCs/>
                <w:color w:val="000000" w:themeColor="text1"/>
                <w:sz w:val="20"/>
                <w:szCs w:val="20"/>
              </w:rPr>
              <w:t>Status</w:t>
            </w:r>
          </w:p>
        </w:tc>
        <w:tc>
          <w:tcPr>
            <w:tcW w:w="1430" w:type="dxa"/>
            <w:shd w:val="clear" w:color="auto" w:fill="D9E2F3" w:themeFill="accent1" w:themeFillTint="33"/>
            <w:tcMar>
              <w:left w:w="108" w:type="dxa"/>
              <w:right w:w="108" w:type="dxa"/>
            </w:tcMar>
            <w:vAlign w:val="center"/>
          </w:tcPr>
          <w:p w14:paraId="426C2615" w14:textId="319DBF04" w:rsidR="43EEFCCE"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Number of parties</w:t>
            </w:r>
          </w:p>
        </w:tc>
        <w:tc>
          <w:tcPr>
            <w:tcW w:w="714" w:type="dxa"/>
            <w:shd w:val="clear" w:color="auto" w:fill="D9E2F3" w:themeFill="accent1" w:themeFillTint="33"/>
            <w:tcMar>
              <w:left w:w="108" w:type="dxa"/>
              <w:right w:w="108" w:type="dxa"/>
            </w:tcMar>
            <w:vAlign w:val="center"/>
          </w:tcPr>
          <w:p w14:paraId="49FDDA0E" w14:textId="77777777" w:rsidR="43EEFCCE"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Stage</w:t>
            </w:r>
          </w:p>
        </w:tc>
        <w:tc>
          <w:tcPr>
            <w:tcW w:w="1314" w:type="dxa"/>
            <w:shd w:val="clear" w:color="auto" w:fill="D9E2F3" w:themeFill="accent1" w:themeFillTint="33"/>
            <w:tcMar>
              <w:left w:w="108" w:type="dxa"/>
              <w:right w:w="108" w:type="dxa"/>
            </w:tcMar>
            <w:vAlign w:val="center"/>
          </w:tcPr>
          <w:p w14:paraId="2AA3308A" w14:textId="711A5500" w:rsidR="43EEFCCE"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Total Funding</w:t>
            </w:r>
          </w:p>
        </w:tc>
        <w:tc>
          <w:tcPr>
            <w:tcW w:w="1314" w:type="dxa"/>
            <w:shd w:val="clear" w:color="auto" w:fill="D9E2F3" w:themeFill="accent1" w:themeFillTint="33"/>
            <w:tcMar>
              <w:left w:w="108" w:type="dxa"/>
              <w:right w:w="108" w:type="dxa"/>
            </w:tcMar>
            <w:vAlign w:val="center"/>
          </w:tcPr>
          <w:p w14:paraId="5189F5B9" w14:textId="77777777" w:rsidR="43EEFCCE"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Schedule A May report</w:t>
            </w:r>
          </w:p>
        </w:tc>
        <w:tc>
          <w:tcPr>
            <w:tcW w:w="1240" w:type="dxa"/>
            <w:shd w:val="clear" w:color="auto" w:fill="D9E2F3" w:themeFill="accent1" w:themeFillTint="33"/>
            <w:tcMar>
              <w:left w:w="108" w:type="dxa"/>
              <w:right w:w="108" w:type="dxa"/>
            </w:tcMar>
            <w:vAlign w:val="center"/>
          </w:tcPr>
          <w:p w14:paraId="34A4A102" w14:textId="77777777" w:rsidR="43EEFCCE" w:rsidRPr="00A81971" w:rsidRDefault="0032495C" w:rsidP="00FE5C31">
            <w:pPr>
              <w:spacing w:before="40" w:after="40"/>
              <w:jc w:val="center"/>
              <w:rPr>
                <w:rFonts w:eastAsia="Times New Roman"/>
                <w:b/>
                <w:bCs/>
                <w:color w:val="000000" w:themeColor="text1"/>
                <w:sz w:val="20"/>
                <w:szCs w:val="20"/>
              </w:rPr>
            </w:pPr>
            <w:r w:rsidRPr="00794660">
              <w:rPr>
                <w:rFonts w:eastAsia="Times New Roman"/>
                <w:b/>
                <w:bCs/>
                <w:sz w:val="20"/>
                <w:szCs w:val="20"/>
              </w:rPr>
              <w:t>Schedule B May report</w:t>
            </w:r>
          </w:p>
        </w:tc>
        <w:tc>
          <w:tcPr>
            <w:tcW w:w="1868" w:type="dxa"/>
            <w:shd w:val="clear" w:color="auto" w:fill="D9E2F3" w:themeFill="accent1" w:themeFillTint="33"/>
            <w:tcMar>
              <w:left w:w="108" w:type="dxa"/>
              <w:right w:w="108" w:type="dxa"/>
            </w:tcMar>
            <w:vAlign w:val="center"/>
          </w:tcPr>
          <w:p w14:paraId="2AC1ABA9" w14:textId="77777777" w:rsidR="43EEFCCE" w:rsidRPr="00A81971" w:rsidRDefault="0032495C" w:rsidP="00FE5C31">
            <w:pPr>
              <w:spacing w:before="40" w:after="40"/>
              <w:jc w:val="center"/>
              <w:rPr>
                <w:rFonts w:eastAsia="Times New Roman"/>
                <w:b/>
                <w:bCs/>
                <w:color w:val="000000" w:themeColor="text1"/>
                <w:sz w:val="20"/>
                <w:szCs w:val="20"/>
              </w:rPr>
            </w:pPr>
            <w:r w:rsidRPr="00794660">
              <w:rPr>
                <w:rFonts w:eastAsia="Times New Roman"/>
                <w:b/>
                <w:bCs/>
                <w:sz w:val="20"/>
                <w:szCs w:val="20"/>
              </w:rPr>
              <w:t>New High-end for   Supplementary Report</w:t>
            </w:r>
          </w:p>
        </w:tc>
      </w:tr>
      <w:tr w:rsidR="00F90461" w14:paraId="4B79D3E1" w14:textId="77777777" w:rsidTr="00FE5C31">
        <w:trPr>
          <w:trHeight w:val="285"/>
        </w:trPr>
        <w:tc>
          <w:tcPr>
            <w:tcW w:w="1358" w:type="dxa"/>
            <w:vMerge w:val="restart"/>
            <w:shd w:val="clear" w:color="auto" w:fill="E2EFD9" w:themeFill="accent6" w:themeFillTint="33"/>
            <w:tcMar>
              <w:left w:w="108" w:type="dxa"/>
              <w:right w:w="108" w:type="dxa"/>
            </w:tcMar>
            <w:vAlign w:val="center"/>
          </w:tcPr>
          <w:p w14:paraId="4183B2EA" w14:textId="77777777" w:rsidR="005E4F70"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 xml:space="preserve">Parties without KIPs </w:t>
            </w:r>
          </w:p>
        </w:tc>
        <w:tc>
          <w:tcPr>
            <w:tcW w:w="1430" w:type="dxa"/>
            <w:vMerge w:val="restart"/>
            <w:tcMar>
              <w:left w:w="108" w:type="dxa"/>
              <w:right w:w="108" w:type="dxa"/>
            </w:tcMar>
            <w:vAlign w:val="center"/>
          </w:tcPr>
          <w:p w14:paraId="74738B54" w14:textId="77777777" w:rsidR="005E4F70"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28* LVC</w:t>
            </w:r>
          </w:p>
          <w:p w14:paraId="0FB50AEE" w14:textId="77777777" w:rsidR="005E4F70"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/VLVC parties</w:t>
            </w:r>
          </w:p>
        </w:tc>
        <w:tc>
          <w:tcPr>
            <w:tcW w:w="714" w:type="dxa"/>
            <w:tcMar>
              <w:left w:w="108" w:type="dxa"/>
              <w:right w:w="108" w:type="dxa"/>
            </w:tcMar>
            <w:vAlign w:val="center"/>
          </w:tcPr>
          <w:p w14:paraId="2F711837" w14:textId="77777777" w:rsidR="005E4F70"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I</w:t>
            </w:r>
          </w:p>
        </w:tc>
        <w:tc>
          <w:tcPr>
            <w:tcW w:w="1314" w:type="dxa"/>
            <w:tcMar>
              <w:left w:w="108" w:type="dxa"/>
              <w:right w:w="108" w:type="dxa"/>
            </w:tcMar>
            <w:vAlign w:val="center"/>
          </w:tcPr>
          <w:p w14:paraId="20BAC1F6"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5,312,312 </w:t>
            </w:r>
          </w:p>
        </w:tc>
        <w:tc>
          <w:tcPr>
            <w:tcW w:w="1314" w:type="dxa"/>
            <w:tcMar>
              <w:left w:w="108" w:type="dxa"/>
              <w:right w:w="108" w:type="dxa"/>
            </w:tcMar>
            <w:vAlign w:val="center"/>
          </w:tcPr>
          <w:p w14:paraId="37AFB4E3"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5,312,312 </w:t>
            </w:r>
          </w:p>
        </w:tc>
        <w:tc>
          <w:tcPr>
            <w:tcW w:w="1240" w:type="dxa"/>
            <w:tcMar>
              <w:left w:w="108" w:type="dxa"/>
              <w:right w:w="108" w:type="dxa"/>
            </w:tcMar>
            <w:vAlign w:val="center"/>
          </w:tcPr>
          <w:p w14:paraId="6ABB3CFB"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4,781,081 </w:t>
            </w:r>
          </w:p>
        </w:tc>
        <w:tc>
          <w:tcPr>
            <w:tcW w:w="1868" w:type="dxa"/>
            <w:shd w:val="clear" w:color="auto" w:fill="FAE2D5"/>
            <w:tcMar>
              <w:left w:w="108" w:type="dxa"/>
              <w:right w:w="108" w:type="dxa"/>
            </w:tcMar>
            <w:vAlign w:val="center"/>
          </w:tcPr>
          <w:p w14:paraId="2C1F6531"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5,312,312 </w:t>
            </w:r>
          </w:p>
        </w:tc>
      </w:tr>
      <w:tr w:rsidR="00F90461" w14:paraId="2B0C77CD" w14:textId="77777777" w:rsidTr="00FE5C31">
        <w:trPr>
          <w:trHeight w:val="285"/>
        </w:trPr>
        <w:tc>
          <w:tcPr>
            <w:tcW w:w="1358" w:type="dxa"/>
            <w:vMerge/>
            <w:vAlign w:val="center"/>
          </w:tcPr>
          <w:p w14:paraId="1BC238BB" w14:textId="77777777" w:rsidR="005E4F70" w:rsidRPr="00A81971" w:rsidRDefault="005E4F70" w:rsidP="00FE5C31">
            <w:pPr>
              <w:spacing w:before="40" w:after="40"/>
            </w:pPr>
          </w:p>
        </w:tc>
        <w:tc>
          <w:tcPr>
            <w:tcW w:w="1430" w:type="dxa"/>
            <w:vMerge/>
            <w:vAlign w:val="center"/>
          </w:tcPr>
          <w:p w14:paraId="0507172F" w14:textId="77777777" w:rsidR="005E4F70" w:rsidRPr="00A81971" w:rsidRDefault="005E4F70" w:rsidP="00FE5C31">
            <w:pPr>
              <w:spacing w:before="40" w:after="40"/>
              <w:jc w:val="center"/>
            </w:pPr>
          </w:p>
        </w:tc>
        <w:tc>
          <w:tcPr>
            <w:tcW w:w="714" w:type="dxa"/>
            <w:tcMar>
              <w:left w:w="108" w:type="dxa"/>
              <w:right w:w="108" w:type="dxa"/>
            </w:tcMar>
            <w:vAlign w:val="center"/>
          </w:tcPr>
          <w:p w14:paraId="7C1110DB" w14:textId="77777777" w:rsidR="005E4F70"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II</w:t>
            </w:r>
          </w:p>
        </w:tc>
        <w:tc>
          <w:tcPr>
            <w:tcW w:w="1314" w:type="dxa"/>
            <w:tcMar>
              <w:left w:w="108" w:type="dxa"/>
              <w:right w:w="108" w:type="dxa"/>
            </w:tcMar>
            <w:vAlign w:val="center"/>
          </w:tcPr>
          <w:p w14:paraId="35C096E6"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10,624,624 </w:t>
            </w:r>
          </w:p>
        </w:tc>
        <w:tc>
          <w:tcPr>
            <w:tcW w:w="1314" w:type="dxa"/>
            <w:tcMar>
              <w:left w:w="108" w:type="dxa"/>
              <w:right w:w="108" w:type="dxa"/>
            </w:tcMar>
            <w:vAlign w:val="center"/>
          </w:tcPr>
          <w:p w14:paraId="3869BA6A"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   </w:t>
            </w:r>
          </w:p>
        </w:tc>
        <w:tc>
          <w:tcPr>
            <w:tcW w:w="1240" w:type="dxa"/>
            <w:tcMar>
              <w:left w:w="108" w:type="dxa"/>
              <w:right w:w="108" w:type="dxa"/>
            </w:tcMar>
            <w:vAlign w:val="center"/>
          </w:tcPr>
          <w:p w14:paraId="4B214B93"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0</w:t>
            </w:r>
          </w:p>
        </w:tc>
        <w:tc>
          <w:tcPr>
            <w:tcW w:w="1868" w:type="dxa"/>
            <w:shd w:val="clear" w:color="auto" w:fill="FAE2D5"/>
            <w:tcMar>
              <w:left w:w="108" w:type="dxa"/>
              <w:right w:w="108" w:type="dxa"/>
            </w:tcMar>
            <w:vAlign w:val="center"/>
          </w:tcPr>
          <w:p w14:paraId="575D22CA" w14:textId="77777777" w:rsidR="005E4F70"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6,374,774 </w:t>
            </w:r>
          </w:p>
        </w:tc>
      </w:tr>
      <w:tr w:rsidR="00F90461" w14:paraId="44170B1D" w14:textId="77777777" w:rsidTr="00FE5C31">
        <w:trPr>
          <w:trHeight w:val="285"/>
        </w:trPr>
        <w:tc>
          <w:tcPr>
            <w:tcW w:w="1358" w:type="dxa"/>
            <w:shd w:val="clear" w:color="auto" w:fill="E2EFD9" w:themeFill="accent6" w:themeFillTint="33"/>
            <w:tcMar>
              <w:left w:w="108" w:type="dxa"/>
              <w:right w:w="108" w:type="dxa"/>
            </w:tcMar>
            <w:vAlign w:val="center"/>
          </w:tcPr>
          <w:p w14:paraId="185CB3D7" w14:textId="77777777" w:rsidR="43EEFCCE"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 xml:space="preserve">Parties with approved KIPs </w:t>
            </w:r>
          </w:p>
        </w:tc>
        <w:tc>
          <w:tcPr>
            <w:tcW w:w="1430" w:type="dxa"/>
            <w:tcMar>
              <w:left w:w="108" w:type="dxa"/>
              <w:right w:w="108" w:type="dxa"/>
            </w:tcMar>
            <w:vAlign w:val="center"/>
          </w:tcPr>
          <w:p w14:paraId="376BF3B5" w14:textId="0BB5D0E7" w:rsidR="43EEFCCE"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45* LVC/</w:t>
            </w:r>
            <w:r w:rsidR="091457C3" w:rsidRPr="00A81971">
              <w:rPr>
                <w:rFonts w:eastAsia="Times New Roman"/>
                <w:color w:val="000000" w:themeColor="text1"/>
                <w:sz w:val="20"/>
                <w:szCs w:val="20"/>
              </w:rPr>
              <w:t>VLVC parties</w:t>
            </w:r>
          </w:p>
        </w:tc>
        <w:tc>
          <w:tcPr>
            <w:tcW w:w="714" w:type="dxa"/>
            <w:tcMar>
              <w:left w:w="108" w:type="dxa"/>
              <w:right w:w="108" w:type="dxa"/>
            </w:tcMar>
            <w:vAlign w:val="center"/>
          </w:tcPr>
          <w:p w14:paraId="43712DDC" w14:textId="77777777" w:rsidR="43EEFCCE" w:rsidRPr="00A81971" w:rsidRDefault="0032495C" w:rsidP="00FE5C31">
            <w:pPr>
              <w:spacing w:before="40" w:after="40"/>
              <w:jc w:val="center"/>
              <w:rPr>
                <w:rFonts w:eastAsia="Times New Roman"/>
                <w:color w:val="000000" w:themeColor="text1"/>
                <w:sz w:val="20"/>
                <w:szCs w:val="20"/>
              </w:rPr>
            </w:pPr>
            <w:r w:rsidRPr="00A81971">
              <w:rPr>
                <w:rFonts w:eastAsia="Times New Roman"/>
                <w:color w:val="000000" w:themeColor="text1"/>
                <w:sz w:val="20"/>
                <w:szCs w:val="20"/>
              </w:rPr>
              <w:t>II</w:t>
            </w:r>
          </w:p>
        </w:tc>
        <w:tc>
          <w:tcPr>
            <w:tcW w:w="1314" w:type="dxa"/>
            <w:tcMar>
              <w:left w:w="108" w:type="dxa"/>
              <w:right w:w="108" w:type="dxa"/>
            </w:tcMar>
            <w:vAlign w:val="center"/>
          </w:tcPr>
          <w:p w14:paraId="67F93938" w14:textId="77777777" w:rsidR="43EEFCCE"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18,408,477 </w:t>
            </w:r>
          </w:p>
        </w:tc>
        <w:tc>
          <w:tcPr>
            <w:tcW w:w="1314" w:type="dxa"/>
            <w:tcMar>
              <w:left w:w="108" w:type="dxa"/>
              <w:right w:w="108" w:type="dxa"/>
            </w:tcMar>
            <w:vAlign w:val="center"/>
          </w:tcPr>
          <w:p w14:paraId="5F15138D" w14:textId="77777777" w:rsidR="43EEFCCE"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 xml:space="preserve">11,045,086 </w:t>
            </w:r>
          </w:p>
        </w:tc>
        <w:tc>
          <w:tcPr>
            <w:tcW w:w="1240" w:type="dxa"/>
            <w:tcMar>
              <w:left w:w="108" w:type="dxa"/>
              <w:right w:w="108" w:type="dxa"/>
            </w:tcMar>
            <w:vAlign w:val="center"/>
          </w:tcPr>
          <w:p w14:paraId="469BEBE1" w14:textId="77777777" w:rsidR="43EEFCCE"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0</w:t>
            </w:r>
          </w:p>
        </w:tc>
        <w:tc>
          <w:tcPr>
            <w:tcW w:w="1868" w:type="dxa"/>
            <w:shd w:val="clear" w:color="auto" w:fill="FAE2D5"/>
            <w:tcMar>
              <w:left w:w="108" w:type="dxa"/>
              <w:right w:w="108" w:type="dxa"/>
            </w:tcMar>
            <w:vAlign w:val="center"/>
          </w:tcPr>
          <w:p w14:paraId="66B4E08A" w14:textId="77777777" w:rsidR="43EEFCCE"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16,567,630</w:t>
            </w:r>
          </w:p>
        </w:tc>
      </w:tr>
      <w:tr w:rsidR="00F90461" w14:paraId="02EEBF35" w14:textId="77777777" w:rsidTr="00FE5C31">
        <w:trPr>
          <w:trHeight w:val="405"/>
        </w:trPr>
        <w:tc>
          <w:tcPr>
            <w:tcW w:w="1358" w:type="dxa"/>
            <w:shd w:val="clear" w:color="auto" w:fill="FFFF00"/>
            <w:tcMar>
              <w:left w:w="108" w:type="dxa"/>
              <w:right w:w="108" w:type="dxa"/>
            </w:tcMar>
            <w:vAlign w:val="center"/>
          </w:tcPr>
          <w:p w14:paraId="4312307A" w14:textId="77777777" w:rsidR="43EEFCCE" w:rsidRPr="00A81971" w:rsidRDefault="0032495C" w:rsidP="00FE5C31">
            <w:pPr>
              <w:spacing w:before="40" w:after="40"/>
              <w:rPr>
                <w:rFonts w:eastAsia="Times New Roman"/>
                <w:b/>
                <w:bCs/>
                <w:color w:val="000000" w:themeColor="text1"/>
                <w:sz w:val="20"/>
                <w:szCs w:val="20"/>
              </w:rPr>
            </w:pPr>
            <w:r w:rsidRPr="00A81971">
              <w:rPr>
                <w:rFonts w:eastAsia="Times New Roman"/>
                <w:b/>
                <w:bCs/>
                <w:color w:val="000000" w:themeColor="text1"/>
                <w:sz w:val="20"/>
                <w:szCs w:val="20"/>
              </w:rPr>
              <w:t>Total (US$)</w:t>
            </w:r>
          </w:p>
        </w:tc>
        <w:tc>
          <w:tcPr>
            <w:tcW w:w="1430" w:type="dxa"/>
            <w:shd w:val="clear" w:color="auto" w:fill="FFFF00"/>
            <w:tcMar>
              <w:left w:w="108" w:type="dxa"/>
              <w:right w:w="108" w:type="dxa"/>
            </w:tcMar>
            <w:vAlign w:val="center"/>
          </w:tcPr>
          <w:p w14:paraId="2BDA831A" w14:textId="591BD63A" w:rsidR="43EEFCCE" w:rsidRPr="00A81971" w:rsidRDefault="43EEFCCE" w:rsidP="00FE5C31">
            <w:pPr>
              <w:spacing w:before="40" w:after="40"/>
              <w:jc w:val="center"/>
              <w:rPr>
                <w:rFonts w:eastAsia="Times New Roman"/>
                <w:color w:val="000000" w:themeColor="text1"/>
                <w:sz w:val="20"/>
                <w:szCs w:val="20"/>
              </w:rPr>
            </w:pPr>
          </w:p>
        </w:tc>
        <w:tc>
          <w:tcPr>
            <w:tcW w:w="714" w:type="dxa"/>
            <w:shd w:val="clear" w:color="auto" w:fill="FFFF00"/>
            <w:tcMar>
              <w:left w:w="108" w:type="dxa"/>
              <w:right w:w="108" w:type="dxa"/>
            </w:tcMar>
            <w:vAlign w:val="center"/>
          </w:tcPr>
          <w:p w14:paraId="78E43A8F" w14:textId="1BF664A3" w:rsidR="43EEFCCE" w:rsidRPr="00A81971" w:rsidRDefault="43EEFCCE" w:rsidP="00FE5C31">
            <w:pPr>
              <w:spacing w:before="40" w:after="40"/>
              <w:jc w:val="center"/>
              <w:rPr>
                <w:rFonts w:ascii="Aptos Narrow" w:eastAsia="Aptos Narrow" w:hAnsi="Aptos Narrow" w:cs="Aptos Narrow"/>
                <w:color w:val="000000" w:themeColor="text1"/>
              </w:rPr>
            </w:pPr>
          </w:p>
        </w:tc>
        <w:tc>
          <w:tcPr>
            <w:tcW w:w="1314" w:type="dxa"/>
            <w:shd w:val="clear" w:color="auto" w:fill="FFFF00"/>
            <w:tcMar>
              <w:left w:w="108" w:type="dxa"/>
              <w:right w:w="108" w:type="dxa"/>
            </w:tcMar>
            <w:vAlign w:val="center"/>
          </w:tcPr>
          <w:p w14:paraId="66A7700A" w14:textId="77777777" w:rsidR="43EEFCCE"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 xml:space="preserve">34,345,413 </w:t>
            </w:r>
          </w:p>
        </w:tc>
        <w:tc>
          <w:tcPr>
            <w:tcW w:w="1314" w:type="dxa"/>
            <w:shd w:val="clear" w:color="auto" w:fill="FFFF00"/>
            <w:tcMar>
              <w:left w:w="108" w:type="dxa"/>
              <w:right w:w="108" w:type="dxa"/>
            </w:tcMar>
            <w:vAlign w:val="center"/>
          </w:tcPr>
          <w:p w14:paraId="408225A5" w14:textId="77777777" w:rsidR="43EEFCCE"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 xml:space="preserve">16,357,398 </w:t>
            </w:r>
          </w:p>
        </w:tc>
        <w:tc>
          <w:tcPr>
            <w:tcW w:w="1240" w:type="dxa"/>
            <w:shd w:val="clear" w:color="auto" w:fill="FFFF00"/>
            <w:tcMar>
              <w:left w:w="108" w:type="dxa"/>
              <w:right w:w="108" w:type="dxa"/>
            </w:tcMar>
            <w:vAlign w:val="center"/>
          </w:tcPr>
          <w:p w14:paraId="5BEB0800" w14:textId="77777777" w:rsidR="43EEFCCE"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 xml:space="preserve">4,781,081 </w:t>
            </w:r>
          </w:p>
        </w:tc>
        <w:tc>
          <w:tcPr>
            <w:tcW w:w="1868" w:type="dxa"/>
            <w:shd w:val="clear" w:color="auto" w:fill="FFFF00"/>
            <w:tcMar>
              <w:left w:w="108" w:type="dxa"/>
              <w:right w:w="108" w:type="dxa"/>
            </w:tcMar>
            <w:vAlign w:val="center"/>
          </w:tcPr>
          <w:p w14:paraId="629ED8C4" w14:textId="77777777" w:rsidR="43EEFCCE"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28,254,716</w:t>
            </w:r>
          </w:p>
        </w:tc>
      </w:tr>
    </w:tbl>
    <w:p w14:paraId="1C2A0C3A" w14:textId="77777777" w:rsidR="43EEFCCE" w:rsidRPr="00A81971" w:rsidRDefault="0032495C" w:rsidP="004B5F6E">
      <w:pPr>
        <w:spacing w:after="160"/>
        <w:rPr>
          <w:rFonts w:eastAsia="Times New Roman"/>
          <w:color w:val="000000" w:themeColor="text1"/>
          <w:sz w:val="18"/>
          <w:szCs w:val="18"/>
        </w:rPr>
      </w:pPr>
      <w:r w:rsidRPr="00A81971">
        <w:rPr>
          <w:rFonts w:eastAsia="Times New Roman"/>
          <w:color w:val="000000" w:themeColor="text1"/>
          <w:sz w:val="18"/>
          <w:szCs w:val="18"/>
        </w:rPr>
        <w:t xml:space="preserve">*The total of 73 LVCs/VLVCs does not take into account the 10 countries that have 30% or more reduction in </w:t>
      </w:r>
      <w:r w:rsidR="00311D9D">
        <w:rPr>
          <w:rFonts w:eastAsia="Times New Roman"/>
          <w:color w:val="000000" w:themeColor="text1"/>
          <w:sz w:val="18"/>
          <w:szCs w:val="18"/>
        </w:rPr>
        <w:t>Stage</w:t>
      </w:r>
      <w:r w:rsidRPr="00A81971">
        <w:rPr>
          <w:rFonts w:eastAsia="Times New Roman"/>
          <w:color w:val="000000" w:themeColor="text1"/>
          <w:sz w:val="18"/>
          <w:szCs w:val="18"/>
        </w:rPr>
        <w:t xml:space="preserve"> I of the KIP</w:t>
      </w:r>
    </w:p>
    <w:p w14:paraId="1423DADA"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The</w:t>
      </w:r>
      <w:r w:rsidRPr="00CC3E2A">
        <w:rPr>
          <w:rFonts w:eastAsia="Times New Roman"/>
          <w:color w:val="FF0000"/>
        </w:rPr>
        <w:t xml:space="preserve"> </w:t>
      </w:r>
      <w:r w:rsidR="091457C3" w:rsidRPr="007A3218">
        <w:rPr>
          <w:rFonts w:eastAsia="Times New Roman"/>
        </w:rPr>
        <w:t xml:space="preserve">new </w:t>
      </w:r>
      <w:r w:rsidRPr="00A81971">
        <w:rPr>
          <w:rFonts w:eastAsia="Times New Roman"/>
          <w:color w:val="000000" w:themeColor="text1"/>
        </w:rPr>
        <w:t>high-end resource</w:t>
      </w:r>
      <w:r w:rsidR="091457C3" w:rsidRPr="00A81971">
        <w:rPr>
          <w:rFonts w:eastAsia="Times New Roman"/>
          <w:color w:val="000000" w:themeColor="text1"/>
        </w:rPr>
        <w:t xml:space="preserve"> </w:t>
      </w:r>
      <w:r w:rsidRPr="00A81971">
        <w:rPr>
          <w:rFonts w:eastAsia="Times New Roman"/>
          <w:color w:val="000000" w:themeColor="text1"/>
        </w:rPr>
        <w:t xml:space="preserve">Allocation Scenario represents 82% of the total funding for </w:t>
      </w:r>
      <w:r w:rsidR="00311D9D">
        <w:rPr>
          <w:rFonts w:eastAsia="Times New Roman"/>
          <w:color w:val="000000" w:themeColor="text1"/>
        </w:rPr>
        <w:t>Stage</w:t>
      </w:r>
      <w:r w:rsidRPr="00A81971">
        <w:rPr>
          <w:rFonts w:eastAsia="Times New Roman"/>
          <w:color w:val="000000" w:themeColor="text1"/>
        </w:rPr>
        <w:t>s I and II. In this scenario, the resource allocation for the 2027-2029 triennium is increased by 73% over schedule A, and by 491% over schedule B of the May 2026 RTF report. RTF notes that some parties have had extended tranches; however, the normal practice is for shorter tranche periods to enable steady disbursement and effective reporting and monitoring. On the other hand, RTF also notes that extending the tranche and increasing the allocation does not impact the ability of LVCs/VLVCs to implement the tranche.</w:t>
      </w:r>
    </w:p>
    <w:p w14:paraId="3E8F9624" w14:textId="4878E9F9" w:rsidR="43EEFCCE" w:rsidRPr="002E3156" w:rsidRDefault="0032495C" w:rsidP="00201CFA">
      <w:pPr>
        <w:pStyle w:val="Heading2"/>
      </w:pPr>
      <w:bookmarkStart w:id="224" w:name="_Toc240987335"/>
      <w:r w:rsidRPr="00A81971">
        <w:t xml:space="preserve">4.3 </w:t>
      </w:r>
      <w:r w:rsidR="002E3156">
        <w:tab/>
      </w:r>
      <w:r w:rsidRPr="002E3156">
        <w:t xml:space="preserve">Capacity of lvc </w:t>
      </w:r>
      <w:r w:rsidR="091457C3" w:rsidRPr="002E3156">
        <w:t xml:space="preserve">and VLVC Parties </w:t>
      </w:r>
      <w:r w:rsidRPr="002E3156">
        <w:t>to absorb increased funding</w:t>
      </w:r>
      <w:bookmarkEnd w:id="224"/>
    </w:p>
    <w:p w14:paraId="257FBEB8"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In consultation with the MLFS, the RTF was advised that the ExCom has not determined a metric related to the capacity of countries to absorb funding. RTF notes that factors like rate of disbursement or frequency and amount of returned funding by agencies are impacted by other elements than the capacity of the country to absorb and consequently those factors cannot be used as measures of the LVC and VLVCs’ ability to manage an increase in funding. </w:t>
      </w:r>
    </w:p>
    <w:p w14:paraId="30C451F1"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Many </w:t>
      </w:r>
      <w:r w:rsidR="091457C3" w:rsidRPr="00A81971">
        <w:rPr>
          <w:rFonts w:eastAsia="Times New Roman"/>
          <w:color w:val="000000" w:themeColor="text1"/>
        </w:rPr>
        <w:t xml:space="preserve">LVC </w:t>
      </w:r>
      <w:r w:rsidRPr="00A81971">
        <w:rPr>
          <w:rFonts w:eastAsia="Times New Roman"/>
          <w:color w:val="000000" w:themeColor="text1"/>
        </w:rPr>
        <w:t xml:space="preserve">and </w:t>
      </w:r>
      <w:r w:rsidR="091457C3" w:rsidRPr="00A81971">
        <w:rPr>
          <w:rFonts w:eastAsia="Times New Roman"/>
          <w:color w:val="000000" w:themeColor="text1"/>
        </w:rPr>
        <w:t>VLVC parties</w:t>
      </w:r>
      <w:r w:rsidRPr="00A81971">
        <w:rPr>
          <w:rFonts w:eastAsia="Times New Roman"/>
          <w:color w:val="000000" w:themeColor="text1"/>
        </w:rPr>
        <w:t xml:space="preserve"> are implementing their HPMPs and KIPs simultaneously. As noted in Section 6.4 of the 2026 May RTF report, “to phase out HCFCs and transition to alternatives other than HFC while also reducing HFC baseline by 10 per cent, LVCs and VLVCs would be receiving funds that are on average 2.64 times higher than KIP-I funding.”</w:t>
      </w:r>
      <w:r w:rsidRPr="00A81971">
        <w:rPr>
          <w:rFonts w:ascii="Calibri" w:eastAsia="Calibri" w:hAnsi="Calibri" w:cs="Calibri"/>
          <w:color w:val="000000" w:themeColor="text1"/>
        </w:rPr>
        <w:t xml:space="preserve"> </w:t>
      </w:r>
      <w:r w:rsidRPr="00A81971">
        <w:rPr>
          <w:rFonts w:eastAsia="Times New Roman"/>
          <w:color w:val="000000" w:themeColor="text1"/>
        </w:rPr>
        <w:t>In addition,</w:t>
      </w:r>
    </w:p>
    <w:p w14:paraId="76884DC2" w14:textId="77777777" w:rsidR="43EEFCCE" w:rsidRPr="00A81971" w:rsidRDefault="0032495C" w:rsidP="007A20BD">
      <w:pPr>
        <w:pStyle w:val="ListParagraph"/>
        <w:numPr>
          <w:ilvl w:val="0"/>
          <w:numId w:val="24"/>
        </w:numPr>
        <w:spacing w:after="0"/>
        <w:rPr>
          <w:rFonts w:eastAsia="Times New Roman"/>
          <w:color w:val="000000" w:themeColor="text1"/>
        </w:rPr>
      </w:pPr>
      <w:r w:rsidRPr="00A81971">
        <w:rPr>
          <w:rFonts w:eastAsia="Times New Roman"/>
          <w:color w:val="000000" w:themeColor="text1"/>
        </w:rPr>
        <w:t xml:space="preserve">The funding for LVCs for servicing was increased for KIPs relative to the funding for HPMPs as can be seen when comparing decision 92/37 for KIP funding to decision 74/50 for HPMP funding. </w:t>
      </w:r>
    </w:p>
    <w:p w14:paraId="661C090E" w14:textId="77777777" w:rsidR="43EEFCCE" w:rsidRPr="00A81971" w:rsidRDefault="0032495C" w:rsidP="007A20BD">
      <w:pPr>
        <w:pStyle w:val="ListParagraph"/>
        <w:numPr>
          <w:ilvl w:val="0"/>
          <w:numId w:val="24"/>
        </w:numPr>
        <w:spacing w:after="0"/>
        <w:rPr>
          <w:rFonts w:eastAsia="Times New Roman"/>
          <w:color w:val="000000" w:themeColor="text1"/>
        </w:rPr>
      </w:pPr>
      <w:r w:rsidRPr="00A81971">
        <w:rPr>
          <w:rFonts w:eastAsia="Times New Roman"/>
          <w:color w:val="000000" w:themeColor="text1"/>
        </w:rPr>
        <w:t>In addition, the ExCom decided to change the funding allocation for KIPs, (up to 60% as per decision 94/59) allowing more front loading of funding than had been the case for HPMPs.</w:t>
      </w:r>
    </w:p>
    <w:p w14:paraId="5C944868" w14:textId="77777777" w:rsidR="43EEFCCE" w:rsidRPr="00A81971" w:rsidRDefault="0032495C" w:rsidP="007A20BD">
      <w:pPr>
        <w:pStyle w:val="ListParagraph"/>
        <w:numPr>
          <w:ilvl w:val="0"/>
          <w:numId w:val="24"/>
        </w:numPr>
        <w:spacing w:after="0"/>
        <w:rPr>
          <w:rFonts w:eastAsia="Times New Roman"/>
          <w:color w:val="000000" w:themeColor="text1"/>
        </w:rPr>
      </w:pPr>
      <w:r w:rsidRPr="00A81971">
        <w:rPr>
          <w:rFonts w:eastAsia="Times New Roman"/>
          <w:color w:val="000000" w:themeColor="text1"/>
        </w:rPr>
        <w:t>The ExCom decided to provide additional funding for HPMPs for LVCs to address EE in the servicing sector as per decision 89/6.</w:t>
      </w:r>
    </w:p>
    <w:p w14:paraId="3FAAB451" w14:textId="77777777" w:rsidR="43EEFCCE" w:rsidRPr="00A81971" w:rsidRDefault="0032495C" w:rsidP="007A20BD">
      <w:pPr>
        <w:pStyle w:val="ListParagraph"/>
        <w:numPr>
          <w:ilvl w:val="0"/>
          <w:numId w:val="24"/>
        </w:numPr>
        <w:spacing w:after="0"/>
        <w:rPr>
          <w:rFonts w:eastAsia="Times New Roman"/>
          <w:color w:val="000000" w:themeColor="text1"/>
        </w:rPr>
      </w:pPr>
      <w:r w:rsidRPr="00A81971">
        <w:rPr>
          <w:rFonts w:eastAsia="Times New Roman"/>
          <w:color w:val="000000" w:themeColor="text1"/>
        </w:rPr>
        <w:t xml:space="preserve">Some LVCs have also included projects to phase-out consumption in the manufacturing sector, example Serbia as per decision 62/46. </w:t>
      </w:r>
    </w:p>
    <w:p w14:paraId="12D46EE8" w14:textId="77777777" w:rsidR="43EEFCCE" w:rsidRPr="00A81971" w:rsidRDefault="0032495C" w:rsidP="007A20BD">
      <w:pPr>
        <w:pStyle w:val="ListParagraph"/>
        <w:numPr>
          <w:ilvl w:val="0"/>
          <w:numId w:val="24"/>
        </w:numPr>
        <w:spacing w:after="0"/>
        <w:rPr>
          <w:rFonts w:eastAsia="Times New Roman"/>
          <w:color w:val="000000" w:themeColor="text1"/>
        </w:rPr>
      </w:pPr>
      <w:r w:rsidRPr="00A81971">
        <w:rPr>
          <w:rFonts w:eastAsia="Times New Roman"/>
          <w:color w:val="000000" w:themeColor="text1"/>
        </w:rPr>
        <w:t>The ExCom</w:t>
      </w:r>
      <w:r w:rsidR="091457C3" w:rsidRPr="00A81971">
        <w:rPr>
          <w:rFonts w:eastAsia="Times New Roman"/>
          <w:color w:val="000000" w:themeColor="text1"/>
        </w:rPr>
        <w:t>.</w:t>
      </w:r>
      <w:r w:rsidRPr="00A81971">
        <w:rPr>
          <w:rFonts w:eastAsia="Times New Roman"/>
          <w:color w:val="000000" w:themeColor="text1"/>
        </w:rPr>
        <w:t xml:space="preserve"> approved US$4.165 million for Ghana (an LVC) for a revolving fund project as per decision 98/54(d)(ii)) demonstrating the ability of the LVC to implement complex projects.</w:t>
      </w:r>
    </w:p>
    <w:p w14:paraId="7AAF67D6" w14:textId="77777777" w:rsidR="43EEFCCE" w:rsidRPr="00A81971" w:rsidRDefault="43EEFCCE" w:rsidP="004B5F6E">
      <w:pPr>
        <w:spacing w:after="160"/>
        <w:rPr>
          <w:rFonts w:eastAsia="Times New Roman"/>
          <w:color w:val="000000" w:themeColor="text1"/>
        </w:rPr>
      </w:pPr>
    </w:p>
    <w:p w14:paraId="362F675E"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RTF also notes that the scale of procurement activity is not linear and that it can be absorbed with the same or with a small increase in resources for the countries. LVCs and VLVCs allocate part of their budget to project coordination, monitoring, and reporting. An increase in funding for KIP stage II, or the front loading of the stage would have a proportional increase in the appropriation for project </w:t>
      </w:r>
      <w:r w:rsidRPr="00A81971">
        <w:rPr>
          <w:rFonts w:eastAsia="Times New Roman"/>
          <w:color w:val="000000" w:themeColor="text1"/>
        </w:rPr>
        <w:lastRenderedPageBreak/>
        <w:t>coordination and monitoring as larger tranches demand more extensive procurement, broader geographic and sub-sector coverage, and more intensive compliance and financial reporting.</w:t>
      </w:r>
    </w:p>
    <w:p w14:paraId="539D46E8"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While the evidence above suggests that LVCs and VLVCs have generally been able to absorb increased levels of funding, the RTF recognises that this capacity varies across countries. Some LVCs may face challenges related to institutional capacity, national procurement processes, regulatory frameworks, or limited technical expertise at the national level.</w:t>
      </w:r>
    </w:p>
    <w:p w14:paraId="53B6103E"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The high-end scenario presented in this chapter assumes that countries have sufficient capacity to implement the expanded and front-loaded tranches. This highlights the continued need for institutional strengthening, targeted implementation support, and flexible project management arrangements, as provided through existing MLF activities. Such support will be important to help ensure that all LVCs and VLVCs are able to effectively use the increased funding and meet their phase-down targets.</w:t>
      </w:r>
    </w:p>
    <w:p w14:paraId="0A99EBD3"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In conclusion, the LVCs have absorbed additional funding due to changes in funding level, concurrent implementation of several projects, changes in resource allocation allowing front loading, and to implement additional new activities and projects. Additionally, the harmonisation of activities under the HPMPs and KIPs have allowed the countries and the implementing agencies to optimise their processes and maximise delivery.</w:t>
      </w:r>
    </w:p>
    <w:p w14:paraId="4DF8B433" w14:textId="0DE02014" w:rsidR="43EEFCCE" w:rsidRPr="002E3156" w:rsidRDefault="0032495C" w:rsidP="00201CFA">
      <w:pPr>
        <w:pStyle w:val="Heading2"/>
      </w:pPr>
      <w:bookmarkStart w:id="225" w:name="_Toc240987336"/>
      <w:r w:rsidRPr="00A81971">
        <w:t xml:space="preserve">4.4 </w:t>
      </w:r>
      <w:r w:rsidR="002E3156">
        <w:tab/>
      </w:r>
      <w:r w:rsidRPr="002E3156">
        <w:t>additional considerations for funding KIP stage II</w:t>
      </w:r>
      <w:bookmarkEnd w:id="225"/>
    </w:p>
    <w:p w14:paraId="5925EB5B"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While taking into consideration the needs of the LVCs and VLVCs as was requested by Decision XXXVII/6 of RTF Replenishment TOR, the RTF in its May 2026 report noted two factors that are impacting the ability of LVCs and VLVCs to transition to lower-GWP, energy-efficient alternatives. The first factor is related to fixed costs that the LVCs and VLVCs incur irrespective of their consumption, and the second factor is that the training costs and associated capacity building activities constitute a major portion of the budget which, if funded to meet the actual needs, will deplete the budget and leave other activities with little </w:t>
      </w:r>
      <w:r w:rsidR="1F619B6D" w:rsidRPr="00A81971">
        <w:rPr>
          <w:rFonts w:eastAsia="Times New Roman"/>
          <w:color w:val="000000" w:themeColor="text1"/>
        </w:rPr>
        <w:t>or</w:t>
      </w:r>
      <w:r w:rsidRPr="00A81971">
        <w:rPr>
          <w:rFonts w:eastAsia="Times New Roman"/>
          <w:color w:val="000000" w:themeColor="text1"/>
        </w:rPr>
        <w:t xml:space="preserve"> no funding.</w:t>
      </w:r>
    </w:p>
    <w:p w14:paraId="1EC2F24E"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The analysis in the 2026 May RTF report also demonstrated that the lower three brackets of funding are under-funded when compared with the other five brackets and noted that the lowest two brackets could eventually be funded at the same level as the third bracket.</w:t>
      </w:r>
      <w:r w:rsidR="002A154F" w:rsidRPr="00A81971">
        <w:rPr>
          <w:rFonts w:eastAsia="Times New Roman"/>
          <w:color w:val="000000" w:themeColor="text1"/>
        </w:rPr>
        <w:t xml:space="preserve"> To illustrate </w:t>
      </w:r>
      <w:r w:rsidR="001863DA" w:rsidRPr="00A81971">
        <w:rPr>
          <w:rFonts w:eastAsia="Times New Roman"/>
          <w:color w:val="000000" w:themeColor="text1"/>
        </w:rPr>
        <w:t xml:space="preserve">an example of the </w:t>
      </w:r>
      <w:r w:rsidR="0013295E" w:rsidRPr="00A81971">
        <w:rPr>
          <w:rFonts w:eastAsia="Times New Roman"/>
          <w:color w:val="000000" w:themeColor="text1"/>
        </w:rPr>
        <w:t xml:space="preserve">funding needs for </w:t>
      </w:r>
      <w:r w:rsidR="00311D9D">
        <w:rPr>
          <w:rFonts w:eastAsia="Times New Roman"/>
          <w:color w:val="000000" w:themeColor="text1"/>
        </w:rPr>
        <w:t>Stage</w:t>
      </w:r>
      <w:r w:rsidR="0013295E" w:rsidRPr="00A81971">
        <w:rPr>
          <w:rFonts w:eastAsia="Times New Roman"/>
          <w:color w:val="000000" w:themeColor="text1"/>
        </w:rPr>
        <w:t xml:space="preserve"> II, t</w:t>
      </w:r>
      <w:r w:rsidRPr="00A81971">
        <w:rPr>
          <w:rFonts w:eastAsia="Times New Roman"/>
          <w:color w:val="000000" w:themeColor="text1"/>
        </w:rPr>
        <w:t xml:space="preserve">he report compared the combined funding for the last </w:t>
      </w:r>
      <w:r w:rsidR="00311D9D">
        <w:rPr>
          <w:rFonts w:eastAsia="Times New Roman"/>
          <w:color w:val="000000" w:themeColor="text1"/>
        </w:rPr>
        <w:t>stage</w:t>
      </w:r>
      <w:r w:rsidRPr="00A81971">
        <w:rPr>
          <w:rFonts w:eastAsia="Times New Roman"/>
          <w:color w:val="000000" w:themeColor="text1"/>
        </w:rPr>
        <w:t xml:space="preserve"> of </w:t>
      </w:r>
      <w:r w:rsidR="009C5C89" w:rsidRPr="00A81971">
        <w:rPr>
          <w:rFonts w:eastAsia="Times New Roman"/>
          <w:color w:val="000000" w:themeColor="text1"/>
        </w:rPr>
        <w:t xml:space="preserve">the </w:t>
      </w:r>
      <w:r w:rsidRPr="00A81971">
        <w:rPr>
          <w:rFonts w:eastAsia="Times New Roman"/>
          <w:color w:val="000000" w:themeColor="text1"/>
        </w:rPr>
        <w:t xml:space="preserve">HPMP and the first stage of the KIP that most LVCs and VLVCs have available until 2030 with the funding for </w:t>
      </w:r>
      <w:r w:rsidR="00311D9D">
        <w:rPr>
          <w:rFonts w:eastAsia="Times New Roman"/>
          <w:color w:val="000000" w:themeColor="text1"/>
        </w:rPr>
        <w:t>Stage</w:t>
      </w:r>
      <w:r w:rsidRPr="00A81971">
        <w:rPr>
          <w:rFonts w:eastAsia="Times New Roman"/>
          <w:color w:val="000000" w:themeColor="text1"/>
        </w:rPr>
        <w:t xml:space="preserve"> II </w:t>
      </w:r>
      <w:r w:rsidR="00723A24" w:rsidRPr="00A81971">
        <w:rPr>
          <w:rFonts w:eastAsia="Times New Roman"/>
          <w:color w:val="000000" w:themeColor="text1"/>
        </w:rPr>
        <w:t xml:space="preserve">calculated at double the </w:t>
      </w:r>
      <w:r w:rsidR="00311D9D">
        <w:rPr>
          <w:rFonts w:eastAsia="Times New Roman"/>
          <w:color w:val="000000" w:themeColor="text1"/>
        </w:rPr>
        <w:t>Stage</w:t>
      </w:r>
      <w:r w:rsidR="00723A24" w:rsidRPr="00A81971">
        <w:rPr>
          <w:rFonts w:eastAsia="Times New Roman"/>
          <w:color w:val="000000" w:themeColor="text1"/>
        </w:rPr>
        <w:t xml:space="preserve"> I </w:t>
      </w:r>
      <w:r w:rsidR="004E46C0" w:rsidRPr="00A81971">
        <w:rPr>
          <w:rFonts w:eastAsia="Times New Roman"/>
          <w:color w:val="000000" w:themeColor="text1"/>
        </w:rPr>
        <w:t xml:space="preserve">funding to </w:t>
      </w:r>
      <w:r w:rsidR="00321BF8" w:rsidRPr="00A81971">
        <w:rPr>
          <w:rFonts w:eastAsia="Times New Roman"/>
          <w:color w:val="000000" w:themeColor="text1"/>
        </w:rPr>
        <w:t>further re</w:t>
      </w:r>
      <w:r w:rsidR="009B2ED5" w:rsidRPr="00A81971">
        <w:rPr>
          <w:rFonts w:eastAsia="Times New Roman"/>
          <w:color w:val="000000" w:themeColor="text1"/>
        </w:rPr>
        <w:t>d</w:t>
      </w:r>
      <w:r w:rsidR="00321BF8" w:rsidRPr="00A81971">
        <w:rPr>
          <w:rFonts w:eastAsia="Times New Roman"/>
          <w:color w:val="000000" w:themeColor="text1"/>
        </w:rPr>
        <w:t xml:space="preserve">uce consumption </w:t>
      </w:r>
      <w:r w:rsidR="004C4F9F" w:rsidRPr="00A81971">
        <w:rPr>
          <w:rFonts w:eastAsia="Times New Roman"/>
          <w:color w:val="000000" w:themeColor="text1"/>
        </w:rPr>
        <w:t xml:space="preserve">by 20% </w:t>
      </w:r>
      <w:r w:rsidRPr="00A81971">
        <w:rPr>
          <w:rFonts w:eastAsia="Times New Roman"/>
          <w:color w:val="000000" w:themeColor="text1"/>
        </w:rPr>
        <w:t xml:space="preserve">to </w:t>
      </w:r>
      <w:r w:rsidR="009B2ED5" w:rsidRPr="00A81971">
        <w:rPr>
          <w:rFonts w:eastAsia="Times New Roman"/>
          <w:color w:val="000000" w:themeColor="text1"/>
        </w:rPr>
        <w:t>a total of</w:t>
      </w:r>
      <w:r w:rsidRPr="00A81971">
        <w:rPr>
          <w:rFonts w:eastAsia="Times New Roman"/>
          <w:color w:val="000000" w:themeColor="text1"/>
        </w:rPr>
        <w:t xml:space="preserve"> 30%</w:t>
      </w:r>
      <w:r w:rsidR="008D2479" w:rsidRPr="00A81971">
        <w:rPr>
          <w:rFonts w:eastAsia="Times New Roman"/>
          <w:color w:val="000000" w:themeColor="text1"/>
        </w:rPr>
        <w:t xml:space="preserve"> reduction</w:t>
      </w:r>
      <w:r w:rsidRPr="00A81971">
        <w:rPr>
          <w:rFonts w:eastAsia="Times New Roman"/>
          <w:color w:val="000000" w:themeColor="text1"/>
        </w:rPr>
        <w:t xml:space="preserve"> </w:t>
      </w:r>
      <w:r w:rsidR="008D2479" w:rsidRPr="00A81971">
        <w:rPr>
          <w:rFonts w:eastAsia="Times New Roman"/>
          <w:color w:val="000000" w:themeColor="text1"/>
        </w:rPr>
        <w:t xml:space="preserve">from the baseline </w:t>
      </w:r>
      <w:r w:rsidR="009B2ED5" w:rsidRPr="00A81971">
        <w:rPr>
          <w:rFonts w:eastAsia="Times New Roman"/>
          <w:color w:val="000000" w:themeColor="text1"/>
        </w:rPr>
        <w:t>for the stage</w:t>
      </w:r>
      <w:r w:rsidRPr="00A81971">
        <w:rPr>
          <w:rFonts w:eastAsia="Times New Roman"/>
          <w:color w:val="000000" w:themeColor="text1"/>
        </w:rPr>
        <w:t>.</w:t>
      </w:r>
    </w:p>
    <w:p w14:paraId="37D6518F"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Stage II funding is assumed to be twice the </w:t>
      </w:r>
      <w:r w:rsidR="00311D9D">
        <w:rPr>
          <w:rFonts w:eastAsia="Times New Roman"/>
          <w:color w:val="000000" w:themeColor="text1"/>
        </w:rPr>
        <w:t>Stage</w:t>
      </w:r>
      <w:r w:rsidRPr="00A81971">
        <w:rPr>
          <w:rFonts w:eastAsia="Times New Roman"/>
          <w:color w:val="000000" w:themeColor="text1"/>
        </w:rPr>
        <w:t xml:space="preserve"> I level because it addresses a 20% reduction compared with 10% under </w:t>
      </w:r>
      <w:r w:rsidR="00311D9D">
        <w:rPr>
          <w:rFonts w:eastAsia="Times New Roman"/>
          <w:color w:val="000000" w:themeColor="text1"/>
        </w:rPr>
        <w:t>Stage</w:t>
      </w:r>
      <w:r w:rsidRPr="00A81971">
        <w:rPr>
          <w:rFonts w:eastAsia="Times New Roman"/>
          <w:color w:val="000000" w:themeColor="text1"/>
        </w:rPr>
        <w:t xml:space="preserve"> I; however, doubling assumes that costs increase linearly with the reduction target. It does not demonstrate whether the resulting funding is sufficient for wider national coverage, additional regulatory framework, providing equipment, or continuing implementation and monitoring.</w:t>
      </w:r>
      <w:r w:rsidRPr="00A81971">
        <w:br/>
      </w:r>
      <w:r w:rsidRPr="00A81971">
        <w:rPr>
          <w:rFonts w:eastAsia="Times New Roman"/>
          <w:color w:val="000000" w:themeColor="text1"/>
        </w:rPr>
        <w:t xml:space="preserve"> </w:t>
      </w:r>
      <w:r w:rsidRPr="00A81971">
        <w:br/>
      </w:r>
      <w:r w:rsidRPr="00A81971">
        <w:rPr>
          <w:rFonts w:eastAsia="Times New Roman"/>
          <w:color w:val="000000" w:themeColor="text1"/>
        </w:rPr>
        <w:t xml:space="preserve">For this report, the RTF made further analysis to what was presented in the May 2026 RTF report to address the two factors and developed methodologies based on calculating increments above the assumed doubling of </w:t>
      </w:r>
      <w:r w:rsidR="00311D9D">
        <w:rPr>
          <w:rFonts w:eastAsia="Times New Roman"/>
          <w:color w:val="000000" w:themeColor="text1"/>
        </w:rPr>
        <w:t>Stage</w:t>
      </w:r>
      <w:r w:rsidRPr="00A81971">
        <w:rPr>
          <w:rFonts w:eastAsia="Times New Roman"/>
          <w:color w:val="000000" w:themeColor="text1"/>
        </w:rPr>
        <w:t xml:space="preserve"> I funding, then doing a sensitivity analysis</w:t>
      </w:r>
      <w:r>
        <w:rPr>
          <w:rFonts w:eastAsia="Times New Roman"/>
          <w:color w:val="000000" w:themeColor="text1"/>
          <w:vertAlign w:val="superscript"/>
        </w:rPr>
        <w:footnoteReference w:id="24"/>
      </w:r>
      <w:r w:rsidRPr="00A81971">
        <w:rPr>
          <w:rFonts w:eastAsia="Times New Roman"/>
          <w:color w:val="000000" w:themeColor="text1"/>
        </w:rPr>
        <w:t xml:space="preserve"> and a stress test</w:t>
      </w:r>
      <w:r>
        <w:rPr>
          <w:rFonts w:eastAsia="Times New Roman"/>
          <w:color w:val="000000" w:themeColor="text1"/>
          <w:vertAlign w:val="superscript"/>
        </w:rPr>
        <w:footnoteReference w:id="25"/>
      </w:r>
      <w:r w:rsidRPr="00A81971">
        <w:rPr>
          <w:rFonts w:eastAsia="Times New Roman"/>
          <w:color w:val="000000" w:themeColor="text1"/>
        </w:rPr>
        <w:t xml:space="preserve"> for the proposed expansion levels.</w:t>
      </w:r>
      <w:r w:rsidR="00302859" w:rsidRPr="00A81971">
        <w:rPr>
          <w:rFonts w:eastAsia="Times New Roman"/>
          <w:color w:val="000000" w:themeColor="text1"/>
        </w:rPr>
        <w:t xml:space="preserve"> The </w:t>
      </w:r>
      <w:r w:rsidR="00C91E82" w:rsidRPr="00A81971">
        <w:rPr>
          <w:rFonts w:eastAsia="Times New Roman"/>
          <w:color w:val="000000" w:themeColor="text1"/>
        </w:rPr>
        <w:t>exercise is an assumption for modelling rather than an empirical finding</w:t>
      </w:r>
      <w:r w:rsidR="0091676C" w:rsidRPr="00A81971">
        <w:rPr>
          <w:rFonts w:eastAsia="Times New Roman"/>
          <w:color w:val="000000" w:themeColor="text1"/>
        </w:rPr>
        <w:t>.</w:t>
      </w:r>
    </w:p>
    <w:p w14:paraId="3403AFC5" w14:textId="3799CCF7" w:rsidR="43EEFCCE" w:rsidRPr="002E3156" w:rsidRDefault="0032495C" w:rsidP="002E3156">
      <w:pPr>
        <w:pStyle w:val="Heading3"/>
      </w:pPr>
      <w:r w:rsidRPr="00FE5C31">
        <w:lastRenderedPageBreak/>
        <w:t xml:space="preserve">4.4.1 </w:t>
      </w:r>
      <w:r w:rsidR="002E3156" w:rsidRPr="00FE5C31">
        <w:tab/>
      </w:r>
      <w:r w:rsidRPr="00FE5C31">
        <w:t>Methodology</w:t>
      </w:r>
    </w:p>
    <w:p w14:paraId="0C7AE3B9"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RTF did a further analysis to test the assessment in the May 2026 Report, which reviewed all KIPs that were approved up to ExCom-97. As a reminder, fixed costs comprise the minimum system-building functions required to operationalise HFC controls, including policy and regulatory development; licensing, quota and reporting systems; customs and enforcement procedures; standards and standard operating procedures; training curriculum and certification; regulatory framework; and project coordination, monitoring and reporting. The other activities such as technician training and certification, delivery of equipment, demonstration projects, broad awareness campaigns and gender-outreach activities are scale-sensitive and are impacted by consumption. </w:t>
      </w:r>
    </w:p>
    <w:p w14:paraId="617EEACD"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For this report, the RTF tested a scenario providing</w:t>
      </w:r>
      <w:r w:rsidR="001C6C45" w:rsidRPr="00A81971">
        <w:rPr>
          <w:rFonts w:eastAsia="Times New Roman"/>
          <w:color w:val="000000" w:themeColor="text1"/>
        </w:rPr>
        <w:t>,</w:t>
      </w:r>
      <w:r w:rsidRPr="00A81971">
        <w:rPr>
          <w:rFonts w:eastAsia="Times New Roman"/>
          <w:color w:val="000000" w:themeColor="text1"/>
        </w:rPr>
        <w:t xml:space="preserve"> </w:t>
      </w:r>
      <w:r w:rsidR="00863165" w:rsidRPr="00A81971">
        <w:rPr>
          <w:rFonts w:eastAsia="Times New Roman"/>
          <w:color w:val="000000" w:themeColor="text1"/>
        </w:rPr>
        <w:t>as sensitivity parameters</w:t>
      </w:r>
      <w:r w:rsidR="001C6C45" w:rsidRPr="00A81971">
        <w:rPr>
          <w:rFonts w:eastAsia="Times New Roman"/>
          <w:color w:val="000000" w:themeColor="text1"/>
        </w:rPr>
        <w:t xml:space="preserve">, </w:t>
      </w:r>
      <w:r w:rsidRPr="00A81971">
        <w:rPr>
          <w:rFonts w:eastAsia="Times New Roman"/>
          <w:color w:val="000000" w:themeColor="text1"/>
        </w:rPr>
        <w:t>an additional allowance equal to 50 or 75% of the fixed-cost amount previously identified for each bracket and the conducted a sensitivity analysis for a scenario which incorporates additional funding for capacity building including training to compl</w:t>
      </w:r>
      <w:r w:rsidR="001C6C45" w:rsidRPr="00A81971">
        <w:rPr>
          <w:rFonts w:eastAsia="Times New Roman"/>
          <w:color w:val="000000" w:themeColor="text1"/>
        </w:rPr>
        <w:t>e</w:t>
      </w:r>
      <w:r w:rsidRPr="00A81971">
        <w:rPr>
          <w:rFonts w:eastAsia="Times New Roman"/>
          <w:color w:val="000000" w:themeColor="text1"/>
        </w:rPr>
        <w:t xml:space="preserve">ment the fixed cost analysis. Two sensitivity factors equal to the allowances used for the fixed cost were selected for funding above the doubling of </w:t>
      </w:r>
      <w:r w:rsidR="00311D9D">
        <w:rPr>
          <w:rFonts w:eastAsia="Times New Roman"/>
          <w:color w:val="000000" w:themeColor="text1"/>
        </w:rPr>
        <w:t>Stage</w:t>
      </w:r>
      <w:r w:rsidRPr="00A81971">
        <w:rPr>
          <w:rFonts w:eastAsia="Times New Roman"/>
          <w:color w:val="000000" w:themeColor="text1"/>
        </w:rPr>
        <w:t xml:space="preserve"> I funding. The 50% factor represents a lower case</w:t>
      </w:r>
      <w:r w:rsidR="00524F3F" w:rsidRPr="00A81971">
        <w:rPr>
          <w:rFonts w:eastAsia="Times New Roman"/>
          <w:color w:val="000000" w:themeColor="text1"/>
        </w:rPr>
        <w:t xml:space="preserve"> sensitivity scenario</w:t>
      </w:r>
      <w:r w:rsidRPr="00A81971">
        <w:rPr>
          <w:rFonts w:eastAsia="Times New Roman"/>
          <w:color w:val="000000" w:themeColor="text1"/>
        </w:rPr>
        <w:t xml:space="preserve">, reflecting the need to update and extend </w:t>
      </w:r>
      <w:r w:rsidR="00311D9D">
        <w:rPr>
          <w:rFonts w:eastAsia="Times New Roman"/>
          <w:color w:val="000000" w:themeColor="text1"/>
        </w:rPr>
        <w:t>Stage</w:t>
      </w:r>
      <w:r w:rsidRPr="00A81971">
        <w:rPr>
          <w:rFonts w:eastAsia="Times New Roman"/>
          <w:color w:val="000000" w:themeColor="text1"/>
        </w:rPr>
        <w:t xml:space="preserve"> I systems including policy/regulatory frameworks, training curricula, and institutional arrangements to cover the additional 20% reduction target under </w:t>
      </w:r>
      <w:r w:rsidR="00311D9D">
        <w:rPr>
          <w:rFonts w:eastAsia="Times New Roman"/>
          <w:color w:val="000000" w:themeColor="text1"/>
        </w:rPr>
        <w:t>Stage</w:t>
      </w:r>
      <w:r w:rsidRPr="00A81971">
        <w:rPr>
          <w:rFonts w:eastAsia="Times New Roman"/>
          <w:color w:val="000000" w:themeColor="text1"/>
        </w:rPr>
        <w:t xml:space="preserve"> II. The 75% factor serves as an upper stress test</w:t>
      </w:r>
      <w:r w:rsidR="00762275" w:rsidRPr="00A81971">
        <w:rPr>
          <w:rFonts w:eastAsia="Times New Roman"/>
          <w:color w:val="000000" w:themeColor="text1"/>
        </w:rPr>
        <w:t xml:space="preserve"> sensitivity scenario</w:t>
      </w:r>
      <w:r w:rsidRPr="00A81971">
        <w:rPr>
          <w:rFonts w:eastAsia="Times New Roman"/>
          <w:color w:val="000000" w:themeColor="text1"/>
        </w:rPr>
        <w:t>, assuming broader national coverage, additional subsectors, or more ambitious technology transitions. Both factors are modelling assumptions for scenario-testing purposes.</w:t>
      </w:r>
    </w:p>
    <w:p w14:paraId="5D0295F5" w14:textId="5828ADE8" w:rsidR="43EEFCCE" w:rsidRPr="00FE5C31" w:rsidRDefault="0032495C" w:rsidP="002E3156">
      <w:pPr>
        <w:pStyle w:val="Heading3"/>
      </w:pPr>
      <w:r w:rsidRPr="00FE5C31">
        <w:t>4.4.</w:t>
      </w:r>
      <w:r w:rsidR="002E3156" w:rsidRPr="00FE5C31">
        <w:t>2</w:t>
      </w:r>
      <w:r w:rsidR="002E3156" w:rsidRPr="00FE5C31">
        <w:tab/>
      </w:r>
      <w:r w:rsidRPr="00FE5C31">
        <w:t xml:space="preserve"> Results</w:t>
      </w:r>
    </w:p>
    <w:p w14:paraId="473FCFE4"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The assumptions and the detailed calculations are found in Annex </w:t>
      </w:r>
      <w:r w:rsidR="000130D7" w:rsidRPr="00A81971">
        <w:rPr>
          <w:rFonts w:eastAsia="Times New Roman"/>
          <w:color w:val="000000" w:themeColor="text1"/>
        </w:rPr>
        <w:t>5</w:t>
      </w:r>
      <w:r w:rsidRPr="00A81971">
        <w:rPr>
          <w:rFonts w:eastAsia="Times New Roman"/>
          <w:color w:val="000000" w:themeColor="text1"/>
        </w:rPr>
        <w:t>. The results of the calculations for the two factors are shown in Table 4.4 below and compared with the example for funding that was provided in the May 2026 RTF report.</w:t>
      </w:r>
    </w:p>
    <w:p w14:paraId="76172947" w14:textId="77777777" w:rsidR="43EEFCCE" w:rsidRPr="00A81971" w:rsidRDefault="0032495C" w:rsidP="43EEFCCE">
      <w:pPr>
        <w:rPr>
          <w:b/>
          <w:bCs/>
          <w:color w:val="000000" w:themeColor="text1"/>
        </w:rPr>
      </w:pPr>
      <w:r w:rsidRPr="00A81971">
        <w:rPr>
          <w:b/>
          <w:bCs/>
          <w:color w:val="000000" w:themeColor="text1"/>
        </w:rPr>
        <w:t>Table 4.4 Presentation of the two funding scenarios compared to the funding example provided in the May 2026 Report (US$)</w:t>
      </w:r>
    </w:p>
    <w:tbl>
      <w:tblPr>
        <w:tblStyle w:val="TableGrid"/>
        <w:tblW w:w="0" w:type="auto"/>
        <w:tblLook w:val="04A0" w:firstRow="1" w:lastRow="0" w:firstColumn="1" w:lastColumn="0" w:noHBand="0" w:noVBand="1"/>
      </w:tblPr>
      <w:tblGrid>
        <w:gridCol w:w="1654"/>
        <w:gridCol w:w="2007"/>
        <w:gridCol w:w="2965"/>
        <w:gridCol w:w="2438"/>
      </w:tblGrid>
      <w:tr w:rsidR="00F90461" w14:paraId="2722EE93" w14:textId="77777777" w:rsidTr="005E4F70">
        <w:trPr>
          <w:trHeight w:val="300"/>
          <w:tblHeader/>
        </w:trPr>
        <w:tc>
          <w:tcPr>
            <w:tcW w:w="165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5" w:type="dxa"/>
              <w:left w:w="90" w:type="dxa"/>
              <w:bottom w:w="65" w:type="dxa"/>
              <w:right w:w="90" w:type="dxa"/>
            </w:tcMar>
            <w:vAlign w:val="center"/>
          </w:tcPr>
          <w:p w14:paraId="7197859F" w14:textId="77777777" w:rsidR="43EEFCCE" w:rsidRPr="00A81971" w:rsidRDefault="0032495C" w:rsidP="43EEFCCE">
            <w:pPr>
              <w:spacing w:after="0"/>
              <w:rPr>
                <w:rFonts w:eastAsia="Times New Roman"/>
                <w:b/>
                <w:bCs/>
                <w:color w:val="000000" w:themeColor="text1"/>
              </w:rPr>
            </w:pPr>
            <w:r w:rsidRPr="00A81971">
              <w:rPr>
                <w:rFonts w:eastAsia="Times New Roman"/>
                <w:b/>
                <w:bCs/>
                <w:color w:val="000000" w:themeColor="text1"/>
              </w:rPr>
              <w:t>Bracket</w:t>
            </w:r>
          </w:p>
        </w:tc>
        <w:tc>
          <w:tcPr>
            <w:tcW w:w="200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5" w:type="dxa"/>
              <w:left w:w="90" w:type="dxa"/>
              <w:bottom w:w="65" w:type="dxa"/>
              <w:right w:w="90" w:type="dxa"/>
            </w:tcMar>
            <w:vAlign w:val="center"/>
          </w:tcPr>
          <w:p w14:paraId="5CEE1647" w14:textId="77777777" w:rsidR="43EEFCCE" w:rsidRPr="00A81971" w:rsidRDefault="0032495C" w:rsidP="43EEFCCE">
            <w:pPr>
              <w:spacing w:after="0"/>
              <w:rPr>
                <w:rFonts w:eastAsia="Times New Roman"/>
                <w:b/>
                <w:bCs/>
                <w:color w:val="000000" w:themeColor="text1"/>
              </w:rPr>
            </w:pPr>
            <w:r w:rsidRPr="00A81971">
              <w:rPr>
                <w:rFonts w:eastAsia="Times New Roman"/>
                <w:b/>
                <w:bCs/>
                <w:color w:val="000000" w:themeColor="text1"/>
              </w:rPr>
              <w:t>lower scenario outcome</w:t>
            </w:r>
          </w:p>
        </w:tc>
        <w:tc>
          <w:tcPr>
            <w:tcW w:w="296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4D982D3" w14:textId="77777777" w:rsidR="43EEFCCE" w:rsidRPr="00A81971" w:rsidRDefault="0032495C" w:rsidP="43EEFCCE">
            <w:pPr>
              <w:spacing w:after="0"/>
              <w:rPr>
                <w:rFonts w:eastAsia="Times New Roman"/>
                <w:b/>
                <w:bCs/>
                <w:color w:val="000000" w:themeColor="text1"/>
              </w:rPr>
            </w:pPr>
            <w:r w:rsidRPr="00A81971">
              <w:rPr>
                <w:rFonts w:eastAsia="Times New Roman"/>
                <w:b/>
                <w:bCs/>
                <w:color w:val="000000" w:themeColor="text1"/>
              </w:rPr>
              <w:t>Example of funding provided May 2026 RTF report</w:t>
            </w:r>
          </w:p>
        </w:tc>
        <w:tc>
          <w:tcPr>
            <w:tcW w:w="244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5" w:type="dxa"/>
              <w:left w:w="90" w:type="dxa"/>
              <w:bottom w:w="65" w:type="dxa"/>
              <w:right w:w="90" w:type="dxa"/>
            </w:tcMar>
            <w:vAlign w:val="center"/>
          </w:tcPr>
          <w:p w14:paraId="177CBB1C" w14:textId="77777777" w:rsidR="43EEFCCE" w:rsidRPr="00A81971" w:rsidRDefault="0032495C" w:rsidP="43EEFCCE">
            <w:pPr>
              <w:spacing w:after="0"/>
              <w:rPr>
                <w:rFonts w:eastAsia="Times New Roman"/>
                <w:b/>
                <w:bCs/>
                <w:color w:val="000000" w:themeColor="text1"/>
              </w:rPr>
            </w:pPr>
            <w:r w:rsidRPr="00A81971">
              <w:rPr>
                <w:rFonts w:eastAsia="Times New Roman"/>
                <w:b/>
                <w:bCs/>
                <w:color w:val="000000" w:themeColor="text1"/>
              </w:rPr>
              <w:t>Upper stress-test scenario outcome</w:t>
            </w:r>
          </w:p>
        </w:tc>
      </w:tr>
      <w:tr w:rsidR="00F90461" w14:paraId="3941A09C" w14:textId="77777777" w:rsidTr="005E4F70">
        <w:trPr>
          <w:trHeight w:val="259"/>
        </w:trPr>
        <w:tc>
          <w:tcPr>
            <w:tcW w:w="1655"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0227493C"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1</w:t>
            </w:r>
          </w:p>
        </w:tc>
        <w:tc>
          <w:tcPr>
            <w:tcW w:w="2009"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38312F61"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345,000</w:t>
            </w:r>
          </w:p>
        </w:tc>
        <w:tc>
          <w:tcPr>
            <w:tcW w:w="2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37900"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418,000</w:t>
            </w:r>
          </w:p>
        </w:tc>
        <w:tc>
          <w:tcPr>
            <w:tcW w:w="2441"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0475E0E7"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375,000</w:t>
            </w:r>
          </w:p>
        </w:tc>
      </w:tr>
      <w:tr w:rsidR="00F90461" w14:paraId="7B9ED076" w14:textId="77777777" w:rsidTr="005E4F70">
        <w:trPr>
          <w:trHeight w:val="304"/>
        </w:trPr>
        <w:tc>
          <w:tcPr>
            <w:tcW w:w="1655"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5BB5E56"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2</w:t>
            </w:r>
          </w:p>
        </w:tc>
        <w:tc>
          <w:tcPr>
            <w:tcW w:w="2009"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01EBEAB"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364,500</w:t>
            </w:r>
          </w:p>
        </w:tc>
        <w:tc>
          <w:tcPr>
            <w:tcW w:w="2969" w:type="dxa"/>
            <w:tcBorders>
              <w:top w:val="single" w:sz="8" w:space="0" w:color="auto"/>
              <w:left w:val="single" w:sz="8" w:space="0" w:color="auto"/>
              <w:bottom w:val="single" w:sz="8" w:space="0" w:color="auto"/>
              <w:right w:val="single" w:sz="8" w:space="0" w:color="auto"/>
            </w:tcBorders>
            <w:shd w:val="clear" w:color="auto" w:fill="F7F8F6"/>
            <w:tcMar>
              <w:left w:w="108" w:type="dxa"/>
              <w:right w:w="108" w:type="dxa"/>
            </w:tcMar>
            <w:vAlign w:val="center"/>
          </w:tcPr>
          <w:p w14:paraId="56856D27"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418,000</w:t>
            </w:r>
          </w:p>
        </w:tc>
        <w:tc>
          <w:tcPr>
            <w:tcW w:w="2441"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57B95280"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399,750</w:t>
            </w:r>
          </w:p>
        </w:tc>
      </w:tr>
      <w:tr w:rsidR="00F90461" w14:paraId="714E5B29" w14:textId="77777777" w:rsidTr="005E4F70">
        <w:trPr>
          <w:trHeight w:val="205"/>
        </w:trPr>
        <w:tc>
          <w:tcPr>
            <w:tcW w:w="1655"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16B04883"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3</w:t>
            </w:r>
          </w:p>
        </w:tc>
        <w:tc>
          <w:tcPr>
            <w:tcW w:w="2009"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03DA96FF"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402,900</w:t>
            </w:r>
          </w:p>
        </w:tc>
        <w:tc>
          <w:tcPr>
            <w:tcW w:w="2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F5A19"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418,000</w:t>
            </w:r>
          </w:p>
        </w:tc>
        <w:tc>
          <w:tcPr>
            <w:tcW w:w="2441"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5A906A64"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438,450</w:t>
            </w:r>
          </w:p>
        </w:tc>
      </w:tr>
      <w:tr w:rsidR="00F90461" w14:paraId="7A75FD4A" w14:textId="77777777" w:rsidTr="005E4F70">
        <w:trPr>
          <w:trHeight w:val="349"/>
        </w:trPr>
        <w:tc>
          <w:tcPr>
            <w:tcW w:w="1655"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660C361E"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4</w:t>
            </w:r>
          </w:p>
        </w:tc>
        <w:tc>
          <w:tcPr>
            <w:tcW w:w="2009"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7D851169"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425,690</w:t>
            </w:r>
          </w:p>
        </w:tc>
        <w:tc>
          <w:tcPr>
            <w:tcW w:w="2969" w:type="dxa"/>
            <w:tcBorders>
              <w:top w:val="single" w:sz="8" w:space="0" w:color="auto"/>
              <w:left w:val="single" w:sz="8" w:space="0" w:color="auto"/>
              <w:bottom w:val="single" w:sz="8" w:space="0" w:color="auto"/>
              <w:right w:val="single" w:sz="8" w:space="0" w:color="auto"/>
            </w:tcBorders>
            <w:shd w:val="clear" w:color="auto" w:fill="F7F8F6"/>
            <w:tcMar>
              <w:left w:w="108" w:type="dxa"/>
              <w:right w:w="108" w:type="dxa"/>
            </w:tcMar>
            <w:vAlign w:val="center"/>
          </w:tcPr>
          <w:p w14:paraId="74F9D44A"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462,500</w:t>
            </w:r>
          </w:p>
        </w:tc>
        <w:tc>
          <w:tcPr>
            <w:tcW w:w="2441"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F52117F"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467,845</w:t>
            </w:r>
          </w:p>
        </w:tc>
      </w:tr>
      <w:tr w:rsidR="00F90461" w14:paraId="5FE65D02" w14:textId="77777777" w:rsidTr="43EEFCCE">
        <w:trPr>
          <w:trHeight w:val="300"/>
        </w:trPr>
        <w:tc>
          <w:tcPr>
            <w:tcW w:w="1655"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1B82FD04"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5</w:t>
            </w:r>
          </w:p>
        </w:tc>
        <w:tc>
          <w:tcPr>
            <w:tcW w:w="2009"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0B31431F"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459,000</w:t>
            </w:r>
          </w:p>
        </w:tc>
        <w:tc>
          <w:tcPr>
            <w:tcW w:w="2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E8A65E"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488,750</w:t>
            </w:r>
          </w:p>
        </w:tc>
        <w:tc>
          <w:tcPr>
            <w:tcW w:w="2441"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27436780"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499,500</w:t>
            </w:r>
          </w:p>
        </w:tc>
      </w:tr>
      <w:tr w:rsidR="00F90461" w14:paraId="1780BE6E" w14:textId="77777777" w:rsidTr="005E4F70">
        <w:trPr>
          <w:trHeight w:val="268"/>
        </w:trPr>
        <w:tc>
          <w:tcPr>
            <w:tcW w:w="1655"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38B08D2"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6</w:t>
            </w:r>
          </w:p>
        </w:tc>
        <w:tc>
          <w:tcPr>
            <w:tcW w:w="2009"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7DE13C4"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482,500</w:t>
            </w:r>
          </w:p>
        </w:tc>
        <w:tc>
          <w:tcPr>
            <w:tcW w:w="2969" w:type="dxa"/>
            <w:tcBorders>
              <w:top w:val="single" w:sz="8" w:space="0" w:color="auto"/>
              <w:left w:val="single" w:sz="8" w:space="0" w:color="auto"/>
              <w:bottom w:val="single" w:sz="8" w:space="0" w:color="auto"/>
              <w:right w:val="single" w:sz="8" w:space="0" w:color="auto"/>
            </w:tcBorders>
            <w:shd w:val="clear" w:color="auto" w:fill="F7F8F6"/>
            <w:tcMar>
              <w:left w:w="108" w:type="dxa"/>
              <w:right w:w="108" w:type="dxa"/>
            </w:tcMar>
            <w:vAlign w:val="center"/>
          </w:tcPr>
          <w:p w14:paraId="0DA917E1"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515,000</w:t>
            </w:r>
          </w:p>
        </w:tc>
        <w:tc>
          <w:tcPr>
            <w:tcW w:w="2441"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2B05C5C4"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526,250</w:t>
            </w:r>
          </w:p>
        </w:tc>
      </w:tr>
      <w:tr w:rsidR="00F90461" w14:paraId="7C8692B0" w14:textId="77777777" w:rsidTr="005E4F70">
        <w:trPr>
          <w:trHeight w:val="304"/>
        </w:trPr>
        <w:tc>
          <w:tcPr>
            <w:tcW w:w="1655"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41164DB7"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7</w:t>
            </w:r>
          </w:p>
        </w:tc>
        <w:tc>
          <w:tcPr>
            <w:tcW w:w="2009"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0FB03176"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818,425</w:t>
            </w:r>
          </w:p>
        </w:tc>
        <w:tc>
          <w:tcPr>
            <w:tcW w:w="2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63662"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845,000</w:t>
            </w:r>
          </w:p>
        </w:tc>
        <w:tc>
          <w:tcPr>
            <w:tcW w:w="2441" w:type="dxa"/>
            <w:tcBorders>
              <w:top w:val="single" w:sz="8" w:space="0" w:color="auto"/>
              <w:left w:val="single" w:sz="8" w:space="0" w:color="auto"/>
              <w:bottom w:val="single" w:sz="8" w:space="0" w:color="auto"/>
              <w:right w:val="single" w:sz="8" w:space="0" w:color="auto"/>
            </w:tcBorders>
            <w:tcMar>
              <w:top w:w="65" w:type="dxa"/>
              <w:left w:w="90" w:type="dxa"/>
              <w:bottom w:w="65" w:type="dxa"/>
              <w:right w:w="90" w:type="dxa"/>
            </w:tcMar>
            <w:vAlign w:val="center"/>
          </w:tcPr>
          <w:p w14:paraId="6D41487B"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896,712</w:t>
            </w:r>
          </w:p>
        </w:tc>
      </w:tr>
      <w:tr w:rsidR="00F90461" w14:paraId="619CDDF7" w14:textId="77777777" w:rsidTr="43EEFCCE">
        <w:trPr>
          <w:trHeight w:val="300"/>
        </w:trPr>
        <w:tc>
          <w:tcPr>
            <w:tcW w:w="1655"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51B65B74"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8</w:t>
            </w:r>
          </w:p>
        </w:tc>
        <w:tc>
          <w:tcPr>
            <w:tcW w:w="2009"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5BDF522C"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916,364</w:t>
            </w:r>
          </w:p>
        </w:tc>
        <w:tc>
          <w:tcPr>
            <w:tcW w:w="2969" w:type="dxa"/>
            <w:tcBorders>
              <w:top w:val="single" w:sz="8" w:space="0" w:color="auto"/>
              <w:left w:val="single" w:sz="8" w:space="0" w:color="auto"/>
              <w:bottom w:val="single" w:sz="8" w:space="0" w:color="auto"/>
              <w:right w:val="single" w:sz="8" w:space="0" w:color="auto"/>
            </w:tcBorders>
            <w:shd w:val="clear" w:color="auto" w:fill="F7F8F6"/>
            <w:tcMar>
              <w:left w:w="108" w:type="dxa"/>
              <w:right w:w="108" w:type="dxa"/>
            </w:tcMar>
            <w:vAlign w:val="center"/>
          </w:tcPr>
          <w:p w14:paraId="21604471" w14:textId="77777777" w:rsidR="43EEFCCE" w:rsidRPr="00A81971" w:rsidRDefault="0032495C" w:rsidP="43EEFCCE">
            <w:pPr>
              <w:spacing w:after="0"/>
              <w:jc w:val="right"/>
              <w:rPr>
                <w:rFonts w:eastAsia="Times New Roman"/>
                <w:color w:val="000000" w:themeColor="text1"/>
                <w:sz w:val="20"/>
                <w:szCs w:val="20"/>
              </w:rPr>
            </w:pPr>
            <w:r w:rsidRPr="00A81971">
              <w:rPr>
                <w:rFonts w:eastAsia="Times New Roman"/>
                <w:color w:val="000000" w:themeColor="text1"/>
                <w:sz w:val="20"/>
                <w:szCs w:val="20"/>
              </w:rPr>
              <w:t>945,000</w:t>
            </w:r>
          </w:p>
        </w:tc>
        <w:tc>
          <w:tcPr>
            <w:tcW w:w="2441" w:type="dxa"/>
            <w:tcBorders>
              <w:top w:val="single" w:sz="8" w:space="0" w:color="auto"/>
              <w:left w:val="single" w:sz="8" w:space="0" w:color="auto"/>
              <w:bottom w:val="single" w:sz="8" w:space="0" w:color="auto"/>
              <w:right w:val="single" w:sz="8" w:space="0" w:color="auto"/>
            </w:tcBorders>
            <w:shd w:val="clear" w:color="auto" w:fill="F7F8F6"/>
            <w:tcMar>
              <w:top w:w="65" w:type="dxa"/>
              <w:left w:w="90" w:type="dxa"/>
              <w:bottom w:w="65" w:type="dxa"/>
              <w:right w:w="90" w:type="dxa"/>
            </w:tcMar>
            <w:vAlign w:val="center"/>
          </w:tcPr>
          <w:p w14:paraId="052E7075" w14:textId="77777777" w:rsidR="43EEFCCE" w:rsidRPr="00A81971" w:rsidRDefault="0032495C" w:rsidP="43EEFCCE">
            <w:pPr>
              <w:spacing w:after="0"/>
              <w:jc w:val="right"/>
              <w:rPr>
                <w:rFonts w:eastAsia="Times New Roman"/>
                <w:color w:val="000000" w:themeColor="text1"/>
              </w:rPr>
            </w:pPr>
            <w:r w:rsidRPr="00A81971">
              <w:rPr>
                <w:rFonts w:eastAsia="Times New Roman"/>
                <w:color w:val="000000" w:themeColor="text1"/>
              </w:rPr>
              <w:t>998,182</w:t>
            </w:r>
          </w:p>
        </w:tc>
      </w:tr>
    </w:tbl>
    <w:p w14:paraId="59FC460A" w14:textId="77777777" w:rsidR="43EEFCCE" w:rsidRPr="00A81971" w:rsidRDefault="43EEFCCE" w:rsidP="004B5F6E">
      <w:pPr>
        <w:spacing w:after="0"/>
      </w:pPr>
    </w:p>
    <w:p w14:paraId="3E17CA65" w14:textId="77777777" w:rsidR="43EEFCCE" w:rsidRPr="00A81971" w:rsidRDefault="0032495C" w:rsidP="004B5F6E">
      <w:pPr>
        <w:spacing w:after="160"/>
        <w:rPr>
          <w:rFonts w:eastAsia="Times New Roman"/>
          <w:color w:val="000000" w:themeColor="text1"/>
        </w:rPr>
      </w:pPr>
      <w:r w:rsidRPr="00A81971">
        <w:rPr>
          <w:rFonts w:eastAsia="Times New Roman"/>
          <w:color w:val="000000" w:themeColor="text1"/>
        </w:rPr>
        <w:t xml:space="preserve">The results indicate that the assumptions made in the May 2026 RTF report were within the bracket for the calculations based on the calculations of </w:t>
      </w:r>
      <w:r w:rsidRPr="00A81971">
        <w:rPr>
          <w:rFonts w:eastAsia="Times New Roman"/>
          <w:color w:val="000000" w:themeColor="text1"/>
          <w:sz w:val="24"/>
          <w:szCs w:val="24"/>
        </w:rPr>
        <w:t>the</w:t>
      </w:r>
      <w:r w:rsidRPr="00A81971">
        <w:rPr>
          <w:rFonts w:eastAsia="Times New Roman"/>
          <w:color w:val="000000" w:themeColor="text1"/>
        </w:rPr>
        <w:t xml:space="preserve"> two factors. Table 4.4 is presented as an illustration to provide the parties with a range of funding options and a basis for discussion in preparation for the revision of funding levels expected in 2028.</w:t>
      </w:r>
    </w:p>
    <w:p w14:paraId="31BC5996" w14:textId="77777777" w:rsidR="00736291" w:rsidRPr="00A81971" w:rsidRDefault="0032495C" w:rsidP="004B5F6E">
      <w:r w:rsidRPr="00A81971">
        <w:br w:type="page"/>
      </w:r>
    </w:p>
    <w:p w14:paraId="21C5A19E" w14:textId="6251F136" w:rsidR="00736291" w:rsidRPr="00A81971" w:rsidRDefault="0032495C" w:rsidP="00696E14">
      <w:pPr>
        <w:pStyle w:val="Heading1"/>
        <w:rPr>
          <w:highlight w:val="yellow"/>
        </w:rPr>
      </w:pPr>
      <w:bookmarkStart w:id="226" w:name="_Toc145692856"/>
      <w:bookmarkStart w:id="227" w:name="_Toc240987337"/>
      <w:r w:rsidRPr="00A81971">
        <w:lastRenderedPageBreak/>
        <w:t>CHAPTER 5</w:t>
      </w:r>
      <w:r w:rsidR="007909EF">
        <w:t>:</w:t>
      </w:r>
      <w:r w:rsidR="005564A5">
        <w:tab/>
      </w:r>
      <w:r w:rsidRPr="00A81971">
        <w:t xml:space="preserve">ADDITIONAL INFORMATION AND SCENARIOS: </w:t>
      </w:r>
      <w:bookmarkEnd w:id="226"/>
      <w:r w:rsidR="43EEFCCE" w:rsidRPr="00A81971">
        <w:t>Lifecycle Refrigerant Management</w:t>
      </w:r>
      <w:bookmarkEnd w:id="227"/>
      <w:r w:rsidR="004C7EE7" w:rsidRPr="00A81971">
        <w:t xml:space="preserve"> </w:t>
      </w:r>
      <w:r w:rsidR="3793C1DE" w:rsidRPr="00A81971">
        <w:t xml:space="preserve"> </w:t>
      </w:r>
    </w:p>
    <w:p w14:paraId="35D5E0DF" w14:textId="77777777" w:rsidR="005239F5" w:rsidRPr="002E3156" w:rsidRDefault="0032495C" w:rsidP="00201CFA">
      <w:pPr>
        <w:pStyle w:val="Heading2"/>
      </w:pPr>
      <w:bookmarkStart w:id="228" w:name="_Toc145692857"/>
      <w:bookmarkStart w:id="229" w:name="_Toc240987338"/>
      <w:r w:rsidRPr="002E3156">
        <w:t>5.1</w:t>
      </w:r>
      <w:r w:rsidRPr="002E3156">
        <w:tab/>
        <w:t>I</w:t>
      </w:r>
      <w:r w:rsidR="00A84915" w:rsidRPr="002E3156">
        <w:t>ntroduc</w:t>
      </w:r>
      <w:r w:rsidR="001B68BE" w:rsidRPr="002E3156">
        <w:t>tion</w:t>
      </w:r>
      <w:bookmarkEnd w:id="228"/>
      <w:bookmarkEnd w:id="229"/>
    </w:p>
    <w:p w14:paraId="6920A6DF" w14:textId="77777777" w:rsidR="00E91126" w:rsidRPr="00A81971" w:rsidRDefault="0032495C" w:rsidP="091457C3">
      <w:pPr>
        <w:widowControl w:val="0"/>
        <w:spacing w:after="0" w:line="259" w:lineRule="auto"/>
        <w:rPr>
          <w:rFonts w:eastAsia="Times New Roman"/>
        </w:rPr>
      </w:pPr>
      <w:r w:rsidRPr="00A81971">
        <w:rPr>
          <w:rFonts w:eastAsia="Times New Roman"/>
        </w:rPr>
        <w:t>ExCom has had a long history of discussions on the importance of LRM and interest in meaningful actions to address the issue. This is evidenced in decisions taken by ExCom and by the MOP on this issue. LRM was most recently discussed at ExCom-97 where in its Decision 97/89,</w:t>
      </w:r>
      <w:r>
        <w:rPr>
          <w:rFonts w:eastAsia="Times New Roman"/>
          <w:vertAlign w:val="superscript"/>
        </w:rPr>
        <w:footnoteReference w:id="26"/>
      </w:r>
      <w:r w:rsidRPr="00A81971">
        <w:rPr>
          <w:rFonts w:eastAsia="Times New Roman"/>
        </w:rPr>
        <w:t> ExCom decided:</w:t>
      </w:r>
    </w:p>
    <w:p w14:paraId="24AEAD61" w14:textId="77777777" w:rsidR="00E91126" w:rsidRPr="00A81971" w:rsidRDefault="00E91126" w:rsidP="00E91126">
      <w:pPr>
        <w:widowControl w:val="0"/>
        <w:autoSpaceDE w:val="0"/>
        <w:autoSpaceDN w:val="0"/>
        <w:spacing w:after="0"/>
        <w:rPr>
          <w:rFonts w:eastAsia="Times New Roman"/>
        </w:rPr>
      </w:pPr>
    </w:p>
    <w:p w14:paraId="5C3E1916" w14:textId="77777777" w:rsidR="00E91126" w:rsidRPr="00A81971" w:rsidRDefault="0032495C" w:rsidP="007A20BD">
      <w:pPr>
        <w:widowControl w:val="0"/>
        <w:numPr>
          <w:ilvl w:val="0"/>
          <w:numId w:val="47"/>
        </w:numPr>
        <w:autoSpaceDE w:val="0"/>
        <w:autoSpaceDN w:val="0"/>
        <w:spacing w:after="0"/>
        <w:rPr>
          <w:rFonts w:eastAsia="Times New Roman"/>
          <w:i/>
          <w:iCs/>
        </w:rPr>
      </w:pPr>
      <w:r w:rsidRPr="00A81971">
        <w:rPr>
          <w:rFonts w:eastAsia="Times New Roman"/>
          <w:i/>
          <w:iCs/>
        </w:rPr>
        <w:t>To note the report prepared pursuant to decision 93/104 on life-cycle refrigerant management with a view to considering the establishment of a funding window in line with decision XXXV/11 of the Thirty-Fifth Meeting of the Parties contained in document UNEP/OzL.Pro/ExCom/97/87;   </w:t>
      </w:r>
    </w:p>
    <w:p w14:paraId="55553955" w14:textId="77777777" w:rsidR="00E91126" w:rsidRPr="00A81971" w:rsidRDefault="00E91126" w:rsidP="00E91126">
      <w:pPr>
        <w:widowControl w:val="0"/>
        <w:autoSpaceDE w:val="0"/>
        <w:autoSpaceDN w:val="0"/>
        <w:spacing w:after="0"/>
        <w:ind w:left="720"/>
        <w:rPr>
          <w:rFonts w:eastAsia="Times New Roman"/>
          <w:i/>
          <w:iCs/>
        </w:rPr>
      </w:pPr>
    </w:p>
    <w:p w14:paraId="418551A3" w14:textId="77777777" w:rsidR="00E91126" w:rsidRPr="00A81971" w:rsidRDefault="0032495C" w:rsidP="007A20BD">
      <w:pPr>
        <w:widowControl w:val="0"/>
        <w:numPr>
          <w:ilvl w:val="0"/>
          <w:numId w:val="48"/>
        </w:numPr>
        <w:autoSpaceDE w:val="0"/>
        <w:autoSpaceDN w:val="0"/>
        <w:spacing w:after="0"/>
        <w:rPr>
          <w:rFonts w:eastAsia="Times New Roman"/>
          <w:i/>
          <w:iCs/>
        </w:rPr>
      </w:pPr>
      <w:r w:rsidRPr="00A81971">
        <w:rPr>
          <w:rFonts w:eastAsia="Times New Roman"/>
          <w:i/>
          <w:iCs/>
        </w:rPr>
        <w:t>To encourage the bilateral and implementing agencies to intensify their efforts to assist Article 5 countries in finalizing projects under decision 91/66 as soon as feasible and in submitting the final reports and a copy of the resulting national inventories and national action plans in line with decision 91/66(e)(iii);  </w:t>
      </w:r>
    </w:p>
    <w:p w14:paraId="3299B94D" w14:textId="77777777" w:rsidR="00E91126" w:rsidRPr="00A81971" w:rsidRDefault="00E91126" w:rsidP="00E91126">
      <w:pPr>
        <w:widowControl w:val="0"/>
        <w:autoSpaceDE w:val="0"/>
        <w:autoSpaceDN w:val="0"/>
        <w:spacing w:after="0"/>
        <w:ind w:left="720"/>
        <w:rPr>
          <w:rFonts w:eastAsia="Times New Roman"/>
          <w:i/>
          <w:iCs/>
        </w:rPr>
      </w:pPr>
    </w:p>
    <w:p w14:paraId="4E6685B4" w14:textId="77777777" w:rsidR="00E91126" w:rsidRPr="00A81971" w:rsidRDefault="0032495C" w:rsidP="007A20BD">
      <w:pPr>
        <w:widowControl w:val="0"/>
        <w:numPr>
          <w:ilvl w:val="0"/>
          <w:numId w:val="49"/>
        </w:numPr>
        <w:autoSpaceDE w:val="0"/>
        <w:autoSpaceDN w:val="0"/>
        <w:spacing w:after="0"/>
        <w:rPr>
          <w:rFonts w:eastAsia="Times New Roman"/>
          <w:i/>
          <w:iCs/>
        </w:rPr>
      </w:pPr>
      <w:r w:rsidRPr="00A81971">
        <w:rPr>
          <w:rFonts w:eastAsia="Times New Roman"/>
          <w:i/>
          <w:iCs/>
        </w:rPr>
        <w:t>To request the Secretariat to update, for the 99th meeting, the information in document UNEP/OzL.Pro/ExCom/97/87 in light of completed inventory projects and national plans and other relevant information, including on the movement of controlled substances for destruction or reclamation; and  </w:t>
      </w:r>
    </w:p>
    <w:p w14:paraId="4E243636" w14:textId="77777777" w:rsidR="00E91126" w:rsidRPr="00A81971" w:rsidRDefault="00E91126" w:rsidP="00E91126">
      <w:pPr>
        <w:widowControl w:val="0"/>
        <w:autoSpaceDE w:val="0"/>
        <w:autoSpaceDN w:val="0"/>
        <w:spacing w:after="0"/>
        <w:ind w:left="720"/>
        <w:rPr>
          <w:rFonts w:eastAsia="Times New Roman"/>
          <w:i/>
          <w:iCs/>
        </w:rPr>
      </w:pPr>
    </w:p>
    <w:p w14:paraId="5E409E11" w14:textId="77777777" w:rsidR="00E91126" w:rsidRPr="00A81971" w:rsidRDefault="0032495C" w:rsidP="007A20BD">
      <w:pPr>
        <w:widowControl w:val="0"/>
        <w:numPr>
          <w:ilvl w:val="0"/>
          <w:numId w:val="50"/>
        </w:numPr>
        <w:autoSpaceDE w:val="0"/>
        <w:autoSpaceDN w:val="0"/>
        <w:spacing w:after="0"/>
        <w:rPr>
          <w:rFonts w:eastAsia="Times New Roman"/>
          <w:i/>
          <w:iCs/>
        </w:rPr>
      </w:pPr>
      <w:r w:rsidRPr="00A81971">
        <w:rPr>
          <w:rFonts w:eastAsia="Times New Roman"/>
          <w:i/>
          <w:iCs/>
        </w:rPr>
        <w:t>To request the Secretariat to prepare, for the 100th meeting, a document on funding modalities, including elements for draft cost guidelines to implement plans developed in accordance with decision 91/66, with a view to considering the establishment of a funding window in line with decision XXXV/11, taking into consideration the information provided in the report referred to in subparagraph (c) and the views on that report expressed by the Executive Committee. </w:t>
      </w:r>
    </w:p>
    <w:p w14:paraId="6FFCD3F4" w14:textId="77777777" w:rsidR="00E91126" w:rsidRPr="00A81971" w:rsidRDefault="00E91126" w:rsidP="00E91126">
      <w:pPr>
        <w:widowControl w:val="0"/>
        <w:autoSpaceDE w:val="0"/>
        <w:autoSpaceDN w:val="0"/>
        <w:spacing w:after="0"/>
        <w:rPr>
          <w:rFonts w:eastAsia="Times New Roman"/>
        </w:rPr>
      </w:pPr>
    </w:p>
    <w:p w14:paraId="515C396A" w14:textId="77777777" w:rsidR="00E91126" w:rsidRPr="00A81971" w:rsidRDefault="0032495C" w:rsidP="00E91126">
      <w:pPr>
        <w:widowControl w:val="0"/>
        <w:autoSpaceDE w:val="0"/>
        <w:autoSpaceDN w:val="0"/>
        <w:spacing w:after="0"/>
        <w:rPr>
          <w:rFonts w:eastAsia="Times New Roman"/>
        </w:rPr>
      </w:pPr>
      <w:r w:rsidRPr="00A81971">
        <w:rPr>
          <w:rFonts w:eastAsia="Times New Roman"/>
        </w:rPr>
        <w:t>Even though LRM was not explicitly included in the Decision XXXVII/6TOR, item 4 above indicates the potential for the establishment of a funding window to implement LRM plans. If agreed by the ExCom, a decision would come but not earlier than ExCom-100 in 2027 prompting the RTF to include information to support those ongoing discussions on LRM in Chapter 10 and Annex 10 of its May 2026 Report.</w:t>
      </w:r>
    </w:p>
    <w:p w14:paraId="5A13886C" w14:textId="77777777" w:rsidR="00E91126" w:rsidRPr="00D84FB5" w:rsidRDefault="00E91126" w:rsidP="00E91126">
      <w:pPr>
        <w:widowControl w:val="0"/>
        <w:autoSpaceDE w:val="0"/>
        <w:autoSpaceDN w:val="0"/>
        <w:spacing w:after="0"/>
        <w:rPr>
          <w:rFonts w:eastAsia="Times New Roman"/>
        </w:rPr>
      </w:pPr>
    </w:p>
    <w:p w14:paraId="3A658D2C" w14:textId="42E5551D" w:rsidR="00E91126" w:rsidRPr="00A81971" w:rsidRDefault="0032495C" w:rsidP="091457C3">
      <w:pPr>
        <w:widowControl w:val="0"/>
        <w:spacing w:after="0" w:line="259" w:lineRule="auto"/>
        <w:rPr>
          <w:rFonts w:eastAsia="Times New Roman"/>
        </w:rPr>
      </w:pPr>
      <w:r w:rsidRPr="00D84FB5">
        <w:rPr>
          <w:rFonts w:eastAsia="Times New Roman"/>
        </w:rPr>
        <w:t>This chapter inform on the approach taken by RTF, updates the information on LRM, and details the funding calculations needed to, in the supplementary report, estimate a high-end funding for a potential LRM funding window, for consideration by the Executive Committee at its 100th meeting, as well as updated information on LRM</w:t>
      </w:r>
      <w:r w:rsidRPr="00A81971">
        <w:rPr>
          <w:rFonts w:eastAsia="Times New Roman"/>
        </w:rPr>
        <w:t>.</w:t>
      </w:r>
    </w:p>
    <w:p w14:paraId="64E5A713" w14:textId="77777777" w:rsidR="00A514FC" w:rsidRPr="002E3156" w:rsidRDefault="0032495C" w:rsidP="00201CFA">
      <w:pPr>
        <w:pStyle w:val="Heading2"/>
      </w:pPr>
      <w:bookmarkStart w:id="230" w:name="_Toc145692858"/>
      <w:bookmarkStart w:id="231" w:name="_Toc240987339"/>
      <w:r w:rsidRPr="00A81971">
        <w:t>5.</w:t>
      </w:r>
      <w:r w:rsidR="00DB5EEE" w:rsidRPr="00A81971">
        <w:t>2</w:t>
      </w:r>
      <w:r w:rsidRPr="00A81971">
        <w:tab/>
      </w:r>
      <w:bookmarkStart w:id="232" w:name="_Hlk144801053"/>
      <w:bookmarkEnd w:id="230"/>
      <w:r w:rsidR="00257A6D" w:rsidRPr="002E3156">
        <w:t>estimated cost scenario for potential funding window</w:t>
      </w:r>
      <w:bookmarkEnd w:id="231"/>
    </w:p>
    <w:bookmarkEnd w:id="176"/>
    <w:bookmarkEnd w:id="232"/>
    <w:p w14:paraId="594778CA" w14:textId="77777777" w:rsidR="00320A68" w:rsidRPr="00A81971" w:rsidRDefault="0032495C" w:rsidP="00320A68">
      <w:pPr>
        <w:widowControl w:val="0"/>
        <w:autoSpaceDE w:val="0"/>
        <w:autoSpaceDN w:val="0"/>
        <w:spacing w:after="0"/>
        <w:rPr>
          <w:rFonts w:eastAsia="Times New Roman"/>
        </w:rPr>
      </w:pPr>
      <w:r w:rsidRPr="00A81971">
        <w:rPr>
          <w:rFonts w:eastAsia="Times New Roman"/>
        </w:rPr>
        <w:t>In discussions at OEWG-48, the Contact Group on Replenishment made the following suggestion related to end-of-life (EOL) management of controlled substances:</w:t>
      </w:r>
    </w:p>
    <w:p w14:paraId="25F1C503" w14:textId="77777777" w:rsidR="00320A68" w:rsidRPr="00A81971" w:rsidRDefault="00320A68" w:rsidP="00320A68">
      <w:pPr>
        <w:widowControl w:val="0"/>
        <w:autoSpaceDE w:val="0"/>
        <w:autoSpaceDN w:val="0"/>
        <w:spacing w:after="0"/>
        <w:rPr>
          <w:rFonts w:eastAsia="Times New Roman"/>
        </w:rPr>
      </w:pPr>
    </w:p>
    <w:p w14:paraId="471FBF95" w14:textId="77777777" w:rsidR="00320A68" w:rsidRPr="005F54B8" w:rsidRDefault="0032495C" w:rsidP="00FE5C31">
      <w:pPr>
        <w:widowControl w:val="0"/>
        <w:autoSpaceDE w:val="0"/>
        <w:autoSpaceDN w:val="0"/>
        <w:spacing w:after="0" w:line="259" w:lineRule="auto"/>
        <w:ind w:left="709"/>
        <w:rPr>
          <w:rFonts w:eastAsia="Times New Roman"/>
          <w:b/>
          <w:bCs/>
          <w:i/>
          <w:iCs/>
        </w:rPr>
      </w:pPr>
      <w:r w:rsidRPr="00A81971">
        <w:rPr>
          <w:rFonts w:eastAsia="Times New Roman"/>
          <w:b/>
          <w:bCs/>
          <w:i/>
          <w:iCs/>
        </w:rPr>
        <w:t>Include a cost estimate for a high-end scenario for the potential funding window to be considered at the 100th ExCom meeting for the period 2027-2029 to support the implementation of national plans developed pursuant to decision 91/66, taking into account that activities to recover, recycle and reclaim refrigerants are also financed under HPMPs and KIPs</w:t>
      </w:r>
      <w:r w:rsidR="005F54B8">
        <w:rPr>
          <w:rFonts w:eastAsia="Times New Roman"/>
          <w:b/>
          <w:bCs/>
          <w:i/>
          <w:iCs/>
        </w:rPr>
        <w:t>.</w:t>
      </w:r>
    </w:p>
    <w:p w14:paraId="28059983" w14:textId="0C9A9CE8" w:rsidR="00320A68" w:rsidRPr="00FE5C31" w:rsidRDefault="0032495C" w:rsidP="002E3156">
      <w:pPr>
        <w:pStyle w:val="Heading3"/>
      </w:pPr>
      <w:r w:rsidRPr="00FE5C31">
        <w:lastRenderedPageBreak/>
        <w:t xml:space="preserve">5.2.1 </w:t>
      </w:r>
      <w:r w:rsidR="002E3156" w:rsidRPr="00FE5C31">
        <w:tab/>
      </w:r>
      <w:r w:rsidRPr="00FE5C31">
        <w:t xml:space="preserve">Context </w:t>
      </w:r>
      <w:bookmarkStart w:id="233" w:name="6.2_Criteria_for_Funding_Window"/>
      <w:bookmarkStart w:id="234" w:name="_bookmark139"/>
      <w:bookmarkEnd w:id="233"/>
      <w:bookmarkEnd w:id="234"/>
    </w:p>
    <w:p w14:paraId="79DEFD05" w14:textId="126C0A82" w:rsidR="00320A68" w:rsidRPr="00A81971" w:rsidRDefault="00BF1A8E" w:rsidP="00320A68">
      <w:pPr>
        <w:widowControl w:val="0"/>
        <w:autoSpaceDE w:val="0"/>
        <w:autoSpaceDN w:val="0"/>
        <w:spacing w:after="0"/>
        <w:rPr>
          <w:rFonts w:eastAsia="Times New Roman"/>
        </w:rPr>
      </w:pPr>
      <w:r>
        <w:rPr>
          <w:rFonts w:eastAsia="Times New Roman"/>
        </w:rPr>
        <w:t>T</w:t>
      </w:r>
      <w:r w:rsidR="0032495C" w:rsidRPr="00A81971">
        <w:rPr>
          <w:rFonts w:eastAsia="Times New Roman"/>
        </w:rPr>
        <w:t xml:space="preserve">he scope and scale of LRM support </w:t>
      </w:r>
      <w:r>
        <w:rPr>
          <w:rFonts w:eastAsia="Times New Roman"/>
        </w:rPr>
        <w:t xml:space="preserve">currently </w:t>
      </w:r>
      <w:r w:rsidR="0032495C" w:rsidRPr="00A81971">
        <w:rPr>
          <w:rFonts w:eastAsia="Times New Roman"/>
        </w:rPr>
        <w:t>remain</w:t>
      </w:r>
      <w:r>
        <w:rPr>
          <w:rFonts w:eastAsia="Times New Roman"/>
        </w:rPr>
        <w:t>s within</w:t>
      </w:r>
      <w:r w:rsidR="0032495C" w:rsidRPr="00A81971">
        <w:rPr>
          <w:rFonts w:eastAsia="Times New Roman"/>
        </w:rPr>
        <w:t xml:space="preserve"> is funding </w:t>
      </w:r>
      <w:r>
        <w:rPr>
          <w:rFonts w:eastAsia="Times New Roman"/>
        </w:rPr>
        <w:t xml:space="preserve">provided under </w:t>
      </w:r>
      <w:r w:rsidR="0032495C" w:rsidRPr="00A81971">
        <w:rPr>
          <w:rFonts w:eastAsia="Times New Roman"/>
        </w:rPr>
        <w:t>HPMPs and KIPs, and under decisions 91/66 which required</w:t>
      </w:r>
      <w:r w:rsidR="005F54B8">
        <w:rPr>
          <w:rFonts w:eastAsia="Times New Roman"/>
        </w:rPr>
        <w:t>,</w:t>
      </w:r>
    </w:p>
    <w:p w14:paraId="7A9D9F20" w14:textId="77777777" w:rsidR="00320A68" w:rsidRPr="00A81971" w:rsidRDefault="0032495C" w:rsidP="00320A68">
      <w:pPr>
        <w:widowControl w:val="0"/>
        <w:autoSpaceDE w:val="0"/>
        <w:autoSpaceDN w:val="0"/>
        <w:spacing w:after="0"/>
        <w:ind w:left="720"/>
        <w:rPr>
          <w:rFonts w:eastAsia="Times New Roman"/>
          <w:i/>
          <w:iCs/>
        </w:rPr>
      </w:pPr>
      <w:r>
        <w:rPr>
          <w:rFonts w:eastAsia="Times New Roman"/>
          <w:i/>
          <w:iCs/>
        </w:rPr>
        <w:t>“</w:t>
      </w:r>
      <w:r w:rsidRPr="00A81971">
        <w:rPr>
          <w:rFonts w:eastAsia="Times New Roman"/>
          <w:i/>
          <w:iCs/>
        </w:rPr>
        <w:t>That national plans that might include, in addition to approaches for the collection, transport storage and disposal, specifically the destruction of waste-controlled substances, would contain a description of a potential business model detailing the arrangements with the various stakeholders and the private sector commitment and involvement in those activities, from waste collection to eventual destruction;</w:t>
      </w:r>
    </w:p>
    <w:p w14:paraId="0BEE87A3" w14:textId="77777777" w:rsidR="00320A68" w:rsidRPr="00A81971" w:rsidRDefault="0032495C" w:rsidP="00320A68">
      <w:pPr>
        <w:widowControl w:val="0"/>
        <w:autoSpaceDE w:val="0"/>
        <w:autoSpaceDN w:val="0"/>
        <w:spacing w:after="0"/>
        <w:ind w:left="720"/>
        <w:rPr>
          <w:rFonts w:eastAsia="Times New Roman"/>
          <w:i/>
          <w:iCs/>
        </w:rPr>
      </w:pPr>
      <w:r w:rsidRPr="00A81971">
        <w:rPr>
          <w:rFonts w:eastAsia="Times New Roman"/>
          <w:i/>
          <w:iCs/>
        </w:rPr>
        <w:t>That the final plan would also contain a description of the policies and regulations describing the roles and obligations of manufacturers and distributors, including any recovery, recycling and reclamation programmes;</w:t>
      </w:r>
    </w:p>
    <w:p w14:paraId="58D6392D" w14:textId="77777777" w:rsidR="00320A68" w:rsidRPr="00A81971" w:rsidRDefault="0032495C" w:rsidP="00320A68">
      <w:pPr>
        <w:widowControl w:val="0"/>
        <w:autoSpaceDE w:val="0"/>
        <w:autoSpaceDN w:val="0"/>
        <w:spacing w:after="0"/>
        <w:ind w:left="720"/>
        <w:rPr>
          <w:rFonts w:eastAsia="Times New Roman"/>
        </w:rPr>
      </w:pPr>
      <w:r w:rsidRPr="00A81971">
        <w:rPr>
          <w:rFonts w:eastAsia="Times New Roman"/>
          <w:i/>
          <w:iCs/>
        </w:rPr>
        <w:t>That the national plan would include consideration of the development of regulations under national phase-out/phase-down plans (i.e., HPMPs or KIPs) on refrigerant recovery, recycling and reclamation that would support the actions identified for the collection, transport, storage and disposal of those used and unwanted waste-controlled substances;</w:t>
      </w:r>
      <w:r w:rsidR="005F54B8">
        <w:rPr>
          <w:rFonts w:eastAsia="Times New Roman"/>
          <w:i/>
          <w:iCs/>
        </w:rPr>
        <w:t>”</w:t>
      </w:r>
    </w:p>
    <w:p w14:paraId="2D5C5FB2" w14:textId="77777777" w:rsidR="00320A68" w:rsidRPr="00A81971" w:rsidRDefault="00320A68" w:rsidP="00320A68">
      <w:pPr>
        <w:widowControl w:val="0"/>
        <w:autoSpaceDE w:val="0"/>
        <w:autoSpaceDN w:val="0"/>
        <w:spacing w:after="0"/>
        <w:rPr>
          <w:rFonts w:eastAsia="Times New Roman"/>
        </w:rPr>
      </w:pPr>
    </w:p>
    <w:p w14:paraId="4BCFFC2A" w14:textId="77777777" w:rsidR="00320A68" w:rsidRPr="00A81971" w:rsidRDefault="0032495C" w:rsidP="00320A68">
      <w:pPr>
        <w:widowControl w:val="0"/>
        <w:autoSpaceDE w:val="0"/>
        <w:autoSpaceDN w:val="0"/>
        <w:spacing w:after="0"/>
        <w:rPr>
          <w:rFonts w:eastAsia="Times New Roman"/>
        </w:rPr>
      </w:pPr>
      <w:r w:rsidRPr="00A81971">
        <w:rPr>
          <w:rFonts w:eastAsia="Times New Roman"/>
        </w:rPr>
        <w:t xml:space="preserve">A substantial gap persists between existing funding provisions and the broader elements of the action plans developed under decision 91/66, including collection networks, reclamation capacity, destruction infrastructure, and national regulatory and monitoring frameworks as outlined in Table 5.1. Bridging this gap is essential to ensure that refrigerant banks are managed in a manner that maximises both ozone and climate benefits. </w:t>
      </w:r>
    </w:p>
    <w:p w14:paraId="0509C28F" w14:textId="77777777" w:rsidR="00320A68" w:rsidRPr="00A81971" w:rsidRDefault="00320A68" w:rsidP="00320A68">
      <w:pPr>
        <w:widowControl w:val="0"/>
        <w:autoSpaceDE w:val="0"/>
        <w:autoSpaceDN w:val="0"/>
        <w:spacing w:after="0"/>
        <w:rPr>
          <w:rFonts w:eastAsia="Times New Roman"/>
        </w:rPr>
      </w:pPr>
    </w:p>
    <w:p w14:paraId="62799F9F" w14:textId="77777777" w:rsidR="00320A68" w:rsidRPr="00A81971" w:rsidRDefault="0032495C" w:rsidP="00D84FB5">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5.1:</w:t>
      </w:r>
      <w:r w:rsidRPr="0006445E">
        <w:rPr>
          <w:rFonts w:eastAsia="Times New Roman"/>
          <w:color w:val="000000"/>
          <w:lang w:val="en-CA"/>
        </w:rPr>
        <w:tab/>
      </w:r>
      <w:r w:rsidRPr="00A81971">
        <w:rPr>
          <w:rFonts w:eastAsia="Times New Roman"/>
          <w:b/>
          <w:bCs/>
        </w:rPr>
        <w:t>Gap between current funding provisions and comprehensive LRM needs</w:t>
      </w:r>
    </w:p>
    <w:tbl>
      <w:tblPr>
        <w:tblStyle w:val="TableGrid14"/>
        <w:tblW w:w="0" w:type="auto"/>
        <w:jc w:val="center"/>
        <w:tblLook w:val="04A0" w:firstRow="1" w:lastRow="0" w:firstColumn="1" w:lastColumn="0" w:noHBand="0" w:noVBand="1"/>
      </w:tblPr>
      <w:tblGrid>
        <w:gridCol w:w="1578"/>
        <w:gridCol w:w="2711"/>
        <w:gridCol w:w="4785"/>
      </w:tblGrid>
      <w:tr w:rsidR="00F90461" w14:paraId="42770A39" w14:textId="77777777" w:rsidTr="00D84FB5">
        <w:trPr>
          <w:jc w:val="center"/>
        </w:trPr>
        <w:tc>
          <w:tcPr>
            <w:tcW w:w="0" w:type="auto"/>
            <w:shd w:val="clear" w:color="auto" w:fill="D9E2F3" w:themeFill="accent1" w:themeFillTint="33"/>
            <w:hideMark/>
          </w:tcPr>
          <w:p w14:paraId="6EED6F06"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Aspect</w:t>
            </w:r>
          </w:p>
        </w:tc>
        <w:tc>
          <w:tcPr>
            <w:tcW w:w="0" w:type="auto"/>
            <w:shd w:val="clear" w:color="auto" w:fill="D9E2F3" w:themeFill="accent1" w:themeFillTint="33"/>
            <w:hideMark/>
          </w:tcPr>
          <w:p w14:paraId="25C93856"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Current MLF funding / provision</w:t>
            </w:r>
          </w:p>
        </w:tc>
        <w:tc>
          <w:tcPr>
            <w:tcW w:w="0" w:type="auto"/>
            <w:shd w:val="clear" w:color="auto" w:fill="D9E2F3" w:themeFill="accent1" w:themeFillTint="33"/>
            <w:hideMark/>
          </w:tcPr>
          <w:p w14:paraId="3382F829"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Scope of Actions Plans developed under decisions 91/66</w:t>
            </w:r>
          </w:p>
        </w:tc>
      </w:tr>
      <w:tr w:rsidR="00F90461" w14:paraId="504CC34D" w14:textId="77777777" w:rsidTr="00D84FB5">
        <w:trPr>
          <w:jc w:val="center"/>
        </w:trPr>
        <w:tc>
          <w:tcPr>
            <w:tcW w:w="0" w:type="auto"/>
            <w:shd w:val="clear" w:color="auto" w:fill="E2EFD9" w:themeFill="accent6" w:themeFillTint="33"/>
            <w:hideMark/>
          </w:tcPr>
          <w:p w14:paraId="6BCFF190"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National inventories and action plans</w:t>
            </w:r>
          </w:p>
        </w:tc>
        <w:tc>
          <w:tcPr>
            <w:tcW w:w="0" w:type="auto"/>
            <w:hideMark/>
          </w:tcPr>
          <w:p w14:paraId="23731EBF"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Funded under ExCom Decision 91/66 (preparation/initial planning phase only) for most Article 5 Parties</w:t>
            </w:r>
          </w:p>
        </w:tc>
        <w:tc>
          <w:tcPr>
            <w:tcW w:w="0" w:type="auto"/>
            <w:hideMark/>
          </w:tcPr>
          <w:p w14:paraId="126F3B90"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Full lifecycle management planning, including implementation pathways for collection, reclamation, and destruction</w:t>
            </w:r>
          </w:p>
        </w:tc>
      </w:tr>
      <w:tr w:rsidR="00F90461" w14:paraId="0DAD4E3D" w14:textId="77777777" w:rsidTr="00D84FB5">
        <w:trPr>
          <w:jc w:val="center"/>
        </w:trPr>
        <w:tc>
          <w:tcPr>
            <w:tcW w:w="0" w:type="auto"/>
            <w:shd w:val="clear" w:color="auto" w:fill="E2EFD9" w:themeFill="accent6" w:themeFillTint="33"/>
            <w:hideMark/>
          </w:tcPr>
          <w:p w14:paraId="2BED3F75"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Infrastructure</w:t>
            </w:r>
          </w:p>
        </w:tc>
        <w:tc>
          <w:tcPr>
            <w:tcW w:w="0" w:type="auto"/>
            <w:hideMark/>
          </w:tcPr>
          <w:p w14:paraId="47A84737"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Limited to servicing-sector equipment and reclamation activities where HPMP/KIP scale allows</w:t>
            </w:r>
          </w:p>
        </w:tc>
        <w:tc>
          <w:tcPr>
            <w:tcW w:w="0" w:type="auto"/>
            <w:hideMark/>
          </w:tcPr>
          <w:p w14:paraId="1DC0EF69"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Dedicated infrastructure for refrigerant storage and collection, reclamation facilities/labs, and destruction capacity</w:t>
            </w:r>
          </w:p>
        </w:tc>
      </w:tr>
      <w:tr w:rsidR="00F90461" w14:paraId="0F5811B4" w14:textId="77777777" w:rsidTr="00D84FB5">
        <w:trPr>
          <w:jc w:val="center"/>
        </w:trPr>
        <w:tc>
          <w:tcPr>
            <w:tcW w:w="0" w:type="auto"/>
            <w:shd w:val="clear" w:color="auto" w:fill="E2EFD9" w:themeFill="accent6" w:themeFillTint="33"/>
            <w:hideMark/>
          </w:tcPr>
          <w:p w14:paraId="4C9F2B63"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Institutional support</w:t>
            </w:r>
          </w:p>
        </w:tc>
        <w:tc>
          <w:tcPr>
            <w:tcW w:w="0" w:type="auto"/>
            <w:hideMark/>
          </w:tcPr>
          <w:p w14:paraId="11505BC5"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Limited technical assistance</w:t>
            </w:r>
          </w:p>
        </w:tc>
        <w:tc>
          <w:tcPr>
            <w:tcW w:w="0" w:type="auto"/>
            <w:hideMark/>
          </w:tcPr>
          <w:p w14:paraId="52DD5022"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Strengthened regulatory frameworks, monitoring and enforcement systems, extended producer responsibility (EPR) schemes, and mechanisms to enable environmentally sound transboundary movement and destruction (i.e., carbon finance integration, export of unwanted ODS/HFC for destruction)</w:t>
            </w:r>
          </w:p>
        </w:tc>
      </w:tr>
      <w:tr w:rsidR="00F90461" w14:paraId="62BDF515" w14:textId="77777777" w:rsidTr="00D84FB5">
        <w:trPr>
          <w:jc w:val="center"/>
        </w:trPr>
        <w:tc>
          <w:tcPr>
            <w:tcW w:w="0" w:type="auto"/>
            <w:shd w:val="clear" w:color="auto" w:fill="E2EFD9" w:themeFill="accent6" w:themeFillTint="33"/>
            <w:hideMark/>
          </w:tcPr>
          <w:p w14:paraId="40ABE8B4"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Coverage</w:t>
            </w:r>
          </w:p>
        </w:tc>
        <w:tc>
          <w:tcPr>
            <w:tcW w:w="0" w:type="auto"/>
            <w:hideMark/>
          </w:tcPr>
          <w:p w14:paraId="1E0B11B7"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Focused on selected HCFC/HFC sectors</w:t>
            </w:r>
          </w:p>
        </w:tc>
        <w:tc>
          <w:tcPr>
            <w:tcW w:w="0" w:type="auto"/>
            <w:hideMark/>
          </w:tcPr>
          <w:p w14:paraId="29B36888"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Comprehensive coverage of all controlled substances (ODS and HFCs) across all relevant sectors (RACHP, foams, fire protection)</w:t>
            </w:r>
          </w:p>
        </w:tc>
      </w:tr>
    </w:tbl>
    <w:p w14:paraId="2C701201" w14:textId="77777777" w:rsidR="00320A68" w:rsidRPr="00A81971" w:rsidRDefault="00320A68" w:rsidP="00320A68">
      <w:pPr>
        <w:widowControl w:val="0"/>
        <w:autoSpaceDE w:val="0"/>
        <w:autoSpaceDN w:val="0"/>
        <w:spacing w:after="0"/>
        <w:rPr>
          <w:rFonts w:eastAsia="Times New Roman"/>
        </w:rPr>
      </w:pPr>
    </w:p>
    <w:p w14:paraId="626F6F00" w14:textId="5883F8DE" w:rsidR="00320A68" w:rsidRPr="00A81971" w:rsidRDefault="0032495C" w:rsidP="00320A68">
      <w:pPr>
        <w:widowControl w:val="0"/>
        <w:autoSpaceDE w:val="0"/>
        <w:autoSpaceDN w:val="0"/>
        <w:spacing w:after="0"/>
        <w:rPr>
          <w:rFonts w:eastAsia="Times New Roman"/>
        </w:rPr>
      </w:pPr>
      <w:r w:rsidRPr="00A81971">
        <w:rPr>
          <w:rFonts w:eastAsia="Times New Roman"/>
        </w:rPr>
        <w:t xml:space="preserve">This section adopts a modular approach to calculating the additional funding for implementing the national LRM action plans, designed to complement existing HPMPs and KIPs in supporting the phase-out and phase-down of controlled substances under the Montreal Protocol. Most servicing-sector infrastructure, training, and institutional strengthening are expected to continue to be funded through HPMPs and KIPs. </w:t>
      </w:r>
      <w:r w:rsidR="091457C3" w:rsidRPr="00A81971">
        <w:rPr>
          <w:rFonts w:eastAsia="Times New Roman"/>
        </w:rPr>
        <w:t xml:space="preserve">The proposed supplementary </w:t>
      </w:r>
      <w:r w:rsidR="091457C3" w:rsidRPr="00D84FB5">
        <w:rPr>
          <w:rFonts w:eastAsia="Times New Roman"/>
        </w:rPr>
        <w:t>(additional to service sector activities)</w:t>
      </w:r>
      <w:r w:rsidRPr="00D84FB5">
        <w:rPr>
          <w:rFonts w:eastAsia="Times New Roman"/>
        </w:rPr>
        <w:t xml:space="preserve"> </w:t>
      </w:r>
      <w:r w:rsidRPr="00A81971">
        <w:rPr>
          <w:rFonts w:eastAsia="Times New Roman"/>
        </w:rPr>
        <w:t xml:space="preserve">LRM funding window would address critical gaps that prevent countries from transitioning from planning and basic recovery toward scaled recovery, aggregation, recycling, reclamation, and preparation for destruction. </w:t>
      </w:r>
      <w:r w:rsidR="091457C3" w:rsidRPr="00A81971">
        <w:rPr>
          <w:rFonts w:eastAsia="Times New Roman"/>
        </w:rPr>
        <w:t>LRM program</w:t>
      </w:r>
      <w:r w:rsidR="009D22BD">
        <w:rPr>
          <w:rFonts w:eastAsia="Times New Roman"/>
        </w:rPr>
        <w:t>me</w:t>
      </w:r>
      <w:r w:rsidR="091457C3" w:rsidRPr="00A81971">
        <w:rPr>
          <w:rFonts w:eastAsia="Times New Roman"/>
        </w:rPr>
        <w:t xml:space="preserve"> would benefit from pilot demonstration to showcase feasibility of the different LRM elements at different scales while phasing down HFCs.</w:t>
      </w:r>
    </w:p>
    <w:p w14:paraId="68024D81" w14:textId="77777777" w:rsidR="00320A68" w:rsidRDefault="00320A68" w:rsidP="00320A68">
      <w:pPr>
        <w:widowControl w:val="0"/>
        <w:autoSpaceDE w:val="0"/>
        <w:autoSpaceDN w:val="0"/>
        <w:spacing w:after="0"/>
        <w:rPr>
          <w:rFonts w:eastAsia="Times New Roman"/>
        </w:rPr>
      </w:pPr>
    </w:p>
    <w:p w14:paraId="137FC1D8" w14:textId="77777777" w:rsidR="002E3156" w:rsidRPr="00A81971" w:rsidRDefault="002E3156" w:rsidP="00320A68">
      <w:pPr>
        <w:widowControl w:val="0"/>
        <w:autoSpaceDE w:val="0"/>
        <w:autoSpaceDN w:val="0"/>
        <w:spacing w:after="0"/>
        <w:rPr>
          <w:rFonts w:eastAsia="Times New Roman"/>
        </w:rPr>
      </w:pPr>
    </w:p>
    <w:p w14:paraId="3B644D64" w14:textId="77777777" w:rsidR="00320A68" w:rsidRPr="00A81971" w:rsidRDefault="0032495C" w:rsidP="00320A68">
      <w:pPr>
        <w:widowControl w:val="0"/>
        <w:autoSpaceDE w:val="0"/>
        <w:autoSpaceDN w:val="0"/>
        <w:spacing w:after="0"/>
        <w:rPr>
          <w:rFonts w:eastAsia="Times New Roman"/>
        </w:rPr>
      </w:pPr>
      <w:r w:rsidRPr="00A81971">
        <w:rPr>
          <w:rFonts w:eastAsia="Times New Roman"/>
        </w:rPr>
        <w:lastRenderedPageBreak/>
        <w:t xml:space="preserve">Each of these activities corresponds to a specific function within the LRM chain and can be implemented independently or in combination. This modular structure allows parties to select interventions based on their level of system development and priority gaps. This chapter presents a high-end scenario of estimated funding for A5 parties across different levels of refrigerant consumption including the options of creating enabling conditions for destruction and export for destruction. </w:t>
      </w:r>
    </w:p>
    <w:p w14:paraId="11F9D504" w14:textId="77777777" w:rsidR="00320A68" w:rsidRPr="00A81971" w:rsidRDefault="0032495C" w:rsidP="00320A68">
      <w:pPr>
        <w:widowControl w:val="0"/>
        <w:autoSpaceDE w:val="0"/>
        <w:autoSpaceDN w:val="0"/>
        <w:spacing w:after="0"/>
        <w:rPr>
          <w:rFonts w:eastAsia="Times New Roman"/>
        </w:rPr>
      </w:pPr>
      <w:r w:rsidRPr="00A81971">
        <w:rPr>
          <w:rFonts w:eastAsia="Calibri"/>
          <w:noProof/>
          <w:lang w:eastAsia="ja-JP"/>
          <w14:ligatures w14:val="standardContextual"/>
        </w:rPr>
        <mc:AlternateContent>
          <mc:Choice Requires="wps">
            <w:drawing>
              <wp:anchor distT="0" distB="0" distL="114300" distR="114300" simplePos="0" relativeHeight="251663360" behindDoc="0" locked="0" layoutInCell="1" allowOverlap="1" wp14:anchorId="6AB7B7A3" wp14:editId="250CDD41">
                <wp:simplePos x="0" y="0"/>
                <wp:positionH relativeFrom="margin">
                  <wp:align>right</wp:align>
                </wp:positionH>
                <wp:positionV relativeFrom="paragraph">
                  <wp:posOffset>167005</wp:posOffset>
                </wp:positionV>
                <wp:extent cx="5730875" cy="3061970"/>
                <wp:effectExtent l="0" t="0" r="22225" b="24130"/>
                <wp:wrapSquare wrapText="bothSides"/>
                <wp:docPr id="2084553927" name="Rectangle 3"/>
                <wp:cNvGraphicFramePr/>
                <a:graphic xmlns:a="http://schemas.openxmlformats.org/drawingml/2006/main">
                  <a:graphicData uri="http://schemas.microsoft.com/office/word/2010/wordprocessingShape">
                    <wps:wsp>
                      <wps:cNvSpPr/>
                      <wps:spPr>
                        <a:xfrm>
                          <a:off x="0" y="0"/>
                          <a:ext cx="5730875" cy="3061970"/>
                        </a:xfrm>
                        <a:prstGeom prst="rect">
                          <a:avLst/>
                        </a:prstGeom>
                        <a:solidFill>
                          <a:sysClr val="window" lastClr="FFFFFF"/>
                        </a:solidFill>
                        <a:ln w="12700">
                          <a:solidFill>
                            <a:sysClr val="windowText" lastClr="000000"/>
                          </a:solidFill>
                          <a:prstDash val="solid"/>
                          <a:miter lim="800000"/>
                        </a:ln>
                        <a:effectLst/>
                      </wps:spPr>
                      <wps:txbx>
                        <w:txbxContent>
                          <w:p w14:paraId="29A67379" w14:textId="77777777" w:rsidR="00320A68" w:rsidRPr="0069728B" w:rsidRDefault="0032495C" w:rsidP="00FE5C31">
                            <w:pPr>
                              <w:rPr>
                                <w:bCs/>
                                <w:iCs/>
                              </w:rPr>
                            </w:pPr>
                            <w:r w:rsidRPr="00FE5C31">
                              <w:rPr>
                                <w:b/>
                                <w:bCs/>
                                <w:i/>
                                <w:iCs/>
                              </w:rPr>
                              <w:t>Box 5.1. Definition of the high-end LRM funding scenario</w:t>
                            </w:r>
                          </w:p>
                          <w:p w14:paraId="71A8A2F3"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 xml:space="preserve">The </w:t>
                            </w:r>
                            <w:r w:rsidRPr="00A81971">
                              <w:rPr>
                                <w:i/>
                                <w:iCs/>
                                <w:sz w:val="18"/>
                                <w:szCs w:val="18"/>
                                <w:lang w:val="en-GB"/>
                              </w:rPr>
                              <w:t>high-end scenario</w:t>
                            </w:r>
                            <w:r w:rsidRPr="00A81971">
                              <w:rPr>
                                <w:sz w:val="18"/>
                                <w:szCs w:val="18"/>
                                <w:lang w:val="en-GB"/>
                              </w:rPr>
                              <w:t xml:space="preserve"> provides an illustrative estimate of the potential funding required during 2027–2029 to implement long-term LRM measures identified through national inventories and action plans prepared under Decision 91/66. It represents a reasonable level of implementation support, rather than a forecast of actual expenditure.</w:t>
                            </w:r>
                          </w:p>
                          <w:p w14:paraId="6D8034BE"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scenario covers all A5 Parties potentially eligible for support under a future LRM funding window, with the level of support differentiated, as appropriate, based on the size of the national refrigerant consumption and existing LRM infrastructure.</w:t>
                            </w:r>
                          </w:p>
                          <w:p w14:paraId="6A744F96"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estimate covers incremental activities not already financed through approved or ongoing HPMPs, KIPs or other MLF mechanisms. These may include expanding recovery and collection systems, strengthening aggregation and chain-of-custody arrangements, establishing or strengthening reclamation capacity, facilitating export where domestic reclamation is not viable, and ensuring environmentally sound final destruction of refrigerants that cannot be reclaimed.</w:t>
                            </w:r>
                          </w:p>
                          <w:p w14:paraId="0B1E235C"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scenario is based on the potential scale-up of recovery equipment and technician support, collection and aggregation points and related logistics, domestic reclamation capacity where justified, and appropriate export or final-treatment arrangements. It aims to increase the quantities of used and unwanted controlled refrigerants entering documented recovery, collection, reclamation and final-treatment pathways.</w:t>
                            </w:r>
                          </w:p>
                          <w:p w14:paraId="1E3F292F"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resulting estimate should be understood as an illustrative high-end funding envelope for LRM implementation, rather than an assessment of the funding requirements of individual Parties. Actual country-level requirements would be determined through national inventories, action plans and subsequent project proposals, taking into account existing infrastructure and financing.</w:t>
                            </w:r>
                          </w:p>
                          <w:p w14:paraId="781BC2B8" w14:textId="77777777" w:rsidR="00320A68" w:rsidRPr="00A81971" w:rsidRDefault="00320A68" w:rsidP="00320A68">
                            <w:pPr>
                              <w:pStyle w:val="isselectedend"/>
                              <w:spacing w:before="120" w:beforeAutospacing="0" w:after="0" w:afterAutospacing="0"/>
                              <w:rPr>
                                <w:sz w:val="18"/>
                                <w:szCs w:val="18"/>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AB7B7A3" id="Rectangle 3" o:spid="_x0000_s1026" style="position:absolute;margin-left:400.05pt;margin-top:13.15pt;width:451.25pt;height:241.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" fillcolor="window" strokecolor="windowText" strokeweight="1pt">
                <v:textbox>
                  <w:txbxContent>
                    <w:p w14:paraId="29A67379" w14:textId="77777777" w:rsidR="00320A68" w:rsidRPr="0069728B" w:rsidRDefault="0032495C" w:rsidP="00FE5C31">
                      <w:pPr>
                        <w:rPr>
                          <w:bCs/>
                          <w:iCs/>
                        </w:rPr>
                      </w:pPr>
                      <w:r w:rsidRPr="00FE5C31">
                        <w:rPr>
                          <w:b/>
                          <w:bCs/>
                          <w:i/>
                          <w:iCs/>
                        </w:rPr>
                        <w:t>Box 5.1. Definition of the high-end LRM funding scenario</w:t>
                      </w:r>
                    </w:p>
                    <w:p w14:paraId="71A8A2F3"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 xml:space="preserve">The </w:t>
                      </w:r>
                      <w:r w:rsidRPr="00A81971">
                        <w:rPr>
                          <w:i/>
                          <w:iCs/>
                          <w:sz w:val="18"/>
                          <w:szCs w:val="18"/>
                          <w:lang w:val="en-GB"/>
                        </w:rPr>
                        <w:t>high-end scenario</w:t>
                      </w:r>
                      <w:r w:rsidRPr="00A81971">
                        <w:rPr>
                          <w:sz w:val="18"/>
                          <w:szCs w:val="18"/>
                          <w:lang w:val="en-GB"/>
                        </w:rPr>
                        <w:t xml:space="preserve"> provides an illustrative estimate of the potential funding required during 2027–2029 to implement long-term LRM measures identified through national inventories and action plans prepared under Decision 91/66. It represents a reasonable level of implementation support, rather than a forecast of actual expenditure.</w:t>
                      </w:r>
                    </w:p>
                    <w:p w14:paraId="6D8034BE"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scenario covers all A5 Parties potentially eligible for support under a future LRM funding window, with the level of support differentiated, as appropriate, based on the size of the national refrigerant consumption and existing LRM infrastructure.</w:t>
                      </w:r>
                    </w:p>
                    <w:p w14:paraId="6A744F96"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estimate covers incremental activities not already financed through approved or ongoing HPMPs, KIPs or other MLF mechanisms. These may include expanding recovery and collection systems, strengthening aggregation and chain-of-custody arrangements, establishing or strengthening reclamation capacity, facilitating export where domestic reclamation is not viable, and ensuring environmentally sound final destruction of refrigerants that cannot be reclaimed.</w:t>
                      </w:r>
                    </w:p>
                    <w:p w14:paraId="0B1E235C"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scenario is based on the potential scale-up of recovery equipment and technician support, collection and aggregation points and related logistics, domestic reclamation capacity where justified, and appropriate export or final-treatment arrangements. It aims to increase the quantities of used and unwanted controlled refrigerants entering documented recovery, collection, reclamation and final-treatment pathways.</w:t>
                      </w:r>
                    </w:p>
                    <w:p w14:paraId="1E3F292F" w14:textId="77777777" w:rsidR="00320A68" w:rsidRPr="00A81971" w:rsidRDefault="0032495C" w:rsidP="00320A68">
                      <w:pPr>
                        <w:pStyle w:val="isselectedend"/>
                        <w:spacing w:before="120" w:beforeAutospacing="0" w:after="0" w:afterAutospacing="0"/>
                        <w:rPr>
                          <w:sz w:val="18"/>
                          <w:szCs w:val="18"/>
                          <w:lang w:val="en-GB"/>
                        </w:rPr>
                      </w:pPr>
                      <w:r w:rsidRPr="00A81971">
                        <w:rPr>
                          <w:sz w:val="18"/>
                          <w:szCs w:val="18"/>
                          <w:lang w:val="en-GB"/>
                        </w:rPr>
                        <w:t>The resulting estimate should be understood as an illustrative high-end funding envelope for LRM implementation, rather than an assessment of the funding requirements of individual Parties. Actual country-level requirements would be determined through national inventories, action plans and subsequent project proposals, taking into account existing infrastructure and financing.</w:t>
                      </w:r>
                    </w:p>
                    <w:p w14:paraId="781BC2B8" w14:textId="77777777" w:rsidR="00320A68" w:rsidRPr="00A81971" w:rsidRDefault="00320A68" w:rsidP="00320A68">
                      <w:pPr>
                        <w:pStyle w:val="isselectedend"/>
                        <w:spacing w:before="120" w:beforeAutospacing="0" w:after="0" w:afterAutospacing="0"/>
                        <w:rPr>
                          <w:sz w:val="18"/>
                          <w:szCs w:val="18"/>
                          <w:lang w:val="en-GB"/>
                        </w:rPr>
                      </w:pPr>
                    </w:p>
                  </w:txbxContent>
                </v:textbox>
                <w10:wrap type="square" anchorx="margin"/>
              </v:rect>
            </w:pict>
          </mc:Fallback>
        </mc:AlternateContent>
      </w:r>
    </w:p>
    <w:p w14:paraId="386DAC35" w14:textId="77777777" w:rsidR="00320A68" w:rsidRPr="00A81971" w:rsidRDefault="00320A68" w:rsidP="00320A68">
      <w:pPr>
        <w:spacing w:after="0"/>
        <w:jc w:val="both"/>
        <w:rPr>
          <w:rFonts w:eastAsia="Calibri"/>
          <w:lang w:eastAsia="ja-JP"/>
        </w:rPr>
      </w:pPr>
    </w:p>
    <w:p w14:paraId="6274381B" w14:textId="77777777" w:rsidR="00320A68" w:rsidRPr="00A81971" w:rsidRDefault="0032495C" w:rsidP="009528F0">
      <w:pPr>
        <w:spacing w:after="0"/>
        <w:rPr>
          <w:rFonts w:eastAsia="Calibri"/>
          <w:lang w:eastAsia="ja-JP"/>
        </w:rPr>
      </w:pPr>
      <w:r w:rsidRPr="00A81971">
        <w:rPr>
          <w:rFonts w:eastAsia="Calibri"/>
          <w:lang w:eastAsia="ja-JP"/>
        </w:rPr>
        <w:t xml:space="preserve">Annex </w:t>
      </w:r>
      <w:r w:rsidR="00FB0EE7" w:rsidRPr="00A81971">
        <w:rPr>
          <w:rFonts w:eastAsia="Calibri"/>
          <w:lang w:eastAsia="ja-JP"/>
        </w:rPr>
        <w:t>6</w:t>
      </w:r>
      <w:r w:rsidRPr="00A81971">
        <w:rPr>
          <w:rFonts w:eastAsia="Calibri"/>
          <w:lang w:eastAsia="ja-JP"/>
        </w:rPr>
        <w:t xml:space="preserve"> provides information on the RTF developed cost model for evaluating the additional costs associated with the different LRM activities. This model considers different scenarios and is therefore constructed as combinations of modules, rather than as fixed pathways. The rationale is that parties can select the modules they need to implement their LRM action plans as per ExCom Decision 91/66. A summary of this approach and estimated high-end scenario cost estimates are provided in Tables 5.2 and 5.3 for the information and further consideration of parties.</w:t>
      </w:r>
      <w:r w:rsidR="46A3B0F3" w:rsidRPr="00A81971">
        <w:rPr>
          <w:rFonts w:eastAsia="Calibri"/>
          <w:lang w:eastAsia="ja-JP"/>
        </w:rPr>
        <w:t xml:space="preserve"> The RTF estimates that pilot demonstration activities under LRM that cover all </w:t>
      </w:r>
      <w:r w:rsidR="009528F0">
        <w:rPr>
          <w:rFonts w:eastAsia="Calibri"/>
          <w:lang w:eastAsia="ja-JP"/>
        </w:rPr>
        <w:t>six</w:t>
      </w:r>
      <w:r w:rsidR="46A3B0F3" w:rsidRPr="00A81971">
        <w:rPr>
          <w:rFonts w:eastAsia="Calibri"/>
          <w:lang w:eastAsia="ja-JP"/>
        </w:rPr>
        <w:t xml:space="preserve"> activities would cost roughly 25% of the estimated additional funding presented in Table 5.3.</w:t>
      </w:r>
    </w:p>
    <w:p w14:paraId="1F994F42" w14:textId="77777777" w:rsidR="00320A68" w:rsidRPr="00A81971" w:rsidRDefault="00320A68" w:rsidP="00320A68">
      <w:pPr>
        <w:widowControl w:val="0"/>
        <w:autoSpaceDE w:val="0"/>
        <w:autoSpaceDN w:val="0"/>
        <w:spacing w:after="0"/>
        <w:rPr>
          <w:rFonts w:eastAsia="Times New Roman"/>
        </w:rPr>
      </w:pPr>
    </w:p>
    <w:p w14:paraId="57825C95" w14:textId="77777777" w:rsidR="00320A68" w:rsidRPr="00A81971" w:rsidRDefault="0032495C" w:rsidP="00BA1589">
      <w:pPr>
        <w:tabs>
          <w:tab w:val="left" w:pos="0"/>
          <w:tab w:val="left" w:pos="1276"/>
        </w:tabs>
        <w:spacing w:after="120"/>
        <w:ind w:left="1282" w:hanging="1282"/>
        <w:rPr>
          <w:rFonts w:eastAsia="Calibri"/>
          <w:lang w:eastAsia="ja-JP"/>
        </w:rPr>
      </w:pPr>
      <w:r w:rsidRPr="0075091A">
        <w:rPr>
          <w:rFonts w:eastAsia="Yu Mincho"/>
          <w:b/>
          <w:bCs/>
          <w:color w:val="000000"/>
          <w:lang w:val="en-CA"/>
        </w:rPr>
        <w:t>Table 5.2:</w:t>
      </w:r>
      <w:r w:rsidRPr="0006445E">
        <w:rPr>
          <w:rFonts w:eastAsia="Times New Roman"/>
          <w:color w:val="000000"/>
          <w:lang w:val="en-CA"/>
        </w:rPr>
        <w:tab/>
      </w:r>
      <w:r w:rsidRPr="00A81971">
        <w:rPr>
          <w:rFonts w:eastAsia="Calibri"/>
          <w:b/>
          <w:bCs/>
          <w:lang w:eastAsia="ja-JP"/>
        </w:rPr>
        <w:t>LRM Modular approach</w:t>
      </w:r>
    </w:p>
    <w:tbl>
      <w:tblPr>
        <w:tblStyle w:val="TableGrid15"/>
        <w:tblW w:w="5000" w:type="pct"/>
        <w:jc w:val="center"/>
        <w:tblCellMar>
          <w:left w:w="29" w:type="dxa"/>
          <w:right w:w="29" w:type="dxa"/>
        </w:tblCellMar>
        <w:tblLook w:val="04A0" w:firstRow="1" w:lastRow="0" w:firstColumn="1" w:lastColumn="0" w:noHBand="0" w:noVBand="1"/>
      </w:tblPr>
      <w:tblGrid>
        <w:gridCol w:w="1092"/>
        <w:gridCol w:w="1465"/>
        <w:gridCol w:w="2196"/>
        <w:gridCol w:w="4321"/>
      </w:tblGrid>
      <w:tr w:rsidR="00F90461" w14:paraId="0F2B51C2" w14:textId="77777777" w:rsidTr="009528F0">
        <w:trPr>
          <w:jc w:val="center"/>
        </w:trPr>
        <w:tc>
          <w:tcPr>
            <w:tcW w:w="602" w:type="pct"/>
            <w:shd w:val="clear" w:color="auto" w:fill="D9E2F3" w:themeFill="accent1" w:themeFillTint="33"/>
          </w:tcPr>
          <w:p w14:paraId="3F26B684" w14:textId="77777777" w:rsidR="00320A68" w:rsidRPr="00A81971" w:rsidRDefault="0032495C" w:rsidP="00320A68">
            <w:pPr>
              <w:spacing w:after="0"/>
              <w:jc w:val="center"/>
              <w:rPr>
                <w:rFonts w:eastAsia="Calibri"/>
                <w:b/>
                <w:bCs/>
                <w:lang w:eastAsia="ja-JP"/>
              </w:rPr>
            </w:pPr>
            <w:r w:rsidRPr="00A81971">
              <w:rPr>
                <w:rFonts w:eastAsia="Calibri"/>
                <w:b/>
                <w:bCs/>
                <w:lang w:eastAsia="ja-JP"/>
              </w:rPr>
              <w:t>Module</w:t>
            </w:r>
          </w:p>
        </w:tc>
        <w:tc>
          <w:tcPr>
            <w:tcW w:w="807" w:type="pct"/>
            <w:shd w:val="clear" w:color="auto" w:fill="D9E2F3" w:themeFill="accent1" w:themeFillTint="33"/>
          </w:tcPr>
          <w:p w14:paraId="4B34BF7E" w14:textId="77777777" w:rsidR="00320A68" w:rsidRPr="00A81971" w:rsidRDefault="0032495C" w:rsidP="00320A68">
            <w:pPr>
              <w:spacing w:after="0"/>
              <w:jc w:val="center"/>
              <w:rPr>
                <w:rFonts w:eastAsia="Calibri"/>
                <w:b/>
                <w:bCs/>
                <w:lang w:eastAsia="ja-JP"/>
              </w:rPr>
            </w:pPr>
            <w:r w:rsidRPr="00A81971">
              <w:rPr>
                <w:rFonts w:eastAsia="Calibri"/>
                <w:b/>
                <w:bCs/>
                <w:lang w:eastAsia="ja-JP"/>
              </w:rPr>
              <w:t>Name</w:t>
            </w:r>
          </w:p>
        </w:tc>
        <w:tc>
          <w:tcPr>
            <w:tcW w:w="1210" w:type="pct"/>
            <w:shd w:val="clear" w:color="auto" w:fill="D9E2F3" w:themeFill="accent1" w:themeFillTint="33"/>
          </w:tcPr>
          <w:p w14:paraId="41A320EF" w14:textId="77777777" w:rsidR="00320A68" w:rsidRPr="00A81971" w:rsidRDefault="0032495C" w:rsidP="00320A68">
            <w:pPr>
              <w:spacing w:after="0"/>
              <w:jc w:val="center"/>
              <w:rPr>
                <w:rFonts w:eastAsia="Calibri"/>
                <w:b/>
                <w:bCs/>
                <w:lang w:eastAsia="ja-JP"/>
              </w:rPr>
            </w:pPr>
            <w:r w:rsidRPr="00A81971">
              <w:rPr>
                <w:rFonts w:eastAsia="Calibri"/>
                <w:b/>
                <w:bCs/>
                <w:lang w:eastAsia="ja-JP"/>
              </w:rPr>
              <w:t>Function in the LRM chain</w:t>
            </w:r>
          </w:p>
        </w:tc>
        <w:tc>
          <w:tcPr>
            <w:tcW w:w="2381" w:type="pct"/>
            <w:shd w:val="clear" w:color="auto" w:fill="D9E2F3" w:themeFill="accent1" w:themeFillTint="33"/>
          </w:tcPr>
          <w:p w14:paraId="2A335AB3" w14:textId="77777777" w:rsidR="00320A68" w:rsidRPr="00A81971" w:rsidRDefault="0032495C" w:rsidP="00320A68">
            <w:pPr>
              <w:spacing w:after="0"/>
              <w:jc w:val="center"/>
              <w:rPr>
                <w:rFonts w:eastAsia="Calibri"/>
                <w:b/>
                <w:bCs/>
                <w:lang w:eastAsia="ja-JP"/>
              </w:rPr>
            </w:pPr>
            <w:r w:rsidRPr="00A81971">
              <w:rPr>
                <w:rFonts w:eastAsia="Calibri"/>
                <w:b/>
                <w:bCs/>
                <w:lang w:eastAsia="ja-JP"/>
              </w:rPr>
              <w:t>Scope of intervention</w:t>
            </w:r>
          </w:p>
        </w:tc>
      </w:tr>
      <w:tr w:rsidR="00F90461" w14:paraId="2B5A9247" w14:textId="77777777" w:rsidTr="009528F0">
        <w:trPr>
          <w:jc w:val="center"/>
        </w:trPr>
        <w:tc>
          <w:tcPr>
            <w:tcW w:w="602" w:type="pct"/>
            <w:shd w:val="clear" w:color="auto" w:fill="E2EFD9" w:themeFill="accent6" w:themeFillTint="33"/>
          </w:tcPr>
          <w:p w14:paraId="0BEC32F5"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Module 1a</w:t>
            </w:r>
          </w:p>
        </w:tc>
        <w:tc>
          <w:tcPr>
            <w:tcW w:w="807" w:type="pct"/>
          </w:tcPr>
          <w:p w14:paraId="7F6B8C4F"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 xml:space="preserve">Improved recovery rates at servicing  </w:t>
            </w:r>
          </w:p>
        </w:tc>
        <w:tc>
          <w:tcPr>
            <w:tcW w:w="1210" w:type="pct"/>
          </w:tcPr>
          <w:p w14:paraId="5BF2B273"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 xml:space="preserve">Improves used and unwanted refrigerant recovery at the point of servicing to increase collection to justify EOL services </w:t>
            </w:r>
          </w:p>
        </w:tc>
        <w:tc>
          <w:tcPr>
            <w:tcW w:w="2381" w:type="pct"/>
          </w:tcPr>
          <w:p w14:paraId="08B4DA72"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 xml:space="preserve">Increase equipment (recovery machine, digital weighing scale and digital charging hoses, cylinders) beyond current HPMP and KIP scale </w:t>
            </w:r>
          </w:p>
          <w:p w14:paraId="1D2CF3C6"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 xml:space="preserve">Provide economic incentives </w:t>
            </w:r>
          </w:p>
          <w:p w14:paraId="6090BAC9"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 xml:space="preserve">Develop basic market framework </w:t>
            </w:r>
          </w:p>
        </w:tc>
      </w:tr>
      <w:tr w:rsidR="00F90461" w14:paraId="05D566D7" w14:textId="77777777" w:rsidTr="009528F0">
        <w:trPr>
          <w:jc w:val="center"/>
        </w:trPr>
        <w:tc>
          <w:tcPr>
            <w:tcW w:w="602" w:type="pct"/>
            <w:shd w:val="clear" w:color="auto" w:fill="E2EFD9" w:themeFill="accent6" w:themeFillTint="33"/>
          </w:tcPr>
          <w:p w14:paraId="4CAA7ECA"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Module 1b</w:t>
            </w:r>
          </w:p>
        </w:tc>
        <w:tc>
          <w:tcPr>
            <w:tcW w:w="807" w:type="pct"/>
          </w:tcPr>
          <w:p w14:paraId="43CEF2C9"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Recovery at EOL</w:t>
            </w:r>
          </w:p>
        </w:tc>
        <w:tc>
          <w:tcPr>
            <w:tcW w:w="1210" w:type="pct"/>
          </w:tcPr>
          <w:p w14:paraId="7544D5F8"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Captures refrigerant from equipment reaching end of life to increase collection to justify EOL services</w:t>
            </w:r>
          </w:p>
        </w:tc>
        <w:tc>
          <w:tcPr>
            <w:tcW w:w="2381" w:type="pct"/>
          </w:tcPr>
          <w:p w14:paraId="6CD179D6"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Creating collection centres</w:t>
            </w:r>
          </w:p>
          <w:p w14:paraId="3B3BF291"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 xml:space="preserve">Create capacity building for EOL stakeholders to increase recovery </w:t>
            </w:r>
          </w:p>
        </w:tc>
      </w:tr>
      <w:tr w:rsidR="00F90461" w14:paraId="7524D688" w14:textId="77777777" w:rsidTr="009528F0">
        <w:trPr>
          <w:jc w:val="center"/>
        </w:trPr>
        <w:tc>
          <w:tcPr>
            <w:tcW w:w="602" w:type="pct"/>
            <w:shd w:val="clear" w:color="auto" w:fill="E2EFD9" w:themeFill="accent6" w:themeFillTint="33"/>
          </w:tcPr>
          <w:p w14:paraId="66D7087D"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Module 2a</w:t>
            </w:r>
          </w:p>
        </w:tc>
        <w:tc>
          <w:tcPr>
            <w:tcW w:w="807" w:type="pct"/>
          </w:tcPr>
          <w:p w14:paraId="626DA110"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Reclamation (domestic)</w:t>
            </w:r>
          </w:p>
        </w:tc>
        <w:tc>
          <w:tcPr>
            <w:tcW w:w="1210" w:type="pct"/>
          </w:tcPr>
          <w:p w14:paraId="22C8D41B"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Enables reuse and recycle of recovered refrigerant through quality verification</w:t>
            </w:r>
          </w:p>
        </w:tc>
        <w:tc>
          <w:tcPr>
            <w:tcW w:w="2381" w:type="pct"/>
          </w:tcPr>
          <w:p w14:paraId="0D7DDBDD"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Refrigerant identification, laboratory testing, quality certification,</w:t>
            </w:r>
          </w:p>
          <w:p w14:paraId="30686EC6"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Reclamation equipment, Reclamation process</w:t>
            </w:r>
          </w:p>
          <w:p w14:paraId="316E7254"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Business models</w:t>
            </w:r>
          </w:p>
        </w:tc>
      </w:tr>
      <w:tr w:rsidR="00F90461" w14:paraId="049EBA80" w14:textId="77777777" w:rsidTr="009528F0">
        <w:trPr>
          <w:jc w:val="center"/>
        </w:trPr>
        <w:tc>
          <w:tcPr>
            <w:tcW w:w="602" w:type="pct"/>
            <w:shd w:val="clear" w:color="auto" w:fill="E2EFD9" w:themeFill="accent6" w:themeFillTint="33"/>
          </w:tcPr>
          <w:p w14:paraId="21470D54"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lastRenderedPageBreak/>
              <w:t>Module 2b</w:t>
            </w:r>
          </w:p>
        </w:tc>
        <w:tc>
          <w:tcPr>
            <w:tcW w:w="807" w:type="pct"/>
          </w:tcPr>
          <w:p w14:paraId="3DD714FA"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Export of used gases (for reclamation)</w:t>
            </w:r>
          </w:p>
        </w:tc>
        <w:tc>
          <w:tcPr>
            <w:tcW w:w="1210" w:type="pct"/>
          </w:tcPr>
          <w:p w14:paraId="7F4C7CE7"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Creating the export conditions to enable gas treatment (reclamation or destruction when needed) abroad</w:t>
            </w:r>
          </w:p>
        </w:tc>
        <w:tc>
          <w:tcPr>
            <w:tcW w:w="2381" w:type="pct"/>
          </w:tcPr>
          <w:p w14:paraId="3460B210"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 xml:space="preserve">Aggregation, transport, coordination with receiving facilities. </w:t>
            </w:r>
          </w:p>
          <w:p w14:paraId="7C9BEB4C"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Basel Convention procedures, logistics, aggregation, transport</w:t>
            </w:r>
          </w:p>
        </w:tc>
      </w:tr>
      <w:tr w:rsidR="00F90461" w14:paraId="10700CF5" w14:textId="77777777" w:rsidTr="009528F0">
        <w:trPr>
          <w:jc w:val="center"/>
        </w:trPr>
        <w:tc>
          <w:tcPr>
            <w:tcW w:w="602" w:type="pct"/>
            <w:shd w:val="clear" w:color="auto" w:fill="E2EFD9" w:themeFill="accent6" w:themeFillTint="33"/>
          </w:tcPr>
          <w:p w14:paraId="58656597"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Module 3a</w:t>
            </w:r>
          </w:p>
        </w:tc>
        <w:tc>
          <w:tcPr>
            <w:tcW w:w="807" w:type="pct"/>
          </w:tcPr>
          <w:p w14:paraId="44F72853"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Domestic destruction</w:t>
            </w:r>
          </w:p>
        </w:tc>
        <w:tc>
          <w:tcPr>
            <w:tcW w:w="1210" w:type="pct"/>
          </w:tcPr>
          <w:p w14:paraId="58D2C328"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Enables local capacity to destroy non-reclaimable refrigerant</w:t>
            </w:r>
          </w:p>
        </w:tc>
        <w:tc>
          <w:tcPr>
            <w:tcW w:w="2381" w:type="pct"/>
          </w:tcPr>
          <w:p w14:paraId="2895A88E" w14:textId="77777777" w:rsidR="00320A68" w:rsidRPr="00A81971" w:rsidRDefault="0032495C" w:rsidP="007A20BD">
            <w:pPr>
              <w:widowControl w:val="0"/>
              <w:numPr>
                <w:ilvl w:val="0"/>
                <w:numId w:val="51"/>
              </w:numPr>
              <w:autoSpaceDE w:val="0"/>
              <w:autoSpaceDN w:val="0"/>
              <w:spacing w:after="0"/>
              <w:ind w:left="244" w:hanging="180"/>
              <w:contextualSpacing/>
              <w:rPr>
                <w:rFonts w:eastAsia="Calibri"/>
                <w:sz w:val="20"/>
                <w:szCs w:val="20"/>
                <w:lang w:eastAsia="ja-JP"/>
              </w:rPr>
            </w:pPr>
            <w:r w:rsidRPr="00A81971">
              <w:rPr>
                <w:rFonts w:eastAsia="Calibri"/>
                <w:sz w:val="20"/>
                <w:szCs w:val="20"/>
                <w:lang w:eastAsia="ja-JP"/>
              </w:rPr>
              <w:t>Facility adaptation, regulatory approvals, system setup</w:t>
            </w:r>
          </w:p>
        </w:tc>
      </w:tr>
      <w:tr w:rsidR="00F90461" w14:paraId="50E90A77" w14:textId="77777777" w:rsidTr="009528F0">
        <w:trPr>
          <w:jc w:val="center"/>
        </w:trPr>
        <w:tc>
          <w:tcPr>
            <w:tcW w:w="602" w:type="pct"/>
            <w:shd w:val="clear" w:color="auto" w:fill="E2EFD9" w:themeFill="accent6" w:themeFillTint="33"/>
          </w:tcPr>
          <w:p w14:paraId="35ADBD6A"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Module 3b</w:t>
            </w:r>
          </w:p>
        </w:tc>
        <w:tc>
          <w:tcPr>
            <w:tcW w:w="807" w:type="pct"/>
          </w:tcPr>
          <w:p w14:paraId="65485E00"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Export of used gases (for destruction)</w:t>
            </w:r>
          </w:p>
        </w:tc>
        <w:tc>
          <w:tcPr>
            <w:tcW w:w="1210" w:type="pct"/>
          </w:tcPr>
          <w:p w14:paraId="244B25AE"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Enables export of waste refrigerant for destruction abroad</w:t>
            </w:r>
          </w:p>
        </w:tc>
        <w:tc>
          <w:tcPr>
            <w:tcW w:w="2381" w:type="pct"/>
          </w:tcPr>
          <w:p w14:paraId="71F14B77" w14:textId="77777777" w:rsidR="00320A68" w:rsidRPr="00A81971" w:rsidRDefault="0032495C" w:rsidP="00320A68">
            <w:pPr>
              <w:spacing w:after="0"/>
              <w:rPr>
                <w:rFonts w:eastAsia="Calibri"/>
                <w:sz w:val="20"/>
                <w:szCs w:val="20"/>
                <w:lang w:eastAsia="ja-JP"/>
              </w:rPr>
            </w:pPr>
            <w:r w:rsidRPr="00A81971">
              <w:rPr>
                <w:rFonts w:eastAsia="Calibri"/>
                <w:sz w:val="20"/>
                <w:szCs w:val="20"/>
                <w:lang w:eastAsia="ja-JP"/>
              </w:rPr>
              <w:t>Same as 2b</w:t>
            </w:r>
          </w:p>
        </w:tc>
      </w:tr>
    </w:tbl>
    <w:p w14:paraId="17436959" w14:textId="77777777" w:rsidR="00320A68" w:rsidRPr="00A81971" w:rsidRDefault="00320A68" w:rsidP="00320A68">
      <w:pPr>
        <w:widowControl w:val="0"/>
        <w:autoSpaceDE w:val="0"/>
        <w:autoSpaceDN w:val="0"/>
        <w:spacing w:after="0"/>
        <w:rPr>
          <w:rFonts w:eastAsia="Times New Roman"/>
        </w:rPr>
      </w:pPr>
    </w:p>
    <w:p w14:paraId="102D4750" w14:textId="77777777" w:rsidR="00320A68" w:rsidRPr="00A81971" w:rsidRDefault="0032495C" w:rsidP="00320A68">
      <w:pPr>
        <w:widowControl w:val="0"/>
        <w:autoSpaceDE w:val="0"/>
        <w:autoSpaceDN w:val="0"/>
        <w:spacing w:after="0"/>
        <w:rPr>
          <w:rFonts w:eastAsia="Times New Roman"/>
        </w:rPr>
      </w:pPr>
      <w:r w:rsidRPr="00A81971">
        <w:rPr>
          <w:rFonts w:eastAsia="Times New Roman"/>
        </w:rPr>
        <w:t xml:space="preserve">The model is described in Annex </w:t>
      </w:r>
      <w:r w:rsidR="006F1F53" w:rsidRPr="00F32C9E">
        <w:rPr>
          <w:rFonts w:eastAsia="Times New Roman"/>
        </w:rPr>
        <w:t>6</w:t>
      </w:r>
      <w:r w:rsidRPr="00A81971">
        <w:rPr>
          <w:rFonts w:eastAsia="Times New Roman"/>
        </w:rPr>
        <w:t>. The high-cost estimate for the potential funding window is presented below</w:t>
      </w:r>
    </w:p>
    <w:p w14:paraId="34158295" w14:textId="77777777" w:rsidR="00320A68" w:rsidRPr="00FE5C31" w:rsidRDefault="00320A68" w:rsidP="00FE5C31">
      <w:pPr>
        <w:tabs>
          <w:tab w:val="left" w:pos="0"/>
          <w:tab w:val="left" w:pos="1276"/>
        </w:tabs>
        <w:spacing w:after="120"/>
        <w:ind w:left="1282" w:hanging="1282"/>
        <w:rPr>
          <w:rFonts w:eastAsia="Yu Mincho"/>
          <w:b/>
          <w:bCs/>
          <w:color w:val="000000"/>
          <w:lang w:val="en-CA"/>
        </w:rPr>
      </w:pPr>
    </w:p>
    <w:p w14:paraId="383F62A6" w14:textId="77777777" w:rsidR="00320A68" w:rsidRPr="00FE5C31" w:rsidRDefault="0032495C" w:rsidP="00FE5C31">
      <w:pPr>
        <w:tabs>
          <w:tab w:val="left" w:pos="0"/>
        </w:tabs>
        <w:spacing w:after="120"/>
        <w:ind w:left="851" w:hanging="851"/>
        <w:rPr>
          <w:rFonts w:eastAsia="Yu Mincho"/>
          <w:b/>
          <w:bCs/>
          <w:color w:val="000000"/>
          <w:lang w:val="en-CA"/>
        </w:rPr>
      </w:pPr>
      <w:r w:rsidRPr="00FE5C31">
        <w:rPr>
          <w:rFonts w:eastAsia="Yu Mincho"/>
          <w:b/>
          <w:bCs/>
          <w:color w:val="000000"/>
          <w:lang w:val="en-CA"/>
        </w:rPr>
        <w:t xml:space="preserve">Table 5.3 Summary of high-end scenario cost estimate for LRM activities based on RTF cost model (see Annex </w:t>
      </w:r>
      <w:r w:rsidR="00FB0EE7" w:rsidRPr="00FE5C31">
        <w:rPr>
          <w:rFonts w:eastAsia="Yu Mincho"/>
          <w:b/>
          <w:bCs/>
          <w:color w:val="000000"/>
          <w:lang w:val="en-CA"/>
        </w:rPr>
        <w:t>6</w:t>
      </w:r>
      <w:r w:rsidRPr="00FE5C31">
        <w:rPr>
          <w:rFonts w:eastAsia="Yu Mincho"/>
          <w:b/>
          <w:bCs/>
          <w:color w:val="000000"/>
          <w:lang w:val="en-CA"/>
        </w:rPr>
        <w:t>)</w:t>
      </w:r>
    </w:p>
    <w:tbl>
      <w:tblPr>
        <w:tblStyle w:val="TableGrid14"/>
        <w:tblW w:w="0" w:type="auto"/>
        <w:tblLook w:val="04A0" w:firstRow="1" w:lastRow="0" w:firstColumn="1" w:lastColumn="0" w:noHBand="0" w:noVBand="1"/>
      </w:tblPr>
      <w:tblGrid>
        <w:gridCol w:w="1370"/>
        <w:gridCol w:w="5195"/>
        <w:gridCol w:w="2430"/>
      </w:tblGrid>
      <w:tr w:rsidR="00F90461" w14:paraId="6B299B05" w14:textId="77777777" w:rsidTr="009A2F62">
        <w:tc>
          <w:tcPr>
            <w:tcW w:w="1370" w:type="dxa"/>
          </w:tcPr>
          <w:p w14:paraId="23DFE85C"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Module</w:t>
            </w:r>
          </w:p>
        </w:tc>
        <w:tc>
          <w:tcPr>
            <w:tcW w:w="5195" w:type="dxa"/>
          </w:tcPr>
          <w:p w14:paraId="5FE1C532"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LRM Activities</w:t>
            </w:r>
          </w:p>
        </w:tc>
        <w:tc>
          <w:tcPr>
            <w:tcW w:w="2430" w:type="dxa"/>
          </w:tcPr>
          <w:p w14:paraId="7356FCB5" w14:textId="77777777" w:rsidR="00320A68" w:rsidRPr="00A81971" w:rsidRDefault="0032495C" w:rsidP="00320A68">
            <w:pPr>
              <w:widowControl w:val="0"/>
              <w:autoSpaceDE w:val="0"/>
              <w:autoSpaceDN w:val="0"/>
              <w:spacing w:after="0"/>
              <w:jc w:val="center"/>
              <w:rPr>
                <w:rFonts w:eastAsia="Times New Roman"/>
                <w:b/>
                <w:bCs/>
              </w:rPr>
            </w:pPr>
            <w:r w:rsidRPr="00A81971">
              <w:rPr>
                <w:rFonts w:eastAsia="Times New Roman"/>
                <w:b/>
                <w:bCs/>
              </w:rPr>
              <w:t>Additional funding required for A5 countries (US$)</w:t>
            </w:r>
          </w:p>
        </w:tc>
      </w:tr>
      <w:tr w:rsidR="00F90461" w14:paraId="62642989" w14:textId="77777777" w:rsidTr="00FE5C31">
        <w:tc>
          <w:tcPr>
            <w:tcW w:w="1370" w:type="dxa"/>
          </w:tcPr>
          <w:p w14:paraId="362D04FB"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Module 1a</w:t>
            </w:r>
          </w:p>
        </w:tc>
        <w:tc>
          <w:tcPr>
            <w:tcW w:w="5195" w:type="dxa"/>
          </w:tcPr>
          <w:p w14:paraId="7824D5E4"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b/>
                <w:bCs/>
                <w:sz w:val="20"/>
                <w:szCs w:val="20"/>
              </w:rPr>
              <w:t xml:space="preserve">Improved recovery rates at servicing  </w:t>
            </w:r>
          </w:p>
          <w:p w14:paraId="382E7B52"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 xml:space="preserve">Upgrading technician equipment (beyond HPMP and KIP), establishing a chain of custody tracking system for recovered refrigerant marketplace, and developing refrigerant collection centres. </w:t>
            </w:r>
          </w:p>
        </w:tc>
        <w:tc>
          <w:tcPr>
            <w:tcW w:w="2430" w:type="dxa"/>
            <w:vMerge w:val="restart"/>
            <w:vAlign w:val="center"/>
          </w:tcPr>
          <w:p w14:paraId="6A3DDD6A" w14:textId="77777777" w:rsidR="00320A68" w:rsidRPr="00A81971" w:rsidRDefault="0032495C" w:rsidP="00BD50FD">
            <w:pPr>
              <w:widowControl w:val="0"/>
              <w:autoSpaceDE w:val="0"/>
              <w:autoSpaceDN w:val="0"/>
              <w:spacing w:after="0"/>
              <w:jc w:val="right"/>
              <w:rPr>
                <w:rFonts w:eastAsia="Times New Roman"/>
                <w:sz w:val="20"/>
                <w:szCs w:val="20"/>
              </w:rPr>
            </w:pPr>
            <w:r w:rsidRPr="00A81971">
              <w:rPr>
                <w:rFonts w:eastAsia="Times New Roman"/>
                <w:sz w:val="20"/>
                <w:szCs w:val="20"/>
              </w:rPr>
              <w:t>18</w:t>
            </w:r>
            <w:r w:rsidR="00092FE7" w:rsidRPr="00A81971">
              <w:rPr>
                <w:rFonts w:eastAsia="Times New Roman"/>
                <w:sz w:val="20"/>
                <w:szCs w:val="20"/>
              </w:rPr>
              <w:t>,</w:t>
            </w:r>
            <w:r w:rsidRPr="00A81971">
              <w:rPr>
                <w:rFonts w:eastAsia="Times New Roman"/>
                <w:sz w:val="20"/>
                <w:szCs w:val="20"/>
              </w:rPr>
              <w:t>212</w:t>
            </w:r>
            <w:r w:rsidR="00092FE7" w:rsidRPr="00A81971">
              <w:rPr>
                <w:rFonts w:eastAsia="Times New Roman"/>
                <w:sz w:val="20"/>
                <w:szCs w:val="20"/>
              </w:rPr>
              <w:t>,</w:t>
            </w:r>
            <w:r w:rsidRPr="00A81971">
              <w:rPr>
                <w:rFonts w:eastAsia="Times New Roman"/>
                <w:sz w:val="20"/>
                <w:szCs w:val="20"/>
              </w:rPr>
              <w:t>000</w:t>
            </w:r>
          </w:p>
        </w:tc>
      </w:tr>
      <w:tr w:rsidR="00F90461" w14:paraId="3C508036" w14:textId="77777777" w:rsidTr="00FE5C31">
        <w:tc>
          <w:tcPr>
            <w:tcW w:w="1370" w:type="dxa"/>
          </w:tcPr>
          <w:p w14:paraId="379A5A8A"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Module 1b</w:t>
            </w:r>
          </w:p>
        </w:tc>
        <w:tc>
          <w:tcPr>
            <w:tcW w:w="5195" w:type="dxa"/>
          </w:tcPr>
          <w:p w14:paraId="37903DF2" w14:textId="77777777" w:rsidR="00320A68" w:rsidRPr="00A81971" w:rsidRDefault="0032495C" w:rsidP="00320A68">
            <w:pPr>
              <w:widowControl w:val="0"/>
              <w:autoSpaceDE w:val="0"/>
              <w:autoSpaceDN w:val="0"/>
              <w:spacing w:after="0"/>
              <w:rPr>
                <w:rFonts w:eastAsia="Calibri"/>
                <w:b/>
                <w:bCs/>
                <w:sz w:val="20"/>
                <w:szCs w:val="20"/>
              </w:rPr>
            </w:pPr>
            <w:r w:rsidRPr="00A81971">
              <w:rPr>
                <w:rFonts w:eastAsia="Calibri"/>
                <w:b/>
                <w:bCs/>
                <w:sz w:val="20"/>
                <w:szCs w:val="20"/>
              </w:rPr>
              <w:t>Recovery at EOL</w:t>
            </w:r>
          </w:p>
          <w:p w14:paraId="33A53047"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sz w:val="20"/>
                <w:szCs w:val="20"/>
              </w:rPr>
              <w:t>Capacity building on chain of custody and collection. Market study for used gas volume and pricing.</w:t>
            </w:r>
          </w:p>
        </w:tc>
        <w:tc>
          <w:tcPr>
            <w:tcW w:w="2430" w:type="dxa"/>
            <w:vMerge/>
            <w:vAlign w:val="center"/>
          </w:tcPr>
          <w:p w14:paraId="6339D295" w14:textId="77777777" w:rsidR="00320A68" w:rsidRPr="00A81971" w:rsidRDefault="00320A68" w:rsidP="00BD50FD">
            <w:pPr>
              <w:widowControl w:val="0"/>
              <w:autoSpaceDE w:val="0"/>
              <w:autoSpaceDN w:val="0"/>
              <w:spacing w:after="0"/>
              <w:jc w:val="right"/>
              <w:rPr>
                <w:rFonts w:eastAsia="Times New Roman"/>
                <w:sz w:val="20"/>
                <w:szCs w:val="20"/>
              </w:rPr>
            </w:pPr>
          </w:p>
        </w:tc>
      </w:tr>
      <w:tr w:rsidR="00F90461" w14:paraId="58BC4F32" w14:textId="77777777" w:rsidTr="00FE5C31">
        <w:tc>
          <w:tcPr>
            <w:tcW w:w="1370" w:type="dxa"/>
          </w:tcPr>
          <w:p w14:paraId="77536889"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Module 2a</w:t>
            </w:r>
          </w:p>
        </w:tc>
        <w:tc>
          <w:tcPr>
            <w:tcW w:w="5195" w:type="dxa"/>
          </w:tcPr>
          <w:p w14:paraId="55DE5691"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b/>
                <w:bCs/>
                <w:sz w:val="20"/>
                <w:szCs w:val="20"/>
              </w:rPr>
              <w:t xml:space="preserve">Reclamation </w:t>
            </w:r>
          </w:p>
          <w:p w14:paraId="4DABC9D3"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Establishing reclamation centres where needed. Technical studies for RRR centre creation. Equipment and start-up of RRR centres in LVCs.</w:t>
            </w:r>
          </w:p>
        </w:tc>
        <w:tc>
          <w:tcPr>
            <w:tcW w:w="2430" w:type="dxa"/>
            <w:vAlign w:val="center"/>
          </w:tcPr>
          <w:p w14:paraId="526A72A0" w14:textId="77777777" w:rsidR="00320A68" w:rsidRPr="00A81971" w:rsidRDefault="0032495C" w:rsidP="00BD50FD">
            <w:pPr>
              <w:widowControl w:val="0"/>
              <w:autoSpaceDE w:val="0"/>
              <w:autoSpaceDN w:val="0"/>
              <w:spacing w:after="0"/>
              <w:jc w:val="right"/>
              <w:rPr>
                <w:rFonts w:eastAsia="Times New Roman"/>
                <w:sz w:val="20"/>
                <w:szCs w:val="20"/>
              </w:rPr>
            </w:pPr>
            <w:r w:rsidRPr="00A81971">
              <w:rPr>
                <w:rFonts w:eastAsia="Times New Roman"/>
                <w:sz w:val="20"/>
                <w:szCs w:val="20"/>
              </w:rPr>
              <w:t>25,920,000</w:t>
            </w:r>
          </w:p>
        </w:tc>
      </w:tr>
      <w:tr w:rsidR="00F90461" w14:paraId="21E4D328" w14:textId="77777777" w:rsidTr="00FE5C31">
        <w:tc>
          <w:tcPr>
            <w:tcW w:w="1370" w:type="dxa"/>
          </w:tcPr>
          <w:p w14:paraId="4B3720A8"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 xml:space="preserve">Module 2b </w:t>
            </w:r>
          </w:p>
        </w:tc>
        <w:tc>
          <w:tcPr>
            <w:tcW w:w="5195" w:type="dxa"/>
          </w:tcPr>
          <w:p w14:paraId="1CECB1AA"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b/>
                <w:bCs/>
                <w:sz w:val="20"/>
                <w:szCs w:val="20"/>
              </w:rPr>
              <w:t xml:space="preserve">Export </w:t>
            </w:r>
          </w:p>
          <w:p w14:paraId="3F687810" w14:textId="77777777"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 xml:space="preserve">Creating the export conditions to enable gas treatment (reclamation or destruction when needed) abroad. Capacity building of export stakeholders. Used gas identification equipment. Basel convention support. Safety equipment for storage of flammable used gases </w:t>
            </w:r>
          </w:p>
        </w:tc>
        <w:tc>
          <w:tcPr>
            <w:tcW w:w="2430" w:type="dxa"/>
            <w:vAlign w:val="center"/>
          </w:tcPr>
          <w:p w14:paraId="25D2C539" w14:textId="77777777" w:rsidR="00320A68" w:rsidRPr="00A81971" w:rsidRDefault="0032495C" w:rsidP="00BD50FD">
            <w:pPr>
              <w:widowControl w:val="0"/>
              <w:autoSpaceDE w:val="0"/>
              <w:autoSpaceDN w:val="0"/>
              <w:spacing w:after="0"/>
              <w:jc w:val="right"/>
              <w:rPr>
                <w:rFonts w:eastAsia="Times New Roman"/>
                <w:sz w:val="20"/>
                <w:szCs w:val="20"/>
              </w:rPr>
            </w:pPr>
            <w:r w:rsidRPr="00A81971">
              <w:rPr>
                <w:rFonts w:eastAsia="Times New Roman"/>
                <w:sz w:val="20"/>
                <w:szCs w:val="20"/>
              </w:rPr>
              <w:t xml:space="preserve">7,416,000 </w:t>
            </w:r>
          </w:p>
        </w:tc>
      </w:tr>
      <w:tr w:rsidR="00F90461" w14:paraId="76383C05" w14:textId="77777777" w:rsidTr="00FE5C31">
        <w:tc>
          <w:tcPr>
            <w:tcW w:w="1370" w:type="dxa"/>
          </w:tcPr>
          <w:p w14:paraId="628568E4" w14:textId="77777777" w:rsidR="00320A68" w:rsidRPr="00FE5C31" w:rsidRDefault="0032495C" w:rsidP="00320A68">
            <w:pPr>
              <w:widowControl w:val="0"/>
              <w:autoSpaceDE w:val="0"/>
              <w:autoSpaceDN w:val="0"/>
              <w:spacing w:after="0"/>
              <w:rPr>
                <w:rFonts w:eastAsia="Times New Roman"/>
                <w:sz w:val="20"/>
                <w:szCs w:val="20"/>
              </w:rPr>
            </w:pPr>
            <w:r w:rsidRPr="00FE5C31">
              <w:rPr>
                <w:rFonts w:eastAsia="Times New Roman"/>
                <w:sz w:val="20"/>
                <w:szCs w:val="20"/>
              </w:rPr>
              <w:t>Module 3a</w:t>
            </w:r>
          </w:p>
        </w:tc>
        <w:tc>
          <w:tcPr>
            <w:tcW w:w="5195" w:type="dxa"/>
          </w:tcPr>
          <w:p w14:paraId="3315D7FC"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b/>
                <w:bCs/>
                <w:sz w:val="20"/>
                <w:szCs w:val="20"/>
              </w:rPr>
              <w:t>Destruction</w:t>
            </w:r>
          </w:p>
          <w:p w14:paraId="680B9A43" w14:textId="388F2B3E" w:rsidR="00320A68" w:rsidRPr="00A81971" w:rsidRDefault="0032495C" w:rsidP="00320A68">
            <w:pPr>
              <w:widowControl w:val="0"/>
              <w:autoSpaceDE w:val="0"/>
              <w:autoSpaceDN w:val="0"/>
              <w:spacing w:after="0"/>
              <w:rPr>
                <w:rFonts w:eastAsia="Times New Roman"/>
                <w:sz w:val="20"/>
                <w:szCs w:val="20"/>
              </w:rPr>
            </w:pPr>
            <w:r w:rsidRPr="00A81971">
              <w:rPr>
                <w:rFonts w:eastAsia="Times New Roman"/>
                <w:sz w:val="20"/>
                <w:szCs w:val="20"/>
              </w:rPr>
              <w:t xml:space="preserve">Enabling destruction as a pilot funding window in which 20 new cement kilns can </w:t>
            </w:r>
            <w:r w:rsidR="009D22BD">
              <w:rPr>
                <w:rFonts w:eastAsia="Times New Roman"/>
                <w:sz w:val="20"/>
                <w:szCs w:val="20"/>
              </w:rPr>
              <w:t xml:space="preserve">be </w:t>
            </w:r>
            <w:r w:rsidRPr="00A81971">
              <w:rPr>
                <w:rFonts w:eastAsia="Times New Roman"/>
                <w:sz w:val="20"/>
                <w:szCs w:val="20"/>
              </w:rPr>
              <w:t>retrofit</w:t>
            </w:r>
            <w:r w:rsidR="009D22BD">
              <w:rPr>
                <w:rFonts w:eastAsia="Times New Roman"/>
                <w:sz w:val="20"/>
                <w:szCs w:val="20"/>
              </w:rPr>
              <w:t>ted</w:t>
            </w:r>
            <w:r w:rsidRPr="00A81971">
              <w:rPr>
                <w:rFonts w:eastAsia="Times New Roman"/>
                <w:sz w:val="20"/>
                <w:szCs w:val="20"/>
              </w:rPr>
              <w:t xml:space="preserve"> to feed gas into the kiln and flue gas monitoring to verify how the incineration occurred. Also includes support to kiln owners to obtain licensing or environmental permitting</w:t>
            </w:r>
          </w:p>
          <w:p w14:paraId="2029F3A1" w14:textId="77777777" w:rsidR="00320A68" w:rsidRPr="00A81971" w:rsidRDefault="00320A68" w:rsidP="00320A68">
            <w:pPr>
              <w:widowControl w:val="0"/>
              <w:autoSpaceDE w:val="0"/>
              <w:autoSpaceDN w:val="0"/>
              <w:spacing w:after="0"/>
              <w:rPr>
                <w:rFonts w:eastAsia="Times New Roman"/>
                <w:b/>
                <w:bCs/>
                <w:sz w:val="20"/>
                <w:szCs w:val="20"/>
              </w:rPr>
            </w:pPr>
          </w:p>
        </w:tc>
        <w:tc>
          <w:tcPr>
            <w:tcW w:w="2430" w:type="dxa"/>
            <w:vAlign w:val="center"/>
          </w:tcPr>
          <w:p w14:paraId="04742190" w14:textId="77777777" w:rsidR="00320A68" w:rsidRPr="00A81971" w:rsidRDefault="0032495C" w:rsidP="00BD50FD">
            <w:pPr>
              <w:widowControl w:val="0"/>
              <w:autoSpaceDE w:val="0"/>
              <w:autoSpaceDN w:val="0"/>
              <w:spacing w:after="0"/>
              <w:jc w:val="right"/>
              <w:rPr>
                <w:rFonts w:eastAsia="Times New Roman"/>
                <w:sz w:val="20"/>
                <w:szCs w:val="20"/>
              </w:rPr>
            </w:pPr>
            <w:r w:rsidRPr="00A81971">
              <w:rPr>
                <w:rFonts w:eastAsia="Times New Roman"/>
                <w:sz w:val="20"/>
                <w:szCs w:val="20"/>
              </w:rPr>
              <w:t>1,000,000</w:t>
            </w:r>
          </w:p>
        </w:tc>
      </w:tr>
      <w:tr w:rsidR="00F90461" w14:paraId="1CF5B955" w14:textId="77777777" w:rsidTr="00FE5C31">
        <w:tc>
          <w:tcPr>
            <w:tcW w:w="1370" w:type="dxa"/>
          </w:tcPr>
          <w:p w14:paraId="66637A2F" w14:textId="77777777" w:rsidR="00320A68" w:rsidRPr="00A81971" w:rsidRDefault="00320A68" w:rsidP="00320A68">
            <w:pPr>
              <w:widowControl w:val="0"/>
              <w:autoSpaceDE w:val="0"/>
              <w:autoSpaceDN w:val="0"/>
              <w:spacing w:after="0"/>
              <w:rPr>
                <w:rFonts w:eastAsia="Times New Roman"/>
                <w:b/>
                <w:bCs/>
                <w:sz w:val="20"/>
                <w:szCs w:val="20"/>
              </w:rPr>
            </w:pPr>
          </w:p>
        </w:tc>
        <w:tc>
          <w:tcPr>
            <w:tcW w:w="5195" w:type="dxa"/>
          </w:tcPr>
          <w:p w14:paraId="11534C59" w14:textId="77777777" w:rsidR="00320A68" w:rsidRPr="00A81971" w:rsidRDefault="0032495C" w:rsidP="00320A68">
            <w:pPr>
              <w:widowControl w:val="0"/>
              <w:autoSpaceDE w:val="0"/>
              <w:autoSpaceDN w:val="0"/>
              <w:spacing w:after="0"/>
              <w:rPr>
                <w:rFonts w:eastAsia="Times New Roman"/>
                <w:b/>
                <w:bCs/>
                <w:sz w:val="20"/>
                <w:szCs w:val="20"/>
              </w:rPr>
            </w:pPr>
            <w:r w:rsidRPr="00A81971">
              <w:rPr>
                <w:rFonts w:eastAsia="Times New Roman"/>
                <w:b/>
                <w:bCs/>
                <w:sz w:val="20"/>
                <w:szCs w:val="20"/>
              </w:rPr>
              <w:t xml:space="preserve">Total </w:t>
            </w:r>
          </w:p>
        </w:tc>
        <w:tc>
          <w:tcPr>
            <w:tcW w:w="2430" w:type="dxa"/>
            <w:vAlign w:val="center"/>
          </w:tcPr>
          <w:p w14:paraId="43A49BB1" w14:textId="77777777" w:rsidR="00320A68" w:rsidRPr="00A81971" w:rsidRDefault="0032495C" w:rsidP="00BD50FD">
            <w:pPr>
              <w:widowControl w:val="0"/>
              <w:autoSpaceDE w:val="0"/>
              <w:autoSpaceDN w:val="0"/>
              <w:spacing w:after="0"/>
              <w:jc w:val="right"/>
              <w:rPr>
                <w:rFonts w:eastAsia="Times New Roman"/>
                <w:b/>
                <w:bCs/>
                <w:sz w:val="20"/>
                <w:szCs w:val="20"/>
              </w:rPr>
            </w:pPr>
            <w:r w:rsidRPr="00A81971">
              <w:rPr>
                <w:rFonts w:eastAsia="Times New Roman"/>
                <w:b/>
                <w:bCs/>
                <w:sz w:val="20"/>
                <w:szCs w:val="20"/>
              </w:rPr>
              <w:t>52,548,000</w:t>
            </w:r>
          </w:p>
        </w:tc>
      </w:tr>
    </w:tbl>
    <w:p w14:paraId="19D3B82A" w14:textId="77777777" w:rsidR="00320A68" w:rsidRPr="00A81971" w:rsidRDefault="00320A68" w:rsidP="000971AA">
      <w:pPr>
        <w:spacing w:after="0"/>
        <w:sectPr w:rsidR="00320A68" w:rsidRPr="00A81971" w:rsidSect="008A3973">
          <w:headerReference w:type="even" r:id="rId32"/>
          <w:headerReference w:type="default" r:id="rId33"/>
          <w:headerReference w:type="first" r:id="rId34"/>
          <w:type w:val="oddPage"/>
          <w:pgSz w:w="11906" w:h="16838" w:code="9"/>
          <w:pgMar w:top="1411" w:right="1411" w:bottom="1411" w:left="1411" w:header="706" w:footer="706" w:gutter="0"/>
          <w:cols w:space="708"/>
          <w:docGrid w:linePitch="360"/>
        </w:sectPr>
      </w:pPr>
    </w:p>
    <w:p w14:paraId="6A4CE544" w14:textId="677AB9C5" w:rsidR="003C06F6" w:rsidRPr="002E3156" w:rsidRDefault="0032495C" w:rsidP="00696E14">
      <w:pPr>
        <w:pStyle w:val="Heading1"/>
      </w:pPr>
      <w:bookmarkStart w:id="235" w:name="_Toc240987340"/>
      <w:r w:rsidRPr="002E3156">
        <w:lastRenderedPageBreak/>
        <w:t>ANNEX 1:</w:t>
      </w:r>
      <w:r w:rsidR="00F5483D">
        <w:tab/>
      </w:r>
      <w:r w:rsidRPr="002E3156">
        <w:t>LIST OF PARTIES PENDING RATIFICATION OF THE KIGALI AMENDMENT (as of 10 AUGUST 2026)</w:t>
      </w:r>
      <w:bookmarkEnd w:id="235"/>
    </w:p>
    <w:p w14:paraId="230462E2" w14:textId="77777777" w:rsidR="003C06F6" w:rsidRPr="00A81971" w:rsidRDefault="003C06F6" w:rsidP="003C06F6">
      <w:pPr>
        <w:rPr>
          <w:lang w:eastAsia="nl-NL"/>
        </w:rPr>
      </w:pPr>
    </w:p>
    <w:tbl>
      <w:tblPr>
        <w:tblW w:w="0" w:type="auto"/>
        <w:tblLook w:val="04A0" w:firstRow="1" w:lastRow="0" w:firstColumn="1" w:lastColumn="0" w:noHBand="0" w:noVBand="1"/>
      </w:tblPr>
      <w:tblGrid>
        <w:gridCol w:w="3938"/>
        <w:gridCol w:w="3693"/>
        <w:gridCol w:w="1433"/>
      </w:tblGrid>
      <w:tr w:rsidR="00F90461" w14:paraId="7DBF3259" w14:textId="77777777" w:rsidTr="62462A06">
        <w:trPr>
          <w:trHeight w:val="10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060"/>
            <w:tcMar>
              <w:left w:w="70" w:type="dxa"/>
              <w:right w:w="70" w:type="dxa"/>
            </w:tcMar>
            <w:vAlign w:val="center"/>
          </w:tcPr>
          <w:p w14:paraId="7A523145" w14:textId="77777777" w:rsidR="003C06F6" w:rsidRPr="00A81971" w:rsidRDefault="0032495C">
            <w:pPr>
              <w:rPr>
                <w:b/>
                <w:color w:val="FFFFFF" w:themeColor="background1"/>
              </w:rPr>
            </w:pPr>
            <w:r w:rsidRPr="00A81971">
              <w:rPr>
                <w:b/>
                <w:caps/>
                <w:color w:val="FFFFFF" w:themeColor="background1"/>
              </w:rPr>
              <w:t>Countries</w:t>
            </w:r>
          </w:p>
        </w:tc>
        <w:tc>
          <w:tcPr>
            <w:tcW w:w="3701" w:type="dxa"/>
            <w:tcBorders>
              <w:top w:val="single" w:sz="8" w:space="0" w:color="000000" w:themeColor="text1"/>
              <w:left w:val="single" w:sz="8" w:space="0" w:color="000000" w:themeColor="text1"/>
              <w:bottom w:val="single" w:sz="8" w:space="0" w:color="000000" w:themeColor="text1"/>
              <w:right w:val="nil"/>
            </w:tcBorders>
            <w:shd w:val="clear" w:color="auto" w:fill="002060"/>
            <w:tcMar>
              <w:left w:w="70" w:type="dxa"/>
              <w:right w:w="70" w:type="dxa"/>
            </w:tcMar>
            <w:vAlign w:val="center"/>
          </w:tcPr>
          <w:p w14:paraId="3E39149C" w14:textId="77777777" w:rsidR="003C06F6" w:rsidRPr="00A81971" w:rsidRDefault="0032495C">
            <w:r w:rsidRPr="00A81971">
              <w:rPr>
                <w:b/>
                <w:bCs/>
                <w:caps/>
                <w:color w:val="FFFFFF" w:themeColor="background1"/>
              </w:rPr>
              <w:t xml:space="preserve">Cluster By </w:t>
            </w:r>
          </w:p>
          <w:p w14:paraId="2ED877EB" w14:textId="77777777" w:rsidR="003C06F6" w:rsidRPr="00A81971" w:rsidRDefault="0032495C" w:rsidP="62462A06">
            <w:pPr>
              <w:rPr>
                <w:b/>
                <w:bCs/>
                <w:color w:val="FFFFFF" w:themeColor="background1"/>
              </w:rPr>
            </w:pPr>
            <w:r w:rsidRPr="00A81971">
              <w:rPr>
                <w:b/>
                <w:bCs/>
                <w:caps/>
                <w:color w:val="FFFFFF" w:themeColor="background1"/>
              </w:rPr>
              <w:t>Consumption Level</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060"/>
            <w:tcMar>
              <w:left w:w="70" w:type="dxa"/>
              <w:right w:w="70" w:type="dxa"/>
            </w:tcMar>
            <w:vAlign w:val="center"/>
          </w:tcPr>
          <w:p w14:paraId="417D44A5" w14:textId="77777777" w:rsidR="003C06F6" w:rsidRPr="00A81971" w:rsidRDefault="0032495C">
            <w:pPr>
              <w:rPr>
                <w:b/>
                <w:color w:val="FFFFFF" w:themeColor="background1"/>
              </w:rPr>
            </w:pPr>
            <w:r w:rsidRPr="00A81971">
              <w:rPr>
                <w:b/>
                <w:caps/>
                <w:color w:val="FFFFFF" w:themeColor="background1"/>
              </w:rPr>
              <w:t>Group</w:t>
            </w:r>
          </w:p>
        </w:tc>
      </w:tr>
      <w:tr w:rsidR="00F90461" w14:paraId="74AEC572"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AFB7A51" w14:textId="77777777" w:rsidR="003C06F6" w:rsidRPr="006C16AF" w:rsidRDefault="0032495C" w:rsidP="62462A06">
            <w:pPr>
              <w:rPr>
                <w:rFonts w:ascii="Times" w:eastAsia="Times" w:hAnsi="Times" w:cs="Times"/>
                <w:caps/>
              </w:rPr>
            </w:pPr>
            <w:r w:rsidRPr="006C16AF">
              <w:rPr>
                <w:rFonts w:ascii="Times" w:eastAsia="Times" w:hAnsi="Times" w:cs="Times"/>
                <w:caps/>
              </w:rPr>
              <w:t>Afghanistan</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C90442E"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5944885"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5CA9CEE5"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6FD989EB" w14:textId="77777777" w:rsidR="003C06F6" w:rsidRPr="006C16AF" w:rsidRDefault="0032495C" w:rsidP="62462A06">
            <w:pPr>
              <w:rPr>
                <w:rFonts w:ascii="Times" w:eastAsia="Times" w:hAnsi="Times" w:cs="Times"/>
                <w:caps/>
              </w:rPr>
            </w:pPr>
            <w:r w:rsidRPr="006C16AF">
              <w:rPr>
                <w:rFonts w:ascii="Times" w:eastAsia="Times" w:hAnsi="Times" w:cs="Times"/>
                <w:caps/>
              </w:rPr>
              <w:t xml:space="preserve">Algeria </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78CDE9B"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24498E1"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4A2827B9"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9731B41" w14:textId="77777777" w:rsidR="003C06F6" w:rsidRPr="006C16AF" w:rsidRDefault="0032495C" w:rsidP="62462A06">
            <w:pPr>
              <w:rPr>
                <w:rFonts w:ascii="Times" w:eastAsia="Times" w:hAnsi="Times" w:cs="Times"/>
                <w:caps/>
              </w:rPr>
            </w:pPr>
            <w:r w:rsidRPr="006C16AF">
              <w:rPr>
                <w:rFonts w:ascii="Times" w:eastAsia="Times" w:hAnsi="Times" w:cs="Times"/>
                <w:caps/>
              </w:rPr>
              <w:t xml:space="preserve">Democratic Republic of the Congo </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FE97450"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A2009E3"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391F31C3"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188D162" w14:textId="77777777" w:rsidR="003C06F6" w:rsidRPr="006C16AF" w:rsidRDefault="0032495C" w:rsidP="62462A06">
            <w:pPr>
              <w:rPr>
                <w:rFonts w:ascii="Times" w:eastAsia="Times" w:hAnsi="Times" w:cs="Times"/>
                <w:caps/>
              </w:rPr>
            </w:pPr>
            <w:r w:rsidRPr="006C16AF">
              <w:rPr>
                <w:rFonts w:ascii="Times" w:eastAsia="Times" w:hAnsi="Times" w:cs="Times"/>
                <w:caps/>
              </w:rPr>
              <w:t>Libya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8D542A9"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86B5817"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47FF049E"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CC4E3A6" w14:textId="77777777" w:rsidR="003C06F6" w:rsidRPr="006C16AF" w:rsidRDefault="0032495C" w:rsidP="62462A06">
            <w:pPr>
              <w:rPr>
                <w:rFonts w:ascii="Times" w:eastAsia="Times" w:hAnsi="Times" w:cs="Times"/>
                <w:caps/>
              </w:rPr>
            </w:pPr>
            <w:r w:rsidRPr="006C16AF">
              <w:rPr>
                <w:rFonts w:ascii="Times" w:eastAsia="Times" w:hAnsi="Times" w:cs="Times"/>
                <w:caps/>
              </w:rPr>
              <w:t>Sudan</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85E4108"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2F18EC5"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5EC24882"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D60EE34" w14:textId="77777777" w:rsidR="003C06F6" w:rsidRPr="006C16AF" w:rsidRDefault="0032495C" w:rsidP="62462A06">
            <w:pPr>
              <w:rPr>
                <w:rFonts w:ascii="Times" w:eastAsia="Times" w:hAnsi="Times" w:cs="Times"/>
                <w:caps/>
              </w:rPr>
            </w:pPr>
            <w:r w:rsidRPr="006C16AF">
              <w:rPr>
                <w:rFonts w:ascii="Times" w:eastAsia="Times" w:hAnsi="Times" w:cs="Times"/>
                <w:caps/>
              </w:rPr>
              <w:t>Yemen</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A9EFB56"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301CDFCB"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0F4513CB"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E64944B" w14:textId="77777777" w:rsidR="003C06F6" w:rsidRPr="006C16AF" w:rsidRDefault="0032495C" w:rsidP="62462A06">
            <w:pPr>
              <w:rPr>
                <w:rFonts w:ascii="Times" w:eastAsia="Times" w:hAnsi="Times" w:cs="Times"/>
                <w:caps/>
              </w:rPr>
            </w:pPr>
            <w:r w:rsidRPr="006C16AF">
              <w:rPr>
                <w:rFonts w:ascii="Times" w:eastAsia="Times" w:hAnsi="Times" w:cs="Times"/>
                <w:caps/>
              </w:rPr>
              <w:t>Antigua And Barbuda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399DEC1"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1038654"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414214F6"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68150CF7" w14:textId="77777777" w:rsidR="003C06F6" w:rsidRPr="006C16AF" w:rsidRDefault="0032495C" w:rsidP="62462A06">
            <w:pPr>
              <w:rPr>
                <w:rFonts w:ascii="Times" w:eastAsia="Times" w:hAnsi="Times" w:cs="Times"/>
                <w:caps/>
              </w:rPr>
            </w:pPr>
            <w:r w:rsidRPr="006C16AF">
              <w:rPr>
                <w:rFonts w:ascii="Times" w:eastAsia="Times" w:hAnsi="Times" w:cs="Times"/>
                <w:caps/>
              </w:rPr>
              <w:t>Dominica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A9F3EBE"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A36BECA"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0198122A"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F2B0972" w14:textId="77777777" w:rsidR="003C06F6" w:rsidRPr="006C16AF" w:rsidRDefault="0032495C" w:rsidP="62462A06">
            <w:pPr>
              <w:rPr>
                <w:rFonts w:ascii="Times" w:eastAsia="Times" w:hAnsi="Times" w:cs="Times"/>
                <w:caps/>
              </w:rPr>
            </w:pPr>
            <w:r w:rsidRPr="006C16AF">
              <w:rPr>
                <w:rFonts w:ascii="Times" w:eastAsia="Times" w:hAnsi="Times" w:cs="Times"/>
                <w:caps/>
              </w:rPr>
              <w:t>Equatorial Guinea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116195A"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7D781B6"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7AD6475A"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1FD9014" w14:textId="77777777" w:rsidR="003C06F6" w:rsidRPr="006C16AF" w:rsidRDefault="0032495C" w:rsidP="62462A06">
            <w:pPr>
              <w:rPr>
                <w:rFonts w:ascii="Times" w:eastAsia="Times" w:hAnsi="Times" w:cs="Times"/>
                <w:caps/>
              </w:rPr>
            </w:pPr>
            <w:r w:rsidRPr="006C16AF">
              <w:rPr>
                <w:rFonts w:ascii="Times" w:eastAsia="Times" w:hAnsi="Times" w:cs="Times"/>
                <w:caps/>
              </w:rPr>
              <w:t>Guyana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378D194C"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3B10493C"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58996BC2"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97C4F9E" w14:textId="77777777" w:rsidR="003C06F6" w:rsidRPr="006C16AF" w:rsidRDefault="0032495C" w:rsidP="62462A06">
            <w:pPr>
              <w:rPr>
                <w:rFonts w:ascii="Times" w:eastAsia="Times" w:hAnsi="Times" w:cs="Times"/>
                <w:caps/>
                <w:color w:val="000000" w:themeColor="text1"/>
              </w:rPr>
            </w:pPr>
            <w:r w:rsidRPr="006C16AF">
              <w:rPr>
                <w:rFonts w:ascii="Times" w:eastAsia="Times" w:hAnsi="Times" w:cs="Times"/>
                <w:caps/>
                <w:color w:val="000000" w:themeColor="text1"/>
              </w:rPr>
              <w:t>Jamaica</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107270F"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A7228F1"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70E902D7"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0C7DE63" w14:textId="77777777" w:rsidR="003C06F6" w:rsidRPr="006C16AF" w:rsidRDefault="0032495C" w:rsidP="62462A06">
            <w:pPr>
              <w:rPr>
                <w:rFonts w:ascii="Times" w:eastAsia="Times" w:hAnsi="Times" w:cs="Times"/>
                <w:caps/>
                <w:color w:val="000000" w:themeColor="text1"/>
              </w:rPr>
            </w:pPr>
            <w:r w:rsidRPr="006C16AF">
              <w:rPr>
                <w:rFonts w:ascii="Times" w:eastAsia="Times" w:hAnsi="Times" w:cs="Times"/>
                <w:caps/>
                <w:color w:val="000000" w:themeColor="text1"/>
              </w:rPr>
              <w:t>Myanmar</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EAB4325"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6B3BD1B5"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13634CCC"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361ED623" w14:textId="77777777" w:rsidR="003C06F6" w:rsidRPr="006C16AF" w:rsidRDefault="0032495C" w:rsidP="62462A06">
            <w:pPr>
              <w:rPr>
                <w:rFonts w:ascii="Times" w:eastAsia="Times" w:hAnsi="Times" w:cs="Times"/>
                <w:caps/>
                <w:color w:val="000000" w:themeColor="text1"/>
              </w:rPr>
            </w:pPr>
            <w:r w:rsidRPr="006C16AF">
              <w:rPr>
                <w:rFonts w:ascii="Times" w:eastAsia="Times" w:hAnsi="Times" w:cs="Times"/>
                <w:caps/>
                <w:color w:val="000000" w:themeColor="text1"/>
              </w:rPr>
              <w:t>South Sudan</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809C312"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098D78E3"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61CF33F4"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6385E7A7" w14:textId="77777777" w:rsidR="003C06F6" w:rsidRPr="006C16AF" w:rsidRDefault="0032495C" w:rsidP="62462A06">
            <w:pPr>
              <w:rPr>
                <w:rFonts w:ascii="Times" w:eastAsia="Times" w:hAnsi="Times" w:cs="Times"/>
                <w:caps/>
              </w:rPr>
            </w:pPr>
            <w:r w:rsidRPr="006C16AF">
              <w:rPr>
                <w:rFonts w:ascii="Times" w:eastAsia="Times" w:hAnsi="Times" w:cs="Times"/>
                <w:caps/>
              </w:rPr>
              <w:t>Suriname</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314DEB1"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2AFEACA"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68CAFFAF"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6508F91F" w14:textId="77777777" w:rsidR="003C06F6" w:rsidRPr="006C16AF" w:rsidRDefault="0032495C" w:rsidP="62462A06">
            <w:pPr>
              <w:rPr>
                <w:rFonts w:ascii="Times" w:eastAsia="Times" w:hAnsi="Times" w:cs="Times"/>
                <w:caps/>
              </w:rPr>
            </w:pPr>
            <w:r w:rsidRPr="006C16AF">
              <w:rPr>
                <w:rFonts w:ascii="Times" w:eastAsia="Times" w:hAnsi="Times" w:cs="Times"/>
                <w:caps/>
              </w:rPr>
              <w:t>Timor-leste</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44A002B" w14:textId="77777777" w:rsidR="003C06F6" w:rsidRPr="006C16AF" w:rsidRDefault="0032495C" w:rsidP="62462A06">
            <w:pPr>
              <w:rPr>
                <w:rFonts w:ascii="Times" w:eastAsia="Times" w:hAnsi="Times" w:cs="Times"/>
                <w:caps/>
              </w:rPr>
            </w:pPr>
            <w:r w:rsidRPr="006C16AF">
              <w:rPr>
                <w:rFonts w:ascii="Times" w:eastAsia="Times" w:hAnsi="Times" w:cs="Times"/>
                <w:caps/>
              </w:rPr>
              <w:t>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5F5264C" w14:textId="77777777" w:rsidR="003C06F6" w:rsidRPr="0043752E" w:rsidRDefault="0032495C" w:rsidP="62462A06">
            <w:pPr>
              <w:rPr>
                <w:rFonts w:ascii="Times" w:eastAsia="Times" w:hAnsi="Times" w:cs="Times"/>
              </w:rPr>
            </w:pPr>
            <w:r w:rsidRPr="0043752E">
              <w:rPr>
                <w:rFonts w:ascii="Times" w:eastAsia="Times" w:hAnsi="Times" w:cs="Times"/>
                <w:caps/>
              </w:rPr>
              <w:t>1</w:t>
            </w:r>
          </w:p>
        </w:tc>
      </w:tr>
      <w:tr w:rsidR="00F90461" w14:paraId="3EEFD7A7" w14:textId="77777777" w:rsidTr="0043752E">
        <w:trPr>
          <w:trHeight w:val="465"/>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4EBFC0C1" w14:textId="77777777" w:rsidR="003C06F6" w:rsidRPr="006C16AF" w:rsidRDefault="0032495C" w:rsidP="62462A06">
            <w:pPr>
              <w:rPr>
                <w:rFonts w:ascii="Times" w:eastAsia="Times" w:hAnsi="Times" w:cs="Times"/>
                <w:caps/>
              </w:rPr>
            </w:pPr>
            <w:r w:rsidRPr="006C16AF">
              <w:rPr>
                <w:rFonts w:ascii="Times" w:eastAsia="Times" w:hAnsi="Times" w:cs="Times"/>
                <w:caps/>
              </w:rPr>
              <w:t>Iran (Islamic Republic Of)</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2D528056"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1121D03" w14:textId="77777777" w:rsidR="003C06F6" w:rsidRPr="0043752E" w:rsidRDefault="0032495C" w:rsidP="62462A06">
            <w:pPr>
              <w:rPr>
                <w:rFonts w:ascii="Times" w:eastAsia="Times" w:hAnsi="Times" w:cs="Times"/>
              </w:rPr>
            </w:pPr>
            <w:r w:rsidRPr="0043752E">
              <w:rPr>
                <w:rFonts w:ascii="Times" w:eastAsia="Times" w:hAnsi="Times" w:cs="Times"/>
                <w:caps/>
              </w:rPr>
              <w:t>2</w:t>
            </w:r>
          </w:p>
        </w:tc>
      </w:tr>
      <w:tr w:rsidR="00F90461" w14:paraId="1E681191" w14:textId="77777777" w:rsidTr="0043752E">
        <w:trPr>
          <w:trHeight w:val="510"/>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230FA29" w14:textId="77777777" w:rsidR="003C06F6" w:rsidRPr="006C16AF" w:rsidRDefault="0032495C" w:rsidP="62462A06">
            <w:pPr>
              <w:rPr>
                <w:rFonts w:ascii="Times" w:eastAsia="Times" w:hAnsi="Times" w:cs="Times"/>
                <w:caps/>
              </w:rPr>
            </w:pPr>
            <w:r w:rsidRPr="006C16AF">
              <w:rPr>
                <w:rFonts w:ascii="Times" w:eastAsia="Times" w:hAnsi="Times" w:cs="Times"/>
                <w:caps/>
              </w:rPr>
              <w:t>Iraq</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BF9BE39"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37038DEA" w14:textId="77777777" w:rsidR="003C06F6" w:rsidRPr="0043752E" w:rsidRDefault="0032495C" w:rsidP="62462A06">
            <w:pPr>
              <w:rPr>
                <w:rFonts w:ascii="Times" w:eastAsia="Times" w:hAnsi="Times" w:cs="Times"/>
              </w:rPr>
            </w:pPr>
            <w:r w:rsidRPr="0043752E">
              <w:rPr>
                <w:rFonts w:ascii="Times" w:eastAsia="Times" w:hAnsi="Times" w:cs="Times"/>
                <w:caps/>
              </w:rPr>
              <w:t>2</w:t>
            </w:r>
          </w:p>
        </w:tc>
      </w:tr>
      <w:tr w:rsidR="00F90461" w14:paraId="48189BD3" w14:textId="77777777" w:rsidTr="0043752E">
        <w:trPr>
          <w:trHeight w:val="510"/>
        </w:trPr>
        <w:tc>
          <w:tcPr>
            <w:tcW w:w="39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1976AD10" w14:textId="77777777" w:rsidR="003C06F6" w:rsidRPr="006C16AF" w:rsidRDefault="0032495C" w:rsidP="62462A06">
            <w:pPr>
              <w:rPr>
                <w:rFonts w:ascii="Times" w:eastAsia="Times" w:hAnsi="Times" w:cs="Times"/>
                <w:caps/>
              </w:rPr>
            </w:pPr>
            <w:r w:rsidRPr="006C16AF">
              <w:rPr>
                <w:rFonts w:ascii="Times" w:eastAsia="Times" w:hAnsi="Times" w:cs="Times"/>
                <w:caps/>
              </w:rPr>
              <w:t>Qatar</w:t>
            </w:r>
          </w:p>
        </w:tc>
        <w:tc>
          <w:tcPr>
            <w:tcW w:w="3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78D9F9EE" w14:textId="77777777" w:rsidR="003C06F6" w:rsidRPr="006C16AF" w:rsidRDefault="0032495C" w:rsidP="62462A06">
            <w:pPr>
              <w:rPr>
                <w:rFonts w:ascii="Times" w:eastAsia="Times" w:hAnsi="Times" w:cs="Times"/>
                <w:caps/>
              </w:rPr>
            </w:pPr>
            <w:r w:rsidRPr="006C16AF">
              <w:rPr>
                <w:rFonts w:ascii="Times" w:eastAsia="Times" w:hAnsi="Times" w:cs="Times"/>
                <w:caps/>
              </w:rPr>
              <w:t>Other Non-LVC</w:t>
            </w:r>
          </w:p>
        </w:tc>
        <w:tc>
          <w:tcPr>
            <w:tcW w:w="1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vAlign w:val="center"/>
          </w:tcPr>
          <w:p w14:paraId="5D56055D" w14:textId="77777777" w:rsidR="003C06F6" w:rsidRPr="0043752E" w:rsidRDefault="0032495C" w:rsidP="62462A06">
            <w:pPr>
              <w:rPr>
                <w:rFonts w:ascii="Times" w:eastAsia="Times" w:hAnsi="Times" w:cs="Times"/>
              </w:rPr>
            </w:pPr>
            <w:r w:rsidRPr="0043752E">
              <w:rPr>
                <w:rFonts w:ascii="Times" w:eastAsia="Times" w:hAnsi="Times" w:cs="Times"/>
                <w:caps/>
              </w:rPr>
              <w:t>2</w:t>
            </w:r>
          </w:p>
        </w:tc>
      </w:tr>
    </w:tbl>
    <w:p w14:paraId="731EBBBA" w14:textId="77777777" w:rsidR="003C06F6" w:rsidRPr="00A81971" w:rsidRDefault="0032495C" w:rsidP="003C06F6">
      <w:r w:rsidRPr="00A81971">
        <w:t xml:space="preserve"> </w:t>
      </w:r>
    </w:p>
    <w:p w14:paraId="7B223999" w14:textId="77777777" w:rsidR="00924C53" w:rsidRDefault="0032495C" w:rsidP="003C06F6">
      <w:pPr>
        <w:sectPr w:rsidR="00924C53" w:rsidSect="008A3973">
          <w:pgSz w:w="11906" w:h="16838" w:code="9"/>
          <w:pgMar w:top="1411" w:right="1411" w:bottom="1411" w:left="1411" w:header="706" w:footer="706" w:gutter="0"/>
          <w:cols w:space="708"/>
          <w:docGrid w:linePitch="360"/>
        </w:sectPr>
      </w:pPr>
      <w:r w:rsidRPr="00A81971">
        <w:br w:type="page"/>
      </w:r>
    </w:p>
    <w:p w14:paraId="7D14B2BF" w14:textId="77777777" w:rsidR="003C06F6" w:rsidRPr="00A81971" w:rsidRDefault="003C06F6" w:rsidP="003C06F6"/>
    <w:p w14:paraId="1E1A440C" w14:textId="6A35A902" w:rsidR="00793ABA" w:rsidRPr="00A81971" w:rsidRDefault="0032495C" w:rsidP="00696E14">
      <w:pPr>
        <w:pStyle w:val="Heading1"/>
      </w:pPr>
      <w:bookmarkStart w:id="236" w:name="_Toc240987341"/>
      <w:r w:rsidRPr="00A81971">
        <w:t xml:space="preserve">ANNEX </w:t>
      </w:r>
      <w:r w:rsidR="003C06F6" w:rsidRPr="00A81971">
        <w:t>2</w:t>
      </w:r>
      <w:r w:rsidRPr="00A81971">
        <w:t>:</w:t>
      </w:r>
      <w:r w:rsidR="00F5483D">
        <w:tab/>
      </w:r>
      <w:r w:rsidRPr="00A81971">
        <w:t>ESTIMATED FUNDING METHODOLOGY FOR HCFC CONSUMPTION SECTOR (</w:t>
      </w:r>
      <w:r w:rsidRPr="00E80F99">
        <w:t>UPDATED</w:t>
      </w:r>
      <w:r w:rsidR="091457C3" w:rsidRPr="00E80F99">
        <w:t xml:space="preserve"> RTF May </w:t>
      </w:r>
      <w:r w:rsidR="00FF6EB1" w:rsidRPr="00E80F99">
        <w:t xml:space="preserve">2026 </w:t>
      </w:r>
      <w:r w:rsidR="091457C3" w:rsidRPr="00E80F99">
        <w:t>report</w:t>
      </w:r>
      <w:r w:rsidRPr="00A81971">
        <w:t>)</w:t>
      </w:r>
      <w:r w:rsidR="2E7655E2" w:rsidRPr="2E7655E2">
        <w:t xml:space="preserve"> </w:t>
      </w:r>
      <w:r>
        <w:rPr>
          <w:vertAlign w:val="superscript"/>
        </w:rPr>
        <w:footnoteReference w:id="27"/>
      </w:r>
      <w:bookmarkEnd w:id="236"/>
    </w:p>
    <w:p w14:paraId="70B1412B" w14:textId="77777777" w:rsidR="00191417" w:rsidRPr="00A81971" w:rsidRDefault="00191417" w:rsidP="00191417">
      <w:pPr>
        <w:spacing w:after="0"/>
      </w:pPr>
    </w:p>
    <w:p w14:paraId="5B1E1365" w14:textId="77777777" w:rsidR="00793ABA" w:rsidRPr="00A81971" w:rsidRDefault="0032495C" w:rsidP="060C4F7D">
      <w:pPr>
        <w:spacing w:after="240"/>
        <w:rPr>
          <w:rFonts w:eastAsia="Times New Roman"/>
          <w:color w:val="FF0000"/>
          <w:highlight w:val="yellow"/>
        </w:rPr>
      </w:pPr>
      <w:r w:rsidRPr="00A81971">
        <w:rPr>
          <w:rFonts w:eastAsia="Times New Roman"/>
          <w:color w:val="000000" w:themeColor="text1"/>
        </w:rPr>
        <w:t xml:space="preserve">This annex provides information on the </w:t>
      </w:r>
      <w:r w:rsidR="00B93305" w:rsidRPr="00A81971">
        <w:rPr>
          <w:rFonts w:eastAsia="Times New Roman"/>
          <w:color w:val="000000" w:themeColor="text1"/>
        </w:rPr>
        <w:t xml:space="preserve">updated </w:t>
      </w:r>
      <w:r w:rsidRPr="00A81971">
        <w:rPr>
          <w:rFonts w:eastAsia="Times New Roman"/>
          <w:color w:val="000000" w:themeColor="text1"/>
        </w:rPr>
        <w:t xml:space="preserve">estimated funding methodology for the HCFC consumption sector. For HCFC consumption, the assessment considers funding estimates for the completion of </w:t>
      </w:r>
      <w:r w:rsidR="006C4AC2" w:rsidRPr="00A81971">
        <w:rPr>
          <w:rFonts w:eastAsia="Times New Roman"/>
          <w:color w:val="000000" w:themeColor="text1"/>
        </w:rPr>
        <w:t xml:space="preserve">the </w:t>
      </w:r>
      <w:r w:rsidRPr="00A81971">
        <w:rPr>
          <w:rFonts w:eastAsia="Times New Roman"/>
          <w:color w:val="000000" w:themeColor="text1"/>
        </w:rPr>
        <w:t xml:space="preserve">HCFC phase out by 2030, with no </w:t>
      </w:r>
      <w:r w:rsidR="00931A33" w:rsidRPr="00A81971">
        <w:rPr>
          <w:rFonts w:eastAsia="Times New Roman"/>
          <w:color w:val="000000" w:themeColor="text1"/>
        </w:rPr>
        <w:t xml:space="preserve">additional </w:t>
      </w:r>
      <w:r w:rsidRPr="00A81971">
        <w:rPr>
          <w:rFonts w:eastAsia="Times New Roman"/>
          <w:color w:val="000000" w:themeColor="text1"/>
        </w:rPr>
        <w:t xml:space="preserve">funding for </w:t>
      </w:r>
      <w:r w:rsidR="00447D71" w:rsidRPr="00A81971">
        <w:rPr>
          <w:rFonts w:eastAsia="Times New Roman"/>
          <w:color w:val="000000" w:themeColor="text1"/>
        </w:rPr>
        <w:t xml:space="preserve">new HCFC phaseout activities </w:t>
      </w:r>
      <w:r w:rsidR="00064907" w:rsidRPr="00A81971">
        <w:rPr>
          <w:rFonts w:eastAsia="Times New Roman"/>
          <w:color w:val="000000" w:themeColor="text1"/>
        </w:rPr>
        <w:t xml:space="preserve">assumed for </w:t>
      </w:r>
      <w:r w:rsidRPr="00A81971">
        <w:rPr>
          <w:rFonts w:eastAsia="Times New Roman"/>
          <w:color w:val="000000" w:themeColor="text1"/>
        </w:rPr>
        <w:t xml:space="preserve">triennia after 2030, other than funding </w:t>
      </w:r>
      <w:r w:rsidR="00577521" w:rsidRPr="00A81971">
        <w:rPr>
          <w:rFonts w:eastAsia="Times New Roman"/>
          <w:color w:val="000000" w:themeColor="text1"/>
        </w:rPr>
        <w:t xml:space="preserve">already committed </w:t>
      </w:r>
      <w:r w:rsidR="00342C4B" w:rsidRPr="00A81971">
        <w:rPr>
          <w:rFonts w:eastAsia="Times New Roman"/>
          <w:color w:val="000000" w:themeColor="text1"/>
        </w:rPr>
        <w:t xml:space="preserve">under </w:t>
      </w:r>
      <w:r w:rsidRPr="00A81971">
        <w:rPr>
          <w:rFonts w:eastAsia="Times New Roman"/>
          <w:color w:val="000000" w:themeColor="text1"/>
        </w:rPr>
        <w:t xml:space="preserve">approved HPMPs. In addition, </w:t>
      </w:r>
      <w:r w:rsidR="007F3669" w:rsidRPr="00A81971">
        <w:rPr>
          <w:rFonts w:eastAsia="Times New Roman"/>
          <w:color w:val="000000" w:themeColor="text1"/>
        </w:rPr>
        <w:t xml:space="preserve">the assessment includes </w:t>
      </w:r>
      <w:r w:rsidRPr="00A81971">
        <w:rPr>
          <w:rFonts w:eastAsia="Times New Roman"/>
          <w:color w:val="000000" w:themeColor="text1"/>
        </w:rPr>
        <w:t>fund</w:t>
      </w:r>
      <w:r w:rsidR="00D419BA" w:rsidRPr="00A81971">
        <w:rPr>
          <w:rFonts w:eastAsia="Times New Roman"/>
          <w:color w:val="000000" w:themeColor="text1"/>
        </w:rPr>
        <w:t>ing</w:t>
      </w:r>
      <w:r w:rsidRPr="00A81971">
        <w:rPr>
          <w:rFonts w:eastAsia="Times New Roman"/>
          <w:color w:val="000000" w:themeColor="text1"/>
        </w:rPr>
        <w:t xml:space="preserve"> </w:t>
      </w:r>
      <w:r w:rsidR="00D419BA" w:rsidRPr="00A81971">
        <w:rPr>
          <w:rFonts w:eastAsia="Times New Roman"/>
          <w:color w:val="000000" w:themeColor="text1"/>
        </w:rPr>
        <w:t xml:space="preserve">the </w:t>
      </w:r>
      <w:r w:rsidRPr="00A81971">
        <w:rPr>
          <w:rFonts w:eastAsia="Times New Roman"/>
          <w:color w:val="000000" w:themeColor="text1"/>
        </w:rPr>
        <w:t xml:space="preserve">HPMP </w:t>
      </w:r>
      <w:r w:rsidR="00990568">
        <w:rPr>
          <w:rFonts w:eastAsia="Times New Roman"/>
          <w:color w:val="000000" w:themeColor="text1"/>
        </w:rPr>
        <w:t>VER</w:t>
      </w:r>
      <w:r w:rsidRPr="00A81971">
        <w:rPr>
          <w:rFonts w:eastAsia="Times New Roman"/>
          <w:color w:val="000000" w:themeColor="text1"/>
        </w:rPr>
        <w:t xml:space="preserve">, </w:t>
      </w:r>
      <w:r w:rsidR="00990568">
        <w:rPr>
          <w:rFonts w:eastAsia="Times New Roman"/>
          <w:color w:val="000000" w:themeColor="text1"/>
        </w:rPr>
        <w:t>PRP</w:t>
      </w:r>
      <w:r w:rsidRPr="00A81971">
        <w:rPr>
          <w:rFonts w:eastAsia="Times New Roman"/>
          <w:color w:val="000000" w:themeColor="text1"/>
        </w:rPr>
        <w:t>, and EE</w:t>
      </w:r>
      <w:r w:rsidR="00F77D4D" w:rsidRPr="00A81971">
        <w:rPr>
          <w:rFonts w:eastAsia="Times New Roman"/>
          <w:color w:val="000000" w:themeColor="text1"/>
        </w:rPr>
        <w:t xml:space="preserve">, as applicable under </w:t>
      </w:r>
      <w:r w:rsidR="00562ADD" w:rsidRPr="00A81971">
        <w:rPr>
          <w:rFonts w:eastAsia="Times New Roman"/>
          <w:color w:val="000000" w:themeColor="text1"/>
        </w:rPr>
        <w:t>relevant ExC</w:t>
      </w:r>
      <w:r w:rsidR="00990568">
        <w:rPr>
          <w:rFonts w:eastAsia="Times New Roman"/>
          <w:color w:val="000000" w:themeColor="text1"/>
        </w:rPr>
        <w:t>om</w:t>
      </w:r>
      <w:r w:rsidR="00562ADD" w:rsidRPr="00A81971">
        <w:rPr>
          <w:rFonts w:eastAsia="Times New Roman"/>
          <w:color w:val="000000" w:themeColor="text1"/>
        </w:rPr>
        <w:t xml:space="preserve"> decisions</w:t>
      </w:r>
      <w:r w:rsidR="003A40FD" w:rsidRPr="00A81971">
        <w:rPr>
          <w:rFonts w:eastAsia="Times New Roman"/>
          <w:color w:val="000000" w:themeColor="text1"/>
        </w:rPr>
        <w:t>,</w:t>
      </w:r>
      <w:r w:rsidRPr="00A81971">
        <w:rPr>
          <w:rFonts w:eastAsia="Times New Roman"/>
          <w:color w:val="000000" w:themeColor="text1"/>
        </w:rPr>
        <w:t xml:space="preserve"> </w:t>
      </w:r>
      <w:r w:rsidR="003A40FD" w:rsidRPr="00A81971">
        <w:rPr>
          <w:rFonts w:eastAsia="Times New Roman"/>
          <w:color w:val="000000" w:themeColor="text1"/>
        </w:rPr>
        <w:t>inclu</w:t>
      </w:r>
      <w:r w:rsidRPr="00A81971">
        <w:rPr>
          <w:rFonts w:eastAsia="Times New Roman"/>
          <w:color w:val="000000" w:themeColor="text1"/>
        </w:rPr>
        <w:t xml:space="preserve">ding Decision 89/6 (LVCs). Implementing agency support costs were considered at an average of 9.6%. </w:t>
      </w:r>
      <w:r w:rsidR="00895124" w:rsidRPr="00A81971">
        <w:rPr>
          <w:rFonts w:eastAsia="Times New Roman"/>
          <w:color w:val="000000" w:themeColor="text1"/>
        </w:rPr>
        <w:t>T</w:t>
      </w:r>
      <w:r w:rsidR="008816CF" w:rsidRPr="00A81971">
        <w:rPr>
          <w:rFonts w:eastAsia="Times New Roman"/>
          <w:color w:val="000000" w:themeColor="text1"/>
        </w:rPr>
        <w:t xml:space="preserve">he </w:t>
      </w:r>
      <w:r w:rsidRPr="00A81971">
        <w:rPr>
          <w:rFonts w:eastAsia="Times New Roman"/>
          <w:color w:val="000000" w:themeColor="text1"/>
        </w:rPr>
        <w:t xml:space="preserve">RTF also applied </w:t>
      </w:r>
      <w:r w:rsidR="00EA0AF3" w:rsidRPr="00A81971">
        <w:rPr>
          <w:rFonts w:eastAsia="Times New Roman"/>
          <w:color w:val="000000" w:themeColor="text1"/>
        </w:rPr>
        <w:t xml:space="preserve">a </w:t>
      </w:r>
      <w:r w:rsidRPr="00A81971">
        <w:rPr>
          <w:rFonts w:eastAsia="Times New Roman"/>
          <w:color w:val="000000" w:themeColor="text1"/>
        </w:rPr>
        <w:t xml:space="preserve">15% deduction </w:t>
      </w:r>
      <w:r w:rsidR="00DC496B" w:rsidRPr="00A81971">
        <w:rPr>
          <w:rFonts w:eastAsia="Times New Roman"/>
          <w:color w:val="000000" w:themeColor="text1"/>
        </w:rPr>
        <w:t xml:space="preserve">to the estimated eligible costs </w:t>
      </w:r>
      <w:r w:rsidRPr="00A81971">
        <w:rPr>
          <w:rFonts w:eastAsia="Times New Roman"/>
          <w:color w:val="000000" w:themeColor="text1"/>
        </w:rPr>
        <w:t>for foreign</w:t>
      </w:r>
      <w:r w:rsidR="00990568">
        <w:rPr>
          <w:rFonts w:eastAsia="Times New Roman"/>
          <w:color w:val="000000" w:themeColor="text1"/>
        </w:rPr>
        <w:t>-</w:t>
      </w:r>
      <w:r w:rsidRPr="00A81971">
        <w:rPr>
          <w:rFonts w:eastAsia="Times New Roman"/>
          <w:color w:val="000000" w:themeColor="text1"/>
        </w:rPr>
        <w:t xml:space="preserve"> owne</w:t>
      </w:r>
      <w:r w:rsidR="0026360B" w:rsidRPr="00A81971">
        <w:rPr>
          <w:rFonts w:eastAsia="Times New Roman"/>
          <w:color w:val="000000" w:themeColor="text1"/>
        </w:rPr>
        <w:t>d</w:t>
      </w:r>
      <w:r w:rsidRPr="00A81971">
        <w:rPr>
          <w:rFonts w:eastAsia="Times New Roman"/>
          <w:color w:val="000000" w:themeColor="text1"/>
        </w:rPr>
        <w:t xml:space="preserve"> </w:t>
      </w:r>
      <w:r w:rsidR="0026360B" w:rsidRPr="00A81971">
        <w:rPr>
          <w:rFonts w:eastAsia="Times New Roman"/>
          <w:color w:val="000000" w:themeColor="text1"/>
        </w:rPr>
        <w:t>enterprises</w:t>
      </w:r>
      <w:r w:rsidRPr="00A81971">
        <w:rPr>
          <w:rFonts w:eastAsia="Times New Roman"/>
          <w:color w:val="000000" w:themeColor="text1"/>
        </w:rPr>
        <w:t xml:space="preserve"> in the manufacturing sector</w:t>
      </w:r>
      <w:r w:rsidRPr="00A81971">
        <w:rPr>
          <w:rFonts w:eastAsia="Times New Roman"/>
        </w:rPr>
        <w:t xml:space="preserve">. </w:t>
      </w:r>
      <w:r w:rsidR="5F0D7981" w:rsidRPr="00A81971">
        <w:rPr>
          <w:rFonts w:eastAsia="Times New Roman"/>
        </w:rPr>
        <w:t xml:space="preserve">For the non-LVC parties with remaining eligible consumption to reach a complete phase out, the RTF applied PMU costs which were not included in the RTF estimates for its May 2026 report. </w:t>
      </w:r>
    </w:p>
    <w:p w14:paraId="2BDADE70"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HCFC activities are approaching completion for most A5 parties, whereas HFC</w:t>
      </w:r>
      <w:r w:rsidR="006655CF" w:rsidRPr="00A81971">
        <w:rPr>
          <w:rFonts w:eastAsia="Times New Roman"/>
          <w:color w:val="000000" w:themeColor="text1"/>
        </w:rPr>
        <w:t>-</w:t>
      </w:r>
      <w:r w:rsidRPr="00A81971">
        <w:rPr>
          <w:rFonts w:eastAsia="Times New Roman"/>
          <w:color w:val="000000" w:themeColor="text1"/>
        </w:rPr>
        <w:t>related activities, while progressing, remain at an earlier stage. The models are structured and customized to reflect the different stages of the two regimes while following</w:t>
      </w:r>
      <w:r w:rsidR="008C10CB" w:rsidRPr="00A81971">
        <w:rPr>
          <w:rFonts w:eastAsia="Times New Roman"/>
          <w:color w:val="000000" w:themeColor="text1"/>
        </w:rPr>
        <w:t>,</w:t>
      </w:r>
      <w:r w:rsidRPr="00A81971">
        <w:rPr>
          <w:rFonts w:eastAsia="Times New Roman"/>
          <w:color w:val="000000" w:themeColor="text1"/>
        </w:rPr>
        <w:t xml:space="preserve"> to the extent possible</w:t>
      </w:r>
      <w:r w:rsidR="000D4E30" w:rsidRPr="00A81971">
        <w:rPr>
          <w:rFonts w:eastAsia="Times New Roman"/>
          <w:color w:val="000000" w:themeColor="text1"/>
        </w:rPr>
        <w:t>,</w:t>
      </w:r>
      <w:r w:rsidRPr="00A81971">
        <w:rPr>
          <w:rFonts w:eastAsia="Times New Roman"/>
          <w:color w:val="000000" w:themeColor="text1"/>
        </w:rPr>
        <w:t xml:space="preserve"> the MLF project cycle, and consequently the required MLF </w:t>
      </w:r>
      <w:r w:rsidR="00F6168D" w:rsidRPr="00A81971">
        <w:rPr>
          <w:rFonts w:eastAsia="Times New Roman"/>
          <w:color w:val="000000" w:themeColor="text1"/>
        </w:rPr>
        <w:t>r</w:t>
      </w:r>
      <w:r w:rsidRPr="00A81971">
        <w:rPr>
          <w:rFonts w:eastAsia="Times New Roman"/>
          <w:color w:val="000000" w:themeColor="text1"/>
        </w:rPr>
        <w:t>eplenishment. The RTF also proposes a</w:t>
      </w:r>
      <w:r w:rsidR="0081283A" w:rsidRPr="00A81971">
        <w:rPr>
          <w:rFonts w:eastAsia="Times New Roman"/>
          <w:color w:val="000000" w:themeColor="text1"/>
        </w:rPr>
        <w:t>n</w:t>
      </w:r>
      <w:r w:rsidRPr="00A81971">
        <w:rPr>
          <w:rFonts w:eastAsia="Times New Roman"/>
          <w:color w:val="000000" w:themeColor="text1"/>
        </w:rPr>
        <w:t xml:space="preserve"> </w:t>
      </w:r>
      <w:r w:rsidR="0081283A" w:rsidRPr="00A81971">
        <w:rPr>
          <w:rFonts w:eastAsia="Times New Roman"/>
          <w:color w:val="000000" w:themeColor="text1"/>
        </w:rPr>
        <w:t>indicative</w:t>
      </w:r>
      <w:r w:rsidRPr="00A81971">
        <w:rPr>
          <w:rFonts w:eastAsia="Times New Roman"/>
          <w:color w:val="000000" w:themeColor="text1"/>
        </w:rPr>
        <w:t xml:space="preserve"> resource allocation </w:t>
      </w:r>
      <w:r w:rsidR="003C5A23" w:rsidRPr="00A81971">
        <w:rPr>
          <w:rFonts w:eastAsia="Times New Roman"/>
          <w:color w:val="000000" w:themeColor="text1"/>
        </w:rPr>
        <w:t xml:space="preserve">for </w:t>
      </w:r>
      <w:r w:rsidRPr="00A81971">
        <w:rPr>
          <w:rFonts w:eastAsia="Times New Roman"/>
          <w:color w:val="000000" w:themeColor="text1"/>
        </w:rPr>
        <w:t xml:space="preserve">the 2027-2029 triennium and the following two triennia, for consideration </w:t>
      </w:r>
      <w:r w:rsidR="00D20D55" w:rsidRPr="00A81971">
        <w:rPr>
          <w:rFonts w:eastAsia="Times New Roman"/>
          <w:color w:val="000000" w:themeColor="text1"/>
        </w:rPr>
        <w:t>by</w:t>
      </w:r>
      <w:r w:rsidRPr="00A81971">
        <w:rPr>
          <w:rFonts w:eastAsia="Times New Roman"/>
          <w:color w:val="000000" w:themeColor="text1"/>
        </w:rPr>
        <w:t xml:space="preserve"> parties. The objective is to produce an assessment that is transparent, policy consistent, and with defensible funding projections, aligned </w:t>
      </w:r>
      <w:r w:rsidRPr="00990568">
        <w:rPr>
          <w:rFonts w:eastAsia="Times New Roman"/>
          <w:color w:val="000000" w:themeColor="text1"/>
        </w:rPr>
        <w:t xml:space="preserve">with </w:t>
      </w:r>
      <w:r w:rsidR="004B26D5" w:rsidRPr="00990568">
        <w:rPr>
          <w:rFonts w:eastAsia="Times New Roman"/>
          <w:color w:val="000000" w:themeColor="text1"/>
        </w:rPr>
        <w:t>the</w:t>
      </w:r>
      <w:r w:rsidRPr="00990568">
        <w:rPr>
          <w:rFonts w:eastAsia="Times New Roman"/>
          <w:color w:val="000000" w:themeColor="text1"/>
        </w:rPr>
        <w:t xml:space="preserve"> compliance obligations of A5 parties.</w:t>
      </w:r>
      <w:r w:rsidRPr="00A81971">
        <w:rPr>
          <w:rFonts w:eastAsia="Times New Roman"/>
          <w:color w:val="000000" w:themeColor="text1"/>
        </w:rPr>
        <w:t xml:space="preserve"> </w:t>
      </w:r>
    </w:p>
    <w:p w14:paraId="069432E0" w14:textId="77777777" w:rsidR="00793ABA" w:rsidRPr="00A81971" w:rsidRDefault="0032495C" w:rsidP="00201CFA">
      <w:pPr>
        <w:pStyle w:val="Heading2"/>
        <w:rPr>
          <w:highlight w:val="yellow"/>
        </w:rPr>
      </w:pPr>
      <w:bookmarkStart w:id="237" w:name="_Toc240987342"/>
      <w:r w:rsidRPr="00A81971">
        <w:t>A</w:t>
      </w:r>
      <w:r w:rsidR="00B51EC6" w:rsidRPr="00A81971">
        <w:t>2</w:t>
      </w:r>
      <w:r w:rsidRPr="00A81971">
        <w:t>.1</w:t>
      </w:r>
      <w:r w:rsidRPr="00A81971">
        <w:tab/>
        <w:t>Sources of Information</w:t>
      </w:r>
      <w:bookmarkEnd w:id="237"/>
      <w:r w:rsidR="5F0D7981" w:rsidRPr="00A81971">
        <w:t xml:space="preserve"> </w:t>
      </w:r>
    </w:p>
    <w:p w14:paraId="7E707A16"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The RTF modelling approach consolidates </w:t>
      </w:r>
      <w:r w:rsidR="00B93305" w:rsidRPr="00A81971">
        <w:rPr>
          <w:rFonts w:eastAsia="Times New Roman"/>
          <w:color w:val="000000" w:themeColor="text1"/>
        </w:rPr>
        <w:t xml:space="preserve">updated </w:t>
      </w:r>
      <w:r w:rsidRPr="00A81971">
        <w:rPr>
          <w:rFonts w:eastAsia="Times New Roman"/>
          <w:color w:val="000000" w:themeColor="text1"/>
        </w:rPr>
        <w:t>data from the following sources:</w:t>
      </w:r>
    </w:p>
    <w:p w14:paraId="3C089F78" w14:textId="5B0BF45A" w:rsidR="00793ABA" w:rsidRPr="00A81971" w:rsidRDefault="0032495C" w:rsidP="007A20BD">
      <w:pPr>
        <w:pStyle w:val="ListParagraph"/>
        <w:numPr>
          <w:ilvl w:val="0"/>
          <w:numId w:val="19"/>
        </w:numPr>
        <w:tabs>
          <w:tab w:val="left" w:pos="0"/>
          <w:tab w:val="left" w:pos="720"/>
        </w:tabs>
        <w:spacing w:after="240" w:line="259" w:lineRule="auto"/>
        <w:rPr>
          <w:rFonts w:eastAsia="Times New Roman"/>
          <w:color w:val="000000" w:themeColor="text1"/>
        </w:rPr>
      </w:pPr>
      <w:r w:rsidRPr="00A81971">
        <w:rPr>
          <w:rFonts w:eastAsia="Times New Roman"/>
          <w:color w:val="000000" w:themeColor="text1"/>
        </w:rPr>
        <w:t xml:space="preserve">A7 consumption data as reported to the OS, as of </w:t>
      </w:r>
      <w:r w:rsidR="457BD43E" w:rsidRPr="00A81971">
        <w:rPr>
          <w:rFonts w:eastAsia="Times New Roman"/>
          <w:color w:val="000000" w:themeColor="text1"/>
        </w:rPr>
        <w:t>17 July</w:t>
      </w:r>
      <w:r w:rsidRPr="00A81971">
        <w:rPr>
          <w:rFonts w:eastAsia="Times New Roman"/>
          <w:color w:val="000000" w:themeColor="text1"/>
        </w:rPr>
        <w:t xml:space="preserve"> 2026</w:t>
      </w:r>
      <w:r w:rsidR="00595A33">
        <w:rPr>
          <w:rFonts w:eastAsia="Times New Roman"/>
          <w:color w:val="000000" w:themeColor="text1"/>
        </w:rPr>
        <w:t>;</w:t>
      </w:r>
    </w:p>
    <w:p w14:paraId="31DA93A3" w14:textId="74A9F74F" w:rsidR="00793ABA" w:rsidRPr="00A81971" w:rsidRDefault="0032495C" w:rsidP="007A20BD">
      <w:pPr>
        <w:pStyle w:val="ListParagraph"/>
        <w:numPr>
          <w:ilvl w:val="0"/>
          <w:numId w:val="19"/>
        </w:numPr>
        <w:tabs>
          <w:tab w:val="left" w:pos="0"/>
          <w:tab w:val="left" w:pos="720"/>
        </w:tabs>
        <w:spacing w:after="240" w:line="259" w:lineRule="auto"/>
        <w:rPr>
          <w:rFonts w:eastAsia="Times New Roman"/>
          <w:color w:val="000000" w:themeColor="text1"/>
        </w:rPr>
      </w:pPr>
      <w:r w:rsidRPr="00A81971">
        <w:rPr>
          <w:rFonts w:eastAsia="Times New Roman"/>
          <w:color w:val="000000" w:themeColor="text1"/>
        </w:rPr>
        <w:t>CP data submitted to the MLFS</w:t>
      </w:r>
      <w:r w:rsidRPr="00990568">
        <w:rPr>
          <w:rFonts w:eastAsia="Times New Roman"/>
          <w:color w:val="000000" w:themeColor="text1"/>
        </w:rPr>
        <w:t xml:space="preserve">, as of </w:t>
      </w:r>
      <w:r w:rsidR="457BD43E" w:rsidRPr="00990568">
        <w:rPr>
          <w:rFonts w:eastAsia="Times New Roman"/>
          <w:color w:val="000000" w:themeColor="text1"/>
        </w:rPr>
        <w:t>17 July</w:t>
      </w:r>
      <w:r w:rsidRPr="00990568">
        <w:rPr>
          <w:rFonts w:eastAsia="Times New Roman"/>
          <w:color w:val="000000" w:themeColor="text1"/>
        </w:rPr>
        <w:t xml:space="preserve"> 2026</w:t>
      </w:r>
      <w:r w:rsidR="00595A33">
        <w:rPr>
          <w:rFonts w:eastAsia="Times New Roman"/>
          <w:color w:val="000000" w:themeColor="text1"/>
        </w:rPr>
        <w:t>;</w:t>
      </w:r>
    </w:p>
    <w:p w14:paraId="295EB446" w14:textId="37819101" w:rsidR="00793ABA" w:rsidRPr="00A81971" w:rsidRDefault="0032495C" w:rsidP="007A20BD">
      <w:pPr>
        <w:pStyle w:val="ListParagraph"/>
        <w:numPr>
          <w:ilvl w:val="0"/>
          <w:numId w:val="19"/>
        </w:numPr>
        <w:tabs>
          <w:tab w:val="left" w:pos="0"/>
          <w:tab w:val="left" w:pos="720"/>
        </w:tabs>
        <w:spacing w:after="240"/>
        <w:rPr>
          <w:rFonts w:eastAsia="Times New Roman"/>
          <w:color w:val="000000" w:themeColor="text1"/>
        </w:rPr>
      </w:pPr>
      <w:r w:rsidRPr="00A81971">
        <w:rPr>
          <w:rFonts w:eastAsia="Times New Roman"/>
          <w:color w:val="000000" w:themeColor="text1"/>
        </w:rPr>
        <w:t>Information provided by the MLFS on approved HPMPs, including agreed reductions from baseline consumption, funding and tranche schedules, project preparation and verification activities, as well as information on EE and the status of funding windows</w:t>
      </w:r>
      <w:r w:rsidR="00595A33">
        <w:rPr>
          <w:rFonts w:eastAsia="Times New Roman"/>
          <w:color w:val="000000" w:themeColor="text1"/>
        </w:rPr>
        <w:t>;</w:t>
      </w:r>
    </w:p>
    <w:p w14:paraId="3136B606" w14:textId="77777777" w:rsidR="00793ABA" w:rsidRPr="00A81971" w:rsidRDefault="0032495C" w:rsidP="007A20BD">
      <w:pPr>
        <w:pStyle w:val="ListParagraph"/>
        <w:numPr>
          <w:ilvl w:val="0"/>
          <w:numId w:val="19"/>
        </w:numPr>
        <w:tabs>
          <w:tab w:val="left" w:pos="0"/>
          <w:tab w:val="left" w:pos="720"/>
        </w:tabs>
        <w:spacing w:after="240"/>
        <w:rPr>
          <w:rFonts w:eastAsia="Times New Roman"/>
          <w:color w:val="000000" w:themeColor="text1"/>
        </w:rPr>
      </w:pPr>
      <w:r w:rsidRPr="00A81971">
        <w:rPr>
          <w:rFonts w:eastAsia="Times New Roman"/>
          <w:color w:val="000000" w:themeColor="text1"/>
        </w:rPr>
        <w:t>ExCom documents and decisions, including cost guidelines, up to and including ExCom-98.</w:t>
      </w:r>
    </w:p>
    <w:p w14:paraId="1AF1E0CB" w14:textId="00A49E39" w:rsidR="00793ABA" w:rsidRPr="00A81971" w:rsidRDefault="0032495C" w:rsidP="007A20BD">
      <w:pPr>
        <w:pStyle w:val="ListParagraph"/>
        <w:numPr>
          <w:ilvl w:val="0"/>
          <w:numId w:val="19"/>
        </w:numPr>
        <w:tabs>
          <w:tab w:val="left" w:pos="0"/>
          <w:tab w:val="left" w:pos="720"/>
        </w:tabs>
        <w:spacing w:after="240"/>
        <w:rPr>
          <w:rFonts w:eastAsia="Times New Roman"/>
        </w:rPr>
      </w:pPr>
      <w:r w:rsidRPr="00A81971">
        <w:rPr>
          <w:rFonts w:eastAsia="Times New Roman"/>
          <w:color w:val="000000" w:themeColor="text1"/>
        </w:rPr>
        <w:t>Classification of LVCs based on HCFC and HFC baseline consumption (</w:t>
      </w:r>
      <w:r w:rsidR="5F0D7981" w:rsidRPr="00A81971">
        <w:rPr>
          <w:rFonts w:eastAsia="Times New Roman"/>
          <w:color w:val="000000" w:themeColor="text1"/>
        </w:rPr>
        <w:t xml:space="preserve">unchanged as </w:t>
      </w:r>
      <w:r w:rsidRPr="00A81971">
        <w:rPr>
          <w:rFonts w:eastAsia="Times New Roman"/>
          <w:color w:val="000000" w:themeColor="text1"/>
        </w:rPr>
        <w:t>presented in Annex 5</w:t>
      </w:r>
      <w:r w:rsidR="5F0D7981" w:rsidRPr="00A81971">
        <w:rPr>
          <w:rFonts w:eastAsia="Times New Roman"/>
          <w:color w:val="000000" w:themeColor="text1"/>
        </w:rPr>
        <w:t xml:space="preserve"> of the RTF </w:t>
      </w:r>
      <w:r w:rsidR="5F0D7981" w:rsidRPr="00A81971">
        <w:rPr>
          <w:rFonts w:eastAsia="Times New Roman"/>
        </w:rPr>
        <w:t>May 2026 report</w:t>
      </w:r>
      <w:r w:rsidRPr="00A81971">
        <w:rPr>
          <w:rFonts w:eastAsia="Times New Roman"/>
        </w:rPr>
        <w:t>)</w:t>
      </w:r>
      <w:r w:rsidR="00595A33">
        <w:rPr>
          <w:rFonts w:eastAsia="Times New Roman"/>
        </w:rPr>
        <w:t>;</w:t>
      </w:r>
    </w:p>
    <w:p w14:paraId="4C4992B4" w14:textId="46568F6D" w:rsidR="00793ABA" w:rsidRPr="00A81971" w:rsidRDefault="0032495C" w:rsidP="007A20BD">
      <w:pPr>
        <w:pStyle w:val="ListParagraph"/>
        <w:numPr>
          <w:ilvl w:val="0"/>
          <w:numId w:val="19"/>
        </w:numPr>
        <w:tabs>
          <w:tab w:val="left" w:pos="0"/>
          <w:tab w:val="left" w:pos="720"/>
        </w:tabs>
        <w:spacing w:after="240"/>
        <w:rPr>
          <w:rFonts w:eastAsia="Times New Roman"/>
        </w:rPr>
      </w:pPr>
      <w:r w:rsidRPr="00A81971">
        <w:rPr>
          <w:rFonts w:eastAsia="Times New Roman"/>
        </w:rPr>
        <w:t>The Business Plan (</w:t>
      </w:r>
      <w:r w:rsidR="060C4F7D" w:rsidRPr="00A81971">
        <w:rPr>
          <w:rFonts w:eastAsia="Times New Roman"/>
        </w:rPr>
        <w:t>BP</w:t>
      </w:r>
      <w:r w:rsidR="00E02F94" w:rsidRPr="00A81971">
        <w:rPr>
          <w:rFonts w:eastAsia="Times New Roman"/>
        </w:rPr>
        <w:t>)</w:t>
      </w:r>
      <w:r w:rsidR="060C4F7D" w:rsidRPr="00A81971">
        <w:rPr>
          <w:rFonts w:eastAsia="Times New Roman"/>
        </w:rPr>
        <w:t xml:space="preserve">, used to inform the RTF on future requests to IAs for projects to be submitted to MLFS, therefore guiding RTF to forecast potential </w:t>
      </w:r>
      <w:r w:rsidR="060C4F7D" w:rsidRPr="00A81971">
        <w:rPr>
          <w:rFonts w:eastAsia="Times New Roman"/>
          <w:u w:val="single"/>
        </w:rPr>
        <w:t>new</w:t>
      </w:r>
      <w:r w:rsidR="060C4F7D" w:rsidRPr="00A81971">
        <w:rPr>
          <w:rFonts w:eastAsia="Times New Roman"/>
        </w:rPr>
        <w:t xml:space="preserve"> funding needed</w:t>
      </w:r>
      <w:r w:rsidR="00595A33">
        <w:rPr>
          <w:rFonts w:eastAsia="Times New Roman"/>
        </w:rPr>
        <w:t>;</w:t>
      </w:r>
    </w:p>
    <w:p w14:paraId="3D8DDDC1" w14:textId="01C93493" w:rsidR="00793ABA" w:rsidRPr="00A81971" w:rsidRDefault="0032495C" w:rsidP="007A20BD">
      <w:pPr>
        <w:pStyle w:val="ListParagraph"/>
        <w:numPr>
          <w:ilvl w:val="0"/>
          <w:numId w:val="19"/>
        </w:numPr>
        <w:tabs>
          <w:tab w:val="left" w:pos="0"/>
          <w:tab w:val="left" w:pos="720"/>
        </w:tabs>
        <w:spacing w:after="240"/>
        <w:rPr>
          <w:rFonts w:eastAsia="Times New Roman"/>
        </w:rPr>
      </w:pPr>
      <w:r w:rsidRPr="00A81971">
        <w:rPr>
          <w:rFonts w:eastAsia="Times New Roman"/>
        </w:rPr>
        <w:t xml:space="preserve">Parties’ ratification status of the KA, as of </w:t>
      </w:r>
      <w:r w:rsidR="5F0D7981" w:rsidRPr="00A81971">
        <w:rPr>
          <w:rFonts w:eastAsia="Times New Roman"/>
        </w:rPr>
        <w:t>10</w:t>
      </w:r>
      <w:r w:rsidRPr="00A81971">
        <w:rPr>
          <w:rFonts w:eastAsia="Times New Roman"/>
        </w:rPr>
        <w:t xml:space="preserve"> August 2026 (Annex </w:t>
      </w:r>
      <w:r w:rsidR="007E39BF" w:rsidRPr="00A81971">
        <w:rPr>
          <w:rFonts w:eastAsia="Times New Roman"/>
        </w:rPr>
        <w:t>1</w:t>
      </w:r>
      <w:r w:rsidR="5F0D7981" w:rsidRPr="00A81971">
        <w:rPr>
          <w:rFonts w:eastAsia="Times New Roman"/>
        </w:rPr>
        <w:t>)</w:t>
      </w:r>
      <w:r w:rsidR="00595A33">
        <w:rPr>
          <w:rFonts w:eastAsia="Times New Roman"/>
        </w:rPr>
        <w:t>;</w:t>
      </w:r>
    </w:p>
    <w:p w14:paraId="06811134" w14:textId="1EF2A087" w:rsidR="00793ABA" w:rsidRPr="00A81971" w:rsidRDefault="0032495C" w:rsidP="007A20BD">
      <w:pPr>
        <w:pStyle w:val="ListParagraph"/>
        <w:numPr>
          <w:ilvl w:val="0"/>
          <w:numId w:val="19"/>
        </w:numPr>
        <w:tabs>
          <w:tab w:val="left" w:pos="0"/>
          <w:tab w:val="left" w:pos="720"/>
        </w:tabs>
        <w:spacing w:after="240"/>
        <w:rPr>
          <w:rFonts w:eastAsia="Times New Roman"/>
        </w:rPr>
      </w:pPr>
      <w:r w:rsidRPr="00A81971">
        <w:rPr>
          <w:rFonts w:eastAsia="Times New Roman"/>
        </w:rPr>
        <w:t xml:space="preserve">PMU costs </w:t>
      </w:r>
      <w:r w:rsidR="00711D02" w:rsidRPr="00A81971">
        <w:rPr>
          <w:rFonts w:eastAsia="Times New Roman"/>
        </w:rPr>
        <w:t>applied based on consultations with MLFS and IAs</w:t>
      </w:r>
      <w:r w:rsidR="00D21D80" w:rsidRPr="00A81971">
        <w:rPr>
          <w:rFonts w:eastAsia="Times New Roman"/>
        </w:rPr>
        <w:t>:</w:t>
      </w:r>
      <w:r w:rsidR="005255BD" w:rsidRPr="00A81971">
        <w:rPr>
          <w:rFonts w:eastAsia="Times New Roman"/>
        </w:rPr>
        <w:t xml:space="preserve"> </w:t>
      </w:r>
      <w:r w:rsidR="00350488" w:rsidRPr="00A81971">
        <w:rPr>
          <w:rFonts w:eastAsia="Times New Roman"/>
        </w:rPr>
        <w:t>5%</w:t>
      </w:r>
      <w:r w:rsidR="00B9431B" w:rsidRPr="00A81971">
        <w:rPr>
          <w:rFonts w:eastAsia="Times New Roman"/>
        </w:rPr>
        <w:t xml:space="preserve"> PMU for China, </w:t>
      </w:r>
      <w:r w:rsidR="00A161B2" w:rsidRPr="00A81971">
        <w:rPr>
          <w:rFonts w:eastAsia="Times New Roman"/>
        </w:rPr>
        <w:t>consistent with the approach applied</w:t>
      </w:r>
      <w:r w:rsidR="00B9431B" w:rsidRPr="00A81971">
        <w:rPr>
          <w:rFonts w:eastAsia="Times New Roman"/>
        </w:rPr>
        <w:t xml:space="preserve"> for China</w:t>
      </w:r>
      <w:r w:rsidR="00C47931" w:rsidRPr="00A81971">
        <w:rPr>
          <w:rFonts w:eastAsia="Times New Roman"/>
        </w:rPr>
        <w:t>’s</w:t>
      </w:r>
      <w:r w:rsidR="00B9431B" w:rsidRPr="00A81971">
        <w:rPr>
          <w:rFonts w:eastAsia="Times New Roman"/>
        </w:rPr>
        <w:t xml:space="preserve"> HPMP II, 7% PMU for </w:t>
      </w:r>
      <w:r w:rsidR="00F51BF4" w:rsidRPr="00A81971">
        <w:rPr>
          <w:rFonts w:eastAsia="Times New Roman"/>
        </w:rPr>
        <w:t xml:space="preserve">the </w:t>
      </w:r>
      <w:r w:rsidR="00B9431B" w:rsidRPr="00A81971">
        <w:rPr>
          <w:rFonts w:eastAsia="Times New Roman"/>
        </w:rPr>
        <w:t xml:space="preserve">10 </w:t>
      </w:r>
      <w:r w:rsidR="006771D0" w:rsidRPr="00A81971">
        <w:rPr>
          <w:rFonts w:eastAsia="Times New Roman"/>
        </w:rPr>
        <w:t>largest-</w:t>
      </w:r>
      <w:r w:rsidR="00B9431B" w:rsidRPr="00A81971">
        <w:rPr>
          <w:rFonts w:eastAsia="Times New Roman"/>
        </w:rPr>
        <w:t>consum</w:t>
      </w:r>
      <w:r w:rsidR="000C3B94" w:rsidRPr="00A81971">
        <w:rPr>
          <w:rFonts w:eastAsia="Times New Roman"/>
        </w:rPr>
        <w:t>ing</w:t>
      </w:r>
      <w:r w:rsidR="00B9431B" w:rsidRPr="00A81971">
        <w:rPr>
          <w:rFonts w:eastAsia="Times New Roman"/>
        </w:rPr>
        <w:t xml:space="preserve"> </w:t>
      </w:r>
      <w:r w:rsidR="00990568">
        <w:rPr>
          <w:rFonts w:eastAsia="Times New Roman"/>
        </w:rPr>
        <w:t>p</w:t>
      </w:r>
      <w:r w:rsidR="00B9431B" w:rsidRPr="00A81971">
        <w:rPr>
          <w:rFonts w:eastAsia="Times New Roman"/>
        </w:rPr>
        <w:t>arties, and 10% PMU for other smaller non-LVC parties</w:t>
      </w:r>
      <w:r w:rsidR="00595A33">
        <w:rPr>
          <w:rFonts w:eastAsia="Times New Roman"/>
        </w:rPr>
        <w:t>;</w:t>
      </w:r>
    </w:p>
    <w:p w14:paraId="207DB46F" w14:textId="77777777" w:rsidR="1211A722" w:rsidRPr="00A81971" w:rsidRDefault="0032495C" w:rsidP="007A20BD">
      <w:pPr>
        <w:pStyle w:val="ListParagraph"/>
        <w:numPr>
          <w:ilvl w:val="0"/>
          <w:numId w:val="19"/>
        </w:numPr>
        <w:tabs>
          <w:tab w:val="left" w:pos="0"/>
          <w:tab w:val="left" w:pos="720"/>
        </w:tabs>
        <w:spacing w:after="240"/>
        <w:rPr>
          <w:rFonts w:eastAsia="Times New Roman"/>
        </w:rPr>
      </w:pPr>
      <w:r w:rsidRPr="00A81971">
        <w:rPr>
          <w:rFonts w:eastAsia="Times New Roman"/>
        </w:rPr>
        <w:t>Due to no</w:t>
      </w:r>
      <w:r w:rsidR="6D6B9E36" w:rsidRPr="00A81971">
        <w:rPr>
          <w:rFonts w:eastAsia="Times New Roman"/>
        </w:rPr>
        <w:t xml:space="preserve"> change </w:t>
      </w:r>
      <w:r w:rsidR="2910EEBD" w:rsidRPr="00A81971">
        <w:rPr>
          <w:rFonts w:eastAsia="Times New Roman"/>
        </w:rPr>
        <w:t xml:space="preserve">in </w:t>
      </w:r>
      <w:r w:rsidR="40387E3D" w:rsidRPr="00A81971">
        <w:rPr>
          <w:rFonts w:eastAsia="Times New Roman"/>
        </w:rPr>
        <w:t xml:space="preserve">the MLFS </w:t>
      </w:r>
      <w:r w:rsidR="6621F5A8" w:rsidRPr="00A81971">
        <w:rPr>
          <w:rFonts w:eastAsia="Times New Roman"/>
        </w:rPr>
        <w:t>information on funding</w:t>
      </w:r>
      <w:r w:rsidR="40387E3D" w:rsidRPr="00A81971">
        <w:rPr>
          <w:rFonts w:eastAsia="Times New Roman"/>
        </w:rPr>
        <w:t xml:space="preserve"> </w:t>
      </w:r>
      <w:r w:rsidR="2910EEBD" w:rsidRPr="00A81971">
        <w:rPr>
          <w:rFonts w:eastAsia="Times New Roman"/>
        </w:rPr>
        <w:t xml:space="preserve">required </w:t>
      </w:r>
      <w:r w:rsidR="40387E3D" w:rsidRPr="00A81971">
        <w:rPr>
          <w:rFonts w:eastAsia="Times New Roman"/>
        </w:rPr>
        <w:t>for I</w:t>
      </w:r>
      <w:r w:rsidR="00F92A1C">
        <w:rPr>
          <w:rFonts w:eastAsia="Times New Roman"/>
        </w:rPr>
        <w:t>S and SA</w:t>
      </w:r>
      <w:r w:rsidR="40387E3D" w:rsidRPr="00A81971">
        <w:rPr>
          <w:rFonts w:eastAsia="Times New Roman"/>
        </w:rPr>
        <w:t>,</w:t>
      </w:r>
      <w:r w:rsidR="6D6B9E36" w:rsidRPr="00A81971">
        <w:rPr>
          <w:rFonts w:eastAsia="Times New Roman"/>
        </w:rPr>
        <w:t xml:space="preserve"> </w:t>
      </w:r>
      <w:r w:rsidR="23231EE4" w:rsidRPr="00A81971">
        <w:rPr>
          <w:rFonts w:eastAsia="Times New Roman"/>
        </w:rPr>
        <w:t xml:space="preserve">as of </w:t>
      </w:r>
      <w:r w:rsidR="00F92A1C">
        <w:rPr>
          <w:rFonts w:eastAsia="Times New Roman"/>
        </w:rPr>
        <w:t>ExCom-98</w:t>
      </w:r>
      <w:r w:rsidR="23231EE4" w:rsidRPr="00A81971">
        <w:rPr>
          <w:rFonts w:eastAsia="Times New Roman"/>
        </w:rPr>
        <w:t>, RTF maintained</w:t>
      </w:r>
      <w:r w:rsidR="120F8AFB" w:rsidRPr="00A81971">
        <w:rPr>
          <w:rFonts w:eastAsia="Times New Roman"/>
        </w:rPr>
        <w:t xml:space="preserve"> funding estimates </w:t>
      </w:r>
      <w:r w:rsidR="246D2693" w:rsidRPr="00A81971">
        <w:rPr>
          <w:rFonts w:eastAsia="Times New Roman"/>
        </w:rPr>
        <w:t>the same as in the</w:t>
      </w:r>
      <w:r w:rsidR="120F8AFB" w:rsidRPr="00A81971">
        <w:rPr>
          <w:rFonts w:eastAsia="Times New Roman"/>
        </w:rPr>
        <w:t xml:space="preserve"> </w:t>
      </w:r>
      <w:r w:rsidR="40E6C093" w:rsidRPr="00A81971">
        <w:rPr>
          <w:rFonts w:eastAsia="Times New Roman"/>
        </w:rPr>
        <w:t>RTF May Report.</w:t>
      </w:r>
    </w:p>
    <w:p w14:paraId="117FD72D" w14:textId="77777777" w:rsidR="00793ABA" w:rsidRPr="00A81971" w:rsidRDefault="0032495C" w:rsidP="00201CFA">
      <w:pPr>
        <w:pStyle w:val="Heading2"/>
        <w:rPr>
          <w:sz w:val="22"/>
          <w:szCs w:val="22"/>
        </w:rPr>
      </w:pPr>
      <w:bookmarkStart w:id="238" w:name="_Toc240987343"/>
      <w:r w:rsidRPr="00A81971">
        <w:lastRenderedPageBreak/>
        <w:t>A</w:t>
      </w:r>
      <w:r w:rsidR="00B51EC6" w:rsidRPr="00A81971">
        <w:t>2</w:t>
      </w:r>
      <w:r w:rsidRPr="00A81971">
        <w:t>.2</w:t>
      </w:r>
      <w:r w:rsidRPr="00A81971">
        <w:tab/>
        <w:t>HCFC Phase-out funding methodology for the consumption sector</w:t>
      </w:r>
      <w:bookmarkEnd w:id="238"/>
      <w:r w:rsidR="6A0A3A7D" w:rsidRPr="00A81971">
        <w:t xml:space="preserve"> </w:t>
      </w:r>
    </w:p>
    <w:p w14:paraId="706E8C72" w14:textId="77777777" w:rsidR="00793ABA" w:rsidRPr="00A81971" w:rsidRDefault="0032495C" w:rsidP="060C4F7D">
      <w:pPr>
        <w:rPr>
          <w:rFonts w:eastAsia="Times New Roman"/>
          <w:color w:val="000000" w:themeColor="text1"/>
        </w:rPr>
      </w:pPr>
      <w:r w:rsidRPr="00A81971">
        <w:rPr>
          <w:rFonts w:eastAsia="Times New Roman"/>
          <w:color w:val="000000" w:themeColor="text1"/>
        </w:rPr>
        <w:t>The estimated funding requirements for the 2027-2029 triennium for the HCFC consumption sector include:</w:t>
      </w:r>
    </w:p>
    <w:p w14:paraId="5C0EECF8"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Committed funding for approved HPMPs;</w:t>
      </w:r>
    </w:p>
    <w:p w14:paraId="43A5D42A"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New estimated funding required to achieve 100% phaseout of HCFCs;</w:t>
      </w:r>
    </w:p>
    <w:p w14:paraId="4BC92294"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Funding for PRP;</w:t>
      </w:r>
    </w:p>
    <w:p w14:paraId="7E406100"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Funding for verification;</w:t>
      </w:r>
    </w:p>
    <w:p w14:paraId="06D64A05"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Funding for PMU; and</w:t>
      </w:r>
    </w:p>
    <w:p w14:paraId="65E24F98" w14:textId="77777777" w:rsidR="00793ABA" w:rsidRPr="00A81971" w:rsidRDefault="0032495C" w:rsidP="007A20BD">
      <w:pPr>
        <w:pStyle w:val="ListParagraph"/>
        <w:numPr>
          <w:ilvl w:val="0"/>
          <w:numId w:val="18"/>
        </w:numPr>
        <w:spacing w:after="0"/>
        <w:ind w:left="1128" w:hanging="420"/>
        <w:rPr>
          <w:rFonts w:eastAsia="Times New Roman"/>
          <w:color w:val="000000" w:themeColor="text1"/>
        </w:rPr>
      </w:pPr>
      <w:r w:rsidRPr="00A81971">
        <w:rPr>
          <w:rFonts w:eastAsia="Times New Roman"/>
          <w:color w:val="000000" w:themeColor="text1"/>
        </w:rPr>
        <w:t>Funding for EE</w:t>
      </w:r>
      <w:r w:rsidR="006A6B41" w:rsidRPr="00A81971">
        <w:rPr>
          <w:rFonts w:eastAsia="Times New Roman"/>
          <w:color w:val="000000" w:themeColor="text1"/>
        </w:rPr>
        <w:t>,</w:t>
      </w:r>
      <w:r w:rsidRPr="00A81971">
        <w:rPr>
          <w:rFonts w:eastAsia="Times New Roman"/>
          <w:color w:val="000000" w:themeColor="text1"/>
        </w:rPr>
        <w:t xml:space="preserve"> in line with ExCom Decision 89/6. </w:t>
      </w:r>
    </w:p>
    <w:p w14:paraId="361479BF"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 </w:t>
      </w:r>
    </w:p>
    <w:p w14:paraId="4A8F7412" w14:textId="77777777" w:rsidR="00B236FA" w:rsidRPr="00A81971" w:rsidRDefault="0032495C" w:rsidP="00B236FA">
      <w:pPr>
        <w:spacing w:after="120" w:line="259" w:lineRule="auto"/>
        <w:rPr>
          <w:rFonts w:eastAsia="Times New Roman"/>
          <w:color w:val="000000" w:themeColor="text1"/>
        </w:rPr>
      </w:pPr>
      <w:r w:rsidRPr="00A81971">
        <w:rPr>
          <w:rFonts w:eastAsia="Times New Roman"/>
          <w:color w:val="000000" w:themeColor="text1"/>
        </w:rPr>
        <w:t>Key assumptions made by the RTF for its estimates were the same as in the May 2026 Report, except for the addition of PMU costs:</w:t>
      </w:r>
    </w:p>
    <w:p w14:paraId="7C64AEA7" w14:textId="77777777" w:rsidR="00B236FA" w:rsidRPr="00A81971" w:rsidRDefault="0032495C" w:rsidP="007A20BD">
      <w:pPr>
        <w:pStyle w:val="ListParagraph"/>
        <w:numPr>
          <w:ilvl w:val="0"/>
          <w:numId w:val="21"/>
        </w:numPr>
        <w:spacing w:after="0"/>
        <w:rPr>
          <w:rFonts w:eastAsia="Times New Roman"/>
        </w:rPr>
      </w:pPr>
      <w:r w:rsidRPr="00A81971">
        <w:rPr>
          <w:rFonts w:eastAsia="Times New Roman"/>
        </w:rPr>
        <w:t>IAs’ support costs were considered at an average of 9.6%, unless indicated otherwise;</w:t>
      </w:r>
    </w:p>
    <w:p w14:paraId="3D8D2DE3" w14:textId="5D052C91" w:rsidR="00B236FA" w:rsidRPr="00A81971" w:rsidRDefault="0032495C" w:rsidP="007A20BD">
      <w:pPr>
        <w:pStyle w:val="ListParagraph"/>
        <w:numPr>
          <w:ilvl w:val="0"/>
          <w:numId w:val="20"/>
        </w:numPr>
        <w:spacing w:after="0"/>
        <w:rPr>
          <w:rFonts w:eastAsia="Times New Roman"/>
        </w:rPr>
      </w:pPr>
      <w:r w:rsidRPr="00A81971">
        <w:rPr>
          <w:rFonts w:eastAsia="Times New Roman"/>
        </w:rPr>
        <w:t>A 15% deduction was applied to account for ineligible foreign ownership in the manufacturing sectors. As the RTF explained in its May 2026 Report, for HPMPs the general practice was to defer enterprises with non-Article 5 (A5) ownership to later stages which would impact the resource allocation calculations for this triennium and the next triennium to varying degrees</w:t>
      </w:r>
      <w:r w:rsidR="00595A33">
        <w:rPr>
          <w:rFonts w:eastAsia="Times New Roman"/>
        </w:rPr>
        <w:t>;</w:t>
      </w:r>
    </w:p>
    <w:p w14:paraId="6C26229F" w14:textId="77777777" w:rsidR="00B236FA" w:rsidRPr="00A81971" w:rsidRDefault="0032495C" w:rsidP="007A20BD">
      <w:pPr>
        <w:pStyle w:val="ListParagraph"/>
        <w:numPr>
          <w:ilvl w:val="0"/>
          <w:numId w:val="20"/>
        </w:numPr>
        <w:rPr>
          <w:rFonts w:eastAsia="Times New Roman"/>
        </w:rPr>
      </w:pPr>
      <w:r w:rsidRPr="00A81971">
        <w:rPr>
          <w:rFonts w:eastAsia="Times New Roman"/>
        </w:rPr>
        <w:t xml:space="preserve">PMU costs for non-LVCs with remaining </w:t>
      </w:r>
      <w:r w:rsidR="00490C89" w:rsidRPr="00A81971">
        <w:rPr>
          <w:rFonts w:eastAsia="Times New Roman"/>
        </w:rPr>
        <w:t xml:space="preserve">eligible </w:t>
      </w:r>
      <w:r w:rsidR="002420A9" w:rsidRPr="00A81971">
        <w:rPr>
          <w:rFonts w:eastAsia="Times New Roman"/>
        </w:rPr>
        <w:t xml:space="preserve">HCFC </w:t>
      </w:r>
      <w:r w:rsidRPr="00A81971">
        <w:rPr>
          <w:rFonts w:eastAsia="Times New Roman"/>
        </w:rPr>
        <w:t xml:space="preserve">consumption </w:t>
      </w:r>
      <w:r w:rsidR="004B05BF" w:rsidRPr="00A81971">
        <w:rPr>
          <w:rFonts w:eastAsia="Times New Roman"/>
        </w:rPr>
        <w:t xml:space="preserve">requiring </w:t>
      </w:r>
      <w:r w:rsidRPr="00A81971">
        <w:rPr>
          <w:rFonts w:eastAsia="Times New Roman"/>
        </w:rPr>
        <w:t>fund</w:t>
      </w:r>
      <w:r w:rsidR="00F35AE6" w:rsidRPr="00A81971">
        <w:rPr>
          <w:rFonts w:eastAsia="Times New Roman"/>
        </w:rPr>
        <w:t>ing</w:t>
      </w:r>
      <w:r w:rsidRPr="00A81971">
        <w:rPr>
          <w:rFonts w:eastAsia="Times New Roman"/>
        </w:rPr>
        <w:t xml:space="preserve"> were applied as follows, based on consultation with the MLFS and IAs: </w:t>
      </w:r>
      <w:r w:rsidR="00350488" w:rsidRPr="00A81971">
        <w:rPr>
          <w:rFonts w:eastAsia="Times New Roman"/>
        </w:rPr>
        <w:t>5%</w:t>
      </w:r>
      <w:r w:rsidRPr="00A81971">
        <w:rPr>
          <w:rFonts w:eastAsia="Times New Roman"/>
        </w:rPr>
        <w:t xml:space="preserve"> for China and 10% for Iraq, Kuwait, Libya, Mauritania, Qatar, Senegal,</w:t>
      </w:r>
      <w:r w:rsidR="00DD1DE7" w:rsidRPr="00A81971">
        <w:rPr>
          <w:rFonts w:eastAsia="Times New Roman"/>
        </w:rPr>
        <w:t xml:space="preserve"> </w:t>
      </w:r>
      <w:r w:rsidRPr="00A81971">
        <w:rPr>
          <w:rFonts w:eastAsia="Times New Roman"/>
        </w:rPr>
        <w:t>Syrian Arab Republic, Afghanistan and Yemen</w:t>
      </w:r>
      <w:r w:rsidR="00BC7350" w:rsidRPr="00A81971">
        <w:rPr>
          <w:rFonts w:eastAsia="Times New Roman"/>
        </w:rPr>
        <w:t>.</w:t>
      </w:r>
      <w:r w:rsidRPr="00A81971">
        <w:rPr>
          <w:rFonts w:eastAsia="Times New Roman"/>
        </w:rPr>
        <w:t xml:space="preserve"> </w:t>
      </w:r>
      <w:r w:rsidR="002C5DA0" w:rsidRPr="00A81971">
        <w:rPr>
          <w:rFonts w:eastAsia="Times New Roman"/>
        </w:rPr>
        <w:t xml:space="preserve">For Afghanistan and Yemen, </w:t>
      </w:r>
      <w:r w:rsidRPr="00A81971">
        <w:rPr>
          <w:rFonts w:eastAsia="Times New Roman"/>
        </w:rPr>
        <w:t xml:space="preserve">the </w:t>
      </w:r>
      <w:r w:rsidR="002C5DA0" w:rsidRPr="00A81971">
        <w:rPr>
          <w:rFonts w:eastAsia="Times New Roman"/>
        </w:rPr>
        <w:t xml:space="preserve">estimates </w:t>
      </w:r>
      <w:r w:rsidRPr="00A81971">
        <w:rPr>
          <w:rFonts w:eastAsia="Times New Roman"/>
        </w:rPr>
        <w:t>assum</w:t>
      </w:r>
      <w:r w:rsidR="009F4695" w:rsidRPr="00A81971">
        <w:rPr>
          <w:rFonts w:eastAsia="Times New Roman"/>
        </w:rPr>
        <w:t>es</w:t>
      </w:r>
      <w:r w:rsidRPr="00A81971">
        <w:rPr>
          <w:rFonts w:eastAsia="Times New Roman"/>
        </w:rPr>
        <w:t xml:space="preserve"> re-submission of their cancelled HPMPs.  </w:t>
      </w:r>
    </w:p>
    <w:p w14:paraId="0E0B20B5" w14:textId="77777777" w:rsidR="00793ABA" w:rsidRPr="00A81971" w:rsidRDefault="0032495C" w:rsidP="457BD43E">
      <w:pPr>
        <w:spacing w:after="240" w:line="259" w:lineRule="auto"/>
        <w:rPr>
          <w:rFonts w:eastAsia="Times New Roman"/>
          <w:color w:val="000000" w:themeColor="text1"/>
        </w:rPr>
      </w:pPr>
      <w:r w:rsidRPr="00A81971">
        <w:rPr>
          <w:rFonts w:eastAsia="Times New Roman"/>
          <w:color w:val="000000" w:themeColor="text1"/>
          <w:sz w:val="24"/>
          <w:szCs w:val="24"/>
        </w:rPr>
        <w:t xml:space="preserve">RTF treated the 144 </w:t>
      </w:r>
      <w:r w:rsidRPr="00A81971">
        <w:rPr>
          <w:rFonts w:eastAsia="Times New Roman"/>
          <w:color w:val="000000" w:themeColor="text1"/>
        </w:rPr>
        <w:t xml:space="preserve">A5 parties based on their HPMPs’ approval and implementation status and grouped them accordingly, for funding calculation purposes. Funding for project preparation, verification, </w:t>
      </w:r>
      <w:r w:rsidR="457BD43E" w:rsidRPr="00A81971">
        <w:rPr>
          <w:rFonts w:eastAsia="Times New Roman"/>
          <w:color w:val="000000" w:themeColor="text1"/>
        </w:rPr>
        <w:t xml:space="preserve">PMU, </w:t>
      </w:r>
      <w:r w:rsidRPr="00A81971">
        <w:rPr>
          <w:rFonts w:eastAsia="Times New Roman"/>
          <w:color w:val="000000" w:themeColor="text1"/>
        </w:rPr>
        <w:t xml:space="preserve">and EE are presented as separate lines. For HCFC, the model is simplified to encompass new estimated funding calculations for the </w:t>
      </w:r>
      <w:r w:rsidR="457BD43E" w:rsidRPr="00A81971">
        <w:rPr>
          <w:rFonts w:eastAsia="Times New Roman"/>
          <w:color w:val="000000" w:themeColor="text1"/>
          <w:sz w:val="24"/>
          <w:szCs w:val="24"/>
        </w:rPr>
        <w:t>1</w:t>
      </w:r>
      <w:r w:rsidR="00900C4E" w:rsidRPr="00A81971">
        <w:rPr>
          <w:rFonts w:eastAsia="Times New Roman"/>
          <w:color w:val="000000" w:themeColor="text1"/>
          <w:sz w:val="24"/>
          <w:szCs w:val="24"/>
        </w:rPr>
        <w:t>7</w:t>
      </w:r>
      <w:r w:rsidRPr="00A81971">
        <w:rPr>
          <w:rFonts w:eastAsia="Times New Roman"/>
          <w:color w:val="000000" w:themeColor="text1"/>
        </w:rPr>
        <w:t xml:space="preserve"> parties that still need </w:t>
      </w:r>
      <w:r w:rsidR="00966667" w:rsidRPr="00A81971">
        <w:rPr>
          <w:rFonts w:eastAsia="Times New Roman"/>
          <w:color w:val="000000" w:themeColor="text1"/>
        </w:rPr>
        <w:t xml:space="preserve">additional funding </w:t>
      </w:r>
      <w:r w:rsidRPr="00A81971">
        <w:rPr>
          <w:rFonts w:eastAsia="Times New Roman"/>
          <w:color w:val="000000" w:themeColor="text1"/>
        </w:rPr>
        <w:t>to complete their phaseout, and all the committed funding for all the other parties with approved HPMPs.</w:t>
      </w:r>
    </w:p>
    <w:p w14:paraId="5BF26571" w14:textId="77777777" w:rsidR="00793ABA" w:rsidRPr="00A81971" w:rsidRDefault="0032495C" w:rsidP="457BD43E">
      <w:pPr>
        <w:spacing w:after="240" w:line="259" w:lineRule="auto"/>
        <w:rPr>
          <w:rFonts w:eastAsia="Times New Roman"/>
          <w:color w:val="000000" w:themeColor="text1"/>
        </w:rPr>
      </w:pPr>
      <w:r w:rsidRPr="00A81971">
        <w:rPr>
          <w:rFonts w:eastAsia="Times New Roman"/>
          <w:color w:val="000000" w:themeColor="text1"/>
        </w:rPr>
        <w:t xml:space="preserve">With the </w:t>
      </w:r>
      <w:r w:rsidR="006B6B58" w:rsidRPr="00A81971">
        <w:rPr>
          <w:rFonts w:eastAsia="Times New Roman"/>
          <w:color w:val="000000" w:themeColor="text1"/>
        </w:rPr>
        <w:t xml:space="preserve">HCFC phase-out deadline </w:t>
      </w:r>
      <w:r w:rsidRPr="00A81971">
        <w:rPr>
          <w:rFonts w:eastAsia="Times New Roman"/>
          <w:color w:val="000000" w:themeColor="text1"/>
        </w:rPr>
        <w:t xml:space="preserve">approaching and </w:t>
      </w:r>
      <w:r w:rsidR="00A5264F" w:rsidRPr="00A81971">
        <w:rPr>
          <w:rFonts w:eastAsia="Times New Roman"/>
          <w:color w:val="000000" w:themeColor="text1"/>
        </w:rPr>
        <w:t xml:space="preserve">implementation of </w:t>
      </w:r>
      <w:r w:rsidRPr="00A81971">
        <w:rPr>
          <w:rFonts w:eastAsia="Times New Roman"/>
          <w:color w:val="000000" w:themeColor="text1"/>
        </w:rPr>
        <w:t>HPMPs progress</w:t>
      </w:r>
      <w:r w:rsidR="00E70D91" w:rsidRPr="00A81971">
        <w:rPr>
          <w:rFonts w:eastAsia="Times New Roman"/>
          <w:color w:val="000000" w:themeColor="text1"/>
        </w:rPr>
        <w:t>ing</w:t>
      </w:r>
      <w:r w:rsidRPr="00A81971">
        <w:rPr>
          <w:rFonts w:eastAsia="Times New Roman"/>
          <w:color w:val="000000" w:themeColor="text1"/>
        </w:rPr>
        <w:t xml:space="preserve">, most of the 144 A5 parties have </w:t>
      </w:r>
      <w:r w:rsidR="00791D1B" w:rsidRPr="00A81971">
        <w:rPr>
          <w:rFonts w:eastAsia="Times New Roman"/>
          <w:color w:val="000000" w:themeColor="text1"/>
        </w:rPr>
        <w:t xml:space="preserve">received </w:t>
      </w:r>
      <w:r w:rsidRPr="00A81971">
        <w:rPr>
          <w:rFonts w:eastAsia="Times New Roman"/>
          <w:color w:val="000000" w:themeColor="text1"/>
        </w:rPr>
        <w:t>assist</w:t>
      </w:r>
      <w:r w:rsidR="00C14222" w:rsidRPr="00A81971">
        <w:rPr>
          <w:rFonts w:eastAsia="Times New Roman"/>
          <w:color w:val="000000" w:themeColor="text1"/>
        </w:rPr>
        <w:t>ance</w:t>
      </w:r>
      <w:r w:rsidRPr="00A81971">
        <w:rPr>
          <w:rFonts w:eastAsia="Times New Roman"/>
          <w:color w:val="000000" w:themeColor="text1"/>
        </w:rPr>
        <w:t xml:space="preserve"> </w:t>
      </w:r>
      <w:r w:rsidR="00C14222" w:rsidRPr="00A81971">
        <w:rPr>
          <w:rFonts w:eastAsia="Times New Roman"/>
          <w:color w:val="000000" w:themeColor="text1"/>
        </w:rPr>
        <w:t xml:space="preserve">to </w:t>
      </w:r>
      <w:r w:rsidRPr="00A81971">
        <w:rPr>
          <w:rFonts w:eastAsia="Times New Roman"/>
          <w:color w:val="000000" w:themeColor="text1"/>
        </w:rPr>
        <w:t xml:space="preserve">address </w:t>
      </w:r>
      <w:r w:rsidR="00952032" w:rsidRPr="00A81971">
        <w:rPr>
          <w:rFonts w:eastAsia="Times New Roman"/>
          <w:color w:val="000000" w:themeColor="text1"/>
        </w:rPr>
        <w:t xml:space="preserve">their </w:t>
      </w:r>
      <w:r w:rsidRPr="00A81971">
        <w:rPr>
          <w:rFonts w:eastAsia="Times New Roman"/>
          <w:color w:val="000000" w:themeColor="text1"/>
        </w:rPr>
        <w:t xml:space="preserve">HCFC phaseout </w:t>
      </w:r>
      <w:r w:rsidR="00FE5014" w:rsidRPr="00A81971">
        <w:rPr>
          <w:rFonts w:eastAsia="Times New Roman"/>
          <w:color w:val="000000" w:themeColor="text1"/>
        </w:rPr>
        <w:t>obligations</w:t>
      </w:r>
      <w:r w:rsidRPr="00A81971">
        <w:rPr>
          <w:rFonts w:eastAsia="Times New Roman"/>
          <w:color w:val="000000" w:themeColor="text1"/>
        </w:rPr>
        <w:t xml:space="preserve">. The number of parties </w:t>
      </w:r>
      <w:r w:rsidR="00C82C56" w:rsidRPr="00A81971">
        <w:rPr>
          <w:rFonts w:eastAsia="Times New Roman"/>
          <w:color w:val="000000" w:themeColor="text1"/>
        </w:rPr>
        <w:t xml:space="preserve">requiring additional </w:t>
      </w:r>
      <w:r w:rsidRPr="00A81971">
        <w:rPr>
          <w:rFonts w:eastAsia="Times New Roman"/>
          <w:color w:val="000000" w:themeColor="text1"/>
        </w:rPr>
        <w:t xml:space="preserve">funding is limited to </w:t>
      </w:r>
      <w:r w:rsidR="457BD43E" w:rsidRPr="00A81971">
        <w:rPr>
          <w:rFonts w:eastAsia="Times New Roman"/>
          <w:color w:val="000000" w:themeColor="text1"/>
        </w:rPr>
        <w:t>1</w:t>
      </w:r>
      <w:r w:rsidR="00900C4E" w:rsidRPr="00A81971">
        <w:rPr>
          <w:rFonts w:eastAsia="Times New Roman"/>
          <w:color w:val="000000" w:themeColor="text1"/>
        </w:rPr>
        <w:t>7</w:t>
      </w:r>
      <w:r w:rsidRPr="00A81971">
        <w:rPr>
          <w:rFonts w:eastAsia="Times New Roman"/>
          <w:color w:val="000000" w:themeColor="text1"/>
        </w:rPr>
        <w:t xml:space="preserve">, </w:t>
      </w:r>
      <w:r w:rsidR="000B27B8" w:rsidRPr="00A81971">
        <w:rPr>
          <w:rFonts w:eastAsia="Times New Roman"/>
          <w:color w:val="000000" w:themeColor="text1"/>
        </w:rPr>
        <w:t xml:space="preserve">comprising </w:t>
      </w:r>
      <w:r w:rsidR="457BD43E" w:rsidRPr="00A81971">
        <w:rPr>
          <w:rFonts w:eastAsia="Times New Roman"/>
          <w:color w:val="000000" w:themeColor="text1"/>
        </w:rPr>
        <w:t>8</w:t>
      </w:r>
      <w:r w:rsidRPr="00A81971">
        <w:rPr>
          <w:rFonts w:eastAsia="Times New Roman"/>
          <w:color w:val="000000" w:themeColor="text1"/>
        </w:rPr>
        <w:t xml:space="preserve"> non-LVC parties, </w:t>
      </w:r>
      <w:r w:rsidR="457BD43E" w:rsidRPr="00A81971">
        <w:rPr>
          <w:rFonts w:eastAsia="Times New Roman"/>
          <w:color w:val="000000" w:themeColor="text1"/>
        </w:rPr>
        <w:t>6</w:t>
      </w:r>
      <w:r w:rsidRPr="00A81971">
        <w:rPr>
          <w:rFonts w:eastAsia="Times New Roman"/>
          <w:color w:val="000000" w:themeColor="text1"/>
        </w:rPr>
        <w:t xml:space="preserve"> LVC parties and </w:t>
      </w:r>
      <w:r w:rsidR="5675D5B8" w:rsidRPr="00A81971">
        <w:rPr>
          <w:rFonts w:eastAsia="Times New Roman"/>
          <w:color w:val="000000" w:themeColor="text1"/>
        </w:rPr>
        <w:t>3</w:t>
      </w:r>
      <w:r w:rsidRPr="00A81971">
        <w:rPr>
          <w:rFonts w:eastAsia="Times New Roman"/>
          <w:color w:val="000000" w:themeColor="text1"/>
        </w:rPr>
        <w:t xml:space="preserve"> parties with cancelled HPMPs. </w:t>
      </w:r>
    </w:p>
    <w:p w14:paraId="7D2A87E6"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For this assessment, the RTF grouped parties </w:t>
      </w:r>
      <w:r w:rsidR="00B93613" w:rsidRPr="00A81971">
        <w:rPr>
          <w:rFonts w:eastAsia="Times New Roman"/>
          <w:color w:val="000000" w:themeColor="text1"/>
        </w:rPr>
        <w:t xml:space="preserve">according to </w:t>
      </w:r>
      <w:r w:rsidRPr="00A81971">
        <w:rPr>
          <w:rFonts w:eastAsia="Times New Roman"/>
          <w:color w:val="000000" w:themeColor="text1"/>
        </w:rPr>
        <w:t xml:space="preserve">their HPMP status </w:t>
      </w:r>
      <w:r w:rsidR="000E2478" w:rsidRPr="00A81971">
        <w:rPr>
          <w:rFonts w:eastAsia="Times New Roman"/>
          <w:color w:val="000000" w:themeColor="text1"/>
        </w:rPr>
        <w:t xml:space="preserve">and applied the funding </w:t>
      </w:r>
      <w:r w:rsidR="006A68F5" w:rsidRPr="00A81971">
        <w:rPr>
          <w:rFonts w:eastAsia="Times New Roman"/>
          <w:color w:val="000000" w:themeColor="text1"/>
        </w:rPr>
        <w:t xml:space="preserve">estimation approach </w:t>
      </w:r>
      <w:r w:rsidR="00A3194D" w:rsidRPr="00A81971">
        <w:rPr>
          <w:rFonts w:eastAsia="Times New Roman"/>
          <w:color w:val="000000" w:themeColor="text1"/>
        </w:rPr>
        <w:t xml:space="preserve">described in </w:t>
      </w:r>
      <w:r w:rsidRPr="00A81971">
        <w:rPr>
          <w:rFonts w:eastAsia="Times New Roman"/>
          <w:color w:val="000000" w:themeColor="text1"/>
        </w:rPr>
        <w:t>the steps below:</w:t>
      </w:r>
    </w:p>
    <w:p w14:paraId="63AC7950" w14:textId="77777777" w:rsidR="00793ABA" w:rsidRPr="00A81971" w:rsidRDefault="0032495C" w:rsidP="457BD43E">
      <w:pPr>
        <w:spacing w:after="240" w:line="259" w:lineRule="auto"/>
        <w:rPr>
          <w:rFonts w:eastAsia="Times New Roman"/>
          <w:b/>
          <w:bCs/>
          <w:color w:val="000000" w:themeColor="text1"/>
          <w:u w:val="single"/>
        </w:rPr>
      </w:pPr>
      <w:r w:rsidRPr="00A81971">
        <w:rPr>
          <w:rFonts w:eastAsia="Times New Roman"/>
          <w:b/>
          <w:bCs/>
          <w:color w:val="000000" w:themeColor="text1"/>
        </w:rPr>
        <w:t>STEP 1</w:t>
      </w:r>
      <w:r w:rsidRPr="00A81971">
        <w:rPr>
          <w:rFonts w:eastAsia="Times New Roman"/>
          <w:color w:val="000000" w:themeColor="text1"/>
        </w:rPr>
        <w:t xml:space="preserve">. </w:t>
      </w:r>
      <w:r w:rsidRPr="00A81971">
        <w:rPr>
          <w:rFonts w:eastAsia="Times New Roman"/>
          <w:b/>
          <w:bCs/>
          <w:color w:val="000000" w:themeColor="text1"/>
          <w:u w:val="single"/>
        </w:rPr>
        <w:t>Parties (</w:t>
      </w:r>
      <w:r w:rsidR="457BD43E" w:rsidRPr="00A81971">
        <w:rPr>
          <w:rFonts w:eastAsia="Times New Roman"/>
          <w:b/>
          <w:bCs/>
          <w:color w:val="000000" w:themeColor="text1"/>
          <w:u w:val="single"/>
        </w:rPr>
        <w:t>125</w:t>
      </w:r>
      <w:r w:rsidRPr="00A81971">
        <w:rPr>
          <w:rFonts w:eastAsia="Times New Roman"/>
          <w:b/>
          <w:bCs/>
          <w:color w:val="000000" w:themeColor="text1"/>
          <w:u w:val="single"/>
        </w:rPr>
        <w:t xml:space="preserve">) with approved HPMPs </w:t>
      </w:r>
      <w:r w:rsidR="00DE0E90" w:rsidRPr="00A81971">
        <w:rPr>
          <w:rFonts w:eastAsia="Times New Roman"/>
          <w:b/>
          <w:bCs/>
          <w:color w:val="000000" w:themeColor="text1"/>
          <w:u w:val="single"/>
        </w:rPr>
        <w:t xml:space="preserve">and </w:t>
      </w:r>
      <w:r w:rsidRPr="00A81971">
        <w:rPr>
          <w:rFonts w:eastAsia="Times New Roman"/>
          <w:b/>
          <w:bCs/>
          <w:color w:val="000000" w:themeColor="text1"/>
          <w:u w:val="single"/>
        </w:rPr>
        <w:t xml:space="preserve">ExCom </w:t>
      </w:r>
      <w:r w:rsidR="00DE0E90" w:rsidRPr="00A81971">
        <w:rPr>
          <w:rFonts w:eastAsia="Times New Roman"/>
          <w:b/>
          <w:bCs/>
          <w:color w:val="000000" w:themeColor="text1"/>
          <w:u w:val="single"/>
        </w:rPr>
        <w:t xml:space="preserve">agreements </w:t>
      </w:r>
      <w:r w:rsidRPr="00A81971">
        <w:rPr>
          <w:rFonts w:eastAsia="Times New Roman"/>
          <w:b/>
          <w:bCs/>
          <w:color w:val="000000" w:themeColor="text1"/>
          <w:u w:val="single"/>
        </w:rPr>
        <w:t xml:space="preserve">covering 100% of their </w:t>
      </w:r>
      <w:r w:rsidR="008034F1" w:rsidRPr="00A81971">
        <w:rPr>
          <w:rFonts w:eastAsia="Times New Roman"/>
          <w:b/>
          <w:bCs/>
          <w:color w:val="000000" w:themeColor="text1"/>
          <w:u w:val="single"/>
        </w:rPr>
        <w:t xml:space="preserve">agreed </w:t>
      </w:r>
      <w:r w:rsidRPr="00A81971">
        <w:rPr>
          <w:rFonts w:eastAsia="Times New Roman"/>
          <w:b/>
          <w:bCs/>
          <w:color w:val="000000" w:themeColor="text1"/>
          <w:u w:val="single"/>
        </w:rPr>
        <w:t>phase out obligation</w:t>
      </w:r>
      <w:r w:rsidR="00406552" w:rsidRPr="00A81971">
        <w:rPr>
          <w:rFonts w:eastAsia="Times New Roman"/>
          <w:b/>
          <w:bCs/>
          <w:color w:val="000000" w:themeColor="text1"/>
          <w:u w:val="single"/>
        </w:rPr>
        <w:t>s</w:t>
      </w:r>
    </w:p>
    <w:p w14:paraId="6AB6EE84" w14:textId="77777777" w:rsidR="00793ABA" w:rsidRPr="00A81971" w:rsidRDefault="0032495C" w:rsidP="46A3B0F3">
      <w:pPr>
        <w:spacing w:after="0" w:line="259" w:lineRule="auto"/>
        <w:rPr>
          <w:rFonts w:eastAsia="Times New Roman"/>
          <w:color w:val="000000" w:themeColor="text1"/>
        </w:rPr>
      </w:pPr>
      <w:r w:rsidRPr="00A81971">
        <w:rPr>
          <w:rFonts w:eastAsia="Times New Roman"/>
          <w:color w:val="000000" w:themeColor="text1"/>
        </w:rPr>
        <w:t>F</w:t>
      </w:r>
      <w:r w:rsidR="009A69C5" w:rsidRPr="00A81971">
        <w:rPr>
          <w:rFonts w:eastAsia="Times New Roman"/>
          <w:color w:val="000000" w:themeColor="text1"/>
        </w:rPr>
        <w:t xml:space="preserve">or these </w:t>
      </w:r>
      <w:r w:rsidR="457BD43E" w:rsidRPr="00A81971">
        <w:rPr>
          <w:rFonts w:eastAsia="Times New Roman"/>
          <w:color w:val="000000" w:themeColor="text1"/>
        </w:rPr>
        <w:t>125</w:t>
      </w:r>
      <w:r w:rsidRPr="00A81971">
        <w:rPr>
          <w:rFonts w:eastAsia="Times New Roman"/>
          <w:color w:val="000000" w:themeColor="text1"/>
        </w:rPr>
        <w:t xml:space="preserve"> parties</w:t>
      </w:r>
      <w:r w:rsidR="00D700E5" w:rsidRPr="00A81971">
        <w:rPr>
          <w:rFonts w:eastAsia="Times New Roman"/>
          <w:color w:val="000000" w:themeColor="text1"/>
        </w:rPr>
        <w:t>,</w:t>
      </w:r>
      <w:r w:rsidRPr="00A81971">
        <w:rPr>
          <w:rFonts w:eastAsia="Times New Roman"/>
          <w:color w:val="000000" w:themeColor="text1"/>
        </w:rPr>
        <w:t xml:space="preserve"> </w:t>
      </w:r>
      <w:r w:rsidR="005E5CD5" w:rsidRPr="00A81971">
        <w:rPr>
          <w:rFonts w:eastAsia="Times New Roman"/>
          <w:color w:val="000000" w:themeColor="text1"/>
        </w:rPr>
        <w:t>funding for the agreed HCFC phase-out activities</w:t>
      </w:r>
      <w:r w:rsidRPr="00A81971">
        <w:rPr>
          <w:rFonts w:eastAsia="Times New Roman"/>
          <w:color w:val="000000" w:themeColor="text1"/>
        </w:rPr>
        <w:t xml:space="preserve"> has already been approved by the ExCom. </w:t>
      </w:r>
      <w:r w:rsidR="00F8772D" w:rsidRPr="00A81971">
        <w:rPr>
          <w:rFonts w:eastAsia="Times New Roman"/>
          <w:color w:val="000000" w:themeColor="text1"/>
        </w:rPr>
        <w:t>Accordingly, o</w:t>
      </w:r>
      <w:r w:rsidRPr="00A81971">
        <w:rPr>
          <w:rFonts w:eastAsia="Times New Roman"/>
          <w:color w:val="000000" w:themeColor="text1"/>
        </w:rPr>
        <w:t xml:space="preserve">ther than the funding already committed, no </w:t>
      </w:r>
      <w:r w:rsidR="00DF6B8D" w:rsidRPr="00A81971">
        <w:rPr>
          <w:rFonts w:eastAsia="Times New Roman"/>
          <w:color w:val="000000" w:themeColor="text1"/>
        </w:rPr>
        <w:t>additional</w:t>
      </w:r>
      <w:r w:rsidRPr="00A81971">
        <w:rPr>
          <w:rFonts w:eastAsia="Times New Roman"/>
          <w:color w:val="000000" w:themeColor="text1"/>
        </w:rPr>
        <w:t xml:space="preserve"> funding is projected for th</w:t>
      </w:r>
      <w:r w:rsidR="00757063" w:rsidRPr="00A81971">
        <w:rPr>
          <w:rFonts w:eastAsia="Times New Roman"/>
          <w:color w:val="000000" w:themeColor="text1"/>
        </w:rPr>
        <w:t xml:space="preserve">ese </w:t>
      </w:r>
      <w:r w:rsidRPr="00A81971">
        <w:rPr>
          <w:rFonts w:eastAsia="Times New Roman"/>
          <w:color w:val="000000" w:themeColor="text1"/>
        </w:rPr>
        <w:t>parties</w:t>
      </w:r>
      <w:r w:rsidR="005854F0" w:rsidRPr="00A81971">
        <w:rPr>
          <w:rFonts w:eastAsia="Times New Roman"/>
          <w:color w:val="000000" w:themeColor="text1"/>
        </w:rPr>
        <w:t xml:space="preserve">. </w:t>
      </w:r>
      <w:r w:rsidR="003D379C" w:rsidRPr="00A81971">
        <w:rPr>
          <w:rFonts w:eastAsia="Times New Roman"/>
          <w:color w:val="000000" w:themeColor="text1"/>
        </w:rPr>
        <w:t>No additional funding is projected</w:t>
      </w:r>
      <w:r w:rsidRPr="00A81971">
        <w:rPr>
          <w:rFonts w:eastAsia="Times New Roman"/>
          <w:color w:val="000000" w:themeColor="text1"/>
        </w:rPr>
        <w:t xml:space="preserve"> for </w:t>
      </w:r>
      <w:r w:rsidR="003D379C" w:rsidRPr="00A81971">
        <w:rPr>
          <w:rFonts w:eastAsia="Times New Roman"/>
          <w:color w:val="000000" w:themeColor="text1"/>
        </w:rPr>
        <w:t xml:space="preserve">the </w:t>
      </w:r>
      <w:r w:rsidRPr="00A81971">
        <w:rPr>
          <w:rFonts w:eastAsia="Times New Roman"/>
          <w:color w:val="000000" w:themeColor="text1"/>
        </w:rPr>
        <w:t xml:space="preserve">2.5% HCFC servicing tail for the one </w:t>
      </w:r>
      <w:r w:rsidR="00B30987" w:rsidRPr="00A81971">
        <w:rPr>
          <w:rFonts w:eastAsia="Times New Roman"/>
          <w:color w:val="000000" w:themeColor="text1"/>
        </w:rPr>
        <w:t xml:space="preserve">party for which </w:t>
      </w:r>
      <w:r w:rsidRPr="00A81971">
        <w:rPr>
          <w:rFonts w:eastAsia="Times New Roman"/>
          <w:color w:val="000000" w:themeColor="text1"/>
        </w:rPr>
        <w:t>2.5% remain (one party).</w:t>
      </w:r>
      <w:r>
        <w:rPr>
          <w:rFonts w:eastAsia="Times New Roman"/>
          <w:color w:val="000000" w:themeColor="text1"/>
          <w:vertAlign w:val="superscript"/>
        </w:rPr>
        <w:footnoteReference w:id="28"/>
      </w:r>
      <w:r w:rsidRPr="00A81971">
        <w:rPr>
          <w:rFonts w:eastAsia="Times New Roman"/>
          <w:color w:val="000000" w:themeColor="text1"/>
        </w:rPr>
        <w:t xml:space="preserve"> Committed funding amounts to </w:t>
      </w:r>
      <w:r w:rsidRPr="00A81971">
        <w:rPr>
          <w:rFonts w:eastAsia="Times New Roman"/>
          <w:b/>
          <w:bCs/>
          <w:color w:val="000000" w:themeColor="text1"/>
        </w:rPr>
        <w:t xml:space="preserve">US$ </w:t>
      </w:r>
      <w:r w:rsidR="457BD43E" w:rsidRPr="003D17D0">
        <w:rPr>
          <w:rFonts w:eastAsia="Times New Roman"/>
          <w:b/>
          <w:bCs/>
          <w:color w:val="000000" w:themeColor="text1"/>
        </w:rPr>
        <w:t>88.22</w:t>
      </w:r>
      <w:r w:rsidRPr="00A81971">
        <w:rPr>
          <w:rFonts w:eastAsia="Times New Roman"/>
          <w:b/>
          <w:bCs/>
          <w:color w:val="000000" w:themeColor="text1"/>
        </w:rPr>
        <w:t xml:space="preserve"> million </w:t>
      </w:r>
      <w:r w:rsidR="00AA66B9" w:rsidRPr="00A81971">
        <w:rPr>
          <w:rFonts w:eastAsia="Times New Roman"/>
          <w:b/>
          <w:bCs/>
          <w:color w:val="000000" w:themeColor="text1"/>
        </w:rPr>
        <w:t xml:space="preserve">for the </w:t>
      </w:r>
      <w:r w:rsidRPr="00A81971">
        <w:rPr>
          <w:rFonts w:eastAsia="Times New Roman"/>
          <w:b/>
          <w:bCs/>
          <w:color w:val="000000" w:themeColor="text1"/>
        </w:rPr>
        <w:t>2027</w:t>
      </w:r>
      <w:r w:rsidR="00CF7103" w:rsidRPr="00A81971">
        <w:rPr>
          <w:rFonts w:eastAsia="Times New Roman"/>
          <w:b/>
          <w:bCs/>
          <w:color w:val="000000" w:themeColor="text1"/>
        </w:rPr>
        <w:t>-</w:t>
      </w:r>
      <w:r w:rsidRPr="00A81971">
        <w:rPr>
          <w:rFonts w:eastAsia="Times New Roman"/>
          <w:b/>
          <w:bCs/>
          <w:color w:val="000000" w:themeColor="text1"/>
        </w:rPr>
        <w:t xml:space="preserve">2029 triennium and US$ </w:t>
      </w:r>
      <w:r w:rsidR="457BD43E" w:rsidRPr="00A81971">
        <w:rPr>
          <w:rFonts w:eastAsia="Times New Roman"/>
          <w:b/>
          <w:bCs/>
          <w:color w:val="000000" w:themeColor="text1"/>
        </w:rPr>
        <w:t>28.57</w:t>
      </w:r>
      <w:r w:rsidRPr="00A81971">
        <w:rPr>
          <w:rFonts w:eastAsia="Times New Roman"/>
          <w:b/>
          <w:bCs/>
          <w:color w:val="000000" w:themeColor="text1"/>
        </w:rPr>
        <w:t xml:space="preserve"> million </w:t>
      </w:r>
      <w:r w:rsidR="00DB4A84" w:rsidRPr="00A81971">
        <w:rPr>
          <w:rFonts w:eastAsia="Times New Roman"/>
          <w:b/>
          <w:bCs/>
          <w:color w:val="000000" w:themeColor="text1"/>
        </w:rPr>
        <w:t>for</w:t>
      </w:r>
      <w:r w:rsidRPr="00A81971">
        <w:rPr>
          <w:rFonts w:eastAsia="Times New Roman"/>
          <w:b/>
          <w:bCs/>
          <w:color w:val="000000" w:themeColor="text1"/>
        </w:rPr>
        <w:t xml:space="preserve"> 2030</w:t>
      </w:r>
      <w:r w:rsidR="007D14A5" w:rsidRPr="00A81971">
        <w:rPr>
          <w:rFonts w:eastAsia="Times New Roman"/>
          <w:b/>
          <w:bCs/>
          <w:color w:val="000000" w:themeColor="text1"/>
        </w:rPr>
        <w:t>-2</w:t>
      </w:r>
      <w:r w:rsidR="00F86285" w:rsidRPr="00A81971">
        <w:rPr>
          <w:rFonts w:eastAsia="Times New Roman"/>
          <w:b/>
          <w:bCs/>
          <w:color w:val="000000" w:themeColor="text1"/>
        </w:rPr>
        <w:t>032</w:t>
      </w:r>
      <w:r w:rsidRPr="00A81971">
        <w:rPr>
          <w:rFonts w:eastAsia="Times New Roman"/>
          <w:color w:val="000000" w:themeColor="text1"/>
        </w:rPr>
        <w:t xml:space="preserve">, </w:t>
      </w:r>
      <w:r w:rsidR="00765AC8" w:rsidRPr="00A81971">
        <w:rPr>
          <w:rFonts w:eastAsia="Times New Roman"/>
          <w:color w:val="000000" w:themeColor="text1"/>
        </w:rPr>
        <w:t xml:space="preserve">based on </w:t>
      </w:r>
      <w:r w:rsidRPr="00A81971">
        <w:rPr>
          <w:rFonts w:eastAsia="Times New Roman"/>
          <w:color w:val="000000" w:themeColor="text1"/>
        </w:rPr>
        <w:t xml:space="preserve">information </w:t>
      </w:r>
      <w:r w:rsidR="00FC11C8" w:rsidRPr="00A81971">
        <w:rPr>
          <w:rFonts w:eastAsia="Times New Roman"/>
          <w:color w:val="000000" w:themeColor="text1"/>
        </w:rPr>
        <w:t xml:space="preserve">provided </w:t>
      </w:r>
      <w:r w:rsidR="00F7600D" w:rsidRPr="00A81971">
        <w:rPr>
          <w:rFonts w:eastAsia="Times New Roman"/>
          <w:color w:val="000000" w:themeColor="text1"/>
        </w:rPr>
        <w:t xml:space="preserve">by </w:t>
      </w:r>
      <w:r w:rsidRPr="00A81971">
        <w:rPr>
          <w:rFonts w:eastAsia="Times New Roman"/>
          <w:color w:val="000000" w:themeColor="text1"/>
        </w:rPr>
        <w:t xml:space="preserve">the MLFS. </w:t>
      </w:r>
      <w:r w:rsidR="46A3B0F3" w:rsidRPr="00A81971">
        <w:rPr>
          <w:rFonts w:eastAsia="Times New Roman"/>
          <w:color w:val="000000" w:themeColor="text1"/>
        </w:rPr>
        <w:t xml:space="preserve"> </w:t>
      </w:r>
      <w:r w:rsidR="46A3B0F3" w:rsidRPr="00A81971">
        <w:rPr>
          <w:rFonts w:eastAsia="Times New Roman"/>
          <w:color w:val="000000" w:themeColor="text1"/>
        </w:rPr>
        <w:lastRenderedPageBreak/>
        <w:t xml:space="preserve">A committed amount of US$26.61 million has been approved for the 2030–2032 triennium, together with a final tranche of US$1.96 million for a single country (Thailand), approved for 2033. Accordingly, the total amounts presented in the HCFC tables of this report cover the period 2030–2033 and include this final tranche. </w:t>
      </w:r>
      <w:r w:rsidRPr="00A81971">
        <w:rPr>
          <w:rFonts w:eastAsia="Times New Roman"/>
          <w:color w:val="000000" w:themeColor="text1"/>
        </w:rPr>
        <w:t>This methodolog</w:t>
      </w:r>
      <w:r w:rsidR="008069F5" w:rsidRPr="00A81971">
        <w:rPr>
          <w:rFonts w:eastAsia="Times New Roman"/>
          <w:color w:val="000000" w:themeColor="text1"/>
        </w:rPr>
        <w:t>ical</w:t>
      </w:r>
      <w:r w:rsidRPr="00A81971">
        <w:rPr>
          <w:rFonts w:eastAsia="Times New Roman"/>
          <w:color w:val="000000" w:themeColor="text1"/>
        </w:rPr>
        <w:t xml:space="preserve"> step is shown in the </w:t>
      </w:r>
      <w:r w:rsidR="00343A77" w:rsidRPr="00A81971">
        <w:rPr>
          <w:rFonts w:eastAsia="Times New Roman"/>
          <w:color w:val="000000" w:themeColor="text1"/>
        </w:rPr>
        <w:t xml:space="preserve">flow chart in </w:t>
      </w:r>
      <w:r w:rsidRPr="00A81971">
        <w:rPr>
          <w:rFonts w:eastAsia="Times New Roman"/>
          <w:color w:val="000000" w:themeColor="text1"/>
        </w:rPr>
        <w:t>Figure A</w:t>
      </w:r>
      <w:r w:rsidR="00160E06" w:rsidRPr="00A81971">
        <w:rPr>
          <w:rFonts w:eastAsia="Times New Roman"/>
          <w:color w:val="000000" w:themeColor="text1"/>
        </w:rPr>
        <w:t>2</w:t>
      </w:r>
      <w:r w:rsidRPr="00A81971">
        <w:rPr>
          <w:rFonts w:eastAsia="Times New Roman"/>
          <w:color w:val="000000" w:themeColor="text1"/>
        </w:rPr>
        <w:t xml:space="preserve">.1 flow chart below, and the committed funding is presented under </w:t>
      </w:r>
      <w:r w:rsidRPr="00A81971">
        <w:rPr>
          <w:rFonts w:eastAsia="Times New Roman"/>
          <w:b/>
          <w:bCs/>
          <w:color w:val="000000" w:themeColor="text1"/>
        </w:rPr>
        <w:t>Output 1.</w:t>
      </w:r>
      <w:r w:rsidR="46A3B0F3" w:rsidRPr="00A81971">
        <w:rPr>
          <w:rFonts w:eastAsia="Times New Roman"/>
          <w:b/>
          <w:bCs/>
          <w:color w:val="000000" w:themeColor="text1"/>
        </w:rPr>
        <w:t xml:space="preserve"> </w:t>
      </w:r>
    </w:p>
    <w:p w14:paraId="2573B324" w14:textId="77777777" w:rsidR="00924C53" w:rsidRDefault="00924C53" w:rsidP="00924C53">
      <w:pPr>
        <w:spacing w:after="0"/>
        <w:rPr>
          <w:rFonts w:eastAsia="Times New Roman"/>
          <w:b/>
          <w:bCs/>
          <w:color w:val="000000" w:themeColor="text1"/>
        </w:rPr>
      </w:pPr>
    </w:p>
    <w:p w14:paraId="3B5049BB" w14:textId="564EBB49" w:rsidR="00793ABA" w:rsidRPr="00A81971" w:rsidRDefault="0032495C" w:rsidP="00924C53">
      <w:pPr>
        <w:spacing w:after="0"/>
        <w:rPr>
          <w:rFonts w:eastAsia="Times New Roman"/>
          <w:b/>
          <w:bCs/>
          <w:color w:val="000000" w:themeColor="text1"/>
        </w:rPr>
      </w:pPr>
      <w:r w:rsidRPr="00A81971">
        <w:rPr>
          <w:rFonts w:eastAsia="Times New Roman"/>
          <w:b/>
          <w:bCs/>
          <w:color w:val="000000" w:themeColor="text1"/>
        </w:rPr>
        <w:t>Figure A</w:t>
      </w:r>
      <w:r w:rsidR="00B51EC6" w:rsidRPr="00A81971">
        <w:rPr>
          <w:rFonts w:eastAsia="Times New Roman"/>
          <w:b/>
          <w:bCs/>
          <w:color w:val="000000" w:themeColor="text1"/>
        </w:rPr>
        <w:t>2</w:t>
      </w:r>
      <w:r w:rsidRPr="00A81971">
        <w:rPr>
          <w:rFonts w:eastAsia="Times New Roman"/>
          <w:b/>
          <w:bCs/>
          <w:color w:val="000000" w:themeColor="text1"/>
        </w:rPr>
        <w:t xml:space="preserve">.1   Flowchart for estimating funding for Output 1: </w:t>
      </w:r>
      <w:r w:rsidR="457BD43E" w:rsidRPr="00A81971">
        <w:rPr>
          <w:rFonts w:eastAsia="Times New Roman"/>
          <w:b/>
          <w:bCs/>
          <w:color w:val="000000" w:themeColor="text1"/>
        </w:rPr>
        <w:t>125</w:t>
      </w:r>
      <w:r w:rsidRPr="00A81971">
        <w:rPr>
          <w:rFonts w:eastAsia="Times New Roman"/>
          <w:b/>
          <w:bCs/>
          <w:color w:val="000000" w:themeColor="text1"/>
        </w:rPr>
        <w:t xml:space="preserve"> parties with approved HPMPs </w:t>
      </w:r>
      <w:r w:rsidR="008B1152" w:rsidRPr="00A81971">
        <w:rPr>
          <w:rFonts w:eastAsia="Times New Roman"/>
          <w:b/>
          <w:bCs/>
          <w:color w:val="000000" w:themeColor="text1"/>
        </w:rPr>
        <w:t>and ExCom agreements covering</w:t>
      </w:r>
      <w:r w:rsidRPr="00A81971">
        <w:rPr>
          <w:rFonts w:eastAsia="Times New Roman"/>
          <w:b/>
          <w:bCs/>
          <w:color w:val="000000" w:themeColor="text1"/>
        </w:rPr>
        <w:t xml:space="preserve"> 100% </w:t>
      </w:r>
      <w:r w:rsidR="00FB0E08" w:rsidRPr="00A81971">
        <w:rPr>
          <w:rFonts w:eastAsia="Times New Roman"/>
          <w:b/>
          <w:bCs/>
          <w:color w:val="000000" w:themeColor="text1"/>
        </w:rPr>
        <w:t xml:space="preserve">of their agreed </w:t>
      </w:r>
      <w:r w:rsidRPr="00A81971">
        <w:rPr>
          <w:rFonts w:eastAsia="Times New Roman"/>
          <w:b/>
          <w:bCs/>
          <w:color w:val="000000" w:themeColor="text1"/>
        </w:rPr>
        <w:t>phase-out</w:t>
      </w:r>
    </w:p>
    <w:p w14:paraId="12296CCB" w14:textId="77777777" w:rsidR="00793ABA" w:rsidRPr="00A81971" w:rsidRDefault="0032495C" w:rsidP="00E86FA0">
      <w:pPr>
        <w:spacing w:after="240"/>
        <w:jc w:val="center"/>
      </w:pPr>
      <w:r w:rsidRPr="00A81971">
        <w:rPr>
          <w:noProof/>
        </w:rPr>
        <w:drawing>
          <wp:inline distT="0" distB="0" distL="0" distR="0" wp14:anchorId="7990D5CF" wp14:editId="4467662D">
            <wp:extent cx="5547841" cy="3365284"/>
            <wp:effectExtent l="0" t="0" r="0" b="0"/>
            <wp:docPr id="16534644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64418" name="Picture 1653464418"/>
                    <pic:cNvPicPr/>
                  </pic:nvPicPr>
                  <pic:blipFill>
                    <a:blip r:embed="rId35">
                      <a:extLst>
                        <a:ext uri="{28A0092B-C50C-407E-A947-70E740481C1C}">
                          <a14:useLocalDpi xmlns:a14="http://schemas.microsoft.com/office/drawing/2010/main" val="0"/>
                        </a:ext>
                      </a:extLst>
                    </a:blip>
                    <a:stretch>
                      <a:fillRect/>
                    </a:stretch>
                  </pic:blipFill>
                  <pic:spPr>
                    <a:xfrm>
                      <a:off x="0" y="0"/>
                      <a:ext cx="5547841" cy="3365284"/>
                    </a:xfrm>
                    <a:prstGeom prst="rect">
                      <a:avLst/>
                    </a:prstGeom>
                  </pic:spPr>
                </pic:pic>
              </a:graphicData>
            </a:graphic>
          </wp:inline>
        </w:drawing>
      </w:r>
    </w:p>
    <w:p w14:paraId="5A3F63C3" w14:textId="77777777" w:rsidR="00793ABA" w:rsidRPr="00A81971" w:rsidRDefault="0032495C" w:rsidP="457BD43E">
      <w:pPr>
        <w:spacing w:after="240" w:line="259" w:lineRule="auto"/>
        <w:rPr>
          <w:rFonts w:eastAsia="Times New Roman"/>
          <w:b/>
          <w:bCs/>
          <w:color w:val="000000" w:themeColor="text1"/>
          <w:u w:val="single"/>
        </w:rPr>
      </w:pPr>
      <w:r w:rsidRPr="00A81971">
        <w:rPr>
          <w:rFonts w:eastAsia="Times New Roman"/>
          <w:b/>
          <w:bCs/>
          <w:color w:val="000000" w:themeColor="text1"/>
        </w:rPr>
        <w:t xml:space="preserve">STEP 2. </w:t>
      </w:r>
      <w:r w:rsidRPr="00A81971">
        <w:rPr>
          <w:rFonts w:eastAsia="Times New Roman"/>
          <w:b/>
          <w:bCs/>
          <w:color w:val="000000" w:themeColor="text1"/>
          <w:u w:val="single"/>
        </w:rPr>
        <w:t>Funding for three A5 parties with cancelled HPMPs</w:t>
      </w:r>
    </w:p>
    <w:p w14:paraId="4CE31CA3"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The </w:t>
      </w:r>
      <w:r w:rsidR="001F603D" w:rsidRPr="00A81971">
        <w:rPr>
          <w:rFonts w:eastAsia="Times New Roman"/>
          <w:color w:val="000000" w:themeColor="text1"/>
        </w:rPr>
        <w:t xml:space="preserve">RTF understands </w:t>
      </w:r>
      <w:r w:rsidRPr="00A81971">
        <w:rPr>
          <w:rFonts w:eastAsia="Times New Roman"/>
          <w:color w:val="000000" w:themeColor="text1"/>
        </w:rPr>
        <w:t>that</w:t>
      </w:r>
      <w:r w:rsidR="001F603D" w:rsidRPr="00A81971">
        <w:rPr>
          <w:rFonts w:eastAsia="Times New Roman"/>
          <w:color w:val="000000" w:themeColor="text1"/>
        </w:rPr>
        <w:t xml:space="preserve"> the current status of c</w:t>
      </w:r>
      <w:r w:rsidR="00E85786" w:rsidRPr="00A81971">
        <w:rPr>
          <w:rFonts w:eastAsia="Times New Roman"/>
          <w:color w:val="000000" w:themeColor="text1"/>
        </w:rPr>
        <w:t xml:space="preserve">ancelled HPMPs </w:t>
      </w:r>
      <w:r w:rsidR="060C4F7D" w:rsidRPr="00A81971">
        <w:rPr>
          <w:rFonts w:eastAsia="Times New Roman"/>
          <w:color w:val="000000" w:themeColor="text1"/>
        </w:rPr>
        <w:t xml:space="preserve">includes </w:t>
      </w:r>
      <w:r w:rsidR="00A7190F" w:rsidRPr="00A81971">
        <w:rPr>
          <w:rFonts w:eastAsia="Times New Roman"/>
          <w:color w:val="000000" w:themeColor="text1"/>
        </w:rPr>
        <w:t>two LVC parties</w:t>
      </w:r>
      <w:r w:rsidR="00586CF6" w:rsidRPr="00A81971">
        <w:rPr>
          <w:rFonts w:eastAsia="Times New Roman"/>
          <w:color w:val="000000" w:themeColor="text1"/>
        </w:rPr>
        <w:t>, with one not planning to re-submit their HPMP, and two non-LVC parties.</w:t>
      </w:r>
      <w:r>
        <w:rPr>
          <w:rFonts w:eastAsia="Times New Roman"/>
          <w:color w:val="000000" w:themeColor="text1"/>
          <w:vertAlign w:val="superscript"/>
        </w:rPr>
        <w:footnoteReference w:id="29"/>
      </w:r>
      <w:r w:rsidR="060C4F7D" w:rsidRPr="00A81971">
        <w:rPr>
          <w:rFonts w:eastAsia="Times New Roman"/>
          <w:color w:val="000000" w:themeColor="text1"/>
        </w:rPr>
        <w:t xml:space="preserve"> Funding requirements were calculated separately for LVC and non-LVC parties. For non-LVC parties, calculations were based on the CE</w:t>
      </w:r>
      <w:r w:rsidR="008104C5" w:rsidRPr="00A81971">
        <w:rPr>
          <w:rFonts w:eastAsia="Times New Roman"/>
          <w:color w:val="000000" w:themeColor="text1"/>
        </w:rPr>
        <w:t xml:space="preserve"> </w:t>
      </w:r>
      <w:r w:rsidR="00ED4239" w:rsidRPr="00A81971">
        <w:rPr>
          <w:rFonts w:eastAsia="Times New Roman"/>
          <w:color w:val="000000" w:themeColor="text1"/>
        </w:rPr>
        <w:t>value</w:t>
      </w:r>
      <w:r w:rsidR="060C4F7D" w:rsidRPr="00A81971">
        <w:rPr>
          <w:rFonts w:eastAsia="Times New Roman"/>
          <w:color w:val="000000" w:themeColor="text1"/>
        </w:rPr>
        <w:t>s established in the applicable cost guidelines, while for the LVC parties, the cost framework as per ExCom Decision 74/50 was applied.</w:t>
      </w:r>
    </w:p>
    <w:p w14:paraId="3FCE692A" w14:textId="77777777" w:rsidR="00793ABA" w:rsidRPr="00A81971" w:rsidRDefault="0032495C" w:rsidP="060C4F7D">
      <w:pPr>
        <w:spacing w:after="240"/>
        <w:rPr>
          <w:rFonts w:eastAsia="Times New Roman"/>
          <w:color w:val="000000" w:themeColor="text1"/>
        </w:rPr>
      </w:pPr>
      <w:r w:rsidRPr="2E7655E2">
        <w:rPr>
          <w:rFonts w:eastAsia="Times New Roman"/>
          <w:color w:val="000000" w:themeColor="text1"/>
        </w:rPr>
        <w:t xml:space="preserve">For the remaining three parties with cancelled HPMPs, future funding requests remain uncertain and would depend on the preparation and subsequent approval of new submissions. The RTF estimated the funding needs for these three parties based on the assumption that they could request all eligible funding in the next triennium and achieve the complete phase out of HCFC consumption in accordance with the control measures under the MP. Reduction estimates were based on reported 2024 HCFC consumption for the three parties. </w:t>
      </w:r>
    </w:p>
    <w:p w14:paraId="6CA542D4" w14:textId="77777777" w:rsidR="00793ABA" w:rsidRPr="00A81971" w:rsidRDefault="0032495C" w:rsidP="46A3B0F3">
      <w:pPr>
        <w:spacing w:after="0" w:line="259" w:lineRule="auto"/>
        <w:rPr>
          <w:rFonts w:eastAsia="Times New Roman"/>
          <w:color w:val="000000" w:themeColor="text1"/>
        </w:rPr>
      </w:pPr>
      <w:r w:rsidRPr="2E7655E2">
        <w:rPr>
          <w:rFonts w:eastAsia="Times New Roman"/>
          <w:color w:val="000000" w:themeColor="text1"/>
        </w:rPr>
        <w:t xml:space="preserve">This methodological step is shown in the Figure A2.2 below under </w:t>
      </w:r>
      <w:r w:rsidRPr="2E7655E2">
        <w:rPr>
          <w:rFonts w:eastAsia="Times New Roman"/>
          <w:b/>
          <w:bCs/>
          <w:color w:val="000000" w:themeColor="text1"/>
        </w:rPr>
        <w:t>Output 2</w:t>
      </w:r>
      <w:r w:rsidRPr="2E7655E2">
        <w:rPr>
          <w:rFonts w:eastAsia="Times New Roman"/>
          <w:color w:val="000000" w:themeColor="text1"/>
        </w:rPr>
        <w:t xml:space="preserve">, resulting in estimated funding requirements of </w:t>
      </w:r>
      <w:r w:rsidRPr="2E7655E2">
        <w:rPr>
          <w:rFonts w:eastAsia="Times New Roman"/>
          <w:b/>
          <w:bCs/>
          <w:color w:val="000000" w:themeColor="text1"/>
        </w:rPr>
        <w:t xml:space="preserve">US$ 8.14 million in for the 2027-2029 triennium, including US$ 0.58 million for PMU costs, with no additional funding assumed for subsequent triennia. </w:t>
      </w:r>
      <w:r w:rsidRPr="2E7655E2">
        <w:rPr>
          <w:rFonts w:eastAsia="Times New Roman"/>
          <w:color w:val="000000" w:themeColor="text1"/>
        </w:rPr>
        <w:t xml:space="preserve"> </w:t>
      </w:r>
    </w:p>
    <w:p w14:paraId="1B019F4D" w14:textId="77777777" w:rsidR="46A3B0F3" w:rsidRPr="00A81971" w:rsidRDefault="46A3B0F3" w:rsidP="46A3B0F3">
      <w:pPr>
        <w:spacing w:after="240" w:line="259" w:lineRule="auto"/>
        <w:rPr>
          <w:rFonts w:eastAsia="Times New Roman"/>
          <w:b/>
          <w:bCs/>
          <w:color w:val="000000" w:themeColor="text1"/>
        </w:rPr>
      </w:pPr>
    </w:p>
    <w:p w14:paraId="2849102F" w14:textId="77777777" w:rsidR="00B60FA6" w:rsidRPr="00A81971" w:rsidRDefault="0032495C">
      <w:pPr>
        <w:spacing w:after="0"/>
        <w:rPr>
          <w:rFonts w:eastAsia="Times New Roman"/>
          <w:b/>
          <w:bCs/>
          <w:color w:val="000000" w:themeColor="text1"/>
        </w:rPr>
      </w:pPr>
      <w:r w:rsidRPr="00A81971">
        <w:rPr>
          <w:rFonts w:eastAsia="Times New Roman"/>
          <w:b/>
          <w:bCs/>
          <w:color w:val="000000" w:themeColor="text1"/>
        </w:rPr>
        <w:br w:type="page"/>
      </w:r>
    </w:p>
    <w:p w14:paraId="15FEB24B" w14:textId="77777777" w:rsidR="00793ABA" w:rsidRPr="00A81971" w:rsidRDefault="0032495C" w:rsidP="00E86FA0">
      <w:pPr>
        <w:tabs>
          <w:tab w:val="left" w:pos="0"/>
          <w:tab w:val="left" w:pos="1276"/>
        </w:tabs>
        <w:spacing w:after="240" w:line="259" w:lineRule="auto"/>
        <w:jc w:val="center"/>
        <w:rPr>
          <w:rFonts w:eastAsia="Times New Roman"/>
          <w:b/>
          <w:bCs/>
          <w:color w:val="000000" w:themeColor="text1"/>
        </w:rPr>
      </w:pPr>
      <w:r w:rsidRPr="00A81971">
        <w:rPr>
          <w:rFonts w:eastAsia="Times New Roman"/>
          <w:b/>
          <w:bCs/>
          <w:color w:val="000000" w:themeColor="text1"/>
        </w:rPr>
        <w:lastRenderedPageBreak/>
        <w:t>Figure A</w:t>
      </w:r>
      <w:r w:rsidR="00B51EC6" w:rsidRPr="00A81971">
        <w:rPr>
          <w:rFonts w:eastAsia="Times New Roman"/>
          <w:b/>
          <w:bCs/>
          <w:color w:val="000000" w:themeColor="text1"/>
        </w:rPr>
        <w:t>2</w:t>
      </w:r>
      <w:r w:rsidRPr="00A81971">
        <w:rPr>
          <w:rFonts w:eastAsia="Times New Roman"/>
          <w:b/>
          <w:bCs/>
          <w:color w:val="000000" w:themeColor="text1"/>
        </w:rPr>
        <w:t xml:space="preserve">.2   Flowchart for Outputs 2 and 3: estimating funding for three </w:t>
      </w:r>
      <w:r w:rsidR="00386829" w:rsidRPr="00A81971">
        <w:rPr>
          <w:rFonts w:eastAsia="Times New Roman"/>
          <w:b/>
          <w:bCs/>
          <w:color w:val="000000" w:themeColor="text1"/>
        </w:rPr>
        <w:t xml:space="preserve">parties with </w:t>
      </w:r>
      <w:r w:rsidRPr="00A81971">
        <w:rPr>
          <w:rFonts w:eastAsia="Times New Roman"/>
          <w:b/>
          <w:bCs/>
          <w:color w:val="000000" w:themeColor="text1"/>
        </w:rPr>
        <w:t xml:space="preserve">cancelled HPMPs and committed funding for </w:t>
      </w:r>
      <w:r w:rsidR="457BD43E" w:rsidRPr="00A81971">
        <w:rPr>
          <w:rFonts w:eastAsia="Times New Roman"/>
          <w:b/>
          <w:bCs/>
          <w:color w:val="000000" w:themeColor="text1"/>
        </w:rPr>
        <w:t>14</w:t>
      </w:r>
      <w:r w:rsidRPr="00A81971">
        <w:rPr>
          <w:rFonts w:eastAsia="Times New Roman"/>
          <w:b/>
          <w:bCs/>
          <w:color w:val="000000" w:themeColor="text1"/>
        </w:rPr>
        <w:t xml:space="preserve"> parties with approved HPMPs </w:t>
      </w:r>
      <w:r w:rsidR="00AD6D71" w:rsidRPr="00A81971">
        <w:rPr>
          <w:rFonts w:eastAsia="Times New Roman"/>
          <w:b/>
          <w:bCs/>
          <w:color w:val="000000" w:themeColor="text1"/>
        </w:rPr>
        <w:t xml:space="preserve">covering </w:t>
      </w:r>
      <w:r w:rsidRPr="00A81971">
        <w:rPr>
          <w:rFonts w:eastAsia="Times New Roman"/>
          <w:b/>
          <w:bCs/>
          <w:color w:val="000000" w:themeColor="text1"/>
        </w:rPr>
        <w:t xml:space="preserve">less than 100% </w:t>
      </w:r>
      <w:r w:rsidR="00462602" w:rsidRPr="00A81971">
        <w:rPr>
          <w:rFonts w:eastAsia="Times New Roman"/>
          <w:b/>
          <w:bCs/>
          <w:color w:val="000000" w:themeColor="text1"/>
        </w:rPr>
        <w:t xml:space="preserve">of their agreed </w:t>
      </w:r>
      <w:r w:rsidRPr="00A81971">
        <w:rPr>
          <w:rFonts w:eastAsia="Times New Roman"/>
          <w:b/>
          <w:bCs/>
          <w:color w:val="000000" w:themeColor="text1"/>
        </w:rPr>
        <w:t>phase-out</w:t>
      </w:r>
      <w:r w:rsidR="00462602" w:rsidRPr="00A81971">
        <w:rPr>
          <w:rFonts w:eastAsia="Times New Roman"/>
          <w:b/>
          <w:bCs/>
          <w:color w:val="000000" w:themeColor="text1"/>
        </w:rPr>
        <w:t xml:space="preserve"> obligations</w:t>
      </w:r>
      <w:r w:rsidR="4A257989" w:rsidRPr="00A81971">
        <w:rPr>
          <w:rFonts w:eastAsia="Times New Roman"/>
          <w:b/>
          <w:bCs/>
          <w:color w:val="000000" w:themeColor="text1"/>
        </w:rPr>
        <w:t xml:space="preserve"> </w:t>
      </w:r>
    </w:p>
    <w:p w14:paraId="670AAB34" w14:textId="77777777" w:rsidR="00793ABA" w:rsidRPr="00A81971" w:rsidRDefault="0032495C" w:rsidP="00E86FA0">
      <w:pPr>
        <w:spacing w:after="240"/>
        <w:jc w:val="center"/>
        <w:rPr>
          <w:rFonts w:eastAsia="Times New Roman"/>
          <w:b/>
          <w:bCs/>
          <w:color w:val="000000" w:themeColor="text1"/>
        </w:rPr>
      </w:pPr>
      <w:r w:rsidRPr="00A81971">
        <w:rPr>
          <w:noProof/>
        </w:rPr>
        <w:drawing>
          <wp:inline distT="0" distB="0" distL="0" distR="0" wp14:anchorId="4DC7AF7A" wp14:editId="00A3C114">
            <wp:extent cx="5762625" cy="3238500"/>
            <wp:effectExtent l="0" t="0" r="0" b="0"/>
            <wp:docPr id="673816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816145" name="Picture 673816145"/>
                    <pic:cNvPicPr/>
                  </pic:nvPicPr>
                  <pic:blipFill>
                    <a:blip r:embed="rId36">
                      <a:extLst>
                        <a:ext uri="{28A0092B-C50C-407E-A947-70E740481C1C}">
                          <a14:useLocalDpi xmlns:a14="http://schemas.microsoft.com/office/drawing/2010/main" val="0"/>
                        </a:ext>
                      </a:extLst>
                    </a:blip>
                    <a:stretch>
                      <a:fillRect/>
                    </a:stretch>
                  </pic:blipFill>
                  <pic:spPr>
                    <a:xfrm>
                      <a:off x="0" y="0"/>
                      <a:ext cx="5762625" cy="3238500"/>
                    </a:xfrm>
                    <a:prstGeom prst="rect">
                      <a:avLst/>
                    </a:prstGeom>
                  </pic:spPr>
                </pic:pic>
              </a:graphicData>
            </a:graphic>
          </wp:inline>
        </w:drawing>
      </w:r>
    </w:p>
    <w:p w14:paraId="1F56E06E" w14:textId="77777777" w:rsidR="00793ABA" w:rsidRPr="00A81971" w:rsidRDefault="0032495C" w:rsidP="457BD43E">
      <w:pPr>
        <w:spacing w:after="240" w:line="259" w:lineRule="auto"/>
        <w:rPr>
          <w:rFonts w:eastAsia="Times New Roman"/>
          <w:b/>
          <w:bCs/>
          <w:color w:val="000000" w:themeColor="text1"/>
          <w:u w:val="single"/>
        </w:rPr>
      </w:pPr>
      <w:r w:rsidRPr="00A81971">
        <w:rPr>
          <w:rFonts w:eastAsia="Times New Roman"/>
          <w:b/>
          <w:bCs/>
          <w:color w:val="000000" w:themeColor="text1"/>
        </w:rPr>
        <w:t>STEP 3</w:t>
      </w:r>
      <w:r w:rsidRPr="00A81971">
        <w:rPr>
          <w:rFonts w:eastAsia="Times New Roman"/>
          <w:color w:val="000000" w:themeColor="text1"/>
        </w:rPr>
        <w:t xml:space="preserve">. </w:t>
      </w:r>
      <w:r w:rsidRPr="00A81971">
        <w:rPr>
          <w:rFonts w:eastAsia="Times New Roman"/>
          <w:b/>
          <w:bCs/>
          <w:color w:val="000000" w:themeColor="text1"/>
          <w:u w:val="single"/>
        </w:rPr>
        <w:t xml:space="preserve">Calculation of committed and new funding estimates for </w:t>
      </w:r>
      <w:r w:rsidR="457BD43E" w:rsidRPr="00A81971">
        <w:rPr>
          <w:rFonts w:eastAsia="Times New Roman"/>
          <w:b/>
          <w:bCs/>
          <w:color w:val="000000" w:themeColor="text1"/>
          <w:u w:val="single"/>
        </w:rPr>
        <w:t>14</w:t>
      </w:r>
      <w:r w:rsidRPr="00A81971">
        <w:rPr>
          <w:rFonts w:eastAsia="Times New Roman"/>
          <w:b/>
          <w:bCs/>
          <w:color w:val="000000" w:themeColor="text1"/>
          <w:u w:val="single"/>
        </w:rPr>
        <w:t xml:space="preserve"> parties with remaining eligible consumption and HPMP agreements that do not </w:t>
      </w:r>
      <w:r w:rsidR="00590C8A" w:rsidRPr="00A81971">
        <w:rPr>
          <w:rFonts w:eastAsia="Times New Roman"/>
          <w:b/>
          <w:bCs/>
          <w:color w:val="000000" w:themeColor="text1"/>
          <w:u w:val="single"/>
        </w:rPr>
        <w:t xml:space="preserve">cover </w:t>
      </w:r>
      <w:r w:rsidRPr="00A81971">
        <w:rPr>
          <w:rFonts w:eastAsia="Times New Roman"/>
          <w:b/>
          <w:bCs/>
          <w:color w:val="000000" w:themeColor="text1"/>
          <w:u w:val="single"/>
        </w:rPr>
        <w:t>the complete phase-out</w:t>
      </w:r>
    </w:p>
    <w:p w14:paraId="62EC9D12" w14:textId="77777777" w:rsidR="00793ABA" w:rsidRPr="00A81971" w:rsidRDefault="0032495C" w:rsidP="457BD43E">
      <w:pPr>
        <w:spacing w:after="240" w:line="259" w:lineRule="auto"/>
        <w:rPr>
          <w:rFonts w:eastAsia="Times New Roman"/>
          <w:b/>
          <w:bCs/>
        </w:rPr>
      </w:pPr>
      <w:r w:rsidRPr="00A81971">
        <w:rPr>
          <w:rFonts w:eastAsia="Times New Roman"/>
          <w:b/>
          <w:bCs/>
        </w:rPr>
        <w:t>Step 3.1</w:t>
      </w:r>
      <w:r w:rsidRPr="00A81971">
        <w:rPr>
          <w:rFonts w:eastAsia="Times New Roman"/>
        </w:rPr>
        <w:t xml:space="preserve">. </w:t>
      </w:r>
      <w:r w:rsidRPr="00A81971">
        <w:rPr>
          <w:rFonts w:eastAsia="Times New Roman"/>
          <w:b/>
          <w:bCs/>
        </w:rPr>
        <w:t>Committed funding</w:t>
      </w:r>
      <w:r w:rsidRPr="00A81971">
        <w:rPr>
          <w:rFonts w:eastAsia="Times New Roman"/>
        </w:rPr>
        <w:t xml:space="preserve"> for </w:t>
      </w:r>
      <w:r w:rsidR="0057530B" w:rsidRPr="00A81971">
        <w:rPr>
          <w:rFonts w:eastAsia="Times New Roman"/>
        </w:rPr>
        <w:t xml:space="preserve">approved </w:t>
      </w:r>
      <w:r w:rsidRPr="00A81971">
        <w:rPr>
          <w:rFonts w:eastAsia="Times New Roman"/>
        </w:rPr>
        <w:t>HPMPs</w:t>
      </w:r>
      <w:r w:rsidR="0057530B" w:rsidRPr="00A81971">
        <w:rPr>
          <w:rFonts w:eastAsia="Times New Roman"/>
        </w:rPr>
        <w:t xml:space="preserve"> </w:t>
      </w:r>
      <w:r w:rsidRPr="00A81971">
        <w:rPr>
          <w:rFonts w:eastAsia="Times New Roman"/>
        </w:rPr>
        <w:t>stages for th</w:t>
      </w:r>
      <w:r w:rsidR="00EA7E22" w:rsidRPr="00A81971">
        <w:rPr>
          <w:rFonts w:eastAsia="Times New Roman"/>
        </w:rPr>
        <w:t>e</w:t>
      </w:r>
      <w:r w:rsidRPr="00A81971">
        <w:rPr>
          <w:rFonts w:eastAsia="Times New Roman"/>
        </w:rPr>
        <w:t xml:space="preserve"> </w:t>
      </w:r>
      <w:r w:rsidR="457BD43E" w:rsidRPr="00A81971">
        <w:rPr>
          <w:rFonts w:eastAsia="Times New Roman"/>
          <w:b/>
          <w:bCs/>
        </w:rPr>
        <w:t>14</w:t>
      </w:r>
      <w:r w:rsidRPr="00A81971">
        <w:rPr>
          <w:rFonts w:eastAsia="Times New Roman"/>
          <w:b/>
          <w:bCs/>
        </w:rPr>
        <w:t xml:space="preserve"> A5 parties</w:t>
      </w:r>
      <w:r w:rsidRPr="00A81971">
        <w:rPr>
          <w:rFonts w:eastAsia="Times New Roman"/>
        </w:rPr>
        <w:t xml:space="preserve"> </w:t>
      </w:r>
      <w:r w:rsidR="00BA2635" w:rsidRPr="00A81971">
        <w:rPr>
          <w:rFonts w:eastAsia="Times New Roman"/>
        </w:rPr>
        <w:t xml:space="preserve">for which </w:t>
      </w:r>
      <w:r w:rsidRPr="00A81971">
        <w:rPr>
          <w:rFonts w:eastAsia="Times New Roman"/>
        </w:rPr>
        <w:t xml:space="preserve">the </w:t>
      </w:r>
      <w:r w:rsidR="00C03D64" w:rsidRPr="00A81971">
        <w:rPr>
          <w:rFonts w:eastAsia="Times New Roman"/>
        </w:rPr>
        <w:t xml:space="preserve">HCFC </w:t>
      </w:r>
      <w:r w:rsidRPr="00A81971">
        <w:rPr>
          <w:rFonts w:eastAsia="Times New Roman"/>
        </w:rPr>
        <w:t xml:space="preserve">phase-out has not yet been completed is </w:t>
      </w:r>
      <w:r w:rsidRPr="00A81971">
        <w:rPr>
          <w:rFonts w:eastAsia="Times New Roman"/>
          <w:b/>
          <w:bCs/>
        </w:rPr>
        <w:t xml:space="preserve">US$ </w:t>
      </w:r>
      <w:r w:rsidR="457BD43E" w:rsidRPr="00A81971">
        <w:rPr>
          <w:rFonts w:eastAsia="Times New Roman"/>
          <w:b/>
          <w:bCs/>
        </w:rPr>
        <w:t>0.96</w:t>
      </w:r>
      <w:r w:rsidRPr="00A81971">
        <w:rPr>
          <w:rFonts w:eastAsia="Times New Roman"/>
          <w:b/>
          <w:bCs/>
        </w:rPr>
        <w:t xml:space="preserve"> million,</w:t>
      </w:r>
      <w:r w:rsidRPr="00A81971">
        <w:rPr>
          <w:rFonts w:eastAsia="Times New Roman"/>
        </w:rPr>
        <w:t xml:space="preserve"> </w:t>
      </w:r>
      <w:r w:rsidR="00844406" w:rsidRPr="00A81971">
        <w:rPr>
          <w:rFonts w:eastAsia="Times New Roman"/>
        </w:rPr>
        <w:t xml:space="preserve">based on information </w:t>
      </w:r>
      <w:r w:rsidRPr="00A81971">
        <w:rPr>
          <w:rFonts w:eastAsia="Times New Roman"/>
        </w:rPr>
        <w:t xml:space="preserve">provided by the MLFS. This methodology step is shown in </w:t>
      </w:r>
      <w:r w:rsidR="091457C3" w:rsidRPr="00A81971">
        <w:rPr>
          <w:rFonts w:eastAsia="Times New Roman"/>
        </w:rPr>
        <w:t>Figure</w:t>
      </w:r>
      <w:r w:rsidRPr="00A81971">
        <w:rPr>
          <w:rFonts w:eastAsia="Times New Roman"/>
        </w:rPr>
        <w:t xml:space="preserve"> A</w:t>
      </w:r>
      <w:r w:rsidR="005C55F6" w:rsidRPr="00B70BE6">
        <w:rPr>
          <w:rFonts w:eastAsia="Times New Roman"/>
        </w:rPr>
        <w:t>2</w:t>
      </w:r>
      <w:r w:rsidRPr="00A81971">
        <w:rPr>
          <w:rFonts w:eastAsia="Times New Roman"/>
        </w:rPr>
        <w:t xml:space="preserve">.2 flow chart above, and </w:t>
      </w:r>
      <w:r w:rsidR="005D3E16" w:rsidRPr="00A81971">
        <w:rPr>
          <w:rFonts w:eastAsia="Times New Roman"/>
        </w:rPr>
        <w:t xml:space="preserve">the </w:t>
      </w:r>
      <w:r w:rsidRPr="00A81971">
        <w:rPr>
          <w:rFonts w:eastAsia="Times New Roman"/>
        </w:rPr>
        <w:t xml:space="preserve">committed funding is </w:t>
      </w:r>
      <w:r w:rsidR="00AA4FED" w:rsidRPr="00A81971">
        <w:rPr>
          <w:rFonts w:eastAsia="Times New Roman"/>
        </w:rPr>
        <w:t xml:space="preserve">included </w:t>
      </w:r>
      <w:r w:rsidRPr="00A81971">
        <w:rPr>
          <w:rFonts w:eastAsia="Times New Roman"/>
        </w:rPr>
        <w:t xml:space="preserve">under </w:t>
      </w:r>
      <w:r w:rsidRPr="00A81971">
        <w:rPr>
          <w:rFonts w:eastAsia="Times New Roman"/>
          <w:b/>
          <w:bCs/>
        </w:rPr>
        <w:t>Output 3.</w:t>
      </w:r>
    </w:p>
    <w:p w14:paraId="2A52B5D3" w14:textId="77777777" w:rsidR="00793ABA" w:rsidRPr="00A81971" w:rsidRDefault="0032495C" w:rsidP="457BD43E">
      <w:pPr>
        <w:spacing w:after="240" w:line="259" w:lineRule="auto"/>
        <w:rPr>
          <w:rFonts w:eastAsia="Times New Roman"/>
        </w:rPr>
      </w:pPr>
      <w:r w:rsidRPr="2E7655E2">
        <w:rPr>
          <w:rFonts w:eastAsia="Times New Roman"/>
          <w:b/>
          <w:bCs/>
        </w:rPr>
        <w:t>Step 3.2.</w:t>
      </w:r>
      <w:r w:rsidRPr="2E7655E2">
        <w:rPr>
          <w:rFonts w:eastAsia="Times New Roman"/>
        </w:rPr>
        <w:t xml:space="preserve"> </w:t>
      </w:r>
      <w:r w:rsidRPr="2E7655E2">
        <w:rPr>
          <w:rFonts w:eastAsia="Times New Roman"/>
          <w:b/>
          <w:bCs/>
        </w:rPr>
        <w:t>Estimated new funding for the 14 parties</w:t>
      </w:r>
      <w:r w:rsidRPr="2E7655E2">
        <w:rPr>
          <w:rFonts w:eastAsia="Times New Roman"/>
        </w:rPr>
        <w:t xml:space="preserve"> with ExCom-approved HPMP agreements that do not cover the complete phaseout, additional funding is estimated to address the remaining eligible HCFC consumption before 2030. The remaining eligible HCFC consumption for each party was provided by MLFS to the RTF, and new funding was calculated individually, taking into account each party’s specific reduction schedule under the approved HPMP agreement. The RTF used CP reports, as of 17 July 2026, to inform the sectoral distribution of HCFC consumption reported under A7 data. </w:t>
      </w:r>
    </w:p>
    <w:p w14:paraId="421623EA" w14:textId="77777777" w:rsidR="00793ABA" w:rsidRPr="00A81971" w:rsidRDefault="0032495C" w:rsidP="060C4F7D">
      <w:pPr>
        <w:spacing w:after="240"/>
        <w:ind w:left="-12"/>
        <w:rPr>
          <w:rFonts w:eastAsia="Times New Roman"/>
          <w:color w:val="000000" w:themeColor="text1"/>
        </w:rPr>
      </w:pPr>
      <w:r w:rsidRPr="00A81971">
        <w:rPr>
          <w:rFonts w:eastAsia="Times New Roman"/>
          <w:color w:val="000000" w:themeColor="text1"/>
        </w:rPr>
        <w:t xml:space="preserve">When </w:t>
      </w:r>
      <w:r w:rsidR="060C4F7D" w:rsidRPr="00A81971">
        <w:rPr>
          <w:rFonts w:eastAsia="Times New Roman"/>
          <w:color w:val="000000" w:themeColor="text1"/>
        </w:rPr>
        <w:t xml:space="preserve">the remaining </w:t>
      </w:r>
      <w:r w:rsidRPr="00A81971">
        <w:rPr>
          <w:rFonts w:eastAsia="Times New Roman"/>
          <w:color w:val="000000" w:themeColor="text1"/>
        </w:rPr>
        <w:t xml:space="preserve">eligible </w:t>
      </w:r>
      <w:r w:rsidR="060C4F7D" w:rsidRPr="00A81971">
        <w:rPr>
          <w:rFonts w:eastAsia="Times New Roman"/>
          <w:color w:val="000000" w:themeColor="text1"/>
        </w:rPr>
        <w:t xml:space="preserve">consumption </w:t>
      </w:r>
      <w:r w:rsidR="00C530A6" w:rsidRPr="00A81971">
        <w:rPr>
          <w:rFonts w:eastAsia="Times New Roman"/>
          <w:color w:val="000000" w:themeColor="text1"/>
        </w:rPr>
        <w:t xml:space="preserve">provided </w:t>
      </w:r>
      <w:r w:rsidR="002E5D22" w:rsidRPr="00A81971">
        <w:rPr>
          <w:rFonts w:eastAsia="Times New Roman"/>
          <w:color w:val="000000" w:themeColor="text1"/>
        </w:rPr>
        <w:t xml:space="preserve">by the MLFS </w:t>
      </w:r>
      <w:r w:rsidR="060C4F7D" w:rsidRPr="00A81971">
        <w:rPr>
          <w:rFonts w:eastAsia="Times New Roman"/>
          <w:color w:val="000000" w:themeColor="text1"/>
        </w:rPr>
        <w:t>differ</w:t>
      </w:r>
      <w:r w:rsidR="006413F1" w:rsidRPr="00A81971">
        <w:rPr>
          <w:rFonts w:eastAsia="Times New Roman"/>
          <w:color w:val="000000" w:themeColor="text1"/>
        </w:rPr>
        <w:t>ed</w:t>
      </w:r>
      <w:r w:rsidR="060C4F7D" w:rsidRPr="00A81971">
        <w:rPr>
          <w:rFonts w:eastAsia="Times New Roman"/>
          <w:color w:val="000000" w:themeColor="text1"/>
        </w:rPr>
        <w:t xml:space="preserve"> from the </w:t>
      </w:r>
      <w:r w:rsidR="00876253" w:rsidRPr="00A81971">
        <w:rPr>
          <w:rFonts w:eastAsia="Times New Roman"/>
          <w:color w:val="000000" w:themeColor="text1"/>
        </w:rPr>
        <w:t xml:space="preserve">consumption </w:t>
      </w:r>
      <w:r w:rsidR="060C4F7D" w:rsidRPr="00A81971">
        <w:rPr>
          <w:rFonts w:eastAsia="Times New Roman"/>
          <w:color w:val="000000" w:themeColor="text1"/>
        </w:rPr>
        <w:t>reported</w:t>
      </w:r>
      <w:r w:rsidR="00876253" w:rsidRPr="00A81971">
        <w:rPr>
          <w:rFonts w:eastAsia="Times New Roman"/>
          <w:color w:val="000000" w:themeColor="text1"/>
        </w:rPr>
        <w:t xml:space="preserve"> </w:t>
      </w:r>
      <w:r w:rsidR="000D474C" w:rsidRPr="00A81971">
        <w:rPr>
          <w:rFonts w:eastAsia="Times New Roman"/>
          <w:color w:val="000000" w:themeColor="text1"/>
        </w:rPr>
        <w:t xml:space="preserve">under </w:t>
      </w:r>
      <w:r w:rsidR="00876253" w:rsidRPr="00A81971">
        <w:rPr>
          <w:rFonts w:eastAsia="Times New Roman"/>
          <w:color w:val="000000" w:themeColor="text1"/>
        </w:rPr>
        <w:t>A7 data</w:t>
      </w:r>
      <w:r w:rsidR="060C4F7D" w:rsidRPr="00A81971">
        <w:rPr>
          <w:rFonts w:eastAsia="Times New Roman"/>
          <w:color w:val="000000" w:themeColor="text1"/>
        </w:rPr>
        <w:t xml:space="preserve">, the lower value from the most recent year </w:t>
      </w:r>
      <w:r w:rsidR="000D474C" w:rsidRPr="00A81971">
        <w:rPr>
          <w:rFonts w:eastAsia="Times New Roman"/>
          <w:color w:val="000000" w:themeColor="text1"/>
        </w:rPr>
        <w:t xml:space="preserve">of </w:t>
      </w:r>
      <w:r w:rsidR="060C4F7D" w:rsidRPr="00A81971">
        <w:rPr>
          <w:rFonts w:eastAsia="Times New Roman"/>
          <w:color w:val="000000" w:themeColor="text1"/>
        </w:rPr>
        <w:t xml:space="preserve">reported </w:t>
      </w:r>
      <w:r w:rsidR="0031666B" w:rsidRPr="00A81971">
        <w:rPr>
          <w:rFonts w:eastAsia="Times New Roman"/>
          <w:color w:val="000000" w:themeColor="text1"/>
        </w:rPr>
        <w:t xml:space="preserve">data </w:t>
      </w:r>
      <w:r w:rsidR="060C4F7D" w:rsidRPr="00A81971">
        <w:rPr>
          <w:rFonts w:eastAsia="Times New Roman"/>
          <w:color w:val="000000" w:themeColor="text1"/>
        </w:rPr>
        <w:t xml:space="preserve">was used. This approach </w:t>
      </w:r>
      <w:r w:rsidR="0031666B" w:rsidRPr="00A81971">
        <w:rPr>
          <w:rFonts w:eastAsia="Times New Roman"/>
          <w:color w:val="000000" w:themeColor="text1"/>
        </w:rPr>
        <w:t xml:space="preserve">provides a </w:t>
      </w:r>
      <w:r w:rsidR="00F8146A" w:rsidRPr="00A81971">
        <w:rPr>
          <w:rFonts w:eastAsia="Times New Roman"/>
          <w:color w:val="000000" w:themeColor="text1"/>
        </w:rPr>
        <w:t xml:space="preserve">conservative basis for </w:t>
      </w:r>
      <w:r w:rsidR="00D23056" w:rsidRPr="00A81971">
        <w:rPr>
          <w:rFonts w:eastAsia="Times New Roman"/>
          <w:color w:val="000000" w:themeColor="text1"/>
        </w:rPr>
        <w:t xml:space="preserve">estimating the remaining consumption </w:t>
      </w:r>
      <w:r w:rsidR="00AE16ED" w:rsidRPr="00A81971">
        <w:rPr>
          <w:rFonts w:eastAsia="Times New Roman"/>
          <w:color w:val="000000" w:themeColor="text1"/>
        </w:rPr>
        <w:t xml:space="preserve">to be addressed, while taking into account </w:t>
      </w:r>
      <w:r w:rsidR="060C4F7D" w:rsidRPr="00A81971">
        <w:rPr>
          <w:rFonts w:eastAsia="Times New Roman"/>
          <w:color w:val="000000" w:themeColor="text1"/>
        </w:rPr>
        <w:t>the agreed value-reduction</w:t>
      </w:r>
      <w:r w:rsidR="00DA3D67" w:rsidRPr="00A81971">
        <w:rPr>
          <w:rFonts w:eastAsia="Times New Roman"/>
          <w:color w:val="000000" w:themeColor="text1"/>
        </w:rPr>
        <w:t xml:space="preserve">s </w:t>
      </w:r>
      <w:r w:rsidR="00902749" w:rsidRPr="00A81971">
        <w:rPr>
          <w:rFonts w:eastAsia="Times New Roman"/>
          <w:color w:val="000000" w:themeColor="text1"/>
        </w:rPr>
        <w:t>under the HPMP</w:t>
      </w:r>
      <w:r w:rsidR="060C4F7D" w:rsidRPr="00A81971">
        <w:rPr>
          <w:rFonts w:eastAsia="Times New Roman"/>
          <w:color w:val="000000" w:themeColor="text1"/>
        </w:rPr>
        <w:t>.</w:t>
      </w:r>
    </w:p>
    <w:p w14:paraId="666C8DB0" w14:textId="77777777" w:rsidR="00793ABA" w:rsidRPr="00A81971" w:rsidRDefault="0032495C" w:rsidP="457BD43E">
      <w:pPr>
        <w:tabs>
          <w:tab w:val="left" w:pos="0"/>
          <w:tab w:val="left" w:pos="720"/>
        </w:tabs>
        <w:spacing w:after="240" w:line="259" w:lineRule="auto"/>
        <w:rPr>
          <w:rFonts w:eastAsia="Times New Roman"/>
          <w:b/>
          <w:bCs/>
          <w:color w:val="000000" w:themeColor="text1"/>
        </w:rPr>
      </w:pPr>
      <w:r w:rsidRPr="00A81971">
        <w:rPr>
          <w:rFonts w:eastAsia="Times New Roman"/>
          <w:b/>
          <w:bCs/>
          <w:color w:val="000000" w:themeColor="text1"/>
        </w:rPr>
        <w:t>8</w:t>
      </w:r>
      <w:r w:rsidR="060C4F7D" w:rsidRPr="00A81971">
        <w:rPr>
          <w:rFonts w:eastAsia="Times New Roman"/>
          <w:b/>
          <w:bCs/>
          <w:color w:val="000000" w:themeColor="text1"/>
        </w:rPr>
        <w:t xml:space="preserve"> Non-LVC Parties out of total of </w:t>
      </w:r>
      <w:r w:rsidRPr="00A81971">
        <w:rPr>
          <w:rFonts w:eastAsia="Times New Roman"/>
          <w:b/>
          <w:bCs/>
          <w:color w:val="000000" w:themeColor="text1"/>
        </w:rPr>
        <w:t>14</w:t>
      </w:r>
      <w:r w:rsidR="060C4F7D" w:rsidRPr="00A81971">
        <w:rPr>
          <w:rFonts w:eastAsia="Times New Roman"/>
          <w:b/>
          <w:bCs/>
          <w:color w:val="000000" w:themeColor="text1"/>
        </w:rPr>
        <w:t xml:space="preserve"> (Non-LVCs and LVC) parties </w:t>
      </w:r>
    </w:p>
    <w:p w14:paraId="6D84964A" w14:textId="77777777" w:rsidR="00793ABA" w:rsidRPr="00A81971" w:rsidRDefault="0032495C" w:rsidP="457BD43E">
      <w:pPr>
        <w:spacing w:after="240" w:line="259" w:lineRule="auto"/>
        <w:rPr>
          <w:rFonts w:eastAsia="Times New Roman"/>
          <w:color w:val="000000" w:themeColor="text1"/>
        </w:rPr>
      </w:pPr>
      <w:r w:rsidRPr="00A81971">
        <w:rPr>
          <w:rFonts w:eastAsia="Times New Roman"/>
          <w:color w:val="000000" w:themeColor="text1"/>
        </w:rPr>
        <w:t xml:space="preserve">Out of the total of </w:t>
      </w:r>
      <w:r w:rsidR="457BD43E" w:rsidRPr="00A81971">
        <w:rPr>
          <w:rFonts w:eastAsia="Times New Roman"/>
          <w:color w:val="000000" w:themeColor="text1"/>
        </w:rPr>
        <w:t>14</w:t>
      </w:r>
      <w:r w:rsidRPr="00A81971">
        <w:rPr>
          <w:rFonts w:eastAsia="Times New Roman"/>
          <w:color w:val="000000" w:themeColor="text1"/>
        </w:rPr>
        <w:t xml:space="preserve"> parties, </w:t>
      </w:r>
      <w:r w:rsidR="457BD43E" w:rsidRPr="00A81971">
        <w:rPr>
          <w:rFonts w:eastAsia="Times New Roman"/>
          <w:b/>
          <w:bCs/>
          <w:color w:val="000000" w:themeColor="text1"/>
        </w:rPr>
        <w:t>8</w:t>
      </w:r>
      <w:r w:rsidRPr="00A81971">
        <w:rPr>
          <w:rFonts w:eastAsia="Times New Roman"/>
          <w:b/>
          <w:bCs/>
          <w:color w:val="000000" w:themeColor="text1"/>
        </w:rPr>
        <w:t xml:space="preserve"> are non-LVC</w:t>
      </w:r>
      <w:r w:rsidR="00CE43C1" w:rsidRPr="00A81971">
        <w:rPr>
          <w:rFonts w:eastAsia="Times New Roman"/>
          <w:b/>
          <w:bCs/>
          <w:color w:val="000000" w:themeColor="text1"/>
        </w:rPr>
        <w:t>s</w:t>
      </w:r>
      <w:r w:rsidRPr="00A81971">
        <w:rPr>
          <w:rFonts w:eastAsia="Times New Roman"/>
          <w:b/>
          <w:bCs/>
          <w:color w:val="000000" w:themeColor="text1"/>
        </w:rPr>
        <w:t>.</w:t>
      </w:r>
      <w:r w:rsidRPr="00A81971">
        <w:rPr>
          <w:rFonts w:eastAsia="Times New Roman"/>
          <w:color w:val="000000" w:themeColor="text1"/>
        </w:rPr>
        <w:t xml:space="preserve"> For th</w:t>
      </w:r>
      <w:r w:rsidR="00542EB0" w:rsidRPr="00A81971">
        <w:rPr>
          <w:rFonts w:eastAsia="Times New Roman"/>
          <w:color w:val="000000" w:themeColor="text1"/>
        </w:rPr>
        <w:t>e</w:t>
      </w:r>
      <w:r w:rsidRPr="00A81971">
        <w:rPr>
          <w:rFonts w:eastAsia="Times New Roman"/>
          <w:color w:val="000000" w:themeColor="text1"/>
        </w:rPr>
        <w:t>se</w:t>
      </w:r>
      <w:r w:rsidR="00542EB0" w:rsidRPr="00A81971">
        <w:rPr>
          <w:rFonts w:eastAsia="Times New Roman"/>
          <w:color w:val="000000" w:themeColor="text1"/>
        </w:rPr>
        <w:t xml:space="preserve"> parties</w:t>
      </w:r>
      <w:r w:rsidRPr="00A81971">
        <w:rPr>
          <w:rFonts w:eastAsia="Times New Roman"/>
          <w:color w:val="000000" w:themeColor="text1"/>
        </w:rPr>
        <w:t xml:space="preserve">, the CP </w:t>
      </w:r>
      <w:r w:rsidR="00121ABF" w:rsidRPr="00A81971">
        <w:rPr>
          <w:rFonts w:eastAsia="Times New Roman"/>
          <w:color w:val="000000" w:themeColor="text1"/>
        </w:rPr>
        <w:t xml:space="preserve">data </w:t>
      </w:r>
      <w:r w:rsidRPr="00A81971">
        <w:rPr>
          <w:rFonts w:eastAsia="Times New Roman"/>
          <w:color w:val="000000" w:themeColor="text1"/>
        </w:rPr>
        <w:t xml:space="preserve">indicate </w:t>
      </w:r>
      <w:r w:rsidR="00121ABF" w:rsidRPr="00A81971">
        <w:rPr>
          <w:rFonts w:eastAsia="Times New Roman"/>
          <w:color w:val="000000" w:themeColor="text1"/>
        </w:rPr>
        <w:t xml:space="preserve">that </w:t>
      </w:r>
      <w:r w:rsidRPr="00A81971">
        <w:rPr>
          <w:rFonts w:eastAsia="Times New Roman"/>
          <w:color w:val="000000" w:themeColor="text1"/>
        </w:rPr>
        <w:t xml:space="preserve">consumption </w:t>
      </w:r>
      <w:r w:rsidR="005A0A14" w:rsidRPr="00A81971">
        <w:rPr>
          <w:rFonts w:eastAsia="Times New Roman"/>
          <w:color w:val="000000" w:themeColor="text1"/>
        </w:rPr>
        <w:t xml:space="preserve">is predominantly </w:t>
      </w:r>
      <w:r w:rsidRPr="00A81971">
        <w:rPr>
          <w:rFonts w:eastAsia="Times New Roman"/>
          <w:color w:val="000000" w:themeColor="text1"/>
        </w:rPr>
        <w:t xml:space="preserve">in the servicing sector. For some parties, consumption was also reported in one or more manufacturing sectors, such as refrigeration and AC manufacturing sectors. For the largest </w:t>
      </w:r>
      <w:r w:rsidR="008F7ED5" w:rsidRPr="00A81971">
        <w:rPr>
          <w:rFonts w:eastAsia="Times New Roman"/>
          <w:color w:val="000000" w:themeColor="text1"/>
        </w:rPr>
        <w:t xml:space="preserve">HCFC </w:t>
      </w:r>
      <w:r w:rsidRPr="00A81971">
        <w:rPr>
          <w:rFonts w:eastAsia="Times New Roman"/>
          <w:color w:val="000000" w:themeColor="text1"/>
        </w:rPr>
        <w:t xml:space="preserve">consuming party among the A5 </w:t>
      </w:r>
      <w:r w:rsidR="008F3C7A" w:rsidRPr="00A81971">
        <w:rPr>
          <w:rFonts w:eastAsia="Times New Roman"/>
          <w:color w:val="000000" w:themeColor="text1"/>
        </w:rPr>
        <w:t>parties</w:t>
      </w:r>
      <w:r w:rsidRPr="00A81971">
        <w:rPr>
          <w:rFonts w:eastAsia="Times New Roman"/>
          <w:color w:val="000000" w:themeColor="text1"/>
        </w:rPr>
        <w:t xml:space="preserve">, remaining </w:t>
      </w:r>
      <w:r w:rsidR="009D77A1" w:rsidRPr="00A81971">
        <w:rPr>
          <w:rFonts w:eastAsia="Times New Roman"/>
          <w:color w:val="000000" w:themeColor="text1"/>
        </w:rPr>
        <w:t xml:space="preserve">eligible </w:t>
      </w:r>
      <w:r w:rsidRPr="00A81971">
        <w:rPr>
          <w:rFonts w:eastAsia="Times New Roman"/>
          <w:color w:val="000000" w:themeColor="text1"/>
        </w:rPr>
        <w:t xml:space="preserve">consumption is </w:t>
      </w:r>
      <w:r w:rsidR="00C15F72" w:rsidRPr="00A81971">
        <w:rPr>
          <w:rFonts w:eastAsia="Times New Roman"/>
          <w:color w:val="000000" w:themeColor="text1"/>
        </w:rPr>
        <w:t xml:space="preserve">reported </w:t>
      </w:r>
      <w:r w:rsidRPr="00A81971">
        <w:rPr>
          <w:rFonts w:eastAsia="Times New Roman"/>
          <w:color w:val="000000" w:themeColor="text1"/>
        </w:rPr>
        <w:t>in three sectors: residential AC, industrial and commercial refrigeration and AC (ICR/AC), and servicing. Consumption in th</w:t>
      </w:r>
      <w:r w:rsidR="00183904" w:rsidRPr="00A81971">
        <w:rPr>
          <w:rFonts w:eastAsia="Times New Roman"/>
          <w:color w:val="000000" w:themeColor="text1"/>
        </w:rPr>
        <w:t>ese</w:t>
      </w:r>
      <w:r w:rsidRPr="00A81971">
        <w:rPr>
          <w:rFonts w:eastAsia="Times New Roman"/>
          <w:color w:val="000000" w:themeColor="text1"/>
        </w:rPr>
        <w:t xml:space="preserve"> three sectors was used </w:t>
      </w:r>
      <w:r w:rsidR="003F607A" w:rsidRPr="00A81971">
        <w:rPr>
          <w:rFonts w:eastAsia="Times New Roman"/>
          <w:color w:val="000000" w:themeColor="text1"/>
        </w:rPr>
        <w:t xml:space="preserve">to </w:t>
      </w:r>
      <w:r w:rsidRPr="00A81971">
        <w:rPr>
          <w:rFonts w:eastAsia="Times New Roman"/>
          <w:color w:val="000000" w:themeColor="text1"/>
        </w:rPr>
        <w:t>estimate</w:t>
      </w:r>
      <w:r w:rsidR="00A26801" w:rsidRPr="00A81971">
        <w:rPr>
          <w:rFonts w:eastAsia="Times New Roman"/>
          <w:color w:val="000000" w:themeColor="text1"/>
        </w:rPr>
        <w:t xml:space="preserve"> the new funding requirements</w:t>
      </w:r>
      <w:r w:rsidRPr="00A81971">
        <w:rPr>
          <w:rFonts w:eastAsia="Times New Roman"/>
          <w:color w:val="000000" w:themeColor="text1"/>
        </w:rPr>
        <w:t>.</w:t>
      </w:r>
    </w:p>
    <w:p w14:paraId="128690AB" w14:textId="77777777" w:rsidR="00793ABA" w:rsidRDefault="0032495C" w:rsidP="007F1B7B">
      <w:pPr>
        <w:spacing w:after="0"/>
        <w:rPr>
          <w:rFonts w:eastAsia="Times New Roman"/>
          <w:b/>
          <w:bCs/>
        </w:rPr>
      </w:pPr>
      <w:r w:rsidRPr="00A81971">
        <w:rPr>
          <w:rFonts w:eastAsia="Times New Roman"/>
          <w:color w:val="000000" w:themeColor="text1"/>
        </w:rPr>
        <w:lastRenderedPageBreak/>
        <w:t xml:space="preserve">The methodology used </w:t>
      </w:r>
      <w:r w:rsidR="00E610AF" w:rsidRPr="00A81971">
        <w:rPr>
          <w:rFonts w:eastAsia="Times New Roman"/>
          <w:color w:val="000000" w:themeColor="text1"/>
        </w:rPr>
        <w:t xml:space="preserve">to estimate </w:t>
      </w:r>
      <w:r w:rsidRPr="00A81971">
        <w:rPr>
          <w:rFonts w:eastAsia="Times New Roman"/>
          <w:color w:val="000000" w:themeColor="text1"/>
        </w:rPr>
        <w:t>new funding was based on sector</w:t>
      </w:r>
      <w:r w:rsidR="0089104C" w:rsidRPr="00A81971">
        <w:rPr>
          <w:rFonts w:eastAsia="Times New Roman"/>
          <w:color w:val="000000" w:themeColor="text1"/>
        </w:rPr>
        <w:t>-specific</w:t>
      </w:r>
      <w:r w:rsidRPr="00A81971">
        <w:rPr>
          <w:rFonts w:eastAsia="Times New Roman"/>
          <w:color w:val="000000" w:themeColor="text1"/>
        </w:rPr>
        <w:t xml:space="preserve"> CEs applied to </w:t>
      </w:r>
      <w:r w:rsidR="00166C2A" w:rsidRPr="00A81971">
        <w:rPr>
          <w:rFonts w:eastAsia="Times New Roman"/>
          <w:color w:val="000000" w:themeColor="text1"/>
        </w:rPr>
        <w:t xml:space="preserve">the </w:t>
      </w:r>
      <w:r w:rsidRPr="00A81971">
        <w:rPr>
          <w:rFonts w:eastAsia="Times New Roman"/>
          <w:color w:val="000000" w:themeColor="text1"/>
        </w:rPr>
        <w:t xml:space="preserve">remaining </w:t>
      </w:r>
      <w:r w:rsidR="00741ED9" w:rsidRPr="00A81971">
        <w:rPr>
          <w:rFonts w:eastAsia="Times New Roman"/>
          <w:color w:val="000000" w:themeColor="text1"/>
        </w:rPr>
        <w:t xml:space="preserve">eligible HCFC </w:t>
      </w:r>
      <w:r w:rsidRPr="00A81971">
        <w:rPr>
          <w:rFonts w:eastAsia="Times New Roman"/>
          <w:color w:val="000000" w:themeColor="text1"/>
        </w:rPr>
        <w:t>consumption (in tonnes)</w:t>
      </w:r>
      <w:r w:rsidR="00505FEC" w:rsidRPr="00A81971">
        <w:rPr>
          <w:rFonts w:eastAsia="Times New Roman"/>
          <w:color w:val="000000" w:themeColor="text1"/>
        </w:rPr>
        <w:t>,</w:t>
      </w:r>
      <w:r w:rsidRPr="00A81971">
        <w:rPr>
          <w:rFonts w:eastAsia="Times New Roman"/>
          <w:color w:val="000000" w:themeColor="text1"/>
        </w:rPr>
        <w:t xml:space="preserve"> in each sector</w:t>
      </w:r>
      <w:r w:rsidR="00505FEC" w:rsidRPr="00A81971">
        <w:rPr>
          <w:rFonts w:eastAsia="Times New Roman"/>
          <w:color w:val="000000" w:themeColor="text1"/>
        </w:rPr>
        <w:t>,</w:t>
      </w:r>
      <w:r w:rsidRPr="00A81971">
        <w:rPr>
          <w:rFonts w:eastAsia="Times New Roman"/>
          <w:color w:val="000000" w:themeColor="text1"/>
        </w:rPr>
        <w:t xml:space="preserve"> as </w:t>
      </w:r>
      <w:r w:rsidR="00505FEC" w:rsidRPr="00A81971">
        <w:rPr>
          <w:rFonts w:eastAsia="Times New Roman"/>
          <w:color w:val="000000" w:themeColor="text1"/>
        </w:rPr>
        <w:t xml:space="preserve">shown in the </w:t>
      </w:r>
      <w:r w:rsidRPr="00A81971">
        <w:rPr>
          <w:rFonts w:eastAsia="Times New Roman"/>
          <w:color w:val="000000" w:themeColor="text1"/>
        </w:rPr>
        <w:t xml:space="preserve">equation below. </w:t>
      </w:r>
      <w:r w:rsidR="007F1B7B" w:rsidRPr="00A81971">
        <w:rPr>
          <w:rFonts w:eastAsia="Times New Roman"/>
          <w:b/>
          <w:bCs/>
        </w:rPr>
        <w:t>Where the eligible remaining consumption differs from the reported A7 data, the lower of the two values, based on the most recent year reported, was used in the calculation.</w:t>
      </w:r>
    </w:p>
    <w:p w14:paraId="4F68A64B" w14:textId="77777777" w:rsidR="007F1B7B" w:rsidRDefault="007F1B7B" w:rsidP="007F1B7B">
      <w:pPr>
        <w:spacing w:after="0"/>
        <w:rPr>
          <w:rFonts w:eastAsia="Times New Roman"/>
          <w:b/>
          <w:bCs/>
        </w:rPr>
      </w:pPr>
    </w:p>
    <w:p w14:paraId="7CC07198" w14:textId="77777777" w:rsidR="007F1B7B" w:rsidRPr="007F1B7B" w:rsidRDefault="007F1B7B" w:rsidP="007F1B7B">
      <w:pPr>
        <w:spacing w:after="0"/>
        <w:rPr>
          <w:rFonts w:eastAsia="Times New Roman"/>
          <w:b/>
          <w:bCs/>
        </w:rPr>
      </w:pPr>
    </w:p>
    <w:p w14:paraId="7DD2D910" w14:textId="77777777" w:rsidR="00793ABA" w:rsidRPr="00A81971" w:rsidRDefault="0032495C" w:rsidP="008F5B6E">
      <w:pPr>
        <w:spacing w:after="240"/>
      </w:pPr>
      <w:r w:rsidRPr="00A81971">
        <w:rPr>
          <w:rFonts w:eastAsia="Times New Roman"/>
          <w:b/>
          <w:bCs/>
        </w:rPr>
        <w:t>For each party:</w:t>
      </w:r>
    </w:p>
    <w:p w14:paraId="1CDE3CF7" w14:textId="77777777" w:rsidR="00793ABA" w:rsidRPr="00A81971" w:rsidRDefault="0032495C" w:rsidP="008F5B6E">
      <w:pPr>
        <w:spacing w:after="240"/>
        <w:rPr>
          <w:rFonts w:eastAsia="Times New Roman"/>
          <w:b/>
          <w:bCs/>
        </w:rPr>
      </w:pPr>
      <w:r w:rsidRPr="00A81971">
        <w:rPr>
          <w:noProof/>
        </w:rPr>
        <w:drawing>
          <wp:inline distT="0" distB="0" distL="0" distR="0" wp14:anchorId="2532C301" wp14:editId="276FD3AF">
            <wp:extent cx="5610639" cy="306035"/>
            <wp:effectExtent l="0" t="0" r="0" b="0"/>
            <wp:docPr id="17539093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09331" name="Picture 1753909331"/>
                    <pic:cNvPicPr/>
                  </pic:nvPicPr>
                  <pic:blipFill>
                    <a:blip r:embed="rId37">
                      <a:extLst>
                        <a:ext uri="{28A0092B-C50C-407E-A947-70E740481C1C}">
                          <a14:useLocalDpi xmlns:a14="http://schemas.microsoft.com/office/drawing/2010/main" val="0"/>
                        </a:ext>
                      </a:extLst>
                    </a:blip>
                    <a:stretch>
                      <a:fillRect/>
                    </a:stretch>
                  </pic:blipFill>
                  <pic:spPr>
                    <a:xfrm>
                      <a:off x="0" y="0"/>
                      <a:ext cx="5610639" cy="306035"/>
                    </a:xfrm>
                    <a:prstGeom prst="rect">
                      <a:avLst/>
                    </a:prstGeom>
                  </pic:spPr>
                </pic:pic>
              </a:graphicData>
            </a:graphic>
          </wp:inline>
        </w:drawing>
      </w:r>
    </w:p>
    <w:p w14:paraId="14D596D7"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Decision XXXVII/6 on the TOR for the replenishment requested </w:t>
      </w:r>
      <w:r w:rsidR="005C4F54" w:rsidRPr="00A81971">
        <w:rPr>
          <w:rFonts w:eastAsia="Times New Roman"/>
          <w:color w:val="000000" w:themeColor="text1"/>
        </w:rPr>
        <w:t xml:space="preserve">the </w:t>
      </w:r>
      <w:r w:rsidRPr="00A81971">
        <w:rPr>
          <w:rFonts w:eastAsia="Times New Roman"/>
          <w:color w:val="000000" w:themeColor="text1"/>
        </w:rPr>
        <w:t xml:space="preserve">TEAP/RTF to consider funding estimates using </w:t>
      </w:r>
      <w:r w:rsidR="00CD1943" w:rsidRPr="00A81971">
        <w:rPr>
          <w:rFonts w:eastAsia="Times New Roman"/>
          <w:color w:val="000000" w:themeColor="text1"/>
        </w:rPr>
        <w:t xml:space="preserve">the applicable </w:t>
      </w:r>
      <w:r w:rsidRPr="00A81971">
        <w:rPr>
          <w:rFonts w:eastAsia="Times New Roman"/>
          <w:color w:val="000000" w:themeColor="text1"/>
        </w:rPr>
        <w:t xml:space="preserve">cost guidelines and historical CE values for manufacturing sectors, so </w:t>
      </w:r>
      <w:r w:rsidR="0007335A" w:rsidRPr="00A81971">
        <w:rPr>
          <w:rFonts w:eastAsia="Times New Roman"/>
          <w:color w:val="000000" w:themeColor="text1"/>
        </w:rPr>
        <w:t xml:space="preserve">that </w:t>
      </w:r>
      <w:r w:rsidRPr="00A81971">
        <w:rPr>
          <w:rFonts w:eastAsia="Times New Roman"/>
          <w:color w:val="000000" w:themeColor="text1"/>
        </w:rPr>
        <w:t xml:space="preserve">a range </w:t>
      </w:r>
      <w:r w:rsidR="00F11C51" w:rsidRPr="00A81971">
        <w:rPr>
          <w:rFonts w:eastAsia="Times New Roman"/>
          <w:color w:val="000000" w:themeColor="text1"/>
        </w:rPr>
        <w:t xml:space="preserve">of funding estimates </w:t>
      </w:r>
      <w:r w:rsidRPr="00A81971">
        <w:rPr>
          <w:rFonts w:eastAsia="Times New Roman"/>
          <w:color w:val="000000" w:themeColor="text1"/>
        </w:rPr>
        <w:t>c</w:t>
      </w:r>
      <w:r w:rsidR="00F11C51" w:rsidRPr="00A81971">
        <w:rPr>
          <w:rFonts w:eastAsia="Times New Roman"/>
          <w:color w:val="000000" w:themeColor="text1"/>
        </w:rPr>
        <w:t>ould</w:t>
      </w:r>
      <w:r w:rsidRPr="00A81971">
        <w:rPr>
          <w:rFonts w:eastAsia="Times New Roman"/>
          <w:color w:val="000000" w:themeColor="text1"/>
        </w:rPr>
        <w:t xml:space="preserve"> be provided. The </w:t>
      </w:r>
      <w:r w:rsidR="004C5ED8" w:rsidRPr="00A81971">
        <w:rPr>
          <w:rFonts w:eastAsia="Times New Roman"/>
          <w:color w:val="000000" w:themeColor="text1"/>
        </w:rPr>
        <w:t xml:space="preserve">flow chart </w:t>
      </w:r>
      <w:r w:rsidR="0096722D" w:rsidRPr="00A81971">
        <w:rPr>
          <w:rFonts w:eastAsia="Times New Roman"/>
          <w:color w:val="000000" w:themeColor="text1"/>
        </w:rPr>
        <w:t xml:space="preserve">in </w:t>
      </w:r>
      <w:r w:rsidRPr="00660339">
        <w:rPr>
          <w:rFonts w:eastAsia="Times New Roman"/>
          <w:color w:val="000000" w:themeColor="text1"/>
        </w:rPr>
        <w:t>Figure A</w:t>
      </w:r>
      <w:r w:rsidR="00103075" w:rsidRPr="00660339">
        <w:rPr>
          <w:rFonts w:eastAsia="Times New Roman"/>
          <w:color w:val="000000" w:themeColor="text1"/>
        </w:rPr>
        <w:t>2</w:t>
      </w:r>
      <w:r w:rsidRPr="00660339">
        <w:rPr>
          <w:rFonts w:eastAsia="Times New Roman"/>
          <w:color w:val="000000" w:themeColor="text1"/>
        </w:rPr>
        <w:t xml:space="preserve">.3 </w:t>
      </w:r>
      <w:r w:rsidR="0096722D" w:rsidRPr="00660339">
        <w:rPr>
          <w:rFonts w:eastAsia="Times New Roman"/>
          <w:color w:val="000000" w:themeColor="text1"/>
        </w:rPr>
        <w:t>presents</w:t>
      </w:r>
      <w:r w:rsidR="0096722D" w:rsidRPr="00A81971">
        <w:rPr>
          <w:rFonts w:eastAsia="Times New Roman"/>
          <w:color w:val="000000" w:themeColor="text1"/>
        </w:rPr>
        <w:t xml:space="preserve"> the </w:t>
      </w:r>
      <w:r w:rsidRPr="00A81971">
        <w:rPr>
          <w:rFonts w:eastAsia="Times New Roman"/>
          <w:color w:val="000000" w:themeColor="text1"/>
        </w:rPr>
        <w:t xml:space="preserve">scenarios </w:t>
      </w:r>
      <w:r w:rsidR="00F41AC1" w:rsidRPr="00A81971">
        <w:rPr>
          <w:rFonts w:eastAsia="Times New Roman"/>
          <w:color w:val="000000" w:themeColor="text1"/>
        </w:rPr>
        <w:t xml:space="preserve">developed to </w:t>
      </w:r>
      <w:r w:rsidR="091457C3" w:rsidRPr="00A81971">
        <w:rPr>
          <w:rFonts w:eastAsia="Times New Roman"/>
          <w:color w:val="000000" w:themeColor="text1"/>
        </w:rPr>
        <w:t>address</w:t>
      </w:r>
      <w:r w:rsidRPr="00A81971">
        <w:rPr>
          <w:rFonts w:eastAsia="Times New Roman"/>
          <w:color w:val="000000" w:themeColor="text1"/>
        </w:rPr>
        <w:t xml:space="preserve"> this request to the extent possible.</w:t>
      </w:r>
    </w:p>
    <w:p w14:paraId="6108780A" w14:textId="77777777" w:rsidR="00793ABA" w:rsidRPr="00A81971" w:rsidRDefault="0032495C" w:rsidP="00E86FA0">
      <w:pPr>
        <w:spacing w:after="240" w:line="259" w:lineRule="auto"/>
        <w:jc w:val="center"/>
        <w:rPr>
          <w:rFonts w:eastAsia="Times New Roman"/>
          <w:b/>
          <w:bCs/>
          <w:color w:val="000000" w:themeColor="text1"/>
        </w:rPr>
      </w:pPr>
      <w:r w:rsidRPr="00A81971">
        <w:rPr>
          <w:rFonts w:eastAsia="Times New Roman"/>
          <w:b/>
          <w:bCs/>
          <w:color w:val="000000" w:themeColor="text1"/>
        </w:rPr>
        <w:t>Figure A</w:t>
      </w:r>
      <w:r w:rsidR="00B51EC6" w:rsidRPr="00A81971">
        <w:rPr>
          <w:rFonts w:eastAsia="Times New Roman"/>
          <w:b/>
          <w:bCs/>
          <w:color w:val="000000" w:themeColor="text1"/>
        </w:rPr>
        <w:t>2</w:t>
      </w:r>
      <w:r w:rsidRPr="00A81971">
        <w:rPr>
          <w:rFonts w:eastAsia="Times New Roman"/>
          <w:b/>
          <w:bCs/>
          <w:color w:val="000000" w:themeColor="text1"/>
        </w:rPr>
        <w:t xml:space="preserve">.3   Flowchart for Outputs 4, 5, and 6: estimating new funding for </w:t>
      </w:r>
      <w:r w:rsidR="457BD43E" w:rsidRPr="00A81971">
        <w:rPr>
          <w:rFonts w:eastAsia="Times New Roman"/>
          <w:b/>
          <w:bCs/>
          <w:color w:val="000000" w:themeColor="text1"/>
        </w:rPr>
        <w:t>8</w:t>
      </w:r>
      <w:r w:rsidRPr="00A81971">
        <w:rPr>
          <w:rFonts w:eastAsia="Times New Roman"/>
          <w:b/>
          <w:bCs/>
          <w:color w:val="000000" w:themeColor="text1"/>
        </w:rPr>
        <w:t xml:space="preserve"> non-LVC parties </w:t>
      </w:r>
      <w:r w:rsidR="00695B8C" w:rsidRPr="00A81971">
        <w:rPr>
          <w:rFonts w:eastAsia="Times New Roman"/>
          <w:b/>
          <w:bCs/>
          <w:color w:val="000000" w:themeColor="text1"/>
        </w:rPr>
        <w:t xml:space="preserve">using </w:t>
      </w:r>
      <w:r w:rsidRPr="00A81971">
        <w:rPr>
          <w:rFonts w:eastAsia="Times New Roman"/>
          <w:b/>
          <w:bCs/>
          <w:color w:val="000000" w:themeColor="text1"/>
        </w:rPr>
        <w:t xml:space="preserve">two CE scenarios and </w:t>
      </w:r>
      <w:r w:rsidR="457BD43E" w:rsidRPr="00A81971">
        <w:rPr>
          <w:rFonts w:eastAsia="Times New Roman"/>
          <w:b/>
          <w:bCs/>
          <w:color w:val="000000" w:themeColor="text1"/>
        </w:rPr>
        <w:t>6</w:t>
      </w:r>
      <w:r w:rsidRPr="00A81971">
        <w:rPr>
          <w:rFonts w:eastAsia="Times New Roman"/>
          <w:b/>
          <w:bCs/>
          <w:color w:val="000000" w:themeColor="text1"/>
        </w:rPr>
        <w:t xml:space="preserve"> LVC parties to </w:t>
      </w:r>
      <w:r w:rsidR="003855F3" w:rsidRPr="00A81971">
        <w:rPr>
          <w:rFonts w:eastAsia="Times New Roman"/>
          <w:b/>
          <w:bCs/>
          <w:color w:val="000000" w:themeColor="text1"/>
        </w:rPr>
        <w:t xml:space="preserve">achieve complete HCFC </w:t>
      </w:r>
      <w:r w:rsidRPr="00A81971">
        <w:rPr>
          <w:rFonts w:eastAsia="Times New Roman"/>
          <w:b/>
          <w:bCs/>
          <w:color w:val="000000" w:themeColor="text1"/>
        </w:rPr>
        <w:t>phase-out</w:t>
      </w:r>
    </w:p>
    <w:p w14:paraId="1CF211D8" w14:textId="77777777" w:rsidR="00793ABA" w:rsidRPr="00A81971" w:rsidRDefault="0032495C" w:rsidP="00E86FA0">
      <w:pPr>
        <w:tabs>
          <w:tab w:val="left" w:pos="720"/>
        </w:tabs>
        <w:spacing w:after="240"/>
        <w:jc w:val="center"/>
        <w:rPr>
          <w:rFonts w:eastAsia="Times New Roman"/>
          <w:b/>
          <w:bCs/>
          <w:color w:val="000000" w:themeColor="text1"/>
        </w:rPr>
      </w:pPr>
      <w:r w:rsidRPr="00A81971">
        <w:rPr>
          <w:noProof/>
        </w:rPr>
        <w:drawing>
          <wp:inline distT="0" distB="0" distL="0" distR="0" wp14:anchorId="0818A925" wp14:editId="351DB3FE">
            <wp:extent cx="5596613" cy="3176291"/>
            <wp:effectExtent l="0" t="0" r="0" b="0"/>
            <wp:docPr id="1593254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54205" name="Picture 1593254205"/>
                    <pic:cNvPicPr/>
                  </pic:nvPicPr>
                  <pic:blipFill>
                    <a:blip r:embed="rId38">
                      <a:extLst>
                        <a:ext uri="{28A0092B-C50C-407E-A947-70E740481C1C}">
                          <a14:useLocalDpi xmlns:a14="http://schemas.microsoft.com/office/drawing/2010/main" val="0"/>
                        </a:ext>
                      </a:extLst>
                    </a:blip>
                    <a:stretch>
                      <a:fillRect/>
                    </a:stretch>
                  </pic:blipFill>
                  <pic:spPr>
                    <a:xfrm>
                      <a:off x="0" y="0"/>
                      <a:ext cx="5596613" cy="3176291"/>
                    </a:xfrm>
                    <a:prstGeom prst="rect">
                      <a:avLst/>
                    </a:prstGeom>
                  </pic:spPr>
                </pic:pic>
              </a:graphicData>
            </a:graphic>
          </wp:inline>
        </w:drawing>
      </w:r>
    </w:p>
    <w:p w14:paraId="0DA348C3" w14:textId="77777777" w:rsidR="00793ABA" w:rsidRPr="00A81971" w:rsidRDefault="0032495C" w:rsidP="457BD43E">
      <w:pPr>
        <w:spacing w:after="0" w:line="259" w:lineRule="auto"/>
        <w:rPr>
          <w:rFonts w:eastAsia="Times New Roman"/>
          <w:color w:val="000000" w:themeColor="text1"/>
        </w:rPr>
      </w:pPr>
      <w:r w:rsidRPr="00A81971">
        <w:rPr>
          <w:rFonts w:eastAsia="Times New Roman"/>
          <w:b/>
          <w:bCs/>
          <w:color w:val="000000" w:themeColor="text1"/>
        </w:rPr>
        <w:t xml:space="preserve">Estimated Funding for </w:t>
      </w:r>
      <w:r w:rsidR="457BD43E" w:rsidRPr="00A81971">
        <w:rPr>
          <w:rFonts w:eastAsia="Times New Roman"/>
          <w:b/>
          <w:bCs/>
          <w:color w:val="000000" w:themeColor="text1"/>
        </w:rPr>
        <w:t>8</w:t>
      </w:r>
      <w:r w:rsidRPr="00A81971">
        <w:rPr>
          <w:rFonts w:eastAsia="Times New Roman"/>
          <w:b/>
          <w:bCs/>
          <w:color w:val="000000" w:themeColor="text1"/>
        </w:rPr>
        <w:t xml:space="preserve"> Non-LVC Parties: </w:t>
      </w:r>
      <w:r w:rsidRPr="00A81971">
        <w:rPr>
          <w:rFonts w:eastAsia="Times New Roman"/>
          <w:b/>
          <w:bCs/>
          <w:color w:val="000000" w:themeColor="text1"/>
          <w:u w:val="single"/>
        </w:rPr>
        <w:t>HCFC Scenario 1</w:t>
      </w:r>
      <w:r w:rsidRPr="00A81971">
        <w:rPr>
          <w:rFonts w:eastAsia="Times New Roman"/>
          <w:b/>
          <w:bCs/>
          <w:color w:val="000000" w:themeColor="text1"/>
        </w:rPr>
        <w:t xml:space="preserve"> </w:t>
      </w:r>
      <w:r w:rsidR="006168D8" w:rsidRPr="00A81971">
        <w:rPr>
          <w:rFonts w:eastAsia="Times New Roman"/>
          <w:b/>
          <w:bCs/>
          <w:color w:val="000000" w:themeColor="text1"/>
        </w:rPr>
        <w:t>–</w:t>
      </w:r>
      <w:r w:rsidRPr="00A81971">
        <w:rPr>
          <w:rFonts w:eastAsia="Times New Roman"/>
          <w:b/>
          <w:bCs/>
          <w:color w:val="000000" w:themeColor="text1"/>
        </w:rPr>
        <w:t xml:space="preserve"> </w:t>
      </w:r>
      <w:r w:rsidR="006168D8" w:rsidRPr="00660339">
        <w:rPr>
          <w:rFonts w:eastAsia="Times New Roman"/>
          <w:color w:val="000000" w:themeColor="text1"/>
        </w:rPr>
        <w:t xml:space="preserve">under HCFC </w:t>
      </w:r>
      <w:r w:rsidR="005C7494" w:rsidRPr="00660339">
        <w:rPr>
          <w:rFonts w:eastAsia="Times New Roman"/>
          <w:color w:val="000000" w:themeColor="text1"/>
        </w:rPr>
        <w:t>Scenario</w:t>
      </w:r>
      <w:r w:rsidR="00F71B45" w:rsidRPr="00660339">
        <w:rPr>
          <w:rFonts w:eastAsia="Times New Roman"/>
          <w:color w:val="000000" w:themeColor="text1"/>
        </w:rPr>
        <w:t xml:space="preserve"> 1</w:t>
      </w:r>
      <w:r w:rsidR="009B56DA" w:rsidRPr="00A81971">
        <w:rPr>
          <w:rFonts w:eastAsia="Times New Roman"/>
          <w:color w:val="000000" w:themeColor="text1"/>
        </w:rPr>
        <w:t>,</w:t>
      </w:r>
      <w:r w:rsidRPr="00A81971">
        <w:rPr>
          <w:rFonts w:eastAsia="Times New Roman"/>
          <w:color w:val="000000" w:themeColor="text1"/>
        </w:rPr>
        <w:t xml:space="preserve"> </w:t>
      </w:r>
      <w:r w:rsidRPr="00A81971">
        <w:rPr>
          <w:rFonts w:eastAsia="Times New Roman"/>
          <w:b/>
          <w:bCs/>
          <w:color w:val="000000" w:themeColor="text1"/>
        </w:rPr>
        <w:t>historical CEs</w:t>
      </w:r>
      <w:r w:rsidR="00A37650" w:rsidRPr="00A81971">
        <w:rPr>
          <w:rFonts w:eastAsia="Times New Roman"/>
          <w:b/>
          <w:bCs/>
          <w:color w:val="000000" w:themeColor="text1"/>
        </w:rPr>
        <w:t xml:space="preserve"> </w:t>
      </w:r>
      <w:r w:rsidR="00A37650" w:rsidRPr="00660339">
        <w:rPr>
          <w:rFonts w:eastAsia="Times New Roman"/>
          <w:color w:val="000000" w:themeColor="text1"/>
        </w:rPr>
        <w:t>were</w:t>
      </w:r>
      <w:r w:rsidR="00A37650" w:rsidRPr="00A81971">
        <w:rPr>
          <w:rFonts w:eastAsia="Times New Roman"/>
          <w:color w:val="000000" w:themeColor="text1"/>
        </w:rPr>
        <w:t xml:space="preserve"> used</w:t>
      </w:r>
      <w:r w:rsidRPr="00A81971">
        <w:rPr>
          <w:rFonts w:eastAsia="Times New Roman"/>
          <w:color w:val="000000" w:themeColor="text1"/>
        </w:rPr>
        <w:t xml:space="preserve">, </w:t>
      </w:r>
      <w:r w:rsidR="003E0CAD" w:rsidRPr="00A81971">
        <w:rPr>
          <w:rFonts w:eastAsia="Times New Roman"/>
          <w:color w:val="000000" w:themeColor="text1"/>
        </w:rPr>
        <w:t>based on the</w:t>
      </w:r>
      <w:r w:rsidRPr="00A81971">
        <w:rPr>
          <w:rFonts w:eastAsia="Times New Roman"/>
          <w:color w:val="000000" w:themeColor="text1"/>
        </w:rPr>
        <w:t xml:space="preserve"> “RTF analysis of document ExCom 89/10/Rev1” </w:t>
      </w:r>
      <w:r w:rsidR="00282A53" w:rsidRPr="00A81971">
        <w:rPr>
          <w:rFonts w:eastAsia="Times New Roman"/>
          <w:color w:val="000000" w:themeColor="text1"/>
        </w:rPr>
        <w:t xml:space="preserve">presented </w:t>
      </w:r>
      <w:r w:rsidRPr="00A81971">
        <w:rPr>
          <w:rFonts w:eastAsia="Times New Roman"/>
          <w:color w:val="000000" w:themeColor="text1"/>
        </w:rPr>
        <w:t>in Annex 2</w:t>
      </w:r>
      <w:r w:rsidR="457BD43E" w:rsidRPr="00A81971">
        <w:rPr>
          <w:rFonts w:eastAsia="Times New Roman"/>
          <w:color w:val="000000" w:themeColor="text1"/>
        </w:rPr>
        <w:t xml:space="preserve"> of the RTF May 2026 report</w:t>
      </w:r>
      <w:r w:rsidR="00E63C77" w:rsidRPr="00A81971">
        <w:rPr>
          <w:rFonts w:eastAsia="Times New Roman"/>
          <w:color w:val="000000" w:themeColor="text1"/>
        </w:rPr>
        <w:t>.</w:t>
      </w:r>
      <w:r w:rsidRPr="00A81971">
        <w:rPr>
          <w:rFonts w:eastAsia="Times New Roman"/>
          <w:color w:val="000000" w:themeColor="text1"/>
        </w:rPr>
        <w:t xml:space="preserve"> </w:t>
      </w:r>
      <w:r w:rsidR="00E63C77" w:rsidRPr="00A81971">
        <w:rPr>
          <w:rFonts w:eastAsia="Times New Roman"/>
          <w:color w:val="000000" w:themeColor="text1"/>
        </w:rPr>
        <w:t>N</w:t>
      </w:r>
      <w:r w:rsidRPr="00A81971">
        <w:rPr>
          <w:rFonts w:eastAsia="Times New Roman"/>
          <w:color w:val="000000" w:themeColor="text1"/>
        </w:rPr>
        <w:t xml:space="preserve">ew funding was </w:t>
      </w:r>
      <w:r w:rsidR="00E63C77" w:rsidRPr="00A81971">
        <w:rPr>
          <w:rFonts w:eastAsia="Times New Roman"/>
          <w:color w:val="000000" w:themeColor="text1"/>
        </w:rPr>
        <w:t xml:space="preserve">estimated </w:t>
      </w:r>
      <w:r w:rsidRPr="00A81971">
        <w:rPr>
          <w:rFonts w:eastAsia="Times New Roman"/>
          <w:color w:val="000000" w:themeColor="text1"/>
        </w:rPr>
        <w:t xml:space="preserve">for </w:t>
      </w:r>
      <w:r w:rsidR="00E63C77" w:rsidRPr="00A81971">
        <w:rPr>
          <w:rFonts w:eastAsia="Times New Roman"/>
          <w:color w:val="000000" w:themeColor="text1"/>
        </w:rPr>
        <w:t>the</w:t>
      </w:r>
      <w:r w:rsidRPr="00A81971">
        <w:rPr>
          <w:rFonts w:eastAsia="Times New Roman"/>
          <w:color w:val="000000" w:themeColor="text1"/>
        </w:rPr>
        <w:t xml:space="preserve"> </w:t>
      </w:r>
      <w:r w:rsidR="00765029" w:rsidRPr="00A81971">
        <w:rPr>
          <w:rFonts w:eastAsia="Times New Roman"/>
          <w:color w:val="000000" w:themeColor="text1"/>
        </w:rPr>
        <w:t xml:space="preserve">8 </w:t>
      </w:r>
      <w:r w:rsidRPr="00A81971">
        <w:rPr>
          <w:rFonts w:eastAsia="Times New Roman"/>
          <w:color w:val="000000" w:themeColor="text1"/>
        </w:rPr>
        <w:t xml:space="preserve">non-LVC parties under </w:t>
      </w:r>
      <w:r w:rsidRPr="00A81971">
        <w:rPr>
          <w:rFonts w:eastAsia="Times New Roman"/>
          <w:b/>
          <w:bCs/>
          <w:color w:val="000000" w:themeColor="text1"/>
        </w:rPr>
        <w:t>Output 4</w:t>
      </w:r>
      <w:r w:rsidRPr="00A81971">
        <w:rPr>
          <w:rFonts w:eastAsia="Times New Roman"/>
          <w:color w:val="000000" w:themeColor="text1"/>
        </w:rPr>
        <w:t xml:space="preserve"> in </w:t>
      </w:r>
      <w:r w:rsidRPr="00660339">
        <w:rPr>
          <w:rFonts w:eastAsia="Times New Roman"/>
          <w:color w:val="000000" w:themeColor="text1"/>
        </w:rPr>
        <w:t>Figure A</w:t>
      </w:r>
      <w:r w:rsidR="00155E5B" w:rsidRPr="00660339">
        <w:rPr>
          <w:rFonts w:eastAsia="Times New Roman"/>
          <w:color w:val="000000" w:themeColor="text1"/>
        </w:rPr>
        <w:t>2</w:t>
      </w:r>
      <w:r w:rsidRPr="00660339">
        <w:rPr>
          <w:rFonts w:eastAsia="Times New Roman"/>
          <w:color w:val="000000" w:themeColor="text1"/>
        </w:rPr>
        <w:t>.3.</w:t>
      </w:r>
    </w:p>
    <w:p w14:paraId="4C2B2AA5" w14:textId="77777777" w:rsidR="00793ABA" w:rsidRPr="00A81971" w:rsidRDefault="0032495C" w:rsidP="060C4F7D">
      <w:pPr>
        <w:spacing w:after="0"/>
        <w:rPr>
          <w:rFonts w:eastAsia="Times New Roman"/>
          <w:b/>
          <w:bCs/>
          <w:color w:val="000000" w:themeColor="text1"/>
        </w:rPr>
      </w:pPr>
      <w:r w:rsidRPr="00A81971">
        <w:rPr>
          <w:rFonts w:eastAsia="Times New Roman"/>
          <w:b/>
          <w:bCs/>
          <w:color w:val="000000" w:themeColor="text1"/>
        </w:rPr>
        <w:t xml:space="preserve"> </w:t>
      </w:r>
    </w:p>
    <w:p w14:paraId="2F0FD28F" w14:textId="77777777" w:rsidR="00793ABA" w:rsidRPr="00A81971" w:rsidRDefault="0032495C" w:rsidP="00E86FA0">
      <w:pPr>
        <w:spacing w:after="0" w:line="259" w:lineRule="auto"/>
        <w:rPr>
          <w:rFonts w:eastAsia="Times New Roman"/>
          <w:color w:val="000000" w:themeColor="text1"/>
        </w:rPr>
      </w:pPr>
      <w:r w:rsidRPr="00A81971">
        <w:rPr>
          <w:rFonts w:eastAsia="Times New Roman"/>
          <w:color w:val="000000" w:themeColor="text1"/>
        </w:rPr>
        <w:t xml:space="preserve">For its analysis, </w:t>
      </w:r>
      <w:r w:rsidR="005B1DA6" w:rsidRPr="00A81971">
        <w:rPr>
          <w:rFonts w:eastAsia="Times New Roman"/>
          <w:color w:val="000000" w:themeColor="text1"/>
        </w:rPr>
        <w:t xml:space="preserve">the </w:t>
      </w:r>
      <w:r w:rsidRPr="00A81971">
        <w:rPr>
          <w:rFonts w:eastAsia="Times New Roman"/>
          <w:color w:val="000000" w:themeColor="text1"/>
        </w:rPr>
        <w:t xml:space="preserve">RTF </w:t>
      </w:r>
      <w:r w:rsidR="00C93FFC" w:rsidRPr="00A81971">
        <w:rPr>
          <w:rFonts w:eastAsia="Times New Roman"/>
          <w:color w:val="000000" w:themeColor="text1"/>
        </w:rPr>
        <w:t xml:space="preserve">treated projects </w:t>
      </w:r>
      <w:r w:rsidR="00FD283E" w:rsidRPr="00A81971">
        <w:rPr>
          <w:rFonts w:eastAsia="Times New Roman"/>
          <w:color w:val="000000" w:themeColor="text1"/>
        </w:rPr>
        <w:t xml:space="preserve">in </w:t>
      </w:r>
      <w:r w:rsidRPr="00A81971">
        <w:rPr>
          <w:rFonts w:eastAsia="Times New Roman"/>
          <w:color w:val="000000" w:themeColor="text1"/>
        </w:rPr>
        <w:t xml:space="preserve">the largest </w:t>
      </w:r>
      <w:r w:rsidR="00FD283E" w:rsidRPr="00A81971">
        <w:rPr>
          <w:rFonts w:eastAsia="Times New Roman"/>
          <w:color w:val="000000" w:themeColor="text1"/>
        </w:rPr>
        <w:t xml:space="preserve">HCFC </w:t>
      </w:r>
      <w:r w:rsidRPr="00A81971">
        <w:rPr>
          <w:rFonts w:eastAsia="Times New Roman"/>
          <w:color w:val="000000" w:themeColor="text1"/>
        </w:rPr>
        <w:t>consuming party</w:t>
      </w:r>
      <w:r w:rsidR="00554A7C" w:rsidRPr="00A81971">
        <w:rPr>
          <w:rFonts w:eastAsia="Times New Roman"/>
          <w:color w:val="000000" w:themeColor="text1"/>
        </w:rPr>
        <w:t>,</w:t>
      </w:r>
      <w:r w:rsidRPr="00A81971">
        <w:rPr>
          <w:rFonts w:eastAsia="Times New Roman"/>
          <w:color w:val="000000" w:themeColor="text1"/>
        </w:rPr>
        <w:t xml:space="preserve"> China</w:t>
      </w:r>
      <w:r w:rsidR="00554A7C" w:rsidRPr="00A81971">
        <w:rPr>
          <w:rFonts w:eastAsia="Times New Roman"/>
          <w:color w:val="000000" w:themeColor="text1"/>
        </w:rPr>
        <w:t>,</w:t>
      </w:r>
      <w:r w:rsidRPr="00A81971">
        <w:rPr>
          <w:rFonts w:eastAsia="Times New Roman"/>
          <w:color w:val="000000" w:themeColor="text1"/>
        </w:rPr>
        <w:t xml:space="preserve"> </w:t>
      </w:r>
      <w:r w:rsidR="00C842D7" w:rsidRPr="00A81971">
        <w:rPr>
          <w:rFonts w:eastAsia="Times New Roman"/>
          <w:color w:val="000000" w:themeColor="text1"/>
        </w:rPr>
        <w:t>separately from those of</w:t>
      </w:r>
      <w:r w:rsidRPr="00A81971">
        <w:rPr>
          <w:rFonts w:eastAsia="Times New Roman"/>
          <w:color w:val="000000" w:themeColor="text1"/>
        </w:rPr>
        <w:t xml:space="preserve"> the other </w:t>
      </w:r>
      <w:r w:rsidR="457BD43E" w:rsidRPr="00A81971">
        <w:rPr>
          <w:rFonts w:eastAsia="Times New Roman"/>
          <w:color w:val="000000" w:themeColor="text1"/>
        </w:rPr>
        <w:t>7</w:t>
      </w:r>
      <w:r w:rsidRPr="00A81971">
        <w:rPr>
          <w:rFonts w:eastAsia="Times New Roman"/>
          <w:color w:val="000000" w:themeColor="text1"/>
        </w:rPr>
        <w:t xml:space="preserve"> parties</w:t>
      </w:r>
      <w:r w:rsidR="00474E7C" w:rsidRPr="00A81971">
        <w:rPr>
          <w:rFonts w:eastAsia="Times New Roman"/>
          <w:color w:val="000000" w:themeColor="text1"/>
        </w:rPr>
        <w:t xml:space="preserve"> and derived </w:t>
      </w:r>
      <w:r w:rsidRPr="00A81971">
        <w:rPr>
          <w:rFonts w:eastAsia="Times New Roman"/>
          <w:color w:val="000000" w:themeColor="text1"/>
        </w:rPr>
        <w:t xml:space="preserve">average historical sector </w:t>
      </w:r>
      <w:r w:rsidR="005507AA" w:rsidRPr="00A81971">
        <w:rPr>
          <w:rFonts w:eastAsia="Times New Roman"/>
          <w:color w:val="000000" w:themeColor="text1"/>
        </w:rPr>
        <w:t xml:space="preserve">specific </w:t>
      </w:r>
      <w:r w:rsidRPr="00A81971">
        <w:rPr>
          <w:rFonts w:eastAsia="Times New Roman"/>
          <w:color w:val="000000" w:themeColor="text1"/>
        </w:rPr>
        <w:t>CE</w:t>
      </w:r>
      <w:r w:rsidR="005507AA" w:rsidRPr="00A81971">
        <w:rPr>
          <w:rFonts w:eastAsia="Times New Roman"/>
          <w:color w:val="000000" w:themeColor="text1"/>
        </w:rPr>
        <w:t xml:space="preserve"> values </w:t>
      </w:r>
      <w:r w:rsidR="00F15947" w:rsidRPr="00A81971">
        <w:rPr>
          <w:rFonts w:eastAsia="Times New Roman"/>
          <w:color w:val="000000" w:themeColor="text1"/>
        </w:rPr>
        <w:t>for each group</w:t>
      </w:r>
      <w:r w:rsidRPr="00A81971">
        <w:rPr>
          <w:rFonts w:eastAsia="Times New Roman"/>
          <w:color w:val="000000" w:themeColor="text1"/>
        </w:rPr>
        <w:t xml:space="preserve">. Sectors with no remaining eligible consumption were </w:t>
      </w:r>
      <w:r w:rsidR="003A0B90" w:rsidRPr="00A81971">
        <w:rPr>
          <w:rFonts w:eastAsia="Times New Roman"/>
          <w:color w:val="000000" w:themeColor="text1"/>
        </w:rPr>
        <w:t xml:space="preserve">excluded </w:t>
      </w:r>
      <w:r w:rsidR="003E2D99" w:rsidRPr="00A81971">
        <w:rPr>
          <w:rFonts w:eastAsia="Times New Roman"/>
          <w:color w:val="000000" w:themeColor="text1"/>
        </w:rPr>
        <w:t>from the analysis</w:t>
      </w:r>
      <w:r w:rsidR="00587882" w:rsidRPr="00A81971">
        <w:rPr>
          <w:rFonts w:eastAsia="Times New Roman"/>
          <w:color w:val="000000" w:themeColor="text1"/>
        </w:rPr>
        <w:t xml:space="preserve">, including </w:t>
      </w:r>
      <w:r w:rsidRPr="00A81971">
        <w:rPr>
          <w:rFonts w:eastAsia="Times New Roman"/>
          <w:color w:val="000000" w:themeColor="text1"/>
        </w:rPr>
        <w:t>foam, fire extinguishing, and solvents.</w:t>
      </w:r>
    </w:p>
    <w:p w14:paraId="0D0D90E4" w14:textId="77777777" w:rsidR="00E86FA0" w:rsidRPr="00A81971" w:rsidRDefault="00E86FA0" w:rsidP="00E86FA0">
      <w:pPr>
        <w:spacing w:after="0" w:line="259" w:lineRule="auto"/>
        <w:rPr>
          <w:rFonts w:eastAsia="Times New Roman"/>
          <w:color w:val="000000" w:themeColor="text1"/>
        </w:rPr>
      </w:pPr>
    </w:p>
    <w:p w14:paraId="5C7C459B" w14:textId="77777777" w:rsidR="00793ABA" w:rsidRPr="00A81971" w:rsidRDefault="0032495C" w:rsidP="457BD43E">
      <w:pPr>
        <w:spacing w:after="240" w:line="259" w:lineRule="auto"/>
        <w:rPr>
          <w:rFonts w:eastAsia="Times New Roman"/>
          <w:color w:val="000000" w:themeColor="text1"/>
          <w:sz w:val="18"/>
          <w:szCs w:val="18"/>
        </w:rPr>
      </w:pPr>
      <w:r w:rsidRPr="00A81971">
        <w:rPr>
          <w:rFonts w:eastAsia="Times New Roman"/>
          <w:color w:val="000000" w:themeColor="text1"/>
        </w:rPr>
        <w:t xml:space="preserve">For </w:t>
      </w:r>
      <w:r w:rsidRPr="00A81971">
        <w:rPr>
          <w:rFonts w:eastAsia="Times New Roman"/>
          <w:b/>
          <w:bCs/>
          <w:color w:val="000000" w:themeColor="text1"/>
        </w:rPr>
        <w:t>HCFC Scenario 1</w:t>
      </w:r>
      <w:r w:rsidRPr="00A81971">
        <w:rPr>
          <w:rFonts w:eastAsia="Times New Roman"/>
          <w:color w:val="000000" w:themeColor="text1"/>
        </w:rPr>
        <w:t xml:space="preserve">, </w:t>
      </w:r>
      <w:r w:rsidR="00A30272" w:rsidRPr="00A81971">
        <w:rPr>
          <w:rFonts w:eastAsia="Times New Roman"/>
          <w:color w:val="000000" w:themeColor="text1"/>
        </w:rPr>
        <w:t xml:space="preserve">the </w:t>
      </w:r>
      <w:r w:rsidRPr="00A81971">
        <w:rPr>
          <w:rFonts w:eastAsia="Times New Roman"/>
          <w:color w:val="000000" w:themeColor="text1"/>
        </w:rPr>
        <w:t xml:space="preserve">RTF applied the </w:t>
      </w:r>
      <w:r w:rsidR="006F1506" w:rsidRPr="00A81971">
        <w:rPr>
          <w:rFonts w:eastAsia="Times New Roman"/>
          <w:color w:val="000000" w:themeColor="text1"/>
        </w:rPr>
        <w:t xml:space="preserve">corresponding </w:t>
      </w:r>
      <w:r w:rsidRPr="00A81971">
        <w:rPr>
          <w:rFonts w:eastAsia="Times New Roman"/>
          <w:color w:val="000000" w:themeColor="text1"/>
        </w:rPr>
        <w:t xml:space="preserve">historical CEs described below to estimate new funding. </w:t>
      </w:r>
      <w:r w:rsidR="0011074D" w:rsidRPr="00A81971">
        <w:rPr>
          <w:rFonts w:eastAsia="Times New Roman"/>
          <w:color w:val="000000" w:themeColor="text1"/>
        </w:rPr>
        <w:t xml:space="preserve">The </w:t>
      </w:r>
      <w:r w:rsidRPr="00A81971">
        <w:rPr>
          <w:rFonts w:eastAsia="Times New Roman"/>
          <w:color w:val="000000" w:themeColor="text1"/>
        </w:rPr>
        <w:t xml:space="preserve">total estimates </w:t>
      </w:r>
      <w:r w:rsidR="0011074D" w:rsidRPr="00A81971">
        <w:rPr>
          <w:rFonts w:eastAsia="Times New Roman"/>
          <w:color w:val="000000" w:themeColor="text1"/>
        </w:rPr>
        <w:t xml:space="preserve">is therefore </w:t>
      </w:r>
      <w:r w:rsidRPr="00A81971">
        <w:rPr>
          <w:rFonts w:eastAsia="Times New Roman"/>
          <w:color w:val="000000" w:themeColor="text1"/>
        </w:rPr>
        <w:t xml:space="preserve">the sum of funding estimates for </w:t>
      </w:r>
      <w:r w:rsidR="0077779F" w:rsidRPr="00A81971">
        <w:rPr>
          <w:rFonts w:eastAsia="Times New Roman"/>
          <w:color w:val="000000" w:themeColor="text1"/>
        </w:rPr>
        <w:t xml:space="preserve">the </w:t>
      </w:r>
      <w:r w:rsidR="457BD43E" w:rsidRPr="00A81971">
        <w:rPr>
          <w:rFonts w:eastAsia="Times New Roman"/>
          <w:color w:val="000000" w:themeColor="text1"/>
        </w:rPr>
        <w:t>7</w:t>
      </w:r>
      <w:r w:rsidRPr="00A81971">
        <w:rPr>
          <w:rFonts w:eastAsia="Times New Roman"/>
          <w:color w:val="000000" w:themeColor="text1"/>
        </w:rPr>
        <w:t xml:space="preserve"> parties </w:t>
      </w:r>
      <w:r w:rsidR="00A74E0A" w:rsidRPr="00A81971">
        <w:rPr>
          <w:rFonts w:eastAsia="Times New Roman"/>
          <w:color w:val="000000" w:themeColor="text1"/>
        </w:rPr>
        <w:t>and</w:t>
      </w:r>
      <w:r w:rsidRPr="00A81971">
        <w:rPr>
          <w:rFonts w:eastAsia="Times New Roman"/>
          <w:color w:val="000000" w:themeColor="text1"/>
        </w:rPr>
        <w:t xml:space="preserve"> a separate funding estimate for China.</w:t>
      </w:r>
      <w:r w:rsidRPr="00A81971">
        <w:rPr>
          <w:rFonts w:eastAsia="Times New Roman"/>
          <w:color w:val="000000" w:themeColor="text1"/>
          <w:sz w:val="18"/>
          <w:szCs w:val="18"/>
        </w:rPr>
        <w:t xml:space="preserve"> </w:t>
      </w:r>
    </w:p>
    <w:p w14:paraId="26872FCA" w14:textId="77777777" w:rsidR="00E86FA0" w:rsidRPr="00F84F0B" w:rsidRDefault="0032495C" w:rsidP="00F84F0B">
      <w:pPr>
        <w:spacing w:after="240" w:line="259" w:lineRule="auto"/>
        <w:jc w:val="both"/>
        <w:rPr>
          <w:rFonts w:eastAsia="Times New Roman"/>
          <w:color w:val="000000" w:themeColor="text1"/>
        </w:rPr>
      </w:pPr>
      <w:r w:rsidRPr="00F84F0B">
        <w:rPr>
          <w:rFonts w:eastAsia="Times New Roman"/>
          <w:color w:val="000000" w:themeColor="text1"/>
        </w:rPr>
        <w:lastRenderedPageBreak/>
        <w:t>The historical sector</w:t>
      </w:r>
      <w:r w:rsidR="00A81F33" w:rsidRPr="00F84F0B">
        <w:rPr>
          <w:rFonts w:eastAsia="Times New Roman"/>
          <w:color w:val="000000" w:themeColor="text1"/>
        </w:rPr>
        <w:t>-specific</w:t>
      </w:r>
      <w:r w:rsidRPr="00F84F0B">
        <w:rPr>
          <w:rFonts w:eastAsia="Times New Roman"/>
          <w:color w:val="000000" w:themeColor="text1"/>
        </w:rPr>
        <w:t xml:space="preserve"> CEs applied to manufacturing sectors by </w:t>
      </w:r>
      <w:r w:rsidR="00380DE4" w:rsidRPr="00F84F0B">
        <w:rPr>
          <w:rFonts w:eastAsia="Times New Roman"/>
          <w:color w:val="000000" w:themeColor="text1"/>
        </w:rPr>
        <w:t xml:space="preserve">the </w:t>
      </w:r>
      <w:r w:rsidRPr="00F84F0B">
        <w:rPr>
          <w:rFonts w:eastAsia="Times New Roman"/>
          <w:color w:val="000000" w:themeColor="text1"/>
        </w:rPr>
        <w:t xml:space="preserve">RTF are </w:t>
      </w:r>
      <w:r w:rsidR="005B73B5" w:rsidRPr="00F84F0B">
        <w:rPr>
          <w:rFonts w:eastAsia="Times New Roman"/>
          <w:color w:val="000000" w:themeColor="text1"/>
        </w:rPr>
        <w:t xml:space="preserve">presented </w:t>
      </w:r>
      <w:r w:rsidRPr="00F84F0B">
        <w:rPr>
          <w:rFonts w:eastAsia="Times New Roman"/>
          <w:color w:val="000000" w:themeColor="text1"/>
        </w:rPr>
        <w:t>in Table A</w:t>
      </w:r>
      <w:r w:rsidR="007C02A0" w:rsidRPr="00F84F0B">
        <w:rPr>
          <w:rFonts w:eastAsia="Times New Roman"/>
          <w:color w:val="000000" w:themeColor="text1"/>
        </w:rPr>
        <w:t>2</w:t>
      </w:r>
      <w:r w:rsidRPr="00F84F0B">
        <w:rPr>
          <w:rFonts w:eastAsia="Times New Roman"/>
          <w:color w:val="000000" w:themeColor="text1"/>
        </w:rPr>
        <w:t>.1</w:t>
      </w:r>
      <w:r w:rsidR="00996CBF" w:rsidRPr="00F84F0B">
        <w:rPr>
          <w:rFonts w:eastAsia="Times New Roman"/>
          <w:color w:val="000000" w:themeColor="text1"/>
        </w:rPr>
        <w:t>.</w:t>
      </w:r>
      <w:r w:rsidRPr="00F84F0B">
        <w:rPr>
          <w:rFonts w:eastAsia="Times New Roman"/>
          <w:color w:val="000000" w:themeColor="text1"/>
        </w:rPr>
        <w:t xml:space="preserve"> </w:t>
      </w:r>
      <w:r w:rsidR="00996CBF" w:rsidRPr="00F84F0B">
        <w:rPr>
          <w:rFonts w:eastAsia="Times New Roman"/>
          <w:color w:val="000000" w:themeColor="text1"/>
        </w:rPr>
        <w:t>T</w:t>
      </w:r>
      <w:r w:rsidRPr="00F84F0B">
        <w:rPr>
          <w:rFonts w:eastAsia="Times New Roman"/>
          <w:color w:val="000000" w:themeColor="text1"/>
        </w:rPr>
        <w:t>he</w:t>
      </w:r>
      <w:r w:rsidRPr="00A81971">
        <w:rPr>
          <w:rFonts w:eastAsia="Times New Roman"/>
          <w:color w:val="000000" w:themeColor="text1"/>
        </w:rPr>
        <w:t xml:space="preserve"> estimated funding for these </w:t>
      </w:r>
      <w:r w:rsidR="457BD43E" w:rsidRPr="00A81971">
        <w:rPr>
          <w:rFonts w:eastAsia="Times New Roman"/>
          <w:color w:val="000000" w:themeColor="text1"/>
        </w:rPr>
        <w:t>8</w:t>
      </w:r>
      <w:r w:rsidRPr="00A81971">
        <w:rPr>
          <w:rFonts w:eastAsia="Times New Roman"/>
          <w:color w:val="000000" w:themeColor="text1"/>
        </w:rPr>
        <w:t xml:space="preserve"> parties for 2027-2029 is shown in Table A2.</w:t>
      </w:r>
      <w:r w:rsidR="006E32BF" w:rsidRPr="00A81971">
        <w:rPr>
          <w:rFonts w:eastAsia="Times New Roman"/>
          <w:color w:val="000000" w:themeColor="text1"/>
        </w:rPr>
        <w:t>2</w:t>
      </w:r>
      <w:r w:rsidRPr="00A81971">
        <w:rPr>
          <w:rFonts w:eastAsia="Times New Roman"/>
          <w:color w:val="000000" w:themeColor="text1"/>
        </w:rPr>
        <w:t xml:space="preserve">. </w:t>
      </w:r>
    </w:p>
    <w:p w14:paraId="2B41221D" w14:textId="77777777" w:rsidR="00793ABA" w:rsidRPr="00A81971" w:rsidRDefault="0032495C" w:rsidP="00F84F0B">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t xml:space="preserve">Table </w:t>
      </w:r>
      <w:r>
        <w:rPr>
          <w:rFonts w:eastAsia="Yu Mincho"/>
          <w:b/>
          <w:bCs/>
          <w:color w:val="000000"/>
          <w:lang w:val="en-CA"/>
        </w:rPr>
        <w:t>A2.1:</w:t>
      </w:r>
      <w:r w:rsidRPr="0006445E">
        <w:rPr>
          <w:rFonts w:eastAsia="Times New Roman"/>
          <w:color w:val="000000"/>
          <w:lang w:val="en-CA"/>
        </w:rPr>
        <w:tab/>
      </w:r>
      <w:r w:rsidRPr="00A81971">
        <w:rPr>
          <w:rFonts w:eastAsia="Times New Roman"/>
          <w:b/>
          <w:bCs/>
          <w:color w:val="000000" w:themeColor="text1"/>
        </w:rPr>
        <w:t xml:space="preserve">Historical CEs applied to manufacturing sectors for </w:t>
      </w:r>
      <w:r w:rsidRPr="00A81971">
        <w:rPr>
          <w:rFonts w:eastAsia="Times New Roman"/>
          <w:b/>
          <w:bCs/>
          <w:color w:val="000000" w:themeColor="text1"/>
          <w:u w:val="single"/>
        </w:rPr>
        <w:t>HCFC Scenario 1</w:t>
      </w:r>
      <w:r w:rsidRPr="00A81971">
        <w:rPr>
          <w:rFonts w:eastAsia="Times New Roman"/>
          <w:b/>
          <w:bCs/>
          <w:color w:val="000000" w:themeColor="text1"/>
        </w:rPr>
        <w:t xml:space="preserve"> (US$/kg)</w:t>
      </w:r>
    </w:p>
    <w:tbl>
      <w:tblPr>
        <w:tblStyle w:val="TableGrid"/>
        <w:tblW w:w="5000" w:type="pct"/>
        <w:jc w:val="center"/>
        <w:tblLook w:val="04A0" w:firstRow="1" w:lastRow="0" w:firstColumn="1" w:lastColumn="0" w:noHBand="0" w:noVBand="1"/>
      </w:tblPr>
      <w:tblGrid>
        <w:gridCol w:w="1761"/>
        <w:gridCol w:w="934"/>
        <w:gridCol w:w="936"/>
        <w:gridCol w:w="935"/>
        <w:gridCol w:w="1165"/>
        <w:gridCol w:w="1115"/>
        <w:gridCol w:w="1076"/>
        <w:gridCol w:w="1152"/>
      </w:tblGrid>
      <w:tr w:rsidR="00F90461" w14:paraId="2894A308" w14:textId="77777777" w:rsidTr="004E53CC">
        <w:trPr>
          <w:trHeight w:val="300"/>
          <w:jc w:val="center"/>
        </w:trPr>
        <w:tc>
          <w:tcPr>
            <w:tcW w:w="970" w:type="pct"/>
            <w:shd w:val="clear" w:color="auto" w:fill="D9E2F3" w:themeFill="accent1" w:themeFillTint="33"/>
            <w:tcMar>
              <w:left w:w="108" w:type="dxa"/>
              <w:right w:w="108" w:type="dxa"/>
            </w:tcMar>
            <w:vAlign w:val="center"/>
          </w:tcPr>
          <w:p w14:paraId="7CC6822E" w14:textId="77777777" w:rsidR="060C4F7D"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HCFC</w:t>
            </w:r>
          </w:p>
          <w:p w14:paraId="667D2222" w14:textId="77777777" w:rsidR="060C4F7D"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Sector</w:t>
            </w:r>
          </w:p>
        </w:tc>
        <w:tc>
          <w:tcPr>
            <w:tcW w:w="514" w:type="pct"/>
            <w:shd w:val="clear" w:color="auto" w:fill="D9E2F3" w:themeFill="accent1" w:themeFillTint="33"/>
            <w:tcMar>
              <w:left w:w="108" w:type="dxa"/>
              <w:right w:w="108" w:type="dxa"/>
            </w:tcMar>
            <w:vAlign w:val="center"/>
          </w:tcPr>
          <w:p w14:paraId="69936344" w14:textId="77777777" w:rsidR="060C4F7D" w:rsidRPr="00A81971" w:rsidRDefault="0032495C" w:rsidP="006814F1">
            <w:pPr>
              <w:spacing w:after="240"/>
              <w:jc w:val="center"/>
              <w:rPr>
                <w:rFonts w:eastAsia="Times New Roman"/>
                <w:b/>
                <w:bCs/>
                <w:color w:val="000000" w:themeColor="text1"/>
              </w:rPr>
            </w:pPr>
            <w:r w:rsidRPr="00A81971">
              <w:rPr>
                <w:rFonts w:eastAsia="Times New Roman"/>
                <w:b/>
                <w:bCs/>
                <w:color w:val="000000" w:themeColor="text1"/>
              </w:rPr>
              <w:t>XPS Foam</w:t>
            </w:r>
          </w:p>
        </w:tc>
        <w:tc>
          <w:tcPr>
            <w:tcW w:w="515" w:type="pct"/>
            <w:shd w:val="clear" w:color="auto" w:fill="D9E2F3" w:themeFill="accent1" w:themeFillTint="33"/>
            <w:tcMar>
              <w:left w:w="108" w:type="dxa"/>
              <w:right w:w="108" w:type="dxa"/>
            </w:tcMar>
            <w:vAlign w:val="center"/>
          </w:tcPr>
          <w:p w14:paraId="56541DA4" w14:textId="77777777" w:rsidR="060C4F7D" w:rsidRPr="00A81971" w:rsidRDefault="0032495C" w:rsidP="006814F1">
            <w:pPr>
              <w:spacing w:after="240"/>
              <w:jc w:val="center"/>
              <w:rPr>
                <w:rFonts w:eastAsia="Times New Roman"/>
                <w:b/>
                <w:bCs/>
                <w:color w:val="000000" w:themeColor="text1"/>
              </w:rPr>
            </w:pPr>
            <w:r w:rsidRPr="00A81971">
              <w:rPr>
                <w:rFonts w:eastAsia="Times New Roman"/>
                <w:b/>
                <w:bCs/>
                <w:color w:val="000000" w:themeColor="text1"/>
              </w:rPr>
              <w:t>PU Foam</w:t>
            </w:r>
          </w:p>
        </w:tc>
        <w:tc>
          <w:tcPr>
            <w:tcW w:w="515" w:type="pct"/>
            <w:shd w:val="clear" w:color="auto" w:fill="D9E2F3" w:themeFill="accent1" w:themeFillTint="33"/>
            <w:tcMar>
              <w:left w:w="108" w:type="dxa"/>
              <w:right w:w="108" w:type="dxa"/>
            </w:tcMar>
            <w:vAlign w:val="center"/>
          </w:tcPr>
          <w:p w14:paraId="7401F2AB" w14:textId="77777777" w:rsidR="060C4F7D" w:rsidRPr="00A81971" w:rsidRDefault="0032495C" w:rsidP="006814F1">
            <w:pPr>
              <w:spacing w:after="240"/>
              <w:jc w:val="center"/>
              <w:rPr>
                <w:rFonts w:eastAsia="Times New Roman"/>
                <w:b/>
                <w:bCs/>
                <w:color w:val="000000" w:themeColor="text1"/>
              </w:rPr>
            </w:pPr>
            <w:r w:rsidRPr="00A81971">
              <w:rPr>
                <w:rFonts w:eastAsia="Times New Roman"/>
                <w:b/>
                <w:bCs/>
                <w:color w:val="000000" w:themeColor="text1"/>
              </w:rPr>
              <w:t>Fire Ext.*</w:t>
            </w:r>
          </w:p>
        </w:tc>
        <w:tc>
          <w:tcPr>
            <w:tcW w:w="642" w:type="pct"/>
            <w:shd w:val="clear" w:color="auto" w:fill="D9E2F3" w:themeFill="accent1" w:themeFillTint="33"/>
            <w:tcMar>
              <w:left w:w="108" w:type="dxa"/>
              <w:right w:w="108" w:type="dxa"/>
            </w:tcMar>
            <w:vAlign w:val="center"/>
          </w:tcPr>
          <w:p w14:paraId="09C77F03" w14:textId="77777777" w:rsidR="002976C7"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ICR (Ind./</w:t>
            </w:r>
          </w:p>
          <w:p w14:paraId="4560575A" w14:textId="77777777" w:rsidR="00137188"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Com Ref.</w:t>
            </w:r>
          </w:p>
          <w:p w14:paraId="1C03F98E" w14:textId="77777777" w:rsidR="060C4F7D"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&amp; AC **</w:t>
            </w:r>
          </w:p>
        </w:tc>
        <w:tc>
          <w:tcPr>
            <w:tcW w:w="614" w:type="pct"/>
            <w:shd w:val="clear" w:color="auto" w:fill="D9E2F3" w:themeFill="accent1" w:themeFillTint="33"/>
            <w:tcMar>
              <w:left w:w="108" w:type="dxa"/>
              <w:right w:w="108" w:type="dxa"/>
            </w:tcMar>
            <w:vAlign w:val="center"/>
          </w:tcPr>
          <w:p w14:paraId="5F89789A" w14:textId="77777777" w:rsidR="060C4F7D" w:rsidRPr="00A81971" w:rsidRDefault="0032495C" w:rsidP="006814F1">
            <w:pPr>
              <w:spacing w:after="0"/>
              <w:jc w:val="center"/>
              <w:rPr>
                <w:rFonts w:eastAsia="Times New Roman"/>
                <w:b/>
                <w:bCs/>
                <w:color w:val="000000" w:themeColor="text1"/>
              </w:rPr>
            </w:pPr>
            <w:r w:rsidRPr="00A81971">
              <w:rPr>
                <w:rFonts w:eastAsia="Times New Roman"/>
                <w:b/>
                <w:bCs/>
                <w:color w:val="000000" w:themeColor="text1"/>
              </w:rPr>
              <w:t>Resid.AC</w:t>
            </w:r>
          </w:p>
        </w:tc>
        <w:tc>
          <w:tcPr>
            <w:tcW w:w="593" w:type="pct"/>
            <w:shd w:val="clear" w:color="auto" w:fill="D9E2F3" w:themeFill="accent1" w:themeFillTint="33"/>
            <w:tcMar>
              <w:left w:w="108" w:type="dxa"/>
              <w:right w:w="108" w:type="dxa"/>
            </w:tcMar>
            <w:vAlign w:val="center"/>
          </w:tcPr>
          <w:p w14:paraId="37E498BE" w14:textId="77777777" w:rsidR="060C4F7D" w:rsidRPr="00A81971" w:rsidRDefault="0032495C" w:rsidP="006814F1">
            <w:pPr>
              <w:spacing w:after="240"/>
              <w:jc w:val="center"/>
              <w:rPr>
                <w:rFonts w:eastAsia="Times New Roman"/>
                <w:b/>
                <w:bCs/>
                <w:color w:val="000000" w:themeColor="text1"/>
              </w:rPr>
            </w:pPr>
            <w:r w:rsidRPr="00A81971">
              <w:rPr>
                <w:rFonts w:eastAsia="Times New Roman"/>
                <w:b/>
                <w:bCs/>
                <w:color w:val="000000" w:themeColor="text1"/>
              </w:rPr>
              <w:t>Solvents</w:t>
            </w:r>
          </w:p>
        </w:tc>
        <w:tc>
          <w:tcPr>
            <w:tcW w:w="635" w:type="pct"/>
            <w:shd w:val="clear" w:color="auto" w:fill="FFF2CC" w:themeFill="accent4" w:themeFillTint="33"/>
            <w:tcMar>
              <w:left w:w="108" w:type="dxa"/>
              <w:right w:w="108" w:type="dxa"/>
            </w:tcMar>
            <w:vAlign w:val="center"/>
          </w:tcPr>
          <w:p w14:paraId="57C480F9" w14:textId="77777777" w:rsidR="060C4F7D" w:rsidRPr="00A81971" w:rsidRDefault="0032495C" w:rsidP="006814F1">
            <w:pPr>
              <w:spacing w:after="240"/>
              <w:jc w:val="center"/>
              <w:rPr>
                <w:rFonts w:eastAsia="Times New Roman"/>
                <w:b/>
                <w:bCs/>
                <w:color w:val="000000" w:themeColor="text1"/>
              </w:rPr>
            </w:pPr>
            <w:r w:rsidRPr="00A81971">
              <w:rPr>
                <w:rFonts w:eastAsia="Times New Roman"/>
                <w:b/>
                <w:bCs/>
                <w:color w:val="000000" w:themeColor="text1"/>
              </w:rPr>
              <w:t>Servicing</w:t>
            </w:r>
          </w:p>
        </w:tc>
      </w:tr>
      <w:tr w:rsidR="00F90461" w14:paraId="310FD069" w14:textId="77777777" w:rsidTr="00FE5C31">
        <w:trPr>
          <w:trHeight w:val="300"/>
          <w:jc w:val="center"/>
        </w:trPr>
        <w:tc>
          <w:tcPr>
            <w:tcW w:w="970" w:type="pct"/>
            <w:shd w:val="clear" w:color="auto" w:fill="FFFFFF" w:themeFill="background1"/>
            <w:tcMar>
              <w:left w:w="108" w:type="dxa"/>
              <w:right w:w="108" w:type="dxa"/>
            </w:tcMar>
          </w:tcPr>
          <w:p w14:paraId="693F23D3" w14:textId="77777777" w:rsidR="060C4F7D" w:rsidRPr="00A81971" w:rsidRDefault="0032495C" w:rsidP="457BD43E">
            <w:pPr>
              <w:spacing w:after="240" w:line="259" w:lineRule="auto"/>
              <w:rPr>
                <w:rFonts w:eastAsia="Times New Roman"/>
                <w:color w:val="000000" w:themeColor="text1"/>
              </w:rPr>
            </w:pPr>
            <w:r w:rsidRPr="00A81971">
              <w:rPr>
                <w:rFonts w:eastAsia="Times New Roman"/>
                <w:color w:val="000000" w:themeColor="text1"/>
              </w:rPr>
              <w:t xml:space="preserve">Historical CE (US$/kg) applied to </w:t>
            </w:r>
            <w:r w:rsidR="457BD43E" w:rsidRPr="00A81971">
              <w:rPr>
                <w:rFonts w:eastAsia="Times New Roman"/>
                <w:color w:val="000000" w:themeColor="text1"/>
              </w:rPr>
              <w:t>7</w:t>
            </w:r>
            <w:r w:rsidRPr="00A81971">
              <w:rPr>
                <w:rFonts w:eastAsia="Times New Roman"/>
                <w:color w:val="000000" w:themeColor="text1"/>
              </w:rPr>
              <w:t xml:space="preserve"> parties </w:t>
            </w:r>
          </w:p>
        </w:tc>
        <w:tc>
          <w:tcPr>
            <w:tcW w:w="514" w:type="pct"/>
            <w:shd w:val="clear" w:color="auto" w:fill="FFFFFF" w:themeFill="background1"/>
            <w:tcMar>
              <w:left w:w="108" w:type="dxa"/>
              <w:right w:w="108" w:type="dxa"/>
            </w:tcMar>
            <w:vAlign w:val="center"/>
          </w:tcPr>
          <w:p w14:paraId="364E3F27"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5.74</w:t>
            </w:r>
          </w:p>
        </w:tc>
        <w:tc>
          <w:tcPr>
            <w:tcW w:w="515" w:type="pct"/>
            <w:shd w:val="clear" w:color="auto" w:fill="FFFFFF" w:themeFill="background1"/>
            <w:tcMar>
              <w:left w:w="108" w:type="dxa"/>
              <w:right w:w="108" w:type="dxa"/>
            </w:tcMar>
            <w:vAlign w:val="center"/>
          </w:tcPr>
          <w:p w14:paraId="72D98B6A"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7.37</w:t>
            </w:r>
          </w:p>
        </w:tc>
        <w:tc>
          <w:tcPr>
            <w:tcW w:w="515" w:type="pct"/>
            <w:shd w:val="clear" w:color="auto" w:fill="FFFFFF" w:themeFill="background1"/>
            <w:tcMar>
              <w:left w:w="108" w:type="dxa"/>
              <w:right w:w="108" w:type="dxa"/>
            </w:tcMar>
            <w:vAlign w:val="center"/>
          </w:tcPr>
          <w:p w14:paraId="1EC64FF4"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 xml:space="preserve">4.8 </w:t>
            </w:r>
          </w:p>
        </w:tc>
        <w:tc>
          <w:tcPr>
            <w:tcW w:w="642" w:type="pct"/>
            <w:shd w:val="clear" w:color="auto" w:fill="FFFFFF" w:themeFill="background1"/>
            <w:tcMar>
              <w:left w:w="108" w:type="dxa"/>
              <w:right w:w="108" w:type="dxa"/>
            </w:tcMar>
            <w:vAlign w:val="center"/>
          </w:tcPr>
          <w:p w14:paraId="38F61397"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14.57</w:t>
            </w:r>
          </w:p>
        </w:tc>
        <w:tc>
          <w:tcPr>
            <w:tcW w:w="614" w:type="pct"/>
            <w:shd w:val="clear" w:color="auto" w:fill="FFFFFF" w:themeFill="background1"/>
            <w:tcMar>
              <w:left w:w="108" w:type="dxa"/>
              <w:right w:w="108" w:type="dxa"/>
            </w:tcMar>
            <w:vAlign w:val="center"/>
          </w:tcPr>
          <w:p w14:paraId="535A5A6D"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10.05</w:t>
            </w:r>
          </w:p>
        </w:tc>
        <w:tc>
          <w:tcPr>
            <w:tcW w:w="593" w:type="pct"/>
            <w:shd w:val="clear" w:color="auto" w:fill="FFFFFF" w:themeFill="background1"/>
            <w:tcMar>
              <w:left w:w="108" w:type="dxa"/>
              <w:right w:w="108" w:type="dxa"/>
            </w:tcMar>
            <w:vAlign w:val="center"/>
          </w:tcPr>
          <w:p w14:paraId="4C4BE7E1"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10.51</w:t>
            </w:r>
          </w:p>
        </w:tc>
        <w:tc>
          <w:tcPr>
            <w:tcW w:w="635" w:type="pct"/>
            <w:shd w:val="clear" w:color="auto" w:fill="FFF2CC" w:themeFill="accent4" w:themeFillTint="33"/>
            <w:tcMar>
              <w:left w:w="108" w:type="dxa"/>
              <w:right w:w="108" w:type="dxa"/>
            </w:tcMar>
            <w:vAlign w:val="center"/>
          </w:tcPr>
          <w:p w14:paraId="170B8C3D"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4.8</w:t>
            </w:r>
          </w:p>
        </w:tc>
      </w:tr>
      <w:tr w:rsidR="00F90461" w14:paraId="02FE2A3C" w14:textId="77777777" w:rsidTr="00FE5C31">
        <w:trPr>
          <w:trHeight w:val="300"/>
          <w:jc w:val="center"/>
        </w:trPr>
        <w:tc>
          <w:tcPr>
            <w:tcW w:w="970" w:type="pct"/>
            <w:shd w:val="clear" w:color="auto" w:fill="FFFFFF" w:themeFill="background1"/>
            <w:tcMar>
              <w:left w:w="108" w:type="dxa"/>
              <w:right w:w="108" w:type="dxa"/>
            </w:tcMar>
          </w:tcPr>
          <w:p w14:paraId="46BB143A" w14:textId="77777777" w:rsidR="060C4F7D" w:rsidRPr="00A81971" w:rsidRDefault="0032495C" w:rsidP="060C4F7D">
            <w:pPr>
              <w:spacing w:after="240"/>
              <w:rPr>
                <w:rFonts w:eastAsia="Times New Roman"/>
                <w:color w:val="000000" w:themeColor="text1"/>
              </w:rPr>
            </w:pPr>
            <w:r w:rsidRPr="00A81971">
              <w:rPr>
                <w:rFonts w:eastAsia="Times New Roman"/>
                <w:color w:val="000000" w:themeColor="text1"/>
              </w:rPr>
              <w:t xml:space="preserve">Historical CE (US$/kg) applied to China </w:t>
            </w:r>
          </w:p>
        </w:tc>
        <w:tc>
          <w:tcPr>
            <w:tcW w:w="514" w:type="pct"/>
            <w:shd w:val="clear" w:color="auto" w:fill="FFFFFF" w:themeFill="background1"/>
            <w:tcMar>
              <w:left w:w="108" w:type="dxa"/>
              <w:right w:w="108" w:type="dxa"/>
            </w:tcMar>
            <w:vAlign w:val="center"/>
          </w:tcPr>
          <w:p w14:paraId="1203C4DF"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 xml:space="preserve"> </w:t>
            </w:r>
          </w:p>
        </w:tc>
        <w:tc>
          <w:tcPr>
            <w:tcW w:w="515" w:type="pct"/>
            <w:shd w:val="clear" w:color="auto" w:fill="FFFFFF" w:themeFill="background1"/>
            <w:tcMar>
              <w:left w:w="108" w:type="dxa"/>
              <w:right w:w="108" w:type="dxa"/>
            </w:tcMar>
            <w:vAlign w:val="center"/>
          </w:tcPr>
          <w:p w14:paraId="35A463A6"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 xml:space="preserve"> </w:t>
            </w:r>
          </w:p>
        </w:tc>
        <w:tc>
          <w:tcPr>
            <w:tcW w:w="515" w:type="pct"/>
            <w:shd w:val="clear" w:color="auto" w:fill="FFFFFF" w:themeFill="background1"/>
            <w:tcMar>
              <w:left w:w="108" w:type="dxa"/>
              <w:right w:w="108" w:type="dxa"/>
            </w:tcMar>
            <w:vAlign w:val="center"/>
          </w:tcPr>
          <w:p w14:paraId="7E8F9976" w14:textId="77777777" w:rsidR="060C4F7D" w:rsidRPr="00A81971" w:rsidRDefault="060C4F7D" w:rsidP="00FE5C31">
            <w:pPr>
              <w:spacing w:after="0"/>
              <w:jc w:val="right"/>
              <w:rPr>
                <w:rFonts w:eastAsia="Times New Roman"/>
                <w:color w:val="000000" w:themeColor="text1"/>
                <w:highlight w:val="yellow"/>
              </w:rPr>
            </w:pPr>
          </w:p>
        </w:tc>
        <w:tc>
          <w:tcPr>
            <w:tcW w:w="642" w:type="pct"/>
            <w:shd w:val="clear" w:color="auto" w:fill="FFFFFF" w:themeFill="background1"/>
            <w:tcMar>
              <w:left w:w="108" w:type="dxa"/>
              <w:right w:w="108" w:type="dxa"/>
            </w:tcMar>
            <w:vAlign w:val="center"/>
          </w:tcPr>
          <w:p w14:paraId="65FF52FA"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6.97</w:t>
            </w:r>
          </w:p>
        </w:tc>
        <w:tc>
          <w:tcPr>
            <w:tcW w:w="614" w:type="pct"/>
            <w:shd w:val="clear" w:color="auto" w:fill="FFFFFF" w:themeFill="background1"/>
            <w:tcMar>
              <w:left w:w="108" w:type="dxa"/>
              <w:right w:w="108" w:type="dxa"/>
            </w:tcMar>
            <w:vAlign w:val="center"/>
          </w:tcPr>
          <w:p w14:paraId="0F1F3EA1"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4.79</w:t>
            </w:r>
          </w:p>
        </w:tc>
        <w:tc>
          <w:tcPr>
            <w:tcW w:w="593" w:type="pct"/>
            <w:shd w:val="clear" w:color="auto" w:fill="FFFFFF" w:themeFill="background1"/>
            <w:tcMar>
              <w:left w:w="108" w:type="dxa"/>
              <w:right w:w="108" w:type="dxa"/>
            </w:tcMar>
            <w:vAlign w:val="center"/>
          </w:tcPr>
          <w:p w14:paraId="3CB258FE"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 xml:space="preserve"> </w:t>
            </w:r>
          </w:p>
        </w:tc>
        <w:tc>
          <w:tcPr>
            <w:tcW w:w="635" w:type="pct"/>
            <w:shd w:val="clear" w:color="auto" w:fill="FFF2CC" w:themeFill="accent4" w:themeFillTint="33"/>
            <w:tcMar>
              <w:left w:w="108" w:type="dxa"/>
              <w:right w:w="108" w:type="dxa"/>
            </w:tcMar>
            <w:vAlign w:val="center"/>
          </w:tcPr>
          <w:p w14:paraId="210CCC16" w14:textId="77777777" w:rsidR="060C4F7D" w:rsidRPr="00A81971" w:rsidRDefault="0032495C" w:rsidP="00FE5C31">
            <w:pPr>
              <w:spacing w:after="0"/>
              <w:jc w:val="right"/>
              <w:rPr>
                <w:rFonts w:eastAsia="Times New Roman"/>
                <w:color w:val="000000" w:themeColor="text1"/>
              </w:rPr>
            </w:pPr>
            <w:r w:rsidRPr="00A81971">
              <w:rPr>
                <w:rFonts w:eastAsia="Times New Roman"/>
                <w:color w:val="000000" w:themeColor="text1"/>
              </w:rPr>
              <w:t>4.8</w:t>
            </w:r>
          </w:p>
        </w:tc>
      </w:tr>
    </w:tbl>
    <w:p w14:paraId="6BA6E2C9" w14:textId="77777777" w:rsidR="00793ABA" w:rsidRPr="00A81971" w:rsidRDefault="0032495C" w:rsidP="060C4F7D">
      <w:pPr>
        <w:spacing w:after="0"/>
      </w:pPr>
      <w:r w:rsidRPr="00A81971">
        <w:rPr>
          <w:rFonts w:eastAsia="Times New Roman"/>
          <w:color w:val="000000" w:themeColor="text1"/>
          <w:sz w:val="18"/>
          <w:szCs w:val="18"/>
        </w:rPr>
        <w:t>* RTF considered that</w:t>
      </w:r>
      <w:r w:rsidR="00E93FB4" w:rsidRPr="00A81971">
        <w:rPr>
          <w:rFonts w:eastAsia="Times New Roman"/>
          <w:color w:val="000000" w:themeColor="text1"/>
          <w:sz w:val="18"/>
          <w:szCs w:val="18"/>
        </w:rPr>
        <w:t>,</w:t>
      </w:r>
      <w:r w:rsidRPr="00A81971">
        <w:rPr>
          <w:rFonts w:eastAsia="Times New Roman"/>
          <w:color w:val="000000" w:themeColor="text1"/>
          <w:sz w:val="18"/>
          <w:szCs w:val="18"/>
        </w:rPr>
        <w:t xml:space="preserve"> in the fire extinguishing sector</w:t>
      </w:r>
      <w:r w:rsidR="0043471C" w:rsidRPr="00A81971">
        <w:rPr>
          <w:rFonts w:eastAsia="Times New Roman"/>
          <w:color w:val="000000" w:themeColor="text1"/>
          <w:sz w:val="18"/>
          <w:szCs w:val="18"/>
        </w:rPr>
        <w:t>,</w:t>
      </w:r>
      <w:r w:rsidRPr="00A81971">
        <w:rPr>
          <w:rFonts w:eastAsia="Times New Roman"/>
          <w:color w:val="000000" w:themeColor="text1"/>
          <w:sz w:val="18"/>
          <w:szCs w:val="18"/>
        </w:rPr>
        <w:t xml:space="preserve"> the activities are currently similar to th</w:t>
      </w:r>
      <w:r w:rsidR="001A1753" w:rsidRPr="00A81971">
        <w:rPr>
          <w:rFonts w:eastAsia="Times New Roman"/>
          <w:color w:val="000000" w:themeColor="text1"/>
          <w:sz w:val="18"/>
          <w:szCs w:val="18"/>
        </w:rPr>
        <w:t>ose</w:t>
      </w:r>
      <w:r w:rsidRPr="00A81971">
        <w:rPr>
          <w:rFonts w:eastAsia="Times New Roman"/>
          <w:color w:val="000000" w:themeColor="text1"/>
          <w:sz w:val="18"/>
          <w:szCs w:val="18"/>
        </w:rPr>
        <w:t xml:space="preserve"> in the servicing sector (CE 4.8</w:t>
      </w:r>
      <w:r w:rsidR="006814F1" w:rsidRPr="006814F1">
        <w:rPr>
          <w:rFonts w:eastAsia="Times New Roman"/>
          <w:color w:val="000000" w:themeColor="text1"/>
          <w:sz w:val="18"/>
          <w:szCs w:val="18"/>
        </w:rPr>
        <w:t xml:space="preserve"> </w:t>
      </w:r>
      <w:r w:rsidR="006814F1" w:rsidRPr="00A81971">
        <w:rPr>
          <w:rFonts w:eastAsia="Times New Roman"/>
          <w:color w:val="000000" w:themeColor="text1"/>
          <w:sz w:val="18"/>
          <w:szCs w:val="18"/>
        </w:rPr>
        <w:t>US$</w:t>
      </w:r>
      <w:r w:rsidR="006814F1">
        <w:rPr>
          <w:rFonts w:eastAsia="Times New Roman"/>
          <w:color w:val="000000" w:themeColor="text1"/>
          <w:sz w:val="18"/>
          <w:szCs w:val="18"/>
        </w:rPr>
        <w:t>/kg</w:t>
      </w:r>
      <w:r w:rsidRPr="00A81971">
        <w:rPr>
          <w:rFonts w:eastAsia="Times New Roman"/>
          <w:color w:val="000000" w:themeColor="text1"/>
          <w:sz w:val="18"/>
          <w:szCs w:val="18"/>
        </w:rPr>
        <w:t xml:space="preserve">). </w:t>
      </w:r>
    </w:p>
    <w:p w14:paraId="7C57328D" w14:textId="77777777" w:rsidR="00793ABA" w:rsidRPr="00A81971" w:rsidRDefault="0032495C" w:rsidP="060C4F7D">
      <w:pPr>
        <w:spacing w:after="0"/>
        <w:rPr>
          <w:rFonts w:eastAsia="Times New Roman"/>
          <w:color w:val="000000" w:themeColor="text1"/>
          <w:sz w:val="18"/>
          <w:szCs w:val="18"/>
        </w:rPr>
      </w:pPr>
      <w:r w:rsidRPr="00A81971">
        <w:rPr>
          <w:rFonts w:eastAsia="Times New Roman"/>
          <w:color w:val="000000" w:themeColor="text1"/>
          <w:sz w:val="18"/>
          <w:szCs w:val="18"/>
        </w:rPr>
        <w:t xml:space="preserve">** RTF </w:t>
      </w:r>
      <w:r w:rsidR="003E023A" w:rsidRPr="00A81971">
        <w:rPr>
          <w:rFonts w:eastAsia="Times New Roman"/>
          <w:color w:val="000000" w:themeColor="text1"/>
          <w:sz w:val="18"/>
          <w:szCs w:val="18"/>
        </w:rPr>
        <w:t>used</w:t>
      </w:r>
      <w:r w:rsidRPr="00A81971">
        <w:rPr>
          <w:rFonts w:eastAsia="Times New Roman"/>
          <w:color w:val="000000" w:themeColor="text1"/>
          <w:sz w:val="18"/>
          <w:szCs w:val="18"/>
        </w:rPr>
        <w:t xml:space="preserve"> the average of the historical CE for Commercial Refrigeration (CE</w:t>
      </w:r>
      <w:r w:rsidR="005500C0" w:rsidRPr="00A81971">
        <w:rPr>
          <w:rFonts w:eastAsia="Times New Roman"/>
          <w:color w:val="000000" w:themeColor="text1"/>
          <w:sz w:val="18"/>
          <w:szCs w:val="18"/>
        </w:rPr>
        <w:t>,</w:t>
      </w:r>
      <w:r w:rsidRPr="00A81971">
        <w:rPr>
          <w:rFonts w:eastAsia="Times New Roman"/>
          <w:color w:val="000000" w:themeColor="text1"/>
          <w:sz w:val="18"/>
          <w:szCs w:val="18"/>
        </w:rPr>
        <w:t xml:space="preserve"> 10.96</w:t>
      </w:r>
      <w:r w:rsidR="006814F1" w:rsidRPr="006814F1">
        <w:rPr>
          <w:rFonts w:eastAsia="Times New Roman"/>
          <w:color w:val="000000" w:themeColor="text1"/>
          <w:sz w:val="18"/>
          <w:szCs w:val="18"/>
        </w:rPr>
        <w:t xml:space="preserve"> </w:t>
      </w:r>
      <w:r w:rsidR="006814F1" w:rsidRPr="00A81971">
        <w:rPr>
          <w:rFonts w:eastAsia="Times New Roman"/>
          <w:color w:val="000000" w:themeColor="text1"/>
          <w:sz w:val="18"/>
          <w:szCs w:val="18"/>
        </w:rPr>
        <w:t>US$</w:t>
      </w:r>
      <w:r w:rsidR="006814F1">
        <w:rPr>
          <w:rFonts w:eastAsia="Times New Roman"/>
          <w:color w:val="000000" w:themeColor="text1"/>
          <w:sz w:val="18"/>
          <w:szCs w:val="18"/>
        </w:rPr>
        <w:t>/kg</w:t>
      </w:r>
      <w:r w:rsidRPr="00A81971">
        <w:rPr>
          <w:rFonts w:eastAsia="Times New Roman"/>
          <w:color w:val="000000" w:themeColor="text1"/>
          <w:sz w:val="18"/>
          <w:szCs w:val="18"/>
        </w:rPr>
        <w:t>) and the one for Com</w:t>
      </w:r>
      <w:r w:rsidR="00974406" w:rsidRPr="00A81971">
        <w:rPr>
          <w:rFonts w:eastAsia="Times New Roman"/>
          <w:color w:val="000000" w:themeColor="text1"/>
          <w:sz w:val="18"/>
          <w:szCs w:val="18"/>
        </w:rPr>
        <w:t>mercial</w:t>
      </w:r>
      <w:r w:rsidRPr="00A81971">
        <w:rPr>
          <w:rFonts w:eastAsia="Times New Roman"/>
          <w:color w:val="000000" w:themeColor="text1"/>
          <w:sz w:val="18"/>
          <w:szCs w:val="18"/>
        </w:rPr>
        <w:t xml:space="preserve"> A</w:t>
      </w:r>
      <w:r w:rsidR="00974406" w:rsidRPr="00A81971">
        <w:rPr>
          <w:rFonts w:eastAsia="Times New Roman"/>
          <w:color w:val="000000" w:themeColor="text1"/>
          <w:sz w:val="18"/>
          <w:szCs w:val="18"/>
        </w:rPr>
        <w:t xml:space="preserve">ir </w:t>
      </w:r>
      <w:r w:rsidRPr="00A81971">
        <w:rPr>
          <w:rFonts w:eastAsia="Times New Roman"/>
          <w:color w:val="000000" w:themeColor="text1"/>
          <w:sz w:val="18"/>
          <w:szCs w:val="18"/>
        </w:rPr>
        <w:t>C</w:t>
      </w:r>
      <w:r w:rsidR="00974406" w:rsidRPr="00A81971">
        <w:rPr>
          <w:rFonts w:eastAsia="Times New Roman"/>
          <w:color w:val="000000" w:themeColor="text1"/>
          <w:sz w:val="18"/>
          <w:szCs w:val="18"/>
        </w:rPr>
        <w:t>onditioning</w:t>
      </w:r>
      <w:r w:rsidRPr="00A81971">
        <w:rPr>
          <w:rFonts w:eastAsia="Times New Roman"/>
          <w:color w:val="000000" w:themeColor="text1"/>
          <w:sz w:val="18"/>
          <w:szCs w:val="18"/>
        </w:rPr>
        <w:t xml:space="preserve"> (CE</w:t>
      </w:r>
      <w:r w:rsidR="005500C0" w:rsidRPr="00A81971">
        <w:rPr>
          <w:rFonts w:eastAsia="Times New Roman"/>
          <w:color w:val="000000" w:themeColor="text1"/>
          <w:sz w:val="18"/>
          <w:szCs w:val="18"/>
        </w:rPr>
        <w:t>,</w:t>
      </w:r>
      <w:r w:rsidRPr="00A81971">
        <w:rPr>
          <w:rFonts w:eastAsia="Times New Roman"/>
          <w:color w:val="000000" w:themeColor="text1"/>
          <w:sz w:val="18"/>
          <w:szCs w:val="18"/>
        </w:rPr>
        <w:t xml:space="preserve"> 18.18</w:t>
      </w:r>
      <w:r w:rsidR="006814F1" w:rsidRPr="006814F1">
        <w:rPr>
          <w:rFonts w:eastAsia="Times New Roman"/>
          <w:color w:val="000000" w:themeColor="text1"/>
          <w:sz w:val="18"/>
          <w:szCs w:val="18"/>
        </w:rPr>
        <w:t xml:space="preserve"> </w:t>
      </w:r>
      <w:r w:rsidR="006814F1" w:rsidRPr="00A81971">
        <w:rPr>
          <w:rFonts w:eastAsia="Times New Roman"/>
          <w:color w:val="000000" w:themeColor="text1"/>
          <w:sz w:val="18"/>
          <w:szCs w:val="18"/>
        </w:rPr>
        <w:t>US$</w:t>
      </w:r>
      <w:r w:rsidR="0071342F">
        <w:rPr>
          <w:rFonts w:eastAsia="Times New Roman"/>
          <w:color w:val="000000" w:themeColor="text1"/>
          <w:sz w:val="18"/>
          <w:szCs w:val="18"/>
        </w:rPr>
        <w:t>/kg</w:t>
      </w:r>
      <w:r w:rsidRPr="00A81971">
        <w:rPr>
          <w:rFonts w:eastAsia="Times New Roman"/>
          <w:color w:val="000000" w:themeColor="text1"/>
          <w:sz w:val="18"/>
          <w:szCs w:val="18"/>
        </w:rPr>
        <w:t xml:space="preserve">), that can be found in RTF analysis of </w:t>
      </w:r>
      <w:r w:rsidR="005500C0" w:rsidRPr="00A81971">
        <w:rPr>
          <w:rFonts w:eastAsia="Times New Roman"/>
          <w:color w:val="000000" w:themeColor="text1"/>
          <w:sz w:val="18"/>
          <w:szCs w:val="18"/>
        </w:rPr>
        <w:t>D</w:t>
      </w:r>
      <w:r w:rsidRPr="00A81971">
        <w:rPr>
          <w:rFonts w:eastAsia="Times New Roman"/>
          <w:color w:val="000000" w:themeColor="text1"/>
          <w:sz w:val="18"/>
          <w:szCs w:val="18"/>
        </w:rPr>
        <w:t xml:space="preserve">ocument 89/19/Rev1, </w:t>
      </w:r>
      <w:r w:rsidR="002B5A14" w:rsidRPr="00A81971">
        <w:rPr>
          <w:rFonts w:eastAsia="Times New Roman"/>
          <w:color w:val="000000" w:themeColor="text1"/>
          <w:sz w:val="18"/>
          <w:szCs w:val="18"/>
        </w:rPr>
        <w:t xml:space="preserve">in Annex 2 of the May 2026 Report, </w:t>
      </w:r>
      <w:r w:rsidRPr="00A81971">
        <w:rPr>
          <w:rFonts w:eastAsia="Times New Roman"/>
          <w:color w:val="000000" w:themeColor="text1"/>
          <w:sz w:val="18"/>
          <w:szCs w:val="18"/>
        </w:rPr>
        <w:t>as there is no information on historical Industrial Refr</w:t>
      </w:r>
      <w:r w:rsidR="00974406" w:rsidRPr="00A81971">
        <w:rPr>
          <w:rFonts w:eastAsia="Times New Roman"/>
          <w:color w:val="000000" w:themeColor="text1"/>
          <w:sz w:val="18"/>
          <w:szCs w:val="18"/>
        </w:rPr>
        <w:t>igeration</w:t>
      </w:r>
      <w:r w:rsidRPr="00A81971">
        <w:rPr>
          <w:rFonts w:eastAsia="Times New Roman"/>
          <w:color w:val="000000" w:themeColor="text1"/>
          <w:sz w:val="18"/>
          <w:szCs w:val="18"/>
        </w:rPr>
        <w:t xml:space="preserve"> and the A</w:t>
      </w:r>
      <w:r w:rsidR="00730097" w:rsidRPr="00A81971">
        <w:rPr>
          <w:rFonts w:eastAsia="Times New Roman"/>
          <w:color w:val="000000" w:themeColor="text1"/>
          <w:sz w:val="18"/>
          <w:szCs w:val="18"/>
        </w:rPr>
        <w:t xml:space="preserve">ir </w:t>
      </w:r>
      <w:r w:rsidRPr="00A81971">
        <w:rPr>
          <w:rFonts w:eastAsia="Times New Roman"/>
          <w:color w:val="000000" w:themeColor="text1"/>
          <w:sz w:val="18"/>
          <w:szCs w:val="18"/>
        </w:rPr>
        <w:t>C</w:t>
      </w:r>
      <w:r w:rsidR="00730097" w:rsidRPr="00A81971">
        <w:rPr>
          <w:rFonts w:eastAsia="Times New Roman"/>
          <w:color w:val="000000" w:themeColor="text1"/>
          <w:sz w:val="18"/>
          <w:szCs w:val="18"/>
        </w:rPr>
        <w:t>onditioning</w:t>
      </w:r>
      <w:r w:rsidRPr="00A81971">
        <w:rPr>
          <w:rFonts w:eastAsia="Times New Roman"/>
          <w:color w:val="000000" w:themeColor="text1"/>
          <w:sz w:val="18"/>
          <w:szCs w:val="18"/>
        </w:rPr>
        <w:t xml:space="preserve"> in the document. For China RTF applied the average of the historical CE for Commercial Refrigeration in China (CE</w:t>
      </w:r>
      <w:r w:rsidR="002E67C2" w:rsidRPr="00A81971">
        <w:rPr>
          <w:rFonts w:eastAsia="Times New Roman"/>
          <w:color w:val="000000" w:themeColor="text1"/>
          <w:sz w:val="18"/>
          <w:szCs w:val="18"/>
        </w:rPr>
        <w:t>,</w:t>
      </w:r>
      <w:r w:rsidRPr="00A81971">
        <w:rPr>
          <w:rFonts w:eastAsia="Times New Roman"/>
          <w:color w:val="000000" w:themeColor="text1"/>
          <w:sz w:val="18"/>
          <w:szCs w:val="18"/>
        </w:rPr>
        <w:t xml:space="preserve"> 9.15</w:t>
      </w:r>
      <w:r w:rsidR="0071342F" w:rsidRPr="0071342F">
        <w:rPr>
          <w:rFonts w:eastAsia="Times New Roman"/>
          <w:color w:val="000000" w:themeColor="text1"/>
          <w:sz w:val="18"/>
          <w:szCs w:val="18"/>
        </w:rPr>
        <w:t xml:space="preserve"> </w:t>
      </w:r>
      <w:r w:rsidR="0071342F" w:rsidRPr="00A81971">
        <w:rPr>
          <w:rFonts w:eastAsia="Times New Roman"/>
          <w:color w:val="000000" w:themeColor="text1"/>
          <w:sz w:val="18"/>
          <w:szCs w:val="18"/>
        </w:rPr>
        <w:t>US$</w:t>
      </w:r>
      <w:r w:rsidR="0071342F">
        <w:rPr>
          <w:rFonts w:eastAsia="Times New Roman"/>
          <w:color w:val="000000" w:themeColor="text1"/>
          <w:sz w:val="18"/>
          <w:szCs w:val="18"/>
        </w:rPr>
        <w:t>/kg</w:t>
      </w:r>
      <w:r w:rsidRPr="00A81971">
        <w:rPr>
          <w:rFonts w:eastAsia="Times New Roman"/>
          <w:color w:val="000000" w:themeColor="text1"/>
          <w:sz w:val="18"/>
          <w:szCs w:val="18"/>
        </w:rPr>
        <w:t>) and the one for Com</w:t>
      </w:r>
      <w:r w:rsidR="00730097" w:rsidRPr="00A81971">
        <w:rPr>
          <w:rFonts w:eastAsia="Times New Roman"/>
          <w:color w:val="000000" w:themeColor="text1"/>
          <w:sz w:val="18"/>
          <w:szCs w:val="18"/>
        </w:rPr>
        <w:t>mercial</w:t>
      </w:r>
      <w:r w:rsidRPr="00A81971">
        <w:rPr>
          <w:rFonts w:eastAsia="Times New Roman"/>
          <w:color w:val="000000" w:themeColor="text1"/>
          <w:sz w:val="18"/>
          <w:szCs w:val="18"/>
        </w:rPr>
        <w:t xml:space="preserve"> A</w:t>
      </w:r>
      <w:r w:rsidR="00730097" w:rsidRPr="00A81971">
        <w:rPr>
          <w:rFonts w:eastAsia="Times New Roman"/>
          <w:color w:val="000000" w:themeColor="text1"/>
          <w:sz w:val="18"/>
          <w:szCs w:val="18"/>
        </w:rPr>
        <w:t xml:space="preserve">ir </w:t>
      </w:r>
      <w:r w:rsidRPr="00A81971">
        <w:rPr>
          <w:rFonts w:eastAsia="Times New Roman"/>
          <w:color w:val="000000" w:themeColor="text1"/>
          <w:sz w:val="18"/>
          <w:szCs w:val="18"/>
        </w:rPr>
        <w:t>C</w:t>
      </w:r>
      <w:r w:rsidR="00730097" w:rsidRPr="00A81971">
        <w:rPr>
          <w:rFonts w:eastAsia="Times New Roman"/>
          <w:color w:val="000000" w:themeColor="text1"/>
          <w:sz w:val="18"/>
          <w:szCs w:val="18"/>
        </w:rPr>
        <w:t>onditioning</w:t>
      </w:r>
      <w:r w:rsidRPr="00A81971">
        <w:rPr>
          <w:rFonts w:eastAsia="Times New Roman"/>
          <w:color w:val="000000" w:themeColor="text1"/>
          <w:sz w:val="18"/>
          <w:szCs w:val="18"/>
        </w:rPr>
        <w:t xml:space="preserve"> (CE</w:t>
      </w:r>
      <w:r w:rsidR="002E67C2" w:rsidRPr="00A81971">
        <w:rPr>
          <w:rFonts w:eastAsia="Times New Roman"/>
          <w:color w:val="000000" w:themeColor="text1"/>
          <w:sz w:val="18"/>
          <w:szCs w:val="18"/>
        </w:rPr>
        <w:t xml:space="preserve">, </w:t>
      </w:r>
      <w:r w:rsidRPr="00A81971">
        <w:rPr>
          <w:rFonts w:eastAsia="Times New Roman"/>
          <w:color w:val="000000" w:themeColor="text1"/>
          <w:sz w:val="18"/>
          <w:szCs w:val="18"/>
        </w:rPr>
        <w:t>4.79</w:t>
      </w:r>
      <w:r w:rsidR="0071342F" w:rsidRPr="0071342F">
        <w:rPr>
          <w:rFonts w:eastAsia="Times New Roman"/>
          <w:color w:val="000000" w:themeColor="text1"/>
          <w:sz w:val="18"/>
          <w:szCs w:val="18"/>
        </w:rPr>
        <w:t xml:space="preserve"> </w:t>
      </w:r>
      <w:r w:rsidR="0071342F" w:rsidRPr="00A81971">
        <w:rPr>
          <w:rFonts w:eastAsia="Times New Roman"/>
          <w:color w:val="000000" w:themeColor="text1"/>
          <w:sz w:val="18"/>
          <w:szCs w:val="18"/>
        </w:rPr>
        <w:t>US$</w:t>
      </w:r>
      <w:r w:rsidR="0071342F">
        <w:rPr>
          <w:rFonts w:eastAsia="Times New Roman"/>
          <w:color w:val="000000" w:themeColor="text1"/>
          <w:sz w:val="18"/>
          <w:szCs w:val="18"/>
        </w:rPr>
        <w:t>/kg</w:t>
      </w:r>
      <w:r w:rsidRPr="00A81971">
        <w:rPr>
          <w:rFonts w:eastAsia="Times New Roman"/>
          <w:color w:val="000000" w:themeColor="text1"/>
          <w:sz w:val="18"/>
          <w:szCs w:val="18"/>
        </w:rPr>
        <w:t>), as in the RTF analysis document.</w:t>
      </w:r>
    </w:p>
    <w:p w14:paraId="383B53F8" w14:textId="77777777" w:rsidR="00793ABA" w:rsidRPr="00A81971" w:rsidRDefault="00793ABA" w:rsidP="060C4F7D">
      <w:pPr>
        <w:spacing w:after="240"/>
        <w:rPr>
          <w:rFonts w:eastAsia="Times New Roman"/>
          <w:b/>
          <w:bCs/>
          <w:color w:val="000000" w:themeColor="text1"/>
        </w:rPr>
      </w:pPr>
    </w:p>
    <w:p w14:paraId="5711179A" w14:textId="77777777" w:rsidR="00793ABA" w:rsidRPr="00A81971" w:rsidRDefault="0032495C" w:rsidP="006814F1">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t xml:space="preserve">Table </w:t>
      </w:r>
      <w:r>
        <w:rPr>
          <w:rFonts w:eastAsia="Yu Mincho"/>
          <w:b/>
          <w:bCs/>
          <w:color w:val="000000"/>
          <w:lang w:val="en-CA"/>
        </w:rPr>
        <w:t>A2.2:</w:t>
      </w:r>
      <w:r w:rsidRPr="0006445E">
        <w:rPr>
          <w:rFonts w:eastAsia="Times New Roman"/>
          <w:color w:val="000000"/>
          <w:lang w:val="en-CA"/>
        </w:rPr>
        <w:tab/>
      </w:r>
      <w:r w:rsidRPr="00A81971">
        <w:rPr>
          <w:rFonts w:eastAsia="Times New Roman"/>
          <w:b/>
          <w:bCs/>
          <w:color w:val="000000" w:themeColor="text1"/>
        </w:rPr>
        <w:t xml:space="preserve">2027 -2029 </w:t>
      </w:r>
      <w:r>
        <w:rPr>
          <w:rFonts w:eastAsia="Times New Roman"/>
          <w:b/>
          <w:bCs/>
          <w:color w:val="000000" w:themeColor="text1"/>
        </w:rPr>
        <w:t xml:space="preserve">updated funding estimates </w:t>
      </w:r>
      <w:r w:rsidRPr="00A81971">
        <w:rPr>
          <w:rFonts w:eastAsia="Times New Roman"/>
          <w:b/>
          <w:bCs/>
          <w:color w:val="000000" w:themeColor="text1"/>
        </w:rPr>
        <w:t xml:space="preserve">for </w:t>
      </w:r>
      <w:r w:rsidR="00BE6156">
        <w:rPr>
          <w:rFonts w:eastAsia="Times New Roman"/>
          <w:b/>
          <w:bCs/>
          <w:color w:val="000000" w:themeColor="text1"/>
        </w:rPr>
        <w:t>8</w:t>
      </w:r>
      <w:r w:rsidRPr="00A81971">
        <w:rPr>
          <w:rFonts w:eastAsia="Times New Roman"/>
          <w:b/>
          <w:bCs/>
          <w:color w:val="000000" w:themeColor="text1"/>
        </w:rPr>
        <w:t xml:space="preserve"> parties with remaining HCFC consumption in different sectors (US$ millions)</w:t>
      </w:r>
      <w:r w:rsidRPr="00A81971">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
        <w:gridCol w:w="1295"/>
        <w:gridCol w:w="1296"/>
        <w:gridCol w:w="1298"/>
        <w:gridCol w:w="1296"/>
        <w:gridCol w:w="1296"/>
        <w:gridCol w:w="1298"/>
      </w:tblGrid>
      <w:tr w:rsidR="00F90461" w14:paraId="0112106D" w14:textId="77777777" w:rsidTr="004E53CC">
        <w:trPr>
          <w:trHeight w:val="900"/>
          <w:jc w:val="center"/>
        </w:trPr>
        <w:tc>
          <w:tcPr>
            <w:tcW w:w="714" w:type="pct"/>
            <w:shd w:val="clear" w:color="auto" w:fill="D9E2F3" w:themeFill="accent1" w:themeFillTint="33"/>
            <w:tcMar>
              <w:left w:w="108" w:type="dxa"/>
              <w:right w:w="108" w:type="dxa"/>
            </w:tcMar>
            <w:vAlign w:val="bottom"/>
          </w:tcPr>
          <w:p w14:paraId="45C345DD" w14:textId="77777777" w:rsidR="00AA2CE6" w:rsidRPr="00A81971" w:rsidRDefault="0032495C" w:rsidP="00095CD7">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Estimated Funding</w:t>
            </w:r>
          </w:p>
          <w:p w14:paraId="6F5BFDBC" w14:textId="77777777" w:rsidR="00AA2CE6" w:rsidRPr="00A81971" w:rsidRDefault="0032495C" w:rsidP="00095CD7">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(in US$ million)</w:t>
            </w:r>
          </w:p>
        </w:tc>
        <w:tc>
          <w:tcPr>
            <w:tcW w:w="714" w:type="pct"/>
            <w:shd w:val="clear" w:color="auto" w:fill="D9E2F3" w:themeFill="accent1" w:themeFillTint="33"/>
            <w:tcMar>
              <w:left w:w="108" w:type="dxa"/>
              <w:right w:w="108" w:type="dxa"/>
            </w:tcMar>
            <w:vAlign w:val="center"/>
          </w:tcPr>
          <w:p w14:paraId="3721F5F5" w14:textId="77777777" w:rsidR="00AA2CE6"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XPS Foam</w:t>
            </w:r>
          </w:p>
        </w:tc>
        <w:tc>
          <w:tcPr>
            <w:tcW w:w="714" w:type="pct"/>
            <w:shd w:val="clear" w:color="auto" w:fill="D9E2F3" w:themeFill="accent1" w:themeFillTint="33"/>
            <w:tcMar>
              <w:left w:w="108" w:type="dxa"/>
              <w:right w:w="108" w:type="dxa"/>
            </w:tcMar>
            <w:vAlign w:val="center"/>
          </w:tcPr>
          <w:p w14:paraId="2CE577C5" w14:textId="77777777" w:rsidR="00AA2CE6"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ICR</w:t>
            </w:r>
          </w:p>
        </w:tc>
        <w:tc>
          <w:tcPr>
            <w:tcW w:w="715" w:type="pct"/>
            <w:shd w:val="clear" w:color="auto" w:fill="D9E2F3" w:themeFill="accent1" w:themeFillTint="33"/>
            <w:tcMar>
              <w:left w:w="108" w:type="dxa"/>
              <w:right w:w="108" w:type="dxa"/>
            </w:tcMar>
            <w:vAlign w:val="center"/>
          </w:tcPr>
          <w:p w14:paraId="7A308A25" w14:textId="77777777" w:rsidR="00AA2CE6"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Resid. AC</w:t>
            </w:r>
          </w:p>
        </w:tc>
        <w:tc>
          <w:tcPr>
            <w:tcW w:w="714" w:type="pct"/>
            <w:shd w:val="clear" w:color="auto" w:fill="D9E2F3" w:themeFill="accent1" w:themeFillTint="33"/>
            <w:tcMar>
              <w:left w:w="108" w:type="dxa"/>
              <w:right w:w="108" w:type="dxa"/>
            </w:tcMar>
            <w:vAlign w:val="center"/>
          </w:tcPr>
          <w:p w14:paraId="33309585" w14:textId="77777777" w:rsidR="00AA2CE6"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Servicing</w:t>
            </w:r>
          </w:p>
        </w:tc>
        <w:tc>
          <w:tcPr>
            <w:tcW w:w="714" w:type="pct"/>
            <w:shd w:val="clear" w:color="auto" w:fill="D9E2F3" w:themeFill="accent1" w:themeFillTint="33"/>
            <w:tcMar>
              <w:left w:w="108" w:type="dxa"/>
              <w:right w:w="108" w:type="dxa"/>
            </w:tcMar>
            <w:vAlign w:val="center"/>
          </w:tcPr>
          <w:p w14:paraId="69E4CE54" w14:textId="77777777" w:rsidR="00AA2CE6"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Total</w:t>
            </w:r>
          </w:p>
        </w:tc>
        <w:tc>
          <w:tcPr>
            <w:tcW w:w="715" w:type="pct"/>
            <w:shd w:val="clear" w:color="auto" w:fill="D9E2F3" w:themeFill="accent1" w:themeFillTint="33"/>
            <w:tcMar>
              <w:left w:w="108" w:type="dxa"/>
              <w:right w:w="108" w:type="dxa"/>
            </w:tcMar>
            <w:vAlign w:val="center"/>
          </w:tcPr>
          <w:p w14:paraId="09CC6381" w14:textId="77777777" w:rsidR="00AA2CE6" w:rsidRPr="00A81971" w:rsidRDefault="0032495C" w:rsidP="00C32A48">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 xml:space="preserve">Total (with 9.6% </w:t>
            </w:r>
            <w:r w:rsidR="00C32A48" w:rsidRPr="00A81971">
              <w:rPr>
                <w:rFonts w:eastAsia="Times New Roman"/>
                <w:b/>
                <w:bCs/>
                <w:color w:val="000000" w:themeColor="text1"/>
                <w:sz w:val="20"/>
                <w:szCs w:val="20"/>
              </w:rPr>
              <w:t>ASC</w:t>
            </w:r>
            <w:r w:rsidRPr="00A81971">
              <w:rPr>
                <w:rFonts w:eastAsia="Times New Roman"/>
                <w:b/>
                <w:bCs/>
                <w:color w:val="000000" w:themeColor="text1"/>
                <w:sz w:val="20"/>
                <w:szCs w:val="20"/>
              </w:rPr>
              <w:t>)</w:t>
            </w:r>
          </w:p>
        </w:tc>
      </w:tr>
      <w:tr w:rsidR="00F90461" w14:paraId="30CA1E80" w14:textId="77777777" w:rsidTr="004E53CC">
        <w:trPr>
          <w:trHeight w:val="270"/>
          <w:jc w:val="center"/>
        </w:trPr>
        <w:tc>
          <w:tcPr>
            <w:tcW w:w="714" w:type="pct"/>
            <w:tcMar>
              <w:left w:w="108" w:type="dxa"/>
              <w:right w:w="108" w:type="dxa"/>
            </w:tcMar>
          </w:tcPr>
          <w:p w14:paraId="2D0CE0CB" w14:textId="77777777" w:rsidR="00AA2CE6"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1 party (China)</w:t>
            </w:r>
          </w:p>
        </w:tc>
        <w:tc>
          <w:tcPr>
            <w:tcW w:w="714" w:type="pct"/>
            <w:tcMar>
              <w:left w:w="108" w:type="dxa"/>
              <w:right w:w="108" w:type="dxa"/>
            </w:tcMar>
            <w:vAlign w:val="center"/>
          </w:tcPr>
          <w:p w14:paraId="62189241"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w:t>
            </w:r>
          </w:p>
        </w:tc>
        <w:tc>
          <w:tcPr>
            <w:tcW w:w="714" w:type="pct"/>
            <w:tcMar>
              <w:left w:w="108" w:type="dxa"/>
              <w:right w:w="108" w:type="dxa"/>
            </w:tcMar>
            <w:vAlign w:val="center"/>
          </w:tcPr>
          <w:p w14:paraId="63AFAA08"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94.31</w:t>
            </w:r>
          </w:p>
        </w:tc>
        <w:tc>
          <w:tcPr>
            <w:tcW w:w="715" w:type="pct"/>
            <w:tcMar>
              <w:left w:w="108" w:type="dxa"/>
              <w:right w:w="108" w:type="dxa"/>
            </w:tcMar>
            <w:vAlign w:val="center"/>
          </w:tcPr>
          <w:p w14:paraId="651AD1F7"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66.10</w:t>
            </w:r>
          </w:p>
        </w:tc>
        <w:tc>
          <w:tcPr>
            <w:tcW w:w="714" w:type="pct"/>
            <w:tcMar>
              <w:left w:w="108" w:type="dxa"/>
              <w:right w:w="108" w:type="dxa"/>
            </w:tcMar>
            <w:vAlign w:val="center"/>
          </w:tcPr>
          <w:p w14:paraId="50F5E17F"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144.37</w:t>
            </w:r>
          </w:p>
        </w:tc>
        <w:tc>
          <w:tcPr>
            <w:tcW w:w="714" w:type="pct"/>
            <w:tcMar>
              <w:left w:w="108" w:type="dxa"/>
              <w:right w:w="108" w:type="dxa"/>
            </w:tcMar>
            <w:vAlign w:val="center"/>
          </w:tcPr>
          <w:p w14:paraId="03D8AD24"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304.79</w:t>
            </w:r>
          </w:p>
        </w:tc>
        <w:tc>
          <w:tcPr>
            <w:tcW w:w="715" w:type="pct"/>
            <w:tcMar>
              <w:left w:w="108" w:type="dxa"/>
              <w:right w:w="108" w:type="dxa"/>
            </w:tcMar>
            <w:vAlign w:val="center"/>
          </w:tcPr>
          <w:p w14:paraId="2A76F60D"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334.05</w:t>
            </w:r>
          </w:p>
        </w:tc>
      </w:tr>
      <w:tr w:rsidR="00F90461" w14:paraId="215AE3AF" w14:textId="77777777" w:rsidTr="004E53CC">
        <w:trPr>
          <w:trHeight w:val="345"/>
          <w:jc w:val="center"/>
        </w:trPr>
        <w:tc>
          <w:tcPr>
            <w:tcW w:w="714" w:type="pct"/>
            <w:tcMar>
              <w:left w:w="108" w:type="dxa"/>
              <w:right w:w="108" w:type="dxa"/>
            </w:tcMar>
          </w:tcPr>
          <w:p w14:paraId="5500DCCE" w14:textId="77777777" w:rsidR="00AA2CE6" w:rsidRPr="00A81971" w:rsidRDefault="0032495C" w:rsidP="457BD43E">
            <w:pPr>
              <w:spacing w:after="0" w:line="259" w:lineRule="auto"/>
              <w:rPr>
                <w:rFonts w:eastAsia="Times New Roman"/>
                <w:color w:val="000000" w:themeColor="text1"/>
                <w:sz w:val="20"/>
                <w:szCs w:val="20"/>
              </w:rPr>
            </w:pPr>
            <w:r w:rsidRPr="00A81971">
              <w:rPr>
                <w:rFonts w:eastAsia="Times New Roman"/>
                <w:color w:val="000000" w:themeColor="text1"/>
                <w:sz w:val="20"/>
                <w:szCs w:val="20"/>
              </w:rPr>
              <w:t>7 parties</w:t>
            </w:r>
          </w:p>
        </w:tc>
        <w:tc>
          <w:tcPr>
            <w:tcW w:w="714" w:type="pct"/>
            <w:tcMar>
              <w:left w:w="108" w:type="dxa"/>
              <w:right w:w="108" w:type="dxa"/>
            </w:tcMar>
            <w:vAlign w:val="center"/>
          </w:tcPr>
          <w:p w14:paraId="1D23AF8B"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0.10</w:t>
            </w:r>
          </w:p>
        </w:tc>
        <w:tc>
          <w:tcPr>
            <w:tcW w:w="714" w:type="pct"/>
            <w:tcMar>
              <w:left w:w="108" w:type="dxa"/>
              <w:right w:w="108" w:type="dxa"/>
            </w:tcMar>
            <w:vAlign w:val="center"/>
          </w:tcPr>
          <w:p w14:paraId="7D121FC4"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2.62</w:t>
            </w:r>
          </w:p>
        </w:tc>
        <w:tc>
          <w:tcPr>
            <w:tcW w:w="715" w:type="pct"/>
            <w:tcMar>
              <w:left w:w="108" w:type="dxa"/>
              <w:right w:w="108" w:type="dxa"/>
            </w:tcMar>
            <w:vAlign w:val="center"/>
          </w:tcPr>
          <w:p w14:paraId="3B598BDA" w14:textId="77777777" w:rsidR="00AA2CE6" w:rsidRPr="00A81971" w:rsidRDefault="0032495C" w:rsidP="0080120E">
            <w:pPr>
              <w:spacing w:after="0" w:line="259" w:lineRule="auto"/>
              <w:jc w:val="center"/>
              <w:rPr>
                <w:rFonts w:eastAsia="Times New Roman"/>
                <w:color w:val="000000" w:themeColor="text1"/>
                <w:sz w:val="20"/>
                <w:szCs w:val="20"/>
              </w:rPr>
            </w:pPr>
            <w:r w:rsidRPr="00A81971">
              <w:rPr>
                <w:rFonts w:eastAsia="Times New Roman"/>
                <w:color w:val="000000" w:themeColor="text1"/>
                <w:sz w:val="20"/>
                <w:szCs w:val="20"/>
              </w:rPr>
              <w:t>-</w:t>
            </w:r>
          </w:p>
        </w:tc>
        <w:tc>
          <w:tcPr>
            <w:tcW w:w="714" w:type="pct"/>
            <w:tcMar>
              <w:left w:w="108" w:type="dxa"/>
              <w:right w:w="108" w:type="dxa"/>
            </w:tcMar>
            <w:vAlign w:val="center"/>
          </w:tcPr>
          <w:p w14:paraId="75570887" w14:textId="77777777" w:rsidR="00AA2CE6" w:rsidRPr="00A81971" w:rsidRDefault="0032495C" w:rsidP="457BD43E">
            <w:pPr>
              <w:spacing w:after="0" w:line="259" w:lineRule="auto"/>
              <w:jc w:val="center"/>
              <w:rPr>
                <w:rFonts w:eastAsia="Times New Roman"/>
                <w:sz w:val="20"/>
                <w:szCs w:val="20"/>
              </w:rPr>
            </w:pPr>
            <w:r w:rsidRPr="00A81971">
              <w:rPr>
                <w:rFonts w:eastAsia="Times New Roman"/>
                <w:color w:val="000000" w:themeColor="text1"/>
                <w:sz w:val="20"/>
                <w:szCs w:val="20"/>
              </w:rPr>
              <w:t>16.09</w:t>
            </w:r>
          </w:p>
        </w:tc>
        <w:tc>
          <w:tcPr>
            <w:tcW w:w="714" w:type="pct"/>
            <w:tcMar>
              <w:left w:w="108" w:type="dxa"/>
              <w:right w:w="108" w:type="dxa"/>
            </w:tcMar>
            <w:vAlign w:val="center"/>
          </w:tcPr>
          <w:p w14:paraId="26EF172F" w14:textId="77777777" w:rsidR="00AA2CE6" w:rsidRPr="005F54B8" w:rsidRDefault="0032495C" w:rsidP="457BD43E">
            <w:pPr>
              <w:spacing w:after="0" w:line="259" w:lineRule="auto"/>
              <w:jc w:val="center"/>
              <w:rPr>
                <w:rFonts w:eastAsia="Times New Roman"/>
                <w:sz w:val="20"/>
                <w:szCs w:val="20"/>
              </w:rPr>
            </w:pPr>
            <w:r w:rsidRPr="005F54B8">
              <w:rPr>
                <w:rFonts w:eastAsia="Times New Roman"/>
                <w:color w:val="000000" w:themeColor="text1"/>
                <w:sz w:val="20"/>
                <w:szCs w:val="20"/>
              </w:rPr>
              <w:t>18.81</w:t>
            </w:r>
          </w:p>
        </w:tc>
        <w:tc>
          <w:tcPr>
            <w:tcW w:w="715" w:type="pct"/>
            <w:tcMar>
              <w:left w:w="108" w:type="dxa"/>
              <w:right w:w="108" w:type="dxa"/>
            </w:tcMar>
            <w:vAlign w:val="center"/>
          </w:tcPr>
          <w:p w14:paraId="3D592E88" w14:textId="77777777" w:rsidR="00AA2CE6" w:rsidRPr="005F54B8" w:rsidRDefault="0032495C" w:rsidP="457BD43E">
            <w:pPr>
              <w:spacing w:after="0" w:line="259" w:lineRule="auto"/>
              <w:jc w:val="center"/>
              <w:rPr>
                <w:rFonts w:eastAsia="Times New Roman"/>
                <w:sz w:val="20"/>
                <w:szCs w:val="20"/>
              </w:rPr>
            </w:pPr>
            <w:r w:rsidRPr="005F54B8">
              <w:rPr>
                <w:rFonts w:eastAsia="Times New Roman"/>
                <w:color w:val="000000" w:themeColor="text1"/>
                <w:sz w:val="20"/>
                <w:szCs w:val="20"/>
              </w:rPr>
              <w:t>20.61</w:t>
            </w:r>
          </w:p>
        </w:tc>
      </w:tr>
      <w:tr w:rsidR="00F90461" w14:paraId="6235BD19" w14:textId="77777777" w:rsidTr="004E53CC">
        <w:trPr>
          <w:trHeight w:val="345"/>
          <w:jc w:val="center"/>
        </w:trPr>
        <w:tc>
          <w:tcPr>
            <w:tcW w:w="714" w:type="pct"/>
            <w:tcMar>
              <w:left w:w="108" w:type="dxa"/>
              <w:right w:w="108" w:type="dxa"/>
            </w:tcMar>
          </w:tcPr>
          <w:p w14:paraId="36DD86F8" w14:textId="77777777" w:rsidR="00AA2CE6" w:rsidRPr="00A81971" w:rsidRDefault="0032495C" w:rsidP="457BD43E">
            <w:pPr>
              <w:spacing w:after="0" w:line="259" w:lineRule="auto"/>
              <w:rPr>
                <w:rFonts w:eastAsia="Times New Roman"/>
                <w:color w:val="000000" w:themeColor="text1"/>
                <w:sz w:val="20"/>
                <w:szCs w:val="20"/>
              </w:rPr>
            </w:pPr>
            <w:r w:rsidRPr="00A81971">
              <w:rPr>
                <w:rFonts w:eastAsia="Times New Roman"/>
                <w:color w:val="000000" w:themeColor="text1"/>
                <w:sz w:val="20"/>
                <w:szCs w:val="20"/>
              </w:rPr>
              <w:t>Total for 8 parties</w:t>
            </w:r>
          </w:p>
        </w:tc>
        <w:tc>
          <w:tcPr>
            <w:tcW w:w="714" w:type="pct"/>
            <w:tcMar>
              <w:left w:w="108" w:type="dxa"/>
              <w:right w:w="108" w:type="dxa"/>
            </w:tcMar>
            <w:vAlign w:val="center"/>
          </w:tcPr>
          <w:p w14:paraId="6B8F9C20"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0.10</w:t>
            </w:r>
          </w:p>
        </w:tc>
        <w:tc>
          <w:tcPr>
            <w:tcW w:w="714" w:type="pct"/>
            <w:tcMar>
              <w:left w:w="108" w:type="dxa"/>
              <w:right w:w="108" w:type="dxa"/>
            </w:tcMar>
            <w:vAlign w:val="center"/>
          </w:tcPr>
          <w:p w14:paraId="7F657520"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96.93</w:t>
            </w:r>
          </w:p>
        </w:tc>
        <w:tc>
          <w:tcPr>
            <w:tcW w:w="715" w:type="pct"/>
            <w:tcMar>
              <w:left w:w="108" w:type="dxa"/>
              <w:right w:w="108" w:type="dxa"/>
            </w:tcMar>
            <w:vAlign w:val="center"/>
          </w:tcPr>
          <w:p w14:paraId="724B566A"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66.10</w:t>
            </w:r>
          </w:p>
        </w:tc>
        <w:tc>
          <w:tcPr>
            <w:tcW w:w="714" w:type="pct"/>
            <w:tcMar>
              <w:left w:w="108" w:type="dxa"/>
              <w:right w:w="108" w:type="dxa"/>
            </w:tcMar>
            <w:vAlign w:val="center"/>
          </w:tcPr>
          <w:p w14:paraId="4F3F2235" w14:textId="77777777" w:rsidR="00AA2CE6" w:rsidRPr="00A81971" w:rsidRDefault="0032495C" w:rsidP="457BD43E">
            <w:pPr>
              <w:spacing w:after="0" w:line="259" w:lineRule="auto"/>
              <w:jc w:val="center"/>
              <w:rPr>
                <w:rFonts w:eastAsia="Times New Roman"/>
                <w:sz w:val="20"/>
                <w:szCs w:val="20"/>
              </w:rPr>
            </w:pPr>
            <w:r w:rsidRPr="00A81971">
              <w:rPr>
                <w:rFonts w:eastAsia="Times New Roman"/>
                <w:color w:val="000000" w:themeColor="text1"/>
                <w:sz w:val="20"/>
                <w:szCs w:val="20"/>
              </w:rPr>
              <w:t>160.46</w:t>
            </w:r>
          </w:p>
        </w:tc>
        <w:tc>
          <w:tcPr>
            <w:tcW w:w="714" w:type="pct"/>
            <w:tcMar>
              <w:left w:w="108" w:type="dxa"/>
              <w:right w:w="108" w:type="dxa"/>
            </w:tcMar>
            <w:vAlign w:val="center"/>
          </w:tcPr>
          <w:p w14:paraId="44103547" w14:textId="77777777" w:rsidR="00AA2CE6" w:rsidRPr="005F54B8" w:rsidRDefault="0032495C" w:rsidP="060C4F7D">
            <w:pPr>
              <w:spacing w:after="0"/>
              <w:jc w:val="center"/>
              <w:rPr>
                <w:rFonts w:eastAsia="Times New Roman"/>
                <w:color w:val="000000" w:themeColor="text1"/>
                <w:sz w:val="20"/>
                <w:szCs w:val="20"/>
              </w:rPr>
            </w:pPr>
            <w:r w:rsidRPr="005F54B8">
              <w:rPr>
                <w:rFonts w:eastAsia="Times New Roman"/>
                <w:color w:val="000000" w:themeColor="text1"/>
                <w:sz w:val="20"/>
                <w:szCs w:val="20"/>
              </w:rPr>
              <w:t>363.28</w:t>
            </w:r>
          </w:p>
        </w:tc>
        <w:tc>
          <w:tcPr>
            <w:tcW w:w="715" w:type="pct"/>
            <w:tcMar>
              <w:left w:w="108" w:type="dxa"/>
              <w:right w:w="108" w:type="dxa"/>
            </w:tcMar>
            <w:vAlign w:val="center"/>
          </w:tcPr>
          <w:p w14:paraId="3CD8BF75" w14:textId="77777777" w:rsidR="00AA2CE6" w:rsidRPr="005F54B8" w:rsidRDefault="0032495C" w:rsidP="060C4F7D">
            <w:pPr>
              <w:spacing w:after="0"/>
              <w:jc w:val="center"/>
              <w:rPr>
                <w:rFonts w:eastAsia="Times New Roman"/>
                <w:color w:val="000000" w:themeColor="text1"/>
                <w:sz w:val="20"/>
                <w:szCs w:val="20"/>
              </w:rPr>
            </w:pPr>
            <w:r w:rsidRPr="005F54B8">
              <w:rPr>
                <w:rFonts w:eastAsia="Times New Roman"/>
                <w:color w:val="000000" w:themeColor="text1"/>
                <w:sz w:val="20"/>
                <w:szCs w:val="20"/>
              </w:rPr>
              <w:t>398.15</w:t>
            </w:r>
          </w:p>
        </w:tc>
      </w:tr>
      <w:tr w:rsidR="00F90461" w14:paraId="5C0B6301" w14:textId="77777777" w:rsidTr="004E53CC">
        <w:trPr>
          <w:trHeight w:val="375"/>
          <w:jc w:val="center"/>
        </w:trPr>
        <w:tc>
          <w:tcPr>
            <w:tcW w:w="714" w:type="pct"/>
            <w:shd w:val="clear" w:color="auto" w:fill="B4C6E7" w:themeFill="accent1" w:themeFillTint="66"/>
            <w:tcMar>
              <w:left w:w="108" w:type="dxa"/>
              <w:right w:w="108" w:type="dxa"/>
            </w:tcMar>
          </w:tcPr>
          <w:p w14:paraId="42A460DE" w14:textId="77777777" w:rsidR="00AA2CE6"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Total with 15% deduction*</w:t>
            </w:r>
          </w:p>
        </w:tc>
        <w:tc>
          <w:tcPr>
            <w:tcW w:w="714" w:type="pct"/>
            <w:shd w:val="clear" w:color="auto" w:fill="B4C6E7" w:themeFill="accent1" w:themeFillTint="66"/>
            <w:tcMar>
              <w:left w:w="108" w:type="dxa"/>
              <w:right w:w="108" w:type="dxa"/>
            </w:tcMar>
            <w:vAlign w:val="center"/>
          </w:tcPr>
          <w:p w14:paraId="3724F6FF"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0.08</w:t>
            </w:r>
          </w:p>
        </w:tc>
        <w:tc>
          <w:tcPr>
            <w:tcW w:w="714" w:type="pct"/>
            <w:shd w:val="clear" w:color="auto" w:fill="B4C6E7" w:themeFill="accent1" w:themeFillTint="66"/>
            <w:tcMar>
              <w:left w:w="108" w:type="dxa"/>
              <w:right w:w="108" w:type="dxa"/>
            </w:tcMar>
            <w:vAlign w:val="center"/>
          </w:tcPr>
          <w:p w14:paraId="20246004"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82.39</w:t>
            </w:r>
          </w:p>
        </w:tc>
        <w:tc>
          <w:tcPr>
            <w:tcW w:w="715" w:type="pct"/>
            <w:shd w:val="clear" w:color="auto" w:fill="B4C6E7" w:themeFill="accent1" w:themeFillTint="66"/>
            <w:tcMar>
              <w:left w:w="108" w:type="dxa"/>
              <w:right w:w="108" w:type="dxa"/>
            </w:tcMar>
            <w:vAlign w:val="center"/>
          </w:tcPr>
          <w:p w14:paraId="2E8448F4" w14:textId="77777777" w:rsidR="00AA2CE6" w:rsidRPr="00A81971" w:rsidRDefault="0032495C" w:rsidP="060C4F7D">
            <w:pPr>
              <w:spacing w:after="0"/>
              <w:jc w:val="center"/>
              <w:rPr>
                <w:rFonts w:eastAsia="Times New Roman"/>
                <w:color w:val="000000" w:themeColor="text1"/>
                <w:sz w:val="20"/>
                <w:szCs w:val="20"/>
              </w:rPr>
            </w:pPr>
            <w:r w:rsidRPr="00A81971">
              <w:rPr>
                <w:rFonts w:eastAsia="Times New Roman"/>
                <w:color w:val="000000" w:themeColor="text1"/>
                <w:sz w:val="20"/>
                <w:szCs w:val="20"/>
              </w:rPr>
              <w:t>56.18</w:t>
            </w:r>
          </w:p>
        </w:tc>
        <w:tc>
          <w:tcPr>
            <w:tcW w:w="714" w:type="pct"/>
            <w:shd w:val="clear" w:color="auto" w:fill="B4C6E7" w:themeFill="accent1" w:themeFillTint="66"/>
            <w:tcMar>
              <w:left w:w="108" w:type="dxa"/>
              <w:right w:w="108" w:type="dxa"/>
            </w:tcMar>
            <w:vAlign w:val="center"/>
          </w:tcPr>
          <w:p w14:paraId="23EF87C4" w14:textId="77777777" w:rsidR="00AA2CE6" w:rsidRPr="00A81971" w:rsidRDefault="0032495C" w:rsidP="457BD43E">
            <w:pPr>
              <w:spacing w:after="0" w:line="259" w:lineRule="auto"/>
              <w:jc w:val="center"/>
              <w:rPr>
                <w:rFonts w:eastAsia="Times New Roman"/>
                <w:sz w:val="20"/>
                <w:szCs w:val="20"/>
              </w:rPr>
            </w:pPr>
            <w:r w:rsidRPr="00A81971">
              <w:rPr>
                <w:rFonts w:eastAsia="Times New Roman"/>
                <w:color w:val="000000" w:themeColor="text1"/>
                <w:sz w:val="20"/>
                <w:szCs w:val="20"/>
              </w:rPr>
              <w:t>160.46</w:t>
            </w:r>
          </w:p>
        </w:tc>
        <w:tc>
          <w:tcPr>
            <w:tcW w:w="714" w:type="pct"/>
            <w:shd w:val="clear" w:color="auto" w:fill="B4C6E7" w:themeFill="accent1" w:themeFillTint="66"/>
            <w:tcMar>
              <w:left w:w="108" w:type="dxa"/>
              <w:right w:w="108" w:type="dxa"/>
            </w:tcMar>
            <w:vAlign w:val="center"/>
          </w:tcPr>
          <w:p w14:paraId="37383CDA" w14:textId="77777777" w:rsidR="00AA2CE6" w:rsidRPr="00A81971" w:rsidRDefault="0032495C" w:rsidP="457BD43E">
            <w:pPr>
              <w:spacing w:after="0" w:line="259" w:lineRule="auto"/>
              <w:jc w:val="center"/>
              <w:rPr>
                <w:rFonts w:eastAsia="Times New Roman"/>
                <w:sz w:val="20"/>
                <w:szCs w:val="20"/>
              </w:rPr>
            </w:pPr>
            <w:r w:rsidRPr="00A81971">
              <w:rPr>
                <w:rFonts w:eastAsia="Times New Roman"/>
                <w:color w:val="000000" w:themeColor="text1"/>
                <w:sz w:val="20"/>
                <w:szCs w:val="20"/>
              </w:rPr>
              <w:t>299.12</w:t>
            </w:r>
          </w:p>
        </w:tc>
        <w:tc>
          <w:tcPr>
            <w:tcW w:w="715" w:type="pct"/>
            <w:shd w:val="clear" w:color="auto" w:fill="B4C6E7" w:themeFill="accent1" w:themeFillTint="66"/>
            <w:tcMar>
              <w:left w:w="108" w:type="dxa"/>
              <w:right w:w="108" w:type="dxa"/>
            </w:tcMar>
            <w:vAlign w:val="center"/>
          </w:tcPr>
          <w:p w14:paraId="03833816" w14:textId="77777777" w:rsidR="00AA2CE6" w:rsidRPr="00A81971" w:rsidRDefault="0032495C" w:rsidP="457BD43E">
            <w:pPr>
              <w:spacing w:after="0" w:line="259" w:lineRule="auto"/>
              <w:jc w:val="center"/>
              <w:rPr>
                <w:rFonts w:eastAsia="Times New Roman"/>
                <w:sz w:val="20"/>
                <w:szCs w:val="20"/>
              </w:rPr>
            </w:pPr>
            <w:r w:rsidRPr="00A81971">
              <w:rPr>
                <w:rFonts w:eastAsia="Times New Roman"/>
                <w:color w:val="000000" w:themeColor="text1"/>
                <w:sz w:val="20"/>
                <w:szCs w:val="20"/>
              </w:rPr>
              <w:t>327.84</w:t>
            </w:r>
          </w:p>
        </w:tc>
      </w:tr>
    </w:tbl>
    <w:p w14:paraId="3BE2145A" w14:textId="77777777" w:rsidR="00793ABA" w:rsidRPr="00A81971" w:rsidRDefault="0032495C" w:rsidP="060C4F7D">
      <w:pPr>
        <w:spacing w:after="240"/>
        <w:rPr>
          <w:rFonts w:eastAsia="Times New Roman"/>
          <w:color w:val="000000" w:themeColor="text1"/>
          <w:sz w:val="18"/>
          <w:szCs w:val="18"/>
        </w:rPr>
      </w:pPr>
      <w:r w:rsidRPr="00A81971">
        <w:rPr>
          <w:rFonts w:eastAsia="Times New Roman"/>
          <w:color w:val="000000" w:themeColor="text1"/>
          <w:sz w:val="18"/>
          <w:szCs w:val="18"/>
        </w:rPr>
        <w:t>* Includes 15% deduction for foreign ownership in manufacturing sectors</w:t>
      </w:r>
    </w:p>
    <w:p w14:paraId="6B338541" w14:textId="77777777" w:rsidR="00021155" w:rsidRPr="00A81971" w:rsidRDefault="0032495C" w:rsidP="457BD43E">
      <w:pPr>
        <w:tabs>
          <w:tab w:val="left" w:pos="720"/>
        </w:tabs>
        <w:spacing w:after="240" w:line="259" w:lineRule="auto"/>
        <w:rPr>
          <w:rFonts w:eastAsia="Times New Roman"/>
          <w:color w:val="000000" w:themeColor="text1"/>
        </w:rPr>
      </w:pPr>
      <w:r w:rsidRPr="00A81971">
        <w:rPr>
          <w:rFonts w:eastAsia="Times New Roman"/>
          <w:color w:val="000000" w:themeColor="text1"/>
        </w:rPr>
        <w:t xml:space="preserve">PMUs are not included in the total funding presented </w:t>
      </w:r>
      <w:r w:rsidRPr="00095CD7">
        <w:rPr>
          <w:rFonts w:eastAsia="Times New Roman"/>
          <w:color w:val="000000" w:themeColor="text1"/>
        </w:rPr>
        <w:t>in Table A</w:t>
      </w:r>
      <w:r w:rsidR="001E7A40" w:rsidRPr="00095CD7">
        <w:rPr>
          <w:rFonts w:eastAsia="Times New Roman"/>
          <w:color w:val="000000" w:themeColor="text1"/>
        </w:rPr>
        <w:t>2</w:t>
      </w:r>
      <w:r w:rsidRPr="00095CD7">
        <w:rPr>
          <w:rFonts w:eastAsia="Times New Roman"/>
          <w:color w:val="000000" w:themeColor="text1"/>
        </w:rPr>
        <w:t>.2.</w:t>
      </w:r>
      <w:r w:rsidRPr="00A81971">
        <w:rPr>
          <w:rFonts w:eastAsia="Times New Roman"/>
          <w:color w:val="000000" w:themeColor="text1"/>
        </w:rPr>
        <w:t xml:space="preserve"> PMUs, including the 9.6% Agency Support Costs (ASC), represent an additional US$ 16.47 million.</w:t>
      </w:r>
    </w:p>
    <w:p w14:paraId="328BF02C" w14:textId="77777777" w:rsidR="00793ABA" w:rsidRPr="00A81971" w:rsidRDefault="0032495C" w:rsidP="457BD43E">
      <w:pPr>
        <w:tabs>
          <w:tab w:val="left" w:pos="720"/>
        </w:tabs>
        <w:spacing w:after="240" w:line="259" w:lineRule="auto"/>
        <w:rPr>
          <w:rFonts w:eastAsia="Times New Roman"/>
          <w:color w:val="000000" w:themeColor="text1"/>
        </w:rPr>
      </w:pPr>
      <w:r w:rsidRPr="00A81971">
        <w:rPr>
          <w:rFonts w:eastAsia="Times New Roman"/>
          <w:b/>
          <w:bCs/>
          <w:color w:val="000000" w:themeColor="text1"/>
        </w:rPr>
        <w:t xml:space="preserve">Estimated Funding for </w:t>
      </w:r>
      <w:r w:rsidR="457BD43E" w:rsidRPr="00A81971">
        <w:rPr>
          <w:rFonts w:eastAsia="Times New Roman"/>
          <w:b/>
          <w:bCs/>
          <w:color w:val="000000" w:themeColor="text1"/>
        </w:rPr>
        <w:t>8</w:t>
      </w:r>
      <w:r w:rsidRPr="00A81971">
        <w:rPr>
          <w:rFonts w:eastAsia="Times New Roman"/>
          <w:b/>
          <w:bCs/>
          <w:color w:val="000000" w:themeColor="text1"/>
        </w:rPr>
        <w:t xml:space="preserve"> Non-LVC Parties: </w:t>
      </w:r>
      <w:r w:rsidRPr="00A81971">
        <w:rPr>
          <w:rFonts w:eastAsia="Times New Roman"/>
          <w:b/>
          <w:bCs/>
          <w:color w:val="000000" w:themeColor="text1"/>
          <w:u w:val="single"/>
        </w:rPr>
        <w:t>HCFC Scenario 2</w:t>
      </w:r>
      <w:r w:rsidRPr="00A81971">
        <w:rPr>
          <w:rFonts w:eastAsia="Times New Roman"/>
          <w:color w:val="000000" w:themeColor="text1"/>
        </w:rPr>
        <w:t xml:space="preserve"> - Using </w:t>
      </w:r>
      <w:r w:rsidR="002E3923" w:rsidRPr="00A81971">
        <w:rPr>
          <w:rFonts w:eastAsia="Times New Roman"/>
          <w:color w:val="000000" w:themeColor="text1"/>
        </w:rPr>
        <w:t xml:space="preserve">the </w:t>
      </w:r>
      <w:r w:rsidRPr="00A81971">
        <w:rPr>
          <w:rFonts w:eastAsia="Times New Roman"/>
          <w:color w:val="000000" w:themeColor="text1"/>
        </w:rPr>
        <w:t xml:space="preserve">CE values </w:t>
      </w:r>
      <w:r w:rsidR="00CB21F1" w:rsidRPr="00A81971">
        <w:rPr>
          <w:rFonts w:eastAsia="Times New Roman"/>
          <w:color w:val="000000" w:themeColor="text1"/>
        </w:rPr>
        <w:t xml:space="preserve">specified </w:t>
      </w:r>
      <w:r w:rsidRPr="00A81971">
        <w:rPr>
          <w:rFonts w:eastAsia="Times New Roman"/>
          <w:color w:val="000000" w:themeColor="text1"/>
        </w:rPr>
        <w:t xml:space="preserve">in </w:t>
      </w:r>
      <w:r w:rsidR="00FE4632" w:rsidRPr="00A81971">
        <w:rPr>
          <w:rFonts w:eastAsia="Times New Roman"/>
          <w:color w:val="000000" w:themeColor="text1"/>
        </w:rPr>
        <w:t xml:space="preserve">the </w:t>
      </w:r>
      <w:r w:rsidRPr="00A81971">
        <w:rPr>
          <w:rFonts w:eastAsia="Times New Roman"/>
          <w:color w:val="000000" w:themeColor="text1"/>
          <w:u w:val="single"/>
        </w:rPr>
        <w:t>cost guidelines</w:t>
      </w:r>
      <w:r w:rsidR="00FE4632" w:rsidRPr="00A81971">
        <w:rPr>
          <w:rFonts w:eastAsia="Times New Roman"/>
          <w:color w:val="000000" w:themeColor="text1"/>
          <w:u w:val="single"/>
        </w:rPr>
        <w:t>,</w:t>
      </w:r>
      <w:r w:rsidRPr="00A81971">
        <w:rPr>
          <w:rFonts w:eastAsia="Times New Roman"/>
          <w:color w:val="000000" w:themeColor="text1"/>
        </w:rPr>
        <w:t xml:space="preserve"> </w:t>
      </w:r>
      <w:r w:rsidR="00DD795A" w:rsidRPr="00A81971">
        <w:rPr>
          <w:rFonts w:eastAsia="Times New Roman"/>
          <w:color w:val="000000" w:themeColor="text1"/>
        </w:rPr>
        <w:t xml:space="preserve">and CE values </w:t>
      </w:r>
      <w:r w:rsidR="00337BEC" w:rsidRPr="00A81971">
        <w:rPr>
          <w:rFonts w:eastAsia="Times New Roman"/>
          <w:color w:val="000000" w:themeColor="text1"/>
        </w:rPr>
        <w:t xml:space="preserve">provided by RTF </w:t>
      </w:r>
      <w:r w:rsidR="00003639" w:rsidRPr="00A81971">
        <w:rPr>
          <w:rFonts w:eastAsia="Times New Roman"/>
          <w:color w:val="000000" w:themeColor="text1"/>
        </w:rPr>
        <w:t xml:space="preserve">to fill gaps </w:t>
      </w:r>
      <w:r w:rsidR="00765F8E" w:rsidRPr="00A81971">
        <w:rPr>
          <w:rFonts w:eastAsia="Times New Roman"/>
          <w:color w:val="000000" w:themeColor="text1"/>
        </w:rPr>
        <w:t>for certain</w:t>
      </w:r>
      <w:r w:rsidRPr="00A81971">
        <w:rPr>
          <w:rFonts w:eastAsia="Times New Roman"/>
          <w:color w:val="000000" w:themeColor="text1"/>
        </w:rPr>
        <w:t xml:space="preserve"> case-by-case sectors, RTF calculated new funding estimates for </w:t>
      </w:r>
      <w:r w:rsidR="0065699C" w:rsidRPr="00A81971">
        <w:rPr>
          <w:rFonts w:eastAsia="Times New Roman"/>
          <w:color w:val="000000" w:themeColor="text1"/>
        </w:rPr>
        <w:t>the</w:t>
      </w:r>
      <w:r w:rsidRPr="00A81971">
        <w:rPr>
          <w:rFonts w:eastAsia="Times New Roman"/>
          <w:color w:val="000000" w:themeColor="text1"/>
        </w:rPr>
        <w:t xml:space="preserve"> </w:t>
      </w:r>
      <w:r w:rsidR="457BD43E" w:rsidRPr="00A81971">
        <w:rPr>
          <w:rFonts w:eastAsia="Times New Roman"/>
          <w:b/>
          <w:bCs/>
          <w:color w:val="000000" w:themeColor="text1"/>
        </w:rPr>
        <w:t>8</w:t>
      </w:r>
      <w:r w:rsidRPr="00A81971">
        <w:rPr>
          <w:rFonts w:eastAsia="Times New Roman"/>
          <w:color w:val="000000" w:themeColor="text1"/>
        </w:rPr>
        <w:t xml:space="preserve"> parties under </w:t>
      </w:r>
      <w:r w:rsidRPr="00A81971">
        <w:rPr>
          <w:rFonts w:eastAsia="Times New Roman"/>
          <w:b/>
          <w:bCs/>
          <w:color w:val="000000" w:themeColor="text1"/>
        </w:rPr>
        <w:t xml:space="preserve">Output 5 </w:t>
      </w:r>
      <w:r w:rsidRPr="00A81971">
        <w:rPr>
          <w:rFonts w:eastAsia="Times New Roman"/>
          <w:color w:val="000000" w:themeColor="text1"/>
        </w:rPr>
        <w:t>in Figure A1.3.</w:t>
      </w:r>
    </w:p>
    <w:p w14:paraId="3D898EA4" w14:textId="77777777" w:rsidR="00793ABA" w:rsidRPr="00A81971" w:rsidRDefault="0032495C" w:rsidP="060C4F7D">
      <w:pPr>
        <w:spacing w:after="240"/>
        <w:rPr>
          <w:rFonts w:eastAsia="Times New Roman"/>
          <w:color w:val="000000" w:themeColor="text1"/>
        </w:rPr>
      </w:pPr>
      <w:r w:rsidRPr="00A81971">
        <w:rPr>
          <w:rFonts w:eastAsia="Times New Roman"/>
          <w:color w:val="000000" w:themeColor="text1"/>
        </w:rPr>
        <w:t xml:space="preserve">Upon the </w:t>
      </w:r>
      <w:r w:rsidR="060C4F7D" w:rsidRPr="00A81971">
        <w:rPr>
          <w:rFonts w:eastAsia="Times New Roman"/>
          <w:color w:val="000000" w:themeColor="text1"/>
        </w:rPr>
        <w:t xml:space="preserve">ExCom cost guidelines, </w:t>
      </w:r>
      <w:r w:rsidR="009040BD" w:rsidRPr="00A81971">
        <w:rPr>
          <w:rFonts w:eastAsia="Times New Roman"/>
          <w:color w:val="000000" w:themeColor="text1"/>
        </w:rPr>
        <w:t xml:space="preserve">CE values are defined for the </w:t>
      </w:r>
      <w:r w:rsidR="060C4F7D" w:rsidRPr="00A81971">
        <w:rPr>
          <w:rFonts w:eastAsia="Times New Roman"/>
          <w:color w:val="000000" w:themeColor="text1"/>
        </w:rPr>
        <w:t>domestic refrigeration (PU panel), foam</w:t>
      </w:r>
      <w:r w:rsidR="009040BD" w:rsidRPr="00A81971">
        <w:rPr>
          <w:rFonts w:eastAsia="Times New Roman"/>
          <w:color w:val="000000" w:themeColor="text1"/>
        </w:rPr>
        <w:t>,</w:t>
      </w:r>
      <w:r w:rsidR="060C4F7D" w:rsidRPr="00A81971">
        <w:rPr>
          <w:rFonts w:eastAsia="Times New Roman"/>
          <w:color w:val="000000" w:themeColor="text1"/>
        </w:rPr>
        <w:t xml:space="preserve"> and commercial refrigeration sectors. Other sectors, such as fire extinguishing, domestic AC manufacturing (room AC </w:t>
      </w:r>
      <w:r w:rsidR="00997B53" w:rsidRPr="00A81971">
        <w:rPr>
          <w:rFonts w:eastAsia="Times New Roman"/>
          <w:color w:val="000000" w:themeColor="text1"/>
        </w:rPr>
        <w:t xml:space="preserve">and </w:t>
      </w:r>
      <w:r w:rsidR="060C4F7D" w:rsidRPr="00A81971">
        <w:rPr>
          <w:rFonts w:eastAsia="Times New Roman"/>
          <w:color w:val="000000" w:themeColor="text1"/>
        </w:rPr>
        <w:t>domestic heat pumps)</w:t>
      </w:r>
      <w:r w:rsidR="00997B53" w:rsidRPr="00A81971">
        <w:rPr>
          <w:rFonts w:eastAsia="Times New Roman"/>
          <w:color w:val="000000" w:themeColor="text1"/>
        </w:rPr>
        <w:t>,</w:t>
      </w:r>
      <w:r w:rsidR="060C4F7D" w:rsidRPr="00A81971">
        <w:rPr>
          <w:rFonts w:eastAsia="Times New Roman"/>
          <w:color w:val="000000" w:themeColor="text1"/>
        </w:rPr>
        <w:t xml:space="preserve"> and other refrigeration and AC manufacturing (heat pumps, transport, chillers, </w:t>
      </w:r>
      <w:r w:rsidR="00545933" w:rsidRPr="00A81971">
        <w:rPr>
          <w:rFonts w:eastAsia="Times New Roman"/>
          <w:color w:val="000000" w:themeColor="text1"/>
        </w:rPr>
        <w:t xml:space="preserve">and </w:t>
      </w:r>
      <w:r w:rsidR="060C4F7D" w:rsidRPr="00A81971">
        <w:rPr>
          <w:rFonts w:eastAsia="Times New Roman"/>
          <w:color w:val="000000" w:themeColor="text1"/>
        </w:rPr>
        <w:t>industrial</w:t>
      </w:r>
      <w:r w:rsidR="00545933" w:rsidRPr="00A81971">
        <w:rPr>
          <w:rFonts w:eastAsia="Times New Roman"/>
          <w:color w:val="000000" w:themeColor="text1"/>
        </w:rPr>
        <w:t xml:space="preserve"> applications</w:t>
      </w:r>
      <w:r w:rsidR="060C4F7D" w:rsidRPr="00A81971">
        <w:rPr>
          <w:rFonts w:eastAsia="Times New Roman"/>
          <w:color w:val="000000" w:themeColor="text1"/>
        </w:rPr>
        <w:t>)</w:t>
      </w:r>
      <w:r w:rsidR="00F35E34" w:rsidRPr="00A81971">
        <w:rPr>
          <w:rFonts w:eastAsia="Times New Roman"/>
          <w:color w:val="000000" w:themeColor="text1"/>
        </w:rPr>
        <w:t>,</w:t>
      </w:r>
      <w:r w:rsidR="060C4F7D" w:rsidRPr="00A81971">
        <w:rPr>
          <w:rFonts w:eastAsia="Times New Roman"/>
          <w:color w:val="000000" w:themeColor="text1"/>
        </w:rPr>
        <w:t xml:space="preserve"> are funded based on CE</w:t>
      </w:r>
      <w:r w:rsidR="00F35E34" w:rsidRPr="00A81971">
        <w:rPr>
          <w:rFonts w:eastAsia="Times New Roman"/>
          <w:color w:val="000000" w:themeColor="text1"/>
        </w:rPr>
        <w:t xml:space="preserve"> value</w:t>
      </w:r>
      <w:r w:rsidR="060C4F7D" w:rsidRPr="00A81971">
        <w:rPr>
          <w:rFonts w:eastAsia="Times New Roman"/>
          <w:color w:val="000000" w:themeColor="text1"/>
        </w:rPr>
        <w:t>s de</w:t>
      </w:r>
      <w:r w:rsidR="0078564A" w:rsidRPr="00A81971">
        <w:rPr>
          <w:rFonts w:eastAsia="Times New Roman"/>
          <w:color w:val="000000" w:themeColor="text1"/>
        </w:rPr>
        <w:t>termi</w:t>
      </w:r>
      <w:r w:rsidR="060C4F7D" w:rsidRPr="00A81971">
        <w:rPr>
          <w:rFonts w:eastAsia="Times New Roman"/>
          <w:color w:val="000000" w:themeColor="text1"/>
        </w:rPr>
        <w:t>ned on a case-by-case basis. For th</w:t>
      </w:r>
      <w:r w:rsidR="001E36D8" w:rsidRPr="00A81971">
        <w:rPr>
          <w:rFonts w:eastAsia="Times New Roman"/>
          <w:color w:val="000000" w:themeColor="text1"/>
        </w:rPr>
        <w:t>e</w:t>
      </w:r>
      <w:r w:rsidR="060C4F7D" w:rsidRPr="00A81971">
        <w:rPr>
          <w:rFonts w:eastAsia="Times New Roman"/>
          <w:color w:val="000000" w:themeColor="text1"/>
        </w:rPr>
        <w:t xml:space="preserve">se </w:t>
      </w:r>
      <w:r w:rsidR="001E36D8" w:rsidRPr="00A81971">
        <w:rPr>
          <w:rFonts w:eastAsia="Times New Roman"/>
          <w:color w:val="000000" w:themeColor="text1"/>
        </w:rPr>
        <w:t>sectors</w:t>
      </w:r>
      <w:r w:rsidR="060C4F7D" w:rsidRPr="00A81971">
        <w:rPr>
          <w:rFonts w:eastAsia="Times New Roman"/>
          <w:color w:val="000000" w:themeColor="text1"/>
        </w:rPr>
        <w:t xml:space="preserve">, RTF used </w:t>
      </w:r>
      <w:r w:rsidR="00251602" w:rsidRPr="00A81971">
        <w:rPr>
          <w:rFonts w:eastAsia="Times New Roman"/>
          <w:color w:val="000000" w:themeColor="text1"/>
        </w:rPr>
        <w:t xml:space="preserve">CE values </w:t>
      </w:r>
      <w:r w:rsidR="060C4F7D" w:rsidRPr="00A81971">
        <w:rPr>
          <w:rFonts w:eastAsia="Times New Roman"/>
          <w:color w:val="000000" w:themeColor="text1"/>
        </w:rPr>
        <w:t xml:space="preserve">suggested by TEAP/TOC/RTF expert members to fill gaps </w:t>
      </w:r>
      <w:r w:rsidR="0051120D" w:rsidRPr="00A81971">
        <w:rPr>
          <w:rFonts w:eastAsia="Times New Roman"/>
          <w:color w:val="000000" w:themeColor="text1"/>
        </w:rPr>
        <w:t xml:space="preserve">where </w:t>
      </w:r>
      <w:r w:rsidR="060C4F7D" w:rsidRPr="00A81971">
        <w:rPr>
          <w:rFonts w:eastAsia="Times New Roman"/>
          <w:color w:val="000000" w:themeColor="text1"/>
        </w:rPr>
        <w:t>CE</w:t>
      </w:r>
      <w:r w:rsidR="0051120D" w:rsidRPr="00A81971">
        <w:rPr>
          <w:rFonts w:eastAsia="Times New Roman"/>
          <w:color w:val="000000" w:themeColor="text1"/>
        </w:rPr>
        <w:t xml:space="preserve"> value</w:t>
      </w:r>
      <w:r w:rsidR="060C4F7D" w:rsidRPr="00A81971">
        <w:rPr>
          <w:rFonts w:eastAsia="Times New Roman"/>
          <w:color w:val="000000" w:themeColor="text1"/>
        </w:rPr>
        <w:t xml:space="preserve">s </w:t>
      </w:r>
      <w:r w:rsidR="00F22DEA" w:rsidRPr="00A81971">
        <w:rPr>
          <w:rFonts w:eastAsia="Times New Roman"/>
          <w:color w:val="000000" w:themeColor="text1"/>
        </w:rPr>
        <w:t>are not specified</w:t>
      </w:r>
      <w:r w:rsidR="060C4F7D" w:rsidRPr="00A81971">
        <w:rPr>
          <w:rFonts w:eastAsia="Times New Roman"/>
          <w:color w:val="000000" w:themeColor="text1"/>
        </w:rPr>
        <w:t xml:space="preserve"> in </w:t>
      </w:r>
      <w:r w:rsidR="000B74AE" w:rsidRPr="00A81971">
        <w:rPr>
          <w:rFonts w:eastAsia="Times New Roman"/>
          <w:color w:val="000000" w:themeColor="text1"/>
        </w:rPr>
        <w:t xml:space="preserve">the </w:t>
      </w:r>
      <w:r w:rsidR="060C4F7D" w:rsidRPr="00A81971">
        <w:rPr>
          <w:rFonts w:eastAsia="Times New Roman"/>
          <w:color w:val="000000" w:themeColor="text1"/>
        </w:rPr>
        <w:t xml:space="preserve">cost guidelines. </w:t>
      </w:r>
      <w:r w:rsidR="060C4F7D" w:rsidRPr="00A81971">
        <w:rPr>
          <w:rFonts w:eastAsia="Times New Roman"/>
          <w:color w:val="000000" w:themeColor="text1"/>
        </w:rPr>
        <w:lastRenderedPageBreak/>
        <w:t xml:space="preserve">Manufacturing sectors with </w:t>
      </w:r>
      <w:r w:rsidR="000B74AE" w:rsidRPr="00A81971">
        <w:rPr>
          <w:rFonts w:eastAsia="Times New Roman"/>
          <w:color w:val="000000" w:themeColor="text1"/>
        </w:rPr>
        <w:t xml:space="preserve">no </w:t>
      </w:r>
      <w:r w:rsidR="060C4F7D" w:rsidRPr="00A81971">
        <w:rPr>
          <w:rFonts w:eastAsia="Times New Roman"/>
          <w:color w:val="000000" w:themeColor="text1"/>
        </w:rPr>
        <w:t xml:space="preserve">remaining eligible consumption were disregarded. The CE values applied </w:t>
      </w:r>
      <w:r w:rsidR="000B74AE" w:rsidRPr="00A81971">
        <w:rPr>
          <w:rFonts w:eastAsia="Times New Roman"/>
          <w:color w:val="000000" w:themeColor="text1"/>
        </w:rPr>
        <w:t xml:space="preserve">under </w:t>
      </w:r>
      <w:r w:rsidR="060C4F7D" w:rsidRPr="00A81971">
        <w:rPr>
          <w:rFonts w:eastAsia="Times New Roman"/>
          <w:color w:val="000000" w:themeColor="text1"/>
        </w:rPr>
        <w:t xml:space="preserve">scenario 2 are </w:t>
      </w:r>
      <w:r w:rsidR="000B74AE" w:rsidRPr="00A81971">
        <w:rPr>
          <w:rFonts w:eastAsia="Times New Roman"/>
          <w:color w:val="000000" w:themeColor="text1"/>
        </w:rPr>
        <w:t xml:space="preserve">presented </w:t>
      </w:r>
      <w:r w:rsidR="060C4F7D" w:rsidRPr="00A81971">
        <w:rPr>
          <w:rFonts w:eastAsia="Times New Roman"/>
          <w:color w:val="000000" w:themeColor="text1"/>
        </w:rPr>
        <w:t>in Table A</w:t>
      </w:r>
      <w:r w:rsidR="000B74AE" w:rsidRPr="00A81971">
        <w:rPr>
          <w:rFonts w:eastAsia="Times New Roman"/>
          <w:color w:val="000000" w:themeColor="text1"/>
        </w:rPr>
        <w:t>2</w:t>
      </w:r>
      <w:r w:rsidR="060C4F7D" w:rsidRPr="00A81971">
        <w:rPr>
          <w:rFonts w:eastAsia="Times New Roman"/>
          <w:color w:val="000000" w:themeColor="text1"/>
        </w:rPr>
        <w:t xml:space="preserve">.3 below. </w:t>
      </w:r>
    </w:p>
    <w:p w14:paraId="61320E6E" w14:textId="77777777" w:rsidR="00793ABA" w:rsidRPr="00A81971" w:rsidRDefault="0032495C" w:rsidP="00837C71">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t xml:space="preserve">Table </w:t>
      </w:r>
      <w:r>
        <w:rPr>
          <w:rFonts w:eastAsia="Yu Mincho"/>
          <w:b/>
          <w:bCs/>
          <w:color w:val="000000"/>
          <w:lang w:val="en-CA"/>
        </w:rPr>
        <w:t>A2.3:</w:t>
      </w:r>
      <w:r w:rsidRPr="0006445E">
        <w:rPr>
          <w:rFonts w:eastAsia="Times New Roman"/>
          <w:color w:val="000000"/>
          <w:lang w:val="en-CA"/>
        </w:rPr>
        <w:tab/>
      </w:r>
      <w:r w:rsidRPr="00A81971">
        <w:rPr>
          <w:rFonts w:eastAsia="Times New Roman"/>
          <w:b/>
          <w:bCs/>
          <w:color w:val="000000" w:themeColor="text1"/>
        </w:rPr>
        <w:t>Cost Guidelines/ RTF CEs applied to Manufacturing Sectors for HCFC Scenario 2 (US$/kg)</w:t>
      </w:r>
      <w:r w:rsidRPr="00A81971">
        <w:tab/>
      </w:r>
    </w:p>
    <w:tbl>
      <w:tblPr>
        <w:tblStyle w:val="TableGrid"/>
        <w:tblW w:w="5000" w:type="pct"/>
        <w:jc w:val="center"/>
        <w:tblLook w:val="04A0" w:firstRow="1" w:lastRow="0" w:firstColumn="1" w:lastColumn="0" w:noHBand="0" w:noVBand="1"/>
      </w:tblPr>
      <w:tblGrid>
        <w:gridCol w:w="1153"/>
        <w:gridCol w:w="717"/>
        <w:gridCol w:w="717"/>
        <w:gridCol w:w="766"/>
        <w:gridCol w:w="851"/>
        <w:gridCol w:w="1399"/>
        <w:gridCol w:w="1192"/>
        <w:gridCol w:w="1216"/>
        <w:gridCol w:w="1063"/>
      </w:tblGrid>
      <w:tr w:rsidR="00F90461" w14:paraId="77600473" w14:textId="77777777" w:rsidTr="004E53CC">
        <w:trPr>
          <w:trHeight w:val="300"/>
          <w:jc w:val="center"/>
        </w:trPr>
        <w:tc>
          <w:tcPr>
            <w:tcW w:w="635" w:type="pct"/>
            <w:shd w:val="clear" w:color="auto" w:fill="D9E2F3" w:themeFill="accent1" w:themeFillTint="33"/>
            <w:tcMar>
              <w:left w:w="108" w:type="dxa"/>
              <w:right w:w="108" w:type="dxa"/>
            </w:tcMar>
          </w:tcPr>
          <w:p w14:paraId="58607E88" w14:textId="77777777" w:rsidR="00BC22C2" w:rsidRPr="00095CD7" w:rsidRDefault="0032495C" w:rsidP="060C4F7D">
            <w:pPr>
              <w:spacing w:after="240"/>
              <w:jc w:val="both"/>
              <w:rPr>
                <w:rFonts w:eastAsia="Times New Roman"/>
                <w:b/>
                <w:bCs/>
                <w:color w:val="000000" w:themeColor="text1"/>
                <w:sz w:val="20"/>
                <w:szCs w:val="20"/>
              </w:rPr>
            </w:pPr>
            <w:r w:rsidRPr="00095CD7">
              <w:rPr>
                <w:rFonts w:eastAsia="Times New Roman"/>
                <w:b/>
                <w:bCs/>
                <w:color w:val="000000" w:themeColor="text1"/>
                <w:sz w:val="20"/>
                <w:szCs w:val="20"/>
              </w:rPr>
              <w:t>HCFC</w:t>
            </w:r>
          </w:p>
          <w:p w14:paraId="08E308D1" w14:textId="77777777" w:rsidR="00BC22C2" w:rsidRPr="00095CD7" w:rsidRDefault="0032495C" w:rsidP="060C4F7D">
            <w:pPr>
              <w:spacing w:after="240"/>
              <w:jc w:val="both"/>
              <w:rPr>
                <w:rFonts w:eastAsia="Times New Roman"/>
                <w:b/>
                <w:bCs/>
                <w:color w:val="000000" w:themeColor="text1"/>
                <w:sz w:val="20"/>
                <w:szCs w:val="20"/>
              </w:rPr>
            </w:pPr>
            <w:r w:rsidRPr="00095CD7">
              <w:rPr>
                <w:rFonts w:eastAsia="Times New Roman"/>
                <w:b/>
                <w:bCs/>
                <w:color w:val="000000" w:themeColor="text1"/>
                <w:sz w:val="20"/>
                <w:szCs w:val="20"/>
              </w:rPr>
              <w:t>Sector</w:t>
            </w:r>
          </w:p>
        </w:tc>
        <w:tc>
          <w:tcPr>
            <w:tcW w:w="395" w:type="pct"/>
            <w:shd w:val="clear" w:color="auto" w:fill="D9E2F3" w:themeFill="accent1" w:themeFillTint="33"/>
            <w:tcMar>
              <w:left w:w="108" w:type="dxa"/>
              <w:right w:w="108" w:type="dxa"/>
            </w:tcMar>
            <w:vAlign w:val="center"/>
          </w:tcPr>
          <w:p w14:paraId="08D5F280"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XPS Foam</w:t>
            </w:r>
          </w:p>
        </w:tc>
        <w:tc>
          <w:tcPr>
            <w:tcW w:w="395" w:type="pct"/>
            <w:shd w:val="clear" w:color="auto" w:fill="D9E2F3" w:themeFill="accent1" w:themeFillTint="33"/>
            <w:tcMar>
              <w:left w:w="108" w:type="dxa"/>
              <w:right w:w="108" w:type="dxa"/>
            </w:tcMar>
            <w:vAlign w:val="center"/>
          </w:tcPr>
          <w:p w14:paraId="12C4D14C"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PU Foam</w:t>
            </w:r>
          </w:p>
        </w:tc>
        <w:tc>
          <w:tcPr>
            <w:tcW w:w="422" w:type="pct"/>
            <w:shd w:val="clear" w:color="auto" w:fill="D9E2F3" w:themeFill="accent1" w:themeFillTint="33"/>
          </w:tcPr>
          <w:p w14:paraId="239E1E50" w14:textId="77777777" w:rsidR="00BC22C2" w:rsidRPr="00095CD7" w:rsidRDefault="00BC22C2" w:rsidP="060C4F7D">
            <w:pPr>
              <w:spacing w:after="240"/>
              <w:jc w:val="center"/>
              <w:rPr>
                <w:rFonts w:eastAsia="Times New Roman"/>
                <w:b/>
                <w:bCs/>
                <w:color w:val="000000" w:themeColor="text1"/>
                <w:sz w:val="20"/>
                <w:szCs w:val="20"/>
              </w:rPr>
            </w:pPr>
          </w:p>
        </w:tc>
        <w:tc>
          <w:tcPr>
            <w:tcW w:w="469" w:type="pct"/>
            <w:shd w:val="clear" w:color="auto" w:fill="D9E2F3" w:themeFill="accent1" w:themeFillTint="33"/>
            <w:tcMar>
              <w:left w:w="108" w:type="dxa"/>
              <w:right w:w="108" w:type="dxa"/>
            </w:tcMar>
            <w:vAlign w:val="center"/>
          </w:tcPr>
          <w:p w14:paraId="03FDA467"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Fire Ext. *</w:t>
            </w:r>
          </w:p>
        </w:tc>
        <w:tc>
          <w:tcPr>
            <w:tcW w:w="771" w:type="pct"/>
            <w:shd w:val="clear" w:color="auto" w:fill="D9E2F3" w:themeFill="accent1" w:themeFillTint="33"/>
            <w:tcMar>
              <w:left w:w="108" w:type="dxa"/>
              <w:right w:w="108" w:type="dxa"/>
            </w:tcMar>
            <w:vAlign w:val="center"/>
          </w:tcPr>
          <w:p w14:paraId="3498C5E1"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ICR (Ind./Com Ref.&amp; AC**</w:t>
            </w:r>
          </w:p>
        </w:tc>
        <w:tc>
          <w:tcPr>
            <w:tcW w:w="657" w:type="pct"/>
            <w:shd w:val="clear" w:color="auto" w:fill="D9E2F3" w:themeFill="accent1" w:themeFillTint="33"/>
            <w:tcMar>
              <w:left w:w="108" w:type="dxa"/>
              <w:right w:w="108" w:type="dxa"/>
            </w:tcMar>
            <w:vAlign w:val="center"/>
          </w:tcPr>
          <w:p w14:paraId="63EC26FF"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Residential AC</w:t>
            </w:r>
            <w:r w:rsidR="00656151">
              <w:rPr>
                <w:rFonts w:eastAsia="Times New Roman"/>
                <w:b/>
                <w:bCs/>
                <w:color w:val="000000" w:themeColor="text1"/>
                <w:sz w:val="20"/>
                <w:szCs w:val="20"/>
              </w:rPr>
              <w:t>##</w:t>
            </w:r>
          </w:p>
        </w:tc>
        <w:tc>
          <w:tcPr>
            <w:tcW w:w="670" w:type="pct"/>
            <w:shd w:val="clear" w:color="auto" w:fill="D9E2F3" w:themeFill="accent1" w:themeFillTint="33"/>
            <w:tcMar>
              <w:left w:w="108" w:type="dxa"/>
              <w:right w:w="108" w:type="dxa"/>
            </w:tcMar>
            <w:vAlign w:val="center"/>
          </w:tcPr>
          <w:p w14:paraId="75A0F1CE"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Solvents</w:t>
            </w:r>
            <w:r w:rsidR="00656151">
              <w:rPr>
                <w:rFonts w:eastAsia="Times New Roman"/>
                <w:b/>
                <w:bCs/>
                <w:color w:val="000000" w:themeColor="text1"/>
                <w:sz w:val="20"/>
                <w:szCs w:val="20"/>
              </w:rPr>
              <w:t>##</w:t>
            </w:r>
          </w:p>
        </w:tc>
        <w:tc>
          <w:tcPr>
            <w:tcW w:w="586" w:type="pct"/>
            <w:shd w:val="clear" w:color="auto" w:fill="FFF2CC" w:themeFill="accent4" w:themeFillTint="33"/>
            <w:tcMar>
              <w:left w:w="108" w:type="dxa"/>
              <w:right w:w="108" w:type="dxa"/>
            </w:tcMar>
            <w:vAlign w:val="center"/>
          </w:tcPr>
          <w:p w14:paraId="3A695EA0" w14:textId="77777777" w:rsidR="00BC22C2" w:rsidRPr="00095CD7" w:rsidRDefault="0032495C" w:rsidP="060C4F7D">
            <w:pPr>
              <w:spacing w:after="240"/>
              <w:jc w:val="center"/>
              <w:rPr>
                <w:rFonts w:eastAsia="Times New Roman"/>
                <w:b/>
                <w:bCs/>
                <w:color w:val="000000" w:themeColor="text1"/>
                <w:sz w:val="20"/>
                <w:szCs w:val="20"/>
              </w:rPr>
            </w:pPr>
            <w:r w:rsidRPr="00095CD7">
              <w:rPr>
                <w:rFonts w:eastAsia="Times New Roman"/>
                <w:b/>
                <w:bCs/>
                <w:color w:val="000000" w:themeColor="text1"/>
                <w:sz w:val="20"/>
                <w:szCs w:val="20"/>
              </w:rPr>
              <w:t>Servicing</w:t>
            </w:r>
          </w:p>
        </w:tc>
      </w:tr>
      <w:tr w:rsidR="00F90461" w14:paraId="09BF9E7A" w14:textId="77777777" w:rsidTr="004E53CC">
        <w:trPr>
          <w:trHeight w:val="600"/>
          <w:jc w:val="center"/>
        </w:trPr>
        <w:tc>
          <w:tcPr>
            <w:tcW w:w="635" w:type="pct"/>
            <w:tcMar>
              <w:left w:w="108" w:type="dxa"/>
              <w:right w:w="108" w:type="dxa"/>
            </w:tcMar>
          </w:tcPr>
          <w:p w14:paraId="3997B84C" w14:textId="77777777" w:rsidR="00BC22C2" w:rsidRPr="00A81971" w:rsidRDefault="0032495C" w:rsidP="457BD43E">
            <w:pPr>
              <w:spacing w:after="240" w:line="259" w:lineRule="auto"/>
              <w:rPr>
                <w:rFonts w:eastAsia="Times New Roman"/>
                <w:color w:val="000000" w:themeColor="text1"/>
                <w:sz w:val="20"/>
                <w:szCs w:val="20"/>
              </w:rPr>
            </w:pPr>
            <w:r w:rsidRPr="00A81971">
              <w:rPr>
                <w:rFonts w:eastAsia="Times New Roman"/>
                <w:color w:val="000000" w:themeColor="text1"/>
                <w:sz w:val="20"/>
                <w:szCs w:val="20"/>
              </w:rPr>
              <w:t>CE applied to 8 parties (US$/kg)</w:t>
            </w:r>
          </w:p>
        </w:tc>
        <w:tc>
          <w:tcPr>
            <w:tcW w:w="395" w:type="pct"/>
            <w:tcMar>
              <w:left w:w="108" w:type="dxa"/>
              <w:right w:w="108" w:type="dxa"/>
            </w:tcMar>
            <w:vAlign w:val="center"/>
          </w:tcPr>
          <w:p w14:paraId="0C8613A7"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8.22</w:t>
            </w:r>
          </w:p>
        </w:tc>
        <w:tc>
          <w:tcPr>
            <w:tcW w:w="395" w:type="pct"/>
            <w:tcMar>
              <w:left w:w="108" w:type="dxa"/>
              <w:right w:w="108" w:type="dxa"/>
            </w:tcMar>
            <w:vAlign w:val="center"/>
          </w:tcPr>
          <w:p w14:paraId="0EACB18E"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7.83</w:t>
            </w:r>
          </w:p>
        </w:tc>
        <w:tc>
          <w:tcPr>
            <w:tcW w:w="422" w:type="pct"/>
          </w:tcPr>
          <w:p w14:paraId="12245DCB" w14:textId="77777777" w:rsidR="00BC22C2" w:rsidRPr="00A81971" w:rsidRDefault="00BC22C2" w:rsidP="060C4F7D">
            <w:pPr>
              <w:spacing w:after="240"/>
              <w:jc w:val="center"/>
              <w:rPr>
                <w:rFonts w:eastAsia="Times New Roman"/>
                <w:color w:val="000000" w:themeColor="text1"/>
                <w:sz w:val="20"/>
                <w:szCs w:val="20"/>
              </w:rPr>
            </w:pPr>
          </w:p>
        </w:tc>
        <w:tc>
          <w:tcPr>
            <w:tcW w:w="469" w:type="pct"/>
            <w:tcMar>
              <w:left w:w="108" w:type="dxa"/>
              <w:right w:w="108" w:type="dxa"/>
            </w:tcMar>
            <w:vAlign w:val="center"/>
          </w:tcPr>
          <w:p w14:paraId="182EF9FC"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 xml:space="preserve">4.8 </w:t>
            </w:r>
          </w:p>
        </w:tc>
        <w:tc>
          <w:tcPr>
            <w:tcW w:w="771" w:type="pct"/>
            <w:tcMar>
              <w:left w:w="108" w:type="dxa"/>
              <w:right w:w="108" w:type="dxa"/>
            </w:tcMar>
            <w:vAlign w:val="center"/>
          </w:tcPr>
          <w:p w14:paraId="5D38E5BA"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15.21</w:t>
            </w:r>
          </w:p>
        </w:tc>
        <w:tc>
          <w:tcPr>
            <w:tcW w:w="657" w:type="pct"/>
            <w:tcMar>
              <w:left w:w="108" w:type="dxa"/>
              <w:right w:w="108" w:type="dxa"/>
            </w:tcMar>
            <w:vAlign w:val="center"/>
          </w:tcPr>
          <w:p w14:paraId="6AD1FEB6"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 xml:space="preserve">7.15 </w:t>
            </w:r>
          </w:p>
        </w:tc>
        <w:tc>
          <w:tcPr>
            <w:tcW w:w="670" w:type="pct"/>
            <w:tcMar>
              <w:left w:w="108" w:type="dxa"/>
              <w:right w:w="108" w:type="dxa"/>
            </w:tcMar>
            <w:vAlign w:val="center"/>
          </w:tcPr>
          <w:p w14:paraId="15258CC6"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10.13</w:t>
            </w:r>
          </w:p>
        </w:tc>
        <w:tc>
          <w:tcPr>
            <w:tcW w:w="586" w:type="pct"/>
            <w:shd w:val="clear" w:color="auto" w:fill="FFF2CC" w:themeFill="accent4" w:themeFillTint="33"/>
            <w:tcMar>
              <w:left w:w="108" w:type="dxa"/>
              <w:right w:w="108" w:type="dxa"/>
            </w:tcMar>
            <w:vAlign w:val="center"/>
          </w:tcPr>
          <w:p w14:paraId="5C9636C2" w14:textId="77777777" w:rsidR="00BC22C2" w:rsidRPr="00A81971" w:rsidRDefault="0032495C" w:rsidP="060C4F7D">
            <w:pPr>
              <w:spacing w:after="240"/>
              <w:jc w:val="center"/>
              <w:rPr>
                <w:rFonts w:eastAsia="Times New Roman"/>
                <w:color w:val="000000" w:themeColor="text1"/>
                <w:sz w:val="20"/>
                <w:szCs w:val="20"/>
              </w:rPr>
            </w:pPr>
            <w:r w:rsidRPr="00A81971">
              <w:rPr>
                <w:rFonts w:eastAsia="Times New Roman"/>
                <w:color w:val="000000" w:themeColor="text1"/>
                <w:sz w:val="20"/>
                <w:szCs w:val="20"/>
              </w:rPr>
              <w:t>4.80</w:t>
            </w:r>
          </w:p>
        </w:tc>
      </w:tr>
    </w:tbl>
    <w:p w14:paraId="172F5450" w14:textId="77777777" w:rsidR="00E77D13" w:rsidRPr="00A81971" w:rsidRDefault="0032495C" w:rsidP="060C4F7D">
      <w:pPr>
        <w:spacing w:after="0"/>
        <w:rPr>
          <w:rFonts w:eastAsia="Times New Roman"/>
          <w:color w:val="000000" w:themeColor="text1"/>
          <w:sz w:val="16"/>
          <w:szCs w:val="16"/>
        </w:rPr>
      </w:pPr>
      <w:r>
        <w:rPr>
          <w:rFonts w:eastAsia="Times New Roman"/>
          <w:color w:val="000000" w:themeColor="text1"/>
          <w:sz w:val="16"/>
          <w:szCs w:val="16"/>
          <w:vertAlign w:val="superscript"/>
        </w:rPr>
        <w:t>*</w:t>
      </w:r>
      <w:r w:rsidR="060C4F7D" w:rsidRPr="00A81971">
        <w:rPr>
          <w:rFonts w:eastAsia="Times New Roman"/>
          <w:color w:val="000000" w:themeColor="text1"/>
          <w:sz w:val="16"/>
          <w:szCs w:val="16"/>
        </w:rPr>
        <w:t>RTF considered that in fire extinguishing sector the activities are currently similar to the ones in servicing sector (CE 4.8</w:t>
      </w:r>
      <w:r w:rsidRPr="00656151">
        <w:rPr>
          <w:rFonts w:eastAsia="Times New Roman"/>
          <w:color w:val="000000" w:themeColor="text1"/>
          <w:sz w:val="16"/>
          <w:szCs w:val="16"/>
        </w:rPr>
        <w:t xml:space="preserve"> </w:t>
      </w:r>
      <w:r w:rsidR="00AB1D56" w:rsidRPr="00A81971">
        <w:rPr>
          <w:rFonts w:eastAsia="Times New Roman"/>
          <w:color w:val="000000" w:themeColor="text1"/>
          <w:sz w:val="16"/>
          <w:szCs w:val="16"/>
        </w:rPr>
        <w:t>/</w:t>
      </w:r>
      <w:r w:rsidRPr="00656151">
        <w:rPr>
          <w:rFonts w:eastAsia="Times New Roman"/>
          <w:color w:val="000000" w:themeColor="text1"/>
          <w:sz w:val="16"/>
          <w:szCs w:val="16"/>
        </w:rPr>
        <w:t xml:space="preserve"> </w:t>
      </w:r>
      <w:r w:rsidRPr="00A81971">
        <w:rPr>
          <w:rFonts w:eastAsia="Times New Roman"/>
          <w:color w:val="000000" w:themeColor="text1"/>
          <w:sz w:val="16"/>
          <w:szCs w:val="16"/>
        </w:rPr>
        <w:t>US$</w:t>
      </w:r>
      <w:r>
        <w:rPr>
          <w:rFonts w:eastAsia="Times New Roman"/>
          <w:color w:val="000000" w:themeColor="text1"/>
          <w:sz w:val="16"/>
          <w:szCs w:val="16"/>
        </w:rPr>
        <w:t>/</w:t>
      </w:r>
      <w:r w:rsidR="00AB1D56" w:rsidRPr="00A81971">
        <w:rPr>
          <w:rFonts w:eastAsia="Times New Roman"/>
          <w:color w:val="000000" w:themeColor="text1"/>
          <w:sz w:val="16"/>
          <w:szCs w:val="16"/>
        </w:rPr>
        <w:t>kg</w:t>
      </w:r>
      <w:r w:rsidR="060C4F7D" w:rsidRPr="00A81971">
        <w:rPr>
          <w:rFonts w:eastAsia="Times New Roman"/>
          <w:color w:val="000000" w:themeColor="text1"/>
          <w:sz w:val="16"/>
          <w:szCs w:val="16"/>
        </w:rPr>
        <w:t xml:space="preserve">). </w:t>
      </w:r>
    </w:p>
    <w:p w14:paraId="0DC23810" w14:textId="77777777" w:rsidR="00793ABA" w:rsidRPr="00A81971" w:rsidRDefault="0032495C" w:rsidP="060C4F7D">
      <w:pPr>
        <w:spacing w:after="0"/>
        <w:rPr>
          <w:rFonts w:eastAsia="Times New Roman"/>
          <w:color w:val="000000" w:themeColor="text1"/>
          <w:sz w:val="16"/>
          <w:szCs w:val="16"/>
        </w:rPr>
      </w:pPr>
      <w:r w:rsidRPr="00A81971">
        <w:rPr>
          <w:rFonts w:eastAsia="Times New Roman"/>
          <w:color w:val="000000" w:themeColor="text1"/>
          <w:sz w:val="16"/>
          <w:szCs w:val="16"/>
        </w:rPr>
        <w:t>For Commercial and Industrial Ref./AC, RTF applied the CE in cost guidelines for commercial refrigeration (15.21</w:t>
      </w:r>
      <w:r w:rsidR="00656151" w:rsidRPr="00656151">
        <w:rPr>
          <w:rFonts w:eastAsia="Times New Roman"/>
          <w:color w:val="000000" w:themeColor="text1"/>
          <w:sz w:val="16"/>
          <w:szCs w:val="16"/>
        </w:rPr>
        <w:t xml:space="preserve"> </w:t>
      </w:r>
      <w:r w:rsidR="00656151" w:rsidRPr="00A81971">
        <w:rPr>
          <w:rFonts w:eastAsia="Times New Roman"/>
          <w:color w:val="000000" w:themeColor="text1"/>
          <w:sz w:val="16"/>
          <w:szCs w:val="16"/>
        </w:rPr>
        <w:t>US$</w:t>
      </w:r>
      <w:r w:rsidR="00E3376C" w:rsidRPr="00A81971">
        <w:rPr>
          <w:rFonts w:eastAsia="Times New Roman"/>
          <w:color w:val="000000" w:themeColor="text1"/>
          <w:sz w:val="16"/>
          <w:szCs w:val="16"/>
        </w:rPr>
        <w:t>/kg</w:t>
      </w:r>
      <w:r w:rsidRPr="00A81971">
        <w:rPr>
          <w:rFonts w:eastAsia="Times New Roman"/>
          <w:color w:val="000000" w:themeColor="text1"/>
          <w:sz w:val="16"/>
          <w:szCs w:val="16"/>
        </w:rPr>
        <w:t>).</w:t>
      </w:r>
    </w:p>
    <w:p w14:paraId="6EED7DB9" w14:textId="77777777" w:rsidR="00793ABA" w:rsidRPr="00A81971" w:rsidRDefault="0032495C" w:rsidP="060C4F7D">
      <w:pPr>
        <w:spacing w:after="0"/>
        <w:rPr>
          <w:rFonts w:eastAsia="Times New Roman"/>
          <w:color w:val="000000" w:themeColor="text1"/>
          <w:sz w:val="16"/>
          <w:szCs w:val="16"/>
        </w:rPr>
      </w:pPr>
      <w:r>
        <w:rPr>
          <w:rFonts w:eastAsia="Times New Roman"/>
          <w:color w:val="000000" w:themeColor="text1"/>
          <w:sz w:val="16"/>
          <w:szCs w:val="16"/>
        </w:rPr>
        <w:t>#</w:t>
      </w:r>
      <w:r w:rsidR="060C4F7D" w:rsidRPr="00A81971">
        <w:rPr>
          <w:rFonts w:eastAsia="Times New Roman"/>
          <w:color w:val="000000" w:themeColor="text1"/>
          <w:sz w:val="16"/>
          <w:szCs w:val="16"/>
        </w:rPr>
        <w:t>For Residential AC, RTF applied CE of 7.15</w:t>
      </w:r>
      <w:r w:rsidRPr="00656151">
        <w:rPr>
          <w:rFonts w:eastAsia="Times New Roman"/>
          <w:color w:val="000000" w:themeColor="text1"/>
          <w:sz w:val="16"/>
          <w:szCs w:val="16"/>
        </w:rPr>
        <w:t xml:space="preserve"> </w:t>
      </w:r>
      <w:r w:rsidRPr="00A81971">
        <w:rPr>
          <w:rFonts w:eastAsia="Times New Roman"/>
          <w:color w:val="000000" w:themeColor="text1"/>
          <w:sz w:val="16"/>
          <w:szCs w:val="16"/>
        </w:rPr>
        <w:t>US$</w:t>
      </w:r>
      <w:r w:rsidR="00AB1D56" w:rsidRPr="00A81971">
        <w:rPr>
          <w:rFonts w:eastAsia="Times New Roman"/>
          <w:color w:val="000000" w:themeColor="text1"/>
          <w:sz w:val="16"/>
          <w:szCs w:val="16"/>
        </w:rPr>
        <w:t>/</w:t>
      </w:r>
      <w:r w:rsidR="060C4F7D" w:rsidRPr="00A81971">
        <w:rPr>
          <w:rFonts w:eastAsia="Times New Roman"/>
          <w:color w:val="000000" w:themeColor="text1"/>
          <w:sz w:val="16"/>
          <w:szCs w:val="16"/>
        </w:rPr>
        <w:t>kg (average of the CE for China, 4.74</w:t>
      </w:r>
      <w:r w:rsidRPr="00656151">
        <w:rPr>
          <w:rFonts w:eastAsia="Times New Roman"/>
          <w:color w:val="000000" w:themeColor="text1"/>
          <w:sz w:val="16"/>
          <w:szCs w:val="16"/>
        </w:rPr>
        <w:t xml:space="preserve"> </w:t>
      </w:r>
      <w:r w:rsidRPr="00A81971">
        <w:rPr>
          <w:rFonts w:eastAsia="Times New Roman"/>
          <w:color w:val="000000" w:themeColor="text1"/>
          <w:sz w:val="16"/>
          <w:szCs w:val="16"/>
        </w:rPr>
        <w:t>US$</w:t>
      </w:r>
      <w:r w:rsidR="004D70AB" w:rsidRPr="00A81971">
        <w:rPr>
          <w:rFonts w:eastAsia="Times New Roman"/>
          <w:color w:val="000000" w:themeColor="text1"/>
          <w:sz w:val="16"/>
          <w:szCs w:val="16"/>
        </w:rPr>
        <w:t>/kg</w:t>
      </w:r>
      <w:r w:rsidR="060C4F7D" w:rsidRPr="00A81971">
        <w:rPr>
          <w:rFonts w:eastAsia="Times New Roman"/>
          <w:color w:val="000000" w:themeColor="text1"/>
          <w:sz w:val="16"/>
          <w:szCs w:val="16"/>
        </w:rPr>
        <w:t>, and for projects elsewhere, 10.05</w:t>
      </w:r>
      <w:r w:rsidRPr="00656151">
        <w:rPr>
          <w:rFonts w:eastAsia="Times New Roman"/>
          <w:color w:val="000000" w:themeColor="text1"/>
          <w:sz w:val="16"/>
          <w:szCs w:val="16"/>
        </w:rPr>
        <w:t xml:space="preserve"> </w:t>
      </w:r>
      <w:r w:rsidRPr="00A81971">
        <w:rPr>
          <w:rFonts w:eastAsia="Times New Roman"/>
          <w:color w:val="000000" w:themeColor="text1"/>
          <w:sz w:val="16"/>
          <w:szCs w:val="16"/>
        </w:rPr>
        <w:t>US$</w:t>
      </w:r>
      <w:r w:rsidR="004D70AB" w:rsidRPr="00A81971">
        <w:rPr>
          <w:rFonts w:eastAsia="Times New Roman"/>
          <w:color w:val="000000" w:themeColor="text1"/>
          <w:sz w:val="16"/>
          <w:szCs w:val="16"/>
        </w:rPr>
        <w:t>/kg</w:t>
      </w:r>
      <w:r w:rsidR="060C4F7D" w:rsidRPr="00A81971">
        <w:rPr>
          <w:rFonts w:eastAsia="Times New Roman"/>
          <w:color w:val="000000" w:themeColor="text1"/>
          <w:sz w:val="16"/>
          <w:szCs w:val="16"/>
        </w:rPr>
        <w:t xml:space="preserve"> (Annex 2</w:t>
      </w:r>
      <w:r w:rsidR="00E1611E" w:rsidRPr="00A81971">
        <w:rPr>
          <w:rFonts w:eastAsia="Times New Roman"/>
          <w:color w:val="000000" w:themeColor="text1"/>
          <w:sz w:val="16"/>
          <w:szCs w:val="16"/>
        </w:rPr>
        <w:t xml:space="preserve"> of the May 2026 Report))</w:t>
      </w:r>
    </w:p>
    <w:p w14:paraId="27FD2017" w14:textId="77777777" w:rsidR="00793ABA" w:rsidRPr="00A81971" w:rsidRDefault="0032495C" w:rsidP="060C4F7D">
      <w:pPr>
        <w:spacing w:after="0"/>
        <w:rPr>
          <w:rFonts w:eastAsia="Times New Roman"/>
          <w:color w:val="000000" w:themeColor="text1"/>
          <w:sz w:val="16"/>
          <w:szCs w:val="16"/>
        </w:rPr>
      </w:pPr>
      <w:r w:rsidRPr="00A81971">
        <w:rPr>
          <w:rFonts w:eastAsia="Times New Roman"/>
          <w:color w:val="000000" w:themeColor="text1"/>
          <w:sz w:val="16"/>
          <w:szCs w:val="16"/>
          <w:vertAlign w:val="superscript"/>
        </w:rPr>
        <w:t>##</w:t>
      </w:r>
      <w:r w:rsidR="060C4F7D" w:rsidRPr="00A81971">
        <w:rPr>
          <w:rFonts w:eastAsia="Times New Roman"/>
          <w:color w:val="000000" w:themeColor="text1"/>
          <w:sz w:val="16"/>
          <w:szCs w:val="16"/>
        </w:rPr>
        <w:t>RTF used CE of 10.13</w:t>
      </w:r>
      <w:r w:rsidR="00656151" w:rsidRPr="00656151">
        <w:rPr>
          <w:rFonts w:eastAsia="Times New Roman"/>
          <w:color w:val="000000" w:themeColor="text1"/>
          <w:sz w:val="16"/>
          <w:szCs w:val="16"/>
        </w:rPr>
        <w:t xml:space="preserve"> </w:t>
      </w:r>
      <w:r w:rsidR="00656151" w:rsidRPr="00A81971">
        <w:rPr>
          <w:rFonts w:eastAsia="Times New Roman"/>
          <w:color w:val="000000" w:themeColor="text1"/>
          <w:sz w:val="16"/>
          <w:szCs w:val="16"/>
        </w:rPr>
        <w:t>US$</w:t>
      </w:r>
      <w:r w:rsidR="00AB1D56" w:rsidRPr="00A81971">
        <w:rPr>
          <w:rFonts w:eastAsia="Times New Roman"/>
          <w:color w:val="000000" w:themeColor="text1"/>
          <w:sz w:val="16"/>
          <w:szCs w:val="16"/>
        </w:rPr>
        <w:t>/</w:t>
      </w:r>
      <w:r w:rsidR="005315CF" w:rsidRPr="00A81971">
        <w:rPr>
          <w:rFonts w:eastAsia="Times New Roman"/>
          <w:color w:val="000000" w:themeColor="text1"/>
          <w:sz w:val="16"/>
          <w:szCs w:val="16"/>
        </w:rPr>
        <w:t>kg</w:t>
      </w:r>
      <w:r w:rsidR="060C4F7D" w:rsidRPr="00A81971">
        <w:rPr>
          <w:rFonts w:eastAsia="Times New Roman"/>
          <w:color w:val="000000" w:themeColor="text1"/>
          <w:sz w:val="16"/>
          <w:szCs w:val="16"/>
        </w:rPr>
        <w:t xml:space="preserve"> for Solvents, using average of all projects in Solvents sector in document 89/10/rev1.</w:t>
      </w:r>
    </w:p>
    <w:p w14:paraId="34C4CBD4" w14:textId="77777777" w:rsidR="00793ABA" w:rsidRPr="00A81971" w:rsidRDefault="0032495C" w:rsidP="060C4F7D">
      <w:pPr>
        <w:spacing w:after="240"/>
        <w:rPr>
          <w:rFonts w:eastAsia="Times New Roman"/>
          <w:color w:val="000000" w:themeColor="text1"/>
          <w:sz w:val="18"/>
          <w:szCs w:val="18"/>
        </w:rPr>
      </w:pPr>
      <w:r w:rsidRPr="00A81971">
        <w:rPr>
          <w:rFonts w:eastAsia="Times New Roman"/>
          <w:color w:val="000000" w:themeColor="text1"/>
          <w:sz w:val="18"/>
          <w:szCs w:val="18"/>
        </w:rPr>
        <w:t xml:space="preserve"> </w:t>
      </w:r>
    </w:p>
    <w:p w14:paraId="7CCC43B4" w14:textId="77777777" w:rsidR="00793ABA" w:rsidRPr="00A81971" w:rsidRDefault="0032495C" w:rsidP="0080120E">
      <w:pPr>
        <w:spacing w:after="240" w:line="259" w:lineRule="auto"/>
        <w:rPr>
          <w:rFonts w:eastAsia="Times New Roman"/>
          <w:color w:val="FF0000"/>
        </w:rPr>
      </w:pPr>
      <w:r w:rsidRPr="00A81971">
        <w:rPr>
          <w:rFonts w:eastAsia="Times New Roman"/>
          <w:color w:val="000000" w:themeColor="text1"/>
        </w:rPr>
        <w:t>The e</w:t>
      </w:r>
      <w:r w:rsidR="060C4F7D" w:rsidRPr="00A81971">
        <w:rPr>
          <w:rFonts w:eastAsia="Times New Roman"/>
          <w:color w:val="000000" w:themeColor="text1"/>
        </w:rPr>
        <w:t xml:space="preserve">stimated funding </w:t>
      </w:r>
      <w:r w:rsidRPr="00A81971">
        <w:rPr>
          <w:rFonts w:eastAsia="Times New Roman"/>
          <w:color w:val="000000" w:themeColor="text1"/>
        </w:rPr>
        <w:t xml:space="preserve">required </w:t>
      </w:r>
      <w:r w:rsidR="060C4F7D" w:rsidRPr="00A81971">
        <w:rPr>
          <w:rFonts w:eastAsia="Times New Roman"/>
          <w:color w:val="000000" w:themeColor="text1"/>
        </w:rPr>
        <w:t xml:space="preserve">to address </w:t>
      </w:r>
      <w:r w:rsidRPr="00A81971">
        <w:rPr>
          <w:rFonts w:eastAsia="Times New Roman"/>
          <w:color w:val="000000" w:themeColor="text1"/>
        </w:rPr>
        <w:t xml:space="preserve">the </w:t>
      </w:r>
      <w:r w:rsidR="060C4F7D" w:rsidRPr="00A81971">
        <w:rPr>
          <w:rFonts w:eastAsia="Times New Roman"/>
          <w:color w:val="000000" w:themeColor="text1"/>
        </w:rPr>
        <w:t xml:space="preserve">remaining consumption </w:t>
      </w:r>
      <w:r w:rsidRPr="00A81971">
        <w:rPr>
          <w:rFonts w:eastAsia="Times New Roman"/>
          <w:color w:val="000000" w:themeColor="text1"/>
        </w:rPr>
        <w:t xml:space="preserve">by </w:t>
      </w:r>
      <w:r w:rsidR="060C4F7D" w:rsidRPr="00A81971">
        <w:rPr>
          <w:rFonts w:eastAsia="Times New Roman"/>
          <w:color w:val="000000" w:themeColor="text1"/>
        </w:rPr>
        <w:t xml:space="preserve">sector for </w:t>
      </w:r>
      <w:r w:rsidRPr="00A81971">
        <w:rPr>
          <w:rFonts w:eastAsia="Times New Roman"/>
          <w:color w:val="000000" w:themeColor="text1"/>
        </w:rPr>
        <w:t xml:space="preserve">the </w:t>
      </w:r>
      <w:r w:rsidR="457BD43E" w:rsidRPr="00A81971">
        <w:rPr>
          <w:rFonts w:eastAsia="Times New Roman"/>
          <w:color w:val="000000" w:themeColor="text1"/>
        </w:rPr>
        <w:t>8</w:t>
      </w:r>
      <w:r w:rsidR="060C4F7D" w:rsidRPr="00A81971">
        <w:rPr>
          <w:rFonts w:eastAsia="Times New Roman"/>
          <w:color w:val="000000" w:themeColor="text1"/>
        </w:rPr>
        <w:t xml:space="preserve"> non-LVC parties</w:t>
      </w:r>
      <w:r w:rsidR="00CD59D1" w:rsidRPr="00A81971">
        <w:rPr>
          <w:rFonts w:eastAsia="Times New Roman"/>
          <w:color w:val="000000" w:themeColor="text1"/>
        </w:rPr>
        <w:t>,</w:t>
      </w:r>
      <w:r w:rsidR="060C4F7D" w:rsidRPr="00A81971">
        <w:rPr>
          <w:rFonts w:eastAsia="Times New Roman"/>
          <w:color w:val="000000" w:themeColor="text1"/>
        </w:rPr>
        <w:t xml:space="preserve"> </w:t>
      </w:r>
      <w:r w:rsidR="00CD59D1" w:rsidRPr="00A81971">
        <w:rPr>
          <w:rFonts w:eastAsia="Times New Roman"/>
          <w:color w:val="000000" w:themeColor="text1"/>
        </w:rPr>
        <w:t xml:space="preserve">based on the </w:t>
      </w:r>
      <w:r w:rsidR="060C4F7D" w:rsidRPr="00A81971">
        <w:rPr>
          <w:rFonts w:eastAsia="Times New Roman"/>
          <w:color w:val="000000" w:themeColor="text1"/>
        </w:rPr>
        <w:t>methodology explained above</w:t>
      </w:r>
      <w:r w:rsidR="00006772" w:rsidRPr="00A81971">
        <w:rPr>
          <w:rFonts w:eastAsia="Times New Roman"/>
          <w:color w:val="000000" w:themeColor="text1"/>
        </w:rPr>
        <w:t>,</w:t>
      </w:r>
      <w:r w:rsidR="060C4F7D" w:rsidRPr="00A81971">
        <w:rPr>
          <w:rFonts w:eastAsia="Times New Roman"/>
          <w:color w:val="000000" w:themeColor="text1"/>
        </w:rPr>
        <w:t xml:space="preserve"> </w:t>
      </w:r>
      <w:r w:rsidR="00006772" w:rsidRPr="00A81971">
        <w:rPr>
          <w:rFonts w:eastAsia="Times New Roman"/>
          <w:color w:val="000000" w:themeColor="text1"/>
        </w:rPr>
        <w:t>is presented</w:t>
      </w:r>
      <w:r w:rsidR="060C4F7D" w:rsidRPr="00A81971">
        <w:rPr>
          <w:rFonts w:eastAsia="Times New Roman"/>
          <w:color w:val="000000" w:themeColor="text1"/>
        </w:rPr>
        <w:t xml:space="preserve"> in Table A</w:t>
      </w:r>
      <w:r w:rsidR="00F95910" w:rsidRPr="00A81971">
        <w:rPr>
          <w:rFonts w:eastAsia="Times New Roman"/>
          <w:color w:val="000000" w:themeColor="text1"/>
        </w:rPr>
        <w:t>2</w:t>
      </w:r>
      <w:r w:rsidR="060C4F7D" w:rsidRPr="00A81971">
        <w:rPr>
          <w:rFonts w:eastAsia="Times New Roman"/>
          <w:color w:val="000000" w:themeColor="text1"/>
        </w:rPr>
        <w:t xml:space="preserve">.4 below. This scenario does not include the additional 25% </w:t>
      </w:r>
      <w:r w:rsidR="00006772" w:rsidRPr="00A81971">
        <w:rPr>
          <w:rFonts w:eastAsia="Times New Roman"/>
          <w:color w:val="000000" w:themeColor="text1"/>
        </w:rPr>
        <w:t xml:space="preserve">funding </w:t>
      </w:r>
      <w:r w:rsidR="060C4F7D" w:rsidRPr="00A81971">
        <w:rPr>
          <w:rFonts w:eastAsia="Times New Roman"/>
          <w:color w:val="000000" w:themeColor="text1"/>
        </w:rPr>
        <w:t xml:space="preserve">for </w:t>
      </w:r>
      <w:r w:rsidR="00AC2B75" w:rsidRPr="00A81971">
        <w:rPr>
          <w:rFonts w:eastAsia="Times New Roman"/>
          <w:color w:val="000000" w:themeColor="text1"/>
        </w:rPr>
        <w:t xml:space="preserve">the </w:t>
      </w:r>
      <w:r w:rsidR="060C4F7D" w:rsidRPr="00A81971">
        <w:rPr>
          <w:rFonts w:eastAsia="Times New Roman"/>
          <w:color w:val="000000" w:themeColor="text1"/>
        </w:rPr>
        <w:t xml:space="preserve">introduction of </w:t>
      </w:r>
      <w:r w:rsidR="457BD43E" w:rsidRPr="00A81971">
        <w:rPr>
          <w:rFonts w:eastAsia="Times New Roman"/>
          <w:color w:val="000000" w:themeColor="text1"/>
        </w:rPr>
        <w:t>low</w:t>
      </w:r>
      <w:r w:rsidR="00837C71">
        <w:rPr>
          <w:rFonts w:eastAsia="Times New Roman"/>
          <w:color w:val="000000" w:themeColor="text1"/>
        </w:rPr>
        <w:t>-</w:t>
      </w:r>
      <w:r w:rsidR="060C4F7D" w:rsidRPr="00A81971">
        <w:rPr>
          <w:rFonts w:eastAsia="Times New Roman"/>
          <w:color w:val="000000" w:themeColor="text1"/>
        </w:rPr>
        <w:t xml:space="preserve">GWP alternatives allowed under decision 74/50(c)(iii) for sectors </w:t>
      </w:r>
      <w:r w:rsidR="00852E2D" w:rsidRPr="00A81971">
        <w:rPr>
          <w:rFonts w:eastAsia="Times New Roman"/>
          <w:color w:val="000000" w:themeColor="text1"/>
        </w:rPr>
        <w:t xml:space="preserve">subject to </w:t>
      </w:r>
      <w:r w:rsidR="060C4F7D" w:rsidRPr="00A81971">
        <w:rPr>
          <w:rFonts w:eastAsia="Times New Roman"/>
          <w:color w:val="000000" w:themeColor="text1"/>
        </w:rPr>
        <w:t>a CE threshold (PU foam and commercial refrigeration)</w:t>
      </w:r>
      <w:r w:rsidR="00E73327" w:rsidRPr="00A81971">
        <w:rPr>
          <w:rFonts w:eastAsia="Times New Roman"/>
          <w:color w:val="000000" w:themeColor="text1"/>
        </w:rPr>
        <w:t>,</w:t>
      </w:r>
      <w:r w:rsidR="060C4F7D" w:rsidRPr="00A81971">
        <w:rPr>
          <w:rFonts w:eastAsia="Times New Roman"/>
          <w:color w:val="000000" w:themeColor="text1"/>
        </w:rPr>
        <w:t xml:space="preserve"> </w:t>
      </w:r>
      <w:r w:rsidR="00E73327" w:rsidRPr="00A81971">
        <w:rPr>
          <w:rFonts w:eastAsia="Times New Roman"/>
          <w:color w:val="000000" w:themeColor="text1"/>
        </w:rPr>
        <w:t>nor the</w:t>
      </w:r>
      <w:r w:rsidR="060C4F7D" w:rsidRPr="00A81971">
        <w:rPr>
          <w:rFonts w:eastAsia="Times New Roman"/>
          <w:color w:val="000000" w:themeColor="text1"/>
        </w:rPr>
        <w:t xml:space="preserve"> additional </w:t>
      </w:r>
      <w:r w:rsidR="00C01400" w:rsidRPr="00A81971">
        <w:rPr>
          <w:rFonts w:eastAsia="Times New Roman"/>
          <w:color w:val="000000" w:themeColor="text1"/>
        </w:rPr>
        <w:t xml:space="preserve">40% </w:t>
      </w:r>
      <w:r w:rsidR="060C4F7D" w:rsidRPr="00A81971">
        <w:rPr>
          <w:rFonts w:eastAsia="Times New Roman"/>
          <w:color w:val="000000" w:themeColor="text1"/>
        </w:rPr>
        <w:t>funding</w:t>
      </w:r>
      <w:r w:rsidR="00C6069D" w:rsidRPr="00A81971">
        <w:rPr>
          <w:rFonts w:eastAsia="Times New Roman"/>
          <w:color w:val="000000" w:themeColor="text1"/>
        </w:rPr>
        <w:t xml:space="preserve"> for foam SMEs</w:t>
      </w:r>
      <w:r w:rsidR="060C4F7D" w:rsidRPr="00A81971">
        <w:rPr>
          <w:rFonts w:eastAsia="Times New Roman"/>
          <w:color w:val="000000" w:themeColor="text1"/>
        </w:rPr>
        <w:t>.</w:t>
      </w:r>
    </w:p>
    <w:p w14:paraId="434E395E" w14:textId="77777777" w:rsidR="00793ABA" w:rsidRPr="00A81971" w:rsidRDefault="0032495C" w:rsidP="00837C71">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t xml:space="preserve">Table </w:t>
      </w:r>
      <w:r>
        <w:rPr>
          <w:rFonts w:eastAsia="Yu Mincho"/>
          <w:b/>
          <w:bCs/>
          <w:color w:val="000000"/>
          <w:lang w:val="en-CA"/>
        </w:rPr>
        <w:t>A2.4:</w:t>
      </w:r>
      <w:r w:rsidRPr="0006445E">
        <w:rPr>
          <w:rFonts w:eastAsia="Times New Roman"/>
          <w:color w:val="000000"/>
          <w:lang w:val="en-CA"/>
        </w:rPr>
        <w:tab/>
      </w:r>
      <w:r w:rsidRPr="00A81971">
        <w:rPr>
          <w:rFonts w:eastAsia="Times New Roman"/>
          <w:b/>
          <w:bCs/>
          <w:color w:val="000000" w:themeColor="text1"/>
        </w:rPr>
        <w:t>Funding estimates addressing 8 parties with remaining HCFC consumption in different sectors (US$ millions)</w:t>
      </w:r>
      <w:r w:rsidR="060C4F7D" w:rsidRPr="00A81971">
        <w:rPr>
          <w:rFonts w:eastAsia="Times New Roman"/>
          <w:b/>
          <w:bCs/>
          <w:color w:val="000000" w:themeColor="text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297"/>
        <w:gridCol w:w="1296"/>
        <w:gridCol w:w="1296"/>
        <w:gridCol w:w="1296"/>
        <w:gridCol w:w="1296"/>
        <w:gridCol w:w="1296"/>
      </w:tblGrid>
      <w:tr w:rsidR="00F90461" w14:paraId="77F13950" w14:textId="77777777" w:rsidTr="004E53CC">
        <w:trPr>
          <w:trHeight w:val="900"/>
          <w:jc w:val="center"/>
        </w:trPr>
        <w:tc>
          <w:tcPr>
            <w:tcW w:w="714" w:type="pct"/>
            <w:shd w:val="clear" w:color="auto" w:fill="D9E2F3" w:themeFill="accent1" w:themeFillTint="33"/>
            <w:tcMar>
              <w:left w:w="108" w:type="dxa"/>
              <w:right w:w="108" w:type="dxa"/>
            </w:tcMar>
            <w:vAlign w:val="bottom"/>
          </w:tcPr>
          <w:p w14:paraId="2AFB910F" w14:textId="77777777" w:rsidR="00FD617C" w:rsidRPr="00A81971" w:rsidRDefault="0032495C" w:rsidP="060C4F7D">
            <w:pPr>
              <w:spacing w:after="0"/>
              <w:rPr>
                <w:rFonts w:eastAsia="Times New Roman"/>
                <w:b/>
                <w:bCs/>
                <w:color w:val="000000" w:themeColor="text1"/>
                <w:sz w:val="20"/>
                <w:szCs w:val="20"/>
              </w:rPr>
            </w:pPr>
            <w:r w:rsidRPr="00A81971">
              <w:rPr>
                <w:rFonts w:eastAsia="Times New Roman"/>
                <w:b/>
                <w:bCs/>
                <w:color w:val="000000" w:themeColor="text1"/>
                <w:sz w:val="20"/>
                <w:szCs w:val="20"/>
              </w:rPr>
              <w:t xml:space="preserve">Estimated Funding </w:t>
            </w:r>
          </w:p>
          <w:p w14:paraId="0FF8B1FC" w14:textId="77777777" w:rsidR="00FD617C" w:rsidRPr="00A81971" w:rsidRDefault="0032495C" w:rsidP="060C4F7D">
            <w:pPr>
              <w:spacing w:after="0"/>
              <w:rPr>
                <w:rFonts w:eastAsia="Times New Roman"/>
                <w:b/>
                <w:bCs/>
                <w:color w:val="000000" w:themeColor="text1"/>
                <w:sz w:val="20"/>
                <w:szCs w:val="20"/>
              </w:rPr>
            </w:pPr>
            <w:r w:rsidRPr="00A81971">
              <w:rPr>
                <w:rFonts w:eastAsia="Times New Roman"/>
                <w:b/>
                <w:bCs/>
                <w:color w:val="000000" w:themeColor="text1"/>
                <w:sz w:val="20"/>
                <w:szCs w:val="20"/>
              </w:rPr>
              <w:t>(in US$ million)</w:t>
            </w:r>
          </w:p>
        </w:tc>
        <w:tc>
          <w:tcPr>
            <w:tcW w:w="714" w:type="pct"/>
            <w:shd w:val="clear" w:color="auto" w:fill="D9E2F3" w:themeFill="accent1" w:themeFillTint="33"/>
            <w:tcMar>
              <w:left w:w="108" w:type="dxa"/>
              <w:right w:w="108" w:type="dxa"/>
            </w:tcMar>
            <w:vAlign w:val="center"/>
          </w:tcPr>
          <w:p w14:paraId="52D0D99A"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XPS Foam</w:t>
            </w:r>
          </w:p>
        </w:tc>
        <w:tc>
          <w:tcPr>
            <w:tcW w:w="714" w:type="pct"/>
            <w:shd w:val="clear" w:color="auto" w:fill="D9E2F3" w:themeFill="accent1" w:themeFillTint="33"/>
            <w:tcMar>
              <w:left w:w="108" w:type="dxa"/>
              <w:right w:w="108" w:type="dxa"/>
            </w:tcMar>
            <w:vAlign w:val="center"/>
          </w:tcPr>
          <w:p w14:paraId="3138C69B"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ICR</w:t>
            </w:r>
          </w:p>
        </w:tc>
        <w:tc>
          <w:tcPr>
            <w:tcW w:w="714" w:type="pct"/>
            <w:shd w:val="clear" w:color="auto" w:fill="D9E2F3" w:themeFill="accent1" w:themeFillTint="33"/>
            <w:tcMar>
              <w:left w:w="108" w:type="dxa"/>
              <w:right w:w="108" w:type="dxa"/>
            </w:tcMar>
            <w:vAlign w:val="center"/>
          </w:tcPr>
          <w:p w14:paraId="6A280418"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Resid. AC</w:t>
            </w:r>
          </w:p>
        </w:tc>
        <w:tc>
          <w:tcPr>
            <w:tcW w:w="714" w:type="pct"/>
            <w:shd w:val="clear" w:color="auto" w:fill="D9E2F3" w:themeFill="accent1" w:themeFillTint="33"/>
            <w:tcMar>
              <w:left w:w="108" w:type="dxa"/>
              <w:right w:w="108" w:type="dxa"/>
            </w:tcMar>
            <w:vAlign w:val="center"/>
          </w:tcPr>
          <w:p w14:paraId="1C31FA1E"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Servicing</w:t>
            </w:r>
          </w:p>
        </w:tc>
        <w:tc>
          <w:tcPr>
            <w:tcW w:w="714" w:type="pct"/>
            <w:shd w:val="clear" w:color="auto" w:fill="D9E2F3" w:themeFill="accent1" w:themeFillTint="33"/>
            <w:tcMar>
              <w:left w:w="108" w:type="dxa"/>
              <w:right w:w="108" w:type="dxa"/>
            </w:tcMar>
            <w:vAlign w:val="center"/>
          </w:tcPr>
          <w:p w14:paraId="44550BDE"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Total</w:t>
            </w:r>
          </w:p>
        </w:tc>
        <w:tc>
          <w:tcPr>
            <w:tcW w:w="714" w:type="pct"/>
            <w:shd w:val="clear" w:color="auto" w:fill="D9E2F3" w:themeFill="accent1" w:themeFillTint="33"/>
            <w:tcMar>
              <w:left w:w="108" w:type="dxa"/>
              <w:right w:w="108" w:type="dxa"/>
            </w:tcMar>
            <w:vAlign w:val="center"/>
          </w:tcPr>
          <w:p w14:paraId="0DB51B9E" w14:textId="77777777" w:rsidR="00FD617C" w:rsidRPr="00A81971" w:rsidRDefault="0032495C" w:rsidP="060C4F7D">
            <w:pPr>
              <w:spacing w:after="0"/>
              <w:jc w:val="center"/>
              <w:rPr>
                <w:rFonts w:eastAsia="Times New Roman"/>
                <w:b/>
                <w:bCs/>
                <w:color w:val="000000" w:themeColor="text1"/>
                <w:sz w:val="20"/>
                <w:szCs w:val="20"/>
              </w:rPr>
            </w:pPr>
            <w:r w:rsidRPr="00A81971">
              <w:rPr>
                <w:rFonts w:eastAsia="Times New Roman"/>
                <w:b/>
                <w:bCs/>
                <w:color w:val="000000" w:themeColor="text1"/>
                <w:sz w:val="20"/>
                <w:szCs w:val="20"/>
              </w:rPr>
              <w:t xml:space="preserve">Total (with 9.6% ASC) </w:t>
            </w:r>
          </w:p>
        </w:tc>
      </w:tr>
      <w:tr w:rsidR="00F90461" w14:paraId="6EBF2C1A" w14:textId="77777777" w:rsidTr="004E53CC">
        <w:trPr>
          <w:trHeight w:val="345"/>
          <w:jc w:val="center"/>
        </w:trPr>
        <w:tc>
          <w:tcPr>
            <w:tcW w:w="714" w:type="pct"/>
            <w:tcMar>
              <w:left w:w="108" w:type="dxa"/>
              <w:right w:w="108" w:type="dxa"/>
            </w:tcMar>
          </w:tcPr>
          <w:p w14:paraId="7C30A5C0" w14:textId="77777777" w:rsidR="00FD617C" w:rsidRPr="00A81971" w:rsidRDefault="0032495C" w:rsidP="457BD43E">
            <w:pPr>
              <w:spacing w:after="0" w:line="259" w:lineRule="auto"/>
              <w:rPr>
                <w:rFonts w:eastAsia="Times New Roman"/>
                <w:color w:val="000000" w:themeColor="text1"/>
                <w:sz w:val="20"/>
                <w:szCs w:val="20"/>
              </w:rPr>
            </w:pPr>
            <w:r w:rsidRPr="00A81971">
              <w:rPr>
                <w:rFonts w:eastAsia="Times New Roman"/>
                <w:color w:val="000000" w:themeColor="text1"/>
                <w:sz w:val="20"/>
                <w:szCs w:val="20"/>
              </w:rPr>
              <w:t xml:space="preserve">Total for 8 parties </w:t>
            </w:r>
          </w:p>
        </w:tc>
        <w:tc>
          <w:tcPr>
            <w:tcW w:w="714" w:type="pct"/>
            <w:tcMar>
              <w:left w:w="108" w:type="dxa"/>
              <w:right w:w="108" w:type="dxa"/>
            </w:tcMar>
            <w:vAlign w:val="center"/>
          </w:tcPr>
          <w:p w14:paraId="7153A1F8"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0.14</w:t>
            </w:r>
          </w:p>
        </w:tc>
        <w:tc>
          <w:tcPr>
            <w:tcW w:w="714" w:type="pct"/>
            <w:tcMar>
              <w:left w:w="108" w:type="dxa"/>
              <w:right w:w="108" w:type="dxa"/>
            </w:tcMar>
            <w:vAlign w:val="center"/>
          </w:tcPr>
          <w:p w14:paraId="3079A49A" w14:textId="77777777" w:rsidR="00FD617C" w:rsidRPr="00A81971" w:rsidRDefault="0032495C" w:rsidP="457BD43E">
            <w:pPr>
              <w:spacing w:after="0" w:line="259" w:lineRule="auto"/>
            </w:pPr>
            <w:r w:rsidRPr="00A81971">
              <w:rPr>
                <w:rFonts w:eastAsia="Times New Roman"/>
                <w:color w:val="000000" w:themeColor="text1"/>
                <w:sz w:val="20"/>
                <w:szCs w:val="20"/>
              </w:rPr>
              <w:t>208.55</w:t>
            </w:r>
          </w:p>
        </w:tc>
        <w:tc>
          <w:tcPr>
            <w:tcW w:w="714" w:type="pct"/>
            <w:tcMar>
              <w:left w:w="108" w:type="dxa"/>
              <w:right w:w="108" w:type="dxa"/>
            </w:tcMar>
            <w:vAlign w:val="center"/>
          </w:tcPr>
          <w:p w14:paraId="45AC6503"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99.70</w:t>
            </w:r>
          </w:p>
        </w:tc>
        <w:tc>
          <w:tcPr>
            <w:tcW w:w="714" w:type="pct"/>
            <w:tcMar>
              <w:left w:w="108" w:type="dxa"/>
              <w:right w:w="108" w:type="dxa"/>
            </w:tcMar>
            <w:vAlign w:val="center"/>
          </w:tcPr>
          <w:p w14:paraId="01ABFF5B" w14:textId="77777777" w:rsidR="00FD617C" w:rsidRPr="00A81971" w:rsidRDefault="0032495C" w:rsidP="457BD43E">
            <w:pPr>
              <w:spacing w:after="0" w:line="259" w:lineRule="auto"/>
            </w:pPr>
            <w:r w:rsidRPr="00A81971">
              <w:rPr>
                <w:rFonts w:eastAsia="Times New Roman"/>
                <w:color w:val="000000" w:themeColor="text1"/>
                <w:sz w:val="20"/>
                <w:szCs w:val="20"/>
              </w:rPr>
              <w:t>160.46</w:t>
            </w:r>
          </w:p>
        </w:tc>
        <w:tc>
          <w:tcPr>
            <w:tcW w:w="714" w:type="pct"/>
            <w:tcMar>
              <w:left w:w="108" w:type="dxa"/>
              <w:right w:w="108" w:type="dxa"/>
            </w:tcMar>
            <w:vAlign w:val="center"/>
          </w:tcPr>
          <w:p w14:paraId="3E7002AD" w14:textId="77777777" w:rsidR="00FD617C" w:rsidRPr="00A81971" w:rsidRDefault="0032495C" w:rsidP="457BD43E">
            <w:pPr>
              <w:spacing w:after="0" w:line="259" w:lineRule="auto"/>
            </w:pPr>
            <w:r w:rsidRPr="00A81971">
              <w:rPr>
                <w:rFonts w:eastAsia="Times New Roman"/>
                <w:color w:val="000000" w:themeColor="text1"/>
                <w:sz w:val="20"/>
                <w:szCs w:val="20"/>
              </w:rPr>
              <w:t>468.86</w:t>
            </w:r>
          </w:p>
        </w:tc>
        <w:tc>
          <w:tcPr>
            <w:tcW w:w="714" w:type="pct"/>
            <w:tcMar>
              <w:left w:w="108" w:type="dxa"/>
              <w:right w:w="108" w:type="dxa"/>
            </w:tcMar>
            <w:vAlign w:val="center"/>
          </w:tcPr>
          <w:p w14:paraId="6A237EAA" w14:textId="77777777" w:rsidR="00FD617C" w:rsidRPr="00A81971" w:rsidRDefault="0032495C" w:rsidP="457BD43E">
            <w:pPr>
              <w:spacing w:after="0" w:line="259" w:lineRule="auto"/>
            </w:pPr>
            <w:r w:rsidRPr="00A81971">
              <w:rPr>
                <w:rFonts w:eastAsia="Times New Roman"/>
                <w:color w:val="000000" w:themeColor="text1"/>
                <w:sz w:val="20"/>
                <w:szCs w:val="20"/>
              </w:rPr>
              <w:t>513.87</w:t>
            </w:r>
          </w:p>
        </w:tc>
      </w:tr>
      <w:tr w:rsidR="00F90461" w14:paraId="3BBA6DDE" w14:textId="77777777" w:rsidTr="004E53CC">
        <w:trPr>
          <w:trHeight w:val="375"/>
          <w:jc w:val="center"/>
        </w:trPr>
        <w:tc>
          <w:tcPr>
            <w:tcW w:w="714" w:type="pct"/>
            <w:shd w:val="clear" w:color="auto" w:fill="B4C6E7" w:themeFill="accent1" w:themeFillTint="66"/>
            <w:tcMar>
              <w:left w:w="108" w:type="dxa"/>
              <w:right w:w="108" w:type="dxa"/>
            </w:tcMar>
          </w:tcPr>
          <w:p w14:paraId="370BD450"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Total with 15% deduction*</w:t>
            </w:r>
          </w:p>
        </w:tc>
        <w:tc>
          <w:tcPr>
            <w:tcW w:w="714" w:type="pct"/>
            <w:shd w:val="clear" w:color="auto" w:fill="B4C6E7" w:themeFill="accent1" w:themeFillTint="66"/>
            <w:tcMar>
              <w:left w:w="108" w:type="dxa"/>
              <w:right w:w="108" w:type="dxa"/>
            </w:tcMar>
            <w:vAlign w:val="center"/>
          </w:tcPr>
          <w:p w14:paraId="5BDCC612"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0.12</w:t>
            </w:r>
          </w:p>
        </w:tc>
        <w:tc>
          <w:tcPr>
            <w:tcW w:w="714" w:type="pct"/>
            <w:shd w:val="clear" w:color="auto" w:fill="B4C6E7" w:themeFill="accent1" w:themeFillTint="66"/>
            <w:tcMar>
              <w:left w:w="108" w:type="dxa"/>
              <w:right w:w="108" w:type="dxa"/>
            </w:tcMar>
            <w:vAlign w:val="center"/>
          </w:tcPr>
          <w:p w14:paraId="3FA7858B" w14:textId="77777777" w:rsidR="00FD617C" w:rsidRPr="00A81971" w:rsidRDefault="0032495C" w:rsidP="457BD43E">
            <w:pPr>
              <w:spacing w:after="0" w:line="259" w:lineRule="auto"/>
            </w:pPr>
            <w:r w:rsidRPr="00A81971">
              <w:rPr>
                <w:rFonts w:eastAsia="Times New Roman"/>
                <w:color w:val="000000" w:themeColor="text1"/>
                <w:sz w:val="20"/>
                <w:szCs w:val="20"/>
              </w:rPr>
              <w:t>177.27</w:t>
            </w:r>
          </w:p>
        </w:tc>
        <w:tc>
          <w:tcPr>
            <w:tcW w:w="714" w:type="pct"/>
            <w:shd w:val="clear" w:color="auto" w:fill="B4C6E7" w:themeFill="accent1" w:themeFillTint="66"/>
            <w:tcMar>
              <w:left w:w="108" w:type="dxa"/>
              <w:right w:w="108" w:type="dxa"/>
            </w:tcMar>
            <w:vAlign w:val="center"/>
          </w:tcPr>
          <w:p w14:paraId="18BAF9A5"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84.75</w:t>
            </w:r>
          </w:p>
        </w:tc>
        <w:tc>
          <w:tcPr>
            <w:tcW w:w="714" w:type="pct"/>
            <w:shd w:val="clear" w:color="auto" w:fill="B4C6E7" w:themeFill="accent1" w:themeFillTint="66"/>
            <w:tcMar>
              <w:left w:w="108" w:type="dxa"/>
              <w:right w:w="108" w:type="dxa"/>
            </w:tcMar>
            <w:vAlign w:val="center"/>
          </w:tcPr>
          <w:p w14:paraId="5807E1BE" w14:textId="77777777" w:rsidR="00FD617C" w:rsidRPr="00A81971" w:rsidRDefault="0032495C" w:rsidP="457BD43E">
            <w:pPr>
              <w:spacing w:after="0" w:line="259" w:lineRule="auto"/>
            </w:pPr>
            <w:r w:rsidRPr="00A81971">
              <w:rPr>
                <w:rFonts w:eastAsia="Times New Roman"/>
                <w:color w:val="000000" w:themeColor="text1"/>
                <w:sz w:val="20"/>
                <w:szCs w:val="20"/>
              </w:rPr>
              <w:t>160.46</w:t>
            </w:r>
          </w:p>
        </w:tc>
        <w:tc>
          <w:tcPr>
            <w:tcW w:w="714" w:type="pct"/>
            <w:shd w:val="clear" w:color="auto" w:fill="B4C6E7" w:themeFill="accent1" w:themeFillTint="66"/>
            <w:tcMar>
              <w:left w:w="108" w:type="dxa"/>
              <w:right w:w="108" w:type="dxa"/>
            </w:tcMar>
            <w:vAlign w:val="center"/>
          </w:tcPr>
          <w:p w14:paraId="416C15B5" w14:textId="77777777" w:rsidR="00FD617C" w:rsidRPr="00A81971" w:rsidRDefault="0032495C" w:rsidP="457BD43E">
            <w:pPr>
              <w:spacing w:after="0" w:line="259" w:lineRule="auto"/>
            </w:pPr>
            <w:r w:rsidRPr="00A81971">
              <w:rPr>
                <w:rFonts w:eastAsia="Times New Roman"/>
                <w:color w:val="000000" w:themeColor="text1"/>
                <w:sz w:val="20"/>
                <w:szCs w:val="20"/>
              </w:rPr>
              <w:t>422.60</w:t>
            </w:r>
          </w:p>
        </w:tc>
        <w:tc>
          <w:tcPr>
            <w:tcW w:w="714" w:type="pct"/>
            <w:shd w:val="clear" w:color="auto" w:fill="B4C6E7" w:themeFill="accent1" w:themeFillTint="66"/>
            <w:tcMar>
              <w:left w:w="108" w:type="dxa"/>
              <w:right w:w="108" w:type="dxa"/>
            </w:tcMar>
            <w:vAlign w:val="center"/>
          </w:tcPr>
          <w:p w14:paraId="6A8998DE" w14:textId="77777777" w:rsidR="00FD617C" w:rsidRPr="00A81971" w:rsidRDefault="0032495C" w:rsidP="060C4F7D">
            <w:pPr>
              <w:spacing w:after="0"/>
              <w:rPr>
                <w:rFonts w:eastAsia="Times New Roman"/>
                <w:color w:val="000000" w:themeColor="text1"/>
                <w:sz w:val="20"/>
                <w:szCs w:val="20"/>
              </w:rPr>
            </w:pPr>
            <w:r w:rsidRPr="00A81971">
              <w:rPr>
                <w:rFonts w:eastAsia="Times New Roman"/>
                <w:color w:val="000000" w:themeColor="text1"/>
                <w:sz w:val="20"/>
                <w:szCs w:val="20"/>
              </w:rPr>
              <w:t>463.17</w:t>
            </w:r>
          </w:p>
        </w:tc>
      </w:tr>
    </w:tbl>
    <w:p w14:paraId="7A15A2BB" w14:textId="77777777" w:rsidR="00793ABA" w:rsidRPr="00A81971" w:rsidRDefault="0032495C" w:rsidP="457BD43E">
      <w:pPr>
        <w:spacing w:after="240" w:line="259" w:lineRule="auto"/>
      </w:pPr>
      <w:r w:rsidRPr="004E53CC">
        <w:rPr>
          <w:rFonts w:eastAsia="Times New Roman"/>
          <w:color w:val="000000" w:themeColor="text1"/>
          <w:sz w:val="18"/>
          <w:szCs w:val="18"/>
          <w:vertAlign w:val="superscript"/>
        </w:rPr>
        <w:t>*</w:t>
      </w:r>
      <w:r w:rsidR="000E3D26" w:rsidRPr="00A81971">
        <w:rPr>
          <w:rFonts w:eastAsia="Times New Roman"/>
          <w:color w:val="000000" w:themeColor="text1"/>
          <w:sz w:val="18"/>
          <w:szCs w:val="18"/>
        </w:rPr>
        <w:t xml:space="preserve">A </w:t>
      </w:r>
      <w:r w:rsidRPr="00A81971">
        <w:rPr>
          <w:rFonts w:eastAsia="Times New Roman"/>
          <w:color w:val="000000" w:themeColor="text1"/>
          <w:sz w:val="18"/>
          <w:szCs w:val="18"/>
        </w:rPr>
        <w:t xml:space="preserve">15% deduction </w:t>
      </w:r>
      <w:r w:rsidR="000E3D26" w:rsidRPr="00A81971">
        <w:rPr>
          <w:rFonts w:eastAsia="Times New Roman"/>
          <w:color w:val="000000" w:themeColor="text1"/>
          <w:sz w:val="18"/>
          <w:szCs w:val="18"/>
        </w:rPr>
        <w:t xml:space="preserve">was applied </w:t>
      </w:r>
      <w:r w:rsidRPr="00A81971">
        <w:rPr>
          <w:rFonts w:eastAsia="Times New Roman"/>
          <w:color w:val="000000" w:themeColor="text1"/>
          <w:sz w:val="18"/>
          <w:szCs w:val="18"/>
        </w:rPr>
        <w:t xml:space="preserve">for foreign ownership in </w:t>
      </w:r>
      <w:r w:rsidR="00BF1249" w:rsidRPr="00A81971">
        <w:rPr>
          <w:rFonts w:eastAsia="Times New Roman"/>
          <w:color w:val="000000" w:themeColor="text1"/>
          <w:sz w:val="18"/>
          <w:szCs w:val="18"/>
        </w:rPr>
        <w:t xml:space="preserve">the </w:t>
      </w:r>
      <w:r w:rsidRPr="00A81971">
        <w:rPr>
          <w:rFonts w:eastAsia="Times New Roman"/>
          <w:color w:val="000000" w:themeColor="text1"/>
          <w:sz w:val="18"/>
          <w:szCs w:val="18"/>
        </w:rPr>
        <w:t xml:space="preserve">manufacturing sector. Only sectors with remaining </w:t>
      </w:r>
      <w:r w:rsidR="00BF1249" w:rsidRPr="00A81971">
        <w:rPr>
          <w:rFonts w:eastAsia="Times New Roman"/>
          <w:color w:val="000000" w:themeColor="text1"/>
          <w:sz w:val="18"/>
          <w:szCs w:val="18"/>
        </w:rPr>
        <w:t xml:space="preserve">eligible </w:t>
      </w:r>
      <w:r w:rsidRPr="00A81971">
        <w:rPr>
          <w:rFonts w:eastAsia="Times New Roman"/>
          <w:color w:val="000000" w:themeColor="text1"/>
          <w:sz w:val="18"/>
          <w:szCs w:val="18"/>
        </w:rPr>
        <w:t>consumption for each individual party were considered</w:t>
      </w:r>
      <w:r w:rsidRPr="00A81971">
        <w:rPr>
          <w:rFonts w:eastAsia="Times New Roman"/>
          <w:color w:val="000000" w:themeColor="text1"/>
          <w:sz w:val="16"/>
          <w:szCs w:val="16"/>
        </w:rPr>
        <w:t>.</w:t>
      </w:r>
    </w:p>
    <w:p w14:paraId="2B10CBE8" w14:textId="77777777" w:rsidR="003919E8" w:rsidRPr="00A81971" w:rsidRDefault="0032495C" w:rsidP="1207221D">
      <w:pPr>
        <w:tabs>
          <w:tab w:val="left" w:pos="720"/>
        </w:tabs>
        <w:spacing w:after="240" w:line="259" w:lineRule="auto"/>
        <w:rPr>
          <w:rFonts w:eastAsia="Times New Roman"/>
          <w:color w:val="000000" w:themeColor="text1"/>
        </w:rPr>
      </w:pPr>
      <w:r w:rsidRPr="00A81971">
        <w:rPr>
          <w:rFonts w:eastAsia="Times New Roman"/>
          <w:color w:val="000000" w:themeColor="text1"/>
        </w:rPr>
        <w:t xml:space="preserve">PMUs are not included in the total funding presented in Table </w:t>
      </w:r>
      <w:r w:rsidR="091457C3" w:rsidRPr="00A81971">
        <w:rPr>
          <w:rFonts w:eastAsia="Times New Roman"/>
          <w:color w:val="000000" w:themeColor="text1"/>
        </w:rPr>
        <w:t>A2</w:t>
      </w:r>
      <w:r w:rsidRPr="00A81971">
        <w:rPr>
          <w:rFonts w:eastAsia="Times New Roman"/>
          <w:color w:val="000000" w:themeColor="text1"/>
        </w:rPr>
        <w:t xml:space="preserve">.4. PMUs, including the 9.6% Agency Support Costs (ASC), </w:t>
      </w:r>
      <w:r w:rsidRPr="004E53CC">
        <w:rPr>
          <w:rFonts w:eastAsia="Times New Roman"/>
        </w:rPr>
        <w:t>represent an additional US$ 22.83 million</w:t>
      </w:r>
      <w:r w:rsidR="091457C3" w:rsidRPr="00A81971">
        <w:rPr>
          <w:rFonts w:eastAsia="Times New Roman"/>
        </w:rPr>
        <w:t>.</w:t>
      </w:r>
    </w:p>
    <w:p w14:paraId="3E6B5361" w14:textId="77777777" w:rsidR="00793ABA" w:rsidRPr="00A81971" w:rsidRDefault="0032495C" w:rsidP="457BD43E">
      <w:pPr>
        <w:tabs>
          <w:tab w:val="left" w:pos="0"/>
          <w:tab w:val="left" w:pos="720"/>
        </w:tabs>
        <w:spacing w:after="240" w:line="259" w:lineRule="auto"/>
        <w:rPr>
          <w:rFonts w:eastAsia="Times New Roman"/>
          <w:b/>
          <w:bCs/>
          <w:color w:val="000000" w:themeColor="text1"/>
        </w:rPr>
      </w:pPr>
      <w:r w:rsidRPr="00A81971">
        <w:rPr>
          <w:rFonts w:eastAsia="Times New Roman"/>
          <w:b/>
          <w:bCs/>
          <w:color w:val="000000" w:themeColor="text1"/>
        </w:rPr>
        <w:t>6</w:t>
      </w:r>
      <w:r w:rsidR="060C4F7D" w:rsidRPr="00A81971">
        <w:rPr>
          <w:rFonts w:eastAsia="Times New Roman"/>
          <w:b/>
          <w:bCs/>
          <w:color w:val="000000" w:themeColor="text1"/>
        </w:rPr>
        <w:t xml:space="preserve"> LVC Parties (out of total of </w:t>
      </w:r>
      <w:r w:rsidRPr="00A81971">
        <w:rPr>
          <w:rFonts w:eastAsia="Times New Roman"/>
          <w:b/>
          <w:bCs/>
          <w:color w:val="000000" w:themeColor="text1"/>
        </w:rPr>
        <w:t>14</w:t>
      </w:r>
      <w:r w:rsidR="060C4F7D" w:rsidRPr="00A81971">
        <w:rPr>
          <w:rFonts w:eastAsia="Times New Roman"/>
          <w:b/>
          <w:bCs/>
          <w:color w:val="000000" w:themeColor="text1"/>
        </w:rPr>
        <w:t xml:space="preserve"> non-LVC and LVC</w:t>
      </w:r>
      <w:r w:rsidR="00E73278" w:rsidRPr="00A81971">
        <w:rPr>
          <w:rFonts w:eastAsia="Times New Roman"/>
          <w:b/>
          <w:bCs/>
          <w:color w:val="000000" w:themeColor="text1"/>
        </w:rPr>
        <w:t xml:space="preserve"> parties</w:t>
      </w:r>
      <w:r w:rsidR="060C4F7D" w:rsidRPr="00A81971">
        <w:rPr>
          <w:rFonts w:eastAsia="Times New Roman"/>
          <w:b/>
          <w:bCs/>
          <w:color w:val="000000" w:themeColor="text1"/>
        </w:rPr>
        <w:t>)</w:t>
      </w:r>
    </w:p>
    <w:p w14:paraId="366A90BF" w14:textId="77777777" w:rsidR="00793ABA" w:rsidRPr="00A81971" w:rsidRDefault="0032495C" w:rsidP="457BD43E">
      <w:pPr>
        <w:spacing w:after="240" w:line="259" w:lineRule="auto"/>
        <w:rPr>
          <w:rFonts w:eastAsia="Times New Roman"/>
          <w:color w:val="000000" w:themeColor="text1"/>
        </w:rPr>
      </w:pPr>
      <w:r w:rsidRPr="00A81971">
        <w:rPr>
          <w:rFonts w:eastAsia="Times New Roman"/>
          <w:color w:val="000000" w:themeColor="text1"/>
        </w:rPr>
        <w:t>O</w:t>
      </w:r>
      <w:r w:rsidR="00F93643" w:rsidRPr="00A81971">
        <w:rPr>
          <w:rFonts w:eastAsia="Times New Roman"/>
          <w:color w:val="000000" w:themeColor="text1"/>
        </w:rPr>
        <w:t>f</w:t>
      </w:r>
      <w:r w:rsidRPr="00A81971">
        <w:rPr>
          <w:rFonts w:eastAsia="Times New Roman"/>
          <w:color w:val="000000" w:themeColor="text1"/>
        </w:rPr>
        <w:t xml:space="preserve"> </w:t>
      </w:r>
      <w:r w:rsidR="00F93643" w:rsidRPr="00A81971">
        <w:rPr>
          <w:rFonts w:eastAsia="Times New Roman"/>
          <w:color w:val="000000" w:themeColor="text1"/>
        </w:rPr>
        <w:t xml:space="preserve">the </w:t>
      </w:r>
      <w:r w:rsidR="457BD43E" w:rsidRPr="00A81971">
        <w:rPr>
          <w:rFonts w:eastAsia="Times New Roman"/>
          <w:color w:val="000000" w:themeColor="text1"/>
        </w:rPr>
        <w:t>14</w:t>
      </w:r>
      <w:r w:rsidRPr="00A81971">
        <w:rPr>
          <w:rFonts w:eastAsia="Times New Roman"/>
          <w:color w:val="000000" w:themeColor="text1"/>
        </w:rPr>
        <w:t xml:space="preserve"> parties,</w:t>
      </w:r>
      <w:r w:rsidRPr="00A81971">
        <w:rPr>
          <w:rFonts w:eastAsia="Times New Roman"/>
          <w:b/>
          <w:bCs/>
          <w:color w:val="000000" w:themeColor="text1"/>
        </w:rPr>
        <w:t xml:space="preserve"> </w:t>
      </w:r>
      <w:r w:rsidR="457BD43E" w:rsidRPr="00A81971">
        <w:rPr>
          <w:rFonts w:eastAsia="Times New Roman"/>
          <w:b/>
          <w:bCs/>
          <w:color w:val="000000" w:themeColor="text1"/>
        </w:rPr>
        <w:t>6</w:t>
      </w:r>
      <w:r w:rsidRPr="00A81971">
        <w:rPr>
          <w:rFonts w:eastAsia="Times New Roman"/>
          <w:b/>
          <w:bCs/>
          <w:color w:val="000000" w:themeColor="text1"/>
        </w:rPr>
        <w:t xml:space="preserve"> are LVCs. </w:t>
      </w:r>
      <w:r w:rsidRPr="00A81971">
        <w:rPr>
          <w:rFonts w:eastAsia="Times New Roman"/>
          <w:color w:val="000000" w:themeColor="text1"/>
        </w:rPr>
        <w:t>For th</w:t>
      </w:r>
      <w:r w:rsidR="00727F84" w:rsidRPr="00A81971">
        <w:rPr>
          <w:rFonts w:eastAsia="Times New Roman"/>
          <w:color w:val="000000" w:themeColor="text1"/>
        </w:rPr>
        <w:t>e</w:t>
      </w:r>
      <w:r w:rsidRPr="00A81971">
        <w:rPr>
          <w:rFonts w:eastAsia="Times New Roman"/>
          <w:color w:val="000000" w:themeColor="text1"/>
        </w:rPr>
        <w:t>se</w:t>
      </w:r>
      <w:r w:rsidR="00727F84" w:rsidRPr="00A81971">
        <w:rPr>
          <w:rFonts w:eastAsia="Times New Roman"/>
          <w:color w:val="000000" w:themeColor="text1"/>
        </w:rPr>
        <w:t xml:space="preserve"> parties</w:t>
      </w:r>
      <w:r w:rsidRPr="00A81971">
        <w:rPr>
          <w:rFonts w:eastAsia="Times New Roman"/>
          <w:b/>
          <w:bCs/>
          <w:color w:val="000000" w:themeColor="text1"/>
        </w:rPr>
        <w:t xml:space="preserve">, </w:t>
      </w:r>
      <w:r w:rsidRPr="00A81971">
        <w:rPr>
          <w:rFonts w:eastAsia="Times New Roman"/>
          <w:color w:val="000000" w:themeColor="text1"/>
        </w:rPr>
        <w:t xml:space="preserve">RTF estimated new funding considering a separate cost framework, </w:t>
      </w:r>
      <w:r w:rsidR="0077420F" w:rsidRPr="00A81971">
        <w:rPr>
          <w:rFonts w:eastAsia="Times New Roman"/>
          <w:color w:val="000000" w:themeColor="text1"/>
        </w:rPr>
        <w:t xml:space="preserve">in accordance with </w:t>
      </w:r>
      <w:r w:rsidRPr="00A81971">
        <w:rPr>
          <w:rFonts w:eastAsia="Times New Roman"/>
          <w:color w:val="000000" w:themeColor="text1"/>
        </w:rPr>
        <w:t xml:space="preserve">ExCom Decision 74/50. </w:t>
      </w:r>
      <w:r w:rsidR="0077420F" w:rsidRPr="00A81971">
        <w:rPr>
          <w:rFonts w:eastAsia="Times New Roman"/>
          <w:color w:val="000000" w:themeColor="text1"/>
        </w:rPr>
        <w:t>The n</w:t>
      </w:r>
      <w:r w:rsidRPr="00A81971">
        <w:rPr>
          <w:rFonts w:eastAsia="Times New Roman"/>
          <w:color w:val="000000" w:themeColor="text1"/>
        </w:rPr>
        <w:t xml:space="preserve">ew funding estimates are </w:t>
      </w:r>
      <w:r w:rsidR="005D0A63" w:rsidRPr="00A81971">
        <w:rPr>
          <w:rFonts w:eastAsia="Times New Roman"/>
          <w:color w:val="000000" w:themeColor="text1"/>
        </w:rPr>
        <w:t xml:space="preserve">presented </w:t>
      </w:r>
      <w:r w:rsidRPr="00A81971">
        <w:rPr>
          <w:rFonts w:eastAsia="Times New Roman"/>
          <w:color w:val="000000" w:themeColor="text1"/>
        </w:rPr>
        <w:t xml:space="preserve">under </w:t>
      </w:r>
      <w:r w:rsidRPr="00A81971">
        <w:rPr>
          <w:rFonts w:eastAsia="Times New Roman"/>
          <w:b/>
          <w:bCs/>
          <w:color w:val="000000" w:themeColor="text1"/>
        </w:rPr>
        <w:t xml:space="preserve">Output 6 </w:t>
      </w:r>
      <w:r w:rsidRPr="00A81971">
        <w:rPr>
          <w:rFonts w:eastAsia="Times New Roman"/>
          <w:color w:val="000000" w:themeColor="text1"/>
        </w:rPr>
        <w:t>in Figure A</w:t>
      </w:r>
      <w:r w:rsidR="008645DF" w:rsidRPr="00A81971">
        <w:rPr>
          <w:rFonts w:eastAsia="Times New Roman"/>
          <w:color w:val="000000" w:themeColor="text1"/>
        </w:rPr>
        <w:t>1.</w:t>
      </w:r>
      <w:r w:rsidRPr="00A81971">
        <w:rPr>
          <w:rFonts w:eastAsia="Times New Roman"/>
          <w:color w:val="000000" w:themeColor="text1"/>
        </w:rPr>
        <w:t xml:space="preserve">3.  </w:t>
      </w:r>
      <w:r w:rsidR="00EE34B6" w:rsidRPr="00A81971">
        <w:rPr>
          <w:rFonts w:eastAsia="Times New Roman"/>
          <w:color w:val="000000" w:themeColor="text1"/>
        </w:rPr>
        <w:t xml:space="preserve">Taking into account the </w:t>
      </w:r>
      <w:r w:rsidRPr="00A81971">
        <w:rPr>
          <w:rFonts w:eastAsia="Times New Roman"/>
          <w:color w:val="000000" w:themeColor="text1"/>
        </w:rPr>
        <w:t xml:space="preserve">amounts already committed for the remaining </w:t>
      </w:r>
      <w:r w:rsidR="457BD43E" w:rsidRPr="00A81971">
        <w:rPr>
          <w:rFonts w:eastAsia="Times New Roman"/>
          <w:color w:val="000000" w:themeColor="text1"/>
        </w:rPr>
        <w:t>6</w:t>
      </w:r>
      <w:r w:rsidRPr="00A81971">
        <w:rPr>
          <w:rFonts w:eastAsia="Times New Roman"/>
          <w:color w:val="000000" w:themeColor="text1"/>
        </w:rPr>
        <w:t xml:space="preserve"> </w:t>
      </w:r>
      <w:r w:rsidR="00AA2C10" w:rsidRPr="00A81971">
        <w:rPr>
          <w:rFonts w:eastAsia="Times New Roman"/>
          <w:color w:val="000000" w:themeColor="text1"/>
        </w:rPr>
        <w:t xml:space="preserve">LVC </w:t>
      </w:r>
      <w:r w:rsidRPr="00A81971">
        <w:rPr>
          <w:rFonts w:eastAsia="Times New Roman"/>
          <w:color w:val="000000" w:themeColor="text1"/>
        </w:rPr>
        <w:t xml:space="preserve">countries, as well as the funding levels established under Decision 74/50 for </w:t>
      </w:r>
      <w:r w:rsidR="00185918" w:rsidRPr="00A81971">
        <w:rPr>
          <w:rFonts w:eastAsia="Times New Roman"/>
          <w:color w:val="000000" w:themeColor="text1"/>
        </w:rPr>
        <w:t xml:space="preserve">the </w:t>
      </w:r>
      <w:r w:rsidRPr="00A81971">
        <w:rPr>
          <w:rFonts w:eastAsia="Times New Roman"/>
          <w:color w:val="000000" w:themeColor="text1"/>
        </w:rPr>
        <w:t xml:space="preserve">phaseout, the total amount to be allocated to these countries is </w:t>
      </w:r>
      <w:r w:rsidRPr="00A81971">
        <w:rPr>
          <w:rFonts w:eastAsia="Times New Roman"/>
          <w:b/>
          <w:bCs/>
          <w:color w:val="000000" w:themeColor="text1"/>
        </w:rPr>
        <w:t xml:space="preserve">US$ </w:t>
      </w:r>
      <w:r w:rsidR="457BD43E" w:rsidRPr="00A81971">
        <w:rPr>
          <w:rFonts w:eastAsia="Times New Roman"/>
          <w:b/>
          <w:bCs/>
          <w:color w:val="000000" w:themeColor="text1"/>
        </w:rPr>
        <w:t>2.16</w:t>
      </w:r>
      <w:r w:rsidRPr="00A81971">
        <w:rPr>
          <w:rFonts w:eastAsia="Times New Roman"/>
          <w:b/>
          <w:bCs/>
          <w:color w:val="000000" w:themeColor="text1"/>
        </w:rPr>
        <w:t xml:space="preserve"> million</w:t>
      </w:r>
      <w:r w:rsidRPr="00A81971">
        <w:rPr>
          <w:rFonts w:eastAsia="Times New Roman"/>
          <w:color w:val="000000" w:themeColor="text1"/>
        </w:rPr>
        <w:t>.</w:t>
      </w:r>
    </w:p>
    <w:p w14:paraId="313FC76E" w14:textId="77777777" w:rsidR="00793ABA" w:rsidRPr="00A81971" w:rsidRDefault="0032495C" w:rsidP="457BD43E">
      <w:pPr>
        <w:tabs>
          <w:tab w:val="left" w:pos="720"/>
        </w:tabs>
        <w:spacing w:after="240" w:line="259" w:lineRule="auto"/>
        <w:rPr>
          <w:rFonts w:eastAsia="Times New Roman"/>
          <w:color w:val="000000" w:themeColor="text1"/>
        </w:rPr>
      </w:pPr>
      <w:r w:rsidRPr="00A81971">
        <w:rPr>
          <w:rFonts w:eastAsia="Times New Roman"/>
          <w:color w:val="000000" w:themeColor="text1"/>
        </w:rPr>
        <w:t xml:space="preserve">The total estimated new funding for </w:t>
      </w:r>
      <w:r w:rsidR="457BD43E" w:rsidRPr="00A81971">
        <w:rPr>
          <w:rFonts w:eastAsia="Times New Roman"/>
          <w:color w:val="000000" w:themeColor="text1"/>
        </w:rPr>
        <w:t>14</w:t>
      </w:r>
      <w:r w:rsidRPr="00A81971">
        <w:rPr>
          <w:rFonts w:eastAsia="Times New Roman"/>
          <w:color w:val="000000" w:themeColor="text1"/>
        </w:rPr>
        <w:t xml:space="preserve"> parties (</w:t>
      </w:r>
      <w:r w:rsidR="457BD43E" w:rsidRPr="00A81971">
        <w:rPr>
          <w:rFonts w:eastAsia="Times New Roman"/>
          <w:color w:val="000000" w:themeColor="text1"/>
        </w:rPr>
        <w:t>8</w:t>
      </w:r>
      <w:r w:rsidRPr="00A81971">
        <w:rPr>
          <w:rFonts w:eastAsia="Times New Roman"/>
          <w:color w:val="000000" w:themeColor="text1"/>
        </w:rPr>
        <w:t xml:space="preserve"> non-LVCs plus </w:t>
      </w:r>
      <w:r w:rsidR="457BD43E" w:rsidRPr="00A81971">
        <w:rPr>
          <w:rFonts w:eastAsia="Times New Roman"/>
          <w:color w:val="000000" w:themeColor="text1"/>
        </w:rPr>
        <w:t>6</w:t>
      </w:r>
      <w:r w:rsidRPr="00A81971">
        <w:rPr>
          <w:rFonts w:eastAsia="Times New Roman"/>
          <w:color w:val="000000" w:themeColor="text1"/>
        </w:rPr>
        <w:t xml:space="preserve"> LVCs) w</w:t>
      </w:r>
      <w:r w:rsidR="00030B16" w:rsidRPr="00A81971">
        <w:rPr>
          <w:rFonts w:eastAsia="Times New Roman"/>
          <w:color w:val="000000" w:themeColor="text1"/>
        </w:rPr>
        <w:t>as</w:t>
      </w:r>
      <w:r w:rsidRPr="00A81971">
        <w:rPr>
          <w:rFonts w:eastAsia="Times New Roman"/>
          <w:color w:val="000000" w:themeColor="text1"/>
        </w:rPr>
        <w:t xml:space="preserve"> calculated by adding the estimated funding for </w:t>
      </w:r>
      <w:r w:rsidR="000D689E" w:rsidRPr="00A81971">
        <w:rPr>
          <w:rFonts w:eastAsia="Times New Roman"/>
          <w:color w:val="000000" w:themeColor="text1"/>
        </w:rPr>
        <w:t xml:space="preserve">the </w:t>
      </w:r>
      <w:r w:rsidRPr="00A81971">
        <w:rPr>
          <w:rFonts w:eastAsia="Times New Roman"/>
          <w:color w:val="000000" w:themeColor="text1"/>
        </w:rPr>
        <w:t xml:space="preserve">non-LVCs (Output 4 </w:t>
      </w:r>
      <w:r w:rsidRPr="00A81971">
        <w:rPr>
          <w:rFonts w:eastAsia="Times New Roman"/>
          <w:color w:val="000000" w:themeColor="text1"/>
          <w:u w:val="single"/>
        </w:rPr>
        <w:t>or</w:t>
      </w:r>
      <w:r w:rsidRPr="00A81971">
        <w:rPr>
          <w:rFonts w:eastAsia="Times New Roman"/>
          <w:color w:val="000000" w:themeColor="text1"/>
        </w:rPr>
        <w:t xml:space="preserve"> 5) </w:t>
      </w:r>
      <w:r w:rsidR="00E62EBD" w:rsidRPr="00A81971">
        <w:rPr>
          <w:rFonts w:eastAsia="Times New Roman"/>
          <w:color w:val="000000" w:themeColor="text1"/>
        </w:rPr>
        <w:t xml:space="preserve">to the estimated funding </w:t>
      </w:r>
      <w:r w:rsidRPr="00A81971">
        <w:rPr>
          <w:rFonts w:eastAsia="Times New Roman"/>
          <w:color w:val="000000" w:themeColor="text1"/>
        </w:rPr>
        <w:t xml:space="preserve">for </w:t>
      </w:r>
      <w:r w:rsidR="00F329E1" w:rsidRPr="00A81971">
        <w:rPr>
          <w:rFonts w:eastAsia="Times New Roman"/>
          <w:color w:val="000000" w:themeColor="text1"/>
        </w:rPr>
        <w:t xml:space="preserve">the </w:t>
      </w:r>
      <w:r w:rsidRPr="00A81971">
        <w:rPr>
          <w:rFonts w:eastAsia="Times New Roman"/>
          <w:color w:val="000000" w:themeColor="text1"/>
        </w:rPr>
        <w:t>LVC parties (Output 6)</w:t>
      </w:r>
      <w:r w:rsidR="00B166A9" w:rsidRPr="00A81971">
        <w:rPr>
          <w:rFonts w:eastAsia="Times New Roman"/>
          <w:color w:val="000000" w:themeColor="text1"/>
        </w:rPr>
        <w:t>.</w:t>
      </w:r>
      <w:r w:rsidRPr="00A81971">
        <w:rPr>
          <w:rFonts w:eastAsia="Times New Roman"/>
          <w:color w:val="000000" w:themeColor="text1"/>
        </w:rPr>
        <w:t xml:space="preserve"> </w:t>
      </w:r>
      <w:r w:rsidR="001E276D" w:rsidRPr="00A81971">
        <w:rPr>
          <w:rFonts w:eastAsia="Times New Roman"/>
          <w:color w:val="000000" w:themeColor="text1"/>
        </w:rPr>
        <w:t xml:space="preserve">This results in </w:t>
      </w:r>
      <w:r w:rsidRPr="00A81971">
        <w:rPr>
          <w:rFonts w:eastAsia="Times New Roman"/>
          <w:color w:val="000000" w:themeColor="text1"/>
        </w:rPr>
        <w:t xml:space="preserve">a range based on two different CE scenarios. </w:t>
      </w:r>
    </w:p>
    <w:p w14:paraId="76D28AD8" w14:textId="77777777" w:rsidR="00793ABA" w:rsidRPr="00A81971" w:rsidRDefault="0032495C" w:rsidP="457BD43E">
      <w:pPr>
        <w:tabs>
          <w:tab w:val="left" w:pos="720"/>
        </w:tabs>
        <w:spacing w:after="240" w:line="259" w:lineRule="auto"/>
        <w:rPr>
          <w:rFonts w:eastAsia="Times New Roman"/>
          <w:color w:val="000000" w:themeColor="text1"/>
        </w:rPr>
      </w:pPr>
      <w:r w:rsidRPr="00A81971">
        <w:rPr>
          <w:rFonts w:eastAsia="Times New Roman"/>
          <w:color w:val="000000" w:themeColor="text1"/>
        </w:rPr>
        <w:lastRenderedPageBreak/>
        <w:t xml:space="preserve">Accordingly, </w:t>
      </w:r>
      <w:r w:rsidR="060C4F7D" w:rsidRPr="00A81971">
        <w:rPr>
          <w:rFonts w:eastAsia="Times New Roman"/>
          <w:color w:val="000000" w:themeColor="text1"/>
        </w:rPr>
        <w:t xml:space="preserve">the total estimated funding for </w:t>
      </w:r>
      <w:r w:rsidR="457BD43E" w:rsidRPr="00A81971">
        <w:rPr>
          <w:rFonts w:eastAsia="Times New Roman"/>
          <w:color w:val="000000" w:themeColor="text1"/>
        </w:rPr>
        <w:t>14</w:t>
      </w:r>
      <w:r w:rsidR="060C4F7D" w:rsidRPr="00A81971">
        <w:rPr>
          <w:rFonts w:eastAsia="Times New Roman"/>
          <w:color w:val="000000" w:themeColor="text1"/>
        </w:rPr>
        <w:t xml:space="preserve"> parties</w:t>
      </w:r>
      <w:r w:rsidRPr="00A81971">
        <w:rPr>
          <w:rFonts w:eastAsia="Times New Roman"/>
          <w:color w:val="000000" w:themeColor="text1"/>
        </w:rPr>
        <w:t>,</w:t>
      </w:r>
      <w:r w:rsidR="060C4F7D" w:rsidRPr="00A81971">
        <w:rPr>
          <w:rFonts w:eastAsia="Times New Roman"/>
          <w:color w:val="000000" w:themeColor="text1"/>
        </w:rPr>
        <w:t xml:space="preserve"> which have eligible remaining consumption to be addressed </w:t>
      </w:r>
      <w:r w:rsidR="00DE5B1B" w:rsidRPr="00A81971">
        <w:rPr>
          <w:rFonts w:eastAsia="Times New Roman"/>
          <w:color w:val="000000" w:themeColor="text1"/>
        </w:rPr>
        <w:t xml:space="preserve">in order to achieve </w:t>
      </w:r>
      <w:r w:rsidR="060C4F7D" w:rsidRPr="00A81971">
        <w:rPr>
          <w:rFonts w:eastAsia="Times New Roman"/>
          <w:color w:val="000000" w:themeColor="text1"/>
        </w:rPr>
        <w:t>complete phaseout</w:t>
      </w:r>
      <w:r w:rsidR="00DE5B1B" w:rsidRPr="00A81971">
        <w:rPr>
          <w:rFonts w:eastAsia="Times New Roman"/>
          <w:color w:val="000000" w:themeColor="text1"/>
        </w:rPr>
        <w:t xml:space="preserve">, </w:t>
      </w:r>
      <w:r w:rsidR="060C4F7D" w:rsidRPr="00A81971">
        <w:rPr>
          <w:rFonts w:eastAsia="Times New Roman"/>
          <w:color w:val="000000" w:themeColor="text1"/>
        </w:rPr>
        <w:t>is:</w:t>
      </w:r>
    </w:p>
    <w:p w14:paraId="0625700A" w14:textId="77777777" w:rsidR="00793ABA" w:rsidRPr="00A81971" w:rsidRDefault="0032495C" w:rsidP="007A20BD">
      <w:pPr>
        <w:pStyle w:val="ListParagraph"/>
        <w:numPr>
          <w:ilvl w:val="0"/>
          <w:numId w:val="17"/>
        </w:numPr>
        <w:spacing w:after="0" w:line="259" w:lineRule="auto"/>
        <w:jc w:val="both"/>
        <w:rPr>
          <w:rFonts w:eastAsia="Times New Roman"/>
          <w:b/>
          <w:bCs/>
          <w:color w:val="000000" w:themeColor="text1"/>
        </w:rPr>
      </w:pPr>
      <w:r w:rsidRPr="00A81971">
        <w:rPr>
          <w:rFonts w:eastAsia="Times New Roman"/>
          <w:b/>
          <w:bCs/>
          <w:color w:val="000000" w:themeColor="text1"/>
        </w:rPr>
        <w:t xml:space="preserve">HCFC Scenario 1: US$ </w:t>
      </w:r>
      <w:r w:rsidR="457BD43E" w:rsidRPr="00A81971">
        <w:rPr>
          <w:rFonts w:eastAsia="Times New Roman"/>
          <w:b/>
          <w:bCs/>
          <w:color w:val="000000" w:themeColor="text1"/>
        </w:rPr>
        <w:t>330.00</w:t>
      </w:r>
      <w:r w:rsidRPr="00A81971">
        <w:rPr>
          <w:rFonts w:eastAsia="Times New Roman"/>
          <w:b/>
          <w:bCs/>
          <w:color w:val="000000" w:themeColor="text1"/>
        </w:rPr>
        <w:t xml:space="preserve"> million</w:t>
      </w:r>
    </w:p>
    <w:p w14:paraId="6547F4F1" w14:textId="77777777" w:rsidR="00793ABA" w:rsidRPr="00A81971" w:rsidRDefault="0032495C" w:rsidP="007A20BD">
      <w:pPr>
        <w:pStyle w:val="ListParagraph"/>
        <w:numPr>
          <w:ilvl w:val="0"/>
          <w:numId w:val="17"/>
        </w:numPr>
        <w:spacing w:after="0" w:line="259" w:lineRule="auto"/>
        <w:jc w:val="both"/>
        <w:rPr>
          <w:rFonts w:eastAsia="Times New Roman"/>
          <w:b/>
          <w:bCs/>
          <w:color w:val="000000" w:themeColor="text1"/>
        </w:rPr>
      </w:pPr>
      <w:r w:rsidRPr="00A81971">
        <w:rPr>
          <w:rFonts w:eastAsia="Times New Roman"/>
          <w:b/>
          <w:bCs/>
          <w:color w:val="000000" w:themeColor="text1"/>
        </w:rPr>
        <w:t xml:space="preserve">HCFC Scenario 2: US$ </w:t>
      </w:r>
      <w:r w:rsidR="457BD43E" w:rsidRPr="00A81971">
        <w:rPr>
          <w:rFonts w:eastAsia="Times New Roman"/>
          <w:b/>
          <w:bCs/>
          <w:color w:val="000000" w:themeColor="text1"/>
        </w:rPr>
        <w:t>465.32</w:t>
      </w:r>
      <w:r w:rsidRPr="00A81971">
        <w:rPr>
          <w:rFonts w:eastAsia="Times New Roman"/>
          <w:b/>
          <w:bCs/>
          <w:color w:val="000000" w:themeColor="text1"/>
        </w:rPr>
        <w:t xml:space="preserve"> million</w:t>
      </w:r>
    </w:p>
    <w:p w14:paraId="148C9C11" w14:textId="77777777" w:rsidR="009D2F76" w:rsidRPr="00A81971" w:rsidRDefault="0032495C" w:rsidP="003649E3">
      <w:pPr>
        <w:tabs>
          <w:tab w:val="left" w:pos="720"/>
        </w:tabs>
        <w:spacing w:after="240"/>
      </w:pPr>
      <w:r w:rsidRPr="00A81971">
        <w:rPr>
          <w:rFonts w:eastAsia="Times New Roman"/>
          <w:color w:val="000000" w:themeColor="text1"/>
        </w:rPr>
        <w:t xml:space="preserve"> </w:t>
      </w:r>
    </w:p>
    <w:p w14:paraId="714BFBD5" w14:textId="77777777" w:rsidR="009D2F76" w:rsidRPr="00A81971" w:rsidRDefault="0032495C" w:rsidP="00201CFA">
      <w:pPr>
        <w:pStyle w:val="Heading2"/>
      </w:pPr>
      <w:bookmarkStart w:id="239" w:name="_Toc240987344"/>
      <w:r w:rsidRPr="00A81971">
        <w:t>A</w:t>
      </w:r>
      <w:r w:rsidR="00B51EC6" w:rsidRPr="00A81971">
        <w:t>2</w:t>
      </w:r>
      <w:r w:rsidRPr="00A81971">
        <w:t>.3</w:t>
      </w:r>
      <w:r w:rsidRPr="00A81971">
        <w:tab/>
        <w:t>Verification costs for HPMPs</w:t>
      </w:r>
      <w:bookmarkEnd w:id="239"/>
      <w:r w:rsidRPr="00A81971">
        <w:tab/>
      </w:r>
      <w:r w:rsidRPr="00A81971">
        <w:tab/>
      </w:r>
    </w:p>
    <w:p w14:paraId="0B091B69" w14:textId="77777777" w:rsidR="009D2F76" w:rsidRPr="00A81971" w:rsidRDefault="0032495C" w:rsidP="009D2F76">
      <w:pPr>
        <w:spacing w:after="240"/>
        <w:rPr>
          <w:rFonts w:eastAsia="Times New Roman"/>
          <w:b/>
          <w:bCs/>
          <w:color w:val="000000" w:themeColor="text1"/>
        </w:rPr>
      </w:pPr>
      <w:r w:rsidRPr="00A81971">
        <w:rPr>
          <w:rFonts w:eastAsia="Times New Roman"/>
          <w:color w:val="000000" w:themeColor="text1"/>
        </w:rPr>
        <w:t xml:space="preserve">Regarding verification costs, the </w:t>
      </w:r>
      <w:r w:rsidR="001F6343" w:rsidRPr="00A81971">
        <w:rPr>
          <w:rFonts w:eastAsia="Times New Roman"/>
          <w:color w:val="000000" w:themeColor="text1"/>
        </w:rPr>
        <w:t>A</w:t>
      </w:r>
      <w:r w:rsidRPr="00A81971">
        <w:rPr>
          <w:rFonts w:eastAsia="Times New Roman"/>
          <w:color w:val="000000" w:themeColor="text1"/>
        </w:rPr>
        <w:t xml:space="preserve">djusted </w:t>
      </w:r>
      <w:r w:rsidR="001F6343" w:rsidRPr="00A81971">
        <w:rPr>
          <w:rFonts w:eastAsia="Times New Roman"/>
          <w:color w:val="000000" w:themeColor="text1"/>
        </w:rPr>
        <w:t>C</w:t>
      </w:r>
      <w:r w:rsidRPr="00A81971">
        <w:rPr>
          <w:rFonts w:eastAsia="Times New Roman"/>
          <w:color w:val="000000" w:themeColor="text1"/>
        </w:rPr>
        <w:t xml:space="preserve">onsolidated 2026-2028 </w:t>
      </w:r>
      <w:r w:rsidR="001F6343" w:rsidRPr="00A81971">
        <w:rPr>
          <w:rFonts w:eastAsia="Times New Roman"/>
          <w:color w:val="000000" w:themeColor="text1"/>
        </w:rPr>
        <w:t>B</w:t>
      </w:r>
      <w:r w:rsidRPr="00A81971">
        <w:rPr>
          <w:rFonts w:eastAsia="Times New Roman"/>
          <w:color w:val="000000" w:themeColor="text1"/>
        </w:rPr>
        <w:t xml:space="preserve">usiness </w:t>
      </w:r>
      <w:r w:rsidR="001F6343" w:rsidRPr="00A81971">
        <w:rPr>
          <w:rFonts w:eastAsia="Times New Roman"/>
          <w:color w:val="000000" w:themeColor="text1"/>
        </w:rPr>
        <w:t>P</w:t>
      </w:r>
      <w:r w:rsidRPr="00A81971">
        <w:rPr>
          <w:rFonts w:eastAsia="Times New Roman"/>
          <w:color w:val="000000" w:themeColor="text1"/>
        </w:rPr>
        <w:t xml:space="preserve">lan includes </w:t>
      </w:r>
      <w:r w:rsidR="00144E90" w:rsidRPr="00A81971">
        <w:rPr>
          <w:rFonts w:eastAsia="Times New Roman"/>
          <w:color w:val="000000" w:themeColor="text1"/>
        </w:rPr>
        <w:t xml:space="preserve">provisions </w:t>
      </w:r>
      <w:r w:rsidRPr="00A81971">
        <w:rPr>
          <w:rFonts w:eastAsia="Times New Roman"/>
          <w:color w:val="000000" w:themeColor="text1"/>
        </w:rPr>
        <w:t>for 2027 and 2028, but not 2029. A total of US$ 588,600 per year for 2027 and 2028 is included in the “Adjusted Consolidated Business Plan of the Multilateral Fund for 2026-2028”</w:t>
      </w:r>
      <w:r w:rsidR="00DF5831" w:rsidRPr="00A81971">
        <w:rPr>
          <w:rFonts w:eastAsia="Times New Roman"/>
          <w:color w:val="000000" w:themeColor="text1"/>
        </w:rPr>
        <w:t>.</w:t>
      </w:r>
      <w:r w:rsidRPr="00A81971">
        <w:rPr>
          <w:rFonts w:eastAsia="Times New Roman"/>
          <w:color w:val="000000" w:themeColor="text1"/>
        </w:rPr>
        <w:t xml:space="preserve"> </w:t>
      </w:r>
      <w:hyperlink r:id="rId39" w:anchor="_ftn1">
        <w:r w:rsidR="009D2F76" w:rsidRPr="00A81971">
          <w:rPr>
            <w:rStyle w:val="Hyperlink"/>
            <w:rFonts w:eastAsia="Times New Roman"/>
            <w:color w:val="000000" w:themeColor="text1"/>
            <w:vertAlign w:val="superscript"/>
          </w:rPr>
          <w:t>[1]</w:t>
        </w:r>
      </w:hyperlink>
      <w:r w:rsidRPr="00A81971">
        <w:rPr>
          <w:rFonts w:eastAsia="Times New Roman"/>
          <w:color w:val="000000" w:themeColor="text1"/>
        </w:rPr>
        <w:t xml:space="preserve"> These amounts have not been updated and remain </w:t>
      </w:r>
      <w:r w:rsidR="006C3470" w:rsidRPr="00A81971">
        <w:rPr>
          <w:rFonts w:eastAsia="Times New Roman"/>
          <w:color w:val="000000" w:themeColor="text1"/>
        </w:rPr>
        <w:t xml:space="preserve">unchanged </w:t>
      </w:r>
      <w:r w:rsidR="009811D7" w:rsidRPr="00A81971">
        <w:rPr>
          <w:rFonts w:eastAsia="Times New Roman"/>
          <w:color w:val="000000" w:themeColor="text1"/>
        </w:rPr>
        <w:t xml:space="preserve">from those </w:t>
      </w:r>
      <w:r w:rsidR="00756F7F" w:rsidRPr="00A81971">
        <w:rPr>
          <w:rFonts w:eastAsia="Times New Roman"/>
          <w:color w:val="000000" w:themeColor="text1"/>
        </w:rPr>
        <w:t xml:space="preserve">included </w:t>
      </w:r>
      <w:r w:rsidRPr="00A81971">
        <w:rPr>
          <w:rFonts w:eastAsia="Times New Roman"/>
          <w:color w:val="000000" w:themeColor="text1"/>
        </w:rPr>
        <w:t>in the May 2026 RTF report</w:t>
      </w:r>
      <w:r w:rsidR="00756F7F" w:rsidRPr="00A81971">
        <w:rPr>
          <w:rFonts w:eastAsia="Times New Roman"/>
          <w:color w:val="000000" w:themeColor="text1"/>
        </w:rPr>
        <w:t xml:space="preserve"> (TEAP, 2026)</w:t>
      </w:r>
      <w:r w:rsidRPr="00A81971">
        <w:rPr>
          <w:rFonts w:eastAsia="Times New Roman"/>
          <w:color w:val="000000" w:themeColor="text1"/>
        </w:rPr>
        <w:t xml:space="preserve">, </w:t>
      </w:r>
      <w:r w:rsidR="0040132B" w:rsidRPr="00A81971">
        <w:rPr>
          <w:rFonts w:eastAsia="Times New Roman"/>
          <w:color w:val="000000" w:themeColor="text1"/>
        </w:rPr>
        <w:t>as</w:t>
      </w:r>
      <w:r w:rsidRPr="00A81971">
        <w:rPr>
          <w:rFonts w:eastAsia="Times New Roman"/>
          <w:color w:val="000000" w:themeColor="text1"/>
        </w:rPr>
        <w:t xml:space="preserve"> reproduced in </w:t>
      </w:r>
      <w:r w:rsidR="0040132B" w:rsidRPr="00A81971">
        <w:rPr>
          <w:rFonts w:eastAsia="Times New Roman"/>
          <w:color w:val="000000" w:themeColor="text1"/>
        </w:rPr>
        <w:t>T</w:t>
      </w:r>
      <w:r w:rsidRPr="00A81971">
        <w:rPr>
          <w:rFonts w:eastAsia="Times New Roman"/>
          <w:color w:val="000000" w:themeColor="text1"/>
        </w:rPr>
        <w:t xml:space="preserve">able </w:t>
      </w:r>
      <w:r w:rsidR="00E66C52" w:rsidRPr="00A81971">
        <w:rPr>
          <w:rFonts w:eastAsia="Times New Roman"/>
          <w:color w:val="000000" w:themeColor="text1"/>
        </w:rPr>
        <w:t>A</w:t>
      </w:r>
      <w:r w:rsidRPr="00A81971">
        <w:rPr>
          <w:rFonts w:eastAsia="Times New Roman"/>
          <w:color w:val="000000" w:themeColor="text1"/>
        </w:rPr>
        <w:t>2.</w:t>
      </w:r>
      <w:r w:rsidR="00E66C52" w:rsidRPr="00A81971">
        <w:rPr>
          <w:rFonts w:eastAsia="Times New Roman"/>
          <w:color w:val="000000" w:themeColor="text1"/>
        </w:rPr>
        <w:t>5</w:t>
      </w:r>
      <w:r w:rsidRPr="00A81971">
        <w:rPr>
          <w:rFonts w:eastAsia="Times New Roman"/>
          <w:color w:val="000000" w:themeColor="text1"/>
        </w:rPr>
        <w:t xml:space="preserve"> below</w:t>
      </w:r>
      <w:r w:rsidR="00BA43AA">
        <w:rPr>
          <w:rFonts w:eastAsia="Times New Roman"/>
          <w:b/>
          <w:bCs/>
          <w:color w:val="000000" w:themeColor="text1"/>
        </w:rPr>
        <w:t>.</w:t>
      </w:r>
    </w:p>
    <w:p w14:paraId="776D3686" w14:textId="77777777" w:rsidR="009D2F76" w:rsidRPr="00A81971" w:rsidRDefault="0032495C" w:rsidP="00BA43AA">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A2.5:</w:t>
      </w:r>
      <w:r w:rsidRPr="0006445E">
        <w:rPr>
          <w:rFonts w:eastAsia="Times New Roman"/>
          <w:color w:val="000000"/>
          <w:lang w:val="en-CA"/>
        </w:rPr>
        <w:tab/>
      </w:r>
      <w:r w:rsidRPr="00A81971">
        <w:rPr>
          <w:rFonts w:eastAsia="Times New Roman"/>
          <w:b/>
          <w:bCs/>
          <w:color w:val="000000" w:themeColor="text1"/>
        </w:rPr>
        <w:t>Estimated funding requirement for HPMP verification for 2027-2029 (US$)</w:t>
      </w:r>
      <w:r w:rsidR="1207221D" w:rsidRPr="00A81971">
        <w:rPr>
          <w:rFonts w:eastAsia="Times New Roman"/>
          <w:b/>
          <w:bCs/>
          <w:color w:val="000000" w:themeColor="text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1644"/>
        <w:gridCol w:w="1630"/>
        <w:gridCol w:w="1305"/>
        <w:gridCol w:w="1417"/>
      </w:tblGrid>
      <w:tr w:rsidR="00F90461" w14:paraId="6BD4DCB6" w14:textId="77777777" w:rsidTr="00BA43AA">
        <w:trPr>
          <w:trHeight w:val="690"/>
          <w:jc w:val="center"/>
        </w:trPr>
        <w:tc>
          <w:tcPr>
            <w:tcW w:w="1696" w:type="pct"/>
            <w:shd w:val="clear" w:color="auto" w:fill="D9E2F3" w:themeFill="accent1" w:themeFillTint="33"/>
            <w:tcMar>
              <w:left w:w="108" w:type="dxa"/>
              <w:right w:w="108" w:type="dxa"/>
            </w:tcMar>
          </w:tcPr>
          <w:p w14:paraId="33D1B967"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 xml:space="preserve"> </w:t>
            </w:r>
          </w:p>
          <w:p w14:paraId="0FC26EAD"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HPMP Verification</w:t>
            </w:r>
          </w:p>
        </w:tc>
        <w:tc>
          <w:tcPr>
            <w:tcW w:w="906" w:type="pct"/>
            <w:shd w:val="clear" w:color="auto" w:fill="D9E2F3" w:themeFill="accent1" w:themeFillTint="33"/>
            <w:tcMar>
              <w:left w:w="108" w:type="dxa"/>
              <w:right w:w="108" w:type="dxa"/>
            </w:tcMar>
            <w:vAlign w:val="center"/>
          </w:tcPr>
          <w:p w14:paraId="311C968D"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2027</w:t>
            </w:r>
          </w:p>
        </w:tc>
        <w:tc>
          <w:tcPr>
            <w:tcW w:w="898" w:type="pct"/>
            <w:shd w:val="clear" w:color="auto" w:fill="D9E2F3" w:themeFill="accent1" w:themeFillTint="33"/>
            <w:tcMar>
              <w:left w:w="108" w:type="dxa"/>
              <w:right w:w="108" w:type="dxa"/>
            </w:tcMar>
            <w:vAlign w:val="center"/>
          </w:tcPr>
          <w:p w14:paraId="30C85F70"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2028</w:t>
            </w:r>
          </w:p>
        </w:tc>
        <w:tc>
          <w:tcPr>
            <w:tcW w:w="719" w:type="pct"/>
            <w:shd w:val="clear" w:color="auto" w:fill="D9E2F3" w:themeFill="accent1" w:themeFillTint="33"/>
            <w:tcMar>
              <w:left w:w="108" w:type="dxa"/>
              <w:right w:w="108" w:type="dxa"/>
            </w:tcMar>
            <w:vAlign w:val="center"/>
          </w:tcPr>
          <w:p w14:paraId="120218B8"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2029</w:t>
            </w:r>
          </w:p>
        </w:tc>
        <w:tc>
          <w:tcPr>
            <w:tcW w:w="781" w:type="pct"/>
            <w:shd w:val="clear" w:color="auto" w:fill="D9E2F3" w:themeFill="accent1" w:themeFillTint="33"/>
            <w:tcMar>
              <w:left w:w="108" w:type="dxa"/>
              <w:right w:w="108" w:type="dxa"/>
            </w:tcMar>
            <w:vAlign w:val="center"/>
          </w:tcPr>
          <w:p w14:paraId="757AF3D4"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Total</w:t>
            </w:r>
          </w:p>
          <w:p w14:paraId="08E8F392" w14:textId="77777777" w:rsidR="009D2F76"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2027-2029</w:t>
            </w:r>
          </w:p>
        </w:tc>
      </w:tr>
      <w:tr w:rsidR="00F90461" w14:paraId="6329C775" w14:textId="77777777" w:rsidTr="00BA43AA">
        <w:trPr>
          <w:trHeight w:val="240"/>
          <w:jc w:val="center"/>
        </w:trPr>
        <w:tc>
          <w:tcPr>
            <w:tcW w:w="1696" w:type="pct"/>
            <w:tcMar>
              <w:left w:w="108" w:type="dxa"/>
              <w:right w:w="108" w:type="dxa"/>
            </w:tcMar>
          </w:tcPr>
          <w:p w14:paraId="6024268E" w14:textId="77777777" w:rsidR="009D2F76" w:rsidRPr="00A81971" w:rsidRDefault="0032495C" w:rsidP="00C80FFD">
            <w:pPr>
              <w:spacing w:after="0"/>
              <w:rPr>
                <w:rFonts w:eastAsia="Times New Roman"/>
                <w:color w:val="000000" w:themeColor="text1"/>
              </w:rPr>
            </w:pPr>
            <w:r w:rsidRPr="00A81971">
              <w:rPr>
                <w:rFonts w:eastAsia="Times New Roman"/>
                <w:color w:val="000000" w:themeColor="text1"/>
              </w:rPr>
              <w:t xml:space="preserve"> </w:t>
            </w:r>
          </w:p>
          <w:p w14:paraId="65E7F9EA" w14:textId="77777777" w:rsidR="009D2F76" w:rsidRPr="00A81971" w:rsidRDefault="0032495C" w:rsidP="00C80FFD">
            <w:pPr>
              <w:spacing w:after="0"/>
              <w:jc w:val="center"/>
              <w:rPr>
                <w:rFonts w:eastAsia="Times New Roman"/>
                <w:color w:val="000000" w:themeColor="text1"/>
              </w:rPr>
            </w:pPr>
            <w:r w:rsidRPr="00A81971">
              <w:rPr>
                <w:rFonts w:eastAsia="Times New Roman"/>
                <w:color w:val="000000" w:themeColor="text1"/>
              </w:rPr>
              <w:t>18 LVC countries</w:t>
            </w:r>
          </w:p>
        </w:tc>
        <w:tc>
          <w:tcPr>
            <w:tcW w:w="906" w:type="pct"/>
            <w:tcMar>
              <w:left w:w="108" w:type="dxa"/>
              <w:right w:w="108" w:type="dxa"/>
            </w:tcMar>
            <w:vAlign w:val="center"/>
          </w:tcPr>
          <w:p w14:paraId="0F6B682B"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 xml:space="preserve"> </w:t>
            </w:r>
          </w:p>
          <w:p w14:paraId="2687EB27"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 xml:space="preserve"> 588,600</w:t>
            </w:r>
          </w:p>
          <w:p w14:paraId="4754ED1E"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 xml:space="preserve"> </w:t>
            </w:r>
          </w:p>
        </w:tc>
        <w:tc>
          <w:tcPr>
            <w:tcW w:w="898" w:type="pct"/>
            <w:tcMar>
              <w:left w:w="108" w:type="dxa"/>
              <w:right w:w="108" w:type="dxa"/>
            </w:tcMar>
            <w:vAlign w:val="center"/>
          </w:tcPr>
          <w:p w14:paraId="20196959"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 xml:space="preserve"> </w:t>
            </w:r>
          </w:p>
          <w:p w14:paraId="09EB3FD2"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588,600</w:t>
            </w:r>
          </w:p>
          <w:p w14:paraId="20FC0F84"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 xml:space="preserve"> </w:t>
            </w:r>
          </w:p>
        </w:tc>
        <w:tc>
          <w:tcPr>
            <w:tcW w:w="719" w:type="pct"/>
            <w:tcMar>
              <w:left w:w="108" w:type="dxa"/>
              <w:right w:w="108" w:type="dxa"/>
            </w:tcMar>
            <w:vAlign w:val="center"/>
          </w:tcPr>
          <w:p w14:paraId="00EC0596" w14:textId="77777777" w:rsidR="009D2F76" w:rsidRPr="00A81971" w:rsidRDefault="0032495C" w:rsidP="00C80FFD">
            <w:pPr>
              <w:spacing w:after="0"/>
              <w:jc w:val="right"/>
              <w:rPr>
                <w:rFonts w:eastAsia="Times New Roman"/>
                <w:color w:val="000000" w:themeColor="text1"/>
              </w:rPr>
            </w:pPr>
            <w:r w:rsidRPr="00A81971">
              <w:rPr>
                <w:rFonts w:eastAsia="Times New Roman"/>
                <w:color w:val="000000" w:themeColor="text1"/>
              </w:rPr>
              <w:t>588,600</w:t>
            </w:r>
          </w:p>
        </w:tc>
        <w:tc>
          <w:tcPr>
            <w:tcW w:w="781" w:type="pct"/>
            <w:tcMar>
              <w:left w:w="108" w:type="dxa"/>
              <w:right w:w="108" w:type="dxa"/>
            </w:tcMar>
            <w:vAlign w:val="center"/>
          </w:tcPr>
          <w:p w14:paraId="799EFBAB" w14:textId="77777777" w:rsidR="009D2F76" w:rsidRPr="00A81971" w:rsidRDefault="0032495C" w:rsidP="00C80FFD">
            <w:pPr>
              <w:spacing w:after="0"/>
              <w:jc w:val="right"/>
              <w:rPr>
                <w:rFonts w:eastAsia="Times New Roman"/>
                <w:b/>
                <w:bCs/>
                <w:color w:val="000000" w:themeColor="text1"/>
              </w:rPr>
            </w:pPr>
            <w:r w:rsidRPr="00A81971">
              <w:rPr>
                <w:rFonts w:eastAsia="Times New Roman"/>
                <w:color w:val="000000" w:themeColor="text1"/>
              </w:rPr>
              <w:t>1</w:t>
            </w:r>
            <w:r w:rsidRPr="00A81971">
              <w:rPr>
                <w:rFonts w:eastAsia="Times New Roman"/>
                <w:b/>
                <w:bCs/>
                <w:color w:val="000000" w:themeColor="text1"/>
              </w:rPr>
              <w:t>,765,800</w:t>
            </w:r>
          </w:p>
        </w:tc>
      </w:tr>
    </w:tbl>
    <w:p w14:paraId="54D5ADF1" w14:textId="77777777" w:rsidR="009D2F76" w:rsidRPr="00A81971" w:rsidRDefault="0032495C" w:rsidP="00201CFA">
      <w:pPr>
        <w:pStyle w:val="Heading2"/>
      </w:pPr>
      <w:bookmarkStart w:id="240" w:name="_Toc240987345"/>
      <w:r w:rsidRPr="00A81971">
        <w:t>A</w:t>
      </w:r>
      <w:r w:rsidR="00B51EC6" w:rsidRPr="00A81971">
        <w:t>2</w:t>
      </w:r>
      <w:r w:rsidRPr="00A81971">
        <w:t>.4</w:t>
      </w:r>
      <w:r w:rsidRPr="00A81971">
        <w:tab/>
        <w:t>Project preparation for HPMPs</w:t>
      </w:r>
      <w:bookmarkEnd w:id="240"/>
    </w:p>
    <w:p w14:paraId="247ED99C"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The updated remaining project preparation (PRP) requests for HPMPs</w:t>
      </w:r>
      <w:r w:rsidR="00EC61D1" w:rsidRPr="00A81971">
        <w:rPr>
          <w:rFonts w:eastAsia="Times New Roman"/>
          <w:color w:val="000000" w:themeColor="text1"/>
        </w:rPr>
        <w:t>,</w:t>
      </w:r>
      <w:r w:rsidRPr="00A81971">
        <w:rPr>
          <w:rFonts w:eastAsia="Times New Roman"/>
          <w:color w:val="000000" w:themeColor="text1"/>
        </w:rPr>
        <w:t xml:space="preserve"> as provided by the MLF Secretariat</w:t>
      </w:r>
      <w:r w:rsidR="00EC61D1" w:rsidRPr="00A81971">
        <w:rPr>
          <w:rFonts w:eastAsia="Times New Roman"/>
          <w:color w:val="000000" w:themeColor="text1"/>
        </w:rPr>
        <w:t>,</w:t>
      </w:r>
      <w:r w:rsidRPr="00A81971">
        <w:rPr>
          <w:rFonts w:eastAsia="Times New Roman"/>
          <w:color w:val="000000" w:themeColor="text1"/>
        </w:rPr>
        <w:t xml:space="preserve"> are </w:t>
      </w:r>
      <w:r w:rsidR="00FF1CA6" w:rsidRPr="00A81971">
        <w:rPr>
          <w:rFonts w:eastAsia="Times New Roman"/>
          <w:color w:val="000000" w:themeColor="text1"/>
        </w:rPr>
        <w:t xml:space="preserve">reflected </w:t>
      </w:r>
      <w:r w:rsidRPr="00A81971">
        <w:rPr>
          <w:rFonts w:eastAsia="Times New Roman"/>
          <w:color w:val="000000" w:themeColor="text1"/>
        </w:rPr>
        <w:t xml:space="preserve">in the list of countries </w:t>
      </w:r>
      <w:r w:rsidR="00557AD6" w:rsidRPr="00A81971">
        <w:rPr>
          <w:rFonts w:eastAsia="Times New Roman"/>
          <w:color w:val="000000" w:themeColor="text1"/>
        </w:rPr>
        <w:t xml:space="preserve">requiring PRP </w:t>
      </w:r>
      <w:r w:rsidRPr="00A81971">
        <w:rPr>
          <w:rFonts w:eastAsia="Times New Roman"/>
          <w:color w:val="000000" w:themeColor="text1"/>
        </w:rPr>
        <w:t>in Table 2.</w:t>
      </w:r>
      <w:r w:rsidR="00BA3D59" w:rsidRPr="00A81971">
        <w:rPr>
          <w:rFonts w:eastAsia="Times New Roman"/>
          <w:color w:val="000000" w:themeColor="text1"/>
        </w:rPr>
        <w:t>6</w:t>
      </w:r>
      <w:r w:rsidRPr="00A81971">
        <w:rPr>
          <w:rFonts w:eastAsia="Times New Roman"/>
          <w:color w:val="000000" w:themeColor="text1"/>
        </w:rPr>
        <w:t xml:space="preserve"> below. The total estimated funding </w:t>
      </w:r>
      <w:r w:rsidR="000F371F" w:rsidRPr="00A81971">
        <w:rPr>
          <w:rFonts w:eastAsia="Times New Roman"/>
          <w:color w:val="000000" w:themeColor="text1"/>
        </w:rPr>
        <w:t xml:space="preserve">required </w:t>
      </w:r>
      <w:r w:rsidRPr="00A81971">
        <w:rPr>
          <w:rFonts w:eastAsia="Times New Roman"/>
          <w:color w:val="000000" w:themeColor="text1"/>
        </w:rPr>
        <w:t xml:space="preserve">for HPMP project preparation, excluding China, for 2027-2029 is </w:t>
      </w:r>
      <w:r w:rsidRPr="00A81971">
        <w:rPr>
          <w:rFonts w:eastAsia="Times New Roman"/>
          <w:b/>
          <w:bCs/>
          <w:color w:val="000000" w:themeColor="text1"/>
        </w:rPr>
        <w:t>US$ 263,040</w:t>
      </w:r>
      <w:r w:rsidR="00A91697" w:rsidRPr="005A73D8">
        <w:rPr>
          <w:rFonts w:eastAsia="Times New Roman"/>
          <w:color w:val="000000" w:themeColor="text1"/>
        </w:rPr>
        <w:t>, including</w:t>
      </w:r>
      <w:r w:rsidRPr="00A81971">
        <w:rPr>
          <w:rFonts w:eastAsia="Times New Roman"/>
          <w:b/>
          <w:bCs/>
          <w:color w:val="000000" w:themeColor="text1"/>
        </w:rPr>
        <w:t xml:space="preserve"> </w:t>
      </w:r>
      <w:r w:rsidRPr="00A81971">
        <w:rPr>
          <w:rFonts w:eastAsia="Times New Roman"/>
          <w:color w:val="000000" w:themeColor="text1"/>
        </w:rPr>
        <w:t>support costs. Table 2.</w:t>
      </w:r>
      <w:r w:rsidR="00F00E40" w:rsidRPr="00A81971">
        <w:rPr>
          <w:rFonts w:eastAsia="Times New Roman"/>
          <w:color w:val="000000" w:themeColor="text1"/>
        </w:rPr>
        <w:t>6</w:t>
      </w:r>
      <w:r w:rsidRPr="00A81971">
        <w:rPr>
          <w:rFonts w:eastAsia="Times New Roman"/>
          <w:color w:val="000000" w:themeColor="text1"/>
        </w:rPr>
        <w:t xml:space="preserve"> updates the amounts </w:t>
      </w:r>
      <w:r w:rsidR="00D579FB" w:rsidRPr="00A81971">
        <w:rPr>
          <w:rFonts w:eastAsia="Times New Roman"/>
          <w:color w:val="000000" w:themeColor="text1"/>
        </w:rPr>
        <w:t xml:space="preserve">presented in </w:t>
      </w:r>
      <w:r w:rsidRPr="00A81971">
        <w:rPr>
          <w:rFonts w:eastAsia="Times New Roman"/>
          <w:color w:val="000000" w:themeColor="text1"/>
        </w:rPr>
        <w:t xml:space="preserve">May 2026 RTF report which identified </w:t>
      </w:r>
      <w:r w:rsidR="00E23FBE" w:rsidRPr="00A81971">
        <w:rPr>
          <w:rFonts w:eastAsia="Times New Roman"/>
          <w:color w:val="000000" w:themeColor="text1"/>
        </w:rPr>
        <w:t xml:space="preserve">a total requirement of </w:t>
      </w:r>
      <w:r w:rsidRPr="00A81971">
        <w:rPr>
          <w:rFonts w:eastAsia="Times New Roman"/>
          <w:color w:val="000000" w:themeColor="text1"/>
        </w:rPr>
        <w:t>US$ 43,840</w:t>
      </w:r>
      <w:r w:rsidR="004A51AF" w:rsidRPr="00A81971">
        <w:rPr>
          <w:rFonts w:eastAsia="Times New Roman"/>
          <w:color w:val="000000" w:themeColor="text1"/>
        </w:rPr>
        <w:t>,</w:t>
      </w:r>
      <w:r w:rsidRPr="00A81971">
        <w:rPr>
          <w:rFonts w:eastAsia="Times New Roman"/>
          <w:color w:val="000000" w:themeColor="text1"/>
        </w:rPr>
        <w:t xml:space="preserve"> including agency support cost</w:t>
      </w:r>
      <w:r w:rsidR="004A51AF" w:rsidRPr="00A81971">
        <w:rPr>
          <w:rFonts w:eastAsia="Times New Roman"/>
          <w:color w:val="000000" w:themeColor="text1"/>
        </w:rPr>
        <w:t>s</w:t>
      </w:r>
      <w:r w:rsidRPr="00A81971">
        <w:rPr>
          <w:rFonts w:eastAsia="Times New Roman"/>
          <w:color w:val="000000" w:themeColor="text1"/>
        </w:rPr>
        <w:t xml:space="preserve"> </w:t>
      </w:r>
      <w:r w:rsidR="004A51AF" w:rsidRPr="00A81971">
        <w:rPr>
          <w:rFonts w:eastAsia="Times New Roman"/>
          <w:color w:val="000000" w:themeColor="text1"/>
        </w:rPr>
        <w:t xml:space="preserve">and </w:t>
      </w:r>
      <w:r w:rsidRPr="00A81971">
        <w:rPr>
          <w:rFonts w:eastAsia="Times New Roman"/>
          <w:color w:val="000000" w:themeColor="text1"/>
        </w:rPr>
        <w:t xml:space="preserve">excluding China. </w:t>
      </w:r>
    </w:p>
    <w:p w14:paraId="316EEE18"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 xml:space="preserve"> </w:t>
      </w:r>
    </w:p>
    <w:p w14:paraId="07B0DFF2" w14:textId="77777777" w:rsidR="009D2F76" w:rsidRPr="00A81971" w:rsidRDefault="0032495C" w:rsidP="005A73D8">
      <w:pPr>
        <w:tabs>
          <w:tab w:val="left" w:pos="0"/>
          <w:tab w:val="left" w:pos="1276"/>
        </w:tabs>
        <w:spacing w:after="120"/>
        <w:ind w:left="1282" w:hanging="1282"/>
        <w:rPr>
          <w:rFonts w:ascii="Helvetica" w:eastAsia="Helvetica" w:hAnsi="Helvetica" w:cs="Helvetica"/>
          <w:color w:val="000000" w:themeColor="text1"/>
          <w:sz w:val="12"/>
          <w:szCs w:val="12"/>
        </w:rPr>
      </w:pPr>
      <w:r w:rsidRPr="0006445E">
        <w:rPr>
          <w:rFonts w:eastAsia="Yu Mincho"/>
          <w:b/>
          <w:bCs/>
          <w:color w:val="000000"/>
          <w:lang w:val="en-CA"/>
        </w:rPr>
        <w:t xml:space="preserve">Table </w:t>
      </w:r>
      <w:r>
        <w:rPr>
          <w:rFonts w:eastAsia="Yu Mincho"/>
          <w:b/>
          <w:bCs/>
          <w:color w:val="000000"/>
          <w:lang w:val="en-CA"/>
        </w:rPr>
        <w:t>A2.6:</w:t>
      </w:r>
      <w:r w:rsidRPr="0006445E">
        <w:rPr>
          <w:rFonts w:eastAsia="Times New Roman"/>
          <w:color w:val="000000"/>
          <w:lang w:val="en-CA"/>
        </w:rPr>
        <w:tab/>
      </w:r>
      <w:r w:rsidRPr="00A81971">
        <w:rPr>
          <w:rFonts w:eastAsia="Times New Roman"/>
          <w:b/>
          <w:bCs/>
          <w:color w:val="000000" w:themeColor="text1"/>
        </w:rPr>
        <w:t>Estimated funding requirement for HPMP project preparation (US$)</w:t>
      </w:r>
      <w:r w:rsidRPr="00A81971">
        <w:rPr>
          <w:rFonts w:ascii="Helvetica" w:eastAsia="Helvetica" w:hAnsi="Helvetica" w:cs="Helvetica"/>
          <w:color w:val="000000" w:themeColor="text1"/>
          <w:sz w:val="12"/>
          <w:szCs w:val="12"/>
        </w:rPr>
        <w:t xml:space="preserve"> </w:t>
      </w: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080"/>
        <w:gridCol w:w="1530"/>
        <w:gridCol w:w="1710"/>
        <w:gridCol w:w="1245"/>
      </w:tblGrid>
      <w:tr w:rsidR="00F90461" w14:paraId="25069C73" w14:textId="77777777" w:rsidTr="00E86FA0">
        <w:trPr>
          <w:trHeight w:val="849"/>
          <w:jc w:val="center"/>
        </w:trPr>
        <w:tc>
          <w:tcPr>
            <w:tcW w:w="3595" w:type="dxa"/>
            <w:shd w:val="clear" w:color="auto" w:fill="D9E2F3" w:themeFill="accent1" w:themeFillTint="33"/>
            <w:hideMark/>
          </w:tcPr>
          <w:p w14:paraId="278BF67F" w14:textId="77777777" w:rsidR="009D2F76" w:rsidRPr="00A81971" w:rsidRDefault="0032495C" w:rsidP="00C80FFD">
            <w:pPr>
              <w:spacing w:after="0"/>
              <w:jc w:val="center"/>
              <w:rPr>
                <w:rFonts w:eastAsia="Times New Roman"/>
                <w:b/>
                <w:bCs/>
                <w:color w:val="000000"/>
                <w:sz w:val="20"/>
                <w:szCs w:val="20"/>
                <w:lang w:eastAsia="en-CA"/>
              </w:rPr>
            </w:pPr>
            <w:r w:rsidRPr="00A81971">
              <w:rPr>
                <w:rFonts w:eastAsia="Times New Roman"/>
                <w:b/>
                <w:bCs/>
                <w:color w:val="000000"/>
                <w:sz w:val="20"/>
                <w:szCs w:val="20"/>
                <w:lang w:eastAsia="en-CA"/>
              </w:rPr>
              <w:t>Country</w:t>
            </w:r>
          </w:p>
        </w:tc>
        <w:tc>
          <w:tcPr>
            <w:tcW w:w="1080" w:type="dxa"/>
            <w:shd w:val="clear" w:color="auto" w:fill="D9E2F3" w:themeFill="accent1" w:themeFillTint="33"/>
            <w:hideMark/>
          </w:tcPr>
          <w:p w14:paraId="3F7C26BA" w14:textId="77777777" w:rsidR="009D2F76" w:rsidRPr="00A81971" w:rsidRDefault="0032495C" w:rsidP="00C80FFD">
            <w:pPr>
              <w:spacing w:after="0"/>
              <w:jc w:val="center"/>
              <w:rPr>
                <w:rFonts w:eastAsia="Times New Roman"/>
                <w:b/>
                <w:bCs/>
                <w:color w:val="000000"/>
                <w:sz w:val="20"/>
                <w:szCs w:val="20"/>
                <w:lang w:eastAsia="en-CA"/>
              </w:rPr>
            </w:pPr>
            <w:r w:rsidRPr="00A81971">
              <w:rPr>
                <w:rFonts w:eastAsia="Times New Roman"/>
                <w:b/>
                <w:bCs/>
                <w:color w:val="000000"/>
                <w:sz w:val="20"/>
                <w:szCs w:val="20"/>
                <w:lang w:eastAsia="en-CA"/>
              </w:rPr>
              <w:t>Status</w:t>
            </w:r>
          </w:p>
        </w:tc>
        <w:tc>
          <w:tcPr>
            <w:tcW w:w="1530" w:type="dxa"/>
            <w:shd w:val="clear" w:color="auto" w:fill="D9E2F3" w:themeFill="accent1" w:themeFillTint="33"/>
            <w:hideMark/>
          </w:tcPr>
          <w:p w14:paraId="18E67714" w14:textId="77777777" w:rsidR="009D2F76" w:rsidRPr="00A81971" w:rsidRDefault="0032495C" w:rsidP="00C80FFD">
            <w:pPr>
              <w:spacing w:after="0"/>
              <w:jc w:val="center"/>
              <w:rPr>
                <w:rFonts w:eastAsia="Times New Roman"/>
                <w:b/>
                <w:bCs/>
                <w:color w:val="000000"/>
                <w:sz w:val="20"/>
                <w:szCs w:val="20"/>
                <w:lang w:eastAsia="en-CA"/>
              </w:rPr>
            </w:pPr>
            <w:r w:rsidRPr="00A81971">
              <w:rPr>
                <w:rFonts w:eastAsia="Times New Roman"/>
                <w:b/>
                <w:bCs/>
                <w:color w:val="000000"/>
                <w:sz w:val="20"/>
                <w:szCs w:val="20"/>
                <w:lang w:eastAsia="en-CA"/>
              </w:rPr>
              <w:t>HPMP PRP Required for Total Phase-Out</w:t>
            </w:r>
          </w:p>
        </w:tc>
        <w:tc>
          <w:tcPr>
            <w:tcW w:w="1710" w:type="dxa"/>
            <w:shd w:val="clear" w:color="auto" w:fill="D9E2F3" w:themeFill="accent1" w:themeFillTint="33"/>
            <w:hideMark/>
          </w:tcPr>
          <w:p w14:paraId="5C72F502" w14:textId="77777777" w:rsidR="009D2F76" w:rsidRPr="00A81971" w:rsidRDefault="0032495C" w:rsidP="00C80FFD">
            <w:pPr>
              <w:spacing w:after="0"/>
              <w:jc w:val="center"/>
              <w:rPr>
                <w:rFonts w:eastAsia="Times New Roman"/>
                <w:b/>
                <w:bCs/>
                <w:color w:val="000000"/>
                <w:sz w:val="20"/>
                <w:szCs w:val="20"/>
                <w:lang w:eastAsia="en-CA"/>
              </w:rPr>
            </w:pPr>
            <w:r w:rsidRPr="00A81971">
              <w:rPr>
                <w:rFonts w:eastAsia="Times New Roman"/>
                <w:b/>
                <w:bCs/>
                <w:color w:val="000000"/>
                <w:sz w:val="20"/>
                <w:szCs w:val="20"/>
                <w:lang w:eastAsia="en-CA"/>
              </w:rPr>
              <w:t>Funding Eligibility for Servicing (Excluding Support Costs)</w:t>
            </w:r>
          </w:p>
        </w:tc>
        <w:tc>
          <w:tcPr>
            <w:tcW w:w="1245" w:type="dxa"/>
            <w:shd w:val="clear" w:color="auto" w:fill="D9E2F3" w:themeFill="accent1" w:themeFillTint="33"/>
            <w:hideMark/>
          </w:tcPr>
          <w:p w14:paraId="412E3727" w14:textId="77777777" w:rsidR="009D2F76" w:rsidRPr="00A81971" w:rsidRDefault="0032495C" w:rsidP="00C80FFD">
            <w:pPr>
              <w:spacing w:after="0"/>
              <w:jc w:val="center"/>
              <w:rPr>
                <w:rFonts w:eastAsia="Times New Roman"/>
                <w:b/>
                <w:bCs/>
                <w:color w:val="000000"/>
                <w:sz w:val="20"/>
                <w:szCs w:val="20"/>
                <w:lang w:eastAsia="en-CA"/>
              </w:rPr>
            </w:pPr>
            <w:r w:rsidRPr="00A81971">
              <w:rPr>
                <w:rFonts w:eastAsia="Times New Roman"/>
                <w:b/>
                <w:bCs/>
                <w:color w:val="000000"/>
                <w:sz w:val="20"/>
                <w:szCs w:val="20"/>
                <w:lang w:eastAsia="en-CA"/>
              </w:rPr>
              <w:t>HPMP PRP in 2026-2028 Business Plan</w:t>
            </w:r>
          </w:p>
        </w:tc>
      </w:tr>
      <w:tr w:rsidR="00F90461" w14:paraId="6F2BAB4E" w14:textId="77777777" w:rsidTr="00E86FA0">
        <w:trPr>
          <w:trHeight w:val="264"/>
          <w:jc w:val="center"/>
        </w:trPr>
        <w:tc>
          <w:tcPr>
            <w:tcW w:w="3595" w:type="dxa"/>
            <w:noWrap/>
            <w:vAlign w:val="center"/>
            <w:hideMark/>
          </w:tcPr>
          <w:p w14:paraId="09ACB3FC"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Afghanistan</w:t>
            </w:r>
          </w:p>
        </w:tc>
        <w:tc>
          <w:tcPr>
            <w:tcW w:w="1080" w:type="dxa"/>
            <w:noWrap/>
            <w:vAlign w:val="center"/>
            <w:hideMark/>
          </w:tcPr>
          <w:p w14:paraId="4181739C"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1E3CEFD5"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22C96EC9"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245" w:type="dxa"/>
            <w:noWrap/>
            <w:vAlign w:val="center"/>
            <w:hideMark/>
          </w:tcPr>
          <w:p w14:paraId="24ABD589"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r>
      <w:tr w:rsidR="00F90461" w14:paraId="03FB8105" w14:textId="77777777" w:rsidTr="00E86FA0">
        <w:trPr>
          <w:trHeight w:val="264"/>
          <w:jc w:val="center"/>
        </w:trPr>
        <w:tc>
          <w:tcPr>
            <w:tcW w:w="3595" w:type="dxa"/>
            <w:noWrap/>
            <w:vAlign w:val="center"/>
            <w:hideMark/>
          </w:tcPr>
          <w:p w14:paraId="7957B490"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China</w:t>
            </w:r>
          </w:p>
        </w:tc>
        <w:tc>
          <w:tcPr>
            <w:tcW w:w="1080" w:type="dxa"/>
            <w:noWrap/>
            <w:vAlign w:val="center"/>
            <w:hideMark/>
          </w:tcPr>
          <w:p w14:paraId="34B6E170"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66F35988"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20BE9A10"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Case by case basis</w:t>
            </w:r>
          </w:p>
        </w:tc>
        <w:tc>
          <w:tcPr>
            <w:tcW w:w="1245" w:type="dxa"/>
            <w:noWrap/>
            <w:vAlign w:val="center"/>
            <w:hideMark/>
          </w:tcPr>
          <w:p w14:paraId="4B29219E"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r>
      <w:tr w:rsidR="00F90461" w14:paraId="7C4FA573" w14:textId="77777777" w:rsidTr="00E86FA0">
        <w:trPr>
          <w:trHeight w:val="264"/>
          <w:jc w:val="center"/>
        </w:trPr>
        <w:tc>
          <w:tcPr>
            <w:tcW w:w="3595" w:type="dxa"/>
            <w:noWrap/>
            <w:vAlign w:val="center"/>
            <w:hideMark/>
          </w:tcPr>
          <w:p w14:paraId="62914F64"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Democratic People's Republic of Korea (the)</w:t>
            </w:r>
          </w:p>
        </w:tc>
        <w:tc>
          <w:tcPr>
            <w:tcW w:w="1080" w:type="dxa"/>
            <w:noWrap/>
            <w:vAlign w:val="center"/>
            <w:hideMark/>
          </w:tcPr>
          <w:p w14:paraId="7B9FA077"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35DC0013"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53FBA2B5"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70,000</w:t>
            </w:r>
          </w:p>
        </w:tc>
        <w:tc>
          <w:tcPr>
            <w:tcW w:w="1245" w:type="dxa"/>
            <w:noWrap/>
            <w:vAlign w:val="center"/>
            <w:hideMark/>
          </w:tcPr>
          <w:p w14:paraId="779DD05E"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 </w:t>
            </w:r>
          </w:p>
        </w:tc>
      </w:tr>
      <w:tr w:rsidR="00F90461" w14:paraId="1220533E" w14:textId="77777777" w:rsidTr="00E86FA0">
        <w:trPr>
          <w:trHeight w:val="264"/>
          <w:jc w:val="center"/>
        </w:trPr>
        <w:tc>
          <w:tcPr>
            <w:tcW w:w="3595" w:type="dxa"/>
            <w:noWrap/>
            <w:vAlign w:val="center"/>
            <w:hideMark/>
          </w:tcPr>
          <w:p w14:paraId="168B1DFF"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Libya</w:t>
            </w:r>
          </w:p>
        </w:tc>
        <w:tc>
          <w:tcPr>
            <w:tcW w:w="1080" w:type="dxa"/>
            <w:noWrap/>
            <w:vAlign w:val="center"/>
            <w:hideMark/>
          </w:tcPr>
          <w:p w14:paraId="720A84CB"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189552B0"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3391F5FE"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60,000</w:t>
            </w:r>
          </w:p>
        </w:tc>
        <w:tc>
          <w:tcPr>
            <w:tcW w:w="1245" w:type="dxa"/>
            <w:noWrap/>
            <w:vAlign w:val="center"/>
            <w:hideMark/>
          </w:tcPr>
          <w:p w14:paraId="0196D2C4"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 </w:t>
            </w:r>
          </w:p>
        </w:tc>
      </w:tr>
      <w:tr w:rsidR="00F90461" w14:paraId="34DC7D39" w14:textId="77777777" w:rsidTr="00E86FA0">
        <w:trPr>
          <w:trHeight w:val="264"/>
          <w:jc w:val="center"/>
        </w:trPr>
        <w:tc>
          <w:tcPr>
            <w:tcW w:w="3595" w:type="dxa"/>
            <w:noWrap/>
            <w:vAlign w:val="center"/>
            <w:hideMark/>
          </w:tcPr>
          <w:p w14:paraId="7D26212D"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Mauritania</w:t>
            </w:r>
          </w:p>
        </w:tc>
        <w:tc>
          <w:tcPr>
            <w:tcW w:w="1080" w:type="dxa"/>
            <w:noWrap/>
            <w:vAlign w:val="center"/>
            <w:hideMark/>
          </w:tcPr>
          <w:p w14:paraId="3AD3B4C5"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66CABDB5"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0ADCC849"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245" w:type="dxa"/>
            <w:noWrap/>
            <w:vAlign w:val="center"/>
            <w:hideMark/>
          </w:tcPr>
          <w:p w14:paraId="52FC51D7"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r>
      <w:tr w:rsidR="00F90461" w14:paraId="395CCA67" w14:textId="77777777" w:rsidTr="00E86FA0">
        <w:trPr>
          <w:trHeight w:val="264"/>
          <w:jc w:val="center"/>
        </w:trPr>
        <w:tc>
          <w:tcPr>
            <w:tcW w:w="3595" w:type="dxa"/>
            <w:noWrap/>
            <w:vAlign w:val="center"/>
            <w:hideMark/>
          </w:tcPr>
          <w:p w14:paraId="09BCBE90"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Senegal</w:t>
            </w:r>
          </w:p>
        </w:tc>
        <w:tc>
          <w:tcPr>
            <w:tcW w:w="1080" w:type="dxa"/>
            <w:noWrap/>
            <w:vAlign w:val="center"/>
            <w:hideMark/>
          </w:tcPr>
          <w:p w14:paraId="28E75F66"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Non-LVC</w:t>
            </w:r>
          </w:p>
        </w:tc>
        <w:tc>
          <w:tcPr>
            <w:tcW w:w="1530" w:type="dxa"/>
            <w:noWrap/>
            <w:vAlign w:val="center"/>
            <w:hideMark/>
          </w:tcPr>
          <w:p w14:paraId="4F4391AA"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c>
          <w:tcPr>
            <w:tcW w:w="1710" w:type="dxa"/>
            <w:noWrap/>
            <w:vAlign w:val="center"/>
            <w:hideMark/>
          </w:tcPr>
          <w:p w14:paraId="6E37F6C7" w14:textId="77777777" w:rsidR="009D2F76" w:rsidRPr="00A81971" w:rsidRDefault="0032495C" w:rsidP="00C80FFD">
            <w:pPr>
              <w:spacing w:after="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245" w:type="dxa"/>
            <w:noWrap/>
            <w:vAlign w:val="center"/>
            <w:hideMark/>
          </w:tcPr>
          <w:p w14:paraId="74033031" w14:textId="77777777" w:rsidR="009D2F76" w:rsidRPr="00A81971" w:rsidRDefault="0032495C" w:rsidP="00C80FFD">
            <w:pPr>
              <w:spacing w:after="0"/>
              <w:jc w:val="center"/>
              <w:rPr>
                <w:rFonts w:eastAsia="Times New Roman"/>
                <w:color w:val="000000"/>
                <w:sz w:val="20"/>
                <w:szCs w:val="20"/>
                <w:lang w:eastAsia="en-CA"/>
              </w:rPr>
            </w:pPr>
            <w:r w:rsidRPr="00A81971">
              <w:rPr>
                <w:rFonts w:eastAsia="Times New Roman"/>
                <w:color w:val="000000"/>
                <w:sz w:val="20"/>
                <w:szCs w:val="20"/>
                <w:lang w:eastAsia="en-CA"/>
              </w:rPr>
              <w:t>Yes</w:t>
            </w:r>
          </w:p>
        </w:tc>
      </w:tr>
      <w:tr w:rsidR="00F90461" w14:paraId="07E6A832" w14:textId="77777777" w:rsidTr="00E86FA0">
        <w:trPr>
          <w:trHeight w:val="264"/>
          <w:jc w:val="center"/>
        </w:trPr>
        <w:tc>
          <w:tcPr>
            <w:tcW w:w="3595" w:type="dxa"/>
            <w:noWrap/>
            <w:vAlign w:val="center"/>
            <w:hideMark/>
          </w:tcPr>
          <w:p w14:paraId="37CD9BF9" w14:textId="77777777" w:rsidR="009D2F76" w:rsidRPr="00A81971" w:rsidRDefault="0032495C" w:rsidP="00C80FFD">
            <w:pPr>
              <w:spacing w:after="0"/>
              <w:rPr>
                <w:rFonts w:eastAsia="Times New Roman"/>
                <w:b/>
                <w:bCs/>
                <w:color w:val="000000"/>
                <w:sz w:val="20"/>
                <w:szCs w:val="20"/>
                <w:lang w:eastAsia="en-CA"/>
              </w:rPr>
            </w:pPr>
            <w:r w:rsidRPr="00A81971">
              <w:rPr>
                <w:rFonts w:eastAsia="Times New Roman"/>
                <w:b/>
                <w:bCs/>
                <w:color w:val="000000"/>
                <w:sz w:val="20"/>
                <w:szCs w:val="20"/>
                <w:lang w:eastAsia="en-CA"/>
              </w:rPr>
              <w:t xml:space="preserve">Total </w:t>
            </w:r>
            <w:r w:rsidR="00880765" w:rsidRPr="00A81971">
              <w:rPr>
                <w:rFonts w:eastAsia="Times New Roman"/>
                <w:b/>
                <w:bCs/>
                <w:color w:val="000000"/>
                <w:sz w:val="20"/>
                <w:szCs w:val="20"/>
                <w:lang w:eastAsia="en-CA"/>
              </w:rPr>
              <w:t>(</w:t>
            </w:r>
            <w:r w:rsidRPr="00A81971">
              <w:rPr>
                <w:rFonts w:eastAsia="Times New Roman"/>
                <w:b/>
                <w:bCs/>
                <w:color w:val="000000"/>
                <w:sz w:val="20"/>
                <w:szCs w:val="20"/>
                <w:lang w:eastAsia="en-CA"/>
              </w:rPr>
              <w:t>excl</w:t>
            </w:r>
            <w:r w:rsidR="00880765" w:rsidRPr="00A81971">
              <w:rPr>
                <w:rFonts w:eastAsia="Times New Roman"/>
                <w:b/>
                <w:bCs/>
                <w:color w:val="000000"/>
                <w:sz w:val="20"/>
                <w:szCs w:val="20"/>
                <w:lang w:eastAsia="en-CA"/>
              </w:rPr>
              <w:t>uding China)</w:t>
            </w:r>
          </w:p>
        </w:tc>
        <w:tc>
          <w:tcPr>
            <w:tcW w:w="1080" w:type="dxa"/>
            <w:noWrap/>
            <w:vAlign w:val="center"/>
            <w:hideMark/>
          </w:tcPr>
          <w:p w14:paraId="65E56F07" w14:textId="77777777" w:rsidR="009D2F76" w:rsidRPr="00A81971" w:rsidRDefault="0032495C" w:rsidP="00C80FFD">
            <w:pPr>
              <w:spacing w:after="0"/>
              <w:rPr>
                <w:rFonts w:eastAsia="Times New Roman"/>
                <w:b/>
                <w:bCs/>
                <w:color w:val="000000"/>
                <w:sz w:val="20"/>
                <w:szCs w:val="20"/>
                <w:lang w:eastAsia="en-CA"/>
              </w:rPr>
            </w:pPr>
            <w:r w:rsidRPr="00A81971">
              <w:rPr>
                <w:rFonts w:eastAsia="Times New Roman"/>
                <w:b/>
                <w:bCs/>
                <w:color w:val="000000"/>
                <w:sz w:val="20"/>
                <w:szCs w:val="20"/>
                <w:lang w:eastAsia="en-CA"/>
              </w:rPr>
              <w:t> </w:t>
            </w:r>
          </w:p>
        </w:tc>
        <w:tc>
          <w:tcPr>
            <w:tcW w:w="1530" w:type="dxa"/>
            <w:noWrap/>
            <w:vAlign w:val="center"/>
            <w:hideMark/>
          </w:tcPr>
          <w:p w14:paraId="2DE15C00" w14:textId="77777777" w:rsidR="009D2F76" w:rsidRPr="00A81971" w:rsidRDefault="0032495C" w:rsidP="00C80FFD">
            <w:pPr>
              <w:spacing w:after="0"/>
              <w:rPr>
                <w:rFonts w:eastAsia="Times New Roman"/>
                <w:b/>
                <w:bCs/>
                <w:color w:val="000000"/>
                <w:sz w:val="20"/>
                <w:szCs w:val="20"/>
                <w:lang w:eastAsia="en-CA"/>
              </w:rPr>
            </w:pPr>
            <w:r w:rsidRPr="00A81971">
              <w:rPr>
                <w:rFonts w:eastAsia="Times New Roman"/>
                <w:b/>
                <w:bCs/>
                <w:color w:val="000000"/>
                <w:sz w:val="20"/>
                <w:szCs w:val="20"/>
                <w:lang w:eastAsia="en-CA"/>
              </w:rPr>
              <w:t> </w:t>
            </w:r>
          </w:p>
        </w:tc>
        <w:tc>
          <w:tcPr>
            <w:tcW w:w="1710" w:type="dxa"/>
            <w:noWrap/>
            <w:vAlign w:val="center"/>
            <w:hideMark/>
          </w:tcPr>
          <w:p w14:paraId="39933A87" w14:textId="77777777" w:rsidR="009D2F76" w:rsidRPr="00A81971" w:rsidRDefault="0032495C" w:rsidP="00C80FFD">
            <w:pPr>
              <w:spacing w:after="0"/>
              <w:jc w:val="right"/>
              <w:rPr>
                <w:rFonts w:eastAsia="Times New Roman"/>
                <w:b/>
                <w:bCs/>
                <w:color w:val="000000"/>
                <w:sz w:val="20"/>
                <w:szCs w:val="20"/>
                <w:lang w:eastAsia="en-CA"/>
              </w:rPr>
            </w:pPr>
            <w:r w:rsidRPr="00A81971">
              <w:rPr>
                <w:rFonts w:eastAsia="Times New Roman"/>
                <w:b/>
                <w:bCs/>
                <w:color w:val="000000"/>
                <w:sz w:val="20"/>
                <w:szCs w:val="20"/>
                <w:lang w:eastAsia="en-CA"/>
              </w:rPr>
              <w:t>240,000</w:t>
            </w:r>
          </w:p>
        </w:tc>
        <w:tc>
          <w:tcPr>
            <w:tcW w:w="1245" w:type="dxa"/>
            <w:noWrap/>
            <w:vAlign w:val="center"/>
            <w:hideMark/>
          </w:tcPr>
          <w:p w14:paraId="60390E4E" w14:textId="77777777" w:rsidR="009D2F76" w:rsidRPr="00A81971" w:rsidRDefault="0032495C" w:rsidP="00C80FFD">
            <w:pPr>
              <w:spacing w:after="0"/>
              <w:jc w:val="right"/>
              <w:rPr>
                <w:rFonts w:eastAsia="Times New Roman"/>
                <w:b/>
                <w:bCs/>
                <w:color w:val="000000"/>
                <w:sz w:val="20"/>
                <w:szCs w:val="20"/>
                <w:lang w:eastAsia="en-CA"/>
              </w:rPr>
            </w:pPr>
            <w:r w:rsidRPr="00A81971">
              <w:rPr>
                <w:rFonts w:eastAsia="Times New Roman"/>
                <w:b/>
                <w:bCs/>
                <w:color w:val="000000"/>
                <w:sz w:val="20"/>
                <w:szCs w:val="20"/>
                <w:lang w:eastAsia="en-CA"/>
              </w:rPr>
              <w:t> </w:t>
            </w:r>
          </w:p>
        </w:tc>
      </w:tr>
      <w:tr w:rsidR="00F90461" w14:paraId="588A8D3E" w14:textId="77777777" w:rsidTr="00E86FA0">
        <w:trPr>
          <w:trHeight w:val="264"/>
          <w:jc w:val="center"/>
        </w:trPr>
        <w:tc>
          <w:tcPr>
            <w:tcW w:w="3595" w:type="dxa"/>
            <w:shd w:val="clear" w:color="auto" w:fill="B4C6E7" w:themeFill="accent1" w:themeFillTint="66"/>
            <w:noWrap/>
            <w:vAlign w:val="center"/>
            <w:hideMark/>
          </w:tcPr>
          <w:p w14:paraId="36CF422F" w14:textId="77777777" w:rsidR="009D2F76" w:rsidRPr="00A81971" w:rsidRDefault="0032495C" w:rsidP="00C80FFD">
            <w:pPr>
              <w:spacing w:after="0"/>
              <w:rPr>
                <w:rFonts w:eastAsia="Times New Roman"/>
                <w:b/>
                <w:bCs/>
                <w:color w:val="000000"/>
                <w:sz w:val="20"/>
                <w:szCs w:val="20"/>
                <w:lang w:eastAsia="en-CA"/>
              </w:rPr>
            </w:pPr>
            <w:r w:rsidRPr="00A81971">
              <w:rPr>
                <w:rFonts w:eastAsia="Times New Roman"/>
                <w:b/>
                <w:bCs/>
                <w:color w:val="000000"/>
                <w:sz w:val="20"/>
                <w:szCs w:val="20"/>
                <w:lang w:eastAsia="en-CA"/>
              </w:rPr>
              <w:t xml:space="preserve">Total </w:t>
            </w:r>
            <w:r w:rsidR="00880765" w:rsidRPr="00A81971">
              <w:rPr>
                <w:rFonts w:eastAsia="Times New Roman"/>
                <w:b/>
                <w:bCs/>
                <w:color w:val="000000"/>
                <w:sz w:val="20"/>
                <w:szCs w:val="20"/>
                <w:lang w:eastAsia="en-CA"/>
              </w:rPr>
              <w:t>(</w:t>
            </w:r>
            <w:r w:rsidRPr="00A81971">
              <w:rPr>
                <w:rFonts w:eastAsia="Times New Roman"/>
                <w:b/>
                <w:bCs/>
                <w:color w:val="000000"/>
                <w:sz w:val="20"/>
                <w:szCs w:val="20"/>
                <w:lang w:eastAsia="en-CA"/>
              </w:rPr>
              <w:t>excluding China</w:t>
            </w:r>
            <w:r w:rsidR="00880765" w:rsidRPr="00A81971">
              <w:rPr>
                <w:rFonts w:eastAsia="Times New Roman"/>
                <w:b/>
                <w:bCs/>
                <w:color w:val="000000"/>
                <w:sz w:val="20"/>
                <w:szCs w:val="20"/>
                <w:lang w:eastAsia="en-CA"/>
              </w:rPr>
              <w:t>)</w:t>
            </w:r>
            <w:r w:rsidRPr="00A81971">
              <w:rPr>
                <w:rFonts w:eastAsia="Times New Roman"/>
                <w:b/>
                <w:bCs/>
                <w:color w:val="000000"/>
                <w:sz w:val="20"/>
                <w:szCs w:val="20"/>
                <w:lang w:eastAsia="en-CA"/>
              </w:rPr>
              <w:t xml:space="preserve"> including 9.6% support costs</w:t>
            </w:r>
          </w:p>
        </w:tc>
        <w:tc>
          <w:tcPr>
            <w:tcW w:w="1080" w:type="dxa"/>
            <w:shd w:val="clear" w:color="auto" w:fill="B4C6E7" w:themeFill="accent1" w:themeFillTint="66"/>
            <w:noWrap/>
            <w:vAlign w:val="center"/>
            <w:hideMark/>
          </w:tcPr>
          <w:p w14:paraId="482ACB82"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 </w:t>
            </w:r>
          </w:p>
        </w:tc>
        <w:tc>
          <w:tcPr>
            <w:tcW w:w="1530" w:type="dxa"/>
            <w:shd w:val="clear" w:color="auto" w:fill="B4C6E7" w:themeFill="accent1" w:themeFillTint="66"/>
            <w:noWrap/>
            <w:vAlign w:val="center"/>
            <w:hideMark/>
          </w:tcPr>
          <w:p w14:paraId="2CCE0A2D" w14:textId="77777777" w:rsidR="009D2F76" w:rsidRPr="00A81971" w:rsidRDefault="0032495C" w:rsidP="00C80FFD">
            <w:pPr>
              <w:spacing w:after="0"/>
              <w:rPr>
                <w:rFonts w:eastAsia="Times New Roman"/>
                <w:color w:val="000000"/>
                <w:sz w:val="20"/>
                <w:szCs w:val="20"/>
                <w:lang w:eastAsia="en-CA"/>
              </w:rPr>
            </w:pPr>
            <w:r w:rsidRPr="00A81971">
              <w:rPr>
                <w:rFonts w:eastAsia="Times New Roman"/>
                <w:color w:val="000000"/>
                <w:sz w:val="20"/>
                <w:szCs w:val="20"/>
                <w:lang w:eastAsia="en-CA"/>
              </w:rPr>
              <w:t> </w:t>
            </w:r>
          </w:p>
        </w:tc>
        <w:tc>
          <w:tcPr>
            <w:tcW w:w="1710" w:type="dxa"/>
            <w:shd w:val="clear" w:color="auto" w:fill="B4C6E7" w:themeFill="accent1" w:themeFillTint="66"/>
            <w:noWrap/>
            <w:vAlign w:val="center"/>
            <w:hideMark/>
          </w:tcPr>
          <w:p w14:paraId="776932EA" w14:textId="77777777" w:rsidR="009D2F76" w:rsidRPr="00A81971" w:rsidRDefault="0032495C" w:rsidP="00C80FFD">
            <w:pPr>
              <w:spacing w:after="0"/>
              <w:jc w:val="right"/>
              <w:rPr>
                <w:rFonts w:eastAsia="Times New Roman"/>
                <w:b/>
                <w:bCs/>
                <w:color w:val="000000"/>
                <w:sz w:val="20"/>
                <w:szCs w:val="20"/>
                <w:lang w:eastAsia="en-CA"/>
              </w:rPr>
            </w:pPr>
            <w:r w:rsidRPr="00A81971">
              <w:rPr>
                <w:rFonts w:eastAsia="Times New Roman"/>
                <w:b/>
                <w:bCs/>
                <w:color w:val="000000"/>
                <w:sz w:val="20"/>
                <w:szCs w:val="20"/>
                <w:lang w:eastAsia="en-CA"/>
              </w:rPr>
              <w:t>263,040</w:t>
            </w:r>
          </w:p>
        </w:tc>
        <w:tc>
          <w:tcPr>
            <w:tcW w:w="1245" w:type="dxa"/>
            <w:shd w:val="clear" w:color="auto" w:fill="B4C6E7" w:themeFill="accent1" w:themeFillTint="66"/>
            <w:noWrap/>
            <w:vAlign w:val="center"/>
            <w:hideMark/>
          </w:tcPr>
          <w:p w14:paraId="19D341A8" w14:textId="77777777" w:rsidR="009D2F76" w:rsidRPr="00A81971" w:rsidRDefault="0032495C" w:rsidP="00C80FFD">
            <w:pPr>
              <w:spacing w:after="0"/>
              <w:jc w:val="right"/>
              <w:rPr>
                <w:rFonts w:eastAsia="Times New Roman"/>
                <w:b/>
                <w:bCs/>
                <w:color w:val="000000"/>
                <w:sz w:val="20"/>
                <w:szCs w:val="20"/>
                <w:lang w:eastAsia="en-CA"/>
              </w:rPr>
            </w:pPr>
            <w:r w:rsidRPr="00A81971">
              <w:rPr>
                <w:rFonts w:eastAsia="Times New Roman"/>
                <w:b/>
                <w:bCs/>
                <w:color w:val="000000"/>
                <w:sz w:val="20"/>
                <w:szCs w:val="20"/>
                <w:lang w:eastAsia="en-CA"/>
              </w:rPr>
              <w:t> </w:t>
            </w:r>
          </w:p>
        </w:tc>
      </w:tr>
    </w:tbl>
    <w:p w14:paraId="56595ABD" w14:textId="34A281B9" w:rsidR="002E3156" w:rsidRDefault="002E3156" w:rsidP="009D2F76">
      <w:pPr>
        <w:spacing w:after="0"/>
        <w:jc w:val="both"/>
        <w:rPr>
          <w:rFonts w:eastAsia="Times New Roman"/>
          <w:b/>
          <w:bCs/>
          <w:color w:val="000000" w:themeColor="text1"/>
        </w:rPr>
      </w:pPr>
    </w:p>
    <w:p w14:paraId="59577211" w14:textId="77777777" w:rsidR="002E3156" w:rsidRDefault="002E3156">
      <w:pPr>
        <w:spacing w:after="0"/>
        <w:rPr>
          <w:rFonts w:eastAsia="Times New Roman"/>
          <w:b/>
          <w:bCs/>
          <w:color w:val="000000" w:themeColor="text1"/>
        </w:rPr>
      </w:pPr>
      <w:r>
        <w:rPr>
          <w:rFonts w:eastAsia="Times New Roman"/>
          <w:b/>
          <w:bCs/>
          <w:color w:val="000000" w:themeColor="text1"/>
        </w:rPr>
        <w:br w:type="page"/>
      </w:r>
    </w:p>
    <w:p w14:paraId="3CFAEEFC" w14:textId="77777777" w:rsidR="001E30D2" w:rsidRPr="002E3156" w:rsidRDefault="0032495C" w:rsidP="00201CFA">
      <w:pPr>
        <w:pStyle w:val="Heading2"/>
      </w:pPr>
      <w:bookmarkStart w:id="241" w:name="_Toc240987346"/>
      <w:r w:rsidRPr="002E3156">
        <w:lastRenderedPageBreak/>
        <w:t>A</w:t>
      </w:r>
      <w:r w:rsidR="005640E6" w:rsidRPr="002E3156">
        <w:t>2</w:t>
      </w:r>
      <w:r w:rsidRPr="002E3156">
        <w:t>.5</w:t>
      </w:r>
      <w:r w:rsidRPr="002E3156">
        <w:tab/>
        <w:t>Energy efficiency (</w:t>
      </w:r>
      <w:r w:rsidR="00DE43B4" w:rsidRPr="002E3156">
        <w:t>Decision 89/6)</w:t>
      </w:r>
      <w:bookmarkEnd w:id="241"/>
    </w:p>
    <w:p w14:paraId="01AF09B9"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 xml:space="preserve">In Decision 89/6, the ExCom established a funding table and defined additional </w:t>
      </w:r>
      <w:r w:rsidR="00DE43B4" w:rsidRPr="00A81971">
        <w:rPr>
          <w:rFonts w:eastAsia="Times New Roman"/>
          <w:color w:val="000000" w:themeColor="text1"/>
        </w:rPr>
        <w:t>EE-</w:t>
      </w:r>
      <w:r w:rsidRPr="00A81971">
        <w:rPr>
          <w:rFonts w:eastAsia="Times New Roman"/>
          <w:color w:val="000000" w:themeColor="text1"/>
        </w:rPr>
        <w:t>related activities for inclusion in existing and future HPMPs for LVC countries in response to paragraph 16 of Decision XXVIII/2 and paragraph 2 of Decision XXX/5 of the parties. The ExCom in Decision 91/37 decided that Decision 89/6 applies to LVC countries that have already completed their HPMPs.</w:t>
      </w:r>
    </w:p>
    <w:p w14:paraId="3314BF52" w14:textId="77777777" w:rsidR="009D2F76" w:rsidRPr="00A81971" w:rsidRDefault="009D2F76" w:rsidP="009D2F76">
      <w:pPr>
        <w:spacing w:after="0"/>
        <w:rPr>
          <w:rFonts w:eastAsia="Times New Roman"/>
          <w:color w:val="000000" w:themeColor="text1"/>
        </w:rPr>
      </w:pPr>
    </w:p>
    <w:p w14:paraId="3DFC80B6"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The maximum funding eligibility for decision 89/6 based on 95 LVC countries and 11% support costs (based on historical average) is US$</w:t>
      </w:r>
      <w:r w:rsidR="00445410" w:rsidRPr="00A81971">
        <w:rPr>
          <w:rFonts w:eastAsia="Times New Roman"/>
          <w:color w:val="000000" w:themeColor="text1"/>
        </w:rPr>
        <w:t xml:space="preserve"> </w:t>
      </w:r>
      <w:r w:rsidRPr="00A81971">
        <w:rPr>
          <w:rFonts w:eastAsia="Times New Roman"/>
          <w:color w:val="000000" w:themeColor="text1"/>
        </w:rPr>
        <w:t>11,135,360. By ExCom-98, 75 Parties and 1 region have approved projects funded under Decision 89/6 with a total funding of US$</w:t>
      </w:r>
      <w:r w:rsidRPr="00A81971">
        <w:rPr>
          <w:rFonts w:eastAsia="Times New Roman"/>
          <w:color w:val="000000" w:themeColor="text1"/>
          <w:sz w:val="24"/>
          <w:szCs w:val="24"/>
        </w:rPr>
        <w:t xml:space="preserve"> </w:t>
      </w:r>
      <w:r w:rsidRPr="00A81971">
        <w:rPr>
          <w:rFonts w:eastAsia="Times New Roman"/>
          <w:color w:val="000000" w:themeColor="text1"/>
        </w:rPr>
        <w:t xml:space="preserve">8,614,179. The remaining parties may apply for funding for support during the upcoming triennium or in future triennia. </w:t>
      </w:r>
    </w:p>
    <w:p w14:paraId="1AE2A162" w14:textId="77777777" w:rsidR="009D2F76" w:rsidRPr="00A81971" w:rsidRDefault="009D2F76" w:rsidP="009D2F76">
      <w:pPr>
        <w:spacing w:after="0"/>
        <w:rPr>
          <w:rFonts w:eastAsia="Times New Roman"/>
          <w:color w:val="000000" w:themeColor="text1"/>
        </w:rPr>
      </w:pPr>
    </w:p>
    <w:p w14:paraId="0355E939"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The RTF estimates, based on previous ExCom approval rates, may approve zero or up to US$ 1,080,000 at ExCom-99. As such, the amount needed for the next triennium is</w:t>
      </w:r>
    </w:p>
    <w:p w14:paraId="11E0E12A" w14:textId="77777777" w:rsidR="009D2F76" w:rsidRPr="00A81971" w:rsidRDefault="0032495C" w:rsidP="007A20BD">
      <w:pPr>
        <w:pStyle w:val="ListParagraph"/>
        <w:numPr>
          <w:ilvl w:val="0"/>
          <w:numId w:val="37"/>
        </w:numPr>
        <w:spacing w:after="0"/>
        <w:rPr>
          <w:rFonts w:eastAsia="Times New Roman"/>
          <w:color w:val="000000" w:themeColor="text1"/>
        </w:rPr>
      </w:pPr>
      <w:r w:rsidRPr="00A81971">
        <w:rPr>
          <w:rFonts w:eastAsia="Times New Roman"/>
          <w:color w:val="000000" w:themeColor="text1"/>
        </w:rPr>
        <w:t>Low-end funding estimate: US$ 1,441,181 including support cost;</w:t>
      </w:r>
    </w:p>
    <w:p w14:paraId="7B2AB73C" w14:textId="77777777" w:rsidR="009D2F76" w:rsidRPr="00A81971" w:rsidRDefault="0032495C" w:rsidP="007A20BD">
      <w:pPr>
        <w:pStyle w:val="ListParagraph"/>
        <w:numPr>
          <w:ilvl w:val="0"/>
          <w:numId w:val="37"/>
        </w:numPr>
        <w:spacing w:after="0"/>
        <w:rPr>
          <w:rFonts w:eastAsia="Times New Roman"/>
          <w:color w:val="000000" w:themeColor="text1"/>
        </w:rPr>
      </w:pPr>
      <w:r w:rsidRPr="00A81971">
        <w:rPr>
          <w:rFonts w:eastAsia="Times New Roman"/>
          <w:color w:val="000000" w:themeColor="text1"/>
        </w:rPr>
        <w:t>High-end funding estimate: US$ 2,521,181 including support cost.</w:t>
      </w:r>
    </w:p>
    <w:p w14:paraId="30C474BB" w14:textId="77777777" w:rsidR="009D2F76" w:rsidRPr="00A81971" w:rsidRDefault="009D2F76" w:rsidP="009D2F76">
      <w:pPr>
        <w:spacing w:after="0"/>
        <w:rPr>
          <w:rFonts w:eastAsia="Times New Roman"/>
          <w:color w:val="000000" w:themeColor="text1"/>
        </w:rPr>
      </w:pPr>
    </w:p>
    <w:p w14:paraId="7BBEEE31" w14:textId="77777777" w:rsidR="009D2F76" w:rsidRPr="00A81971" w:rsidRDefault="0032495C" w:rsidP="009D2F76">
      <w:pPr>
        <w:spacing w:after="0"/>
      </w:pPr>
      <w:r w:rsidRPr="00A81971">
        <w:rPr>
          <w:rFonts w:eastAsia="Times New Roman"/>
          <w:color w:val="000000" w:themeColor="text1"/>
        </w:rPr>
        <w:t>The RTF estimates that up to</w:t>
      </w:r>
      <w:r w:rsidRPr="00A81971">
        <w:rPr>
          <w:rFonts w:eastAsia="Times New Roman"/>
          <w:b/>
          <w:bCs/>
          <w:color w:val="000000" w:themeColor="text1"/>
        </w:rPr>
        <w:t xml:space="preserve"> US$ 2,521,181</w:t>
      </w:r>
      <w:r w:rsidRPr="00A81971">
        <w:rPr>
          <w:rFonts w:eastAsia="Times New Roman"/>
          <w:color w:val="000000" w:themeColor="text1"/>
        </w:rPr>
        <w:t xml:space="preserve"> may be required to support the remaining LVCs in the 2027-2029 triennium.</w:t>
      </w:r>
    </w:p>
    <w:p w14:paraId="66C4B9D8" w14:textId="77777777" w:rsidR="009D2F76" w:rsidRPr="00A81971" w:rsidRDefault="009D2F76" w:rsidP="009D2F76">
      <w:pPr>
        <w:spacing w:after="0"/>
        <w:rPr>
          <w:rFonts w:eastAsia="Times New Roman"/>
          <w:color w:val="000000" w:themeColor="text1"/>
        </w:rPr>
      </w:pPr>
    </w:p>
    <w:p w14:paraId="241A90FA" w14:textId="77777777" w:rsidR="00D05E77" w:rsidRPr="00A81971" w:rsidRDefault="0032495C" w:rsidP="00201CFA">
      <w:pPr>
        <w:pStyle w:val="Heading2"/>
      </w:pPr>
      <w:bookmarkStart w:id="242" w:name="_Toc240987347"/>
      <w:r w:rsidRPr="00A81971">
        <w:t>A</w:t>
      </w:r>
      <w:r w:rsidR="005640E6" w:rsidRPr="00A81971">
        <w:t>2</w:t>
      </w:r>
      <w:r w:rsidRPr="00A81971">
        <w:t>.6</w:t>
      </w:r>
      <w:r w:rsidRPr="00A81971">
        <w:tab/>
      </w:r>
      <w:r w:rsidR="00E96C8B" w:rsidRPr="00A81971">
        <w:t xml:space="preserve">Updated </w:t>
      </w:r>
      <w:r w:rsidR="001A6DD1" w:rsidRPr="00A81971">
        <w:t>estimated funding requirement for the total HCFC consumption sector phase-out</w:t>
      </w:r>
      <w:bookmarkEnd w:id="242"/>
    </w:p>
    <w:p w14:paraId="2A3883D0"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 xml:space="preserve">The total HCFC phase-out is scheduled for 2030 with the special allowances for the servicing tail. ExCom Decision 62/17 “requested the bilateral and IAs, when preparing multi-year HPMPs, to ensure that the last tranche comprised 10% of the total funding for the refrigeration servicing sector in the agreement and was scheduled for the last year of the plan.” </w:t>
      </w:r>
    </w:p>
    <w:p w14:paraId="552596DB"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 xml:space="preserve"> </w:t>
      </w:r>
    </w:p>
    <w:p w14:paraId="1E1936AA" w14:textId="77777777" w:rsidR="009D2F76" w:rsidRPr="00A81971" w:rsidRDefault="0032495C" w:rsidP="009D2F76">
      <w:pPr>
        <w:spacing w:after="0"/>
        <w:rPr>
          <w:rFonts w:eastAsia="Times New Roman"/>
          <w:color w:val="000000" w:themeColor="text1"/>
        </w:rPr>
      </w:pPr>
      <w:r w:rsidRPr="00A81971">
        <w:rPr>
          <w:rFonts w:eastAsia="Times New Roman"/>
          <w:color w:val="000000" w:themeColor="text1"/>
        </w:rPr>
        <w:t>RTF considered that the last tranche of the HPMPs would occur in 2030; consequently, 90% of the total phase-out resource allocation would be within the 2027-2029 triennium and the 10% for the last tranche would be allocated to the next triennium 2030-2032, following decision 62/17.</w:t>
      </w:r>
    </w:p>
    <w:p w14:paraId="4852C8D6" w14:textId="77777777" w:rsidR="00215448" w:rsidRPr="00A81971" w:rsidRDefault="0032495C" w:rsidP="457BD43E">
      <w:pPr>
        <w:tabs>
          <w:tab w:val="left" w:pos="720"/>
        </w:tabs>
        <w:spacing w:after="240" w:line="259" w:lineRule="auto"/>
        <w:rPr>
          <w:rFonts w:eastAsia="Times New Roman"/>
          <w:color w:val="000000" w:themeColor="text1"/>
        </w:rPr>
      </w:pPr>
      <w:r w:rsidRPr="00A81971">
        <w:rPr>
          <w:rFonts w:eastAsia="Times New Roman"/>
          <w:color w:val="000000" w:themeColor="text1"/>
        </w:rPr>
        <w:t xml:space="preserve">Applying the HCFC scenarios 1 and 2 based on historical versus cost guidelines CEs, respectively, and considering Decision 62/17, and allocating funding resources 90% to 2027-2029 and 10% to 2030-2032, the ranges for the estimated funding requirement for the HCFC consumption sector total phase-out for the 2027-2029 and 2030-2032 are summarised in Table </w:t>
      </w:r>
      <w:r w:rsidR="007A1EE6" w:rsidRPr="00A81971">
        <w:rPr>
          <w:rFonts w:eastAsia="Times New Roman"/>
          <w:color w:val="000000" w:themeColor="text1"/>
        </w:rPr>
        <w:t>A1.5</w:t>
      </w:r>
      <w:r w:rsidRPr="00A81971">
        <w:rPr>
          <w:rFonts w:eastAsia="Times New Roman"/>
          <w:color w:val="000000" w:themeColor="text1"/>
        </w:rPr>
        <w:t>.</w:t>
      </w:r>
    </w:p>
    <w:p w14:paraId="2AEF929C" w14:textId="77777777" w:rsidR="00051405" w:rsidRPr="00A81971" w:rsidRDefault="0032495C" w:rsidP="457BD43E">
      <w:pPr>
        <w:tabs>
          <w:tab w:val="left" w:pos="720"/>
        </w:tabs>
        <w:spacing w:after="240" w:line="259" w:lineRule="auto"/>
        <w:rPr>
          <w:rFonts w:eastAsia="Times New Roman"/>
          <w:color w:val="000000" w:themeColor="text1"/>
        </w:rPr>
      </w:pPr>
      <w:r w:rsidRPr="00A81971">
        <w:rPr>
          <w:rFonts w:eastAsia="Times New Roman"/>
          <w:color w:val="000000" w:themeColor="text1"/>
        </w:rPr>
        <w:t>As in the May 2026 Report, t</w:t>
      </w:r>
      <w:r w:rsidR="060C4F7D" w:rsidRPr="00A81971">
        <w:rPr>
          <w:rFonts w:eastAsia="Times New Roman"/>
          <w:color w:val="000000" w:themeColor="text1"/>
        </w:rPr>
        <w:t xml:space="preserve">he ranges for the estimated funding for the HCFC consumption sector for 2027-2029 and 2030-2032 are derived by applying the HCFC scenarios 1 and 2 based on historical versus cost guidelines CEs, respectively, and considering Decision 62/17, and allocating funding resources 90% to 2027-2029 and 10% to 2030-2032. RTF believes that this methodology provides a consistent and transparent basis for estimating remaining funding requirements for complete phaseout of HCFCs, using information available based on actual implementation experience and the policy ceilings defined by existing cost guidelines. </w:t>
      </w:r>
    </w:p>
    <w:p w14:paraId="6B51D7AE" w14:textId="77777777" w:rsidR="002E3156" w:rsidRDefault="002E3156">
      <w:pPr>
        <w:spacing w:after="0"/>
        <w:rPr>
          <w:rFonts w:eastAsia="Yu Mincho"/>
          <w:b/>
          <w:bCs/>
          <w:color w:val="000000"/>
        </w:rPr>
      </w:pPr>
      <w:r>
        <w:rPr>
          <w:rFonts w:eastAsia="Yu Mincho"/>
          <w:b/>
          <w:bCs/>
          <w:color w:val="000000"/>
        </w:rPr>
        <w:br w:type="page"/>
      </w:r>
    </w:p>
    <w:p w14:paraId="43D82E7B" w14:textId="01DC8965" w:rsidR="00793ABA" w:rsidRPr="00A81971" w:rsidRDefault="0032495C" w:rsidP="00814D56">
      <w:pPr>
        <w:tabs>
          <w:tab w:val="left" w:pos="0"/>
          <w:tab w:val="left" w:pos="1276"/>
        </w:tabs>
        <w:spacing w:after="120"/>
        <w:ind w:left="1282" w:hanging="1282"/>
        <w:rPr>
          <w:rFonts w:eastAsia="Times New Roman"/>
          <w:color w:val="000000" w:themeColor="text1"/>
        </w:rPr>
      </w:pPr>
      <w:r w:rsidRPr="0006445E">
        <w:rPr>
          <w:rFonts w:eastAsia="Yu Mincho"/>
          <w:b/>
          <w:bCs/>
          <w:color w:val="000000"/>
          <w:lang w:val="en-CA"/>
        </w:rPr>
        <w:lastRenderedPageBreak/>
        <w:t xml:space="preserve">Table </w:t>
      </w:r>
      <w:r>
        <w:rPr>
          <w:rFonts w:eastAsia="Yu Mincho"/>
          <w:b/>
          <w:bCs/>
          <w:color w:val="000000"/>
          <w:lang w:val="en-CA"/>
        </w:rPr>
        <w:t>A2.7:</w:t>
      </w:r>
      <w:r w:rsidRPr="0006445E">
        <w:rPr>
          <w:rFonts w:eastAsia="Times New Roman"/>
          <w:color w:val="000000"/>
          <w:lang w:val="en-CA"/>
        </w:rPr>
        <w:tab/>
      </w:r>
      <w:r w:rsidRPr="00A81971">
        <w:rPr>
          <w:rFonts w:eastAsia="Times New Roman"/>
          <w:b/>
          <w:bCs/>
          <w:color w:val="000000" w:themeColor="text1"/>
        </w:rPr>
        <w:t>Updated range of estimated funding requirement for total HCFC consumption sector phase-out for 2027-2029 and future triennia (US$ millions)</w:t>
      </w:r>
      <w:r w:rsidR="1207221D" w:rsidRPr="00A81971">
        <w:rPr>
          <w:rFonts w:eastAsia="Times New Roman"/>
          <w:b/>
          <w:bCs/>
          <w:color w:val="000000" w:themeColor="text1"/>
        </w:rPr>
        <w:t xml:space="preserve">  </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227"/>
        <w:gridCol w:w="1290"/>
        <w:gridCol w:w="1288"/>
        <w:gridCol w:w="1090"/>
        <w:gridCol w:w="1288"/>
        <w:gridCol w:w="1091"/>
      </w:tblGrid>
      <w:tr w:rsidR="00F90461" w14:paraId="0E7A943E" w14:textId="77777777" w:rsidTr="00814D56">
        <w:trPr>
          <w:trHeight w:val="498"/>
          <w:jc w:val="center"/>
        </w:trPr>
        <w:tc>
          <w:tcPr>
            <w:tcW w:w="1800" w:type="dxa"/>
            <w:vMerge w:val="restart"/>
            <w:shd w:val="clear" w:color="auto" w:fill="E2EFD9" w:themeFill="accent6" w:themeFillTint="33"/>
            <w:tcMar>
              <w:left w:w="108" w:type="dxa"/>
              <w:right w:w="108" w:type="dxa"/>
            </w:tcMar>
            <w:vAlign w:val="center"/>
          </w:tcPr>
          <w:p w14:paraId="577C0D48"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HCFC CONSUMPTION SECTOR</w:t>
            </w:r>
          </w:p>
        </w:tc>
        <w:tc>
          <w:tcPr>
            <w:tcW w:w="2517" w:type="dxa"/>
            <w:gridSpan w:val="2"/>
            <w:vMerge w:val="restart"/>
            <w:shd w:val="clear" w:color="auto" w:fill="E2EFD9" w:themeFill="accent6" w:themeFillTint="33"/>
            <w:tcMar>
              <w:left w:w="108" w:type="dxa"/>
              <w:right w:w="108" w:type="dxa"/>
            </w:tcMar>
          </w:tcPr>
          <w:p w14:paraId="4D1672E0" w14:textId="77777777" w:rsidR="00E035CD" w:rsidRPr="00A81971" w:rsidRDefault="0032495C" w:rsidP="46A3B0F3">
            <w:pPr>
              <w:spacing w:after="0" w:line="259" w:lineRule="auto"/>
              <w:jc w:val="center"/>
            </w:pPr>
            <w:r w:rsidRPr="00A81971">
              <w:rPr>
                <w:rFonts w:eastAsia="Calibri"/>
                <w:b/>
                <w:bCs/>
                <w:kern w:val="2"/>
                <w:sz w:val="20"/>
                <w:szCs w:val="20"/>
                <w14:ligatures w14:val="standardContextual"/>
              </w:rPr>
              <w:t xml:space="preserve">2027-2029 and </w:t>
            </w:r>
            <w:r w:rsidR="46A3B0F3" w:rsidRPr="00A81971">
              <w:rPr>
                <w:rFonts w:eastAsia="Calibri"/>
                <w:b/>
                <w:bCs/>
                <w:sz w:val="20"/>
                <w:szCs w:val="20"/>
              </w:rPr>
              <w:t>future triennia</w:t>
            </w:r>
          </w:p>
          <w:p w14:paraId="7141CE8B" w14:textId="77777777" w:rsidR="00E035CD" w:rsidRPr="00A81971" w:rsidRDefault="0032495C" w:rsidP="00E035CD">
            <w:pPr>
              <w:spacing w:after="0" w:line="259" w:lineRule="auto"/>
              <w:jc w:val="center"/>
            </w:pPr>
            <w:r w:rsidRPr="00A81971">
              <w:rPr>
                <w:rFonts w:eastAsia="Calibri"/>
                <w:b/>
                <w:bCs/>
                <w:sz w:val="20"/>
                <w:szCs w:val="20"/>
              </w:rPr>
              <w:t xml:space="preserve"> Total Estimated Funding for Complete Phaseout</w:t>
            </w:r>
          </w:p>
          <w:p w14:paraId="049D9C2B" w14:textId="77777777" w:rsidR="00E035CD" w:rsidRPr="00A81971" w:rsidRDefault="0032495C" w:rsidP="00E035CD">
            <w:pPr>
              <w:spacing w:after="0" w:line="259" w:lineRule="auto"/>
              <w:jc w:val="center"/>
            </w:pPr>
            <w:r w:rsidRPr="00A81971">
              <w:rPr>
                <w:rFonts w:eastAsia="Calibri"/>
                <w:b/>
                <w:bCs/>
                <w:sz w:val="20"/>
                <w:szCs w:val="20"/>
              </w:rPr>
              <w:t>(</w:t>
            </w:r>
            <w:r w:rsidR="6EFC312D" w:rsidRPr="00A81971">
              <w:rPr>
                <w:rFonts w:eastAsia="Calibri"/>
                <w:b/>
                <w:bCs/>
                <w:sz w:val="20"/>
                <w:szCs w:val="20"/>
              </w:rPr>
              <w:t>US$ million)</w:t>
            </w:r>
          </w:p>
        </w:tc>
        <w:tc>
          <w:tcPr>
            <w:tcW w:w="2378" w:type="dxa"/>
            <w:gridSpan w:val="2"/>
            <w:shd w:val="clear" w:color="auto" w:fill="F7CAAC" w:themeFill="accent2" w:themeFillTint="66"/>
            <w:tcMar>
              <w:left w:w="108" w:type="dxa"/>
              <w:right w:w="108" w:type="dxa"/>
            </w:tcMar>
          </w:tcPr>
          <w:p w14:paraId="2D7CBFDD" w14:textId="048FAA28" w:rsidR="00E035CD" w:rsidRPr="00A81971" w:rsidRDefault="0032495C" w:rsidP="00E035CD">
            <w:pPr>
              <w:spacing w:after="0" w:line="259" w:lineRule="auto"/>
              <w:jc w:val="center"/>
            </w:pPr>
            <w:r w:rsidRPr="00A81971">
              <w:rPr>
                <w:rFonts w:eastAsia="Calibri"/>
                <w:b/>
                <w:bCs/>
                <w:sz w:val="20"/>
                <w:szCs w:val="20"/>
              </w:rPr>
              <w:t xml:space="preserve">Estimated </w:t>
            </w:r>
            <w:r w:rsidR="5742DB72" w:rsidRPr="00A81971">
              <w:rPr>
                <w:rFonts w:eastAsia="Calibri"/>
                <w:b/>
                <w:bCs/>
                <w:sz w:val="20"/>
                <w:szCs w:val="20"/>
              </w:rPr>
              <w:t>F</w:t>
            </w:r>
            <w:r w:rsidR="3370D584" w:rsidRPr="00A81971">
              <w:rPr>
                <w:rFonts w:eastAsia="Calibri"/>
                <w:b/>
                <w:bCs/>
                <w:sz w:val="20"/>
                <w:szCs w:val="20"/>
              </w:rPr>
              <w:t xml:space="preserve">unding </w:t>
            </w:r>
            <w:r w:rsidR="4B611E78" w:rsidRPr="00A81971">
              <w:rPr>
                <w:rFonts w:eastAsia="Calibri"/>
                <w:b/>
                <w:bCs/>
                <w:sz w:val="20"/>
                <w:szCs w:val="20"/>
              </w:rPr>
              <w:t xml:space="preserve">by </w:t>
            </w:r>
            <w:r w:rsidRPr="00A81971">
              <w:rPr>
                <w:rFonts w:eastAsia="Calibri"/>
                <w:b/>
                <w:bCs/>
                <w:sz w:val="20"/>
                <w:szCs w:val="20"/>
              </w:rPr>
              <w:t xml:space="preserve">Resource Allocation  </w:t>
            </w:r>
          </w:p>
          <w:p w14:paraId="25D95B80" w14:textId="77777777" w:rsidR="00E035CD" w:rsidRPr="00A81971" w:rsidRDefault="0032495C" w:rsidP="00E035CD">
            <w:pPr>
              <w:spacing w:after="0" w:line="259" w:lineRule="auto"/>
              <w:jc w:val="center"/>
            </w:pPr>
            <w:r w:rsidRPr="00A81971">
              <w:rPr>
                <w:rFonts w:eastAsia="Calibri"/>
                <w:b/>
                <w:bCs/>
                <w:sz w:val="20"/>
                <w:szCs w:val="20"/>
              </w:rPr>
              <w:t>US$ million)</w:t>
            </w:r>
          </w:p>
        </w:tc>
        <w:tc>
          <w:tcPr>
            <w:tcW w:w="2379" w:type="dxa"/>
            <w:gridSpan w:val="2"/>
            <w:shd w:val="clear" w:color="auto" w:fill="FFE599" w:themeFill="accent4" w:themeFillTint="66"/>
            <w:tcMar>
              <w:left w:w="108" w:type="dxa"/>
              <w:right w:w="108" w:type="dxa"/>
            </w:tcMar>
          </w:tcPr>
          <w:p w14:paraId="1E980BA7" w14:textId="77777777" w:rsidR="00E035CD" w:rsidRPr="00A81971" w:rsidRDefault="0032495C" w:rsidP="00E035CD">
            <w:pPr>
              <w:spacing w:after="0" w:line="259" w:lineRule="auto"/>
              <w:jc w:val="center"/>
            </w:pPr>
            <w:r w:rsidRPr="00A81971">
              <w:rPr>
                <w:rFonts w:eastAsia="Calibri"/>
                <w:b/>
                <w:bCs/>
                <w:kern w:val="2"/>
                <w:sz w:val="20"/>
                <w:szCs w:val="20"/>
                <w14:ligatures w14:val="standardContextual"/>
              </w:rPr>
              <w:t xml:space="preserve">Estimated Funding by </w:t>
            </w:r>
            <w:r w:rsidRPr="00A81971">
              <w:rPr>
                <w:rFonts w:eastAsia="Calibri"/>
                <w:b/>
                <w:bCs/>
                <w:sz w:val="20"/>
                <w:szCs w:val="20"/>
              </w:rPr>
              <w:t xml:space="preserve">Resource Allocation </w:t>
            </w:r>
          </w:p>
          <w:p w14:paraId="4A03CA74" w14:textId="77777777" w:rsidR="00E035CD" w:rsidRPr="00A81971" w:rsidRDefault="0032495C" w:rsidP="00E035CD">
            <w:pPr>
              <w:spacing w:after="0" w:line="259" w:lineRule="auto"/>
              <w:jc w:val="center"/>
            </w:pPr>
            <w:r w:rsidRPr="00A81971">
              <w:rPr>
                <w:rFonts w:eastAsia="Calibri"/>
                <w:b/>
                <w:bCs/>
                <w:sz w:val="20"/>
                <w:szCs w:val="20"/>
              </w:rPr>
              <w:t>(US$ million)</w:t>
            </w:r>
          </w:p>
        </w:tc>
      </w:tr>
      <w:tr w:rsidR="00F90461" w14:paraId="28193300" w14:textId="77777777" w:rsidTr="00814D56">
        <w:trPr>
          <w:trHeight w:val="498"/>
          <w:jc w:val="center"/>
        </w:trPr>
        <w:tc>
          <w:tcPr>
            <w:tcW w:w="1800" w:type="dxa"/>
            <w:vMerge/>
            <w:tcMar>
              <w:left w:w="108" w:type="dxa"/>
              <w:right w:w="108" w:type="dxa"/>
            </w:tcMar>
            <w:vAlign w:val="center"/>
          </w:tcPr>
          <w:p w14:paraId="0F95C8AC" w14:textId="77777777" w:rsidR="00E035CD" w:rsidRPr="00A81971" w:rsidRDefault="00E035CD" w:rsidP="00E035CD">
            <w:pPr>
              <w:spacing w:after="0" w:line="259" w:lineRule="auto"/>
              <w:jc w:val="center"/>
              <w:rPr>
                <w:rFonts w:eastAsia="Calibri"/>
                <w:b/>
                <w:bCs/>
                <w:kern w:val="2"/>
                <w:sz w:val="20"/>
                <w:szCs w:val="20"/>
                <w14:ligatures w14:val="standardContextual"/>
              </w:rPr>
            </w:pPr>
          </w:p>
        </w:tc>
        <w:tc>
          <w:tcPr>
            <w:tcW w:w="2517" w:type="dxa"/>
            <w:gridSpan w:val="2"/>
            <w:vMerge/>
            <w:tcMar>
              <w:left w:w="108" w:type="dxa"/>
              <w:right w:w="108" w:type="dxa"/>
            </w:tcMar>
          </w:tcPr>
          <w:p w14:paraId="0040202B" w14:textId="77777777" w:rsidR="00E035CD" w:rsidRPr="00A81971" w:rsidRDefault="00E035CD" w:rsidP="00E035CD">
            <w:pPr>
              <w:spacing w:after="0" w:line="259" w:lineRule="auto"/>
              <w:jc w:val="center"/>
              <w:rPr>
                <w:rFonts w:eastAsia="Calibri"/>
                <w:b/>
                <w:bCs/>
                <w:kern w:val="2"/>
                <w:sz w:val="20"/>
                <w:szCs w:val="20"/>
                <w14:ligatures w14:val="standardContextual"/>
              </w:rPr>
            </w:pPr>
          </w:p>
        </w:tc>
        <w:tc>
          <w:tcPr>
            <w:tcW w:w="1288" w:type="dxa"/>
            <w:shd w:val="clear" w:color="auto" w:fill="F7CAAC" w:themeFill="accent2" w:themeFillTint="66"/>
            <w:tcMar>
              <w:left w:w="108" w:type="dxa"/>
              <w:right w:w="108" w:type="dxa"/>
            </w:tcMar>
            <w:vAlign w:val="center"/>
          </w:tcPr>
          <w:p w14:paraId="371EAF25"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2027-2029</w:t>
            </w:r>
          </w:p>
        </w:tc>
        <w:tc>
          <w:tcPr>
            <w:tcW w:w="1090" w:type="dxa"/>
            <w:shd w:val="clear" w:color="auto" w:fill="F7CAAC" w:themeFill="accent2" w:themeFillTint="66"/>
            <w:tcMar>
              <w:left w:w="108" w:type="dxa"/>
              <w:right w:w="108" w:type="dxa"/>
            </w:tcMar>
            <w:vAlign w:val="center"/>
          </w:tcPr>
          <w:p w14:paraId="2F31E7A6" w14:textId="77777777" w:rsidR="00E035CD" w:rsidRPr="00A81971" w:rsidRDefault="0032495C" w:rsidP="00E035CD">
            <w:pPr>
              <w:spacing w:after="0" w:line="259" w:lineRule="auto"/>
              <w:jc w:val="center"/>
              <w:rPr>
                <w:rFonts w:eastAsia="Times New Roman"/>
                <w:sz w:val="20"/>
                <w:szCs w:val="20"/>
              </w:rPr>
            </w:pPr>
            <w:r w:rsidRPr="00A81971">
              <w:rPr>
                <w:rFonts w:eastAsia="Calibri"/>
                <w:b/>
                <w:bCs/>
                <w:kern w:val="2"/>
                <w:sz w:val="20"/>
                <w:szCs w:val="20"/>
                <w14:ligatures w14:val="standardContextual"/>
              </w:rPr>
              <w:t>2030-203</w:t>
            </w:r>
            <w:r w:rsidR="091457C3" w:rsidRPr="00A81971">
              <w:rPr>
                <w:rFonts w:eastAsia="Calibri"/>
                <w:b/>
                <w:bCs/>
                <w:sz w:val="20"/>
                <w:szCs w:val="20"/>
              </w:rPr>
              <w:t>2</w:t>
            </w:r>
          </w:p>
        </w:tc>
        <w:tc>
          <w:tcPr>
            <w:tcW w:w="1288" w:type="dxa"/>
            <w:shd w:val="clear" w:color="auto" w:fill="FFE599" w:themeFill="accent4" w:themeFillTint="66"/>
            <w:tcMar>
              <w:left w:w="108" w:type="dxa"/>
              <w:right w:w="108" w:type="dxa"/>
            </w:tcMar>
            <w:vAlign w:val="center"/>
          </w:tcPr>
          <w:p w14:paraId="28909EED"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2027-2029</w:t>
            </w:r>
          </w:p>
        </w:tc>
        <w:tc>
          <w:tcPr>
            <w:tcW w:w="1091" w:type="dxa"/>
            <w:shd w:val="clear" w:color="auto" w:fill="FFE599" w:themeFill="accent4" w:themeFillTint="66"/>
            <w:tcMar>
              <w:left w:w="108" w:type="dxa"/>
              <w:right w:w="108" w:type="dxa"/>
            </w:tcMar>
            <w:vAlign w:val="center"/>
          </w:tcPr>
          <w:p w14:paraId="4F2DB8D9" w14:textId="77777777" w:rsidR="00E035CD" w:rsidRPr="00A81971" w:rsidRDefault="0032495C" w:rsidP="00E035CD">
            <w:pPr>
              <w:spacing w:after="0" w:line="259" w:lineRule="auto"/>
              <w:jc w:val="center"/>
              <w:rPr>
                <w:rFonts w:eastAsia="Times New Roman"/>
                <w:sz w:val="20"/>
                <w:szCs w:val="20"/>
              </w:rPr>
            </w:pPr>
            <w:r w:rsidRPr="00A81971">
              <w:rPr>
                <w:rFonts w:eastAsia="Calibri"/>
                <w:b/>
                <w:bCs/>
                <w:kern w:val="2"/>
                <w:sz w:val="20"/>
                <w:szCs w:val="20"/>
                <w14:ligatures w14:val="standardContextual"/>
              </w:rPr>
              <w:t>2030-203</w:t>
            </w:r>
            <w:r w:rsidR="091457C3" w:rsidRPr="00A81971">
              <w:rPr>
                <w:rFonts w:eastAsia="Calibri"/>
                <w:b/>
                <w:bCs/>
                <w:sz w:val="20"/>
                <w:szCs w:val="20"/>
              </w:rPr>
              <w:t>2</w:t>
            </w:r>
          </w:p>
        </w:tc>
      </w:tr>
      <w:tr w:rsidR="00F90461" w14:paraId="1EAF01BF" w14:textId="77777777" w:rsidTr="00814D56">
        <w:trPr>
          <w:trHeight w:val="60"/>
          <w:jc w:val="center"/>
        </w:trPr>
        <w:tc>
          <w:tcPr>
            <w:tcW w:w="1800" w:type="dxa"/>
            <w:vMerge/>
            <w:tcMar>
              <w:left w:w="108" w:type="dxa"/>
              <w:right w:w="108" w:type="dxa"/>
            </w:tcMar>
          </w:tcPr>
          <w:p w14:paraId="69C65C7E" w14:textId="77777777" w:rsidR="00E035CD" w:rsidRPr="00A81971" w:rsidRDefault="00E035CD" w:rsidP="00E035CD">
            <w:pPr>
              <w:spacing w:after="0" w:line="259" w:lineRule="auto"/>
              <w:rPr>
                <w:rFonts w:eastAsia="Calibri"/>
                <w:b/>
                <w:bCs/>
                <w:kern w:val="2"/>
                <w:sz w:val="20"/>
                <w:szCs w:val="20"/>
                <w14:ligatures w14:val="standardContextual"/>
              </w:rPr>
            </w:pPr>
          </w:p>
        </w:tc>
        <w:tc>
          <w:tcPr>
            <w:tcW w:w="2517" w:type="dxa"/>
            <w:gridSpan w:val="2"/>
            <w:shd w:val="clear" w:color="auto" w:fill="E2EFD9" w:themeFill="accent6" w:themeFillTint="33"/>
            <w:tcMar>
              <w:left w:w="108" w:type="dxa"/>
              <w:right w:w="108" w:type="dxa"/>
            </w:tcMar>
          </w:tcPr>
          <w:p w14:paraId="79D73146"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2 Scenarios </w:t>
            </w:r>
          </w:p>
          <w:p w14:paraId="4F8A5306"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Applying different CEs to manufacturing sectors</w:t>
            </w:r>
          </w:p>
        </w:tc>
        <w:tc>
          <w:tcPr>
            <w:tcW w:w="2378" w:type="dxa"/>
            <w:gridSpan w:val="2"/>
            <w:shd w:val="clear" w:color="auto" w:fill="F7CAAC" w:themeFill="accent2" w:themeFillTint="66"/>
            <w:tcMar>
              <w:left w:w="108" w:type="dxa"/>
              <w:right w:w="108" w:type="dxa"/>
            </w:tcMar>
          </w:tcPr>
          <w:p w14:paraId="089FEC1E" w14:textId="77777777" w:rsidR="00E035CD" w:rsidRPr="00A81971" w:rsidRDefault="0032495C" w:rsidP="00E035CD">
            <w:pPr>
              <w:spacing w:after="0" w:line="259" w:lineRule="auto"/>
              <w:rPr>
                <w:rFonts w:eastAsia="Calibri"/>
                <w:b/>
                <w:bCs/>
                <w:kern w:val="2"/>
                <w:sz w:val="20"/>
                <w:szCs w:val="20"/>
                <w14:ligatures w14:val="standardContextual"/>
              </w:rPr>
            </w:pPr>
            <w:r w:rsidRPr="00A81971">
              <w:rPr>
                <w:rFonts w:eastAsia="Calibri"/>
                <w:b/>
                <w:bCs/>
                <w:kern w:val="2"/>
                <w:sz w:val="20"/>
                <w:szCs w:val="20"/>
                <w14:ligatures w14:val="standardContextual"/>
              </w:rPr>
              <w:t xml:space="preserve"> </w:t>
            </w:r>
          </w:p>
          <w:p w14:paraId="7A31F3B1"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HCFC Scenario 1 </w:t>
            </w:r>
          </w:p>
        </w:tc>
        <w:tc>
          <w:tcPr>
            <w:tcW w:w="2379" w:type="dxa"/>
            <w:gridSpan w:val="2"/>
            <w:shd w:val="clear" w:color="auto" w:fill="FFE599" w:themeFill="accent4" w:themeFillTint="66"/>
            <w:tcMar>
              <w:left w:w="108" w:type="dxa"/>
              <w:right w:w="108" w:type="dxa"/>
            </w:tcMar>
          </w:tcPr>
          <w:p w14:paraId="695EC15D" w14:textId="77777777" w:rsidR="00E035CD" w:rsidRPr="00A81971" w:rsidRDefault="0032495C" w:rsidP="00E035CD">
            <w:pPr>
              <w:shd w:val="clear" w:color="auto" w:fill="FFE599"/>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 </w:t>
            </w:r>
          </w:p>
          <w:p w14:paraId="732CF48F" w14:textId="77777777" w:rsidR="00E035CD" w:rsidRPr="00A81971" w:rsidRDefault="0032495C" w:rsidP="00E035CD">
            <w:pPr>
              <w:shd w:val="clear" w:color="auto" w:fill="FFE599"/>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 xml:space="preserve">HCFC Scenario 2 </w:t>
            </w:r>
          </w:p>
        </w:tc>
      </w:tr>
      <w:tr w:rsidR="00F90461" w14:paraId="10D2EB1F" w14:textId="77777777" w:rsidTr="00814D56">
        <w:trPr>
          <w:trHeight w:val="180"/>
          <w:jc w:val="center"/>
        </w:trPr>
        <w:tc>
          <w:tcPr>
            <w:tcW w:w="1800" w:type="dxa"/>
            <w:vMerge/>
            <w:tcMar>
              <w:left w:w="108" w:type="dxa"/>
              <w:right w:w="108" w:type="dxa"/>
            </w:tcMar>
          </w:tcPr>
          <w:p w14:paraId="3AE2B02A" w14:textId="77777777" w:rsidR="00E035CD" w:rsidRPr="00A81971" w:rsidRDefault="00E035CD" w:rsidP="00E035CD">
            <w:pPr>
              <w:spacing w:after="0" w:line="259" w:lineRule="auto"/>
              <w:rPr>
                <w:rFonts w:eastAsia="Calibri"/>
                <w:b/>
                <w:bCs/>
                <w:kern w:val="2"/>
                <w:sz w:val="20"/>
                <w:szCs w:val="20"/>
                <w14:ligatures w14:val="standardContextual"/>
              </w:rPr>
            </w:pPr>
          </w:p>
        </w:tc>
        <w:tc>
          <w:tcPr>
            <w:tcW w:w="1227" w:type="dxa"/>
            <w:shd w:val="clear" w:color="auto" w:fill="F7CAAC" w:themeFill="accent2" w:themeFillTint="66"/>
            <w:tcMar>
              <w:left w:w="108" w:type="dxa"/>
              <w:right w:w="108" w:type="dxa"/>
            </w:tcMar>
            <w:vAlign w:val="center"/>
          </w:tcPr>
          <w:p w14:paraId="258D0271" w14:textId="77777777" w:rsidR="00E035CD" w:rsidRPr="00A81971" w:rsidRDefault="0032495C" w:rsidP="00E035C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Scenario 1</w:t>
            </w:r>
          </w:p>
        </w:tc>
        <w:tc>
          <w:tcPr>
            <w:tcW w:w="1290" w:type="dxa"/>
            <w:shd w:val="clear" w:color="auto" w:fill="FFE599" w:themeFill="accent4" w:themeFillTint="66"/>
            <w:tcMar>
              <w:left w:w="108" w:type="dxa"/>
              <w:right w:w="108" w:type="dxa"/>
            </w:tcMar>
            <w:vAlign w:val="center"/>
          </w:tcPr>
          <w:p w14:paraId="2DA371F5" w14:textId="77777777" w:rsidR="00E035CD" w:rsidRPr="00A81971" w:rsidRDefault="0032495C" w:rsidP="00E035C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Scenario 2</w:t>
            </w:r>
          </w:p>
        </w:tc>
        <w:tc>
          <w:tcPr>
            <w:tcW w:w="1288" w:type="dxa"/>
            <w:shd w:val="clear" w:color="auto" w:fill="F7CAAC" w:themeFill="accent2" w:themeFillTint="66"/>
            <w:tcMar>
              <w:left w:w="108" w:type="dxa"/>
              <w:right w:w="108" w:type="dxa"/>
            </w:tcMar>
          </w:tcPr>
          <w:p w14:paraId="725793BA" w14:textId="77777777" w:rsidR="00E035CD" w:rsidRPr="00A81971" w:rsidRDefault="0032495C" w:rsidP="00E035CD">
            <w:pPr>
              <w:spacing w:after="0" w:line="259" w:lineRule="auto"/>
              <w:jc w:val="center"/>
              <w:rPr>
                <w:rFonts w:eastAsia="Calibri"/>
                <w:b/>
                <w:bCs/>
                <w:kern w:val="2"/>
                <w:sz w:val="20"/>
                <w:szCs w:val="20"/>
                <w14:ligatures w14:val="standardContextual"/>
              </w:rPr>
            </w:pPr>
            <w:r w:rsidRPr="00A81971">
              <w:rPr>
                <w:rFonts w:eastAsia="Calibri"/>
                <w:b/>
                <w:bCs/>
                <w:kern w:val="2"/>
                <w:sz w:val="20"/>
                <w:szCs w:val="20"/>
                <w14:ligatures w14:val="standardContextual"/>
              </w:rPr>
              <w:t>90%</w:t>
            </w:r>
          </w:p>
        </w:tc>
        <w:tc>
          <w:tcPr>
            <w:tcW w:w="1090" w:type="dxa"/>
            <w:shd w:val="clear" w:color="auto" w:fill="F7CAAC" w:themeFill="accent2" w:themeFillTint="66"/>
            <w:tcMar>
              <w:left w:w="108" w:type="dxa"/>
              <w:right w:w="108" w:type="dxa"/>
            </w:tcMar>
          </w:tcPr>
          <w:p w14:paraId="24CB2A9A" w14:textId="77777777" w:rsidR="00E035CD" w:rsidRPr="00A81971" w:rsidRDefault="0032495C" w:rsidP="00E035CD">
            <w:pPr>
              <w:spacing w:after="0" w:line="259" w:lineRule="auto"/>
              <w:jc w:val="center"/>
              <w:rPr>
                <w:rFonts w:eastAsia="Yu Mincho"/>
                <w:b/>
                <w:bCs/>
                <w:sz w:val="20"/>
                <w:szCs w:val="20"/>
              </w:rPr>
            </w:pPr>
            <w:r w:rsidRPr="00A81971">
              <w:rPr>
                <w:rFonts w:eastAsia="Yu Mincho"/>
                <w:b/>
                <w:bCs/>
                <w:kern w:val="2"/>
                <w:sz w:val="20"/>
                <w:szCs w:val="20"/>
                <w14:ligatures w14:val="standardContextual"/>
              </w:rPr>
              <w:t>10%</w:t>
            </w:r>
          </w:p>
        </w:tc>
        <w:tc>
          <w:tcPr>
            <w:tcW w:w="1288" w:type="dxa"/>
            <w:shd w:val="clear" w:color="auto" w:fill="FFE599" w:themeFill="accent4" w:themeFillTint="66"/>
            <w:tcMar>
              <w:left w:w="108" w:type="dxa"/>
              <w:right w:w="108" w:type="dxa"/>
            </w:tcMar>
          </w:tcPr>
          <w:p w14:paraId="212E1C4E" w14:textId="77777777" w:rsidR="00E035CD" w:rsidRPr="00A81971" w:rsidRDefault="0032495C" w:rsidP="00E035CD">
            <w:pPr>
              <w:spacing w:after="0" w:line="259" w:lineRule="auto"/>
              <w:jc w:val="center"/>
              <w:rPr>
                <w:rFonts w:eastAsia="Yu Mincho"/>
                <w:b/>
                <w:bCs/>
                <w:sz w:val="20"/>
                <w:szCs w:val="20"/>
              </w:rPr>
            </w:pPr>
            <w:r w:rsidRPr="00A81971">
              <w:rPr>
                <w:rFonts w:eastAsia="Yu Mincho"/>
                <w:b/>
                <w:bCs/>
                <w:kern w:val="2"/>
                <w:sz w:val="20"/>
                <w:szCs w:val="20"/>
                <w14:ligatures w14:val="standardContextual"/>
              </w:rPr>
              <w:t>90%</w:t>
            </w:r>
          </w:p>
        </w:tc>
        <w:tc>
          <w:tcPr>
            <w:tcW w:w="1091" w:type="dxa"/>
            <w:shd w:val="clear" w:color="auto" w:fill="FFE599" w:themeFill="accent4" w:themeFillTint="66"/>
            <w:tcMar>
              <w:left w:w="108" w:type="dxa"/>
              <w:right w:w="108" w:type="dxa"/>
            </w:tcMar>
          </w:tcPr>
          <w:p w14:paraId="0100A552" w14:textId="77777777" w:rsidR="00E035CD" w:rsidRPr="00A81971" w:rsidRDefault="0032495C" w:rsidP="00E035CD">
            <w:pPr>
              <w:spacing w:after="0" w:line="259" w:lineRule="auto"/>
              <w:jc w:val="center"/>
              <w:rPr>
                <w:rFonts w:eastAsia="Yu Mincho"/>
                <w:b/>
                <w:bCs/>
                <w:kern w:val="2"/>
                <w:sz w:val="20"/>
                <w:szCs w:val="20"/>
                <w14:ligatures w14:val="standardContextual"/>
              </w:rPr>
            </w:pPr>
            <w:r w:rsidRPr="00A81971">
              <w:rPr>
                <w:rFonts w:eastAsia="Yu Mincho"/>
                <w:b/>
                <w:bCs/>
                <w:kern w:val="2"/>
                <w:sz w:val="20"/>
                <w:szCs w:val="20"/>
                <w14:ligatures w14:val="standardContextual"/>
              </w:rPr>
              <w:t>10%</w:t>
            </w:r>
          </w:p>
        </w:tc>
      </w:tr>
      <w:tr w:rsidR="00F90461" w14:paraId="5E5BB61C" w14:textId="77777777" w:rsidTr="00FE5C31">
        <w:trPr>
          <w:trHeight w:val="180"/>
          <w:jc w:val="center"/>
        </w:trPr>
        <w:tc>
          <w:tcPr>
            <w:tcW w:w="1800" w:type="dxa"/>
            <w:shd w:val="clear" w:color="auto" w:fill="E2EFD9" w:themeFill="accent6" w:themeFillTint="33"/>
            <w:tcMar>
              <w:left w:w="108" w:type="dxa"/>
              <w:right w:w="108" w:type="dxa"/>
            </w:tcMar>
          </w:tcPr>
          <w:p w14:paraId="0692BDD0" w14:textId="77777777" w:rsidR="00E035CD" w:rsidRPr="00A81971" w:rsidRDefault="0032495C" w:rsidP="00E035C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Funding Committed for Approved HPMPs</w:t>
            </w:r>
          </w:p>
        </w:tc>
        <w:tc>
          <w:tcPr>
            <w:tcW w:w="1227" w:type="dxa"/>
            <w:shd w:val="clear" w:color="auto" w:fill="F7CAAC" w:themeFill="accent2" w:themeFillTint="66"/>
            <w:tcMar>
              <w:left w:w="108" w:type="dxa"/>
              <w:right w:w="108" w:type="dxa"/>
            </w:tcMar>
            <w:vAlign w:val="center"/>
          </w:tcPr>
          <w:p w14:paraId="4688805C"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117.75*</w:t>
            </w:r>
          </w:p>
        </w:tc>
        <w:tc>
          <w:tcPr>
            <w:tcW w:w="1290" w:type="dxa"/>
            <w:shd w:val="clear" w:color="auto" w:fill="FFE599" w:themeFill="accent4" w:themeFillTint="66"/>
            <w:tcMar>
              <w:left w:w="108" w:type="dxa"/>
              <w:right w:w="108" w:type="dxa"/>
            </w:tcMar>
            <w:vAlign w:val="center"/>
          </w:tcPr>
          <w:p w14:paraId="7DB1168F"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117.75*</w:t>
            </w:r>
          </w:p>
        </w:tc>
        <w:tc>
          <w:tcPr>
            <w:tcW w:w="1288" w:type="dxa"/>
            <w:shd w:val="clear" w:color="auto" w:fill="F7CAAC" w:themeFill="accent2" w:themeFillTint="66"/>
            <w:tcMar>
              <w:left w:w="108" w:type="dxa"/>
              <w:right w:w="108" w:type="dxa"/>
            </w:tcMar>
            <w:vAlign w:val="center"/>
          </w:tcPr>
          <w:p w14:paraId="0DBB58E6" w14:textId="77777777" w:rsidR="00E035CD" w:rsidRPr="00A81971" w:rsidRDefault="0032495C" w:rsidP="009F1AA4">
            <w:pPr>
              <w:spacing w:after="0" w:line="259" w:lineRule="auto"/>
              <w:jc w:val="right"/>
              <w:rPr>
                <w:rFonts w:eastAsia="Calibri"/>
              </w:rPr>
            </w:pPr>
            <w:r w:rsidRPr="00A81971">
              <w:rPr>
                <w:rFonts w:eastAsia="Calibri"/>
              </w:rPr>
              <w:t>89.18*</w:t>
            </w:r>
          </w:p>
        </w:tc>
        <w:tc>
          <w:tcPr>
            <w:tcW w:w="1090" w:type="dxa"/>
            <w:shd w:val="clear" w:color="auto" w:fill="F7CAAC" w:themeFill="accent2" w:themeFillTint="66"/>
            <w:tcMar>
              <w:left w:w="108" w:type="dxa"/>
              <w:right w:w="108" w:type="dxa"/>
            </w:tcMar>
            <w:vAlign w:val="center"/>
          </w:tcPr>
          <w:p w14:paraId="674E2739" w14:textId="77777777" w:rsidR="00E035CD" w:rsidRPr="00A81971" w:rsidRDefault="0032495C" w:rsidP="009F1AA4">
            <w:pPr>
              <w:spacing w:after="0" w:line="259" w:lineRule="auto"/>
              <w:jc w:val="right"/>
              <w:rPr>
                <w:rFonts w:eastAsia="Calibri"/>
              </w:rPr>
            </w:pPr>
            <w:r w:rsidRPr="00A81971">
              <w:rPr>
                <w:rFonts w:eastAsia="Calibri"/>
              </w:rPr>
              <w:t>28.75*</w:t>
            </w:r>
          </w:p>
        </w:tc>
        <w:tc>
          <w:tcPr>
            <w:tcW w:w="1288" w:type="dxa"/>
            <w:shd w:val="clear" w:color="auto" w:fill="FFE599" w:themeFill="accent4" w:themeFillTint="66"/>
            <w:tcMar>
              <w:left w:w="108" w:type="dxa"/>
              <w:right w:w="108" w:type="dxa"/>
            </w:tcMar>
            <w:vAlign w:val="center"/>
          </w:tcPr>
          <w:p w14:paraId="3C43B456" w14:textId="77777777" w:rsidR="00E035CD" w:rsidRPr="00A81971" w:rsidRDefault="0032495C" w:rsidP="009F1AA4">
            <w:pPr>
              <w:spacing w:after="0" w:line="259" w:lineRule="auto"/>
              <w:jc w:val="right"/>
              <w:rPr>
                <w:rFonts w:eastAsia="Calibri"/>
              </w:rPr>
            </w:pPr>
            <w:r w:rsidRPr="00A81971">
              <w:rPr>
                <w:rFonts w:eastAsia="Calibri"/>
              </w:rPr>
              <w:t>89.18*</w:t>
            </w:r>
          </w:p>
        </w:tc>
        <w:tc>
          <w:tcPr>
            <w:tcW w:w="1091" w:type="dxa"/>
            <w:shd w:val="clear" w:color="auto" w:fill="FFE599" w:themeFill="accent4" w:themeFillTint="66"/>
            <w:tcMar>
              <w:left w:w="108" w:type="dxa"/>
              <w:right w:w="108" w:type="dxa"/>
            </w:tcMar>
            <w:vAlign w:val="center"/>
          </w:tcPr>
          <w:p w14:paraId="0C6A2009" w14:textId="77777777" w:rsidR="00E035CD" w:rsidRPr="00A81971" w:rsidRDefault="0032495C" w:rsidP="009F1AA4">
            <w:pPr>
              <w:spacing w:after="0" w:line="259" w:lineRule="auto"/>
              <w:jc w:val="right"/>
              <w:rPr>
                <w:rFonts w:eastAsia="Calibri"/>
              </w:rPr>
            </w:pPr>
            <w:r w:rsidRPr="00A81971">
              <w:rPr>
                <w:rFonts w:eastAsia="Calibri"/>
              </w:rPr>
              <w:t>28.57*</w:t>
            </w:r>
          </w:p>
        </w:tc>
      </w:tr>
      <w:tr w:rsidR="00F90461" w14:paraId="45034B29" w14:textId="77777777" w:rsidTr="00FE5C31">
        <w:trPr>
          <w:trHeight w:val="180"/>
          <w:jc w:val="center"/>
        </w:trPr>
        <w:tc>
          <w:tcPr>
            <w:tcW w:w="1800" w:type="dxa"/>
            <w:shd w:val="clear" w:color="auto" w:fill="E2EFD9" w:themeFill="accent6" w:themeFillTint="33"/>
            <w:tcMar>
              <w:left w:w="108" w:type="dxa"/>
              <w:right w:w="108" w:type="dxa"/>
            </w:tcMar>
          </w:tcPr>
          <w:p w14:paraId="7F663CE4" w14:textId="77777777" w:rsidR="00E035CD" w:rsidRPr="00A81971" w:rsidRDefault="0032495C" w:rsidP="00E035C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Estimated New Funding for Project Preparation (PRP)</w:t>
            </w:r>
          </w:p>
        </w:tc>
        <w:tc>
          <w:tcPr>
            <w:tcW w:w="1227" w:type="dxa"/>
            <w:shd w:val="clear" w:color="auto" w:fill="F7CAAC" w:themeFill="accent2" w:themeFillTint="66"/>
            <w:tcMar>
              <w:left w:w="108" w:type="dxa"/>
              <w:right w:w="108" w:type="dxa"/>
            </w:tcMar>
            <w:vAlign w:val="center"/>
          </w:tcPr>
          <w:p w14:paraId="103AE62D"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0D0D43" w:rsidRPr="00A81971">
              <w:rPr>
                <w:rFonts w:eastAsia="Calibri"/>
                <w:kern w:val="2"/>
                <w14:ligatures w14:val="standardContextual"/>
              </w:rPr>
              <w:t>263</w:t>
            </w:r>
          </w:p>
        </w:tc>
        <w:tc>
          <w:tcPr>
            <w:tcW w:w="1290" w:type="dxa"/>
            <w:shd w:val="clear" w:color="auto" w:fill="FFE599" w:themeFill="accent4" w:themeFillTint="66"/>
            <w:tcMar>
              <w:left w:w="108" w:type="dxa"/>
              <w:right w:w="108" w:type="dxa"/>
            </w:tcMar>
            <w:vAlign w:val="center"/>
          </w:tcPr>
          <w:p w14:paraId="3E9CFCD4"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0D0D43" w:rsidRPr="00A81971">
              <w:rPr>
                <w:rFonts w:eastAsia="Calibri"/>
                <w:kern w:val="2"/>
                <w14:ligatures w14:val="standardContextual"/>
              </w:rPr>
              <w:t>263</w:t>
            </w:r>
          </w:p>
        </w:tc>
        <w:tc>
          <w:tcPr>
            <w:tcW w:w="1288" w:type="dxa"/>
            <w:shd w:val="clear" w:color="auto" w:fill="F7CAAC" w:themeFill="accent2" w:themeFillTint="66"/>
            <w:tcMar>
              <w:left w:w="108" w:type="dxa"/>
              <w:right w:w="108" w:type="dxa"/>
            </w:tcMar>
            <w:vAlign w:val="center"/>
          </w:tcPr>
          <w:p w14:paraId="279C1880"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442192" w:rsidRPr="00A81971">
              <w:rPr>
                <w:rFonts w:eastAsia="Calibri"/>
                <w:kern w:val="2"/>
                <w14:ligatures w14:val="standardContextual"/>
              </w:rPr>
              <w:t>24</w:t>
            </w:r>
          </w:p>
        </w:tc>
        <w:tc>
          <w:tcPr>
            <w:tcW w:w="1090" w:type="dxa"/>
            <w:shd w:val="clear" w:color="auto" w:fill="F7CAAC" w:themeFill="accent2" w:themeFillTint="66"/>
            <w:tcMar>
              <w:left w:w="108" w:type="dxa"/>
              <w:right w:w="108" w:type="dxa"/>
            </w:tcMar>
            <w:vAlign w:val="center"/>
          </w:tcPr>
          <w:p w14:paraId="2A64A4EB"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0.0</w:t>
            </w:r>
            <w:r w:rsidR="00AA0DCB" w:rsidRPr="00A81971">
              <w:rPr>
                <w:rFonts w:eastAsia="Calibri"/>
                <w:kern w:val="2"/>
                <w14:ligatures w14:val="standardContextual"/>
              </w:rPr>
              <w:t>3</w:t>
            </w:r>
          </w:p>
        </w:tc>
        <w:tc>
          <w:tcPr>
            <w:tcW w:w="1288" w:type="dxa"/>
            <w:shd w:val="clear" w:color="auto" w:fill="FFE599" w:themeFill="accent4" w:themeFillTint="66"/>
            <w:tcMar>
              <w:left w:w="108" w:type="dxa"/>
              <w:right w:w="108" w:type="dxa"/>
            </w:tcMar>
            <w:vAlign w:val="center"/>
          </w:tcPr>
          <w:p w14:paraId="72178A9C"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AA0DCB" w:rsidRPr="00A81971">
              <w:rPr>
                <w:rFonts w:eastAsia="Calibri"/>
                <w:kern w:val="2"/>
                <w14:ligatures w14:val="standardContextual"/>
              </w:rPr>
              <w:t>.24</w:t>
            </w:r>
          </w:p>
        </w:tc>
        <w:tc>
          <w:tcPr>
            <w:tcW w:w="1091" w:type="dxa"/>
            <w:shd w:val="clear" w:color="auto" w:fill="FFE599" w:themeFill="accent4" w:themeFillTint="66"/>
            <w:tcMar>
              <w:left w:w="108" w:type="dxa"/>
              <w:right w:w="108" w:type="dxa"/>
            </w:tcMar>
            <w:vAlign w:val="center"/>
          </w:tcPr>
          <w:p w14:paraId="0C2D6834"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0.0</w:t>
            </w:r>
            <w:r w:rsidR="00AA0DCB" w:rsidRPr="00A81971">
              <w:rPr>
                <w:rFonts w:eastAsia="Calibri"/>
                <w:kern w:val="2"/>
                <w14:ligatures w14:val="standardContextual"/>
              </w:rPr>
              <w:t>3</w:t>
            </w:r>
          </w:p>
        </w:tc>
      </w:tr>
      <w:tr w:rsidR="00F90461" w14:paraId="0BB2D88D" w14:textId="77777777" w:rsidTr="00FE5C31">
        <w:trPr>
          <w:trHeight w:val="60"/>
          <w:jc w:val="center"/>
        </w:trPr>
        <w:tc>
          <w:tcPr>
            <w:tcW w:w="1800" w:type="dxa"/>
            <w:shd w:val="clear" w:color="auto" w:fill="E2EFD9" w:themeFill="accent6" w:themeFillTint="33"/>
            <w:tcMar>
              <w:left w:w="108" w:type="dxa"/>
              <w:right w:w="108" w:type="dxa"/>
            </w:tcMar>
          </w:tcPr>
          <w:p w14:paraId="2A674D8C" w14:textId="77777777" w:rsidR="001F2632" w:rsidRPr="00A81971" w:rsidRDefault="0032495C" w:rsidP="001F2632">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 xml:space="preserve">Estimated New Funding to Address Remaining Consumption in 14 Parties for Complete </w:t>
            </w:r>
            <w:r w:rsidRPr="00A81971">
              <w:rPr>
                <w:rFonts w:eastAsia="Calibri"/>
                <w:sz w:val="20"/>
                <w:szCs w:val="20"/>
              </w:rPr>
              <w:t xml:space="preserve">Phaseout  </w:t>
            </w:r>
          </w:p>
        </w:tc>
        <w:tc>
          <w:tcPr>
            <w:tcW w:w="1227" w:type="dxa"/>
            <w:shd w:val="clear" w:color="auto" w:fill="F7CAAC" w:themeFill="accent2" w:themeFillTint="66"/>
            <w:tcMar>
              <w:left w:w="108" w:type="dxa"/>
              <w:right w:w="108" w:type="dxa"/>
            </w:tcMar>
            <w:vAlign w:val="center"/>
          </w:tcPr>
          <w:p w14:paraId="5816ABAE" w14:textId="77777777" w:rsidR="001F2632" w:rsidRPr="00A81971" w:rsidRDefault="0032495C" w:rsidP="009F1AA4">
            <w:pPr>
              <w:spacing w:after="0" w:line="259" w:lineRule="auto"/>
              <w:jc w:val="right"/>
              <w:rPr>
                <w:rFonts w:eastAsia="Calibri"/>
                <w:kern w:val="2"/>
                <w14:ligatures w14:val="standardContextual"/>
              </w:rPr>
            </w:pPr>
            <w:r w:rsidRPr="00A81971">
              <w:t>346.47</w:t>
            </w:r>
          </w:p>
        </w:tc>
        <w:tc>
          <w:tcPr>
            <w:tcW w:w="1290" w:type="dxa"/>
            <w:shd w:val="clear" w:color="auto" w:fill="FFE599" w:themeFill="accent4" w:themeFillTint="66"/>
            <w:tcMar>
              <w:left w:w="108" w:type="dxa"/>
              <w:right w:w="108" w:type="dxa"/>
            </w:tcMar>
            <w:vAlign w:val="center"/>
          </w:tcPr>
          <w:p w14:paraId="78C51869" w14:textId="77777777" w:rsidR="001F2632" w:rsidRPr="00A81971" w:rsidRDefault="0032495C" w:rsidP="009F1AA4">
            <w:pPr>
              <w:spacing w:after="0" w:line="259" w:lineRule="auto"/>
              <w:jc w:val="right"/>
              <w:rPr>
                <w:rFonts w:eastAsia="Calibri"/>
                <w:kern w:val="2"/>
                <w14:ligatures w14:val="standardContextual"/>
              </w:rPr>
            </w:pPr>
            <w:r w:rsidRPr="00A81971">
              <w:t>488.15</w:t>
            </w:r>
          </w:p>
        </w:tc>
        <w:tc>
          <w:tcPr>
            <w:tcW w:w="1288" w:type="dxa"/>
            <w:shd w:val="clear" w:color="auto" w:fill="F7CAAC" w:themeFill="accent2" w:themeFillTint="66"/>
            <w:tcMar>
              <w:left w:w="108" w:type="dxa"/>
              <w:right w:w="108" w:type="dxa"/>
            </w:tcMar>
            <w:vAlign w:val="center"/>
          </w:tcPr>
          <w:p w14:paraId="3C466B0E" w14:textId="77777777" w:rsidR="001F2632" w:rsidRPr="00A81971" w:rsidRDefault="0032495C" w:rsidP="009F1AA4">
            <w:pPr>
              <w:spacing w:after="0" w:line="259" w:lineRule="auto"/>
              <w:jc w:val="right"/>
              <w:rPr>
                <w:rFonts w:eastAsia="Calibri"/>
                <w:kern w:val="2"/>
                <w14:ligatures w14:val="standardContextual"/>
              </w:rPr>
            </w:pPr>
            <w:r w:rsidRPr="00A81971">
              <w:t>311.82</w:t>
            </w:r>
          </w:p>
        </w:tc>
        <w:tc>
          <w:tcPr>
            <w:tcW w:w="1090" w:type="dxa"/>
            <w:shd w:val="clear" w:color="auto" w:fill="F7CAAC" w:themeFill="accent2" w:themeFillTint="66"/>
            <w:tcMar>
              <w:left w:w="108" w:type="dxa"/>
              <w:right w:w="108" w:type="dxa"/>
            </w:tcMar>
            <w:vAlign w:val="center"/>
          </w:tcPr>
          <w:p w14:paraId="7485DC1D" w14:textId="77777777" w:rsidR="001F2632" w:rsidRPr="00A81971" w:rsidRDefault="0032495C" w:rsidP="009F1AA4">
            <w:pPr>
              <w:spacing w:after="0" w:line="259" w:lineRule="auto"/>
              <w:jc w:val="right"/>
              <w:rPr>
                <w:rFonts w:eastAsia="Calibri"/>
                <w:kern w:val="2"/>
                <w14:ligatures w14:val="standardContextual"/>
              </w:rPr>
            </w:pPr>
            <w:r w:rsidRPr="00A81971">
              <w:t>34.65</w:t>
            </w:r>
          </w:p>
        </w:tc>
        <w:tc>
          <w:tcPr>
            <w:tcW w:w="1288" w:type="dxa"/>
            <w:shd w:val="clear" w:color="auto" w:fill="FFE599" w:themeFill="accent4" w:themeFillTint="66"/>
            <w:tcMar>
              <w:left w:w="108" w:type="dxa"/>
              <w:right w:w="108" w:type="dxa"/>
            </w:tcMar>
            <w:vAlign w:val="center"/>
          </w:tcPr>
          <w:p w14:paraId="4E5A312E" w14:textId="77777777" w:rsidR="001F2632" w:rsidRPr="00A81971" w:rsidRDefault="0032495C" w:rsidP="009F1AA4">
            <w:pPr>
              <w:spacing w:after="0" w:line="259" w:lineRule="auto"/>
              <w:jc w:val="right"/>
              <w:rPr>
                <w:rFonts w:eastAsia="Calibri"/>
                <w:kern w:val="2"/>
                <w14:ligatures w14:val="standardContextual"/>
              </w:rPr>
            </w:pPr>
            <w:r w:rsidRPr="00A81971">
              <w:t>439.34</w:t>
            </w:r>
          </w:p>
        </w:tc>
        <w:tc>
          <w:tcPr>
            <w:tcW w:w="1091" w:type="dxa"/>
            <w:shd w:val="clear" w:color="auto" w:fill="FFE599" w:themeFill="accent4" w:themeFillTint="66"/>
            <w:tcMar>
              <w:left w:w="108" w:type="dxa"/>
              <w:right w:w="108" w:type="dxa"/>
            </w:tcMar>
            <w:vAlign w:val="center"/>
          </w:tcPr>
          <w:p w14:paraId="751D9A3C" w14:textId="77777777" w:rsidR="001F2632" w:rsidRPr="00A81971" w:rsidRDefault="0032495C" w:rsidP="009F1AA4">
            <w:pPr>
              <w:spacing w:after="0" w:line="259" w:lineRule="auto"/>
              <w:jc w:val="right"/>
              <w:rPr>
                <w:rFonts w:eastAsia="Calibri"/>
                <w:kern w:val="2"/>
                <w14:ligatures w14:val="standardContextual"/>
              </w:rPr>
            </w:pPr>
            <w:r w:rsidRPr="00A81971">
              <w:t>48.81</w:t>
            </w:r>
          </w:p>
        </w:tc>
      </w:tr>
      <w:tr w:rsidR="00F90461" w14:paraId="1FD525D5" w14:textId="77777777" w:rsidTr="00FE5C31">
        <w:trPr>
          <w:trHeight w:val="60"/>
          <w:jc w:val="center"/>
        </w:trPr>
        <w:tc>
          <w:tcPr>
            <w:tcW w:w="1800" w:type="dxa"/>
            <w:shd w:val="clear" w:color="auto" w:fill="E2EFD9" w:themeFill="accent6" w:themeFillTint="33"/>
            <w:tcMar>
              <w:left w:w="108" w:type="dxa"/>
              <w:right w:w="108" w:type="dxa"/>
            </w:tcMar>
          </w:tcPr>
          <w:p w14:paraId="672A4A4C" w14:textId="77777777" w:rsidR="00E035CD" w:rsidRPr="00A81971" w:rsidRDefault="0032495C" w:rsidP="00E035C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Estimated New Funding for re-submission of 3 cancelled HPMPs</w:t>
            </w:r>
          </w:p>
        </w:tc>
        <w:tc>
          <w:tcPr>
            <w:tcW w:w="1227" w:type="dxa"/>
            <w:shd w:val="clear" w:color="auto" w:fill="F7CAAC" w:themeFill="accent2" w:themeFillTint="66"/>
            <w:tcMar>
              <w:left w:w="108" w:type="dxa"/>
              <w:right w:w="108" w:type="dxa"/>
            </w:tcMar>
            <w:vAlign w:val="center"/>
          </w:tcPr>
          <w:p w14:paraId="5C7144D6"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8.14</w:t>
            </w:r>
          </w:p>
        </w:tc>
        <w:tc>
          <w:tcPr>
            <w:tcW w:w="1290" w:type="dxa"/>
            <w:shd w:val="clear" w:color="auto" w:fill="FFE599" w:themeFill="accent4" w:themeFillTint="66"/>
            <w:tcMar>
              <w:left w:w="108" w:type="dxa"/>
              <w:right w:w="108" w:type="dxa"/>
            </w:tcMar>
            <w:vAlign w:val="center"/>
          </w:tcPr>
          <w:p w14:paraId="006AAFEB"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8.14</w:t>
            </w:r>
          </w:p>
        </w:tc>
        <w:tc>
          <w:tcPr>
            <w:tcW w:w="1288" w:type="dxa"/>
            <w:shd w:val="clear" w:color="auto" w:fill="F7CAAC" w:themeFill="accent2" w:themeFillTint="66"/>
            <w:tcMar>
              <w:left w:w="108" w:type="dxa"/>
              <w:right w:w="108" w:type="dxa"/>
            </w:tcMar>
            <w:vAlign w:val="center"/>
          </w:tcPr>
          <w:p w14:paraId="17EB8C9C"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7.33</w:t>
            </w:r>
          </w:p>
        </w:tc>
        <w:tc>
          <w:tcPr>
            <w:tcW w:w="1090" w:type="dxa"/>
            <w:shd w:val="clear" w:color="auto" w:fill="F7CAAC" w:themeFill="accent2" w:themeFillTint="66"/>
            <w:tcMar>
              <w:left w:w="108" w:type="dxa"/>
              <w:right w:w="108" w:type="dxa"/>
            </w:tcMar>
            <w:vAlign w:val="center"/>
          </w:tcPr>
          <w:p w14:paraId="427E0607"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0.81</w:t>
            </w:r>
          </w:p>
        </w:tc>
        <w:tc>
          <w:tcPr>
            <w:tcW w:w="1288" w:type="dxa"/>
            <w:shd w:val="clear" w:color="auto" w:fill="FFE599" w:themeFill="accent4" w:themeFillTint="66"/>
            <w:tcMar>
              <w:left w:w="108" w:type="dxa"/>
              <w:right w:w="108" w:type="dxa"/>
            </w:tcMar>
            <w:vAlign w:val="center"/>
          </w:tcPr>
          <w:p w14:paraId="77BA1936"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7.33</w:t>
            </w:r>
          </w:p>
        </w:tc>
        <w:tc>
          <w:tcPr>
            <w:tcW w:w="1091" w:type="dxa"/>
            <w:shd w:val="clear" w:color="auto" w:fill="FFE599" w:themeFill="accent4" w:themeFillTint="66"/>
            <w:tcMar>
              <w:left w:w="108" w:type="dxa"/>
              <w:right w:w="108" w:type="dxa"/>
            </w:tcMar>
            <w:vAlign w:val="center"/>
          </w:tcPr>
          <w:p w14:paraId="39662CE5"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0.81</w:t>
            </w:r>
          </w:p>
        </w:tc>
      </w:tr>
      <w:tr w:rsidR="00F90461" w14:paraId="5000B3B1" w14:textId="77777777" w:rsidTr="00FE5C31">
        <w:trPr>
          <w:trHeight w:val="75"/>
          <w:jc w:val="center"/>
        </w:trPr>
        <w:tc>
          <w:tcPr>
            <w:tcW w:w="1800" w:type="dxa"/>
            <w:shd w:val="clear" w:color="auto" w:fill="E2EFD9" w:themeFill="accent6" w:themeFillTint="33"/>
            <w:tcMar>
              <w:left w:w="108" w:type="dxa"/>
              <w:right w:w="108" w:type="dxa"/>
            </w:tcMar>
          </w:tcPr>
          <w:p w14:paraId="4F1931A6" w14:textId="77777777" w:rsidR="00E035CD" w:rsidRPr="00A81971" w:rsidRDefault="0032495C" w:rsidP="00E035CD">
            <w:pPr>
              <w:spacing w:after="0" w:line="259" w:lineRule="auto"/>
              <w:rPr>
                <w:rFonts w:eastAsia="Calibri"/>
                <w:kern w:val="2"/>
                <w:sz w:val="20"/>
                <w:szCs w:val="20"/>
                <w14:ligatures w14:val="standardContextual"/>
              </w:rPr>
            </w:pPr>
            <w:r w:rsidRPr="00A81971">
              <w:rPr>
                <w:rFonts w:eastAsia="Calibri"/>
                <w:kern w:val="2"/>
                <w:sz w:val="20"/>
                <w:szCs w:val="20"/>
                <w14:ligatures w14:val="standardContextual"/>
              </w:rPr>
              <w:t>HCFC Verification Funding</w:t>
            </w:r>
          </w:p>
        </w:tc>
        <w:tc>
          <w:tcPr>
            <w:tcW w:w="1227" w:type="dxa"/>
            <w:shd w:val="clear" w:color="auto" w:fill="F7CAAC" w:themeFill="accent2" w:themeFillTint="66"/>
            <w:tcMar>
              <w:left w:w="108" w:type="dxa"/>
              <w:right w:w="108" w:type="dxa"/>
            </w:tcMar>
            <w:vAlign w:val="center"/>
          </w:tcPr>
          <w:p w14:paraId="14927BE8"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1.77</w:t>
            </w:r>
          </w:p>
        </w:tc>
        <w:tc>
          <w:tcPr>
            <w:tcW w:w="1290" w:type="dxa"/>
            <w:shd w:val="clear" w:color="auto" w:fill="FFE599" w:themeFill="accent4" w:themeFillTint="66"/>
            <w:tcMar>
              <w:left w:w="108" w:type="dxa"/>
              <w:right w:w="108" w:type="dxa"/>
            </w:tcMar>
            <w:vAlign w:val="center"/>
          </w:tcPr>
          <w:p w14:paraId="52A83B83"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1.77</w:t>
            </w:r>
          </w:p>
        </w:tc>
        <w:tc>
          <w:tcPr>
            <w:tcW w:w="1288" w:type="dxa"/>
            <w:shd w:val="clear" w:color="auto" w:fill="F7CAAC" w:themeFill="accent2" w:themeFillTint="66"/>
            <w:tcMar>
              <w:left w:w="108" w:type="dxa"/>
              <w:right w:w="108" w:type="dxa"/>
            </w:tcMar>
            <w:vAlign w:val="center"/>
          </w:tcPr>
          <w:p w14:paraId="1AFFEE54"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1.59</w:t>
            </w:r>
          </w:p>
        </w:tc>
        <w:tc>
          <w:tcPr>
            <w:tcW w:w="1090" w:type="dxa"/>
            <w:shd w:val="clear" w:color="auto" w:fill="F7CAAC" w:themeFill="accent2" w:themeFillTint="66"/>
            <w:tcMar>
              <w:left w:w="108" w:type="dxa"/>
              <w:right w:w="108" w:type="dxa"/>
            </w:tcMar>
            <w:vAlign w:val="center"/>
          </w:tcPr>
          <w:p w14:paraId="6766C8E8"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0.18</w:t>
            </w:r>
          </w:p>
        </w:tc>
        <w:tc>
          <w:tcPr>
            <w:tcW w:w="1288" w:type="dxa"/>
            <w:shd w:val="clear" w:color="auto" w:fill="FFE599" w:themeFill="accent4" w:themeFillTint="66"/>
            <w:tcMar>
              <w:left w:w="108" w:type="dxa"/>
              <w:right w:w="108" w:type="dxa"/>
            </w:tcMar>
            <w:vAlign w:val="center"/>
          </w:tcPr>
          <w:p w14:paraId="6D36558E"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1.59</w:t>
            </w:r>
          </w:p>
        </w:tc>
        <w:tc>
          <w:tcPr>
            <w:tcW w:w="1091" w:type="dxa"/>
            <w:shd w:val="clear" w:color="auto" w:fill="FFE599" w:themeFill="accent4" w:themeFillTint="66"/>
            <w:tcMar>
              <w:left w:w="108" w:type="dxa"/>
              <w:right w:w="108" w:type="dxa"/>
            </w:tcMar>
            <w:vAlign w:val="center"/>
          </w:tcPr>
          <w:p w14:paraId="587D0A4B"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0.18</w:t>
            </w:r>
          </w:p>
        </w:tc>
      </w:tr>
      <w:tr w:rsidR="00F90461" w14:paraId="0331F9B1" w14:textId="77777777" w:rsidTr="00FE5C31">
        <w:trPr>
          <w:trHeight w:val="480"/>
          <w:jc w:val="center"/>
        </w:trPr>
        <w:tc>
          <w:tcPr>
            <w:tcW w:w="1800" w:type="dxa"/>
            <w:shd w:val="clear" w:color="auto" w:fill="E2EFD9" w:themeFill="accent6" w:themeFillTint="33"/>
            <w:tcMar>
              <w:left w:w="108" w:type="dxa"/>
              <w:right w:w="108" w:type="dxa"/>
            </w:tcMar>
          </w:tcPr>
          <w:p w14:paraId="45FA5BFA" w14:textId="77777777" w:rsidR="00E035CD" w:rsidRPr="00A81971" w:rsidRDefault="0032495C" w:rsidP="00E035CD">
            <w:pPr>
              <w:spacing w:after="0" w:line="259" w:lineRule="auto"/>
              <w:rPr>
                <w:rFonts w:eastAsia="Yu Mincho"/>
                <w:kern w:val="2"/>
                <w:sz w:val="20"/>
                <w:szCs w:val="20"/>
                <w14:ligatures w14:val="standardContextual"/>
              </w:rPr>
            </w:pPr>
            <w:r w:rsidRPr="00A81971">
              <w:rPr>
                <w:rFonts w:eastAsia="Yu Mincho"/>
                <w:kern w:val="2"/>
                <w:sz w:val="20"/>
                <w:szCs w:val="20"/>
                <w14:ligatures w14:val="standardContextual"/>
              </w:rPr>
              <w:t>Energy Efficiency Funding for LVCs (Decision 89/6)</w:t>
            </w:r>
          </w:p>
        </w:tc>
        <w:tc>
          <w:tcPr>
            <w:tcW w:w="1227" w:type="dxa"/>
            <w:shd w:val="clear" w:color="auto" w:fill="F7CAAC" w:themeFill="accent2" w:themeFillTint="66"/>
            <w:tcMar>
              <w:left w:w="108" w:type="dxa"/>
              <w:right w:w="108" w:type="dxa"/>
            </w:tcMar>
            <w:vAlign w:val="center"/>
          </w:tcPr>
          <w:p w14:paraId="30A75505"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2.52</w:t>
            </w:r>
          </w:p>
        </w:tc>
        <w:tc>
          <w:tcPr>
            <w:tcW w:w="1290" w:type="dxa"/>
            <w:shd w:val="clear" w:color="auto" w:fill="FFE599" w:themeFill="accent4" w:themeFillTint="66"/>
            <w:tcMar>
              <w:left w:w="108" w:type="dxa"/>
              <w:right w:w="108" w:type="dxa"/>
            </w:tcMar>
            <w:vAlign w:val="center"/>
          </w:tcPr>
          <w:p w14:paraId="1E757A6F"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2.52</w:t>
            </w:r>
          </w:p>
        </w:tc>
        <w:tc>
          <w:tcPr>
            <w:tcW w:w="1288" w:type="dxa"/>
            <w:shd w:val="clear" w:color="auto" w:fill="F7CAAC" w:themeFill="accent2" w:themeFillTint="66"/>
            <w:tcMar>
              <w:left w:w="108" w:type="dxa"/>
              <w:right w:w="108" w:type="dxa"/>
            </w:tcMar>
            <w:vAlign w:val="center"/>
          </w:tcPr>
          <w:p w14:paraId="1BE6B118"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2.27</w:t>
            </w:r>
          </w:p>
        </w:tc>
        <w:tc>
          <w:tcPr>
            <w:tcW w:w="1090" w:type="dxa"/>
            <w:shd w:val="clear" w:color="auto" w:fill="F7CAAC" w:themeFill="accent2" w:themeFillTint="66"/>
            <w:tcMar>
              <w:left w:w="108" w:type="dxa"/>
              <w:right w:w="108" w:type="dxa"/>
            </w:tcMar>
            <w:vAlign w:val="center"/>
          </w:tcPr>
          <w:p w14:paraId="7C24A51B"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DA7025" w:rsidRPr="00A81971">
              <w:rPr>
                <w:rFonts w:eastAsia="Calibri"/>
                <w:kern w:val="2"/>
                <w14:ligatures w14:val="standardContextual"/>
              </w:rPr>
              <w:t>25</w:t>
            </w:r>
          </w:p>
        </w:tc>
        <w:tc>
          <w:tcPr>
            <w:tcW w:w="1288" w:type="dxa"/>
            <w:shd w:val="clear" w:color="auto" w:fill="FFE599" w:themeFill="accent4" w:themeFillTint="66"/>
            <w:tcMar>
              <w:left w:w="108" w:type="dxa"/>
              <w:right w:w="108" w:type="dxa"/>
            </w:tcMar>
            <w:vAlign w:val="center"/>
          </w:tcPr>
          <w:p w14:paraId="24DEF046"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2.27</w:t>
            </w:r>
          </w:p>
        </w:tc>
        <w:tc>
          <w:tcPr>
            <w:tcW w:w="1091" w:type="dxa"/>
            <w:shd w:val="clear" w:color="auto" w:fill="FFE599" w:themeFill="accent4" w:themeFillTint="66"/>
            <w:tcMar>
              <w:left w:w="108" w:type="dxa"/>
              <w:right w:w="108" w:type="dxa"/>
            </w:tcMar>
            <w:vAlign w:val="center"/>
          </w:tcPr>
          <w:p w14:paraId="17B483D3" w14:textId="77777777" w:rsidR="00E035CD" w:rsidRPr="00A81971" w:rsidRDefault="0032495C" w:rsidP="009F1AA4">
            <w:pPr>
              <w:spacing w:after="0" w:line="259" w:lineRule="auto"/>
              <w:jc w:val="right"/>
              <w:rPr>
                <w:rFonts w:eastAsia="Calibri"/>
                <w:kern w:val="2"/>
                <w14:ligatures w14:val="standardContextual"/>
              </w:rPr>
            </w:pPr>
            <w:r w:rsidRPr="00A81971">
              <w:rPr>
                <w:rFonts w:eastAsia="Calibri"/>
                <w:kern w:val="2"/>
                <w14:ligatures w14:val="standardContextual"/>
              </w:rPr>
              <w:t>0.</w:t>
            </w:r>
            <w:r w:rsidR="00DA7025" w:rsidRPr="00A81971">
              <w:rPr>
                <w:rFonts w:eastAsia="Calibri"/>
                <w:kern w:val="2"/>
                <w14:ligatures w14:val="standardContextual"/>
              </w:rPr>
              <w:t>25</w:t>
            </w:r>
          </w:p>
        </w:tc>
      </w:tr>
      <w:tr w:rsidR="00F90461" w14:paraId="76BC27FA" w14:textId="77777777" w:rsidTr="00FE5C31">
        <w:trPr>
          <w:trHeight w:val="480"/>
          <w:jc w:val="center"/>
        </w:trPr>
        <w:tc>
          <w:tcPr>
            <w:tcW w:w="1800" w:type="dxa"/>
            <w:shd w:val="clear" w:color="auto" w:fill="FFFF00"/>
            <w:tcMar>
              <w:left w:w="108" w:type="dxa"/>
              <w:right w:w="108" w:type="dxa"/>
            </w:tcMar>
          </w:tcPr>
          <w:p w14:paraId="2F44AC15" w14:textId="77777777" w:rsidR="00EA56EE" w:rsidRPr="00A81971" w:rsidRDefault="0032495C" w:rsidP="00EA56EE">
            <w:pPr>
              <w:spacing w:after="0" w:line="259" w:lineRule="auto"/>
              <w:rPr>
                <w:rFonts w:eastAsia="Calibri"/>
                <w:b/>
                <w:bCs/>
                <w:kern w:val="2"/>
                <w:sz w:val="20"/>
                <w:szCs w:val="20"/>
                <w14:ligatures w14:val="standardContextual"/>
              </w:rPr>
            </w:pPr>
            <w:r w:rsidRPr="00A81971">
              <w:rPr>
                <w:rFonts w:eastAsia="Calibri"/>
                <w:b/>
                <w:bCs/>
                <w:kern w:val="2"/>
                <w:sz w:val="20"/>
                <w:szCs w:val="20"/>
                <w14:ligatures w14:val="standardContextual"/>
              </w:rPr>
              <w:t>Total for HCFC Consumption Sector</w:t>
            </w:r>
          </w:p>
        </w:tc>
        <w:tc>
          <w:tcPr>
            <w:tcW w:w="1227" w:type="dxa"/>
            <w:shd w:val="clear" w:color="auto" w:fill="FFFF00"/>
            <w:tcMar>
              <w:left w:w="108" w:type="dxa"/>
              <w:right w:w="108" w:type="dxa"/>
            </w:tcMar>
            <w:vAlign w:val="center"/>
          </w:tcPr>
          <w:p w14:paraId="788A5E9F" w14:textId="77777777" w:rsidR="00EA56EE" w:rsidRPr="00A81971" w:rsidRDefault="0032495C" w:rsidP="009F1AA4">
            <w:pPr>
              <w:spacing w:after="0" w:line="259" w:lineRule="auto"/>
              <w:jc w:val="right"/>
              <w:rPr>
                <w:rFonts w:eastAsia="Calibri"/>
                <w:b/>
                <w:bCs/>
                <w:kern w:val="2"/>
                <w14:ligatures w14:val="standardContextual"/>
              </w:rPr>
            </w:pPr>
            <w:r w:rsidRPr="00A81971">
              <w:t>47</w:t>
            </w:r>
            <w:r w:rsidR="005324C3" w:rsidRPr="00A81971">
              <w:t>6.91</w:t>
            </w:r>
          </w:p>
        </w:tc>
        <w:tc>
          <w:tcPr>
            <w:tcW w:w="1290" w:type="dxa"/>
            <w:shd w:val="clear" w:color="auto" w:fill="FFFF00"/>
            <w:tcMar>
              <w:left w:w="108" w:type="dxa"/>
              <w:right w:w="108" w:type="dxa"/>
            </w:tcMar>
            <w:vAlign w:val="center"/>
          </w:tcPr>
          <w:p w14:paraId="6F5CE50E" w14:textId="77777777" w:rsidR="00EA56EE" w:rsidRPr="00A81971" w:rsidRDefault="0032495C" w:rsidP="009F1AA4">
            <w:pPr>
              <w:spacing w:after="0" w:line="259" w:lineRule="auto"/>
              <w:jc w:val="right"/>
              <w:rPr>
                <w:rFonts w:eastAsia="Calibri"/>
                <w:b/>
                <w:bCs/>
                <w:kern w:val="2"/>
                <w14:ligatures w14:val="standardContextual"/>
              </w:rPr>
            </w:pPr>
            <w:r w:rsidRPr="00A81971">
              <w:t>61</w:t>
            </w:r>
            <w:r w:rsidR="005324C3" w:rsidRPr="00A81971">
              <w:t>8.59</w:t>
            </w:r>
          </w:p>
        </w:tc>
        <w:tc>
          <w:tcPr>
            <w:tcW w:w="1288" w:type="dxa"/>
            <w:shd w:val="clear" w:color="auto" w:fill="FFFF00"/>
            <w:tcMar>
              <w:left w:w="108" w:type="dxa"/>
              <w:right w:w="108" w:type="dxa"/>
            </w:tcMar>
            <w:vAlign w:val="center"/>
          </w:tcPr>
          <w:p w14:paraId="59CC4E7C" w14:textId="77777777" w:rsidR="00EA56EE" w:rsidRPr="00A81971" w:rsidRDefault="0032495C" w:rsidP="009F1AA4">
            <w:pPr>
              <w:spacing w:after="0" w:line="259" w:lineRule="auto"/>
              <w:jc w:val="right"/>
              <w:rPr>
                <w:rFonts w:eastAsia="Times New Roman"/>
              </w:rPr>
            </w:pPr>
            <w:r w:rsidRPr="00A81971">
              <w:t>413.33</w:t>
            </w:r>
          </w:p>
        </w:tc>
        <w:tc>
          <w:tcPr>
            <w:tcW w:w="1090" w:type="dxa"/>
            <w:shd w:val="clear" w:color="auto" w:fill="FFFF00"/>
            <w:tcMar>
              <w:left w:w="108" w:type="dxa"/>
              <w:right w:w="108" w:type="dxa"/>
            </w:tcMar>
            <w:vAlign w:val="center"/>
          </w:tcPr>
          <w:p w14:paraId="0DEBC364" w14:textId="77777777" w:rsidR="00EA56EE" w:rsidRPr="00A81971" w:rsidRDefault="0032495C" w:rsidP="009F1AA4">
            <w:pPr>
              <w:spacing w:after="0" w:line="259" w:lineRule="auto"/>
              <w:jc w:val="right"/>
              <w:rPr>
                <w:rFonts w:eastAsia="Times New Roman"/>
              </w:rPr>
            </w:pPr>
            <w:r w:rsidRPr="00A81971">
              <w:t>64.59</w:t>
            </w:r>
          </w:p>
        </w:tc>
        <w:tc>
          <w:tcPr>
            <w:tcW w:w="1288" w:type="dxa"/>
            <w:shd w:val="clear" w:color="auto" w:fill="FFFF00"/>
            <w:tcMar>
              <w:left w:w="108" w:type="dxa"/>
              <w:right w:w="108" w:type="dxa"/>
            </w:tcMar>
            <w:vAlign w:val="center"/>
          </w:tcPr>
          <w:p w14:paraId="28B38CBA" w14:textId="77777777" w:rsidR="00EA56EE" w:rsidRPr="00A81971" w:rsidRDefault="0032495C" w:rsidP="009F1AA4">
            <w:pPr>
              <w:spacing w:after="0" w:line="259" w:lineRule="auto"/>
              <w:jc w:val="right"/>
              <w:rPr>
                <w:rFonts w:eastAsia="Times New Roman"/>
              </w:rPr>
            </w:pPr>
            <w:r w:rsidRPr="00A81971">
              <w:t>540.85</w:t>
            </w:r>
          </w:p>
        </w:tc>
        <w:tc>
          <w:tcPr>
            <w:tcW w:w="1091" w:type="dxa"/>
            <w:shd w:val="clear" w:color="auto" w:fill="FFFF00"/>
            <w:tcMar>
              <w:left w:w="108" w:type="dxa"/>
              <w:right w:w="108" w:type="dxa"/>
            </w:tcMar>
            <w:vAlign w:val="center"/>
          </w:tcPr>
          <w:p w14:paraId="0B2A744B" w14:textId="77777777" w:rsidR="00EA56EE" w:rsidRPr="00A81971" w:rsidRDefault="0032495C" w:rsidP="009F1AA4">
            <w:pPr>
              <w:spacing w:after="0" w:line="259" w:lineRule="auto"/>
              <w:jc w:val="right"/>
              <w:rPr>
                <w:rFonts w:eastAsia="Times New Roman"/>
              </w:rPr>
            </w:pPr>
            <w:r w:rsidRPr="00A81971">
              <w:t>78.75</w:t>
            </w:r>
          </w:p>
        </w:tc>
      </w:tr>
    </w:tbl>
    <w:p w14:paraId="2B568DA5" w14:textId="77777777" w:rsidR="00EB1A3C" w:rsidRPr="00E36314" w:rsidRDefault="0032495C" w:rsidP="2E7655E2">
      <w:pPr>
        <w:spacing w:after="0"/>
        <w:rPr>
          <w:rFonts w:eastAsia="Times New Roman"/>
          <w:color w:val="000000" w:themeColor="text1"/>
          <w:sz w:val="18"/>
          <w:szCs w:val="18"/>
        </w:rPr>
      </w:pPr>
      <w:r w:rsidRPr="2E7655E2">
        <w:rPr>
          <w:rFonts w:eastAsia="Times New Roman"/>
          <w:color w:val="000000" w:themeColor="text1"/>
          <w:sz w:val="18"/>
          <w:szCs w:val="18"/>
        </w:rPr>
        <w:t>*The values for committed funding follow the exact amount in tranches agreed, and the suggested 90/10% allocation by triennium does not apply.</w:t>
      </w:r>
      <w:r w:rsidRPr="001C541E">
        <w:rPr>
          <w:rFonts w:eastAsia="Times New Roman"/>
          <w:color w:val="000000" w:themeColor="text1"/>
          <w:sz w:val="18"/>
          <w:szCs w:val="18"/>
        </w:rPr>
        <w:t xml:space="preserve"> In order to simplify presentation of </w:t>
      </w:r>
      <w:r w:rsidRPr="00E36314">
        <w:rPr>
          <w:rFonts w:eastAsia="Times New Roman"/>
          <w:color w:val="000000" w:themeColor="text1"/>
          <w:sz w:val="18"/>
          <w:szCs w:val="18"/>
        </w:rPr>
        <w:t>funding values</w:t>
      </w:r>
      <w:r w:rsidRPr="001C541E">
        <w:rPr>
          <w:rFonts w:eastAsia="Times New Roman"/>
          <w:color w:val="000000" w:themeColor="text1"/>
          <w:sz w:val="18"/>
          <w:szCs w:val="18"/>
        </w:rPr>
        <w:t xml:space="preserve"> in </w:t>
      </w:r>
      <w:r w:rsidRPr="00E36314">
        <w:rPr>
          <w:rFonts w:eastAsia="Times New Roman"/>
          <w:color w:val="000000" w:themeColor="text1"/>
          <w:sz w:val="18"/>
          <w:szCs w:val="18"/>
        </w:rPr>
        <w:t xml:space="preserve">the </w:t>
      </w:r>
      <w:r w:rsidRPr="001C541E">
        <w:rPr>
          <w:rFonts w:eastAsia="Times New Roman"/>
          <w:color w:val="000000" w:themeColor="text1"/>
          <w:sz w:val="18"/>
          <w:szCs w:val="18"/>
        </w:rPr>
        <w:t xml:space="preserve">tables, which for all HCFC calculations do not go beyond 2032, the final </w:t>
      </w:r>
      <w:r w:rsidR="005F54B8">
        <w:rPr>
          <w:rFonts w:eastAsia="Times New Roman"/>
          <w:color w:val="000000" w:themeColor="text1"/>
          <w:sz w:val="18"/>
          <w:szCs w:val="18"/>
        </w:rPr>
        <w:t xml:space="preserve">committed </w:t>
      </w:r>
      <w:r w:rsidRPr="001C541E">
        <w:rPr>
          <w:rFonts w:eastAsia="Times New Roman"/>
          <w:color w:val="000000" w:themeColor="text1"/>
          <w:sz w:val="18"/>
          <w:szCs w:val="18"/>
        </w:rPr>
        <w:t xml:space="preserve">tranche for one </w:t>
      </w:r>
      <w:r w:rsidRPr="00E36314">
        <w:rPr>
          <w:rFonts w:eastAsia="Times New Roman"/>
          <w:color w:val="000000" w:themeColor="text1"/>
          <w:sz w:val="18"/>
          <w:szCs w:val="18"/>
        </w:rPr>
        <w:t>party for</w:t>
      </w:r>
      <w:r w:rsidRPr="001C541E">
        <w:rPr>
          <w:rFonts w:eastAsia="Times New Roman"/>
          <w:color w:val="000000" w:themeColor="text1"/>
          <w:sz w:val="18"/>
          <w:szCs w:val="18"/>
        </w:rPr>
        <w:t xml:space="preserve"> 2033 is included in the 2030-2032 triennium.</w:t>
      </w:r>
    </w:p>
    <w:p w14:paraId="3284B51B" w14:textId="77777777" w:rsidR="00EB1A3C" w:rsidRPr="00A81971" w:rsidRDefault="00EB1A3C" w:rsidP="2E7655E2">
      <w:pPr>
        <w:spacing w:after="0"/>
        <w:jc w:val="both"/>
        <w:rPr>
          <w:rFonts w:eastAsia="Times New Roman"/>
          <w:color w:val="000000" w:themeColor="text1"/>
          <w:sz w:val="18"/>
          <w:szCs w:val="18"/>
        </w:rPr>
      </w:pPr>
    </w:p>
    <w:p w14:paraId="28248F32" w14:textId="77777777" w:rsidR="00EB1A3C" w:rsidRPr="00A81971" w:rsidRDefault="0032495C" w:rsidP="00EB1A3C">
      <w:pPr>
        <w:spacing w:after="0"/>
        <w:jc w:val="both"/>
        <w:rPr>
          <w:rFonts w:eastAsia="Times New Roman"/>
          <w:color w:val="000000" w:themeColor="text1"/>
          <w:sz w:val="18"/>
          <w:szCs w:val="18"/>
        </w:rPr>
      </w:pPr>
      <w:r w:rsidRPr="00A81971">
        <w:rPr>
          <w:rFonts w:eastAsia="Times New Roman"/>
          <w:color w:val="000000" w:themeColor="text1"/>
          <w:sz w:val="18"/>
          <w:szCs w:val="18"/>
        </w:rPr>
        <w:t xml:space="preserve">** PMU costs using </w:t>
      </w:r>
      <w:r w:rsidR="5D348F68" w:rsidRPr="00A81971">
        <w:rPr>
          <w:rFonts w:eastAsia="Times New Roman"/>
          <w:color w:val="000000" w:themeColor="text1"/>
          <w:sz w:val="18"/>
          <w:szCs w:val="18"/>
        </w:rPr>
        <w:t xml:space="preserve">5% for China and </w:t>
      </w:r>
      <w:r w:rsidRPr="00A81971">
        <w:rPr>
          <w:rFonts w:eastAsia="Times New Roman"/>
          <w:color w:val="000000" w:themeColor="text1"/>
          <w:sz w:val="18"/>
          <w:szCs w:val="18"/>
        </w:rPr>
        <w:t xml:space="preserve">10% for </w:t>
      </w:r>
      <w:r w:rsidR="50FE5C42" w:rsidRPr="00A81971">
        <w:rPr>
          <w:rFonts w:eastAsia="Times New Roman"/>
          <w:color w:val="000000" w:themeColor="text1"/>
          <w:sz w:val="18"/>
          <w:szCs w:val="18"/>
        </w:rPr>
        <w:t>oth</w:t>
      </w:r>
      <w:r w:rsidR="0EAC86B7" w:rsidRPr="00A81971">
        <w:rPr>
          <w:rFonts w:eastAsia="Times New Roman"/>
          <w:color w:val="000000" w:themeColor="text1"/>
          <w:sz w:val="18"/>
          <w:szCs w:val="18"/>
        </w:rPr>
        <w:t>er p</w:t>
      </w:r>
      <w:r w:rsidRPr="00A81971">
        <w:rPr>
          <w:rFonts w:eastAsia="Times New Roman"/>
          <w:color w:val="000000" w:themeColor="text1"/>
          <w:sz w:val="18"/>
          <w:szCs w:val="18"/>
        </w:rPr>
        <w:t>arties and 9.6% of support cost.</w:t>
      </w:r>
    </w:p>
    <w:p w14:paraId="7ACE1056" w14:textId="4A4A3459" w:rsidR="00F62F03" w:rsidRPr="00A81971" w:rsidRDefault="00255363" w:rsidP="00F62F03">
      <w:pPr>
        <w:rPr>
          <w:rFonts w:eastAsia="Times New Roman"/>
          <w:sz w:val="18"/>
          <w:szCs w:val="18"/>
        </w:rPr>
      </w:pPr>
      <w:r>
        <w:rPr>
          <w:rFonts w:eastAsia="Times New Roman"/>
          <w:sz w:val="18"/>
          <w:szCs w:val="18"/>
        </w:rPr>
        <w:t xml:space="preserve">NOTE: </w:t>
      </w:r>
      <w:r w:rsidR="00F62F03" w:rsidRPr="00A81971">
        <w:rPr>
          <w:rFonts w:eastAsia="Times New Roman"/>
          <w:sz w:val="18"/>
          <w:szCs w:val="18"/>
        </w:rPr>
        <w:t>Numbers may differ slightly due to rounding.</w:t>
      </w:r>
    </w:p>
    <w:p w14:paraId="1D964875" w14:textId="77777777" w:rsidR="00793ABA" w:rsidRPr="00A81971" w:rsidRDefault="00793ABA" w:rsidP="00600DE2">
      <w:pPr>
        <w:tabs>
          <w:tab w:val="left" w:pos="720"/>
        </w:tabs>
        <w:spacing w:after="240"/>
        <w:jc w:val="both"/>
      </w:pPr>
    </w:p>
    <w:p w14:paraId="29667B6F" w14:textId="77777777" w:rsidR="00600DE2" w:rsidRPr="00A81971" w:rsidRDefault="0032495C">
      <w:pPr>
        <w:spacing w:after="0"/>
        <w:rPr>
          <w:rFonts w:ascii="Times New Roman Bold" w:eastAsia="Times New Roman" w:hAnsi="Times New Roman Bold"/>
          <w:b/>
          <w:bCs/>
          <w:caps/>
          <w:color w:val="000000" w:themeColor="text1"/>
          <w:sz w:val="24"/>
          <w:szCs w:val="24"/>
          <w:lang w:eastAsia="nl-NL"/>
        </w:rPr>
      </w:pPr>
      <w:r w:rsidRPr="00A81971">
        <w:rPr>
          <w:bCs/>
        </w:rPr>
        <w:br w:type="page"/>
      </w:r>
    </w:p>
    <w:p w14:paraId="5B9A1D60" w14:textId="167F786F" w:rsidR="00793ABA" w:rsidRPr="00A81971" w:rsidRDefault="0032495C" w:rsidP="00696E14">
      <w:pPr>
        <w:pStyle w:val="Heading1"/>
      </w:pPr>
      <w:bookmarkStart w:id="243" w:name="_Toc240987348"/>
      <w:r w:rsidRPr="00A81971">
        <w:lastRenderedPageBreak/>
        <w:t>ANNEX 3:</w:t>
      </w:r>
      <w:r w:rsidR="00CE22B9">
        <w:tab/>
      </w:r>
      <w:r w:rsidRPr="00A81971">
        <w:t>METHODOLOGY TO ESTIMATE FUNDING REQUIREMENTS FOR HFC PHASE-DOWN IN THE CONSUMPTION SECTOR</w:t>
      </w:r>
      <w:r w:rsidR="00926182" w:rsidRPr="00A81971">
        <w:t xml:space="preserve"> (UPDATED</w:t>
      </w:r>
      <w:r w:rsidR="091457C3" w:rsidRPr="00A81971">
        <w:t xml:space="preserve"> RTF May 2026 Report</w:t>
      </w:r>
      <w:r w:rsidR="00926182" w:rsidRPr="00A81971">
        <w:t>)</w:t>
      </w:r>
      <w:bookmarkEnd w:id="243"/>
    </w:p>
    <w:p w14:paraId="4265D3BA" w14:textId="77777777" w:rsidR="00793ABA" w:rsidRPr="00A81971" w:rsidRDefault="0032495C" w:rsidP="43EEFCCE">
      <w:pPr>
        <w:tabs>
          <w:tab w:val="left" w:pos="720"/>
        </w:tabs>
        <w:rPr>
          <w:rFonts w:eastAsia="Times New Roman"/>
          <w:color w:val="000000" w:themeColor="text1"/>
        </w:rPr>
      </w:pPr>
      <w:r w:rsidRPr="00A81971">
        <w:rPr>
          <w:rFonts w:eastAsia="Times New Roman"/>
          <w:color w:val="000000" w:themeColor="text1"/>
        </w:rPr>
        <w:t xml:space="preserve">This annex provides information on the </w:t>
      </w:r>
      <w:r w:rsidR="00B93305" w:rsidRPr="00A81971">
        <w:rPr>
          <w:rFonts w:eastAsia="Times New Roman"/>
          <w:color w:val="000000" w:themeColor="text1"/>
        </w:rPr>
        <w:t xml:space="preserve">updated </w:t>
      </w:r>
      <w:r w:rsidRPr="00A81971">
        <w:rPr>
          <w:rFonts w:eastAsia="Times New Roman"/>
          <w:color w:val="000000" w:themeColor="text1"/>
        </w:rPr>
        <w:t xml:space="preserve">estimated funding methodology for the HFC phasedown in the consumption sector. </w:t>
      </w:r>
      <w:r w:rsidR="00E47559" w:rsidRPr="00A81971">
        <w:rPr>
          <w:rFonts w:eastAsia="Times New Roman"/>
          <w:color w:val="000000" w:themeColor="text1"/>
        </w:rPr>
        <w:t>The methodology</w:t>
      </w:r>
      <w:r w:rsidR="00BA34C5" w:rsidRPr="00A81971">
        <w:rPr>
          <w:rFonts w:eastAsia="Times New Roman"/>
          <w:color w:val="000000" w:themeColor="text1"/>
        </w:rPr>
        <w:t xml:space="preserve"> was </w:t>
      </w:r>
      <w:r w:rsidR="0068433F" w:rsidRPr="00A81971">
        <w:rPr>
          <w:rFonts w:eastAsia="Times New Roman"/>
          <w:color w:val="000000" w:themeColor="text1"/>
        </w:rPr>
        <w:t xml:space="preserve">originally presented </w:t>
      </w:r>
      <w:r w:rsidR="00BA34C5" w:rsidRPr="00A81971">
        <w:rPr>
          <w:rFonts w:eastAsia="Times New Roman"/>
          <w:color w:val="000000" w:themeColor="text1"/>
        </w:rPr>
        <w:t>in Chapter 3 and Annex 4 of the May 2026 Report.</w:t>
      </w:r>
    </w:p>
    <w:p w14:paraId="577856F8"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For HFCs consumption, the assessment considers funding estimates for both Stage I and Stage II KIPs, to reach compliance targets for the 2027-2029 and next two triennia as follows:</w:t>
      </w:r>
    </w:p>
    <w:p w14:paraId="3EAD3E1D" w14:textId="77777777" w:rsidR="00793ABA" w:rsidRPr="00A81971" w:rsidRDefault="0032495C" w:rsidP="007A20BD">
      <w:pPr>
        <w:pStyle w:val="ListParagraph"/>
        <w:numPr>
          <w:ilvl w:val="0"/>
          <w:numId w:val="32"/>
        </w:numPr>
        <w:tabs>
          <w:tab w:val="left" w:pos="720"/>
        </w:tabs>
        <w:rPr>
          <w:rFonts w:eastAsia="Times New Roman"/>
          <w:color w:val="000000" w:themeColor="text1"/>
        </w:rPr>
      </w:pPr>
      <w:r w:rsidRPr="00A81971">
        <w:rPr>
          <w:rFonts w:eastAsia="Times New Roman"/>
          <w:color w:val="000000" w:themeColor="text1"/>
        </w:rPr>
        <w:t>G1 parties: a 10% reduction from baseline by 1 January 2029 and a 30% reduction from baseline by 1 January 2035</w:t>
      </w:r>
    </w:p>
    <w:p w14:paraId="1734A618" w14:textId="77777777" w:rsidR="00793ABA" w:rsidRPr="00A81971" w:rsidRDefault="0032495C" w:rsidP="007A20BD">
      <w:pPr>
        <w:pStyle w:val="ListParagraph"/>
        <w:numPr>
          <w:ilvl w:val="0"/>
          <w:numId w:val="32"/>
        </w:numPr>
        <w:tabs>
          <w:tab w:val="left" w:pos="720"/>
        </w:tabs>
        <w:rPr>
          <w:rFonts w:eastAsia="Times New Roman"/>
          <w:color w:val="000000" w:themeColor="text1"/>
        </w:rPr>
      </w:pPr>
      <w:r w:rsidRPr="00A81971">
        <w:rPr>
          <w:rFonts w:eastAsia="Times New Roman"/>
          <w:color w:val="000000" w:themeColor="text1"/>
        </w:rPr>
        <w:t>G2 parties: a freeze of production and consumption by 1 January 2028; and a 10% reduction from baseline by 1 January 2032.</w:t>
      </w:r>
    </w:p>
    <w:p w14:paraId="59D4AC1A"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 xml:space="preserve">The estimate for the HFC phase-down funding requirement for the 2027-2029 triennium and future triennia, 2030-2032 and 2033-2035, is based on A5 parties meeting the relevant G1 or G2 reduction targets. </w:t>
      </w:r>
    </w:p>
    <w:p w14:paraId="4EDB42ED"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The estimated funding requirement for the HFC consumption sectors include the following:</w:t>
      </w:r>
    </w:p>
    <w:p w14:paraId="4CA36400" w14:textId="77777777" w:rsidR="00793ABA" w:rsidRPr="00A81971" w:rsidRDefault="0032495C" w:rsidP="007A20BD">
      <w:pPr>
        <w:pStyle w:val="ListParagraph"/>
        <w:numPr>
          <w:ilvl w:val="0"/>
          <w:numId w:val="31"/>
        </w:numPr>
        <w:tabs>
          <w:tab w:val="left" w:pos="720"/>
        </w:tabs>
        <w:spacing w:after="120"/>
        <w:rPr>
          <w:rFonts w:eastAsia="Times New Roman"/>
          <w:color w:val="000000" w:themeColor="text1"/>
        </w:rPr>
      </w:pPr>
      <w:r w:rsidRPr="00A81971">
        <w:rPr>
          <w:rFonts w:eastAsia="Times New Roman"/>
          <w:color w:val="000000" w:themeColor="text1"/>
        </w:rPr>
        <w:t>Funding committed for approved KIPs;</w:t>
      </w:r>
    </w:p>
    <w:p w14:paraId="33402F0A" w14:textId="77777777" w:rsidR="00793ABA" w:rsidRPr="00A81971" w:rsidRDefault="0032495C" w:rsidP="007A20BD">
      <w:pPr>
        <w:pStyle w:val="ListParagraph"/>
        <w:numPr>
          <w:ilvl w:val="0"/>
          <w:numId w:val="31"/>
        </w:numPr>
        <w:tabs>
          <w:tab w:val="left" w:pos="720"/>
        </w:tabs>
        <w:spacing w:after="120"/>
        <w:rPr>
          <w:rFonts w:eastAsia="Times New Roman"/>
          <w:color w:val="000000" w:themeColor="text1"/>
        </w:rPr>
      </w:pPr>
      <w:r w:rsidRPr="00A81971">
        <w:rPr>
          <w:rFonts w:eastAsia="Times New Roman"/>
          <w:color w:val="000000" w:themeColor="text1"/>
        </w:rPr>
        <w:t>Funding for project preparation costs;</w:t>
      </w:r>
    </w:p>
    <w:p w14:paraId="405960B5" w14:textId="77777777" w:rsidR="00793ABA" w:rsidRPr="00A81971" w:rsidRDefault="0032495C" w:rsidP="007A20BD">
      <w:pPr>
        <w:pStyle w:val="ListParagraph"/>
        <w:numPr>
          <w:ilvl w:val="0"/>
          <w:numId w:val="31"/>
        </w:numPr>
        <w:tabs>
          <w:tab w:val="left" w:pos="720"/>
        </w:tabs>
        <w:spacing w:after="120"/>
        <w:rPr>
          <w:rFonts w:eastAsia="Times New Roman"/>
          <w:color w:val="000000" w:themeColor="text1"/>
        </w:rPr>
      </w:pPr>
      <w:r w:rsidRPr="00A81971">
        <w:rPr>
          <w:rFonts w:eastAsia="Times New Roman"/>
          <w:color w:val="000000" w:themeColor="text1"/>
        </w:rPr>
        <w:t>Funding estimated for new KIPs;</w:t>
      </w:r>
    </w:p>
    <w:p w14:paraId="3FDFE3EF" w14:textId="77777777" w:rsidR="00793ABA" w:rsidRPr="00A81971" w:rsidRDefault="0032495C" w:rsidP="007A20BD">
      <w:pPr>
        <w:pStyle w:val="ListParagraph"/>
        <w:numPr>
          <w:ilvl w:val="0"/>
          <w:numId w:val="31"/>
        </w:numPr>
        <w:tabs>
          <w:tab w:val="left" w:pos="720"/>
        </w:tabs>
        <w:spacing w:after="120"/>
        <w:rPr>
          <w:rFonts w:eastAsia="Times New Roman"/>
          <w:color w:val="000000" w:themeColor="text1"/>
        </w:rPr>
      </w:pPr>
      <w:r w:rsidRPr="00A81971">
        <w:rPr>
          <w:rFonts w:eastAsia="Times New Roman"/>
          <w:color w:val="000000" w:themeColor="text1"/>
        </w:rPr>
        <w:t>Funding for EE (ExCom Decision 91/65, 94/60 and 91/65);</w:t>
      </w:r>
    </w:p>
    <w:p w14:paraId="0B381C0C" w14:textId="77777777" w:rsidR="00793ABA" w:rsidRPr="00A81971" w:rsidRDefault="0032495C" w:rsidP="007A20BD">
      <w:pPr>
        <w:pStyle w:val="ListParagraph"/>
        <w:numPr>
          <w:ilvl w:val="0"/>
          <w:numId w:val="31"/>
        </w:numPr>
        <w:tabs>
          <w:tab w:val="left" w:pos="720"/>
        </w:tabs>
        <w:spacing w:after="120"/>
        <w:rPr>
          <w:rFonts w:eastAsia="Times New Roman"/>
          <w:color w:val="000000" w:themeColor="text1"/>
        </w:rPr>
      </w:pPr>
      <w:r w:rsidRPr="00A81971">
        <w:rPr>
          <w:rFonts w:eastAsia="Times New Roman"/>
          <w:color w:val="000000" w:themeColor="text1"/>
        </w:rPr>
        <w:t>Funding for KIP verification.</w:t>
      </w:r>
    </w:p>
    <w:p w14:paraId="0298B222" w14:textId="1DB6A051" w:rsidR="00793ABA" w:rsidRPr="00A81971" w:rsidRDefault="0032495C" w:rsidP="00201CFA">
      <w:pPr>
        <w:pStyle w:val="Heading2"/>
      </w:pPr>
      <w:bookmarkStart w:id="244" w:name="_Toc240987349"/>
      <w:r w:rsidRPr="00A81971">
        <w:t>A</w:t>
      </w:r>
      <w:r w:rsidR="00091F90" w:rsidRPr="00A81971">
        <w:t>3</w:t>
      </w:r>
      <w:r w:rsidR="00CF2B92" w:rsidRPr="00A81971">
        <w:t>.</w:t>
      </w:r>
      <w:r w:rsidRPr="00A81971">
        <w:t xml:space="preserve">1 </w:t>
      </w:r>
      <w:r w:rsidR="002E3156">
        <w:tab/>
      </w:r>
      <w:r w:rsidRPr="00A81971">
        <w:t>Sources of Information</w:t>
      </w:r>
      <w:bookmarkEnd w:id="244"/>
    </w:p>
    <w:p w14:paraId="36F6778D" w14:textId="77777777" w:rsidR="007A2E90" w:rsidRPr="00A81971" w:rsidRDefault="0032495C" w:rsidP="00C81B3F">
      <w:pPr>
        <w:tabs>
          <w:tab w:val="left" w:pos="0"/>
          <w:tab w:val="left" w:pos="720"/>
        </w:tabs>
        <w:spacing w:after="240"/>
        <w:rPr>
          <w:rFonts w:eastAsia="Times New Roman"/>
          <w:color w:val="000000" w:themeColor="text1"/>
        </w:rPr>
      </w:pPr>
      <w:r w:rsidRPr="00A81971">
        <w:rPr>
          <w:rFonts w:eastAsia="Times New Roman"/>
          <w:color w:val="000000" w:themeColor="text1"/>
        </w:rPr>
        <w:t xml:space="preserve">The RTF modelling approach consolidates </w:t>
      </w:r>
      <w:r w:rsidR="00B93305" w:rsidRPr="00A81971">
        <w:rPr>
          <w:rFonts w:eastAsia="Times New Roman"/>
          <w:color w:val="000000" w:themeColor="text1"/>
        </w:rPr>
        <w:t xml:space="preserve">updated </w:t>
      </w:r>
      <w:r w:rsidRPr="00A81971">
        <w:rPr>
          <w:rFonts w:eastAsia="Times New Roman"/>
          <w:color w:val="000000" w:themeColor="text1"/>
        </w:rPr>
        <w:t>data from the following sources:</w:t>
      </w:r>
    </w:p>
    <w:p w14:paraId="285534B8" w14:textId="259C23FA" w:rsidR="00793ABA" w:rsidRPr="00A81971" w:rsidRDefault="0032495C" w:rsidP="007A20BD">
      <w:pPr>
        <w:pStyle w:val="ListParagraph"/>
        <w:numPr>
          <w:ilvl w:val="0"/>
          <w:numId w:val="30"/>
        </w:numPr>
        <w:tabs>
          <w:tab w:val="left" w:pos="0"/>
          <w:tab w:val="left" w:pos="720"/>
        </w:tabs>
        <w:spacing w:after="240"/>
        <w:rPr>
          <w:rFonts w:eastAsia="Times New Roman"/>
          <w:color w:val="000000" w:themeColor="text1"/>
        </w:rPr>
      </w:pPr>
      <w:r w:rsidRPr="00A81971">
        <w:rPr>
          <w:rFonts w:eastAsia="Times New Roman"/>
          <w:color w:val="000000" w:themeColor="text1"/>
        </w:rPr>
        <w:t xml:space="preserve">A7 consumption data as reported to the OS, as of </w:t>
      </w:r>
      <w:r w:rsidR="00C008ED">
        <w:rPr>
          <w:rFonts w:eastAsia="Times New Roman"/>
          <w:color w:val="000000" w:themeColor="text1"/>
        </w:rPr>
        <w:t>17</w:t>
      </w:r>
      <w:r w:rsidRPr="00A81971">
        <w:rPr>
          <w:rFonts w:eastAsia="Times New Roman"/>
          <w:color w:val="000000" w:themeColor="text1"/>
        </w:rPr>
        <w:t xml:space="preserve"> July 2026</w:t>
      </w:r>
      <w:r w:rsidR="00F62F03">
        <w:rPr>
          <w:rFonts w:eastAsia="Times New Roman"/>
          <w:color w:val="000000" w:themeColor="text1"/>
        </w:rPr>
        <w:t>;</w:t>
      </w:r>
    </w:p>
    <w:p w14:paraId="67D42ED0" w14:textId="1AFE713D" w:rsidR="00793ABA" w:rsidRPr="00A81971" w:rsidRDefault="0032495C" w:rsidP="007A20BD">
      <w:pPr>
        <w:pStyle w:val="ListParagraph"/>
        <w:numPr>
          <w:ilvl w:val="0"/>
          <w:numId w:val="30"/>
        </w:numPr>
        <w:tabs>
          <w:tab w:val="left" w:pos="0"/>
          <w:tab w:val="left" w:pos="720"/>
        </w:tabs>
        <w:spacing w:after="240" w:line="259" w:lineRule="auto"/>
        <w:rPr>
          <w:rFonts w:eastAsia="Times New Roman"/>
          <w:color w:val="000000" w:themeColor="text1"/>
        </w:rPr>
      </w:pPr>
      <w:r w:rsidRPr="00A81971">
        <w:rPr>
          <w:rFonts w:eastAsia="Times New Roman"/>
          <w:color w:val="000000" w:themeColor="text1"/>
        </w:rPr>
        <w:t>CP data submitted to the MLFS, as of 17 July 2026</w:t>
      </w:r>
      <w:r w:rsidR="00F62F03">
        <w:rPr>
          <w:rFonts w:eastAsia="Times New Roman"/>
          <w:color w:val="000000" w:themeColor="text1"/>
        </w:rPr>
        <w:t>;</w:t>
      </w:r>
    </w:p>
    <w:p w14:paraId="5214D5B3" w14:textId="1DA574B4" w:rsidR="00793ABA" w:rsidRPr="00A81971" w:rsidRDefault="0032495C" w:rsidP="007A20BD">
      <w:pPr>
        <w:pStyle w:val="ListParagraph"/>
        <w:numPr>
          <w:ilvl w:val="0"/>
          <w:numId w:val="30"/>
        </w:numPr>
        <w:tabs>
          <w:tab w:val="left" w:pos="0"/>
          <w:tab w:val="left" w:pos="720"/>
        </w:tabs>
        <w:spacing w:after="240"/>
        <w:rPr>
          <w:rFonts w:eastAsia="Times New Roman"/>
          <w:color w:val="000000" w:themeColor="text1"/>
        </w:rPr>
      </w:pPr>
      <w:r w:rsidRPr="00A81971">
        <w:rPr>
          <w:rFonts w:eastAsia="Times New Roman"/>
          <w:color w:val="000000" w:themeColor="text1"/>
        </w:rPr>
        <w:t>Information provided by the MLFS on approved KIPs, including agreed reductions from baseline consumption, funding and tranche schedules, project preparation and verification activities, as well as information on EE and the status of funding windows</w:t>
      </w:r>
      <w:r w:rsidR="00F62F03">
        <w:rPr>
          <w:rFonts w:eastAsia="Times New Roman"/>
          <w:color w:val="000000" w:themeColor="text1"/>
        </w:rPr>
        <w:t>;</w:t>
      </w:r>
    </w:p>
    <w:p w14:paraId="045722B3" w14:textId="77777777" w:rsidR="00793ABA" w:rsidRPr="00A81971" w:rsidRDefault="0032495C" w:rsidP="007A20BD">
      <w:pPr>
        <w:pStyle w:val="ListParagraph"/>
        <w:numPr>
          <w:ilvl w:val="0"/>
          <w:numId w:val="30"/>
        </w:numPr>
        <w:tabs>
          <w:tab w:val="left" w:pos="0"/>
          <w:tab w:val="left" w:pos="720"/>
        </w:tabs>
        <w:spacing w:after="240"/>
        <w:rPr>
          <w:rFonts w:eastAsia="Times New Roman"/>
          <w:color w:val="000000" w:themeColor="text1"/>
        </w:rPr>
      </w:pPr>
      <w:r w:rsidRPr="00A81971">
        <w:rPr>
          <w:rFonts w:eastAsia="Times New Roman"/>
          <w:color w:val="000000" w:themeColor="text1"/>
        </w:rPr>
        <w:t>ExCom documents and decisions, including cost guidelines, up to and including ExCom-98</w:t>
      </w:r>
    </w:p>
    <w:p w14:paraId="1DDAEB5F" w14:textId="4FBE84AD" w:rsidR="00793ABA" w:rsidRPr="00A81971" w:rsidRDefault="0032495C" w:rsidP="007A20BD">
      <w:pPr>
        <w:pStyle w:val="ListParagraph"/>
        <w:numPr>
          <w:ilvl w:val="0"/>
          <w:numId w:val="30"/>
        </w:numPr>
        <w:tabs>
          <w:tab w:val="left" w:pos="0"/>
          <w:tab w:val="left" w:pos="720"/>
        </w:tabs>
        <w:spacing w:after="240"/>
        <w:rPr>
          <w:rFonts w:eastAsia="Times New Roman"/>
          <w:color w:val="000000" w:themeColor="text1"/>
        </w:rPr>
      </w:pPr>
      <w:r w:rsidRPr="00A81971">
        <w:rPr>
          <w:rFonts w:eastAsia="Times New Roman"/>
          <w:color w:val="000000" w:themeColor="text1"/>
        </w:rPr>
        <w:t>Classification of LVCs based on HCFC and HFC baseline consumption (unchanged as presented in Annex 5 of the RTF May 2026 report)</w:t>
      </w:r>
      <w:r w:rsidR="00F62F03">
        <w:rPr>
          <w:rFonts w:eastAsia="Times New Roman"/>
          <w:color w:val="000000" w:themeColor="text1"/>
        </w:rPr>
        <w:t>;</w:t>
      </w:r>
    </w:p>
    <w:p w14:paraId="728453C8" w14:textId="069AA18F" w:rsidR="00793ABA" w:rsidRPr="00A81971" w:rsidRDefault="0032495C" w:rsidP="007A20BD">
      <w:pPr>
        <w:pStyle w:val="ListParagraph"/>
        <w:numPr>
          <w:ilvl w:val="0"/>
          <w:numId w:val="30"/>
        </w:numPr>
        <w:tabs>
          <w:tab w:val="left" w:pos="0"/>
          <w:tab w:val="left" w:pos="720"/>
        </w:tabs>
        <w:spacing w:after="240"/>
        <w:rPr>
          <w:rFonts w:eastAsia="Times New Roman"/>
        </w:rPr>
      </w:pPr>
      <w:r w:rsidRPr="00A81971">
        <w:rPr>
          <w:rFonts w:eastAsia="Times New Roman"/>
        </w:rPr>
        <w:t xml:space="preserve">BP, used to inform the RTF on future requests to IAs for projects to be submitted to MLFS, therefore guiding RTF to forecast potential </w:t>
      </w:r>
      <w:r w:rsidRPr="00A81971">
        <w:rPr>
          <w:rFonts w:eastAsia="Times New Roman"/>
          <w:u w:val="single"/>
        </w:rPr>
        <w:t>new</w:t>
      </w:r>
      <w:r w:rsidRPr="00A81971">
        <w:rPr>
          <w:rFonts w:eastAsia="Times New Roman"/>
        </w:rPr>
        <w:t xml:space="preserve"> funding needed</w:t>
      </w:r>
      <w:r w:rsidR="00F62F03">
        <w:rPr>
          <w:rFonts w:eastAsia="Times New Roman"/>
        </w:rPr>
        <w:t>;</w:t>
      </w:r>
    </w:p>
    <w:p w14:paraId="598F094E" w14:textId="067FFDAB" w:rsidR="00793ABA" w:rsidRPr="00A81971" w:rsidRDefault="0032495C" w:rsidP="007A20BD">
      <w:pPr>
        <w:pStyle w:val="ListParagraph"/>
        <w:numPr>
          <w:ilvl w:val="0"/>
          <w:numId w:val="30"/>
        </w:numPr>
        <w:tabs>
          <w:tab w:val="left" w:pos="0"/>
          <w:tab w:val="left" w:pos="720"/>
        </w:tabs>
        <w:spacing w:after="240"/>
        <w:rPr>
          <w:rFonts w:eastAsia="Times New Roman"/>
        </w:rPr>
      </w:pPr>
      <w:r w:rsidRPr="00A81971">
        <w:rPr>
          <w:rFonts w:eastAsia="Times New Roman"/>
        </w:rPr>
        <w:t>Parties’ ratification status of the KA, as of 10 August 2026 (Annex 2)</w:t>
      </w:r>
      <w:r w:rsidR="00F62F03">
        <w:rPr>
          <w:rFonts w:eastAsia="Times New Roman"/>
        </w:rPr>
        <w:t>; and</w:t>
      </w:r>
    </w:p>
    <w:p w14:paraId="5F64D3AB" w14:textId="77777777" w:rsidR="002150EF" w:rsidRPr="00A81971" w:rsidRDefault="0032495C" w:rsidP="007A20BD">
      <w:pPr>
        <w:pStyle w:val="ListParagraph"/>
        <w:numPr>
          <w:ilvl w:val="0"/>
          <w:numId w:val="30"/>
        </w:numPr>
        <w:tabs>
          <w:tab w:val="left" w:pos="0"/>
          <w:tab w:val="left" w:pos="720"/>
        </w:tabs>
        <w:spacing w:after="240"/>
        <w:rPr>
          <w:rFonts w:eastAsia="Times New Roman"/>
        </w:rPr>
      </w:pPr>
      <w:r w:rsidRPr="00A81971">
        <w:rPr>
          <w:rFonts w:eastAsia="Times New Roman"/>
        </w:rPr>
        <w:t>PMU costs applied based on consultations with MLFS and IAs</w:t>
      </w:r>
      <w:r w:rsidR="00A0522D" w:rsidRPr="00A81971">
        <w:rPr>
          <w:rFonts w:eastAsia="Times New Roman"/>
        </w:rPr>
        <w:t xml:space="preserve">: </w:t>
      </w:r>
      <w:r w:rsidR="00350488" w:rsidRPr="00A81971">
        <w:rPr>
          <w:rFonts w:eastAsia="Times New Roman"/>
        </w:rPr>
        <w:t>5%</w:t>
      </w:r>
      <w:r w:rsidR="00A0522D" w:rsidRPr="00A81971">
        <w:rPr>
          <w:rFonts w:eastAsia="Times New Roman"/>
        </w:rPr>
        <w:t xml:space="preserve"> PMU for China, as for China HPMP II, 7% PMU for large top-10 consumption parties, and 10% PMU for other smaller non-LVC parties</w:t>
      </w:r>
      <w:r w:rsidRPr="00A81971">
        <w:rPr>
          <w:rFonts w:eastAsia="Times New Roman"/>
        </w:rPr>
        <w:t>.</w:t>
      </w:r>
    </w:p>
    <w:p w14:paraId="3A193B43" w14:textId="77777777" w:rsidR="00793ABA" w:rsidRPr="00A81971" w:rsidRDefault="0032495C" w:rsidP="00201CFA">
      <w:pPr>
        <w:pStyle w:val="Heading2"/>
      </w:pPr>
      <w:bookmarkStart w:id="245" w:name="_Toc240987350"/>
      <w:r w:rsidRPr="00A81971">
        <w:t>A</w:t>
      </w:r>
      <w:r w:rsidR="009268CA" w:rsidRPr="00A81971">
        <w:t>3</w:t>
      </w:r>
      <w:r w:rsidRPr="00A81971">
        <w:t>.2</w:t>
      </w:r>
      <w:r w:rsidRPr="00A81971">
        <w:tab/>
        <w:t>HFC Phase-down Funding Methodology for the Consumption Sector</w:t>
      </w:r>
      <w:bookmarkEnd w:id="245"/>
    </w:p>
    <w:p w14:paraId="750341A5"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 xml:space="preserve">The RTF compliance model methodology calculates funding needs for addressing both 10% reduction from the baseline by 2029 (Stage I KIP) and 30% reduction by 2035 (Stage II KIP) for G1 parties, plus, a freeze by 2028 and a 10% reduction from the baseline by 2032 for G2 parties (Stage I KIP). </w:t>
      </w:r>
      <w:r w:rsidRPr="00A81971">
        <w:rPr>
          <w:rFonts w:eastAsia="Times New Roman"/>
          <w:color w:val="000000" w:themeColor="text1"/>
        </w:rPr>
        <w:lastRenderedPageBreak/>
        <w:t>The Stage</w:t>
      </w:r>
      <w:r w:rsidR="00311D9D">
        <w:rPr>
          <w:rFonts w:eastAsia="Times New Roman"/>
          <w:color w:val="000000" w:themeColor="text1"/>
        </w:rPr>
        <w:t>s</w:t>
      </w:r>
      <w:r w:rsidRPr="00A81971">
        <w:rPr>
          <w:rFonts w:eastAsia="Times New Roman"/>
          <w:color w:val="000000" w:themeColor="text1"/>
        </w:rPr>
        <w:t xml:space="preserve"> I and II total funding estimates were then allocated among the three triennia for the period between 2027 and 2035</w:t>
      </w:r>
      <w:r w:rsidRPr="00A81971">
        <w:rPr>
          <w:rFonts w:eastAsia="Times New Roman"/>
          <w:i/>
          <w:iCs/>
          <w:color w:val="000000" w:themeColor="text1"/>
        </w:rPr>
        <w:t xml:space="preserve"> </w:t>
      </w:r>
      <w:r w:rsidRPr="00A81971">
        <w:rPr>
          <w:rFonts w:eastAsia="Times New Roman"/>
          <w:color w:val="000000" w:themeColor="text1"/>
        </w:rPr>
        <w:t xml:space="preserve">covering different compliance targets for G1 and G2 and addressing the diversity of national circumstances and different groups’ control targets. </w:t>
      </w:r>
    </w:p>
    <w:p w14:paraId="18FA3BA6" w14:textId="77777777" w:rsidR="00661582" w:rsidRPr="00A81971" w:rsidRDefault="0032495C" w:rsidP="43EEFCCE">
      <w:pPr>
        <w:spacing w:after="240" w:line="257" w:lineRule="auto"/>
        <w:rPr>
          <w:rFonts w:eastAsia="Times New Roman"/>
          <w:b/>
          <w:bCs/>
          <w:color w:val="000000" w:themeColor="text1"/>
        </w:rPr>
      </w:pPr>
      <w:r w:rsidRPr="00A81971">
        <w:rPr>
          <w:rFonts w:eastAsia="Times New Roman"/>
          <w:color w:val="000000" w:themeColor="text1"/>
        </w:rPr>
        <w:t>The RTF compliance model to estimate required total funding requirements for both Stage</w:t>
      </w:r>
      <w:r w:rsidR="00311D9D">
        <w:rPr>
          <w:rFonts w:eastAsia="Times New Roman"/>
          <w:color w:val="000000" w:themeColor="text1"/>
        </w:rPr>
        <w:t>s</w:t>
      </w:r>
      <w:r w:rsidRPr="00A81971">
        <w:rPr>
          <w:rFonts w:eastAsia="Times New Roman"/>
          <w:color w:val="000000" w:themeColor="text1"/>
        </w:rPr>
        <w:t xml:space="preserve"> I and II for 3 triennia (9-year period) and also provides a funding range based on </w:t>
      </w:r>
      <w:r w:rsidRPr="00A81971">
        <w:rPr>
          <w:rFonts w:eastAsia="Times New Roman"/>
          <w:b/>
          <w:bCs/>
          <w:color w:val="000000" w:themeColor="text1"/>
        </w:rPr>
        <w:t>two scenarios</w:t>
      </w:r>
      <w:r w:rsidR="00117671" w:rsidRPr="00A81971">
        <w:rPr>
          <w:rFonts w:eastAsia="Times New Roman"/>
          <w:color w:val="000000" w:themeColor="text1"/>
        </w:rPr>
        <w:t xml:space="preserve"> and two resource allocation proposals (A and B)</w:t>
      </w:r>
      <w:r w:rsidRPr="00A81971">
        <w:rPr>
          <w:rFonts w:eastAsia="Times New Roman"/>
          <w:b/>
          <w:bCs/>
          <w:color w:val="000000" w:themeColor="text1"/>
        </w:rPr>
        <w:t>:</w:t>
      </w:r>
    </w:p>
    <w:p w14:paraId="52CF0793" w14:textId="2A8B9922" w:rsidR="00696630" w:rsidRPr="00A81971" w:rsidRDefault="0032495C" w:rsidP="007A20BD">
      <w:pPr>
        <w:pStyle w:val="ListParagraph"/>
        <w:numPr>
          <w:ilvl w:val="0"/>
          <w:numId w:val="42"/>
        </w:numPr>
        <w:spacing w:after="240" w:line="257" w:lineRule="auto"/>
        <w:rPr>
          <w:rFonts w:eastAsia="Times New Roman"/>
          <w:color w:val="000000" w:themeColor="text1"/>
        </w:rPr>
      </w:pPr>
      <w:r w:rsidRPr="00A81971">
        <w:rPr>
          <w:rFonts w:eastAsia="Times New Roman"/>
          <w:color w:val="000000" w:themeColor="text1"/>
        </w:rPr>
        <w:t>HFC Scenario 1 considers the approved HFC KIP Stage I cost guidelines (CE) thresholds for all enterprises in the manufacturing sectors. When CE values were not available for specific case-by-case sectors, the RTF used CE estimates based on guidance from TEAP /TOC/RTF sector experts.  Funding was also estimated for Stage II KIPs, using Stage I CEs, without considering any potential impact of the guidelines review expected in 2028</w:t>
      </w:r>
      <w:r w:rsidR="00F62F03">
        <w:rPr>
          <w:rFonts w:eastAsia="Times New Roman"/>
          <w:color w:val="000000" w:themeColor="text1"/>
        </w:rPr>
        <w:t>;</w:t>
      </w:r>
    </w:p>
    <w:p w14:paraId="6B627C0D" w14:textId="77777777" w:rsidR="00696630" w:rsidRPr="00A81971" w:rsidRDefault="00696630" w:rsidP="00696630">
      <w:pPr>
        <w:pStyle w:val="ListParagraph"/>
        <w:spacing w:after="240" w:line="257" w:lineRule="auto"/>
        <w:rPr>
          <w:rFonts w:eastAsia="Times New Roman"/>
          <w:color w:val="000000" w:themeColor="text1"/>
        </w:rPr>
      </w:pPr>
    </w:p>
    <w:p w14:paraId="3C3DDCE8" w14:textId="77777777" w:rsidR="00696630" w:rsidRPr="00A81971" w:rsidRDefault="0032495C" w:rsidP="007A20BD">
      <w:pPr>
        <w:pStyle w:val="ListParagraph"/>
        <w:numPr>
          <w:ilvl w:val="0"/>
          <w:numId w:val="42"/>
        </w:numPr>
        <w:spacing w:after="240" w:line="257" w:lineRule="auto"/>
        <w:rPr>
          <w:rFonts w:eastAsia="Times New Roman"/>
          <w:color w:val="000000" w:themeColor="text1"/>
        </w:rPr>
      </w:pPr>
      <w:r w:rsidRPr="00A81971">
        <w:rPr>
          <w:rFonts w:eastAsia="Times New Roman"/>
          <w:color w:val="000000" w:themeColor="text1"/>
        </w:rPr>
        <w:t>HFC Scenario 2 considers the application of the higher CE thresholds approved by Decision 95/86 for SMEs in the different sectors (32% for RAC, and 40% for PU Foam above the CE threshold). RTF did not consider funding at 2.5 times CE thresholds for umbrella projects by micro enterprises as these projects would have to cover all enterprises in the sector with no additional funding in later stages, which is difficult to determine at present. Without implementation experience with HFCs and lack of information that RTF could access in the short timeframe for this report, TOC experts were consulted to estimate the percentage of SMEs' participation in sectors.</w:t>
      </w:r>
      <w:r w:rsidR="005F54B8">
        <w:rPr>
          <w:rFonts w:eastAsia="Times New Roman"/>
          <w:color w:val="000000" w:themeColor="text1"/>
        </w:rPr>
        <w:t xml:space="preserve"> </w:t>
      </w:r>
      <w:r w:rsidRPr="00A81971">
        <w:rPr>
          <w:rFonts w:eastAsia="Times New Roman"/>
          <w:color w:val="000000" w:themeColor="text1"/>
        </w:rPr>
        <w:t xml:space="preserve">For both scenarios, a 15% deduction was applied to account for ineligible foreign ownership in the manufacturing sectors, and Stage I cost guidelines CEs were applied to Stage II funding calculations, and no potential impact of the expected guidelines review in 2028. RTF will consider further how this should be applied in the supplementary report with guidance from parties. </w:t>
      </w:r>
    </w:p>
    <w:p w14:paraId="2C50968F" w14:textId="77777777" w:rsidR="00793ABA" w:rsidRPr="00A81971" w:rsidRDefault="0032495C" w:rsidP="43EEFCCE">
      <w:pPr>
        <w:spacing w:after="240" w:line="257" w:lineRule="auto"/>
        <w:rPr>
          <w:rFonts w:eastAsia="Times New Roman"/>
          <w:color w:val="000000" w:themeColor="text1"/>
        </w:rPr>
      </w:pPr>
      <w:r w:rsidRPr="00A81971">
        <w:rPr>
          <w:rFonts w:eastAsia="Times New Roman"/>
          <w:color w:val="000000" w:themeColor="text1"/>
        </w:rPr>
        <w:t>The model takes into consideration each individual country reduction addressed under a KIP.</w:t>
      </w:r>
    </w:p>
    <w:p w14:paraId="2AACC378"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For this assessment, the RTF estimated funding approach grouped parties following their KIPs status according to the steps below:</w:t>
      </w:r>
    </w:p>
    <w:p w14:paraId="40D38C10" w14:textId="77777777" w:rsidR="00793ABA" w:rsidRPr="00A81971" w:rsidRDefault="0032495C" w:rsidP="43EEFCCE">
      <w:pPr>
        <w:spacing w:after="0"/>
        <w:rPr>
          <w:rFonts w:eastAsia="Times New Roman"/>
          <w:b/>
          <w:bCs/>
          <w:color w:val="000000" w:themeColor="text1"/>
        </w:rPr>
      </w:pPr>
      <w:r w:rsidRPr="00A81971">
        <w:rPr>
          <w:rFonts w:eastAsia="Times New Roman"/>
          <w:b/>
          <w:bCs/>
          <w:color w:val="000000" w:themeColor="text1"/>
        </w:rPr>
        <w:t xml:space="preserve"> </w:t>
      </w:r>
    </w:p>
    <w:p w14:paraId="0EB127DE" w14:textId="77777777" w:rsidR="00793ABA" w:rsidRPr="00A81971" w:rsidRDefault="0032495C" w:rsidP="6EDB0298">
      <w:pPr>
        <w:spacing w:after="0" w:line="259" w:lineRule="auto"/>
        <w:rPr>
          <w:rFonts w:eastAsia="Times New Roman"/>
          <w:b/>
          <w:bCs/>
          <w:color w:val="000000" w:themeColor="text1"/>
        </w:rPr>
      </w:pPr>
      <w:r w:rsidRPr="00A81971">
        <w:rPr>
          <w:rFonts w:eastAsia="Times New Roman"/>
          <w:b/>
          <w:bCs/>
          <w:color w:val="000000" w:themeColor="text1"/>
        </w:rPr>
        <w:t>STEP 1.  91 parties</w:t>
      </w:r>
      <w:r>
        <w:rPr>
          <w:rFonts w:eastAsia="Times New Roman"/>
          <w:b/>
          <w:bCs/>
          <w:color w:val="000000" w:themeColor="text1"/>
          <w:vertAlign w:val="superscript"/>
        </w:rPr>
        <w:footnoteReference w:id="30"/>
      </w:r>
      <w:r w:rsidRPr="00A81971">
        <w:rPr>
          <w:rFonts w:eastAsia="Times New Roman"/>
          <w:b/>
          <w:bCs/>
          <w:color w:val="000000" w:themeColor="text1"/>
          <w:vertAlign w:val="superscript"/>
        </w:rPr>
        <w:t xml:space="preserve"> </w:t>
      </w:r>
      <w:r w:rsidRPr="00A81971">
        <w:rPr>
          <w:rFonts w:eastAsia="Times New Roman"/>
          <w:b/>
          <w:bCs/>
          <w:color w:val="000000" w:themeColor="text1"/>
        </w:rPr>
        <w:t xml:space="preserve">in G1 have approved KIP-Stage I for a 10% reduction from the baseline. </w:t>
      </w:r>
    </w:p>
    <w:p w14:paraId="3D533243" w14:textId="77777777" w:rsidR="00793ABA" w:rsidRPr="00A81971" w:rsidRDefault="00793ABA" w:rsidP="43EEFCCE">
      <w:pPr>
        <w:spacing w:after="0"/>
        <w:rPr>
          <w:rFonts w:eastAsia="Times New Roman"/>
          <w:b/>
          <w:bCs/>
          <w:color w:val="000000" w:themeColor="text1"/>
        </w:rPr>
      </w:pPr>
    </w:p>
    <w:p w14:paraId="3BBBFA2C"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Those parties have different agreed % reductions from the baseline, with some even higher than 30% reduction required by 2035. The model was designed to consider:</w:t>
      </w:r>
    </w:p>
    <w:p w14:paraId="35794EEA" w14:textId="77777777" w:rsidR="00793ABA" w:rsidRPr="00A81971" w:rsidRDefault="0032495C" w:rsidP="007A20BD">
      <w:pPr>
        <w:pStyle w:val="ListParagraph"/>
        <w:numPr>
          <w:ilvl w:val="0"/>
          <w:numId w:val="29"/>
        </w:numPr>
        <w:spacing w:after="240" w:line="259" w:lineRule="auto"/>
        <w:rPr>
          <w:rFonts w:eastAsia="Times New Roman"/>
          <w:color w:val="000000" w:themeColor="text1"/>
        </w:rPr>
      </w:pPr>
      <w:r w:rsidRPr="00A81971">
        <w:rPr>
          <w:rFonts w:eastAsia="Times New Roman"/>
          <w:color w:val="000000" w:themeColor="text1"/>
        </w:rPr>
        <w:t xml:space="preserve">The committed funding for all 91 approved Stage I KIPs amounts to </w:t>
      </w:r>
      <w:r w:rsidRPr="00A81971">
        <w:rPr>
          <w:rFonts w:eastAsia="Times New Roman"/>
          <w:b/>
          <w:bCs/>
          <w:color w:val="000000" w:themeColor="text1"/>
        </w:rPr>
        <w:t>US$ 65.3 million in 2027-2029 triennium and US$ 15.3 million in 2030-2032 and US$ 0.37 million in 2033-2035 triennia</w:t>
      </w:r>
      <w:r w:rsidRPr="00A81971">
        <w:rPr>
          <w:rFonts w:eastAsia="Times New Roman"/>
          <w:color w:val="000000" w:themeColor="text1"/>
        </w:rPr>
        <w:t xml:space="preserve">, as per information received from the MLFS. This methodology step is shown in the Figure A3.1 flow chart below, and the committed funding is presented under </w:t>
      </w:r>
      <w:r w:rsidRPr="00A81971">
        <w:rPr>
          <w:rFonts w:eastAsia="Times New Roman"/>
          <w:b/>
          <w:bCs/>
          <w:color w:val="000000" w:themeColor="text1"/>
        </w:rPr>
        <w:t>Output 1</w:t>
      </w:r>
      <w:r w:rsidRPr="00A81971">
        <w:rPr>
          <w:rFonts w:eastAsia="Times New Roman"/>
          <w:color w:val="000000" w:themeColor="text1"/>
        </w:rPr>
        <w:t>.</w:t>
      </w:r>
    </w:p>
    <w:p w14:paraId="09D53430"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 xml:space="preserve"> </w:t>
      </w:r>
    </w:p>
    <w:p w14:paraId="533FCC5C" w14:textId="77777777" w:rsidR="00077BDF" w:rsidRPr="00A81971" w:rsidRDefault="0032495C">
      <w:pPr>
        <w:spacing w:after="0"/>
        <w:rPr>
          <w:rFonts w:eastAsia="Times New Roman"/>
          <w:b/>
          <w:bCs/>
          <w:color w:val="000000" w:themeColor="text1"/>
        </w:rPr>
      </w:pPr>
      <w:r w:rsidRPr="00A81971">
        <w:rPr>
          <w:rFonts w:eastAsia="Times New Roman"/>
          <w:b/>
          <w:bCs/>
          <w:color w:val="000000" w:themeColor="text1"/>
        </w:rPr>
        <w:br w:type="page"/>
      </w:r>
    </w:p>
    <w:p w14:paraId="518FC4BB" w14:textId="77777777" w:rsidR="00793ABA" w:rsidRPr="00A81971" w:rsidRDefault="0032495C" w:rsidP="00E86FA0">
      <w:pPr>
        <w:tabs>
          <w:tab w:val="left" w:pos="0"/>
          <w:tab w:val="left" w:pos="1418"/>
        </w:tabs>
        <w:spacing w:after="240" w:line="259" w:lineRule="auto"/>
        <w:ind w:left="1418" w:hanging="1418"/>
        <w:jc w:val="center"/>
        <w:rPr>
          <w:rFonts w:eastAsia="Times New Roman"/>
          <w:b/>
          <w:bCs/>
          <w:color w:val="000000" w:themeColor="text1"/>
        </w:rPr>
      </w:pPr>
      <w:r w:rsidRPr="00A81971">
        <w:rPr>
          <w:rFonts w:eastAsia="Times New Roman"/>
          <w:b/>
          <w:bCs/>
          <w:color w:val="000000" w:themeColor="text1"/>
        </w:rPr>
        <w:lastRenderedPageBreak/>
        <w:t>Figure A</w:t>
      </w:r>
      <w:r w:rsidR="00715717" w:rsidRPr="00A81971">
        <w:rPr>
          <w:rFonts w:eastAsia="Times New Roman"/>
          <w:b/>
          <w:bCs/>
          <w:color w:val="000000" w:themeColor="text1"/>
        </w:rPr>
        <w:t>3</w:t>
      </w:r>
      <w:r w:rsidRPr="00A81971">
        <w:rPr>
          <w:rFonts w:eastAsia="Times New Roman"/>
          <w:b/>
          <w:bCs/>
          <w:color w:val="000000" w:themeColor="text1"/>
        </w:rPr>
        <w:t xml:space="preserve">.1     Flowchart for Outputs 1: estimating committed funding for </w:t>
      </w:r>
      <w:r w:rsidR="6EDB0298" w:rsidRPr="00A81971">
        <w:rPr>
          <w:rFonts w:eastAsia="Times New Roman"/>
          <w:b/>
          <w:bCs/>
          <w:color w:val="000000" w:themeColor="text1"/>
        </w:rPr>
        <w:t>91</w:t>
      </w:r>
      <w:r w:rsidRPr="00A81971">
        <w:rPr>
          <w:rFonts w:eastAsia="Times New Roman"/>
          <w:b/>
          <w:bCs/>
          <w:color w:val="000000" w:themeColor="text1"/>
        </w:rPr>
        <w:t xml:space="preserve"> G1 parties for 10% reduction from baseline</w:t>
      </w:r>
    </w:p>
    <w:p w14:paraId="137B1593" w14:textId="77777777" w:rsidR="00793ABA" w:rsidRPr="00A81971" w:rsidRDefault="0032495C" w:rsidP="00E86FA0">
      <w:pPr>
        <w:spacing w:after="0"/>
        <w:jc w:val="center"/>
      </w:pPr>
      <w:r w:rsidRPr="00A81971">
        <w:rPr>
          <w:noProof/>
        </w:rPr>
        <w:drawing>
          <wp:inline distT="0" distB="0" distL="0" distR="0" wp14:anchorId="4F8ED44D" wp14:editId="357378EF">
            <wp:extent cx="5762625" cy="2657475"/>
            <wp:effectExtent l="0" t="0" r="0" b="0"/>
            <wp:docPr id="1125967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67575" name="Picture 1125967575"/>
                    <pic:cNvPicPr/>
                  </pic:nvPicPr>
                  <pic:blipFill>
                    <a:blip r:embed="rId40">
                      <a:extLst>
                        <a:ext uri="{28A0092B-C50C-407E-A947-70E740481C1C}">
                          <a14:useLocalDpi xmlns:a14="http://schemas.microsoft.com/office/drawing/2010/main" val="0"/>
                        </a:ext>
                      </a:extLst>
                    </a:blip>
                    <a:stretch>
                      <a:fillRect/>
                    </a:stretch>
                  </pic:blipFill>
                  <pic:spPr>
                    <a:xfrm>
                      <a:off x="0" y="0"/>
                      <a:ext cx="5762625" cy="2657475"/>
                    </a:xfrm>
                    <a:prstGeom prst="rect">
                      <a:avLst/>
                    </a:prstGeom>
                  </pic:spPr>
                </pic:pic>
              </a:graphicData>
            </a:graphic>
          </wp:inline>
        </w:drawing>
      </w:r>
    </w:p>
    <w:p w14:paraId="73F7617F"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 xml:space="preserve"> </w:t>
      </w:r>
    </w:p>
    <w:p w14:paraId="74642EB5" w14:textId="77777777" w:rsidR="00793ABA" w:rsidRPr="00A81971" w:rsidRDefault="0032495C" w:rsidP="28A930F7">
      <w:pPr>
        <w:spacing w:after="0" w:line="257" w:lineRule="auto"/>
        <w:ind w:left="720"/>
        <w:rPr>
          <w:rFonts w:eastAsia="Times New Roman"/>
          <w:color w:val="000000" w:themeColor="text1"/>
        </w:rPr>
      </w:pPr>
      <w:r w:rsidRPr="00A81971">
        <w:rPr>
          <w:rFonts w:eastAsia="Times New Roman"/>
          <w:color w:val="000000" w:themeColor="text1"/>
        </w:rPr>
        <w:t xml:space="preserve">b. New funding for KIP-Stage II for </w:t>
      </w:r>
      <w:r w:rsidRPr="005F6D97">
        <w:rPr>
          <w:rFonts w:eastAsia="Times New Roman"/>
          <w:color w:val="000000" w:themeColor="text1"/>
        </w:rPr>
        <w:t>76 parties</w:t>
      </w:r>
      <w:r w:rsidRPr="00A81971">
        <w:rPr>
          <w:rFonts w:eastAsia="Times New Roman"/>
          <w:color w:val="000000" w:themeColor="text1"/>
        </w:rPr>
        <w:t xml:space="preserve"> that have reductions from the baseline below 30% are shown as Output 2 for </w:t>
      </w:r>
      <w:r w:rsidRPr="005F6D97">
        <w:rPr>
          <w:rFonts w:eastAsia="Times New Roman"/>
          <w:color w:val="000000" w:themeColor="text1"/>
        </w:rPr>
        <w:t>31 non-LVC parties and Output 3 for 45 LVC parties</w:t>
      </w:r>
      <w:r w:rsidRPr="00A81971">
        <w:rPr>
          <w:rFonts w:eastAsia="Times New Roman"/>
          <w:color w:val="000000" w:themeColor="text1"/>
        </w:rPr>
        <w:t xml:space="preserve"> in the Figure A3.2 flowchart below. 15 parties that have reductions from the baseline equal to or above 30% are not considered for new funding in this 2026 RTF assessment. </w:t>
      </w:r>
    </w:p>
    <w:p w14:paraId="4260D369" w14:textId="77777777" w:rsidR="00793ABA" w:rsidRPr="00A81971" w:rsidRDefault="0032495C" w:rsidP="43EEFCCE">
      <w:pPr>
        <w:spacing w:after="0" w:line="257" w:lineRule="auto"/>
        <w:rPr>
          <w:rFonts w:eastAsia="Times New Roman"/>
          <w:color w:val="000000" w:themeColor="text1"/>
        </w:rPr>
      </w:pPr>
      <w:r w:rsidRPr="00A81971">
        <w:rPr>
          <w:rFonts w:eastAsia="Times New Roman"/>
          <w:color w:val="000000" w:themeColor="text1"/>
        </w:rPr>
        <w:t xml:space="preserve"> </w:t>
      </w:r>
    </w:p>
    <w:p w14:paraId="179B2E27" w14:textId="77777777" w:rsidR="00793ABA" w:rsidRPr="00A81971" w:rsidRDefault="0032495C" w:rsidP="43EEFCCE">
      <w:pPr>
        <w:tabs>
          <w:tab w:val="left" w:pos="720"/>
        </w:tabs>
        <w:spacing w:after="0"/>
        <w:rPr>
          <w:rFonts w:eastAsia="Times New Roman"/>
          <w:b/>
          <w:bCs/>
          <w:color w:val="000000" w:themeColor="text1"/>
        </w:rPr>
      </w:pPr>
      <w:r w:rsidRPr="00A81971">
        <w:rPr>
          <w:rFonts w:eastAsia="Times New Roman"/>
          <w:b/>
          <w:bCs/>
          <w:color w:val="000000" w:themeColor="text1"/>
        </w:rPr>
        <w:t xml:space="preserve"> </w:t>
      </w:r>
    </w:p>
    <w:p w14:paraId="37463AD3" w14:textId="3043E690" w:rsidR="00793ABA" w:rsidRPr="00A81971" w:rsidRDefault="0032495C" w:rsidP="00E86FA0">
      <w:pPr>
        <w:tabs>
          <w:tab w:val="left" w:pos="0"/>
          <w:tab w:val="left" w:pos="1418"/>
        </w:tabs>
        <w:spacing w:after="240"/>
        <w:ind w:left="1418" w:hanging="1418"/>
        <w:jc w:val="center"/>
        <w:rPr>
          <w:rFonts w:eastAsia="Times New Roman"/>
          <w:b/>
          <w:bCs/>
          <w:color w:val="000000" w:themeColor="text1"/>
        </w:rPr>
      </w:pPr>
      <w:r w:rsidRPr="00A81971">
        <w:rPr>
          <w:rFonts w:eastAsia="Times New Roman"/>
          <w:b/>
          <w:bCs/>
          <w:color w:val="000000" w:themeColor="text1"/>
        </w:rPr>
        <w:t>Figure A</w:t>
      </w:r>
      <w:r w:rsidR="003634F9" w:rsidRPr="00A81971">
        <w:rPr>
          <w:rFonts w:eastAsia="Times New Roman"/>
          <w:b/>
          <w:bCs/>
          <w:color w:val="000000" w:themeColor="text1"/>
        </w:rPr>
        <w:t>3</w:t>
      </w:r>
      <w:r w:rsidRPr="00A81971">
        <w:rPr>
          <w:rFonts w:eastAsia="Times New Roman"/>
          <w:b/>
          <w:bCs/>
          <w:color w:val="000000" w:themeColor="text1"/>
        </w:rPr>
        <w:t xml:space="preserve">.2     Flowchart for Outputs 2 and 3: estimating new funding for </w:t>
      </w:r>
      <w:r w:rsidR="006C4318">
        <w:rPr>
          <w:rFonts w:eastAsia="Times New Roman"/>
          <w:b/>
          <w:bCs/>
          <w:color w:val="000000" w:themeColor="text1"/>
        </w:rPr>
        <w:t>31</w:t>
      </w:r>
      <w:r w:rsidR="006C4318" w:rsidRPr="00A81971">
        <w:rPr>
          <w:rFonts w:eastAsia="Times New Roman"/>
          <w:b/>
          <w:bCs/>
          <w:color w:val="000000" w:themeColor="text1"/>
        </w:rPr>
        <w:t xml:space="preserve"> </w:t>
      </w:r>
      <w:r w:rsidRPr="00A81971">
        <w:rPr>
          <w:rFonts w:eastAsia="Times New Roman"/>
          <w:b/>
          <w:bCs/>
          <w:color w:val="000000" w:themeColor="text1"/>
        </w:rPr>
        <w:t xml:space="preserve">non-LVC parties and </w:t>
      </w:r>
      <w:r w:rsidR="006C4318" w:rsidRPr="00A81971">
        <w:rPr>
          <w:rFonts w:eastAsia="Times New Roman"/>
          <w:b/>
          <w:bCs/>
          <w:color w:val="000000" w:themeColor="text1"/>
        </w:rPr>
        <w:t>4</w:t>
      </w:r>
      <w:r w:rsidR="006C4318">
        <w:rPr>
          <w:rFonts w:eastAsia="Times New Roman"/>
          <w:b/>
          <w:bCs/>
          <w:color w:val="000000" w:themeColor="text1"/>
        </w:rPr>
        <w:t>5</w:t>
      </w:r>
      <w:r w:rsidR="006C4318" w:rsidRPr="00A81971">
        <w:rPr>
          <w:rFonts w:eastAsia="Times New Roman"/>
          <w:b/>
          <w:bCs/>
          <w:color w:val="000000" w:themeColor="text1"/>
        </w:rPr>
        <w:t xml:space="preserve"> </w:t>
      </w:r>
      <w:r w:rsidRPr="00A81971">
        <w:rPr>
          <w:rFonts w:eastAsia="Times New Roman"/>
          <w:b/>
          <w:bCs/>
          <w:color w:val="000000" w:themeColor="text1"/>
        </w:rPr>
        <w:t>LVC parties to reach 30% reductions of the baseline by 2035</w:t>
      </w:r>
    </w:p>
    <w:p w14:paraId="1C4B9462" w14:textId="77777777" w:rsidR="00793ABA" w:rsidRPr="00A81971" w:rsidRDefault="0032495C" w:rsidP="00E86FA0">
      <w:pPr>
        <w:spacing w:after="0" w:line="257" w:lineRule="auto"/>
        <w:jc w:val="center"/>
      </w:pPr>
      <w:r w:rsidRPr="00A81971">
        <w:rPr>
          <w:noProof/>
        </w:rPr>
        <w:drawing>
          <wp:inline distT="0" distB="0" distL="0" distR="0" wp14:anchorId="29F33AA6" wp14:editId="731DB344">
            <wp:extent cx="5762625" cy="2724150"/>
            <wp:effectExtent l="0" t="0" r="0" b="0"/>
            <wp:docPr id="1462318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18016" name="Picture 1462318016"/>
                    <pic:cNvPicPr/>
                  </pic:nvPicPr>
                  <pic:blipFill>
                    <a:blip r:embed="rId41">
                      <a:extLst>
                        <a:ext uri="{28A0092B-C50C-407E-A947-70E740481C1C}">
                          <a14:useLocalDpi xmlns:a14="http://schemas.microsoft.com/office/drawing/2010/main" val="0"/>
                        </a:ext>
                      </a:extLst>
                    </a:blip>
                    <a:stretch>
                      <a:fillRect/>
                    </a:stretch>
                  </pic:blipFill>
                  <pic:spPr>
                    <a:xfrm>
                      <a:off x="0" y="0"/>
                      <a:ext cx="5762625" cy="2724150"/>
                    </a:xfrm>
                    <a:prstGeom prst="rect">
                      <a:avLst/>
                    </a:prstGeom>
                  </pic:spPr>
                </pic:pic>
              </a:graphicData>
            </a:graphic>
          </wp:inline>
        </w:drawing>
      </w:r>
    </w:p>
    <w:p w14:paraId="1A884460" w14:textId="77777777" w:rsidR="00793ABA" w:rsidRPr="00A81971" w:rsidRDefault="00793ABA" w:rsidP="43EEFCCE">
      <w:pPr>
        <w:spacing w:after="0"/>
        <w:rPr>
          <w:rFonts w:eastAsia="Times New Roman"/>
          <w:color w:val="000000" w:themeColor="text1"/>
        </w:rPr>
      </w:pPr>
    </w:p>
    <w:p w14:paraId="78B3E95E"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 xml:space="preserve">As explained, for this assessment the </w:t>
      </w:r>
      <w:r w:rsidRPr="00A81971">
        <w:rPr>
          <w:rFonts w:eastAsia="Times New Roman"/>
          <w:b/>
          <w:bCs/>
          <w:color w:val="000000" w:themeColor="text1"/>
        </w:rPr>
        <w:t>RTF calculated funding needs for parties to reach Stage I and Stage II targets for G1, and Stage I target for G2.</w:t>
      </w:r>
      <w:r w:rsidRPr="00A81971">
        <w:rPr>
          <w:rFonts w:eastAsia="Times New Roman"/>
          <w:color w:val="000000" w:themeColor="text1"/>
        </w:rPr>
        <w:t xml:space="preserve"> For each of the modelling steps explained, RTF </w:t>
      </w:r>
      <w:r w:rsidR="524ECB54" w:rsidRPr="00A81971">
        <w:rPr>
          <w:rFonts w:eastAsia="Times New Roman"/>
          <w:color w:val="000000" w:themeColor="text1"/>
        </w:rPr>
        <w:t>presented funding</w:t>
      </w:r>
      <w:r w:rsidRPr="00A81971">
        <w:rPr>
          <w:rFonts w:eastAsia="Times New Roman"/>
          <w:color w:val="000000" w:themeColor="text1"/>
        </w:rPr>
        <w:t xml:space="preserve"> estimates in two Scenarios 1 and 2, and for each scenario (including G1 and G2), the total estimated funding for KIP Stage</w:t>
      </w:r>
      <w:r w:rsidR="00311D9D">
        <w:rPr>
          <w:rFonts w:eastAsia="Times New Roman"/>
          <w:color w:val="000000" w:themeColor="text1"/>
        </w:rPr>
        <w:t>s</w:t>
      </w:r>
      <w:r w:rsidRPr="00A81971">
        <w:rPr>
          <w:rFonts w:eastAsia="Times New Roman"/>
          <w:color w:val="000000" w:themeColor="text1"/>
        </w:rPr>
        <w:t xml:space="preserve"> I and II (G1) and Stage I (G2), was then divided according to two resource allocation proposals A and B, in different triennia, suggested by RTF. That means, the model database was set for each individual party and shows each agreed reduction from the baseline in the previous approved KIP </w:t>
      </w:r>
      <w:r w:rsidR="00311D9D">
        <w:rPr>
          <w:rFonts w:eastAsia="Times New Roman"/>
          <w:color w:val="000000" w:themeColor="text1"/>
        </w:rPr>
        <w:t>s</w:t>
      </w:r>
      <w:r w:rsidRPr="00A81971">
        <w:rPr>
          <w:rFonts w:eastAsia="Times New Roman"/>
          <w:color w:val="000000" w:themeColor="text1"/>
        </w:rPr>
        <w:t xml:space="preserve">tage. Any additional funding is then calculated based only on </w:t>
      </w:r>
      <w:r w:rsidRPr="00A81971">
        <w:rPr>
          <w:rFonts w:eastAsia="Times New Roman"/>
          <w:color w:val="000000" w:themeColor="text1"/>
        </w:rPr>
        <w:lastRenderedPageBreak/>
        <w:t>the consumption not yet addressed for that party and required attention so the party can achieve a certain control target.</w:t>
      </w:r>
    </w:p>
    <w:p w14:paraId="290CBAD4"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 xml:space="preserve"> </w:t>
      </w:r>
    </w:p>
    <w:p w14:paraId="68681E45" w14:textId="31C2EB65" w:rsidR="00793ABA" w:rsidRPr="00A81971" w:rsidRDefault="0032495C" w:rsidP="43EEFCCE">
      <w:pPr>
        <w:spacing w:after="0" w:line="257" w:lineRule="auto"/>
        <w:rPr>
          <w:rFonts w:eastAsia="Times New Roman"/>
          <w:b/>
          <w:bCs/>
          <w:color w:val="000000" w:themeColor="text1"/>
        </w:rPr>
      </w:pPr>
      <w:r w:rsidRPr="00A81971">
        <w:rPr>
          <w:rFonts w:eastAsia="Times New Roman"/>
          <w:b/>
          <w:bCs/>
          <w:color w:val="000000" w:themeColor="text1"/>
        </w:rPr>
        <w:t xml:space="preserve">STEP 2. </w:t>
      </w:r>
      <w:r w:rsidR="6EDB0298" w:rsidRPr="00A81971">
        <w:rPr>
          <w:rFonts w:eastAsia="Times New Roman"/>
          <w:b/>
          <w:bCs/>
          <w:color w:val="000000" w:themeColor="text1"/>
        </w:rPr>
        <w:t>3</w:t>
      </w:r>
      <w:r w:rsidR="006C4318">
        <w:rPr>
          <w:rFonts w:eastAsia="Times New Roman"/>
          <w:b/>
          <w:bCs/>
          <w:color w:val="000000" w:themeColor="text1"/>
        </w:rPr>
        <w:t>5</w:t>
      </w:r>
      <w:r w:rsidR="006C4318" w:rsidRPr="00A81971">
        <w:rPr>
          <w:rFonts w:eastAsia="Times New Roman"/>
          <w:b/>
          <w:bCs/>
          <w:color w:val="000000" w:themeColor="text1"/>
        </w:rPr>
        <w:t xml:space="preserve"> </w:t>
      </w:r>
      <w:r w:rsidRPr="00A81971">
        <w:rPr>
          <w:rFonts w:eastAsia="Times New Roman"/>
          <w:b/>
          <w:bCs/>
          <w:color w:val="000000" w:themeColor="text1"/>
        </w:rPr>
        <w:t xml:space="preserve">parties in G1 and G2 without approved KIP-Stage I (as of </w:t>
      </w:r>
      <w:r w:rsidR="00BD5BEC" w:rsidRPr="00A81971">
        <w:rPr>
          <w:rFonts w:eastAsia="Times New Roman"/>
          <w:b/>
          <w:bCs/>
          <w:color w:val="000000" w:themeColor="text1"/>
          <w:vertAlign w:val="superscript"/>
        </w:rPr>
        <w:t xml:space="preserve"> </w:t>
      </w:r>
      <w:r w:rsidRPr="00A81971">
        <w:rPr>
          <w:rFonts w:eastAsia="Times New Roman"/>
          <w:b/>
          <w:bCs/>
          <w:color w:val="000000" w:themeColor="text1"/>
        </w:rPr>
        <w:t xml:space="preserve"> ExCom</w:t>
      </w:r>
      <w:r w:rsidR="00BD5BEC" w:rsidRPr="00A81971">
        <w:rPr>
          <w:rFonts w:eastAsia="Times New Roman"/>
          <w:b/>
          <w:bCs/>
          <w:color w:val="000000" w:themeColor="text1"/>
        </w:rPr>
        <w:t>-98</w:t>
      </w:r>
      <w:r w:rsidRPr="00A81971">
        <w:rPr>
          <w:rFonts w:eastAsia="Times New Roman"/>
          <w:b/>
          <w:bCs/>
          <w:color w:val="000000" w:themeColor="text1"/>
        </w:rPr>
        <w:t>), and that ratified KA</w:t>
      </w:r>
      <w:r w:rsidR="00BD5BEC" w:rsidRPr="00A81971">
        <w:rPr>
          <w:rFonts w:eastAsia="Times New Roman"/>
          <w:b/>
          <w:bCs/>
          <w:color w:val="000000" w:themeColor="text1"/>
        </w:rPr>
        <w:t xml:space="preserve">  (as of 10 August 2026)</w:t>
      </w:r>
    </w:p>
    <w:p w14:paraId="7D5E334D" w14:textId="77777777" w:rsidR="00793ABA" w:rsidRPr="00A81971" w:rsidRDefault="0032495C" w:rsidP="43EEFCCE">
      <w:pPr>
        <w:spacing w:after="0" w:line="257" w:lineRule="auto"/>
        <w:rPr>
          <w:rFonts w:eastAsia="Times New Roman"/>
          <w:color w:val="000000" w:themeColor="text1"/>
        </w:rPr>
      </w:pPr>
      <w:r w:rsidRPr="00A81971">
        <w:rPr>
          <w:rFonts w:eastAsia="Times New Roman"/>
          <w:color w:val="000000" w:themeColor="text1"/>
        </w:rPr>
        <w:t xml:space="preserve"> </w:t>
      </w:r>
    </w:p>
    <w:p w14:paraId="21E302F1" w14:textId="77777777" w:rsidR="00793ABA" w:rsidRPr="00A81971" w:rsidRDefault="0032495C" w:rsidP="007A20BD">
      <w:pPr>
        <w:pStyle w:val="ListParagraph"/>
        <w:numPr>
          <w:ilvl w:val="0"/>
          <w:numId w:val="28"/>
        </w:numPr>
        <w:spacing w:after="0" w:line="257" w:lineRule="auto"/>
        <w:rPr>
          <w:rFonts w:eastAsia="Times New Roman"/>
          <w:color w:val="000000" w:themeColor="text1"/>
        </w:rPr>
      </w:pPr>
      <w:r w:rsidRPr="00A81971">
        <w:rPr>
          <w:rFonts w:eastAsia="Times New Roman"/>
          <w:color w:val="000000" w:themeColor="text1"/>
        </w:rPr>
        <w:t xml:space="preserve">G1: New Funding for </w:t>
      </w:r>
      <w:r w:rsidR="6EDB0298" w:rsidRPr="005F6D97">
        <w:rPr>
          <w:rFonts w:eastAsia="Times New Roman"/>
          <w:color w:val="000000" w:themeColor="text1"/>
        </w:rPr>
        <w:t>29</w:t>
      </w:r>
      <w:r w:rsidRPr="005F6D97">
        <w:rPr>
          <w:rFonts w:eastAsia="Times New Roman"/>
          <w:color w:val="000000" w:themeColor="text1"/>
        </w:rPr>
        <w:t xml:space="preserve"> A5 parties</w:t>
      </w:r>
      <w:r w:rsidRPr="00A81971">
        <w:rPr>
          <w:rFonts w:eastAsia="Times New Roman"/>
          <w:color w:val="000000" w:themeColor="text1"/>
        </w:rPr>
        <w:t xml:space="preserve"> to prepare and/or submit KIP-Stage I and Stage II (10% by 2029; 30% by 2035) (Output 4 for </w:t>
      </w:r>
      <w:r w:rsidR="00645BB3" w:rsidRPr="00A81971">
        <w:rPr>
          <w:rFonts w:eastAsia="Times New Roman"/>
          <w:color w:val="000000" w:themeColor="text1"/>
        </w:rPr>
        <w:t>10</w:t>
      </w:r>
      <w:r w:rsidRPr="00A81971">
        <w:rPr>
          <w:rFonts w:eastAsia="Times New Roman"/>
          <w:color w:val="000000" w:themeColor="text1"/>
        </w:rPr>
        <w:t xml:space="preserve"> non-LVC parties (including China) and Output 5 for </w:t>
      </w:r>
      <w:r w:rsidR="00645BB3" w:rsidRPr="00A81971">
        <w:rPr>
          <w:rFonts w:eastAsia="Times New Roman"/>
          <w:color w:val="000000" w:themeColor="text1"/>
        </w:rPr>
        <w:t>19</w:t>
      </w:r>
      <w:r w:rsidRPr="00A81971">
        <w:rPr>
          <w:rFonts w:eastAsia="Times New Roman"/>
          <w:color w:val="000000" w:themeColor="text1"/>
        </w:rPr>
        <w:t xml:space="preserve"> LVC parties) as shown in Figure A</w:t>
      </w:r>
      <w:r w:rsidR="00645BB3" w:rsidRPr="00A81971">
        <w:rPr>
          <w:rFonts w:eastAsia="Times New Roman"/>
          <w:color w:val="000000" w:themeColor="text1"/>
        </w:rPr>
        <w:t>3</w:t>
      </w:r>
      <w:r w:rsidRPr="00A81971">
        <w:rPr>
          <w:rFonts w:eastAsia="Times New Roman"/>
          <w:color w:val="000000" w:themeColor="text1"/>
        </w:rPr>
        <w:t>.3 flowchart.</w:t>
      </w:r>
    </w:p>
    <w:p w14:paraId="1CF495AB" w14:textId="77777777" w:rsidR="00645BB3" w:rsidRPr="00A81971" w:rsidRDefault="0032495C" w:rsidP="00077BDF">
      <w:pPr>
        <w:tabs>
          <w:tab w:val="left" w:pos="720"/>
        </w:tabs>
        <w:spacing w:after="0"/>
        <w:rPr>
          <w:rFonts w:eastAsia="Times New Roman"/>
          <w:b/>
          <w:bCs/>
          <w:color w:val="000000" w:themeColor="text1"/>
        </w:rPr>
      </w:pPr>
      <w:r w:rsidRPr="00A81971">
        <w:rPr>
          <w:rFonts w:eastAsia="Times New Roman"/>
          <w:color w:val="000000" w:themeColor="text1"/>
        </w:rPr>
        <w:t xml:space="preserve"> </w:t>
      </w:r>
    </w:p>
    <w:p w14:paraId="6E1E8AD9" w14:textId="77777777" w:rsidR="00793ABA" w:rsidRPr="00A81971" w:rsidRDefault="0032495C" w:rsidP="009F7365">
      <w:pPr>
        <w:tabs>
          <w:tab w:val="left" w:pos="0"/>
          <w:tab w:val="left" w:pos="1418"/>
        </w:tabs>
        <w:spacing w:after="240"/>
        <w:ind w:left="1418" w:hanging="1418"/>
        <w:jc w:val="center"/>
        <w:rPr>
          <w:rFonts w:eastAsia="Times New Roman"/>
          <w:b/>
          <w:bCs/>
          <w:color w:val="000000" w:themeColor="text1"/>
        </w:rPr>
      </w:pPr>
      <w:r w:rsidRPr="00A81971">
        <w:rPr>
          <w:rFonts w:eastAsia="Times New Roman"/>
          <w:b/>
          <w:bCs/>
          <w:color w:val="000000" w:themeColor="text1"/>
        </w:rPr>
        <w:t>Figure A</w:t>
      </w:r>
      <w:r w:rsidR="00645BB3" w:rsidRPr="00A81971">
        <w:rPr>
          <w:rFonts w:eastAsia="Times New Roman"/>
          <w:b/>
          <w:bCs/>
          <w:color w:val="000000" w:themeColor="text1"/>
        </w:rPr>
        <w:t>3</w:t>
      </w:r>
      <w:r w:rsidRPr="00A81971">
        <w:rPr>
          <w:rFonts w:eastAsia="Times New Roman"/>
          <w:b/>
          <w:bCs/>
          <w:color w:val="000000" w:themeColor="text1"/>
        </w:rPr>
        <w:t>.3     Flowchart for Outputs 4 and 5: estimating new funding for G1 parties (</w:t>
      </w:r>
      <w:r w:rsidR="00645BB3" w:rsidRPr="00A81971">
        <w:rPr>
          <w:rFonts w:eastAsia="Times New Roman"/>
          <w:b/>
          <w:bCs/>
          <w:color w:val="000000" w:themeColor="text1"/>
        </w:rPr>
        <w:t>10</w:t>
      </w:r>
      <w:r w:rsidRPr="00A81971">
        <w:rPr>
          <w:rFonts w:eastAsia="Times New Roman"/>
          <w:b/>
          <w:bCs/>
          <w:color w:val="000000" w:themeColor="text1"/>
        </w:rPr>
        <w:t xml:space="preserve"> non-LVC and </w:t>
      </w:r>
      <w:r w:rsidR="00645BB3" w:rsidRPr="00A81971">
        <w:rPr>
          <w:rFonts w:eastAsia="Times New Roman"/>
          <w:b/>
          <w:bCs/>
          <w:color w:val="000000" w:themeColor="text1"/>
        </w:rPr>
        <w:t>19</w:t>
      </w:r>
      <w:r w:rsidRPr="00A81971">
        <w:rPr>
          <w:rFonts w:eastAsia="Times New Roman"/>
          <w:b/>
          <w:bCs/>
          <w:color w:val="000000" w:themeColor="text1"/>
        </w:rPr>
        <w:t xml:space="preserve"> LVC) to submit KIP-Stage I</w:t>
      </w:r>
    </w:p>
    <w:p w14:paraId="24C19CD9" w14:textId="77777777" w:rsidR="00793ABA" w:rsidRPr="00A81971" w:rsidRDefault="0032495C" w:rsidP="009F7365">
      <w:pPr>
        <w:spacing w:after="0"/>
        <w:jc w:val="center"/>
      </w:pPr>
      <w:r w:rsidRPr="00A81971">
        <w:rPr>
          <w:noProof/>
        </w:rPr>
        <w:drawing>
          <wp:inline distT="0" distB="0" distL="0" distR="0" wp14:anchorId="5573240C" wp14:editId="3D3AD360">
            <wp:extent cx="5762625" cy="2943225"/>
            <wp:effectExtent l="0" t="0" r="0" b="0"/>
            <wp:docPr id="1954251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51020" name="Picture 1954251020"/>
                    <pic:cNvPicPr/>
                  </pic:nvPicPr>
                  <pic:blipFill>
                    <a:blip r:embed="rId42">
                      <a:extLst>
                        <a:ext uri="{28A0092B-C50C-407E-A947-70E740481C1C}">
                          <a14:useLocalDpi xmlns:a14="http://schemas.microsoft.com/office/drawing/2010/main" val="0"/>
                        </a:ext>
                      </a:extLst>
                    </a:blip>
                    <a:stretch>
                      <a:fillRect/>
                    </a:stretch>
                  </pic:blipFill>
                  <pic:spPr>
                    <a:xfrm>
                      <a:off x="0" y="0"/>
                      <a:ext cx="5762625" cy="2943225"/>
                    </a:xfrm>
                    <a:prstGeom prst="rect">
                      <a:avLst/>
                    </a:prstGeom>
                  </pic:spPr>
                </pic:pic>
              </a:graphicData>
            </a:graphic>
          </wp:inline>
        </w:drawing>
      </w:r>
    </w:p>
    <w:p w14:paraId="32AAE79B"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 xml:space="preserve"> </w:t>
      </w:r>
    </w:p>
    <w:p w14:paraId="6183F6AE" w14:textId="77777777" w:rsidR="00793ABA" w:rsidRPr="00A81971" w:rsidRDefault="0032495C" w:rsidP="007A20BD">
      <w:pPr>
        <w:pStyle w:val="ListParagraph"/>
        <w:numPr>
          <w:ilvl w:val="0"/>
          <w:numId w:val="27"/>
        </w:numPr>
        <w:spacing w:after="0"/>
        <w:rPr>
          <w:rFonts w:eastAsia="Times New Roman"/>
          <w:color w:val="000000" w:themeColor="text1"/>
        </w:rPr>
      </w:pPr>
      <w:r w:rsidRPr="00A81971">
        <w:rPr>
          <w:rFonts w:eastAsia="Times New Roman"/>
          <w:color w:val="000000" w:themeColor="text1"/>
        </w:rPr>
        <w:t xml:space="preserve">G2: New funding to </w:t>
      </w:r>
      <w:r w:rsidRPr="005F6D97">
        <w:rPr>
          <w:rFonts w:eastAsia="Times New Roman"/>
          <w:color w:val="000000" w:themeColor="text1"/>
        </w:rPr>
        <w:t>six parties</w:t>
      </w:r>
      <w:r w:rsidRPr="00A81971">
        <w:rPr>
          <w:rFonts w:eastAsia="Times New Roman"/>
          <w:color w:val="000000" w:themeColor="text1"/>
        </w:rPr>
        <w:t xml:space="preserve"> (freeze by 2028 and 10% reduction by 2032) (Output 6) as shown in Figure A</w:t>
      </w:r>
      <w:r w:rsidR="00D3273C" w:rsidRPr="00A81971">
        <w:rPr>
          <w:rFonts w:eastAsia="Times New Roman"/>
          <w:color w:val="000000" w:themeColor="text1"/>
        </w:rPr>
        <w:t>3</w:t>
      </w:r>
      <w:r w:rsidRPr="00A81971">
        <w:rPr>
          <w:rFonts w:eastAsia="Times New Roman"/>
          <w:color w:val="000000" w:themeColor="text1"/>
        </w:rPr>
        <w:t>.4.</w:t>
      </w:r>
    </w:p>
    <w:p w14:paraId="1E9B5518" w14:textId="77777777" w:rsidR="00701BA5" w:rsidRPr="00A81971" w:rsidRDefault="0032495C">
      <w:pPr>
        <w:spacing w:after="0"/>
        <w:rPr>
          <w:rFonts w:eastAsia="Times New Roman"/>
          <w:b/>
          <w:bCs/>
          <w:color w:val="000000" w:themeColor="text1"/>
        </w:rPr>
      </w:pPr>
      <w:r w:rsidRPr="00A81971">
        <w:rPr>
          <w:rFonts w:eastAsia="Times New Roman"/>
          <w:color w:val="000000" w:themeColor="text1"/>
        </w:rPr>
        <w:t xml:space="preserve"> </w:t>
      </w:r>
    </w:p>
    <w:p w14:paraId="481C3211" w14:textId="77777777" w:rsidR="00793ABA" w:rsidRPr="00A81971" w:rsidRDefault="0032495C" w:rsidP="43EEFCCE">
      <w:pPr>
        <w:tabs>
          <w:tab w:val="left" w:pos="0"/>
          <w:tab w:val="left" w:pos="1418"/>
        </w:tabs>
        <w:spacing w:after="120"/>
        <w:ind w:left="1411" w:hanging="1411"/>
        <w:rPr>
          <w:rFonts w:eastAsia="Times New Roman"/>
          <w:b/>
          <w:bCs/>
          <w:color w:val="000000" w:themeColor="text1"/>
        </w:rPr>
      </w:pPr>
      <w:r w:rsidRPr="00A81971">
        <w:rPr>
          <w:rFonts w:eastAsia="Times New Roman"/>
          <w:b/>
          <w:bCs/>
          <w:color w:val="000000" w:themeColor="text1"/>
        </w:rPr>
        <w:t>Figure A</w:t>
      </w:r>
      <w:r w:rsidR="00D3273C" w:rsidRPr="00A81971">
        <w:rPr>
          <w:rFonts w:eastAsia="Times New Roman"/>
          <w:b/>
          <w:bCs/>
          <w:color w:val="000000" w:themeColor="text1"/>
        </w:rPr>
        <w:t>3</w:t>
      </w:r>
      <w:r w:rsidRPr="00A81971">
        <w:rPr>
          <w:rFonts w:eastAsia="Times New Roman"/>
          <w:b/>
          <w:bCs/>
          <w:color w:val="000000" w:themeColor="text1"/>
        </w:rPr>
        <w:t>.4</w:t>
      </w:r>
      <w:r w:rsidRPr="00A81971">
        <w:tab/>
      </w:r>
      <w:r w:rsidRPr="00A81971">
        <w:rPr>
          <w:rFonts w:eastAsia="Times New Roman"/>
          <w:b/>
          <w:bCs/>
          <w:color w:val="000000" w:themeColor="text1"/>
        </w:rPr>
        <w:t>Flowchart for Output 6: estimating new funding for G2 parties to submit KIP-Stage I</w:t>
      </w:r>
    </w:p>
    <w:p w14:paraId="7CB9806D" w14:textId="77777777" w:rsidR="00793ABA" w:rsidRPr="00A81971" w:rsidRDefault="0032495C" w:rsidP="43EEFCCE">
      <w:pPr>
        <w:spacing w:after="0"/>
      </w:pPr>
      <w:r w:rsidRPr="00A81971">
        <w:rPr>
          <w:rFonts w:eastAsia="Times New Roman"/>
          <w:color w:val="000000" w:themeColor="text1"/>
        </w:rPr>
        <w:t xml:space="preserve"> </w:t>
      </w:r>
      <w:r w:rsidRPr="00A81971">
        <w:rPr>
          <w:noProof/>
        </w:rPr>
        <w:drawing>
          <wp:inline distT="0" distB="0" distL="0" distR="0" wp14:anchorId="14CBDCC0" wp14:editId="6BE0612D">
            <wp:extent cx="5375082" cy="2736405"/>
            <wp:effectExtent l="0" t="0" r="0" b="6985"/>
            <wp:docPr id="1643720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20469" name="Picture 1643720469"/>
                    <pic:cNvPicPr/>
                  </pic:nvPicPr>
                  <pic:blipFill>
                    <a:blip r:embed="rId43">
                      <a:extLst>
                        <a:ext uri="{28A0092B-C50C-407E-A947-70E740481C1C}">
                          <a14:useLocalDpi xmlns:a14="http://schemas.microsoft.com/office/drawing/2010/main" val="0"/>
                        </a:ext>
                      </a:extLst>
                    </a:blip>
                    <a:stretch>
                      <a:fillRect/>
                    </a:stretch>
                  </pic:blipFill>
                  <pic:spPr>
                    <a:xfrm>
                      <a:off x="0" y="0"/>
                      <a:ext cx="5377241" cy="2737504"/>
                    </a:xfrm>
                    <a:prstGeom prst="rect">
                      <a:avLst/>
                    </a:prstGeom>
                  </pic:spPr>
                </pic:pic>
              </a:graphicData>
            </a:graphic>
          </wp:inline>
        </w:drawing>
      </w:r>
    </w:p>
    <w:p w14:paraId="7380D606" w14:textId="77777777" w:rsidR="00793ABA" w:rsidRPr="00A81971" w:rsidRDefault="0032495C" w:rsidP="033C294A">
      <w:pPr>
        <w:spacing w:after="0" w:line="257" w:lineRule="auto"/>
        <w:rPr>
          <w:rFonts w:eastAsia="Times New Roman"/>
          <w:b/>
          <w:bCs/>
          <w:color w:val="000000" w:themeColor="text1"/>
        </w:rPr>
      </w:pPr>
      <w:r w:rsidRPr="00A81971">
        <w:rPr>
          <w:rFonts w:eastAsia="Times New Roman"/>
          <w:b/>
          <w:bCs/>
          <w:color w:val="000000" w:themeColor="text1"/>
        </w:rPr>
        <w:lastRenderedPageBreak/>
        <w:t xml:space="preserve">STEP 3.  </w:t>
      </w:r>
      <w:r w:rsidR="6EDB0298" w:rsidRPr="00A81971">
        <w:rPr>
          <w:rFonts w:eastAsia="Times New Roman"/>
          <w:b/>
          <w:bCs/>
          <w:color w:val="000000" w:themeColor="text1"/>
        </w:rPr>
        <w:t>18</w:t>
      </w:r>
      <w:r w:rsidRPr="00A81971">
        <w:rPr>
          <w:rFonts w:eastAsia="Times New Roman"/>
          <w:b/>
          <w:bCs/>
          <w:color w:val="000000" w:themeColor="text1"/>
        </w:rPr>
        <w:t xml:space="preserve"> parties that have not ratified the KA yet (RTF forecasted 100% ratification by 2029)</w:t>
      </w:r>
    </w:p>
    <w:p w14:paraId="309F8AE8" w14:textId="77777777" w:rsidR="00793ABA" w:rsidRPr="00A81971" w:rsidRDefault="0032495C" w:rsidP="43EEFCCE">
      <w:pPr>
        <w:spacing w:after="0" w:line="257" w:lineRule="auto"/>
        <w:rPr>
          <w:rFonts w:eastAsia="Times New Roman"/>
          <w:b/>
          <w:bCs/>
          <w:color w:val="000000" w:themeColor="text1"/>
        </w:rPr>
      </w:pPr>
      <w:r w:rsidRPr="00A81971">
        <w:rPr>
          <w:rFonts w:eastAsia="Times New Roman"/>
          <w:b/>
          <w:bCs/>
          <w:color w:val="000000" w:themeColor="text1"/>
        </w:rPr>
        <w:t xml:space="preserve"> </w:t>
      </w:r>
    </w:p>
    <w:p w14:paraId="73A0C151" w14:textId="77777777" w:rsidR="00793ABA" w:rsidRPr="00A81971" w:rsidRDefault="0032495C" w:rsidP="007A20BD">
      <w:pPr>
        <w:pStyle w:val="ListParagraph"/>
        <w:numPr>
          <w:ilvl w:val="0"/>
          <w:numId w:val="26"/>
        </w:numPr>
        <w:spacing w:after="0" w:line="257" w:lineRule="auto"/>
        <w:rPr>
          <w:rFonts w:eastAsia="Times New Roman"/>
          <w:color w:val="000000" w:themeColor="text1"/>
        </w:rPr>
      </w:pPr>
      <w:r w:rsidRPr="00A81971">
        <w:rPr>
          <w:rFonts w:eastAsia="Times New Roman"/>
          <w:color w:val="000000" w:themeColor="text1"/>
        </w:rPr>
        <w:t>G1: New funding for 10% reduction by 2029 and 30% by 2035 (15 parties) (Output 7 for 6 non-LVC parties and Output 8 for 9 LVC parties).</w:t>
      </w:r>
    </w:p>
    <w:p w14:paraId="792534DC" w14:textId="77777777" w:rsidR="00793ABA" w:rsidRPr="00A81971" w:rsidRDefault="0032495C" w:rsidP="43EEFCCE">
      <w:pPr>
        <w:spacing w:after="0"/>
        <w:rPr>
          <w:rFonts w:eastAsia="Times New Roman"/>
          <w:color w:val="000000" w:themeColor="text1"/>
        </w:rPr>
      </w:pPr>
      <w:r w:rsidRPr="00A81971">
        <w:rPr>
          <w:rFonts w:eastAsia="Times New Roman"/>
          <w:color w:val="000000" w:themeColor="text1"/>
        </w:rPr>
        <w:t xml:space="preserve"> </w:t>
      </w:r>
    </w:p>
    <w:p w14:paraId="2369E69E" w14:textId="77777777" w:rsidR="00793ABA" w:rsidRPr="00A81971" w:rsidRDefault="0032495C" w:rsidP="00BD0948">
      <w:pPr>
        <w:tabs>
          <w:tab w:val="left" w:pos="0"/>
          <w:tab w:val="left" w:pos="1418"/>
        </w:tabs>
        <w:spacing w:after="120"/>
        <w:ind w:left="1411" w:hanging="1411"/>
        <w:jc w:val="center"/>
        <w:rPr>
          <w:rFonts w:eastAsia="Times New Roman"/>
          <w:b/>
          <w:bCs/>
          <w:color w:val="000000" w:themeColor="text1"/>
        </w:rPr>
      </w:pPr>
      <w:r w:rsidRPr="00A81971">
        <w:rPr>
          <w:rFonts w:eastAsia="Times New Roman"/>
          <w:b/>
          <w:bCs/>
          <w:color w:val="000000" w:themeColor="text1"/>
        </w:rPr>
        <w:t>Figure A</w:t>
      </w:r>
      <w:r w:rsidR="00D3273C" w:rsidRPr="00A81971">
        <w:rPr>
          <w:rFonts w:eastAsia="Times New Roman"/>
          <w:b/>
          <w:bCs/>
          <w:color w:val="000000" w:themeColor="text1"/>
        </w:rPr>
        <w:t>3</w:t>
      </w:r>
      <w:r w:rsidRPr="00A81971">
        <w:rPr>
          <w:rFonts w:eastAsia="Times New Roman"/>
          <w:b/>
          <w:bCs/>
          <w:color w:val="000000" w:themeColor="text1"/>
        </w:rPr>
        <w:t>.5</w:t>
      </w:r>
      <w:r w:rsidRPr="00A81971">
        <w:tab/>
      </w:r>
      <w:r w:rsidRPr="00A81971">
        <w:rPr>
          <w:rFonts w:eastAsia="Times New Roman"/>
          <w:b/>
          <w:bCs/>
          <w:color w:val="000000" w:themeColor="text1"/>
        </w:rPr>
        <w:t>Flowchart for Outputs 7 and 8: estimating new funding for G1 parties who have not yet ratified KA</w:t>
      </w:r>
    </w:p>
    <w:p w14:paraId="30C0F744" w14:textId="77777777" w:rsidR="00793ABA" w:rsidRPr="00A81971" w:rsidRDefault="0032495C" w:rsidP="00BD0948">
      <w:pPr>
        <w:spacing w:after="0"/>
        <w:jc w:val="center"/>
      </w:pPr>
      <w:r w:rsidRPr="00A81971">
        <w:rPr>
          <w:noProof/>
        </w:rPr>
        <w:drawing>
          <wp:inline distT="0" distB="0" distL="0" distR="0" wp14:anchorId="19FCFABA" wp14:editId="192B8352">
            <wp:extent cx="5762625" cy="2905125"/>
            <wp:effectExtent l="0" t="0" r="0" b="0"/>
            <wp:docPr id="1963213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13871" name="Picture 1963213871"/>
                    <pic:cNvPicPr/>
                  </pic:nvPicPr>
                  <pic:blipFill>
                    <a:blip r:embed="rId44">
                      <a:extLst>
                        <a:ext uri="{28A0092B-C50C-407E-A947-70E740481C1C}">
                          <a14:useLocalDpi xmlns:a14="http://schemas.microsoft.com/office/drawing/2010/main" val="0"/>
                        </a:ext>
                      </a:extLst>
                    </a:blip>
                    <a:stretch>
                      <a:fillRect/>
                    </a:stretch>
                  </pic:blipFill>
                  <pic:spPr>
                    <a:xfrm>
                      <a:off x="0" y="0"/>
                      <a:ext cx="5762625" cy="2905125"/>
                    </a:xfrm>
                    <a:prstGeom prst="rect">
                      <a:avLst/>
                    </a:prstGeom>
                  </pic:spPr>
                </pic:pic>
              </a:graphicData>
            </a:graphic>
          </wp:inline>
        </w:drawing>
      </w:r>
    </w:p>
    <w:p w14:paraId="75DACA8F" w14:textId="77777777" w:rsidR="00793ABA" w:rsidRPr="00A81971" w:rsidRDefault="0032495C" w:rsidP="43EEFCCE">
      <w:pPr>
        <w:spacing w:after="0"/>
      </w:pPr>
      <w:r w:rsidRPr="00A81971">
        <w:rPr>
          <w:rFonts w:eastAsia="Times New Roman"/>
          <w:color w:val="000000" w:themeColor="text1"/>
        </w:rPr>
        <w:t xml:space="preserve"> </w:t>
      </w:r>
    </w:p>
    <w:p w14:paraId="6599CE80" w14:textId="77777777" w:rsidR="00793ABA" w:rsidRPr="00A81971" w:rsidRDefault="0032495C" w:rsidP="007A20BD">
      <w:pPr>
        <w:pStyle w:val="ListParagraph"/>
        <w:numPr>
          <w:ilvl w:val="0"/>
          <w:numId w:val="28"/>
        </w:numPr>
        <w:spacing w:after="0"/>
        <w:rPr>
          <w:rFonts w:eastAsia="Times New Roman"/>
          <w:color w:val="000000" w:themeColor="text1"/>
        </w:rPr>
      </w:pPr>
      <w:r w:rsidRPr="00A81971">
        <w:rPr>
          <w:rFonts w:eastAsia="Times New Roman"/>
          <w:color w:val="000000" w:themeColor="text1"/>
        </w:rPr>
        <w:t>G2: New funding for the freeze by 2028 and 10% reduction by 2032 for 3 parties that have not ratified Kigali yet. RTF assumed ratification by 2029, as it is critical to access technical and financial support in time to meet compliance targets (Output 9)</w:t>
      </w:r>
    </w:p>
    <w:p w14:paraId="5893FCC2" w14:textId="77777777" w:rsidR="00793ABA" w:rsidRPr="00A81971" w:rsidRDefault="0032495C" w:rsidP="43EEFCCE">
      <w:pPr>
        <w:spacing w:after="0"/>
        <w:jc w:val="both"/>
        <w:rPr>
          <w:rFonts w:eastAsia="Times New Roman"/>
          <w:color w:val="000000" w:themeColor="text1"/>
        </w:rPr>
      </w:pPr>
      <w:r w:rsidRPr="00A81971">
        <w:rPr>
          <w:rFonts w:eastAsia="Times New Roman"/>
          <w:color w:val="000000" w:themeColor="text1"/>
        </w:rPr>
        <w:t xml:space="preserve"> </w:t>
      </w:r>
    </w:p>
    <w:p w14:paraId="40548CC5" w14:textId="77777777" w:rsidR="00793ABA" w:rsidRPr="00A81971" w:rsidRDefault="0032495C" w:rsidP="43EEFCCE">
      <w:pPr>
        <w:spacing w:after="0"/>
        <w:jc w:val="both"/>
        <w:rPr>
          <w:rFonts w:eastAsia="Times New Roman"/>
          <w:color w:val="000000" w:themeColor="text1"/>
        </w:rPr>
      </w:pPr>
      <w:r w:rsidRPr="00A81971">
        <w:rPr>
          <w:rFonts w:eastAsia="Times New Roman"/>
          <w:color w:val="000000" w:themeColor="text1"/>
        </w:rPr>
        <w:t xml:space="preserve"> </w:t>
      </w:r>
    </w:p>
    <w:p w14:paraId="06A949CC" w14:textId="77777777" w:rsidR="00793ABA" w:rsidRPr="00A81971" w:rsidRDefault="0032495C" w:rsidP="43EEFCCE">
      <w:pPr>
        <w:tabs>
          <w:tab w:val="left" w:pos="0"/>
          <w:tab w:val="left" w:pos="1418"/>
        </w:tabs>
        <w:spacing w:after="120"/>
        <w:ind w:left="1411" w:hanging="1411"/>
        <w:rPr>
          <w:rFonts w:eastAsia="Times New Roman"/>
          <w:b/>
          <w:bCs/>
          <w:color w:val="000000" w:themeColor="text1"/>
        </w:rPr>
      </w:pPr>
      <w:r w:rsidRPr="00A81971">
        <w:rPr>
          <w:rFonts w:eastAsia="Times New Roman"/>
          <w:b/>
          <w:bCs/>
          <w:color w:val="000000" w:themeColor="text1"/>
        </w:rPr>
        <w:t>Figure A</w:t>
      </w:r>
      <w:r w:rsidR="00D3273C" w:rsidRPr="00A81971">
        <w:rPr>
          <w:rFonts w:eastAsia="Times New Roman"/>
          <w:b/>
          <w:bCs/>
          <w:color w:val="000000" w:themeColor="text1"/>
        </w:rPr>
        <w:t>3</w:t>
      </w:r>
      <w:r w:rsidRPr="00A81971">
        <w:rPr>
          <w:rFonts w:eastAsia="Times New Roman"/>
          <w:b/>
          <w:bCs/>
          <w:color w:val="000000" w:themeColor="text1"/>
        </w:rPr>
        <w:t>.6</w:t>
      </w:r>
      <w:r w:rsidRPr="00A81971">
        <w:tab/>
      </w:r>
      <w:r w:rsidRPr="00A81971">
        <w:rPr>
          <w:rFonts w:eastAsia="Times New Roman"/>
          <w:b/>
          <w:bCs/>
          <w:color w:val="000000" w:themeColor="text1"/>
        </w:rPr>
        <w:t>Flowchart for Output 9: estimating new funding for G2 parties who have not yet ratified KA</w:t>
      </w:r>
    </w:p>
    <w:p w14:paraId="2780BDA0" w14:textId="77777777" w:rsidR="00793ABA" w:rsidRPr="00A81971" w:rsidRDefault="0032495C" w:rsidP="00BD0948">
      <w:pPr>
        <w:spacing w:after="0"/>
        <w:jc w:val="center"/>
        <w:rPr>
          <w:rFonts w:eastAsia="Times New Roman"/>
          <w:color w:val="000000" w:themeColor="text1"/>
        </w:rPr>
      </w:pPr>
      <w:r w:rsidRPr="00A81971">
        <w:rPr>
          <w:noProof/>
        </w:rPr>
        <w:drawing>
          <wp:inline distT="0" distB="0" distL="0" distR="0" wp14:anchorId="35599AC9" wp14:editId="4993DB20">
            <wp:extent cx="5762625" cy="2876550"/>
            <wp:effectExtent l="0" t="0" r="0" b="0"/>
            <wp:docPr id="1968439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39878" name="Picture 1968439878"/>
                    <pic:cNvPicPr/>
                  </pic:nvPicPr>
                  <pic:blipFill>
                    <a:blip r:embed="rId45">
                      <a:extLst>
                        <a:ext uri="{28A0092B-C50C-407E-A947-70E740481C1C}">
                          <a14:useLocalDpi xmlns:a14="http://schemas.microsoft.com/office/drawing/2010/main" val="0"/>
                        </a:ext>
                      </a:extLst>
                    </a:blip>
                    <a:stretch>
                      <a:fillRect/>
                    </a:stretch>
                  </pic:blipFill>
                  <pic:spPr>
                    <a:xfrm>
                      <a:off x="0" y="0"/>
                      <a:ext cx="5762625" cy="2876550"/>
                    </a:xfrm>
                    <a:prstGeom prst="rect">
                      <a:avLst/>
                    </a:prstGeom>
                  </pic:spPr>
                </pic:pic>
              </a:graphicData>
            </a:graphic>
          </wp:inline>
        </w:drawing>
      </w:r>
    </w:p>
    <w:p w14:paraId="10F7648A" w14:textId="77777777" w:rsidR="00D3273C" w:rsidRPr="00A81971" w:rsidRDefault="00D3273C">
      <w:pPr>
        <w:spacing w:after="0"/>
        <w:rPr>
          <w:rFonts w:eastAsia="Times New Roman"/>
          <w:color w:val="000000" w:themeColor="text1"/>
        </w:rPr>
      </w:pPr>
    </w:p>
    <w:p w14:paraId="7DD8CB8F" w14:textId="77777777" w:rsidR="00793ABA" w:rsidRPr="00A81971" w:rsidRDefault="0032495C" w:rsidP="009F295F">
      <w:pPr>
        <w:spacing w:after="0"/>
        <w:rPr>
          <w:rFonts w:eastAsia="Times New Roman"/>
          <w:color w:val="000000" w:themeColor="text1"/>
        </w:rPr>
      </w:pPr>
      <w:r w:rsidRPr="00A81971">
        <w:rPr>
          <w:rFonts w:eastAsia="Times New Roman"/>
          <w:color w:val="000000" w:themeColor="text1"/>
        </w:rPr>
        <w:t xml:space="preserve">For </w:t>
      </w:r>
      <w:r w:rsidRPr="00A81971">
        <w:rPr>
          <w:rFonts w:eastAsia="Times New Roman"/>
          <w:b/>
          <w:bCs/>
          <w:color w:val="000000" w:themeColor="text1"/>
        </w:rPr>
        <w:t>G2</w:t>
      </w:r>
      <w:r w:rsidRPr="00A81971">
        <w:rPr>
          <w:rFonts w:eastAsia="Times New Roman"/>
          <w:color w:val="000000" w:themeColor="text1"/>
        </w:rPr>
        <w:t xml:space="preserve"> parties, where baseline years extend to 2024–2026, estimates relied more heavily on trend extrapolation based on available data. Where complete datasets were not available, </w:t>
      </w:r>
      <w:r w:rsidRPr="00A81971">
        <w:rPr>
          <w:rFonts w:eastAsia="Times New Roman"/>
          <w:b/>
          <w:bCs/>
          <w:color w:val="000000" w:themeColor="text1"/>
        </w:rPr>
        <w:t xml:space="preserve">the RTF filled the </w:t>
      </w:r>
      <w:r w:rsidRPr="00A81971">
        <w:rPr>
          <w:rFonts w:eastAsia="Times New Roman"/>
          <w:b/>
          <w:bCs/>
          <w:color w:val="000000" w:themeColor="text1"/>
        </w:rPr>
        <w:lastRenderedPageBreak/>
        <w:t xml:space="preserve">gaps as per methodology detailed in Annex 3 </w:t>
      </w:r>
      <w:r w:rsidR="6EDB0298" w:rsidRPr="00A81971">
        <w:rPr>
          <w:rFonts w:eastAsia="Times New Roman"/>
          <w:b/>
          <w:bCs/>
          <w:color w:val="000000" w:themeColor="text1"/>
        </w:rPr>
        <w:t xml:space="preserve">of its May 2026 Report </w:t>
      </w:r>
      <w:r w:rsidRPr="00A81971">
        <w:rPr>
          <w:rFonts w:eastAsia="Times New Roman"/>
          <w:color w:val="000000" w:themeColor="text1"/>
        </w:rPr>
        <w:t xml:space="preserve">based on reported A7 </w:t>
      </w:r>
      <w:r w:rsidR="00D3273C" w:rsidRPr="00A81971">
        <w:rPr>
          <w:rFonts w:eastAsia="Times New Roman"/>
          <w:color w:val="000000" w:themeColor="text1"/>
        </w:rPr>
        <w:t xml:space="preserve">data </w:t>
      </w:r>
      <w:r w:rsidRPr="00A81971">
        <w:rPr>
          <w:rFonts w:eastAsia="Times New Roman"/>
          <w:color w:val="000000" w:themeColor="text1"/>
        </w:rPr>
        <w:t xml:space="preserve">and </w:t>
      </w:r>
      <w:r w:rsidR="005905F7">
        <w:rPr>
          <w:rFonts w:eastAsia="Times New Roman"/>
          <w:color w:val="000000" w:themeColor="text1"/>
        </w:rPr>
        <w:t>gross domestic product (</w:t>
      </w:r>
      <w:r w:rsidRPr="00A81971">
        <w:rPr>
          <w:rFonts w:eastAsia="Times New Roman"/>
          <w:color w:val="000000" w:themeColor="text1"/>
        </w:rPr>
        <w:t>GDP</w:t>
      </w:r>
      <w:r w:rsidR="005905F7">
        <w:rPr>
          <w:rFonts w:eastAsia="Times New Roman"/>
          <w:color w:val="000000" w:themeColor="text1"/>
        </w:rPr>
        <w:t>)</w:t>
      </w:r>
      <w:r w:rsidRPr="00A81971">
        <w:rPr>
          <w:rFonts w:eastAsia="Times New Roman"/>
          <w:color w:val="000000" w:themeColor="text1"/>
        </w:rPr>
        <w:t xml:space="preserve"> growth rates. In order to reflect uncertainty, a range was developed with a low-end value, assuming conservative consumption levels and limited growth, and a high-end value, assuming continuation of recent growth trends. These assumptions introduce additional uncertainty into the funding estimates, which is reflected in the range presented.</w:t>
      </w:r>
    </w:p>
    <w:p w14:paraId="01062D75" w14:textId="77777777" w:rsidR="00793ABA" w:rsidRPr="00A81971" w:rsidRDefault="0032495C" w:rsidP="009F295F">
      <w:pPr>
        <w:spacing w:after="0"/>
        <w:rPr>
          <w:rFonts w:eastAsia="Times New Roman"/>
          <w:color w:val="000000" w:themeColor="text1"/>
        </w:rPr>
      </w:pPr>
      <w:r w:rsidRPr="00A81971">
        <w:rPr>
          <w:rFonts w:eastAsia="Times New Roman"/>
          <w:color w:val="000000" w:themeColor="text1"/>
        </w:rPr>
        <w:t xml:space="preserve"> </w:t>
      </w:r>
    </w:p>
    <w:p w14:paraId="650A8265" w14:textId="77777777" w:rsidR="00793ABA" w:rsidRPr="00A81971" w:rsidRDefault="0032495C" w:rsidP="009F295F">
      <w:pPr>
        <w:spacing w:after="0"/>
        <w:rPr>
          <w:rFonts w:eastAsia="Times New Roman"/>
          <w:color w:val="000000" w:themeColor="text1"/>
        </w:rPr>
      </w:pPr>
      <w:r w:rsidRPr="00A81971">
        <w:rPr>
          <w:rFonts w:eastAsia="Times New Roman"/>
          <w:color w:val="000000" w:themeColor="text1"/>
        </w:rPr>
        <w:t>In order to estimate funding requirements for the HFC phasedown to meet the reductions targets in Stage I and Stage II KIPs, discussed in Chapter 3</w:t>
      </w:r>
      <w:r w:rsidR="6EDB0298" w:rsidRPr="00A81971">
        <w:rPr>
          <w:rFonts w:eastAsia="Times New Roman"/>
          <w:color w:val="000000" w:themeColor="text1"/>
        </w:rPr>
        <w:t xml:space="preserve"> of the May 2026 Report</w:t>
      </w:r>
      <w:r w:rsidRPr="00A81971">
        <w:rPr>
          <w:rFonts w:eastAsia="Times New Roman"/>
          <w:color w:val="000000" w:themeColor="text1"/>
        </w:rPr>
        <w:t xml:space="preserve">, RTF model organization is summarised in the </w:t>
      </w:r>
      <w:r w:rsidR="00C5226F" w:rsidRPr="00A81971">
        <w:rPr>
          <w:rFonts w:eastAsia="Times New Roman"/>
          <w:color w:val="000000" w:themeColor="text1"/>
        </w:rPr>
        <w:t xml:space="preserve">Table A3.1 </w:t>
      </w:r>
      <w:r w:rsidRPr="00A81971">
        <w:rPr>
          <w:rFonts w:eastAsia="Times New Roman"/>
          <w:color w:val="000000" w:themeColor="text1"/>
        </w:rPr>
        <w:t>below.</w:t>
      </w:r>
    </w:p>
    <w:p w14:paraId="5F3952EE" w14:textId="77777777" w:rsidR="00793ABA" w:rsidRPr="00A81971" w:rsidRDefault="0032495C" w:rsidP="43EEFCCE">
      <w:pPr>
        <w:spacing w:after="0"/>
        <w:jc w:val="both"/>
        <w:rPr>
          <w:rFonts w:eastAsia="Times New Roman"/>
          <w:color w:val="000000" w:themeColor="text1"/>
        </w:rPr>
      </w:pPr>
      <w:r w:rsidRPr="00A81971">
        <w:rPr>
          <w:rFonts w:eastAsia="Times New Roman"/>
          <w:color w:val="000000" w:themeColor="text1"/>
        </w:rPr>
        <w:t xml:space="preserve"> </w:t>
      </w:r>
    </w:p>
    <w:p w14:paraId="352F4B87" w14:textId="77777777" w:rsidR="00B31CAA" w:rsidRPr="00A81971" w:rsidRDefault="0032495C" w:rsidP="00814D56">
      <w:pPr>
        <w:tabs>
          <w:tab w:val="left" w:pos="0"/>
          <w:tab w:val="left" w:pos="1276"/>
        </w:tabs>
        <w:spacing w:after="120"/>
        <w:ind w:left="1282" w:hanging="1282"/>
        <w:rPr>
          <w:rFonts w:eastAsia="Times New Roman"/>
          <w:color w:val="000000" w:themeColor="text1"/>
        </w:rPr>
      </w:pPr>
      <w:r w:rsidRPr="0006445E">
        <w:rPr>
          <w:rFonts w:eastAsia="Yu Mincho"/>
          <w:b/>
          <w:bCs/>
          <w:color w:val="000000"/>
          <w:lang w:val="en-CA"/>
        </w:rPr>
        <w:t xml:space="preserve">Table </w:t>
      </w:r>
      <w:r>
        <w:rPr>
          <w:rFonts w:eastAsia="Yu Mincho"/>
          <w:b/>
          <w:bCs/>
          <w:color w:val="000000"/>
          <w:lang w:val="en-CA"/>
        </w:rPr>
        <w:t>A3.1:</w:t>
      </w:r>
      <w:r w:rsidRPr="0006445E">
        <w:rPr>
          <w:rFonts w:eastAsia="Times New Roman"/>
          <w:color w:val="000000"/>
          <w:lang w:val="en-CA"/>
        </w:rPr>
        <w:tab/>
      </w:r>
      <w:r w:rsidRPr="00A81971">
        <w:rPr>
          <w:rFonts w:eastAsia="Times New Roman"/>
          <w:b/>
          <w:bCs/>
          <w:color w:val="000000" w:themeColor="text1"/>
        </w:rPr>
        <w:t>Summary of estimated funding methodology for HFC phase-down</w:t>
      </w:r>
    </w:p>
    <w:p w14:paraId="7271566D" w14:textId="77777777" w:rsidR="00FB3F13" w:rsidRPr="00A81971" w:rsidRDefault="0032495C" w:rsidP="00BD0948">
      <w:pPr>
        <w:spacing w:after="240"/>
        <w:jc w:val="center"/>
      </w:pPr>
      <w:r w:rsidRPr="00A81971">
        <w:rPr>
          <w:noProof/>
        </w:rPr>
        <w:drawing>
          <wp:inline distT="0" distB="0" distL="0" distR="0" wp14:anchorId="484A26C1" wp14:editId="5FBD8291">
            <wp:extent cx="5762625" cy="4629150"/>
            <wp:effectExtent l="0" t="0" r="0" b="0"/>
            <wp:docPr id="40041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1482" name="Picture 40041482"/>
                    <pic:cNvPicPr/>
                  </pic:nvPicPr>
                  <pic:blipFill>
                    <a:blip r:embed="rId46">
                      <a:extLst>
                        <a:ext uri="{28A0092B-C50C-407E-A947-70E740481C1C}">
                          <a14:useLocalDpi xmlns:a14="http://schemas.microsoft.com/office/drawing/2010/main" val="0"/>
                        </a:ext>
                      </a:extLst>
                    </a:blip>
                    <a:stretch>
                      <a:fillRect/>
                    </a:stretch>
                  </pic:blipFill>
                  <pic:spPr>
                    <a:xfrm>
                      <a:off x="0" y="0"/>
                      <a:ext cx="5762625" cy="4629150"/>
                    </a:xfrm>
                    <a:prstGeom prst="rect">
                      <a:avLst/>
                    </a:prstGeom>
                  </pic:spPr>
                </pic:pic>
              </a:graphicData>
            </a:graphic>
          </wp:inline>
        </w:drawing>
      </w:r>
    </w:p>
    <w:p w14:paraId="010D9261"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 xml:space="preserve">Information on CE thresholds used in the different sections of the model, methodology for filling baseline data gaps, and explanations regarding sector distribution of chemicals utilized, are detailed in Annex 3 and Chapter 3 of the </w:t>
      </w:r>
      <w:r w:rsidR="001C541E">
        <w:rPr>
          <w:rFonts w:eastAsia="Times New Roman"/>
          <w:color w:val="000000" w:themeColor="text1"/>
        </w:rPr>
        <w:t xml:space="preserve">RTF </w:t>
      </w:r>
      <w:r w:rsidRPr="00A81971">
        <w:rPr>
          <w:rFonts w:eastAsia="Times New Roman"/>
          <w:color w:val="000000" w:themeColor="text1"/>
        </w:rPr>
        <w:t xml:space="preserve">May 2026 Report. </w:t>
      </w:r>
    </w:p>
    <w:p w14:paraId="00B5539B" w14:textId="77777777" w:rsidR="00793ABA" w:rsidRPr="00A81971" w:rsidRDefault="0032495C" w:rsidP="43EEFCCE">
      <w:pPr>
        <w:spacing w:after="240"/>
        <w:rPr>
          <w:rFonts w:eastAsia="Times New Roman"/>
          <w:color w:val="000000" w:themeColor="text1"/>
        </w:rPr>
      </w:pPr>
      <w:r w:rsidRPr="00A81971">
        <w:rPr>
          <w:rFonts w:eastAsia="Times New Roman"/>
          <w:color w:val="000000" w:themeColor="text1"/>
        </w:rPr>
        <w:t>The</w:t>
      </w:r>
      <w:r w:rsidR="00BF5C20" w:rsidRPr="00A81971">
        <w:rPr>
          <w:rFonts w:eastAsia="Times New Roman"/>
          <w:color w:val="000000" w:themeColor="text1"/>
        </w:rPr>
        <w:t xml:space="preserve"> same</w:t>
      </w:r>
      <w:r w:rsidRPr="00A81971">
        <w:rPr>
          <w:rFonts w:eastAsia="Times New Roman"/>
          <w:color w:val="000000" w:themeColor="text1"/>
        </w:rPr>
        <w:t xml:space="preserve"> resource allocation proposals A and B described in Chapter 3 </w:t>
      </w:r>
      <w:r w:rsidR="00FD16CE" w:rsidRPr="00A81971">
        <w:rPr>
          <w:rFonts w:eastAsia="Times New Roman"/>
          <w:color w:val="000000" w:themeColor="text1"/>
        </w:rPr>
        <w:t xml:space="preserve">of the </w:t>
      </w:r>
      <w:r w:rsidR="001C541E">
        <w:rPr>
          <w:rFonts w:eastAsia="Times New Roman"/>
          <w:color w:val="000000" w:themeColor="text1"/>
        </w:rPr>
        <w:t xml:space="preserve">RTF </w:t>
      </w:r>
      <w:r w:rsidR="00FD16CE" w:rsidRPr="00A81971">
        <w:rPr>
          <w:rFonts w:eastAsia="Times New Roman"/>
          <w:color w:val="000000" w:themeColor="text1"/>
        </w:rPr>
        <w:t xml:space="preserve">May 2026 Report </w:t>
      </w:r>
      <w:r w:rsidRPr="00A81971">
        <w:rPr>
          <w:rFonts w:eastAsia="Times New Roman"/>
          <w:color w:val="000000" w:themeColor="text1"/>
        </w:rPr>
        <w:t xml:space="preserve">are indicated in the </w:t>
      </w:r>
      <w:r w:rsidR="00DF0F0A" w:rsidRPr="00A81971">
        <w:rPr>
          <w:rFonts w:eastAsia="Times New Roman"/>
          <w:color w:val="000000" w:themeColor="text1"/>
        </w:rPr>
        <w:t xml:space="preserve">Table A3.2 </w:t>
      </w:r>
      <w:r w:rsidRPr="00A81971">
        <w:rPr>
          <w:rFonts w:eastAsia="Times New Roman"/>
          <w:color w:val="000000" w:themeColor="text1"/>
        </w:rPr>
        <w:t>below.</w:t>
      </w:r>
    </w:p>
    <w:p w14:paraId="475515E9" w14:textId="77777777" w:rsidR="007B47FE" w:rsidRPr="00A81971" w:rsidRDefault="0032495C">
      <w:pPr>
        <w:spacing w:after="0"/>
        <w:rPr>
          <w:rFonts w:eastAsia="Times New Roman"/>
          <w:b/>
          <w:bCs/>
          <w:color w:val="000000" w:themeColor="text1"/>
        </w:rPr>
      </w:pPr>
      <w:r w:rsidRPr="00A81971">
        <w:rPr>
          <w:rFonts w:eastAsia="Times New Roman"/>
          <w:b/>
          <w:bCs/>
          <w:color w:val="000000" w:themeColor="text1"/>
        </w:rPr>
        <w:br w:type="page"/>
      </w:r>
    </w:p>
    <w:p w14:paraId="26365E41" w14:textId="77777777" w:rsidR="00DF0F0A" w:rsidRPr="00A81971" w:rsidRDefault="0032495C" w:rsidP="00E04E74">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lastRenderedPageBreak/>
        <w:t xml:space="preserve">Table </w:t>
      </w:r>
      <w:r>
        <w:rPr>
          <w:rFonts w:eastAsia="Yu Mincho"/>
          <w:b/>
          <w:bCs/>
          <w:color w:val="000000"/>
          <w:lang w:val="en-CA"/>
        </w:rPr>
        <w:t>A3.2:</w:t>
      </w:r>
      <w:r w:rsidRPr="0006445E">
        <w:rPr>
          <w:rFonts w:eastAsia="Times New Roman"/>
          <w:color w:val="000000"/>
          <w:lang w:val="en-CA"/>
        </w:rPr>
        <w:tab/>
      </w:r>
      <w:r w:rsidRPr="00A81971">
        <w:rPr>
          <w:b/>
          <w:bCs/>
        </w:rPr>
        <w:t>Resource allocation proposals A and B</w:t>
      </w:r>
      <w:r w:rsidRPr="00A81971">
        <w:rPr>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305"/>
        <w:gridCol w:w="2305"/>
        <w:gridCol w:w="2060"/>
      </w:tblGrid>
      <w:tr w:rsidR="00F90461" w14:paraId="77F70627" w14:textId="77777777" w:rsidTr="00E04E74">
        <w:trPr>
          <w:trHeight w:val="495"/>
        </w:trPr>
        <w:tc>
          <w:tcPr>
            <w:tcW w:w="2405" w:type="dxa"/>
            <w:shd w:val="clear" w:color="auto" w:fill="D9E2F3" w:themeFill="accent1" w:themeFillTint="33"/>
            <w:tcMar>
              <w:left w:w="108" w:type="dxa"/>
              <w:right w:w="108" w:type="dxa"/>
            </w:tcMar>
            <w:vAlign w:val="center"/>
          </w:tcPr>
          <w:p w14:paraId="0ECA9D3D" w14:textId="77777777" w:rsidR="43EEFCCE" w:rsidRPr="00A81971" w:rsidRDefault="0032495C" w:rsidP="43EEFCCE">
            <w:pPr>
              <w:spacing w:after="0"/>
              <w:rPr>
                <w:rFonts w:eastAsia="Times New Roman"/>
                <w:b/>
                <w:bCs/>
                <w:color w:val="000000" w:themeColor="text1"/>
              </w:rPr>
            </w:pPr>
            <w:r w:rsidRPr="00A81971">
              <w:rPr>
                <w:rFonts w:eastAsia="Times New Roman"/>
                <w:b/>
                <w:bCs/>
                <w:color w:val="000000" w:themeColor="text1"/>
              </w:rPr>
              <w:t>Group</w:t>
            </w:r>
          </w:p>
        </w:tc>
        <w:tc>
          <w:tcPr>
            <w:tcW w:w="2305" w:type="dxa"/>
            <w:shd w:val="clear" w:color="auto" w:fill="D9E2F3" w:themeFill="accent1" w:themeFillTint="33"/>
            <w:tcMar>
              <w:left w:w="108" w:type="dxa"/>
              <w:right w:w="108" w:type="dxa"/>
            </w:tcMar>
            <w:vAlign w:val="center"/>
          </w:tcPr>
          <w:p w14:paraId="0DFED46D" w14:textId="77777777" w:rsidR="43EEFCCE" w:rsidRPr="00A81971" w:rsidRDefault="0032495C" w:rsidP="43EEFCCE">
            <w:pPr>
              <w:spacing w:after="0"/>
              <w:jc w:val="center"/>
              <w:rPr>
                <w:rFonts w:eastAsia="Times New Roman"/>
                <w:b/>
                <w:bCs/>
                <w:color w:val="000000" w:themeColor="text1"/>
              </w:rPr>
            </w:pPr>
            <w:r w:rsidRPr="00A81971">
              <w:rPr>
                <w:rFonts w:eastAsia="Times New Roman"/>
                <w:b/>
                <w:bCs/>
                <w:color w:val="000000" w:themeColor="text1"/>
              </w:rPr>
              <w:t>KIP Stage</w:t>
            </w:r>
          </w:p>
        </w:tc>
        <w:tc>
          <w:tcPr>
            <w:tcW w:w="2305" w:type="dxa"/>
            <w:shd w:val="clear" w:color="auto" w:fill="C5E0B3" w:themeFill="accent6" w:themeFillTint="66"/>
            <w:tcMar>
              <w:left w:w="108" w:type="dxa"/>
              <w:right w:w="108" w:type="dxa"/>
            </w:tcMar>
            <w:vAlign w:val="center"/>
          </w:tcPr>
          <w:p w14:paraId="042813F9" w14:textId="77777777" w:rsidR="43EEFCCE" w:rsidRPr="00A81971" w:rsidRDefault="0032495C" w:rsidP="43EEFCCE">
            <w:pPr>
              <w:spacing w:after="0"/>
              <w:jc w:val="center"/>
              <w:rPr>
                <w:rFonts w:eastAsia="Times New Roman"/>
                <w:b/>
                <w:bCs/>
                <w:color w:val="000000" w:themeColor="text1"/>
              </w:rPr>
            </w:pPr>
            <w:r w:rsidRPr="00A81971">
              <w:rPr>
                <w:rFonts w:eastAsia="Times New Roman"/>
                <w:b/>
                <w:bCs/>
                <w:color w:val="000000" w:themeColor="text1"/>
              </w:rPr>
              <w:t>Schedule A</w:t>
            </w:r>
          </w:p>
          <w:p w14:paraId="1092D7AE" w14:textId="77777777" w:rsidR="43EEFCCE" w:rsidRPr="00A81971" w:rsidRDefault="0032495C" w:rsidP="43EEFCCE">
            <w:pPr>
              <w:spacing w:after="0"/>
              <w:jc w:val="center"/>
              <w:rPr>
                <w:rFonts w:eastAsia="Times New Roman"/>
                <w:b/>
                <w:bCs/>
                <w:color w:val="000000" w:themeColor="text1"/>
              </w:rPr>
            </w:pPr>
            <w:r w:rsidRPr="00A81971">
              <w:rPr>
                <w:rFonts w:eastAsia="Times New Roman"/>
                <w:b/>
                <w:bCs/>
                <w:color w:val="000000" w:themeColor="text1"/>
              </w:rPr>
              <w:t>(% per triennium)</w:t>
            </w:r>
          </w:p>
        </w:tc>
        <w:tc>
          <w:tcPr>
            <w:tcW w:w="2060" w:type="dxa"/>
            <w:shd w:val="clear" w:color="auto" w:fill="FFE599" w:themeFill="accent4" w:themeFillTint="66"/>
            <w:tcMar>
              <w:left w:w="108" w:type="dxa"/>
              <w:right w:w="108" w:type="dxa"/>
            </w:tcMar>
            <w:vAlign w:val="center"/>
          </w:tcPr>
          <w:p w14:paraId="6C68E5BB" w14:textId="77777777" w:rsidR="43EEFCCE" w:rsidRPr="00A81971" w:rsidRDefault="0032495C" w:rsidP="43EEFCCE">
            <w:pPr>
              <w:spacing w:after="0"/>
              <w:jc w:val="center"/>
              <w:rPr>
                <w:rFonts w:eastAsia="Times New Roman"/>
                <w:b/>
                <w:bCs/>
                <w:color w:val="000000" w:themeColor="text1"/>
              </w:rPr>
            </w:pPr>
            <w:r w:rsidRPr="00A81971">
              <w:rPr>
                <w:rFonts w:eastAsia="Times New Roman"/>
                <w:b/>
                <w:bCs/>
                <w:color w:val="000000" w:themeColor="text1"/>
              </w:rPr>
              <w:t>Schedule B</w:t>
            </w:r>
          </w:p>
          <w:p w14:paraId="0F4227A1" w14:textId="77777777" w:rsidR="43EEFCCE" w:rsidRPr="00A81971" w:rsidRDefault="0032495C" w:rsidP="43EEFCCE">
            <w:pPr>
              <w:spacing w:after="0"/>
              <w:jc w:val="center"/>
              <w:rPr>
                <w:rFonts w:eastAsia="Times New Roman"/>
                <w:b/>
                <w:bCs/>
                <w:color w:val="000000" w:themeColor="text1"/>
              </w:rPr>
            </w:pPr>
            <w:r w:rsidRPr="00A81971">
              <w:rPr>
                <w:rFonts w:eastAsia="Times New Roman"/>
                <w:b/>
                <w:bCs/>
                <w:color w:val="000000" w:themeColor="text1"/>
              </w:rPr>
              <w:t>(% per triennium)</w:t>
            </w:r>
          </w:p>
        </w:tc>
      </w:tr>
      <w:tr w:rsidR="00F90461" w14:paraId="11775BF0" w14:textId="77777777" w:rsidTr="00E04E74">
        <w:trPr>
          <w:trHeight w:val="495"/>
        </w:trPr>
        <w:tc>
          <w:tcPr>
            <w:tcW w:w="2405" w:type="dxa"/>
            <w:vMerge w:val="restart"/>
            <w:tcMar>
              <w:left w:w="108" w:type="dxa"/>
              <w:right w:w="108" w:type="dxa"/>
            </w:tcMar>
            <w:vAlign w:val="center"/>
          </w:tcPr>
          <w:p w14:paraId="5AB40EFC"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 xml:space="preserve">G1 parties without KIPs </w:t>
            </w:r>
          </w:p>
        </w:tc>
        <w:tc>
          <w:tcPr>
            <w:tcW w:w="2305" w:type="dxa"/>
            <w:tcMar>
              <w:left w:w="108" w:type="dxa"/>
              <w:right w:w="108" w:type="dxa"/>
            </w:tcMar>
            <w:vAlign w:val="center"/>
          </w:tcPr>
          <w:p w14:paraId="48AFCD76"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I</w:t>
            </w:r>
          </w:p>
        </w:tc>
        <w:tc>
          <w:tcPr>
            <w:tcW w:w="2305" w:type="dxa"/>
            <w:shd w:val="clear" w:color="auto" w:fill="E2EFD9" w:themeFill="accent6" w:themeFillTint="33"/>
            <w:tcMar>
              <w:left w:w="108" w:type="dxa"/>
              <w:right w:w="108" w:type="dxa"/>
            </w:tcMar>
            <w:vAlign w:val="center"/>
          </w:tcPr>
          <w:p w14:paraId="1B6A01A2"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100% - 2027-2029</w:t>
            </w:r>
          </w:p>
        </w:tc>
        <w:tc>
          <w:tcPr>
            <w:tcW w:w="2060" w:type="dxa"/>
            <w:shd w:val="clear" w:color="auto" w:fill="FFF2CC" w:themeFill="accent4" w:themeFillTint="33"/>
            <w:tcMar>
              <w:left w:w="108" w:type="dxa"/>
              <w:right w:w="108" w:type="dxa"/>
            </w:tcMar>
            <w:vAlign w:val="center"/>
          </w:tcPr>
          <w:p w14:paraId="4CCD6E8E"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90% - 2027-2029</w:t>
            </w:r>
          </w:p>
          <w:p w14:paraId="00171B1A"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10% - 2030-2032</w:t>
            </w:r>
          </w:p>
        </w:tc>
      </w:tr>
      <w:tr w:rsidR="00F90461" w14:paraId="0672B022" w14:textId="77777777" w:rsidTr="00E04E74">
        <w:trPr>
          <w:trHeight w:val="420"/>
        </w:trPr>
        <w:tc>
          <w:tcPr>
            <w:tcW w:w="2405" w:type="dxa"/>
            <w:vMerge/>
            <w:vAlign w:val="center"/>
          </w:tcPr>
          <w:p w14:paraId="2B0EAF1A" w14:textId="77777777" w:rsidR="007B2372" w:rsidRPr="00A81971" w:rsidRDefault="007B2372"/>
        </w:tc>
        <w:tc>
          <w:tcPr>
            <w:tcW w:w="2305" w:type="dxa"/>
            <w:tcMar>
              <w:left w:w="108" w:type="dxa"/>
              <w:right w:w="108" w:type="dxa"/>
            </w:tcMar>
            <w:vAlign w:val="center"/>
          </w:tcPr>
          <w:p w14:paraId="6D604051"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II</w:t>
            </w:r>
          </w:p>
        </w:tc>
        <w:tc>
          <w:tcPr>
            <w:tcW w:w="2305" w:type="dxa"/>
            <w:shd w:val="clear" w:color="auto" w:fill="E2EFD9" w:themeFill="accent6" w:themeFillTint="33"/>
            <w:tcMar>
              <w:left w:w="108" w:type="dxa"/>
              <w:right w:w="108" w:type="dxa"/>
            </w:tcMar>
            <w:vAlign w:val="center"/>
          </w:tcPr>
          <w:p w14:paraId="2090632E"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60% - 2030-2032</w:t>
            </w:r>
          </w:p>
          <w:p w14:paraId="5E39AA02"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40% - 2033-2035</w:t>
            </w:r>
          </w:p>
        </w:tc>
        <w:tc>
          <w:tcPr>
            <w:tcW w:w="2060" w:type="dxa"/>
            <w:shd w:val="clear" w:color="auto" w:fill="E2EFD9" w:themeFill="accent6" w:themeFillTint="33"/>
            <w:tcMar>
              <w:left w:w="108" w:type="dxa"/>
              <w:right w:w="108" w:type="dxa"/>
            </w:tcMar>
            <w:vAlign w:val="center"/>
          </w:tcPr>
          <w:p w14:paraId="653C07CF"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60% - 2030-2032</w:t>
            </w:r>
          </w:p>
          <w:p w14:paraId="4B047E6B"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40% - 2033-2035</w:t>
            </w:r>
          </w:p>
        </w:tc>
      </w:tr>
      <w:tr w:rsidR="00F90461" w14:paraId="4B780DB9" w14:textId="77777777" w:rsidTr="00E04E74">
        <w:trPr>
          <w:trHeight w:val="390"/>
        </w:trPr>
        <w:tc>
          <w:tcPr>
            <w:tcW w:w="2405" w:type="dxa"/>
            <w:tcMar>
              <w:left w:w="108" w:type="dxa"/>
              <w:right w:w="108" w:type="dxa"/>
            </w:tcMar>
            <w:vAlign w:val="center"/>
          </w:tcPr>
          <w:p w14:paraId="78DBB2FC"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 xml:space="preserve">A5 G1 parties with KIPs  </w:t>
            </w:r>
          </w:p>
        </w:tc>
        <w:tc>
          <w:tcPr>
            <w:tcW w:w="2305" w:type="dxa"/>
            <w:tcMar>
              <w:left w:w="108" w:type="dxa"/>
              <w:right w:w="108" w:type="dxa"/>
            </w:tcMar>
            <w:vAlign w:val="center"/>
          </w:tcPr>
          <w:p w14:paraId="1F6E54F3"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II</w:t>
            </w:r>
          </w:p>
        </w:tc>
        <w:tc>
          <w:tcPr>
            <w:tcW w:w="2305" w:type="dxa"/>
            <w:shd w:val="clear" w:color="auto" w:fill="E2EFD9" w:themeFill="accent6" w:themeFillTint="33"/>
            <w:tcMar>
              <w:left w:w="108" w:type="dxa"/>
              <w:right w:w="108" w:type="dxa"/>
            </w:tcMar>
            <w:vAlign w:val="center"/>
          </w:tcPr>
          <w:p w14:paraId="66BDBB3A"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60% - 2027-2029</w:t>
            </w:r>
          </w:p>
          <w:p w14:paraId="17C48ED1"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40% - 2030-2032</w:t>
            </w:r>
          </w:p>
        </w:tc>
        <w:tc>
          <w:tcPr>
            <w:tcW w:w="2060" w:type="dxa"/>
            <w:shd w:val="clear" w:color="auto" w:fill="FFF2CC" w:themeFill="accent4" w:themeFillTint="33"/>
            <w:tcMar>
              <w:left w:w="108" w:type="dxa"/>
              <w:right w:w="108" w:type="dxa"/>
            </w:tcMar>
            <w:vAlign w:val="center"/>
          </w:tcPr>
          <w:p w14:paraId="6AA7AD3B"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60% - 2030-2032</w:t>
            </w:r>
          </w:p>
          <w:p w14:paraId="3DADB150"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40% - 2033-2035</w:t>
            </w:r>
          </w:p>
        </w:tc>
      </w:tr>
      <w:tr w:rsidR="00F90461" w14:paraId="463F8E1F" w14:textId="77777777" w:rsidTr="00E04E74">
        <w:trPr>
          <w:trHeight w:val="285"/>
        </w:trPr>
        <w:tc>
          <w:tcPr>
            <w:tcW w:w="2405" w:type="dxa"/>
            <w:tcMar>
              <w:left w:w="108" w:type="dxa"/>
              <w:right w:w="108" w:type="dxa"/>
            </w:tcMar>
            <w:vAlign w:val="center"/>
          </w:tcPr>
          <w:p w14:paraId="57B34CDF" w14:textId="77777777" w:rsidR="43EEFCCE" w:rsidRPr="00A81971" w:rsidRDefault="0032495C" w:rsidP="43EEFCCE">
            <w:pPr>
              <w:spacing w:after="0"/>
              <w:rPr>
                <w:rFonts w:eastAsia="Times New Roman"/>
                <w:color w:val="000000" w:themeColor="text1"/>
              </w:rPr>
            </w:pPr>
            <w:r w:rsidRPr="00A81971">
              <w:rPr>
                <w:rFonts w:eastAsia="Times New Roman"/>
                <w:color w:val="000000" w:themeColor="text1"/>
              </w:rPr>
              <w:t xml:space="preserve">A5 G2 parties without KIPs  </w:t>
            </w:r>
          </w:p>
        </w:tc>
        <w:tc>
          <w:tcPr>
            <w:tcW w:w="2305" w:type="dxa"/>
            <w:tcMar>
              <w:left w:w="108" w:type="dxa"/>
              <w:right w:w="108" w:type="dxa"/>
            </w:tcMar>
            <w:vAlign w:val="center"/>
          </w:tcPr>
          <w:p w14:paraId="1498D89D"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I</w:t>
            </w:r>
          </w:p>
        </w:tc>
        <w:tc>
          <w:tcPr>
            <w:tcW w:w="2305" w:type="dxa"/>
            <w:shd w:val="clear" w:color="auto" w:fill="E2EFD9" w:themeFill="accent6" w:themeFillTint="33"/>
            <w:tcMar>
              <w:left w:w="108" w:type="dxa"/>
              <w:right w:w="108" w:type="dxa"/>
            </w:tcMar>
            <w:vAlign w:val="center"/>
          </w:tcPr>
          <w:p w14:paraId="46BAAB18"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60% - 2027-2029</w:t>
            </w:r>
          </w:p>
          <w:p w14:paraId="02428A12"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40% - 2030-2032</w:t>
            </w:r>
          </w:p>
        </w:tc>
        <w:tc>
          <w:tcPr>
            <w:tcW w:w="2060" w:type="dxa"/>
            <w:shd w:val="clear" w:color="auto" w:fill="FFF2CC" w:themeFill="accent4" w:themeFillTint="33"/>
            <w:tcMar>
              <w:left w:w="108" w:type="dxa"/>
              <w:right w:w="108" w:type="dxa"/>
            </w:tcMar>
            <w:vAlign w:val="center"/>
          </w:tcPr>
          <w:p w14:paraId="4DB7798E"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90% - 2030-2032</w:t>
            </w:r>
          </w:p>
          <w:p w14:paraId="12BF0C17" w14:textId="77777777" w:rsidR="43EEFCCE" w:rsidRPr="00A81971" w:rsidRDefault="0032495C" w:rsidP="43EEFCCE">
            <w:pPr>
              <w:spacing w:after="0"/>
              <w:jc w:val="center"/>
              <w:rPr>
                <w:rFonts w:eastAsia="Times New Roman"/>
                <w:color w:val="000000" w:themeColor="text1"/>
              </w:rPr>
            </w:pPr>
            <w:r w:rsidRPr="00A81971">
              <w:rPr>
                <w:rFonts w:eastAsia="Times New Roman"/>
                <w:color w:val="000000" w:themeColor="text1"/>
              </w:rPr>
              <w:t>10% - 2033-2035</w:t>
            </w:r>
          </w:p>
        </w:tc>
      </w:tr>
    </w:tbl>
    <w:p w14:paraId="0F3C04D8" w14:textId="77777777" w:rsidR="00793ABA" w:rsidRPr="00A81971" w:rsidRDefault="0032495C" w:rsidP="007B47FE">
      <w:pPr>
        <w:spacing w:before="120" w:after="120"/>
        <w:rPr>
          <w:rFonts w:eastAsia="Times New Roman"/>
          <w:color w:val="000000" w:themeColor="text1"/>
        </w:rPr>
      </w:pPr>
      <w:r w:rsidRPr="00A81971">
        <w:rPr>
          <w:rFonts w:eastAsia="Times New Roman"/>
          <w:color w:val="000000" w:themeColor="text1"/>
        </w:rPr>
        <w:t xml:space="preserve"> For both proposals (A and B), RTF assumed full ratification for G1 and G2 parties by 2029.</w:t>
      </w:r>
    </w:p>
    <w:p w14:paraId="0C92942F" w14:textId="77777777" w:rsidR="0020040C" w:rsidRPr="00A81971" w:rsidRDefault="0032495C" w:rsidP="43EEFCCE">
      <w:pPr>
        <w:spacing w:after="240"/>
        <w:rPr>
          <w:rFonts w:eastAsia="Times New Roman"/>
          <w:color w:val="000000" w:themeColor="text1"/>
        </w:rPr>
      </w:pPr>
      <w:r w:rsidRPr="00A81971">
        <w:rPr>
          <w:rFonts w:eastAsia="Times New Roman"/>
          <w:color w:val="000000" w:themeColor="text1"/>
        </w:rPr>
        <w:t>The resource allocation proposals are applied to both scenarios. It is important to emphasise that the total funding for the 3 triennia for Stage I plus Stage II, changes depending on the scenario, but the allocation does not affect the total funding. The total funding per scenario only shifts from one triennium to another.</w:t>
      </w:r>
    </w:p>
    <w:p w14:paraId="6E4B8E03" w14:textId="77777777" w:rsidR="0020040C" w:rsidRPr="00A81971" w:rsidRDefault="0032495C" w:rsidP="00201CFA">
      <w:pPr>
        <w:pStyle w:val="Heading2"/>
      </w:pPr>
      <w:r w:rsidRPr="00A81971">
        <w:t xml:space="preserve"> </w:t>
      </w:r>
      <w:bookmarkStart w:id="246" w:name="_Toc240987351"/>
      <w:r w:rsidRPr="00A81971">
        <w:t>A3.3</w:t>
      </w:r>
      <w:r w:rsidR="00925FA3" w:rsidRPr="00A81971">
        <w:tab/>
      </w:r>
      <w:r w:rsidR="00925FA3" w:rsidRPr="00A81971">
        <w:tab/>
      </w:r>
      <w:r w:rsidRPr="00A81971">
        <w:t xml:space="preserve">HFC </w:t>
      </w:r>
      <w:r w:rsidR="00925FA3" w:rsidRPr="00A81971">
        <w:t>SCENARIO 1 updated estimated funding</w:t>
      </w:r>
      <w:bookmarkEnd w:id="246"/>
    </w:p>
    <w:p w14:paraId="6393F91B" w14:textId="77777777" w:rsidR="00D66852" w:rsidRPr="00A81971" w:rsidRDefault="0032495C" w:rsidP="00D66852">
      <w:pPr>
        <w:spacing w:after="0"/>
        <w:rPr>
          <w:rFonts w:eastAsia="Yu Mincho"/>
          <w:b/>
          <w:bCs/>
          <w:color w:val="000000"/>
        </w:rPr>
      </w:pPr>
      <w:r w:rsidRPr="00A81971">
        <w:rPr>
          <w:rFonts w:eastAsia="Times New Roman"/>
          <w:color w:val="000000"/>
        </w:rPr>
        <w:t>The methodology used for funding calculations</w:t>
      </w:r>
      <w:r w:rsidR="006157E8" w:rsidRPr="00A81971">
        <w:rPr>
          <w:rFonts w:eastAsia="Times New Roman"/>
          <w:color w:val="000000"/>
        </w:rPr>
        <w:t xml:space="preserve"> for</w:t>
      </w:r>
      <w:r w:rsidRPr="00A81971">
        <w:rPr>
          <w:rFonts w:eastAsia="Times New Roman"/>
          <w:color w:val="000000"/>
        </w:rPr>
        <w:t xml:space="preserve"> </w:t>
      </w:r>
      <w:r w:rsidRPr="00A81971">
        <w:rPr>
          <w:rFonts w:eastAsia="Times New Roman"/>
          <w:b/>
          <w:bCs/>
          <w:color w:val="000000"/>
        </w:rPr>
        <w:t xml:space="preserve">HFC Scenario 1, </w:t>
      </w:r>
      <w:r w:rsidRPr="00A81971">
        <w:rPr>
          <w:rFonts w:eastAsia="Times New Roman"/>
          <w:color w:val="000000"/>
        </w:rPr>
        <w:t xml:space="preserve">was based on cost guidelines sector CEs applied to sector remaining consumption (converted to metric tonnes), and according to the reduction target for each individual party (bearing in mind the consumption already addressed by approved KIP Stage I). The CE values applied are shown in Table </w:t>
      </w:r>
      <w:r w:rsidR="00130DFB" w:rsidRPr="00A81971">
        <w:rPr>
          <w:rFonts w:eastAsia="Times New Roman"/>
          <w:color w:val="000000"/>
        </w:rPr>
        <w:t>A3.3</w:t>
      </w:r>
      <w:r w:rsidR="00B41BEA" w:rsidRPr="00A81971">
        <w:rPr>
          <w:rFonts w:eastAsia="Times New Roman"/>
          <w:color w:val="000000"/>
        </w:rPr>
        <w:t xml:space="preserve"> </w:t>
      </w:r>
      <w:r w:rsidRPr="00A81971">
        <w:rPr>
          <w:rFonts w:eastAsia="Times New Roman"/>
          <w:color w:val="000000"/>
        </w:rPr>
        <w:t>below.</w:t>
      </w:r>
    </w:p>
    <w:p w14:paraId="3EC86FED" w14:textId="77777777" w:rsidR="007B47FE" w:rsidRPr="00A81971" w:rsidRDefault="007B47FE" w:rsidP="00D66852">
      <w:pPr>
        <w:tabs>
          <w:tab w:val="left" w:pos="0"/>
          <w:tab w:val="left" w:pos="1276"/>
        </w:tabs>
        <w:spacing w:after="120"/>
        <w:ind w:left="1134" w:hanging="1134"/>
        <w:rPr>
          <w:rFonts w:eastAsia="Yu Mincho"/>
          <w:b/>
          <w:bCs/>
          <w:color w:val="000000"/>
        </w:rPr>
      </w:pPr>
    </w:p>
    <w:p w14:paraId="2A7ABF40" w14:textId="77777777" w:rsidR="00D66852" w:rsidRPr="00A81971" w:rsidRDefault="0032495C" w:rsidP="00BD6D9B">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t xml:space="preserve">Table </w:t>
      </w:r>
      <w:r>
        <w:rPr>
          <w:rFonts w:eastAsia="Yu Mincho"/>
          <w:b/>
          <w:bCs/>
          <w:color w:val="000000"/>
          <w:lang w:val="en-CA"/>
        </w:rPr>
        <w:t>A3.3:</w:t>
      </w:r>
      <w:r w:rsidRPr="0006445E">
        <w:rPr>
          <w:rFonts w:eastAsia="Times New Roman"/>
          <w:color w:val="000000"/>
          <w:lang w:val="en-CA"/>
        </w:rPr>
        <w:tab/>
      </w:r>
      <w:r w:rsidRPr="00A81971">
        <w:rPr>
          <w:rFonts w:eastAsia="Times New Roman"/>
          <w:b/>
          <w:bCs/>
          <w:color w:val="000000"/>
        </w:rPr>
        <w:t>CE thresholds used for HFC Scenario 1</w:t>
      </w:r>
      <w:r w:rsidRPr="00A81971">
        <w:rPr>
          <w:rFonts w:eastAsia="Times New Roman"/>
          <w:color w:val="000000"/>
        </w:rPr>
        <w:t>*</w:t>
      </w:r>
      <w:r w:rsidRPr="00A81971">
        <w:rPr>
          <w:rFonts w:eastAsia="Times New Roman"/>
          <w:color w:val="000000"/>
        </w:rPr>
        <w:tab/>
      </w:r>
    </w:p>
    <w:p w14:paraId="4207C029" w14:textId="77777777" w:rsidR="00D66852" w:rsidRPr="00A81971" w:rsidRDefault="0032495C" w:rsidP="00D66852">
      <w:pPr>
        <w:tabs>
          <w:tab w:val="left" w:pos="0"/>
        </w:tabs>
        <w:spacing w:after="0"/>
        <w:jc w:val="both"/>
        <w:rPr>
          <w:rFonts w:eastAsia="Times New Roman"/>
          <w:color w:val="000000"/>
        </w:rPr>
      </w:pPr>
      <w:r w:rsidRPr="00A81971">
        <w:rPr>
          <w:rFonts w:eastAsia="Times New Roman"/>
          <w:noProof/>
          <w:color w:val="000000"/>
        </w:rPr>
        <w:drawing>
          <wp:inline distT="0" distB="0" distL="0" distR="0" wp14:anchorId="0446E752" wp14:editId="2F24E4D2">
            <wp:extent cx="5962650" cy="1323975"/>
            <wp:effectExtent l="0" t="0" r="0" b="0"/>
            <wp:docPr id="546113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13956" name="Picture 546113956"/>
                    <pic:cNvPicPr/>
                  </pic:nvPicPr>
                  <pic:blipFill>
                    <a:blip r:embed="rId47">
                      <a:extLst>
                        <a:ext uri="{28A0092B-C50C-407E-A947-70E740481C1C}">
                          <a14:useLocalDpi xmlns:a14="http://schemas.microsoft.com/office/drawing/2010/main" val="0"/>
                        </a:ext>
                      </a:extLst>
                    </a:blip>
                    <a:stretch>
                      <a:fillRect/>
                    </a:stretch>
                  </pic:blipFill>
                  <pic:spPr>
                    <a:xfrm>
                      <a:off x="0" y="0"/>
                      <a:ext cx="5962650" cy="1323975"/>
                    </a:xfrm>
                    <a:prstGeom prst="rect">
                      <a:avLst/>
                    </a:prstGeom>
                  </pic:spPr>
                </pic:pic>
              </a:graphicData>
            </a:graphic>
          </wp:inline>
        </w:drawing>
      </w:r>
    </w:p>
    <w:p w14:paraId="3E63AA6E" w14:textId="77777777" w:rsidR="00D66852" w:rsidRPr="00A81971" w:rsidRDefault="0032495C" w:rsidP="00D66852">
      <w:pPr>
        <w:tabs>
          <w:tab w:val="left" w:pos="0"/>
        </w:tabs>
        <w:spacing w:after="240" w:line="257" w:lineRule="auto"/>
        <w:jc w:val="both"/>
        <w:rPr>
          <w:rFonts w:eastAsia="Times New Roman"/>
          <w:color w:val="000000"/>
          <w:sz w:val="18"/>
          <w:szCs w:val="18"/>
        </w:rPr>
      </w:pPr>
      <w:r w:rsidRPr="00A81971">
        <w:rPr>
          <w:rFonts w:eastAsia="Times New Roman"/>
          <w:color w:val="000000"/>
          <w:sz w:val="18"/>
          <w:szCs w:val="18"/>
        </w:rPr>
        <w:t>*Case by case sector CEs: For industrial/transport refrigeration RTF used same CE as for commercial refrigeration (16.50 $/kg); for Solvents used average in Table 12 of document 89/10/Rev1 (10.13 $/kg); for Refr. and Air Conditioning (AC) manufacturing/other, used 15.75, that is the average of 10.50 and 15 (CEs for Com Refr. and Com. AC). Other case by case sectors, RTF suggested CEs (Aerosol, Fire Extinguishing. and Other). Same CEs for all countries/groups. RTF included mobile air conditioning (MAC) in Refrigeration AC Manufacturing/ Other.</w:t>
      </w:r>
    </w:p>
    <w:p w14:paraId="108E0705" w14:textId="77777777" w:rsidR="00D66852" w:rsidRPr="00A81971" w:rsidRDefault="0032495C" w:rsidP="00D66852">
      <w:pPr>
        <w:tabs>
          <w:tab w:val="left" w:pos="0"/>
        </w:tabs>
        <w:spacing w:after="0"/>
        <w:jc w:val="both"/>
        <w:rPr>
          <w:rFonts w:eastAsia="Times New Roman"/>
          <w:color w:val="000000"/>
        </w:rPr>
      </w:pPr>
      <w:r w:rsidRPr="00A81971">
        <w:rPr>
          <w:rFonts w:eastAsia="Times New Roman"/>
          <w:color w:val="000000"/>
        </w:rPr>
        <w:t xml:space="preserve">The </w:t>
      </w:r>
      <w:r w:rsidR="00B41BEA" w:rsidRPr="00A81971">
        <w:rPr>
          <w:rFonts w:eastAsia="Times New Roman"/>
          <w:color w:val="000000"/>
        </w:rPr>
        <w:t xml:space="preserve">updated </w:t>
      </w:r>
      <w:r w:rsidRPr="00A81971">
        <w:rPr>
          <w:rFonts w:eastAsia="Times New Roman"/>
          <w:color w:val="000000"/>
        </w:rPr>
        <w:t xml:space="preserve">total funding estimates for three triennia (9 years) to reach Stage I (10% reduction by 2029), and Stage II (30% reduction by 2035), for CE Scenario I, are presented in Table </w:t>
      </w:r>
      <w:r w:rsidR="00DF4B54" w:rsidRPr="00A81971">
        <w:rPr>
          <w:rFonts w:eastAsia="Times New Roman"/>
          <w:color w:val="000000"/>
        </w:rPr>
        <w:t>A3.4</w:t>
      </w:r>
      <w:r w:rsidRPr="00A81971">
        <w:rPr>
          <w:rFonts w:eastAsia="Times New Roman"/>
          <w:color w:val="000000"/>
        </w:rPr>
        <w:t xml:space="preserve">, totaling </w:t>
      </w:r>
      <w:r w:rsidRPr="00A81971">
        <w:rPr>
          <w:rFonts w:eastAsia="Times New Roman"/>
          <w:b/>
          <w:bCs/>
          <w:color w:val="000000"/>
        </w:rPr>
        <w:t>US$ 2,1</w:t>
      </w:r>
      <w:r w:rsidR="00CF4B2C" w:rsidRPr="00A81971">
        <w:rPr>
          <w:rFonts w:eastAsia="Times New Roman"/>
          <w:b/>
          <w:bCs/>
          <w:color w:val="000000"/>
        </w:rPr>
        <w:t>55</w:t>
      </w:r>
      <w:r w:rsidR="008B6CCA" w:rsidRPr="00A81971">
        <w:rPr>
          <w:rFonts w:eastAsia="Times New Roman"/>
          <w:b/>
          <w:bCs/>
          <w:color w:val="000000"/>
        </w:rPr>
        <w:t>.08</w:t>
      </w:r>
      <w:r w:rsidRPr="00A81971">
        <w:rPr>
          <w:rFonts w:eastAsia="Times New Roman"/>
          <w:b/>
          <w:bCs/>
          <w:color w:val="000000"/>
        </w:rPr>
        <w:t xml:space="preserve"> million</w:t>
      </w:r>
      <w:r w:rsidRPr="00A81971">
        <w:rPr>
          <w:rFonts w:eastAsia="Times New Roman"/>
          <w:color w:val="000000"/>
        </w:rPr>
        <w:t xml:space="preserve"> (rounded)</w:t>
      </w:r>
      <w:r w:rsidR="00AE4E79" w:rsidRPr="00A81971">
        <w:rPr>
          <w:rFonts w:eastAsia="Times New Roman"/>
          <w:color w:val="000000"/>
        </w:rPr>
        <w:t xml:space="preserve"> (compared to US$ 2,190.44</w:t>
      </w:r>
      <w:r w:rsidR="008B6CCA" w:rsidRPr="00A81971">
        <w:rPr>
          <w:rFonts w:eastAsia="Times New Roman"/>
          <w:color w:val="000000"/>
        </w:rPr>
        <w:t xml:space="preserve"> million from the May 2026 Report)</w:t>
      </w:r>
      <w:r w:rsidRPr="00A81971">
        <w:rPr>
          <w:rFonts w:eastAsia="Times New Roman"/>
          <w:color w:val="000000"/>
        </w:rPr>
        <w:t xml:space="preserve">. </w:t>
      </w:r>
    </w:p>
    <w:p w14:paraId="33B0021D" w14:textId="77777777" w:rsidR="00D66852" w:rsidRPr="00A81971" w:rsidRDefault="00D66852" w:rsidP="00D66852">
      <w:pPr>
        <w:tabs>
          <w:tab w:val="left" w:pos="0"/>
        </w:tabs>
        <w:spacing w:after="0"/>
        <w:jc w:val="both"/>
        <w:rPr>
          <w:rFonts w:eastAsia="Times New Roman"/>
          <w:color w:val="000000"/>
        </w:rPr>
      </w:pPr>
    </w:p>
    <w:p w14:paraId="024DEE54" w14:textId="77777777" w:rsidR="00D66852" w:rsidRPr="00A81971" w:rsidRDefault="00D66852" w:rsidP="00D66852">
      <w:pPr>
        <w:tabs>
          <w:tab w:val="left" w:pos="0"/>
        </w:tabs>
        <w:spacing w:after="0"/>
        <w:jc w:val="both"/>
        <w:rPr>
          <w:rFonts w:eastAsia="Times New Roman"/>
          <w:color w:val="000000"/>
        </w:rPr>
        <w:sectPr w:rsidR="00D66852" w:rsidRPr="00A81971" w:rsidSect="00924C53">
          <w:type w:val="oddPage"/>
          <w:pgSz w:w="11906" w:h="16838" w:code="9"/>
          <w:pgMar w:top="1411" w:right="1411" w:bottom="1411" w:left="1411" w:header="706" w:footer="706" w:gutter="0"/>
          <w:cols w:space="708"/>
          <w:docGrid w:linePitch="360"/>
        </w:sectPr>
      </w:pPr>
    </w:p>
    <w:p w14:paraId="02BCAD30" w14:textId="77777777" w:rsidR="00D66852" w:rsidRPr="00A81971" w:rsidRDefault="0032495C" w:rsidP="00054351">
      <w:pPr>
        <w:tabs>
          <w:tab w:val="left" w:pos="0"/>
          <w:tab w:val="left" w:pos="1276"/>
        </w:tabs>
        <w:spacing w:after="120"/>
        <w:ind w:left="1282" w:hanging="1282"/>
        <w:rPr>
          <w:rFonts w:eastAsia="Times New Roman"/>
          <w:color w:val="000000"/>
        </w:rPr>
      </w:pPr>
      <w:r w:rsidRPr="0006445E">
        <w:rPr>
          <w:rFonts w:eastAsia="Yu Mincho"/>
          <w:b/>
          <w:bCs/>
          <w:color w:val="000000"/>
          <w:lang w:val="en-CA"/>
        </w:rPr>
        <w:lastRenderedPageBreak/>
        <w:t xml:space="preserve">Table </w:t>
      </w:r>
      <w:r>
        <w:rPr>
          <w:rFonts w:eastAsia="Yu Mincho"/>
          <w:b/>
          <w:bCs/>
          <w:color w:val="000000"/>
          <w:lang w:val="en-CA"/>
        </w:rPr>
        <w:t>A3.4:</w:t>
      </w:r>
      <w:r w:rsidRPr="0006445E">
        <w:rPr>
          <w:rFonts w:eastAsia="Times New Roman"/>
          <w:color w:val="000000"/>
          <w:lang w:val="en-CA"/>
        </w:rPr>
        <w:tab/>
      </w:r>
      <w:r w:rsidR="00054351" w:rsidRPr="00A81971">
        <w:rPr>
          <w:rFonts w:eastAsia="Times New Roman"/>
          <w:b/>
          <w:bCs/>
          <w:color w:val="000000"/>
        </w:rPr>
        <w:t>Updated Funding Estimates for HFC Scenario 1 considering Stage</w:t>
      </w:r>
      <w:r w:rsidR="00311D9D">
        <w:rPr>
          <w:rFonts w:eastAsia="Times New Roman"/>
          <w:b/>
          <w:bCs/>
          <w:color w:val="000000"/>
        </w:rPr>
        <w:t>s</w:t>
      </w:r>
      <w:r w:rsidR="00054351" w:rsidRPr="00A81971">
        <w:rPr>
          <w:rFonts w:eastAsia="Times New Roman"/>
          <w:b/>
          <w:bCs/>
          <w:color w:val="000000"/>
        </w:rPr>
        <w:t xml:space="preserve"> I and II Targets (US$ million)</w:t>
      </w:r>
    </w:p>
    <w:tbl>
      <w:tblPr>
        <w:tblW w:w="14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54"/>
        <w:gridCol w:w="1764"/>
        <w:gridCol w:w="1847"/>
        <w:gridCol w:w="2742"/>
        <w:gridCol w:w="769"/>
        <w:gridCol w:w="2738"/>
        <w:gridCol w:w="2877"/>
      </w:tblGrid>
      <w:tr w:rsidR="00F90461" w14:paraId="5AC313BC" w14:textId="77777777" w:rsidTr="2E7655E2">
        <w:trPr>
          <w:trHeight w:val="404"/>
        </w:trPr>
        <w:tc>
          <w:tcPr>
            <w:tcW w:w="1965" w:type="dxa"/>
            <w:shd w:val="clear" w:color="auto" w:fill="002060"/>
            <w:tcMar>
              <w:top w:w="11" w:type="dxa"/>
              <w:left w:w="11" w:type="dxa"/>
              <w:bottom w:w="0" w:type="dxa"/>
              <w:right w:w="11" w:type="dxa"/>
            </w:tcMar>
            <w:vAlign w:val="bottom"/>
            <w:hideMark/>
          </w:tcPr>
          <w:p w14:paraId="1B4CC569" w14:textId="77777777" w:rsidR="007E2D63" w:rsidRPr="00054351" w:rsidRDefault="0032495C" w:rsidP="007E2D63">
            <w:pPr>
              <w:spacing w:after="0"/>
              <w:jc w:val="center"/>
              <w:textAlignment w:val="bottom"/>
              <w:rPr>
                <w:rFonts w:eastAsia="Times New Roman"/>
                <w:sz w:val="24"/>
                <w:szCs w:val="24"/>
              </w:rPr>
            </w:pPr>
            <w:r w:rsidRPr="00054351">
              <w:rPr>
                <w:rFonts w:eastAsia="Times New Roman"/>
                <w:b/>
                <w:bCs/>
                <w:color w:val="FFFFFF"/>
                <w:kern w:val="24"/>
                <w:sz w:val="24"/>
                <w:szCs w:val="24"/>
              </w:rPr>
              <w:t xml:space="preserve">Total: 144 A5 </w:t>
            </w:r>
          </w:p>
        </w:tc>
        <w:tc>
          <w:tcPr>
            <w:tcW w:w="6400" w:type="dxa"/>
            <w:gridSpan w:val="3"/>
            <w:shd w:val="clear" w:color="auto" w:fill="002060"/>
            <w:tcMar>
              <w:top w:w="11" w:type="dxa"/>
              <w:left w:w="11" w:type="dxa"/>
              <w:bottom w:w="0" w:type="dxa"/>
              <w:right w:w="11" w:type="dxa"/>
            </w:tcMar>
            <w:vAlign w:val="bottom"/>
            <w:hideMark/>
          </w:tcPr>
          <w:p w14:paraId="6B3E15BE" w14:textId="77777777" w:rsidR="007E2D63" w:rsidRPr="00054351" w:rsidRDefault="0032495C" w:rsidP="007E2D63">
            <w:pPr>
              <w:spacing w:after="0"/>
              <w:jc w:val="center"/>
              <w:textAlignment w:val="bottom"/>
              <w:rPr>
                <w:rFonts w:eastAsia="Times New Roman"/>
                <w:sz w:val="24"/>
                <w:szCs w:val="24"/>
              </w:rPr>
            </w:pPr>
            <w:r w:rsidRPr="00054351">
              <w:rPr>
                <w:rFonts w:eastAsia="Times New Roman"/>
                <w:b/>
                <w:bCs/>
                <w:color w:val="FFFFFF"/>
                <w:kern w:val="24"/>
                <w:sz w:val="24"/>
                <w:szCs w:val="24"/>
              </w:rPr>
              <w:t>Reduction targets: 10% for Stage I and 30% for Stage II</w:t>
            </w:r>
          </w:p>
        </w:tc>
        <w:tc>
          <w:tcPr>
            <w:tcW w:w="675" w:type="dxa"/>
            <w:shd w:val="clear" w:color="auto" w:fill="002060"/>
            <w:tcMar>
              <w:top w:w="11" w:type="dxa"/>
              <w:left w:w="11" w:type="dxa"/>
              <w:bottom w:w="0" w:type="dxa"/>
              <w:right w:w="11" w:type="dxa"/>
            </w:tcMar>
            <w:vAlign w:val="bottom"/>
            <w:hideMark/>
          </w:tcPr>
          <w:p w14:paraId="47D512F5" w14:textId="77777777" w:rsidR="007E2D63" w:rsidRPr="00054351" w:rsidRDefault="0032495C" w:rsidP="007E2D63">
            <w:pPr>
              <w:spacing w:after="0"/>
              <w:jc w:val="center"/>
              <w:textAlignment w:val="bottom"/>
              <w:rPr>
                <w:rFonts w:eastAsia="Times New Roman"/>
                <w:sz w:val="24"/>
                <w:szCs w:val="24"/>
              </w:rPr>
            </w:pPr>
            <w:r w:rsidRPr="00054351">
              <w:rPr>
                <w:rFonts w:eastAsia="Times New Roman"/>
                <w:b/>
                <w:bCs/>
                <w:color w:val="FFFFFF"/>
                <w:kern w:val="24"/>
                <w:sz w:val="24"/>
                <w:szCs w:val="24"/>
              </w:rPr>
              <w:t>Output</w:t>
            </w:r>
          </w:p>
        </w:tc>
        <w:tc>
          <w:tcPr>
            <w:tcW w:w="2756" w:type="dxa"/>
            <w:shd w:val="clear" w:color="auto" w:fill="002060"/>
            <w:tcMar>
              <w:top w:w="11" w:type="dxa"/>
              <w:left w:w="11" w:type="dxa"/>
              <w:bottom w:w="0" w:type="dxa"/>
              <w:right w:w="11" w:type="dxa"/>
            </w:tcMar>
            <w:vAlign w:val="bottom"/>
            <w:hideMark/>
          </w:tcPr>
          <w:p w14:paraId="54452170" w14:textId="77777777" w:rsidR="00240195" w:rsidRDefault="0032495C" w:rsidP="007E2D63">
            <w:pPr>
              <w:spacing w:after="0"/>
              <w:jc w:val="center"/>
              <w:textAlignment w:val="bottom"/>
              <w:rPr>
                <w:rFonts w:eastAsia="Times New Roman"/>
                <w:b/>
                <w:bCs/>
                <w:color w:val="FFFFFF" w:themeColor="background1"/>
                <w:sz w:val="24"/>
                <w:szCs w:val="24"/>
              </w:rPr>
            </w:pPr>
            <w:r w:rsidRPr="00054351">
              <w:rPr>
                <w:rFonts w:eastAsia="Times New Roman"/>
                <w:b/>
                <w:bCs/>
                <w:color w:val="FFFFFF"/>
                <w:kern w:val="24"/>
                <w:sz w:val="24"/>
                <w:szCs w:val="24"/>
              </w:rPr>
              <w:t xml:space="preserve">Funding </w:t>
            </w:r>
            <w:r w:rsidRPr="00054351">
              <w:rPr>
                <w:rFonts w:eastAsia="Times New Roman"/>
                <w:b/>
                <w:bCs/>
                <w:color w:val="FFFFFF" w:themeColor="background1"/>
                <w:sz w:val="24"/>
                <w:szCs w:val="24"/>
              </w:rPr>
              <w:t xml:space="preserve">for  Stage I  </w:t>
            </w:r>
          </w:p>
          <w:p w14:paraId="7B2096C2" w14:textId="77777777" w:rsidR="007E2D63" w:rsidRPr="00054351" w:rsidRDefault="0032495C" w:rsidP="00240195">
            <w:pPr>
              <w:spacing w:after="0"/>
              <w:jc w:val="center"/>
              <w:textAlignment w:val="bottom"/>
              <w:rPr>
                <w:rFonts w:eastAsia="Times New Roman"/>
                <w:sz w:val="24"/>
                <w:szCs w:val="24"/>
              </w:rPr>
            </w:pPr>
            <w:r w:rsidRPr="00054351">
              <w:rPr>
                <w:rFonts w:eastAsia="Times New Roman"/>
                <w:b/>
                <w:bCs/>
                <w:color w:val="FFFFFF" w:themeColor="background1"/>
                <w:sz w:val="24"/>
                <w:szCs w:val="24"/>
              </w:rPr>
              <w:t>(</w:t>
            </w:r>
            <w:r w:rsidR="2E7655E2" w:rsidRPr="2E7655E2">
              <w:rPr>
                <w:rFonts w:eastAsia="Times New Roman"/>
                <w:b/>
                <w:bCs/>
                <w:color w:val="FFFFFF" w:themeColor="background1"/>
                <w:sz w:val="24"/>
                <w:szCs w:val="24"/>
              </w:rPr>
              <w:t>US$ )</w:t>
            </w:r>
          </w:p>
        </w:tc>
        <w:tc>
          <w:tcPr>
            <w:tcW w:w="2895" w:type="dxa"/>
            <w:shd w:val="clear" w:color="auto" w:fill="002060"/>
            <w:tcMar>
              <w:top w:w="11" w:type="dxa"/>
              <w:left w:w="11" w:type="dxa"/>
              <w:bottom w:w="0" w:type="dxa"/>
              <w:right w:w="11" w:type="dxa"/>
            </w:tcMar>
            <w:vAlign w:val="bottom"/>
            <w:hideMark/>
          </w:tcPr>
          <w:p w14:paraId="2C447ED9" w14:textId="77777777" w:rsidR="007E2D63" w:rsidRPr="00054351" w:rsidRDefault="0032495C" w:rsidP="007E2D63">
            <w:pPr>
              <w:spacing w:after="0"/>
              <w:jc w:val="center"/>
              <w:textAlignment w:val="bottom"/>
              <w:rPr>
                <w:rFonts w:eastAsia="Times New Roman"/>
                <w:sz w:val="24"/>
                <w:szCs w:val="24"/>
              </w:rPr>
            </w:pPr>
            <w:r w:rsidRPr="00054351">
              <w:rPr>
                <w:rFonts w:eastAsia="Times New Roman"/>
                <w:b/>
                <w:bCs/>
                <w:color w:val="FFFFFF"/>
                <w:kern w:val="24"/>
                <w:sz w:val="24"/>
                <w:szCs w:val="24"/>
              </w:rPr>
              <w:t xml:space="preserve">Funding </w:t>
            </w:r>
            <w:r w:rsidRPr="00054351">
              <w:rPr>
                <w:rFonts w:eastAsia="Times New Roman"/>
                <w:b/>
                <w:bCs/>
                <w:color w:val="FFFFFF" w:themeColor="background1"/>
                <w:sz w:val="24"/>
                <w:szCs w:val="24"/>
              </w:rPr>
              <w:t>for  Stage II (US$)</w:t>
            </w:r>
          </w:p>
        </w:tc>
      </w:tr>
      <w:tr w:rsidR="00F90461" w14:paraId="2D11D062" w14:textId="77777777" w:rsidTr="00A04930">
        <w:trPr>
          <w:trHeight w:val="655"/>
        </w:trPr>
        <w:tc>
          <w:tcPr>
            <w:tcW w:w="1965" w:type="dxa"/>
            <w:vMerge w:val="restart"/>
            <w:shd w:val="clear" w:color="auto" w:fill="E6E0EC"/>
            <w:tcMar>
              <w:top w:w="11" w:type="dxa"/>
              <w:left w:w="11" w:type="dxa"/>
              <w:bottom w:w="0" w:type="dxa"/>
              <w:right w:w="11" w:type="dxa"/>
            </w:tcMar>
            <w:vAlign w:val="center"/>
            <w:hideMark/>
          </w:tcPr>
          <w:p w14:paraId="08D90963"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 xml:space="preserve">1. 91 parties with approved KIPs - </w:t>
            </w:r>
            <w:r w:rsidRPr="00A81971">
              <w:rPr>
                <w:rFonts w:eastAsia="Times New Roman"/>
                <w:b/>
                <w:color w:val="000000" w:themeColor="text1"/>
              </w:rPr>
              <w:t xml:space="preserve">all </w:t>
            </w:r>
            <w:r w:rsidR="16D775D2" w:rsidRPr="00A81971">
              <w:rPr>
                <w:rFonts w:eastAsia="Times New Roman"/>
                <w:b/>
                <w:color w:val="000000" w:themeColor="text1"/>
              </w:rPr>
              <w:t>A</w:t>
            </w:r>
            <w:r w:rsidR="16D775D2" w:rsidRPr="00054351">
              <w:rPr>
                <w:rFonts w:eastAsia="Times New Roman"/>
                <w:b/>
                <w:bCs/>
                <w:color w:val="000000" w:themeColor="text1"/>
              </w:rPr>
              <w:t xml:space="preserve">5 </w:t>
            </w:r>
            <w:r w:rsidRPr="00054351">
              <w:rPr>
                <w:rFonts w:eastAsia="Times New Roman"/>
                <w:b/>
                <w:bCs/>
                <w:color w:val="000000" w:themeColor="text1"/>
              </w:rPr>
              <w:t xml:space="preserve">Group 1 </w:t>
            </w:r>
          </w:p>
        </w:tc>
        <w:tc>
          <w:tcPr>
            <w:tcW w:w="3640" w:type="dxa"/>
            <w:gridSpan w:val="2"/>
            <w:shd w:val="clear" w:color="auto" w:fill="E6E0EC"/>
            <w:tcMar>
              <w:top w:w="11" w:type="dxa"/>
              <w:left w:w="11" w:type="dxa"/>
              <w:bottom w:w="0" w:type="dxa"/>
              <w:right w:w="11" w:type="dxa"/>
            </w:tcMar>
            <w:vAlign w:val="center"/>
            <w:hideMark/>
          </w:tcPr>
          <w:p w14:paraId="0949D8A2"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Committed Stage 1 funding </w:t>
            </w:r>
            <w:r w:rsidRPr="00054351">
              <w:rPr>
                <w:rFonts w:eastAsia="Times New Roman"/>
                <w:color w:val="000000" w:themeColor="text1"/>
              </w:rPr>
              <w:t>for 91 parties in Group 1</w:t>
            </w:r>
          </w:p>
        </w:tc>
        <w:tc>
          <w:tcPr>
            <w:tcW w:w="2760" w:type="dxa"/>
            <w:shd w:val="clear" w:color="auto" w:fill="E6E0EC"/>
            <w:tcMar>
              <w:top w:w="11" w:type="dxa"/>
              <w:left w:w="11" w:type="dxa"/>
              <w:bottom w:w="0" w:type="dxa"/>
              <w:right w:w="11" w:type="dxa"/>
            </w:tcMar>
            <w:vAlign w:val="center"/>
            <w:hideMark/>
          </w:tcPr>
          <w:p w14:paraId="71088522" w14:textId="77777777" w:rsidR="007E2D63" w:rsidRPr="002943F9" w:rsidRDefault="0032495C" w:rsidP="00A12AFF">
            <w:pPr>
              <w:spacing w:after="0" w:line="259" w:lineRule="auto"/>
              <w:textAlignment w:val="center"/>
              <w:rPr>
                <w:rFonts w:eastAsia="Times New Roman"/>
                <w:color w:val="000000" w:themeColor="text1"/>
                <w:lang w:val="fr-FR"/>
              </w:rPr>
            </w:pPr>
            <w:r w:rsidRPr="002943F9">
              <w:rPr>
                <w:rFonts w:eastAsia="Times New Roman"/>
                <w:color w:val="000000" w:themeColor="text1"/>
                <w:lang w:val="fr-FR"/>
              </w:rPr>
              <w:t>36 non-LVC parties (G1)</w:t>
            </w:r>
            <w:r w:rsidR="659E3860" w:rsidRPr="002943F9">
              <w:rPr>
                <w:rFonts w:eastAsia="Times New Roman"/>
                <w:color w:val="000000" w:themeColor="text1"/>
                <w:lang w:val="fr-FR"/>
              </w:rPr>
              <w:t xml:space="preserve"> </w:t>
            </w:r>
          </w:p>
          <w:p w14:paraId="6EE851B9" w14:textId="77777777" w:rsidR="007E2D63" w:rsidRPr="002943F9" w:rsidRDefault="0032495C" w:rsidP="00A12AFF">
            <w:pPr>
              <w:spacing w:after="0" w:line="259" w:lineRule="auto"/>
              <w:textAlignment w:val="center"/>
              <w:rPr>
                <w:rFonts w:eastAsia="Times New Roman"/>
                <w:color w:val="000000" w:themeColor="text1"/>
                <w:lang w:val="fr-FR"/>
              </w:rPr>
            </w:pPr>
            <w:r w:rsidRPr="002943F9">
              <w:rPr>
                <w:rFonts w:eastAsia="Times New Roman"/>
                <w:color w:val="000000" w:themeColor="text1"/>
                <w:lang w:val="fr-FR"/>
              </w:rPr>
              <w:t xml:space="preserve">55 </w:t>
            </w:r>
            <w:r w:rsidR="037BC75A" w:rsidRPr="002943F9">
              <w:rPr>
                <w:rFonts w:eastAsia="Times New Roman"/>
                <w:color w:val="000000" w:themeColor="text1"/>
                <w:lang w:val="fr-FR"/>
              </w:rPr>
              <w:t xml:space="preserve">LVC </w:t>
            </w:r>
            <w:r w:rsidRPr="002943F9">
              <w:rPr>
                <w:rFonts w:eastAsia="Times New Roman"/>
                <w:color w:val="000000" w:themeColor="text1"/>
                <w:lang w:val="fr-FR"/>
              </w:rPr>
              <w:t>parties (G1)</w:t>
            </w:r>
          </w:p>
        </w:tc>
        <w:tc>
          <w:tcPr>
            <w:tcW w:w="675" w:type="dxa"/>
            <w:shd w:val="clear" w:color="auto" w:fill="E6E0EC"/>
            <w:tcMar>
              <w:top w:w="11" w:type="dxa"/>
              <w:left w:w="11" w:type="dxa"/>
              <w:bottom w:w="0" w:type="dxa"/>
              <w:right w:w="11" w:type="dxa"/>
            </w:tcMar>
            <w:vAlign w:val="center"/>
            <w:hideMark/>
          </w:tcPr>
          <w:p w14:paraId="61942775"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1</w:t>
            </w:r>
          </w:p>
        </w:tc>
        <w:tc>
          <w:tcPr>
            <w:tcW w:w="2756" w:type="dxa"/>
            <w:shd w:val="clear" w:color="auto" w:fill="E6E0EC"/>
            <w:tcMar>
              <w:top w:w="12" w:type="dxa"/>
              <w:left w:w="12" w:type="dxa"/>
              <w:bottom w:w="0" w:type="dxa"/>
              <w:right w:w="12" w:type="dxa"/>
            </w:tcMar>
            <w:vAlign w:val="center"/>
            <w:hideMark/>
          </w:tcPr>
          <w:p w14:paraId="0BBA9A16" w14:textId="347FDB8C" w:rsidR="007E2D63" w:rsidRPr="00054351" w:rsidRDefault="0032495C" w:rsidP="00A12AFF">
            <w:pPr>
              <w:spacing w:after="0"/>
              <w:jc w:val="center"/>
              <w:textAlignment w:val="center"/>
              <w:rPr>
                <w:rFonts w:eastAsia="Times New Roman"/>
              </w:rPr>
            </w:pPr>
            <w:r w:rsidRPr="00054351">
              <w:rPr>
                <w:rFonts w:eastAsia="Times New Roman"/>
                <w:color w:val="000000"/>
                <w:kern w:val="24"/>
              </w:rPr>
              <w:t>80,955,562</w:t>
            </w:r>
          </w:p>
        </w:tc>
        <w:tc>
          <w:tcPr>
            <w:tcW w:w="2895" w:type="dxa"/>
            <w:shd w:val="clear" w:color="auto" w:fill="E6E0EC"/>
            <w:tcMar>
              <w:top w:w="11" w:type="dxa"/>
              <w:left w:w="11" w:type="dxa"/>
              <w:bottom w:w="0" w:type="dxa"/>
              <w:right w:w="11" w:type="dxa"/>
            </w:tcMar>
            <w:vAlign w:val="center"/>
            <w:hideMark/>
          </w:tcPr>
          <w:p w14:paraId="10B5E4A9" w14:textId="77777777" w:rsidR="007E2D63" w:rsidRPr="00054351" w:rsidRDefault="007E2D63" w:rsidP="00FE5C31">
            <w:pPr>
              <w:spacing w:after="0"/>
              <w:jc w:val="center"/>
              <w:rPr>
                <w:rFonts w:eastAsia="Times New Roman"/>
              </w:rPr>
            </w:pPr>
          </w:p>
        </w:tc>
      </w:tr>
      <w:tr w:rsidR="00F90461" w14:paraId="28DF618A" w14:textId="77777777" w:rsidTr="00A04930">
        <w:trPr>
          <w:trHeight w:val="482"/>
        </w:trPr>
        <w:tc>
          <w:tcPr>
            <w:tcW w:w="1965" w:type="dxa"/>
            <w:vMerge/>
            <w:vAlign w:val="center"/>
            <w:hideMark/>
          </w:tcPr>
          <w:p w14:paraId="1F7400CB" w14:textId="77777777" w:rsidR="007E2D63" w:rsidRPr="00A81971" w:rsidRDefault="007E2D63" w:rsidP="00A12AFF">
            <w:pPr>
              <w:spacing w:after="0"/>
              <w:rPr>
                <w:rFonts w:ascii="Arial" w:eastAsia="Times New Roman" w:hAnsi="Arial" w:cs="Arial"/>
              </w:rPr>
            </w:pPr>
          </w:p>
        </w:tc>
        <w:tc>
          <w:tcPr>
            <w:tcW w:w="3640" w:type="dxa"/>
            <w:gridSpan w:val="2"/>
            <w:vMerge w:val="restart"/>
            <w:shd w:val="clear" w:color="auto" w:fill="E6E0EC"/>
            <w:tcMar>
              <w:top w:w="11" w:type="dxa"/>
              <w:left w:w="11" w:type="dxa"/>
              <w:bottom w:w="0" w:type="dxa"/>
              <w:right w:w="11" w:type="dxa"/>
            </w:tcMar>
            <w:vAlign w:val="center"/>
            <w:hideMark/>
          </w:tcPr>
          <w:p w14:paraId="404F2045" w14:textId="77777777" w:rsidR="007E2D63" w:rsidRPr="00054351" w:rsidRDefault="0032495C" w:rsidP="00A12AFF">
            <w:pPr>
              <w:spacing w:after="0" w:line="259" w:lineRule="auto"/>
              <w:rPr>
                <w:rFonts w:eastAsia="Times New Roman"/>
              </w:rPr>
            </w:pPr>
            <w:r w:rsidRPr="00054351">
              <w:rPr>
                <w:rFonts w:eastAsia="Times New Roman"/>
                <w:color w:val="000000"/>
                <w:kern w:val="24"/>
              </w:rPr>
              <w:t>Additional</w:t>
            </w:r>
            <w:r w:rsidRPr="00054351">
              <w:rPr>
                <w:rFonts w:eastAsia="Times New Roman"/>
                <w:color w:val="000000" w:themeColor="text1"/>
              </w:rPr>
              <w:t xml:space="preserve"> funding required for </w:t>
            </w:r>
            <w:r w:rsidR="1805CE67" w:rsidRPr="00054351">
              <w:rPr>
                <w:rFonts w:eastAsia="Times New Roman"/>
                <w:color w:val="000000" w:themeColor="text1"/>
              </w:rPr>
              <w:t>76</w:t>
            </w:r>
            <w:r w:rsidRPr="00054351">
              <w:rPr>
                <w:rFonts w:eastAsia="Times New Roman"/>
                <w:color w:val="000000" w:themeColor="text1"/>
              </w:rPr>
              <w:t xml:space="preserve"> parties to reach </w:t>
            </w:r>
            <w:r w:rsidRPr="00054351">
              <w:rPr>
                <w:rFonts w:eastAsia="Times New Roman"/>
                <w:b/>
                <w:bCs/>
                <w:color w:val="000000" w:themeColor="text1"/>
              </w:rPr>
              <w:t xml:space="preserve">Stage II </w:t>
            </w:r>
            <w:r w:rsidRPr="00054351">
              <w:rPr>
                <w:rFonts w:eastAsia="Times New Roman"/>
                <w:color w:val="000000" w:themeColor="text1"/>
              </w:rPr>
              <w:t>targets. 15</w:t>
            </w:r>
            <w:r w:rsidRPr="00054351">
              <w:rPr>
                <w:rFonts w:eastAsia="Times New Roman"/>
                <w:color w:val="FF0000"/>
              </w:rPr>
              <w:t xml:space="preserve"> </w:t>
            </w:r>
            <w:r w:rsidRPr="00054351">
              <w:rPr>
                <w:rFonts w:eastAsia="Times New Roman"/>
                <w:color w:val="000000" w:themeColor="text1"/>
              </w:rPr>
              <w:t>Parties (out of the 91) that had approved KIP-Stage I with reductions 30% and over were not included</w:t>
            </w:r>
          </w:p>
        </w:tc>
        <w:tc>
          <w:tcPr>
            <w:tcW w:w="2760" w:type="dxa"/>
            <w:shd w:val="clear" w:color="auto" w:fill="E6E0EC"/>
            <w:tcMar>
              <w:top w:w="11" w:type="dxa"/>
              <w:left w:w="11" w:type="dxa"/>
              <w:bottom w:w="0" w:type="dxa"/>
              <w:right w:w="11" w:type="dxa"/>
            </w:tcMar>
            <w:vAlign w:val="center"/>
            <w:hideMark/>
          </w:tcPr>
          <w:p w14:paraId="3695DD92"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31 non-LVC </w:t>
            </w:r>
            <w:r w:rsidRPr="00054351">
              <w:rPr>
                <w:rFonts w:eastAsia="Times New Roman"/>
                <w:color w:val="000000" w:themeColor="text1"/>
              </w:rPr>
              <w:t>parties (G1)</w:t>
            </w:r>
          </w:p>
        </w:tc>
        <w:tc>
          <w:tcPr>
            <w:tcW w:w="675" w:type="dxa"/>
            <w:shd w:val="clear" w:color="auto" w:fill="E6E0EC"/>
            <w:tcMar>
              <w:top w:w="11" w:type="dxa"/>
              <w:left w:w="11" w:type="dxa"/>
              <w:bottom w:w="0" w:type="dxa"/>
              <w:right w:w="11" w:type="dxa"/>
            </w:tcMar>
            <w:vAlign w:val="center"/>
            <w:hideMark/>
          </w:tcPr>
          <w:p w14:paraId="2E61F019"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2</w:t>
            </w:r>
          </w:p>
        </w:tc>
        <w:tc>
          <w:tcPr>
            <w:tcW w:w="2756" w:type="dxa"/>
            <w:shd w:val="clear" w:color="auto" w:fill="E6E0EC"/>
            <w:tcMar>
              <w:top w:w="11" w:type="dxa"/>
              <w:left w:w="11" w:type="dxa"/>
              <w:bottom w:w="0" w:type="dxa"/>
              <w:right w:w="11" w:type="dxa"/>
            </w:tcMar>
            <w:vAlign w:val="center"/>
            <w:hideMark/>
          </w:tcPr>
          <w:p w14:paraId="7E44C28C" w14:textId="28165A69" w:rsidR="007E2D63" w:rsidRPr="00054351" w:rsidRDefault="007E2D63" w:rsidP="00FE5C31">
            <w:pPr>
              <w:spacing w:after="0"/>
              <w:jc w:val="center"/>
              <w:textAlignment w:val="center"/>
              <w:rPr>
                <w:rFonts w:eastAsia="Times New Roman"/>
              </w:rPr>
            </w:pPr>
          </w:p>
        </w:tc>
        <w:tc>
          <w:tcPr>
            <w:tcW w:w="2895" w:type="dxa"/>
            <w:shd w:val="clear" w:color="auto" w:fill="E6E0EC"/>
            <w:tcMar>
              <w:top w:w="12" w:type="dxa"/>
              <w:left w:w="12" w:type="dxa"/>
              <w:bottom w:w="0" w:type="dxa"/>
              <w:right w:w="12" w:type="dxa"/>
            </w:tcMar>
            <w:vAlign w:val="center"/>
            <w:hideMark/>
          </w:tcPr>
          <w:p w14:paraId="2EE88266"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230,760,463</w:t>
            </w:r>
          </w:p>
        </w:tc>
      </w:tr>
      <w:tr w:rsidR="00F90461" w14:paraId="6F39586C" w14:textId="77777777" w:rsidTr="00A04930">
        <w:trPr>
          <w:trHeight w:val="1150"/>
        </w:trPr>
        <w:tc>
          <w:tcPr>
            <w:tcW w:w="1965" w:type="dxa"/>
            <w:vMerge/>
            <w:vAlign w:val="center"/>
            <w:hideMark/>
          </w:tcPr>
          <w:p w14:paraId="1CADC6D9" w14:textId="77777777" w:rsidR="007E2D63" w:rsidRPr="00A81971" w:rsidRDefault="007E2D63" w:rsidP="00A12AFF">
            <w:pPr>
              <w:spacing w:after="0"/>
              <w:rPr>
                <w:rFonts w:ascii="Arial" w:eastAsia="Times New Roman" w:hAnsi="Arial" w:cs="Arial"/>
              </w:rPr>
            </w:pPr>
          </w:p>
        </w:tc>
        <w:tc>
          <w:tcPr>
            <w:tcW w:w="3640" w:type="dxa"/>
            <w:gridSpan w:val="2"/>
            <w:vMerge/>
            <w:vAlign w:val="center"/>
            <w:hideMark/>
          </w:tcPr>
          <w:p w14:paraId="51B232E5" w14:textId="77777777" w:rsidR="007E2D63" w:rsidRPr="00A81971" w:rsidRDefault="007E2D63" w:rsidP="00A12AFF">
            <w:pPr>
              <w:spacing w:after="0"/>
              <w:rPr>
                <w:rFonts w:ascii="Arial" w:eastAsia="Times New Roman" w:hAnsi="Arial" w:cs="Arial"/>
              </w:rPr>
            </w:pPr>
          </w:p>
        </w:tc>
        <w:tc>
          <w:tcPr>
            <w:tcW w:w="2760" w:type="dxa"/>
            <w:shd w:val="clear" w:color="auto" w:fill="E6E0EC"/>
            <w:tcMar>
              <w:top w:w="11" w:type="dxa"/>
              <w:left w:w="11" w:type="dxa"/>
              <w:bottom w:w="0" w:type="dxa"/>
              <w:right w:w="11" w:type="dxa"/>
            </w:tcMar>
            <w:vAlign w:val="center"/>
            <w:hideMark/>
          </w:tcPr>
          <w:p w14:paraId="3C5760A5"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45 LVC </w:t>
            </w:r>
            <w:r w:rsidRPr="00054351">
              <w:rPr>
                <w:rFonts w:eastAsia="Times New Roman"/>
                <w:color w:val="000000" w:themeColor="text1"/>
              </w:rPr>
              <w:t>parties (G1)</w:t>
            </w:r>
          </w:p>
        </w:tc>
        <w:tc>
          <w:tcPr>
            <w:tcW w:w="675" w:type="dxa"/>
            <w:shd w:val="clear" w:color="auto" w:fill="E6E0EC"/>
            <w:tcMar>
              <w:top w:w="11" w:type="dxa"/>
              <w:left w:w="11" w:type="dxa"/>
              <w:bottom w:w="0" w:type="dxa"/>
              <w:right w:w="11" w:type="dxa"/>
            </w:tcMar>
            <w:vAlign w:val="center"/>
            <w:hideMark/>
          </w:tcPr>
          <w:p w14:paraId="7F237187"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3</w:t>
            </w:r>
          </w:p>
        </w:tc>
        <w:tc>
          <w:tcPr>
            <w:tcW w:w="2756" w:type="dxa"/>
            <w:shd w:val="clear" w:color="auto" w:fill="E6E0EC"/>
            <w:tcMar>
              <w:top w:w="11" w:type="dxa"/>
              <w:left w:w="11" w:type="dxa"/>
              <w:bottom w:w="0" w:type="dxa"/>
              <w:right w:w="11" w:type="dxa"/>
            </w:tcMar>
            <w:vAlign w:val="center"/>
            <w:hideMark/>
          </w:tcPr>
          <w:p w14:paraId="0DC75536" w14:textId="77777777" w:rsidR="007E2D63" w:rsidRPr="00054351" w:rsidRDefault="007E2D63" w:rsidP="00FE5C31">
            <w:pPr>
              <w:spacing w:after="0"/>
              <w:jc w:val="center"/>
              <w:rPr>
                <w:rFonts w:eastAsia="Times New Roman"/>
              </w:rPr>
            </w:pPr>
          </w:p>
        </w:tc>
        <w:tc>
          <w:tcPr>
            <w:tcW w:w="2895" w:type="dxa"/>
            <w:shd w:val="clear" w:color="auto" w:fill="E6E0EC"/>
            <w:tcMar>
              <w:top w:w="12" w:type="dxa"/>
              <w:left w:w="12" w:type="dxa"/>
              <w:bottom w:w="0" w:type="dxa"/>
              <w:right w:w="12" w:type="dxa"/>
            </w:tcMar>
            <w:vAlign w:val="center"/>
            <w:hideMark/>
          </w:tcPr>
          <w:p w14:paraId="331CB430" w14:textId="7C972BBB" w:rsidR="007E2D63" w:rsidRPr="00054351" w:rsidRDefault="0032495C" w:rsidP="00A12AFF">
            <w:pPr>
              <w:spacing w:after="0"/>
              <w:jc w:val="center"/>
              <w:textAlignment w:val="center"/>
              <w:rPr>
                <w:rFonts w:eastAsia="Times New Roman"/>
              </w:rPr>
            </w:pPr>
            <w:r w:rsidRPr="00054351">
              <w:rPr>
                <w:rFonts w:eastAsia="Times New Roman"/>
                <w:color w:val="000000"/>
                <w:kern w:val="24"/>
              </w:rPr>
              <w:t>18,408,477</w:t>
            </w:r>
          </w:p>
        </w:tc>
      </w:tr>
      <w:tr w:rsidR="00F90461" w14:paraId="7E7CDEA1" w14:textId="77777777" w:rsidTr="00A04930">
        <w:trPr>
          <w:trHeight w:val="300"/>
        </w:trPr>
        <w:tc>
          <w:tcPr>
            <w:tcW w:w="1965" w:type="dxa"/>
            <w:vMerge w:val="restart"/>
            <w:shd w:val="clear" w:color="auto" w:fill="CCC1DA"/>
            <w:tcMar>
              <w:top w:w="11" w:type="dxa"/>
              <w:left w:w="11" w:type="dxa"/>
              <w:bottom w:w="0" w:type="dxa"/>
              <w:right w:w="11" w:type="dxa"/>
            </w:tcMar>
            <w:vAlign w:val="center"/>
            <w:hideMark/>
          </w:tcPr>
          <w:p w14:paraId="06020FEA"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 xml:space="preserve">2. 35 parties that </w:t>
            </w:r>
            <w:r w:rsidRPr="00054351">
              <w:rPr>
                <w:rFonts w:eastAsia="Times New Roman"/>
                <w:b/>
                <w:bCs/>
                <w:color w:val="000000" w:themeColor="text1"/>
              </w:rPr>
              <w:t xml:space="preserve">have ratified but do not have approved KIPs- as of 98th ExCom </w:t>
            </w:r>
          </w:p>
        </w:tc>
        <w:tc>
          <w:tcPr>
            <w:tcW w:w="3640" w:type="dxa"/>
            <w:gridSpan w:val="2"/>
            <w:vMerge w:val="restart"/>
            <w:shd w:val="clear" w:color="auto" w:fill="CCC1DA"/>
            <w:tcMar>
              <w:top w:w="11" w:type="dxa"/>
              <w:left w:w="11" w:type="dxa"/>
              <w:bottom w:w="0" w:type="dxa"/>
              <w:right w:w="11" w:type="dxa"/>
            </w:tcMar>
            <w:vAlign w:val="center"/>
            <w:hideMark/>
          </w:tcPr>
          <w:p w14:paraId="18292E0C"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Group1</w:t>
            </w:r>
            <w:r w:rsidRPr="00054351">
              <w:rPr>
                <w:rFonts w:eastAsia="Times New Roman"/>
                <w:color w:val="000000"/>
                <w:kern w:val="24"/>
              </w:rPr>
              <w:t>: Funding required for 29</w:t>
            </w:r>
            <w:r w:rsidRPr="00054351">
              <w:rPr>
                <w:rFonts w:eastAsia="Times New Roman"/>
                <w:color w:val="FF0000"/>
                <w:kern w:val="24"/>
              </w:rPr>
              <w:t xml:space="preserve"> </w:t>
            </w:r>
            <w:r w:rsidRPr="00054351">
              <w:rPr>
                <w:rFonts w:eastAsia="Times New Roman"/>
                <w:color w:val="000000"/>
                <w:kern w:val="24"/>
              </w:rPr>
              <w:t>parties that ratified but without KIPs to reach 2035 schedule targets</w:t>
            </w:r>
          </w:p>
        </w:tc>
        <w:tc>
          <w:tcPr>
            <w:tcW w:w="2760" w:type="dxa"/>
            <w:shd w:val="clear" w:color="auto" w:fill="CCC1DA"/>
            <w:tcMar>
              <w:top w:w="11" w:type="dxa"/>
              <w:left w:w="11" w:type="dxa"/>
              <w:bottom w:w="0" w:type="dxa"/>
              <w:right w:w="11" w:type="dxa"/>
            </w:tcMar>
            <w:vAlign w:val="center"/>
            <w:hideMark/>
          </w:tcPr>
          <w:p w14:paraId="7ED83203"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9 non-LVC  </w:t>
            </w:r>
            <w:r w:rsidRPr="00054351">
              <w:rPr>
                <w:rFonts w:eastAsia="Times New Roman"/>
                <w:color w:val="000000" w:themeColor="text1"/>
              </w:rPr>
              <w:t>parties (G1)</w:t>
            </w:r>
          </w:p>
        </w:tc>
        <w:tc>
          <w:tcPr>
            <w:tcW w:w="675" w:type="dxa"/>
            <w:vMerge w:val="restart"/>
            <w:shd w:val="clear" w:color="auto" w:fill="CCC1DA"/>
            <w:tcMar>
              <w:top w:w="11" w:type="dxa"/>
              <w:left w:w="11" w:type="dxa"/>
              <w:bottom w:w="0" w:type="dxa"/>
              <w:right w:w="11" w:type="dxa"/>
            </w:tcMar>
            <w:vAlign w:val="center"/>
            <w:hideMark/>
          </w:tcPr>
          <w:p w14:paraId="47038B02"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4</w:t>
            </w:r>
          </w:p>
        </w:tc>
        <w:tc>
          <w:tcPr>
            <w:tcW w:w="2756" w:type="dxa"/>
            <w:shd w:val="clear" w:color="auto" w:fill="CCC1DA"/>
            <w:tcMar>
              <w:top w:w="12" w:type="dxa"/>
              <w:left w:w="12" w:type="dxa"/>
              <w:bottom w:w="0" w:type="dxa"/>
              <w:right w:w="12" w:type="dxa"/>
            </w:tcMar>
            <w:vAlign w:val="center"/>
            <w:hideMark/>
          </w:tcPr>
          <w:p w14:paraId="6DF8B78C"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29,802,392</w:t>
            </w:r>
          </w:p>
        </w:tc>
        <w:tc>
          <w:tcPr>
            <w:tcW w:w="2895" w:type="dxa"/>
            <w:shd w:val="clear" w:color="auto" w:fill="CCC1DA"/>
            <w:tcMar>
              <w:top w:w="12" w:type="dxa"/>
              <w:left w:w="12" w:type="dxa"/>
              <w:bottom w:w="0" w:type="dxa"/>
              <w:right w:w="12" w:type="dxa"/>
            </w:tcMar>
            <w:vAlign w:val="center"/>
            <w:hideMark/>
          </w:tcPr>
          <w:p w14:paraId="79A65E4E"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59,604,784</w:t>
            </w:r>
          </w:p>
        </w:tc>
      </w:tr>
      <w:tr w:rsidR="00F90461" w14:paraId="7BC0BD5F" w14:textId="77777777" w:rsidTr="00A04930">
        <w:trPr>
          <w:trHeight w:val="969"/>
        </w:trPr>
        <w:tc>
          <w:tcPr>
            <w:tcW w:w="1965" w:type="dxa"/>
            <w:vMerge/>
            <w:vAlign w:val="center"/>
            <w:hideMark/>
          </w:tcPr>
          <w:p w14:paraId="1775AFEA" w14:textId="77777777" w:rsidR="007E2D63" w:rsidRPr="00A81971" w:rsidRDefault="007E2D63" w:rsidP="00A12AFF">
            <w:pPr>
              <w:spacing w:after="0"/>
              <w:rPr>
                <w:rFonts w:ascii="Arial" w:eastAsia="Times New Roman" w:hAnsi="Arial" w:cs="Arial"/>
              </w:rPr>
            </w:pPr>
          </w:p>
        </w:tc>
        <w:tc>
          <w:tcPr>
            <w:tcW w:w="3640" w:type="dxa"/>
            <w:gridSpan w:val="2"/>
            <w:vMerge/>
            <w:vAlign w:val="center"/>
            <w:hideMark/>
          </w:tcPr>
          <w:p w14:paraId="18EA6D5E" w14:textId="77777777" w:rsidR="007E2D63" w:rsidRPr="00A81971" w:rsidRDefault="007E2D63" w:rsidP="00A12AFF">
            <w:pPr>
              <w:spacing w:after="0"/>
              <w:rPr>
                <w:rFonts w:ascii="Arial" w:eastAsia="Times New Roman" w:hAnsi="Arial" w:cs="Arial"/>
              </w:rPr>
            </w:pPr>
          </w:p>
        </w:tc>
        <w:tc>
          <w:tcPr>
            <w:tcW w:w="2760" w:type="dxa"/>
            <w:shd w:val="clear" w:color="auto" w:fill="D99694"/>
            <w:tcMar>
              <w:top w:w="11" w:type="dxa"/>
              <w:left w:w="11" w:type="dxa"/>
              <w:bottom w:w="0" w:type="dxa"/>
              <w:right w:w="11" w:type="dxa"/>
            </w:tcMar>
            <w:vAlign w:val="center"/>
            <w:hideMark/>
          </w:tcPr>
          <w:p w14:paraId="74725BF4"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1 non-LVC party with highest baseline </w:t>
            </w:r>
            <w:r w:rsidRPr="00054351">
              <w:rPr>
                <w:rFonts w:eastAsia="Times New Roman"/>
                <w:color w:val="000000" w:themeColor="text1"/>
              </w:rPr>
              <w:t xml:space="preserve">consumption (G1) </w:t>
            </w:r>
          </w:p>
        </w:tc>
        <w:tc>
          <w:tcPr>
            <w:tcW w:w="675" w:type="dxa"/>
            <w:vMerge/>
            <w:vAlign w:val="center"/>
            <w:hideMark/>
          </w:tcPr>
          <w:p w14:paraId="623E914E" w14:textId="77777777" w:rsidR="007E2D63" w:rsidRPr="00A81971" w:rsidRDefault="007E2D63" w:rsidP="00A04930">
            <w:pPr>
              <w:spacing w:after="0"/>
              <w:jc w:val="center"/>
              <w:rPr>
                <w:rFonts w:ascii="Arial" w:eastAsia="Times New Roman" w:hAnsi="Arial" w:cs="Arial"/>
              </w:rPr>
            </w:pPr>
          </w:p>
        </w:tc>
        <w:tc>
          <w:tcPr>
            <w:tcW w:w="2756" w:type="dxa"/>
            <w:shd w:val="clear" w:color="auto" w:fill="D99694"/>
            <w:tcMar>
              <w:top w:w="11" w:type="dxa"/>
              <w:left w:w="11" w:type="dxa"/>
              <w:bottom w:w="0" w:type="dxa"/>
              <w:right w:w="11" w:type="dxa"/>
            </w:tcMar>
            <w:vAlign w:val="center"/>
            <w:hideMark/>
          </w:tcPr>
          <w:p w14:paraId="15594C4F"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515,968,667</w:t>
            </w:r>
          </w:p>
        </w:tc>
        <w:tc>
          <w:tcPr>
            <w:tcW w:w="2895" w:type="dxa"/>
            <w:shd w:val="clear" w:color="auto" w:fill="D99694"/>
            <w:tcMar>
              <w:top w:w="11" w:type="dxa"/>
              <w:left w:w="11" w:type="dxa"/>
              <w:bottom w:w="0" w:type="dxa"/>
              <w:right w:w="11" w:type="dxa"/>
            </w:tcMar>
            <w:vAlign w:val="center"/>
            <w:hideMark/>
          </w:tcPr>
          <w:p w14:paraId="1DD1268D"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1,031,937,334</w:t>
            </w:r>
          </w:p>
        </w:tc>
      </w:tr>
      <w:tr w:rsidR="00F90461" w14:paraId="70A461EE" w14:textId="77777777" w:rsidTr="00A04930">
        <w:trPr>
          <w:trHeight w:val="376"/>
        </w:trPr>
        <w:tc>
          <w:tcPr>
            <w:tcW w:w="1965" w:type="dxa"/>
            <w:vMerge/>
            <w:vAlign w:val="center"/>
            <w:hideMark/>
          </w:tcPr>
          <w:p w14:paraId="2C2DD0A9" w14:textId="77777777" w:rsidR="007E2D63" w:rsidRPr="00A81971" w:rsidRDefault="007E2D63" w:rsidP="00A12AFF">
            <w:pPr>
              <w:spacing w:after="0"/>
              <w:rPr>
                <w:rFonts w:ascii="Arial" w:eastAsia="Times New Roman" w:hAnsi="Arial" w:cs="Arial"/>
              </w:rPr>
            </w:pPr>
          </w:p>
        </w:tc>
        <w:tc>
          <w:tcPr>
            <w:tcW w:w="3640" w:type="dxa"/>
            <w:gridSpan w:val="2"/>
            <w:vMerge/>
            <w:vAlign w:val="center"/>
            <w:hideMark/>
          </w:tcPr>
          <w:p w14:paraId="74AAB3A4" w14:textId="77777777" w:rsidR="007E2D63" w:rsidRPr="00A81971" w:rsidRDefault="007E2D63" w:rsidP="00A12AFF">
            <w:pPr>
              <w:spacing w:after="0"/>
              <w:rPr>
                <w:rFonts w:ascii="Arial" w:eastAsia="Times New Roman" w:hAnsi="Arial" w:cs="Arial"/>
              </w:rPr>
            </w:pPr>
          </w:p>
        </w:tc>
        <w:tc>
          <w:tcPr>
            <w:tcW w:w="2760" w:type="dxa"/>
            <w:shd w:val="clear" w:color="auto" w:fill="CCC1DA"/>
            <w:tcMar>
              <w:top w:w="11" w:type="dxa"/>
              <w:left w:w="11" w:type="dxa"/>
              <w:bottom w:w="0" w:type="dxa"/>
              <w:right w:w="11" w:type="dxa"/>
            </w:tcMar>
            <w:vAlign w:val="center"/>
            <w:hideMark/>
          </w:tcPr>
          <w:p w14:paraId="53BA8906"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 xml:space="preserve">19 LVC </w:t>
            </w:r>
            <w:r w:rsidRPr="00054351">
              <w:rPr>
                <w:rFonts w:eastAsia="Times New Roman"/>
                <w:color w:val="000000" w:themeColor="text1"/>
              </w:rPr>
              <w:t>parties (G1)</w:t>
            </w:r>
          </w:p>
        </w:tc>
        <w:tc>
          <w:tcPr>
            <w:tcW w:w="675" w:type="dxa"/>
            <w:shd w:val="clear" w:color="auto" w:fill="CCC1DA"/>
            <w:tcMar>
              <w:top w:w="11" w:type="dxa"/>
              <w:left w:w="11" w:type="dxa"/>
              <w:bottom w:w="0" w:type="dxa"/>
              <w:right w:w="11" w:type="dxa"/>
            </w:tcMar>
            <w:vAlign w:val="center"/>
            <w:hideMark/>
          </w:tcPr>
          <w:p w14:paraId="36277B21"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5</w:t>
            </w:r>
          </w:p>
        </w:tc>
        <w:tc>
          <w:tcPr>
            <w:tcW w:w="2756" w:type="dxa"/>
            <w:shd w:val="clear" w:color="auto" w:fill="CCC1DA"/>
            <w:tcMar>
              <w:top w:w="12" w:type="dxa"/>
              <w:left w:w="12" w:type="dxa"/>
              <w:bottom w:w="0" w:type="dxa"/>
              <w:right w:w="12" w:type="dxa"/>
            </w:tcMar>
            <w:vAlign w:val="center"/>
            <w:hideMark/>
          </w:tcPr>
          <w:p w14:paraId="23AB7390" w14:textId="4E75B0F9" w:rsidR="007E2D63" w:rsidRPr="00054351" w:rsidRDefault="0032495C" w:rsidP="00A12AFF">
            <w:pPr>
              <w:spacing w:after="0"/>
              <w:jc w:val="center"/>
              <w:textAlignment w:val="center"/>
              <w:rPr>
                <w:rFonts w:eastAsia="Times New Roman"/>
              </w:rPr>
            </w:pPr>
            <w:r w:rsidRPr="00054351">
              <w:rPr>
                <w:rFonts w:eastAsia="Times New Roman"/>
                <w:color w:val="000000"/>
                <w:kern w:val="24"/>
              </w:rPr>
              <w:t>3,585,016</w:t>
            </w:r>
          </w:p>
        </w:tc>
        <w:tc>
          <w:tcPr>
            <w:tcW w:w="2895" w:type="dxa"/>
            <w:shd w:val="clear" w:color="auto" w:fill="CCC1DA"/>
            <w:tcMar>
              <w:top w:w="12" w:type="dxa"/>
              <w:left w:w="12" w:type="dxa"/>
              <w:bottom w:w="0" w:type="dxa"/>
              <w:right w:w="12" w:type="dxa"/>
            </w:tcMar>
            <w:vAlign w:val="center"/>
            <w:hideMark/>
          </w:tcPr>
          <w:p w14:paraId="037D153C" w14:textId="14132D08" w:rsidR="007E2D63" w:rsidRPr="00054351" w:rsidRDefault="0032495C" w:rsidP="00A12AFF">
            <w:pPr>
              <w:spacing w:after="0"/>
              <w:jc w:val="center"/>
              <w:textAlignment w:val="center"/>
              <w:rPr>
                <w:rFonts w:eastAsia="Times New Roman"/>
              </w:rPr>
            </w:pPr>
            <w:r w:rsidRPr="00054351">
              <w:rPr>
                <w:rFonts w:eastAsia="Times New Roman"/>
                <w:color w:val="000000"/>
                <w:kern w:val="24"/>
              </w:rPr>
              <w:t>7,170,032</w:t>
            </w:r>
          </w:p>
        </w:tc>
      </w:tr>
      <w:tr w:rsidR="00F90461" w14:paraId="3CA1CE5A" w14:textId="77777777" w:rsidTr="00A04930">
        <w:trPr>
          <w:trHeight w:val="915"/>
        </w:trPr>
        <w:tc>
          <w:tcPr>
            <w:tcW w:w="1965" w:type="dxa"/>
            <w:vMerge/>
            <w:vAlign w:val="center"/>
            <w:hideMark/>
          </w:tcPr>
          <w:p w14:paraId="6D4DDE12" w14:textId="77777777" w:rsidR="007E2D63" w:rsidRPr="00A81971" w:rsidRDefault="007E2D63" w:rsidP="00A12AFF">
            <w:pPr>
              <w:spacing w:after="0"/>
              <w:rPr>
                <w:rFonts w:ascii="Arial" w:eastAsia="Times New Roman" w:hAnsi="Arial" w:cs="Arial"/>
              </w:rPr>
            </w:pPr>
          </w:p>
        </w:tc>
        <w:tc>
          <w:tcPr>
            <w:tcW w:w="3640" w:type="dxa"/>
            <w:gridSpan w:val="2"/>
            <w:shd w:val="clear" w:color="auto" w:fill="CCC1DA"/>
            <w:tcMar>
              <w:top w:w="11" w:type="dxa"/>
              <w:left w:w="11" w:type="dxa"/>
              <w:bottom w:w="0" w:type="dxa"/>
              <w:right w:w="11" w:type="dxa"/>
            </w:tcMar>
            <w:vAlign w:val="center"/>
            <w:hideMark/>
          </w:tcPr>
          <w:p w14:paraId="5F4D470F"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Group 2:</w:t>
            </w:r>
            <w:r w:rsidRPr="00054351">
              <w:rPr>
                <w:rFonts w:eastAsia="Times New Roman"/>
                <w:color w:val="000000"/>
                <w:kern w:val="24"/>
              </w:rPr>
              <w:t xml:space="preserve"> Funding required for 6 parties that ratified but without KIPs, to reach the freeze and 2032 targets</w:t>
            </w:r>
          </w:p>
        </w:tc>
        <w:tc>
          <w:tcPr>
            <w:tcW w:w="2760" w:type="dxa"/>
            <w:shd w:val="clear" w:color="auto" w:fill="CCC1DA"/>
            <w:tcMar>
              <w:top w:w="11" w:type="dxa"/>
              <w:left w:w="11" w:type="dxa"/>
              <w:bottom w:w="0" w:type="dxa"/>
              <w:right w:w="11" w:type="dxa"/>
            </w:tcMar>
            <w:vAlign w:val="center"/>
            <w:hideMark/>
          </w:tcPr>
          <w:p w14:paraId="32ABE14B"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6 non-</w:t>
            </w:r>
            <w:r w:rsidRPr="00054351">
              <w:rPr>
                <w:rFonts w:eastAsia="Times New Roman"/>
                <w:color w:val="000000" w:themeColor="text1"/>
              </w:rPr>
              <w:t>LVCs parties (G2)</w:t>
            </w:r>
          </w:p>
        </w:tc>
        <w:tc>
          <w:tcPr>
            <w:tcW w:w="675" w:type="dxa"/>
            <w:shd w:val="clear" w:color="auto" w:fill="CCC1DA"/>
            <w:tcMar>
              <w:top w:w="11" w:type="dxa"/>
              <w:left w:w="11" w:type="dxa"/>
              <w:bottom w:w="0" w:type="dxa"/>
              <w:right w:w="11" w:type="dxa"/>
            </w:tcMar>
            <w:vAlign w:val="center"/>
            <w:hideMark/>
          </w:tcPr>
          <w:p w14:paraId="06EEC1BB"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6</w:t>
            </w:r>
          </w:p>
        </w:tc>
        <w:tc>
          <w:tcPr>
            <w:tcW w:w="2756" w:type="dxa"/>
            <w:shd w:val="clear" w:color="auto" w:fill="CCC1DA"/>
            <w:tcMar>
              <w:top w:w="11" w:type="dxa"/>
              <w:left w:w="11" w:type="dxa"/>
              <w:bottom w:w="0" w:type="dxa"/>
              <w:right w:w="11" w:type="dxa"/>
            </w:tcMar>
            <w:vAlign w:val="center"/>
            <w:hideMark/>
          </w:tcPr>
          <w:p w14:paraId="108AE15A"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139,914,732</w:t>
            </w:r>
          </w:p>
        </w:tc>
        <w:tc>
          <w:tcPr>
            <w:tcW w:w="2895" w:type="dxa"/>
            <w:shd w:val="clear" w:color="auto" w:fill="CCC1DA"/>
            <w:tcMar>
              <w:top w:w="11" w:type="dxa"/>
              <w:left w:w="11" w:type="dxa"/>
              <w:bottom w:w="0" w:type="dxa"/>
              <w:right w:w="11" w:type="dxa"/>
            </w:tcMar>
            <w:vAlign w:val="center"/>
            <w:hideMark/>
          </w:tcPr>
          <w:p w14:paraId="3AF3F8EF" w14:textId="77777777" w:rsidR="007E2D63" w:rsidRPr="00054351" w:rsidRDefault="007E2D63" w:rsidP="00FE5C31">
            <w:pPr>
              <w:spacing w:after="0"/>
              <w:jc w:val="center"/>
              <w:rPr>
                <w:rFonts w:eastAsia="Times New Roman"/>
              </w:rPr>
            </w:pPr>
          </w:p>
        </w:tc>
      </w:tr>
      <w:tr w:rsidR="00F90461" w14:paraId="27BBA9CD" w14:textId="77777777" w:rsidTr="00A04930">
        <w:trPr>
          <w:trHeight w:val="376"/>
        </w:trPr>
        <w:tc>
          <w:tcPr>
            <w:tcW w:w="1965" w:type="dxa"/>
            <w:vMerge w:val="restart"/>
            <w:shd w:val="clear" w:color="auto" w:fill="D9D9D9" w:themeFill="background1" w:themeFillShade="D9"/>
            <w:tcMar>
              <w:top w:w="11" w:type="dxa"/>
              <w:left w:w="11" w:type="dxa"/>
              <w:bottom w:w="0" w:type="dxa"/>
              <w:right w:w="11" w:type="dxa"/>
            </w:tcMar>
            <w:vAlign w:val="center"/>
            <w:hideMark/>
          </w:tcPr>
          <w:p w14:paraId="26763142" w14:textId="1DCD4222" w:rsidR="007E2D63" w:rsidRPr="00A81971" w:rsidRDefault="0032495C" w:rsidP="00A12AFF">
            <w:pPr>
              <w:spacing w:after="0"/>
              <w:textAlignment w:val="center"/>
              <w:rPr>
                <w:rFonts w:eastAsia="Times New Roman"/>
                <w:b/>
                <w:bCs/>
                <w:color w:val="000000" w:themeColor="text1"/>
              </w:rPr>
            </w:pPr>
            <w:r w:rsidRPr="00A81971">
              <w:rPr>
                <w:rFonts w:eastAsia="Times New Roman"/>
                <w:b/>
                <w:bCs/>
                <w:color w:val="000000" w:themeColor="text1"/>
              </w:rPr>
              <w:t xml:space="preserve">3. </w:t>
            </w:r>
            <w:r w:rsidR="0001877D" w:rsidRPr="00A81971">
              <w:rPr>
                <w:rFonts w:eastAsia="Times New Roman"/>
                <w:b/>
                <w:bCs/>
                <w:color w:val="000000" w:themeColor="text1"/>
              </w:rPr>
              <w:t>18</w:t>
            </w:r>
            <w:r w:rsidR="78AE163D" w:rsidRPr="00A81971">
              <w:rPr>
                <w:rFonts w:eastAsia="Times New Roman"/>
                <w:b/>
                <w:bCs/>
                <w:color w:val="000000" w:themeColor="text1"/>
              </w:rPr>
              <w:t xml:space="preserve"> countries assumed will ratify Kigali by 2029</w:t>
            </w:r>
          </w:p>
          <w:p w14:paraId="1F4C6D4C" w14:textId="77777777" w:rsidR="007E2D63" w:rsidRPr="00054351" w:rsidRDefault="007E2D63" w:rsidP="00A12AFF">
            <w:pPr>
              <w:spacing w:after="0"/>
              <w:textAlignment w:val="center"/>
              <w:rPr>
                <w:rFonts w:eastAsia="Times New Roman"/>
                <w:b/>
                <w:bCs/>
                <w:color w:val="000000" w:themeColor="text1"/>
              </w:rPr>
            </w:pPr>
          </w:p>
        </w:tc>
        <w:tc>
          <w:tcPr>
            <w:tcW w:w="3640" w:type="dxa"/>
            <w:gridSpan w:val="2"/>
            <w:vMerge w:val="restart"/>
            <w:shd w:val="clear" w:color="auto" w:fill="D9D9D9" w:themeFill="background1" w:themeFillShade="D9"/>
            <w:tcMar>
              <w:top w:w="11" w:type="dxa"/>
              <w:left w:w="11" w:type="dxa"/>
              <w:bottom w:w="0" w:type="dxa"/>
              <w:right w:w="11" w:type="dxa"/>
            </w:tcMar>
            <w:vAlign w:val="center"/>
            <w:hideMark/>
          </w:tcPr>
          <w:p w14:paraId="5209B88D"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Group 1:</w:t>
            </w:r>
            <w:r w:rsidRPr="00054351">
              <w:rPr>
                <w:rFonts w:eastAsia="Times New Roman"/>
                <w:color w:val="000000"/>
                <w:kern w:val="24"/>
              </w:rPr>
              <w:t xml:space="preserve"> Funding </w:t>
            </w:r>
            <w:r w:rsidRPr="00054351">
              <w:rPr>
                <w:rFonts w:eastAsia="Times New Roman"/>
                <w:color w:val="000000" w:themeColor="text1"/>
              </w:rPr>
              <w:t xml:space="preserve">required for 15 countries </w:t>
            </w:r>
            <w:r w:rsidR="0393C3E1" w:rsidRPr="00A81971">
              <w:rPr>
                <w:rFonts w:eastAsia="Times New Roman"/>
                <w:color w:val="000000" w:themeColor="text1"/>
              </w:rPr>
              <w:t xml:space="preserve">that </w:t>
            </w:r>
            <w:r w:rsidRPr="00054351">
              <w:rPr>
                <w:rFonts w:eastAsia="Times New Roman"/>
                <w:color w:val="000000" w:themeColor="text1"/>
                <w:u w:val="single"/>
              </w:rPr>
              <w:t>have not ratified</w:t>
            </w:r>
            <w:r w:rsidRPr="00054351">
              <w:rPr>
                <w:rFonts w:eastAsia="Times New Roman"/>
                <w:color w:val="000000" w:themeColor="text1"/>
              </w:rPr>
              <w:t xml:space="preserve"> </w:t>
            </w:r>
            <w:r w:rsidR="332685B2" w:rsidRPr="00A81971">
              <w:rPr>
                <w:rFonts w:eastAsia="Times New Roman"/>
                <w:color w:val="000000" w:themeColor="text1"/>
              </w:rPr>
              <w:t>-</w:t>
            </w:r>
            <w:r w:rsidRPr="00054351">
              <w:rPr>
                <w:rFonts w:eastAsia="Times New Roman"/>
                <w:color w:val="000000" w:themeColor="text1"/>
              </w:rPr>
              <w:t xml:space="preserve"> to reach 10% and 30%targets</w:t>
            </w:r>
          </w:p>
        </w:tc>
        <w:tc>
          <w:tcPr>
            <w:tcW w:w="2760" w:type="dxa"/>
            <w:shd w:val="clear" w:color="auto" w:fill="D9D9D9" w:themeFill="background1" w:themeFillShade="D9"/>
            <w:tcMar>
              <w:top w:w="11" w:type="dxa"/>
              <w:left w:w="11" w:type="dxa"/>
              <w:bottom w:w="0" w:type="dxa"/>
              <w:right w:w="11" w:type="dxa"/>
            </w:tcMar>
            <w:vAlign w:val="center"/>
            <w:hideMark/>
          </w:tcPr>
          <w:p w14:paraId="59F9DF0D"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6 non-LVC countries (G1)</w:t>
            </w:r>
          </w:p>
        </w:tc>
        <w:tc>
          <w:tcPr>
            <w:tcW w:w="675" w:type="dxa"/>
            <w:shd w:val="clear" w:color="auto" w:fill="D9D9D9" w:themeFill="background1" w:themeFillShade="D9"/>
            <w:tcMar>
              <w:top w:w="11" w:type="dxa"/>
              <w:left w:w="11" w:type="dxa"/>
              <w:bottom w:w="0" w:type="dxa"/>
              <w:right w:w="11" w:type="dxa"/>
            </w:tcMar>
            <w:vAlign w:val="center"/>
            <w:hideMark/>
          </w:tcPr>
          <w:p w14:paraId="61EEC9CA"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7</w:t>
            </w:r>
          </w:p>
        </w:tc>
        <w:tc>
          <w:tcPr>
            <w:tcW w:w="2756" w:type="dxa"/>
            <w:shd w:val="clear" w:color="auto" w:fill="D9D9D9" w:themeFill="background1" w:themeFillShade="D9"/>
            <w:tcMar>
              <w:top w:w="12" w:type="dxa"/>
              <w:left w:w="12" w:type="dxa"/>
              <w:bottom w:w="0" w:type="dxa"/>
              <w:right w:w="12" w:type="dxa"/>
            </w:tcMar>
            <w:vAlign w:val="center"/>
            <w:hideMark/>
          </w:tcPr>
          <w:p w14:paraId="20C042F2"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5,451,926</w:t>
            </w:r>
          </w:p>
        </w:tc>
        <w:tc>
          <w:tcPr>
            <w:tcW w:w="2895" w:type="dxa"/>
            <w:shd w:val="clear" w:color="auto" w:fill="D9D9D9" w:themeFill="background1" w:themeFillShade="D9"/>
            <w:tcMar>
              <w:top w:w="12" w:type="dxa"/>
              <w:left w:w="12" w:type="dxa"/>
              <w:bottom w:w="0" w:type="dxa"/>
              <w:right w:w="12" w:type="dxa"/>
            </w:tcMar>
            <w:vAlign w:val="center"/>
            <w:hideMark/>
          </w:tcPr>
          <w:p w14:paraId="0AD4FB5C"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10,903,852</w:t>
            </w:r>
          </w:p>
        </w:tc>
      </w:tr>
      <w:tr w:rsidR="00F90461" w14:paraId="19AA576E" w14:textId="77777777" w:rsidTr="00A04930">
        <w:trPr>
          <w:trHeight w:val="593"/>
        </w:trPr>
        <w:tc>
          <w:tcPr>
            <w:tcW w:w="1965" w:type="dxa"/>
            <w:vMerge/>
            <w:vAlign w:val="center"/>
            <w:hideMark/>
          </w:tcPr>
          <w:p w14:paraId="656DEBD8" w14:textId="77777777" w:rsidR="007E2D63" w:rsidRPr="00A81971" w:rsidRDefault="007E2D63" w:rsidP="00A12AFF">
            <w:pPr>
              <w:spacing w:after="0"/>
              <w:rPr>
                <w:rFonts w:ascii="Arial" w:eastAsia="Times New Roman" w:hAnsi="Arial" w:cs="Arial"/>
              </w:rPr>
            </w:pPr>
          </w:p>
        </w:tc>
        <w:tc>
          <w:tcPr>
            <w:tcW w:w="3640" w:type="dxa"/>
            <w:gridSpan w:val="2"/>
            <w:vMerge/>
            <w:vAlign w:val="center"/>
            <w:hideMark/>
          </w:tcPr>
          <w:p w14:paraId="44FDBD85" w14:textId="77777777" w:rsidR="007E2D63" w:rsidRPr="00A81971" w:rsidRDefault="007E2D63" w:rsidP="00A12AFF">
            <w:pPr>
              <w:spacing w:after="0"/>
              <w:rPr>
                <w:rFonts w:ascii="Arial" w:eastAsia="Times New Roman" w:hAnsi="Arial" w:cs="Arial"/>
              </w:rPr>
            </w:pPr>
          </w:p>
        </w:tc>
        <w:tc>
          <w:tcPr>
            <w:tcW w:w="2760" w:type="dxa"/>
            <w:shd w:val="clear" w:color="auto" w:fill="D9D9D9" w:themeFill="background1" w:themeFillShade="D9"/>
            <w:tcMar>
              <w:top w:w="11" w:type="dxa"/>
              <w:left w:w="11" w:type="dxa"/>
              <w:bottom w:w="0" w:type="dxa"/>
              <w:right w:w="11" w:type="dxa"/>
            </w:tcMar>
            <w:vAlign w:val="center"/>
            <w:hideMark/>
          </w:tcPr>
          <w:p w14:paraId="555C816A"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9 LVC countries (G1)</w:t>
            </w:r>
          </w:p>
        </w:tc>
        <w:tc>
          <w:tcPr>
            <w:tcW w:w="675" w:type="dxa"/>
            <w:shd w:val="clear" w:color="auto" w:fill="D9D9D9" w:themeFill="background1" w:themeFillShade="D9"/>
            <w:tcMar>
              <w:top w:w="11" w:type="dxa"/>
              <w:left w:w="11" w:type="dxa"/>
              <w:bottom w:w="0" w:type="dxa"/>
              <w:right w:w="11" w:type="dxa"/>
            </w:tcMar>
            <w:vAlign w:val="center"/>
            <w:hideMark/>
          </w:tcPr>
          <w:p w14:paraId="58DDA123"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8</w:t>
            </w:r>
          </w:p>
        </w:tc>
        <w:tc>
          <w:tcPr>
            <w:tcW w:w="2756" w:type="dxa"/>
            <w:shd w:val="clear" w:color="auto" w:fill="D9D9D9" w:themeFill="background1" w:themeFillShade="D9"/>
            <w:tcMar>
              <w:top w:w="11" w:type="dxa"/>
              <w:left w:w="11" w:type="dxa"/>
              <w:bottom w:w="0" w:type="dxa"/>
              <w:right w:w="11" w:type="dxa"/>
            </w:tcMar>
            <w:vAlign w:val="center"/>
            <w:hideMark/>
          </w:tcPr>
          <w:p w14:paraId="497BAF8E"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1,727,296</w:t>
            </w:r>
          </w:p>
        </w:tc>
        <w:tc>
          <w:tcPr>
            <w:tcW w:w="2895" w:type="dxa"/>
            <w:shd w:val="clear" w:color="auto" w:fill="D9D9D9" w:themeFill="background1" w:themeFillShade="D9"/>
            <w:tcMar>
              <w:top w:w="11" w:type="dxa"/>
              <w:left w:w="11" w:type="dxa"/>
              <w:bottom w:w="0" w:type="dxa"/>
              <w:right w:w="11" w:type="dxa"/>
            </w:tcMar>
            <w:vAlign w:val="center"/>
            <w:hideMark/>
          </w:tcPr>
          <w:p w14:paraId="290AAD62"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3,454,592</w:t>
            </w:r>
          </w:p>
        </w:tc>
      </w:tr>
      <w:tr w:rsidR="00F90461" w14:paraId="40CDB3DA" w14:textId="77777777" w:rsidTr="00A04930">
        <w:trPr>
          <w:trHeight w:val="969"/>
        </w:trPr>
        <w:tc>
          <w:tcPr>
            <w:tcW w:w="1965" w:type="dxa"/>
            <w:vMerge/>
            <w:vAlign w:val="center"/>
            <w:hideMark/>
          </w:tcPr>
          <w:p w14:paraId="36E8CDBC" w14:textId="77777777" w:rsidR="007E2D63" w:rsidRPr="00A81971" w:rsidRDefault="007E2D63" w:rsidP="00A12AFF">
            <w:pPr>
              <w:spacing w:after="0"/>
              <w:rPr>
                <w:rFonts w:ascii="Arial" w:eastAsia="Times New Roman" w:hAnsi="Arial" w:cs="Arial"/>
              </w:rPr>
            </w:pPr>
          </w:p>
        </w:tc>
        <w:tc>
          <w:tcPr>
            <w:tcW w:w="3640" w:type="dxa"/>
            <w:gridSpan w:val="2"/>
            <w:shd w:val="clear" w:color="auto" w:fill="D9D9D9" w:themeFill="background1" w:themeFillShade="D9"/>
            <w:tcMar>
              <w:top w:w="11" w:type="dxa"/>
              <w:left w:w="11" w:type="dxa"/>
              <w:bottom w:w="0" w:type="dxa"/>
              <w:right w:w="11" w:type="dxa"/>
            </w:tcMar>
            <w:vAlign w:val="center"/>
            <w:hideMark/>
          </w:tcPr>
          <w:p w14:paraId="1C2976AC" w14:textId="77777777" w:rsidR="007E2D63" w:rsidRPr="00054351" w:rsidRDefault="0032495C" w:rsidP="00A12AFF">
            <w:pPr>
              <w:spacing w:after="0"/>
              <w:textAlignment w:val="center"/>
              <w:rPr>
                <w:rFonts w:eastAsia="Times New Roman"/>
              </w:rPr>
            </w:pPr>
            <w:r w:rsidRPr="00054351">
              <w:rPr>
                <w:rFonts w:eastAsia="Times New Roman"/>
                <w:b/>
                <w:bCs/>
                <w:color w:val="000000"/>
                <w:kern w:val="24"/>
              </w:rPr>
              <w:t>Group 2:</w:t>
            </w:r>
            <w:r w:rsidRPr="00054351">
              <w:rPr>
                <w:rFonts w:eastAsia="Times New Roman"/>
                <w:color w:val="000000"/>
                <w:kern w:val="24"/>
              </w:rPr>
              <w:t xml:space="preserve"> Funding </w:t>
            </w:r>
            <w:r w:rsidRPr="00054351">
              <w:rPr>
                <w:rFonts w:eastAsia="Times New Roman"/>
                <w:color w:val="000000" w:themeColor="text1"/>
              </w:rPr>
              <w:t xml:space="preserve">required for 3 countries </w:t>
            </w:r>
            <w:r w:rsidR="6831D0E0" w:rsidRPr="00A81971">
              <w:rPr>
                <w:rFonts w:eastAsia="Times New Roman"/>
                <w:color w:val="000000" w:themeColor="text1"/>
              </w:rPr>
              <w:t xml:space="preserve">that </w:t>
            </w:r>
            <w:r w:rsidR="6831D0E0" w:rsidRPr="00054351">
              <w:rPr>
                <w:rFonts w:eastAsia="Times New Roman"/>
                <w:color w:val="000000" w:themeColor="text1"/>
                <w:u w:val="single"/>
              </w:rPr>
              <w:t>have</w:t>
            </w:r>
            <w:r w:rsidRPr="00054351">
              <w:rPr>
                <w:rFonts w:eastAsia="Times New Roman"/>
                <w:color w:val="000000" w:themeColor="text1"/>
                <w:u w:val="single"/>
              </w:rPr>
              <w:t xml:space="preserve"> not ratifie</w:t>
            </w:r>
            <w:r w:rsidRPr="00A81971">
              <w:rPr>
                <w:rFonts w:eastAsia="Times New Roman"/>
                <w:color w:val="000000" w:themeColor="text1"/>
                <w:u w:val="single"/>
              </w:rPr>
              <w:t>d</w:t>
            </w:r>
            <w:r w:rsidR="6831D0E0" w:rsidRPr="00A81971">
              <w:rPr>
                <w:rFonts w:eastAsia="Times New Roman"/>
                <w:color w:val="000000" w:themeColor="text1"/>
                <w:u w:val="single"/>
              </w:rPr>
              <w:t>,</w:t>
            </w:r>
            <w:r w:rsidRPr="00A81971">
              <w:rPr>
                <w:rFonts w:eastAsia="Times New Roman"/>
                <w:color w:val="000000" w:themeColor="text1"/>
                <w:u w:val="single"/>
              </w:rPr>
              <w:t xml:space="preserve"> </w:t>
            </w:r>
            <w:r w:rsidRPr="00A81971">
              <w:rPr>
                <w:rFonts w:eastAsia="Times New Roman"/>
                <w:color w:val="000000" w:themeColor="text1"/>
              </w:rPr>
              <w:t>to reach the freeze and 2032 target</w:t>
            </w:r>
          </w:p>
        </w:tc>
        <w:tc>
          <w:tcPr>
            <w:tcW w:w="2760" w:type="dxa"/>
            <w:shd w:val="clear" w:color="auto" w:fill="D9D9D9" w:themeFill="background1" w:themeFillShade="D9"/>
            <w:tcMar>
              <w:top w:w="11" w:type="dxa"/>
              <w:left w:w="11" w:type="dxa"/>
              <w:bottom w:w="0" w:type="dxa"/>
              <w:right w:w="11" w:type="dxa"/>
            </w:tcMar>
            <w:vAlign w:val="center"/>
            <w:hideMark/>
          </w:tcPr>
          <w:p w14:paraId="7DBA61FF" w14:textId="77777777" w:rsidR="007E2D63" w:rsidRPr="00054351" w:rsidRDefault="0032495C" w:rsidP="00A12AFF">
            <w:pPr>
              <w:spacing w:after="0"/>
              <w:textAlignment w:val="center"/>
              <w:rPr>
                <w:rFonts w:eastAsia="Times New Roman"/>
              </w:rPr>
            </w:pPr>
            <w:r w:rsidRPr="00054351">
              <w:rPr>
                <w:rFonts w:eastAsia="Times New Roman"/>
                <w:color w:val="000000"/>
                <w:kern w:val="24"/>
              </w:rPr>
              <w:t>3 non-LVC countries (G2)</w:t>
            </w:r>
          </w:p>
        </w:tc>
        <w:tc>
          <w:tcPr>
            <w:tcW w:w="675" w:type="dxa"/>
            <w:shd w:val="clear" w:color="auto" w:fill="D9D9D9" w:themeFill="background1" w:themeFillShade="D9"/>
            <w:tcMar>
              <w:top w:w="11" w:type="dxa"/>
              <w:left w:w="11" w:type="dxa"/>
              <w:bottom w:w="0" w:type="dxa"/>
              <w:right w:w="11" w:type="dxa"/>
            </w:tcMar>
            <w:vAlign w:val="center"/>
            <w:hideMark/>
          </w:tcPr>
          <w:p w14:paraId="724E78B5" w14:textId="77777777" w:rsidR="007E2D63" w:rsidRPr="00054351" w:rsidRDefault="0032495C" w:rsidP="00A04930">
            <w:pPr>
              <w:spacing w:after="0"/>
              <w:jc w:val="center"/>
              <w:textAlignment w:val="center"/>
              <w:rPr>
                <w:rFonts w:eastAsia="Times New Roman"/>
              </w:rPr>
            </w:pPr>
            <w:r w:rsidRPr="00054351">
              <w:rPr>
                <w:rFonts w:eastAsia="Times New Roman"/>
                <w:b/>
                <w:bCs/>
                <w:color w:val="000000"/>
                <w:kern w:val="24"/>
              </w:rPr>
              <w:t>9</w:t>
            </w:r>
          </w:p>
        </w:tc>
        <w:tc>
          <w:tcPr>
            <w:tcW w:w="2756" w:type="dxa"/>
            <w:shd w:val="clear" w:color="auto" w:fill="D9D9D9" w:themeFill="background1" w:themeFillShade="D9"/>
            <w:tcMar>
              <w:top w:w="11" w:type="dxa"/>
              <w:left w:w="11" w:type="dxa"/>
              <w:bottom w:w="0" w:type="dxa"/>
              <w:right w:w="11" w:type="dxa"/>
            </w:tcMar>
            <w:vAlign w:val="center"/>
            <w:hideMark/>
          </w:tcPr>
          <w:p w14:paraId="4779A85F" w14:textId="77777777" w:rsidR="007E2D63" w:rsidRPr="00054351" w:rsidRDefault="0032495C" w:rsidP="00A12AFF">
            <w:pPr>
              <w:spacing w:after="0"/>
              <w:jc w:val="center"/>
              <w:textAlignment w:val="center"/>
              <w:rPr>
                <w:rFonts w:eastAsia="Times New Roman"/>
              </w:rPr>
            </w:pPr>
            <w:r w:rsidRPr="00054351">
              <w:rPr>
                <w:rFonts w:eastAsia="Times New Roman"/>
                <w:color w:val="000000"/>
                <w:kern w:val="24"/>
              </w:rPr>
              <w:t>15,433,101</w:t>
            </w:r>
          </w:p>
        </w:tc>
        <w:tc>
          <w:tcPr>
            <w:tcW w:w="2895" w:type="dxa"/>
            <w:shd w:val="clear" w:color="auto" w:fill="D9D9D9" w:themeFill="background1" w:themeFillShade="D9"/>
            <w:tcMar>
              <w:top w:w="11" w:type="dxa"/>
              <w:left w:w="11" w:type="dxa"/>
              <w:bottom w:w="0" w:type="dxa"/>
              <w:right w:w="11" w:type="dxa"/>
            </w:tcMar>
            <w:vAlign w:val="center"/>
            <w:hideMark/>
          </w:tcPr>
          <w:p w14:paraId="213D1EA7" w14:textId="77777777" w:rsidR="007E2D63" w:rsidRPr="00054351" w:rsidRDefault="007E2D63" w:rsidP="00FE5C31">
            <w:pPr>
              <w:spacing w:after="0"/>
              <w:jc w:val="center"/>
              <w:rPr>
                <w:rFonts w:eastAsia="Times New Roman"/>
              </w:rPr>
            </w:pPr>
          </w:p>
        </w:tc>
      </w:tr>
      <w:tr w:rsidR="00F90461" w14:paraId="5DC8C885" w14:textId="77777777" w:rsidTr="00A04930">
        <w:trPr>
          <w:trHeight w:val="376"/>
        </w:trPr>
        <w:tc>
          <w:tcPr>
            <w:tcW w:w="1965" w:type="dxa"/>
            <w:tcMar>
              <w:top w:w="11" w:type="dxa"/>
              <w:left w:w="11" w:type="dxa"/>
              <w:bottom w:w="0" w:type="dxa"/>
              <w:right w:w="11" w:type="dxa"/>
            </w:tcMar>
            <w:vAlign w:val="bottom"/>
            <w:hideMark/>
          </w:tcPr>
          <w:p w14:paraId="2E797B1A" w14:textId="77777777" w:rsidR="007E2D63" w:rsidRPr="00A81971" w:rsidRDefault="007E2D63" w:rsidP="007E2D63">
            <w:pPr>
              <w:spacing w:after="0"/>
              <w:rPr>
                <w:rFonts w:eastAsia="Times New Roman"/>
              </w:rPr>
            </w:pPr>
          </w:p>
        </w:tc>
        <w:tc>
          <w:tcPr>
            <w:tcW w:w="1777" w:type="dxa"/>
            <w:tcMar>
              <w:top w:w="11" w:type="dxa"/>
              <w:left w:w="11" w:type="dxa"/>
              <w:bottom w:w="0" w:type="dxa"/>
              <w:right w:w="11" w:type="dxa"/>
            </w:tcMar>
            <w:vAlign w:val="bottom"/>
            <w:hideMark/>
          </w:tcPr>
          <w:p w14:paraId="0574642C" w14:textId="77777777" w:rsidR="007E2D63" w:rsidRPr="00A81971" w:rsidRDefault="007E2D63" w:rsidP="007E2D63">
            <w:pPr>
              <w:spacing w:after="0"/>
              <w:rPr>
                <w:rFonts w:eastAsia="Times New Roman"/>
              </w:rPr>
            </w:pPr>
          </w:p>
        </w:tc>
        <w:tc>
          <w:tcPr>
            <w:tcW w:w="1863" w:type="dxa"/>
            <w:tcMar>
              <w:top w:w="11" w:type="dxa"/>
              <w:left w:w="11" w:type="dxa"/>
              <w:bottom w:w="0" w:type="dxa"/>
              <w:right w:w="11" w:type="dxa"/>
            </w:tcMar>
            <w:vAlign w:val="bottom"/>
            <w:hideMark/>
          </w:tcPr>
          <w:p w14:paraId="5D33A9A6" w14:textId="77777777" w:rsidR="007E2D63" w:rsidRPr="00A81971" w:rsidRDefault="007E2D63" w:rsidP="007E2D63">
            <w:pPr>
              <w:spacing w:after="0"/>
              <w:rPr>
                <w:rFonts w:eastAsia="Times New Roman"/>
              </w:rPr>
            </w:pPr>
          </w:p>
        </w:tc>
        <w:tc>
          <w:tcPr>
            <w:tcW w:w="2760" w:type="dxa"/>
            <w:tcMar>
              <w:top w:w="11" w:type="dxa"/>
              <w:left w:w="11" w:type="dxa"/>
              <w:bottom w:w="0" w:type="dxa"/>
              <w:right w:w="11" w:type="dxa"/>
            </w:tcMar>
            <w:vAlign w:val="bottom"/>
            <w:hideMark/>
          </w:tcPr>
          <w:p w14:paraId="220031F4" w14:textId="77777777" w:rsidR="007E2D63" w:rsidRPr="00A81971" w:rsidRDefault="007E2D63" w:rsidP="007E2D63">
            <w:pPr>
              <w:spacing w:after="0"/>
              <w:rPr>
                <w:rFonts w:eastAsia="Times New Roman"/>
              </w:rPr>
            </w:pPr>
          </w:p>
        </w:tc>
        <w:tc>
          <w:tcPr>
            <w:tcW w:w="675" w:type="dxa"/>
            <w:tcMar>
              <w:top w:w="11" w:type="dxa"/>
              <w:left w:w="11" w:type="dxa"/>
              <w:bottom w:w="0" w:type="dxa"/>
              <w:right w:w="11" w:type="dxa"/>
            </w:tcMar>
            <w:vAlign w:val="center"/>
            <w:hideMark/>
          </w:tcPr>
          <w:p w14:paraId="7C891FA6" w14:textId="77777777" w:rsidR="007E2D63" w:rsidRPr="00054351" w:rsidRDefault="0032495C" w:rsidP="00A04930">
            <w:pPr>
              <w:spacing w:after="0"/>
              <w:jc w:val="center"/>
              <w:textAlignment w:val="bottom"/>
              <w:rPr>
                <w:rFonts w:eastAsia="Times New Roman"/>
              </w:rPr>
            </w:pPr>
            <w:r w:rsidRPr="00054351">
              <w:rPr>
                <w:rFonts w:eastAsia="Times New Roman"/>
                <w:b/>
                <w:bCs/>
                <w:color w:val="000000"/>
                <w:kern w:val="24"/>
              </w:rPr>
              <w:t>Total</w:t>
            </w:r>
          </w:p>
        </w:tc>
        <w:tc>
          <w:tcPr>
            <w:tcW w:w="2756" w:type="dxa"/>
            <w:tcMar>
              <w:top w:w="12" w:type="dxa"/>
              <w:left w:w="12" w:type="dxa"/>
              <w:bottom w:w="0" w:type="dxa"/>
              <w:right w:w="12" w:type="dxa"/>
            </w:tcMar>
            <w:vAlign w:val="center"/>
            <w:hideMark/>
          </w:tcPr>
          <w:p w14:paraId="3390247B" w14:textId="3EB346F3" w:rsidR="007E2D63" w:rsidRPr="00054351" w:rsidRDefault="0032495C" w:rsidP="00A12AFF">
            <w:pPr>
              <w:spacing w:after="0"/>
              <w:jc w:val="center"/>
              <w:textAlignment w:val="bottom"/>
              <w:rPr>
                <w:rFonts w:eastAsia="Times New Roman"/>
              </w:rPr>
            </w:pPr>
            <w:r w:rsidRPr="00054351">
              <w:rPr>
                <w:rFonts w:eastAsia="Times New Roman"/>
                <w:b/>
                <w:bCs/>
                <w:color w:val="000000"/>
                <w:kern w:val="24"/>
              </w:rPr>
              <w:t>$       792,838,691</w:t>
            </w:r>
          </w:p>
        </w:tc>
        <w:tc>
          <w:tcPr>
            <w:tcW w:w="2895" w:type="dxa"/>
            <w:tcMar>
              <w:top w:w="12" w:type="dxa"/>
              <w:left w:w="12" w:type="dxa"/>
              <w:bottom w:w="0" w:type="dxa"/>
              <w:right w:w="12" w:type="dxa"/>
            </w:tcMar>
            <w:vAlign w:val="center"/>
            <w:hideMark/>
          </w:tcPr>
          <w:p w14:paraId="3BD46238" w14:textId="7EB5B735" w:rsidR="007E2D63" w:rsidRPr="00054351" w:rsidRDefault="0032495C" w:rsidP="00A12AFF">
            <w:pPr>
              <w:spacing w:after="0"/>
              <w:jc w:val="center"/>
              <w:textAlignment w:val="bottom"/>
              <w:rPr>
                <w:rFonts w:eastAsia="Times New Roman"/>
              </w:rPr>
            </w:pPr>
            <w:r w:rsidRPr="00054351">
              <w:rPr>
                <w:rFonts w:eastAsia="Times New Roman"/>
                <w:b/>
                <w:bCs/>
                <w:color w:val="000000" w:themeColor="text1"/>
              </w:rPr>
              <w:t>$  1,362,239,534</w:t>
            </w:r>
          </w:p>
        </w:tc>
      </w:tr>
      <w:tr w:rsidR="00F90461" w14:paraId="7286DCF0" w14:textId="77777777" w:rsidTr="00FE5C31">
        <w:trPr>
          <w:trHeight w:val="20"/>
        </w:trPr>
        <w:tc>
          <w:tcPr>
            <w:tcW w:w="8365" w:type="dxa"/>
            <w:gridSpan w:val="4"/>
            <w:shd w:val="clear" w:color="auto" w:fill="FFFFFF" w:themeFill="background1"/>
            <w:tcMar>
              <w:top w:w="11" w:type="dxa"/>
              <w:left w:w="11" w:type="dxa"/>
              <w:bottom w:w="0" w:type="dxa"/>
              <w:right w:w="11" w:type="dxa"/>
            </w:tcMar>
            <w:vAlign w:val="bottom"/>
            <w:hideMark/>
          </w:tcPr>
          <w:p w14:paraId="7AC18FC6" w14:textId="77777777" w:rsidR="007E2D63" w:rsidRPr="00054351" w:rsidRDefault="0032495C" w:rsidP="007E2D63">
            <w:pPr>
              <w:spacing w:after="0"/>
              <w:textAlignment w:val="bottom"/>
              <w:rPr>
                <w:rFonts w:eastAsia="Times New Roman"/>
              </w:rPr>
            </w:pPr>
            <w:r w:rsidRPr="00054351">
              <w:rPr>
                <w:rFonts w:eastAsia="Times New Roman"/>
                <w:b/>
                <w:bCs/>
                <w:color w:val="000000"/>
                <w:kern w:val="24"/>
              </w:rPr>
              <w:t>*</w:t>
            </w:r>
            <w:r w:rsidRPr="00054351">
              <w:rPr>
                <w:rFonts w:eastAsia="Times New Roman"/>
                <w:b/>
                <w:bCs/>
                <w:color w:val="000000" w:themeColor="text1"/>
              </w:rPr>
              <w:t xml:space="preserve">With Support Costs/Region ASP, and PMU included. </w:t>
            </w:r>
          </w:p>
          <w:p w14:paraId="6EB589A0" w14:textId="77777777" w:rsidR="007E2D63" w:rsidRPr="00054351" w:rsidRDefault="0032495C" w:rsidP="007E2D63">
            <w:pPr>
              <w:spacing w:after="0"/>
              <w:textAlignment w:val="bottom"/>
              <w:rPr>
                <w:rFonts w:eastAsia="Times New Roman"/>
              </w:rPr>
            </w:pPr>
            <w:r w:rsidRPr="00054351">
              <w:rPr>
                <w:rFonts w:eastAsia="Times New Roman"/>
                <w:b/>
                <w:bCs/>
                <w:color w:val="000000"/>
                <w:kern w:val="24"/>
              </w:rPr>
              <w:t xml:space="preserve">PMU </w:t>
            </w:r>
            <w:r w:rsidRPr="00054351">
              <w:rPr>
                <w:rFonts w:eastAsia="Times New Roman"/>
                <w:b/>
                <w:bCs/>
                <w:color w:val="000000" w:themeColor="text1"/>
              </w:rPr>
              <w:t>is US$ 108.92 million (in the US$ 2,155 million total for Scenario 1).</w:t>
            </w:r>
          </w:p>
        </w:tc>
        <w:tc>
          <w:tcPr>
            <w:tcW w:w="3431" w:type="dxa"/>
            <w:gridSpan w:val="2"/>
            <w:shd w:val="clear" w:color="auto" w:fill="E6B9B8"/>
            <w:tcMar>
              <w:top w:w="11" w:type="dxa"/>
              <w:left w:w="11" w:type="dxa"/>
              <w:bottom w:w="0" w:type="dxa"/>
              <w:right w:w="11" w:type="dxa"/>
            </w:tcMar>
            <w:vAlign w:val="center"/>
            <w:hideMark/>
          </w:tcPr>
          <w:p w14:paraId="456DB224" w14:textId="1C4271C7" w:rsidR="007E2D63" w:rsidRPr="00054351" w:rsidRDefault="0032495C" w:rsidP="00FE5C31">
            <w:pPr>
              <w:spacing w:after="0"/>
              <w:jc w:val="center"/>
              <w:textAlignment w:val="bottom"/>
              <w:rPr>
                <w:rFonts w:eastAsia="Times New Roman"/>
              </w:rPr>
            </w:pPr>
            <w:r w:rsidRPr="00054351">
              <w:rPr>
                <w:rFonts w:eastAsia="Times New Roman"/>
                <w:b/>
                <w:bCs/>
                <w:color w:val="000000"/>
                <w:kern w:val="24"/>
              </w:rPr>
              <w:t>TOTAL      Stage I plus Stage II</w:t>
            </w:r>
          </w:p>
        </w:tc>
        <w:tc>
          <w:tcPr>
            <w:tcW w:w="2895" w:type="dxa"/>
            <w:shd w:val="clear" w:color="auto" w:fill="E6B9B8"/>
            <w:tcMar>
              <w:top w:w="12" w:type="dxa"/>
              <w:left w:w="12" w:type="dxa"/>
              <w:bottom w:w="0" w:type="dxa"/>
              <w:right w:w="12" w:type="dxa"/>
            </w:tcMar>
            <w:vAlign w:val="center"/>
            <w:hideMark/>
          </w:tcPr>
          <w:p w14:paraId="1C57E207" w14:textId="487E7AC1" w:rsidR="007E2D63" w:rsidRPr="00054351" w:rsidRDefault="5A1A5425" w:rsidP="00FE5C31">
            <w:pPr>
              <w:spacing w:after="0"/>
              <w:jc w:val="center"/>
              <w:textAlignment w:val="bottom"/>
              <w:rPr>
                <w:rFonts w:eastAsia="Times New Roman"/>
              </w:rPr>
            </w:pPr>
            <w:r w:rsidRPr="00A81971">
              <w:rPr>
                <w:rFonts w:eastAsia="Times New Roman"/>
                <w:b/>
                <w:bCs/>
                <w:color w:val="000000" w:themeColor="text1"/>
              </w:rPr>
              <w:t>$</w:t>
            </w:r>
            <w:r w:rsidR="0032495C" w:rsidRPr="00054351">
              <w:rPr>
                <w:rFonts w:eastAsia="Times New Roman"/>
                <w:b/>
                <w:bCs/>
                <w:color w:val="000000" w:themeColor="text1"/>
              </w:rPr>
              <w:t xml:space="preserve">  2,155,078,225</w:t>
            </w:r>
          </w:p>
        </w:tc>
      </w:tr>
    </w:tbl>
    <w:p w14:paraId="3AD6DE72" w14:textId="77777777" w:rsidR="00C55496" w:rsidRPr="00A81971" w:rsidRDefault="0032495C" w:rsidP="00C55496">
      <w:pPr>
        <w:tabs>
          <w:tab w:val="left" w:pos="0"/>
        </w:tabs>
        <w:spacing w:after="0"/>
        <w:rPr>
          <w:rFonts w:eastAsia="Times New Roman"/>
          <w:color w:val="000000"/>
        </w:rPr>
      </w:pPr>
      <w:r w:rsidRPr="00A81971">
        <w:rPr>
          <w:rFonts w:eastAsia="Times New Roman"/>
          <w:color w:val="000000"/>
        </w:rPr>
        <w:lastRenderedPageBreak/>
        <w:t xml:space="preserve">The </w:t>
      </w:r>
      <w:r w:rsidR="00387111" w:rsidRPr="00A81971">
        <w:rPr>
          <w:rFonts w:eastAsia="Times New Roman"/>
          <w:color w:val="000000"/>
        </w:rPr>
        <w:t xml:space="preserve">updated </w:t>
      </w:r>
      <w:r w:rsidRPr="00A81971">
        <w:rPr>
          <w:rFonts w:eastAsia="Times New Roman"/>
          <w:color w:val="000000"/>
        </w:rPr>
        <w:t>funding per triennium for the HFC Scenario 1, applying resource allocation schedule A is in Table</w:t>
      </w:r>
      <w:r w:rsidR="00387111" w:rsidRPr="00A81971">
        <w:rPr>
          <w:rFonts w:eastAsia="Times New Roman"/>
          <w:color w:val="000000"/>
        </w:rPr>
        <w:t xml:space="preserve"> A3.5</w:t>
      </w:r>
      <w:r w:rsidRPr="00A81971">
        <w:rPr>
          <w:rFonts w:eastAsia="Times New Roman"/>
          <w:color w:val="000000"/>
        </w:rPr>
        <w:t xml:space="preserve"> below.</w:t>
      </w:r>
    </w:p>
    <w:p w14:paraId="60208D9C" w14:textId="77777777" w:rsidR="00F137C6" w:rsidRDefault="0032495C" w:rsidP="00F137C6">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t xml:space="preserve">Table </w:t>
      </w:r>
      <w:r>
        <w:rPr>
          <w:rFonts w:eastAsia="Yu Mincho"/>
          <w:b/>
          <w:bCs/>
          <w:color w:val="000000"/>
          <w:lang w:val="en-CA"/>
        </w:rPr>
        <w:t>A3.5:</w:t>
      </w:r>
      <w:r w:rsidRPr="0006445E">
        <w:rPr>
          <w:rFonts w:eastAsia="Times New Roman"/>
          <w:color w:val="000000"/>
          <w:lang w:val="en-CA"/>
        </w:rPr>
        <w:tab/>
      </w:r>
      <w:r w:rsidRPr="00A81971">
        <w:rPr>
          <w:rFonts w:eastAsia="Times New Roman"/>
          <w:b/>
          <w:bCs/>
          <w:color w:val="000000"/>
        </w:rPr>
        <w:t>Resource Allocation A proposed by RTF for HFC Scenario 1 (US$ million)</w:t>
      </w:r>
    </w:p>
    <w:p w14:paraId="5BE57D7A" w14:textId="77777777" w:rsidR="00C55496" w:rsidRPr="00A81971" w:rsidRDefault="0032495C" w:rsidP="00F137C6">
      <w:pPr>
        <w:tabs>
          <w:tab w:val="left" w:pos="0"/>
          <w:tab w:val="left" w:pos="1276"/>
        </w:tabs>
        <w:spacing w:after="120"/>
        <w:ind w:left="1282" w:hanging="1282"/>
      </w:pPr>
      <w:r w:rsidRPr="00A81971">
        <w:rPr>
          <w:noProof/>
        </w:rPr>
        <w:drawing>
          <wp:inline distT="0" distB="0" distL="0" distR="0" wp14:anchorId="356B1053" wp14:editId="675E174B">
            <wp:extent cx="8653261" cy="4502660"/>
            <wp:effectExtent l="0" t="0" r="0" b="0"/>
            <wp:docPr id="531105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05262" name="Picture 531105262"/>
                    <pic:cNvPicPr/>
                  </pic:nvPicPr>
                  <pic:blipFill>
                    <a:blip r:embed="rId48">
                      <a:extLst>
                        <a:ext uri="{28A0092B-C50C-407E-A947-70E740481C1C}">
                          <a14:useLocalDpi xmlns:a14="http://schemas.microsoft.com/office/drawing/2010/main" val="0"/>
                        </a:ext>
                      </a:extLst>
                    </a:blip>
                    <a:stretch>
                      <a:fillRect/>
                    </a:stretch>
                  </pic:blipFill>
                  <pic:spPr>
                    <a:xfrm>
                      <a:off x="0" y="0"/>
                      <a:ext cx="8670540" cy="4511651"/>
                    </a:xfrm>
                    <a:prstGeom prst="rect">
                      <a:avLst/>
                    </a:prstGeom>
                  </pic:spPr>
                </pic:pic>
              </a:graphicData>
            </a:graphic>
          </wp:inline>
        </w:drawing>
      </w:r>
    </w:p>
    <w:p w14:paraId="0E0B8911" w14:textId="77777777" w:rsidR="00C55496" w:rsidRPr="00A81971" w:rsidRDefault="0032495C" w:rsidP="00C55496">
      <w:pPr>
        <w:tabs>
          <w:tab w:val="left" w:pos="0"/>
        </w:tabs>
        <w:spacing w:after="0" w:line="259" w:lineRule="auto"/>
        <w:rPr>
          <w:rFonts w:eastAsia="Times New Roman"/>
          <w:color w:val="000000"/>
        </w:rPr>
      </w:pPr>
      <w:r w:rsidRPr="00A81971">
        <w:rPr>
          <w:rFonts w:eastAsia="Times New Roman"/>
          <w:color w:val="000000"/>
        </w:rPr>
        <w:t xml:space="preserve">Applying </w:t>
      </w:r>
      <w:r w:rsidRPr="00A81971">
        <w:rPr>
          <w:rFonts w:eastAsia="Times New Roman"/>
          <w:b/>
          <w:bCs/>
          <w:color w:val="000000"/>
        </w:rPr>
        <w:t>resource allocation schedule A</w:t>
      </w:r>
      <w:r w:rsidRPr="00A81971">
        <w:rPr>
          <w:rFonts w:eastAsia="Times New Roman"/>
          <w:color w:val="000000"/>
        </w:rPr>
        <w:t xml:space="preserve">, the </w:t>
      </w:r>
      <w:r w:rsidR="00735F42" w:rsidRPr="00A81971">
        <w:rPr>
          <w:rFonts w:eastAsia="Times New Roman"/>
          <w:color w:val="000000"/>
        </w:rPr>
        <w:t xml:space="preserve">updated </w:t>
      </w:r>
      <w:r w:rsidRPr="00A81971">
        <w:rPr>
          <w:rFonts w:eastAsia="Times New Roman"/>
          <w:color w:val="000000"/>
        </w:rPr>
        <w:t>new funding estimates for each triennium for HFC Scenario 1 are:</w:t>
      </w:r>
    </w:p>
    <w:p w14:paraId="6B95F92F" w14:textId="77777777" w:rsidR="00C55496" w:rsidRPr="00A81971" w:rsidRDefault="0032495C" w:rsidP="007A20BD">
      <w:pPr>
        <w:numPr>
          <w:ilvl w:val="0"/>
          <w:numId w:val="45"/>
        </w:numPr>
        <w:tabs>
          <w:tab w:val="left" w:pos="0"/>
        </w:tabs>
        <w:spacing w:after="0" w:line="259" w:lineRule="auto"/>
        <w:rPr>
          <w:b/>
          <w:bCs/>
        </w:rPr>
      </w:pPr>
      <w:r w:rsidRPr="00A81971">
        <w:rPr>
          <w:b/>
          <w:bCs/>
        </w:rPr>
        <w:t xml:space="preserve">2027-2029: </w:t>
      </w:r>
      <w:r w:rsidR="0032026F" w:rsidRPr="00A81971">
        <w:rPr>
          <w:b/>
          <w:bCs/>
        </w:rPr>
        <w:t>US$ 864</w:t>
      </w:r>
      <w:r w:rsidR="00365A0D" w:rsidRPr="00A81971">
        <w:rPr>
          <w:b/>
          <w:bCs/>
        </w:rPr>
        <w:t xml:space="preserve">.55 million (compared to </w:t>
      </w:r>
      <w:r w:rsidRPr="00A81971">
        <w:rPr>
          <w:b/>
          <w:bCs/>
        </w:rPr>
        <w:t>US$ 853.01 million</w:t>
      </w:r>
      <w:r w:rsidR="00365A0D" w:rsidRPr="00A81971">
        <w:rPr>
          <w:b/>
          <w:bCs/>
        </w:rPr>
        <w:t xml:space="preserve"> in the May 2026 Report)</w:t>
      </w:r>
    </w:p>
    <w:p w14:paraId="73858020" w14:textId="77777777" w:rsidR="00C55496" w:rsidRPr="00A81971" w:rsidRDefault="0032495C" w:rsidP="007A20BD">
      <w:pPr>
        <w:numPr>
          <w:ilvl w:val="0"/>
          <w:numId w:val="45"/>
        </w:numPr>
        <w:tabs>
          <w:tab w:val="left" w:pos="0"/>
        </w:tabs>
        <w:spacing w:after="0" w:line="259" w:lineRule="auto"/>
        <w:rPr>
          <w:b/>
          <w:bCs/>
        </w:rPr>
      </w:pPr>
      <w:r w:rsidRPr="00A81971">
        <w:rPr>
          <w:b/>
          <w:bCs/>
        </w:rPr>
        <w:t xml:space="preserve">2030-2032: </w:t>
      </w:r>
      <w:r w:rsidR="00AA1AC6" w:rsidRPr="00A81971">
        <w:rPr>
          <w:b/>
          <w:bCs/>
        </w:rPr>
        <w:t>US$ 844.94</w:t>
      </w:r>
      <w:r w:rsidR="00435ED9" w:rsidRPr="00A81971">
        <w:rPr>
          <w:b/>
          <w:bCs/>
        </w:rPr>
        <w:t xml:space="preserve"> million</w:t>
      </w:r>
      <w:r w:rsidR="00AA1AC6" w:rsidRPr="00A81971">
        <w:rPr>
          <w:b/>
          <w:bCs/>
        </w:rPr>
        <w:t xml:space="preserve"> (compared to </w:t>
      </w:r>
      <w:r w:rsidRPr="00A81971">
        <w:rPr>
          <w:b/>
          <w:bCs/>
        </w:rPr>
        <w:t>US$ 858.61 million</w:t>
      </w:r>
      <w:r w:rsidR="00AA1AC6" w:rsidRPr="00A81971">
        <w:rPr>
          <w:b/>
          <w:bCs/>
        </w:rPr>
        <w:t xml:space="preserve"> in the May 2026 Report)</w:t>
      </w:r>
    </w:p>
    <w:p w14:paraId="639135CC" w14:textId="77777777" w:rsidR="00C55496" w:rsidRPr="00A81971" w:rsidRDefault="0032495C" w:rsidP="007A20BD">
      <w:pPr>
        <w:numPr>
          <w:ilvl w:val="0"/>
          <w:numId w:val="45"/>
        </w:numPr>
        <w:tabs>
          <w:tab w:val="left" w:pos="0"/>
        </w:tabs>
        <w:spacing w:after="0" w:line="259" w:lineRule="auto"/>
        <w:rPr>
          <w:b/>
          <w:bCs/>
        </w:rPr>
      </w:pPr>
      <w:r w:rsidRPr="00A81971">
        <w:rPr>
          <w:b/>
          <w:bCs/>
        </w:rPr>
        <w:t xml:space="preserve">2033-2035: </w:t>
      </w:r>
      <w:r w:rsidR="00AA1AC6" w:rsidRPr="00A81971">
        <w:rPr>
          <w:b/>
          <w:bCs/>
        </w:rPr>
        <w:t xml:space="preserve">US$ 445.59 million (compared to </w:t>
      </w:r>
      <w:r w:rsidRPr="00A81971">
        <w:rPr>
          <w:b/>
          <w:bCs/>
        </w:rPr>
        <w:t>US$ 478.82 million</w:t>
      </w:r>
      <w:r w:rsidR="00AA1AC6" w:rsidRPr="00A81971">
        <w:rPr>
          <w:b/>
          <w:bCs/>
        </w:rPr>
        <w:t xml:space="preserve"> </w:t>
      </w:r>
      <w:r w:rsidR="00435ED9" w:rsidRPr="00A81971">
        <w:rPr>
          <w:b/>
          <w:bCs/>
        </w:rPr>
        <w:t>in the May 2026 Report)</w:t>
      </w:r>
    </w:p>
    <w:p w14:paraId="54C9BBC9" w14:textId="77777777" w:rsidR="00D66852" w:rsidRPr="00A81971" w:rsidRDefault="00D66852" w:rsidP="00D66852">
      <w:pPr>
        <w:tabs>
          <w:tab w:val="left" w:pos="0"/>
        </w:tabs>
        <w:spacing w:after="0"/>
        <w:jc w:val="both"/>
        <w:rPr>
          <w:rFonts w:eastAsia="Times New Roman"/>
          <w:b/>
          <w:bCs/>
          <w:color w:val="000000"/>
        </w:rPr>
      </w:pPr>
    </w:p>
    <w:p w14:paraId="5A35DE57" w14:textId="77777777" w:rsidR="00435ED9" w:rsidRPr="00A81971" w:rsidRDefault="0032495C" w:rsidP="00435ED9">
      <w:pPr>
        <w:tabs>
          <w:tab w:val="left" w:pos="0"/>
        </w:tabs>
        <w:spacing w:after="0"/>
        <w:rPr>
          <w:rFonts w:eastAsia="Times New Roman"/>
          <w:color w:val="000000"/>
        </w:rPr>
      </w:pPr>
      <w:r w:rsidRPr="00A81971">
        <w:rPr>
          <w:rFonts w:eastAsia="Times New Roman"/>
          <w:color w:val="000000"/>
        </w:rPr>
        <w:t xml:space="preserve">The </w:t>
      </w:r>
      <w:r w:rsidR="003F19CF" w:rsidRPr="00A81971">
        <w:rPr>
          <w:rFonts w:eastAsia="Times New Roman"/>
          <w:color w:val="000000"/>
        </w:rPr>
        <w:t xml:space="preserve">updated </w:t>
      </w:r>
      <w:r w:rsidRPr="00A81971">
        <w:rPr>
          <w:rFonts w:eastAsia="Times New Roman"/>
          <w:color w:val="000000"/>
        </w:rPr>
        <w:t xml:space="preserve">funding per triennium, for HFC Scenario 1, applying resource allocation schedule B is presented in Table </w:t>
      </w:r>
      <w:r w:rsidR="003F19CF" w:rsidRPr="00A81971">
        <w:rPr>
          <w:rFonts w:eastAsia="Times New Roman"/>
          <w:color w:val="000000"/>
        </w:rPr>
        <w:t>A</w:t>
      </w:r>
      <w:r w:rsidRPr="00A81971">
        <w:rPr>
          <w:rFonts w:eastAsia="Times New Roman"/>
          <w:color w:val="000000"/>
        </w:rPr>
        <w:t>3.</w:t>
      </w:r>
      <w:r w:rsidR="003F19CF" w:rsidRPr="00A81971">
        <w:rPr>
          <w:rFonts w:eastAsia="Times New Roman"/>
          <w:color w:val="000000"/>
        </w:rPr>
        <w:t>6</w:t>
      </w:r>
      <w:r w:rsidRPr="00A81971">
        <w:rPr>
          <w:rFonts w:eastAsia="Times New Roman"/>
          <w:color w:val="000000"/>
        </w:rPr>
        <w:t xml:space="preserve"> below.</w:t>
      </w:r>
    </w:p>
    <w:p w14:paraId="5F9FA504" w14:textId="77777777" w:rsidR="00435ED9" w:rsidRPr="00A81971" w:rsidRDefault="00435ED9" w:rsidP="00435ED9">
      <w:pPr>
        <w:tabs>
          <w:tab w:val="left" w:pos="0"/>
        </w:tabs>
        <w:spacing w:after="0"/>
        <w:rPr>
          <w:rFonts w:eastAsia="Times New Roman"/>
          <w:b/>
          <w:bCs/>
          <w:color w:val="000000"/>
        </w:rPr>
      </w:pPr>
    </w:p>
    <w:p w14:paraId="0A8A7C7F" w14:textId="77777777" w:rsidR="00F137C6" w:rsidRDefault="0032495C" w:rsidP="00F137C6">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t xml:space="preserve">Table </w:t>
      </w:r>
      <w:r>
        <w:rPr>
          <w:rFonts w:eastAsia="Yu Mincho"/>
          <w:b/>
          <w:bCs/>
          <w:color w:val="000000"/>
          <w:lang w:val="en-CA"/>
        </w:rPr>
        <w:t>A3.6:</w:t>
      </w:r>
      <w:r w:rsidRPr="0006445E">
        <w:rPr>
          <w:rFonts w:eastAsia="Times New Roman"/>
          <w:color w:val="000000"/>
          <w:lang w:val="en-CA"/>
        </w:rPr>
        <w:tab/>
      </w:r>
      <w:r w:rsidRPr="00A81971">
        <w:rPr>
          <w:rFonts w:eastAsia="Times New Roman"/>
          <w:b/>
          <w:bCs/>
          <w:color w:val="000000"/>
        </w:rPr>
        <w:t>Resource Allocation B proposed by RTF for HFC Scenario 1 (US$ million)</w:t>
      </w:r>
    </w:p>
    <w:p w14:paraId="7DD6D924" w14:textId="77777777" w:rsidR="00435ED9" w:rsidRPr="00A81971" w:rsidRDefault="0032495C" w:rsidP="00F137C6">
      <w:pPr>
        <w:tabs>
          <w:tab w:val="left" w:pos="0"/>
          <w:tab w:val="left" w:pos="1276"/>
        </w:tabs>
        <w:spacing w:after="120"/>
        <w:ind w:left="1282" w:hanging="1282"/>
      </w:pPr>
      <w:r w:rsidRPr="00A81971">
        <w:rPr>
          <w:noProof/>
        </w:rPr>
        <w:drawing>
          <wp:inline distT="0" distB="0" distL="0" distR="0" wp14:anchorId="1FB07B9A" wp14:editId="5082973D">
            <wp:extent cx="9301480" cy="3819525"/>
            <wp:effectExtent l="0" t="0" r="0" b="9525"/>
            <wp:docPr id="12207675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67543" name="Picture 1220767543"/>
                    <pic:cNvPicPr/>
                  </pic:nvPicPr>
                  <pic:blipFill>
                    <a:blip r:embed="rId49">
                      <a:extLst>
                        <a:ext uri="{28A0092B-C50C-407E-A947-70E740481C1C}">
                          <a14:useLocalDpi xmlns:a14="http://schemas.microsoft.com/office/drawing/2010/main" val="0"/>
                        </a:ext>
                      </a:extLst>
                    </a:blip>
                    <a:stretch>
                      <a:fillRect/>
                    </a:stretch>
                  </pic:blipFill>
                  <pic:spPr>
                    <a:xfrm>
                      <a:off x="0" y="0"/>
                      <a:ext cx="9317646" cy="3826163"/>
                    </a:xfrm>
                    <a:prstGeom prst="rect">
                      <a:avLst/>
                    </a:prstGeom>
                  </pic:spPr>
                </pic:pic>
              </a:graphicData>
            </a:graphic>
          </wp:inline>
        </w:drawing>
      </w:r>
    </w:p>
    <w:p w14:paraId="36554572" w14:textId="77777777" w:rsidR="00435ED9" w:rsidRPr="00A81971" w:rsidRDefault="0032495C" w:rsidP="00435ED9">
      <w:pPr>
        <w:tabs>
          <w:tab w:val="left" w:pos="0"/>
        </w:tabs>
        <w:spacing w:after="120" w:line="259" w:lineRule="auto"/>
        <w:rPr>
          <w:rFonts w:eastAsia="Times New Roman"/>
          <w:color w:val="000000"/>
        </w:rPr>
      </w:pPr>
      <w:r w:rsidRPr="00A81971">
        <w:rPr>
          <w:rFonts w:eastAsia="Times New Roman"/>
          <w:color w:val="000000"/>
        </w:rPr>
        <w:t xml:space="preserve">Applying </w:t>
      </w:r>
      <w:r w:rsidRPr="00A81971">
        <w:rPr>
          <w:rFonts w:eastAsia="Times New Roman"/>
          <w:b/>
          <w:bCs/>
          <w:color w:val="000000"/>
        </w:rPr>
        <w:t>resource allocation schedule B</w:t>
      </w:r>
      <w:r w:rsidRPr="00A81971">
        <w:rPr>
          <w:rFonts w:eastAsia="Times New Roman"/>
          <w:color w:val="000000"/>
        </w:rPr>
        <w:t>, the new funding estimates for the HFC Scenario 1 are:</w:t>
      </w:r>
    </w:p>
    <w:p w14:paraId="0055FA90" w14:textId="77777777" w:rsidR="00435ED9" w:rsidRPr="00A81971" w:rsidRDefault="0032495C" w:rsidP="007A20BD">
      <w:pPr>
        <w:numPr>
          <w:ilvl w:val="0"/>
          <w:numId w:val="46"/>
        </w:numPr>
        <w:tabs>
          <w:tab w:val="left" w:pos="0"/>
        </w:tabs>
        <w:spacing w:after="120" w:line="259" w:lineRule="auto"/>
        <w:rPr>
          <w:b/>
          <w:bCs/>
        </w:rPr>
      </w:pPr>
      <w:r w:rsidRPr="00A81971">
        <w:rPr>
          <w:b/>
          <w:bCs/>
        </w:rPr>
        <w:t xml:space="preserve">2027-2029: </w:t>
      </w:r>
      <w:r w:rsidR="006810F7" w:rsidRPr="00A81971">
        <w:rPr>
          <w:b/>
          <w:bCs/>
        </w:rPr>
        <w:t xml:space="preserve">US$ </w:t>
      </w:r>
      <w:r w:rsidR="00696F20" w:rsidRPr="00A81971">
        <w:rPr>
          <w:b/>
          <w:bCs/>
        </w:rPr>
        <w:t xml:space="preserve">566.18 million (compared to </w:t>
      </w:r>
      <w:r w:rsidRPr="00A81971">
        <w:rPr>
          <w:b/>
          <w:bCs/>
        </w:rPr>
        <w:t>US$ 585.50 million</w:t>
      </w:r>
      <w:r w:rsidR="00696F20" w:rsidRPr="00A81971">
        <w:rPr>
          <w:b/>
          <w:bCs/>
        </w:rPr>
        <w:t xml:space="preserve"> in the May 2026 Report)</w:t>
      </w:r>
    </w:p>
    <w:p w14:paraId="7D7A191C" w14:textId="77777777" w:rsidR="00435ED9" w:rsidRPr="00A81971" w:rsidRDefault="0032495C" w:rsidP="007A20BD">
      <w:pPr>
        <w:numPr>
          <w:ilvl w:val="0"/>
          <w:numId w:val="46"/>
        </w:numPr>
        <w:tabs>
          <w:tab w:val="left" w:pos="0"/>
        </w:tabs>
        <w:spacing w:after="120" w:line="259" w:lineRule="auto"/>
        <w:rPr>
          <w:b/>
          <w:bCs/>
        </w:rPr>
      </w:pPr>
      <w:r w:rsidRPr="00A81971">
        <w:rPr>
          <w:b/>
          <w:bCs/>
        </w:rPr>
        <w:t xml:space="preserve">2030-2032: </w:t>
      </w:r>
      <w:r w:rsidR="00696F20" w:rsidRPr="00A81971">
        <w:rPr>
          <w:b/>
          <w:bCs/>
        </w:rPr>
        <w:t>US$ 1,028</w:t>
      </w:r>
      <w:r w:rsidR="006C63F0" w:rsidRPr="00A81971">
        <w:rPr>
          <w:b/>
          <w:bCs/>
        </w:rPr>
        <w:t xml:space="preserve">.10 million (compared to </w:t>
      </w:r>
      <w:r w:rsidRPr="00A81971">
        <w:rPr>
          <w:b/>
          <w:bCs/>
        </w:rPr>
        <w:t>US$ 1,031.12 million</w:t>
      </w:r>
      <w:r w:rsidR="006C63F0" w:rsidRPr="00A81971">
        <w:rPr>
          <w:b/>
          <w:bCs/>
        </w:rPr>
        <w:t xml:space="preserve"> in the May 2026 Report)</w:t>
      </w:r>
    </w:p>
    <w:p w14:paraId="50224D38" w14:textId="77777777" w:rsidR="00D66852" w:rsidRPr="00914DA3" w:rsidRDefault="0032495C" w:rsidP="001B5F91">
      <w:pPr>
        <w:numPr>
          <w:ilvl w:val="0"/>
          <w:numId w:val="46"/>
        </w:numPr>
        <w:tabs>
          <w:tab w:val="left" w:pos="0"/>
        </w:tabs>
        <w:spacing w:after="0" w:line="259" w:lineRule="auto"/>
        <w:rPr>
          <w:rFonts w:eastAsia="Times New Roman"/>
          <w:color w:val="000000"/>
        </w:rPr>
      </w:pPr>
      <w:r w:rsidRPr="00914DA3">
        <w:rPr>
          <w:b/>
          <w:bCs/>
        </w:rPr>
        <w:t xml:space="preserve">2033-2035: </w:t>
      </w:r>
      <w:r w:rsidR="006C63F0" w:rsidRPr="00914DA3">
        <w:rPr>
          <w:b/>
          <w:bCs/>
        </w:rPr>
        <w:t>US$ 560</w:t>
      </w:r>
      <w:r w:rsidR="00877743" w:rsidRPr="00914DA3">
        <w:rPr>
          <w:b/>
          <w:bCs/>
        </w:rPr>
        <w:t xml:space="preserve">.80 million (compared to </w:t>
      </w:r>
      <w:r w:rsidRPr="00914DA3">
        <w:rPr>
          <w:b/>
          <w:bCs/>
        </w:rPr>
        <w:t>US$ 573.81 million</w:t>
      </w:r>
      <w:r w:rsidR="00877743" w:rsidRPr="00914DA3">
        <w:rPr>
          <w:b/>
          <w:bCs/>
        </w:rPr>
        <w:t xml:space="preserve"> </w:t>
      </w:r>
      <w:r w:rsidR="009B504E" w:rsidRPr="00914DA3">
        <w:rPr>
          <w:b/>
          <w:bCs/>
        </w:rPr>
        <w:t>in the May 2026 Report)</w:t>
      </w:r>
    </w:p>
    <w:p w14:paraId="4EF943EC" w14:textId="77777777" w:rsidR="00925FA3" w:rsidRPr="00A81971" w:rsidRDefault="00925FA3" w:rsidP="00925FA3">
      <w:pPr>
        <w:rPr>
          <w:lang w:eastAsia="nl-NL"/>
        </w:rPr>
      </w:pPr>
    </w:p>
    <w:p w14:paraId="4BAF81C3" w14:textId="77777777" w:rsidR="00F137C6" w:rsidRDefault="00F137C6" w:rsidP="00201CFA">
      <w:pPr>
        <w:pStyle w:val="Heading2"/>
        <w:sectPr w:rsidR="00F137C6" w:rsidSect="00FE5C31">
          <w:headerReference w:type="even" r:id="rId50"/>
          <w:headerReference w:type="default" r:id="rId51"/>
          <w:footerReference w:type="even" r:id="rId52"/>
          <w:footerReference w:type="default" r:id="rId53"/>
          <w:headerReference w:type="first" r:id="rId54"/>
          <w:footerReference w:type="first" r:id="rId55"/>
          <w:pgSz w:w="16838" w:h="11906" w:orient="landscape" w:code="9"/>
          <w:pgMar w:top="1411" w:right="1411" w:bottom="1411" w:left="1411" w:header="706" w:footer="706" w:gutter="0"/>
          <w:cols w:space="708"/>
          <w:titlePg/>
          <w:docGrid w:linePitch="360"/>
        </w:sectPr>
      </w:pPr>
    </w:p>
    <w:p w14:paraId="2711E531" w14:textId="77777777" w:rsidR="00925FA3" w:rsidRPr="00A81971" w:rsidRDefault="0032495C" w:rsidP="00201CFA">
      <w:pPr>
        <w:pStyle w:val="Heading2"/>
      </w:pPr>
      <w:bookmarkStart w:id="247" w:name="_Toc240987352"/>
      <w:r w:rsidRPr="00A81971">
        <w:lastRenderedPageBreak/>
        <w:t>A3.4</w:t>
      </w:r>
      <w:r w:rsidRPr="00A81971">
        <w:tab/>
        <w:t xml:space="preserve">HFC scenario 2 </w:t>
      </w:r>
      <w:r w:rsidRPr="009E4C1F">
        <w:t>updated</w:t>
      </w:r>
      <w:r w:rsidRPr="00A81971">
        <w:t xml:space="preserve"> estimated funding</w:t>
      </w:r>
      <w:bookmarkEnd w:id="247"/>
    </w:p>
    <w:p w14:paraId="749249FC" w14:textId="77777777" w:rsidR="008B6C19" w:rsidRPr="00A81971" w:rsidRDefault="0032495C" w:rsidP="008B6C19">
      <w:pPr>
        <w:tabs>
          <w:tab w:val="left" w:pos="0"/>
        </w:tabs>
        <w:spacing w:after="0"/>
        <w:rPr>
          <w:rFonts w:eastAsia="Times New Roman"/>
          <w:color w:val="000000"/>
        </w:rPr>
      </w:pPr>
      <w:r w:rsidRPr="00A81971">
        <w:rPr>
          <w:rFonts w:eastAsia="Times New Roman"/>
          <w:color w:val="000000"/>
        </w:rPr>
        <w:t xml:space="preserve">Decision 95/87 defines “SMEs in the commercial RAC manufacturing sector as enterprises with HFC consumption of 15 metric tonnes or less, and 20 metric tonnes for polyurethane foam” with certain considerations and limitations. The decision accorded SMEs “32 per cent above the CE threshold” for RAC enterprises with HFC consumption of 15 metric tonnes or less, and 40 per cent for polyurethane foam enterprises with 20 metric tonnes or less.” </w:t>
      </w:r>
    </w:p>
    <w:p w14:paraId="2B2D49CD" w14:textId="77777777" w:rsidR="008B6C19" w:rsidRPr="00A81971" w:rsidRDefault="0032495C" w:rsidP="008B6C19">
      <w:pPr>
        <w:tabs>
          <w:tab w:val="left" w:pos="0"/>
        </w:tabs>
        <w:spacing w:after="0"/>
        <w:rPr>
          <w:rFonts w:eastAsia="Times New Roman"/>
          <w:color w:val="000000"/>
        </w:rPr>
      </w:pPr>
      <w:r w:rsidRPr="00A81971">
        <w:rPr>
          <w:rFonts w:eastAsia="Times New Roman"/>
          <w:color w:val="000000"/>
        </w:rPr>
        <w:t xml:space="preserve"> </w:t>
      </w:r>
    </w:p>
    <w:p w14:paraId="0374FDB1" w14:textId="77777777" w:rsidR="008B6C19" w:rsidRPr="00A81971" w:rsidRDefault="0032495C" w:rsidP="008B6C19">
      <w:pPr>
        <w:tabs>
          <w:tab w:val="left" w:pos="0"/>
        </w:tabs>
        <w:spacing w:after="0"/>
        <w:rPr>
          <w:rFonts w:eastAsia="Times New Roman"/>
          <w:color w:val="000000"/>
        </w:rPr>
      </w:pPr>
      <w:r w:rsidRPr="00A81971">
        <w:rPr>
          <w:rFonts w:eastAsia="Times New Roman"/>
          <w:color w:val="000000"/>
        </w:rPr>
        <w:t xml:space="preserve">RTF reviewed documents UNEP/OzL.Pro/ExCom/93/96, UNEP/OzL.Pro/ExCom/92/45, and UNEP/OzL.Pro/ExCom/92/46 for information on the number and percentage participation of SMEs in the different sectors but did not find such information which can feed a scenario on the impact of SME funding. RTF made its own estimation of the percentage participation of SMEs in some sectors based on TEAP/TOC and RTF sector experts. Table </w:t>
      </w:r>
      <w:r w:rsidR="00090C5D" w:rsidRPr="00A81971">
        <w:rPr>
          <w:rFonts w:eastAsia="Times New Roman"/>
          <w:color w:val="000000"/>
        </w:rPr>
        <w:t>A</w:t>
      </w:r>
      <w:r w:rsidRPr="00A81971">
        <w:rPr>
          <w:rFonts w:eastAsia="Times New Roman"/>
          <w:color w:val="000000"/>
        </w:rPr>
        <w:t>3.</w:t>
      </w:r>
      <w:r w:rsidR="00090C5D" w:rsidRPr="00A81971">
        <w:rPr>
          <w:rFonts w:eastAsia="Times New Roman"/>
          <w:color w:val="000000"/>
        </w:rPr>
        <w:t>7</w:t>
      </w:r>
      <w:r w:rsidRPr="00A81971">
        <w:rPr>
          <w:rFonts w:eastAsia="Times New Roman"/>
          <w:color w:val="000000"/>
        </w:rPr>
        <w:t xml:space="preserve"> shows the commercial refrigeration sector having the highest percentage at 55 per cent with other sectors in RAC, and foam polyurethane with up to 15 per cent participation of SMEs in the sector. RTF did not consider micro enterprises benefitting up to 2.5 times through umbrella projects as mentioned in sub-paragraph e) of decision 95/86.</w:t>
      </w:r>
    </w:p>
    <w:p w14:paraId="3A3515F7" w14:textId="77777777" w:rsidR="008B6C19" w:rsidRPr="00A81971" w:rsidRDefault="008B6C19" w:rsidP="008B6C19">
      <w:pPr>
        <w:tabs>
          <w:tab w:val="left" w:pos="0"/>
        </w:tabs>
        <w:spacing w:after="0" w:line="259" w:lineRule="auto"/>
        <w:rPr>
          <w:rFonts w:ascii="Times New Roman_MSFontService" w:eastAsia="Times New Roman_MSFontService" w:hAnsi="Times New Roman_MSFontService" w:cs="Times New Roman_MSFontService"/>
          <w:b/>
          <w:bCs/>
          <w:color w:val="000000"/>
          <w:sz w:val="24"/>
          <w:szCs w:val="24"/>
        </w:rPr>
      </w:pPr>
    </w:p>
    <w:p w14:paraId="21987415" w14:textId="77777777" w:rsidR="008B6C19" w:rsidRPr="00A81971" w:rsidRDefault="0032495C" w:rsidP="009E4C1F">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t xml:space="preserve">Table </w:t>
      </w:r>
      <w:r>
        <w:rPr>
          <w:rFonts w:eastAsia="Yu Mincho"/>
          <w:b/>
          <w:bCs/>
          <w:color w:val="000000"/>
          <w:lang w:val="en-CA"/>
        </w:rPr>
        <w:t>A3.7:</w:t>
      </w:r>
      <w:r w:rsidRPr="0006445E">
        <w:rPr>
          <w:rFonts w:eastAsia="Times New Roman"/>
          <w:color w:val="000000"/>
          <w:lang w:val="en-CA"/>
        </w:rPr>
        <w:tab/>
      </w:r>
      <w:r w:rsidRPr="00A81971">
        <w:rPr>
          <w:rFonts w:eastAsia="Times New Roman"/>
          <w:b/>
          <w:bCs/>
          <w:color w:val="000000"/>
        </w:rPr>
        <w:t>RTF Assumptions for SMEs’ Participation in some sectors and CE Thresholds Applied*</w:t>
      </w:r>
      <w:r w:rsidRPr="00A81971">
        <w:rPr>
          <w:rFonts w:eastAsia="Times New Roman"/>
          <w:color w:val="000000"/>
        </w:rPr>
        <w:tab/>
      </w:r>
    </w:p>
    <w:p w14:paraId="70AA0AD0" w14:textId="77777777" w:rsidR="008B6C19" w:rsidRPr="00A81971" w:rsidRDefault="0032495C" w:rsidP="008B6C19">
      <w:pPr>
        <w:tabs>
          <w:tab w:val="left" w:pos="0"/>
          <w:tab w:val="left" w:pos="1418"/>
        </w:tabs>
        <w:spacing w:after="240"/>
        <w:ind w:left="1418" w:hanging="1418"/>
        <w:jc w:val="center"/>
        <w:rPr>
          <w:rFonts w:eastAsia="Times New Roman"/>
          <w:b/>
          <w:color w:val="000000"/>
        </w:rPr>
      </w:pPr>
      <w:r w:rsidRPr="00A81971">
        <w:rPr>
          <w:rFonts w:eastAsia="Times New Roman"/>
          <w:noProof/>
          <w:color w:val="000000"/>
        </w:rPr>
        <w:drawing>
          <wp:inline distT="0" distB="0" distL="0" distR="0" wp14:anchorId="3CF0E643" wp14:editId="00BE6FC9">
            <wp:extent cx="5737034" cy="1622066"/>
            <wp:effectExtent l="0" t="0" r="0" b="0"/>
            <wp:docPr id="27305788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57882"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5788455" cy="1636604"/>
                    </a:xfrm>
                    <a:prstGeom prst="rect">
                      <a:avLst/>
                    </a:prstGeom>
                    <a:noFill/>
                  </pic:spPr>
                </pic:pic>
              </a:graphicData>
            </a:graphic>
          </wp:inline>
        </w:drawing>
      </w:r>
    </w:p>
    <w:p w14:paraId="466DCED0" w14:textId="77777777" w:rsidR="008B6C19" w:rsidRPr="00A81971" w:rsidRDefault="0032495C" w:rsidP="008B6C19">
      <w:pPr>
        <w:tabs>
          <w:tab w:val="left" w:pos="0"/>
        </w:tabs>
        <w:spacing w:after="0"/>
        <w:rPr>
          <w:rFonts w:eastAsia="Times New Roman_MSFontService"/>
          <w:color w:val="000000"/>
          <w:sz w:val="18"/>
          <w:szCs w:val="18"/>
        </w:rPr>
      </w:pPr>
      <w:r w:rsidRPr="00A81971">
        <w:rPr>
          <w:rFonts w:eastAsia="Times New Roman_MSFontService"/>
          <w:color w:val="000000"/>
          <w:sz w:val="18"/>
          <w:szCs w:val="18"/>
        </w:rPr>
        <w:t>* Not considering installation and assembly</w:t>
      </w:r>
    </w:p>
    <w:p w14:paraId="7DA3E823" w14:textId="77777777" w:rsidR="008B6C19" w:rsidRPr="00A81971" w:rsidRDefault="008B6C19" w:rsidP="008B6C19">
      <w:pPr>
        <w:tabs>
          <w:tab w:val="left" w:pos="0"/>
        </w:tabs>
        <w:spacing w:after="0"/>
        <w:rPr>
          <w:rFonts w:eastAsia="Times New Roman"/>
          <w:color w:val="000000"/>
        </w:rPr>
      </w:pPr>
    </w:p>
    <w:p w14:paraId="140D7A1B" w14:textId="5E2873E1" w:rsidR="008B6C19" w:rsidRPr="00A81971" w:rsidRDefault="0032495C" w:rsidP="008B6C19">
      <w:pPr>
        <w:tabs>
          <w:tab w:val="left" w:pos="0"/>
        </w:tabs>
        <w:spacing w:after="0"/>
        <w:rPr>
          <w:rFonts w:eastAsia="Times New Roman"/>
          <w:color w:val="000000"/>
        </w:rPr>
      </w:pPr>
      <w:r w:rsidRPr="00A81971">
        <w:rPr>
          <w:rFonts w:eastAsia="Times New Roman"/>
          <w:color w:val="000000"/>
        </w:rPr>
        <w:t>Based on the above considerations, a</w:t>
      </w:r>
      <w:r w:rsidR="009D22BD">
        <w:rPr>
          <w:rFonts w:eastAsia="Times New Roman"/>
          <w:color w:val="000000"/>
        </w:rPr>
        <w:t>n</w:t>
      </w:r>
      <w:r w:rsidRPr="00A81971">
        <w:rPr>
          <w:rFonts w:eastAsia="Times New Roman"/>
          <w:color w:val="000000"/>
        </w:rPr>
        <w:t xml:space="preserve"> </w:t>
      </w:r>
      <w:r w:rsidRPr="00A81971">
        <w:rPr>
          <w:rFonts w:eastAsia="Times New Roman"/>
          <w:b/>
          <w:bCs/>
          <w:color w:val="000000"/>
        </w:rPr>
        <w:t xml:space="preserve">HFC Scenario 2 </w:t>
      </w:r>
      <w:r w:rsidRPr="00A81971">
        <w:rPr>
          <w:rFonts w:eastAsia="Times New Roman"/>
          <w:color w:val="000000"/>
        </w:rPr>
        <w:t xml:space="preserve">was developed to estimate funding for both Stages I and II, considering higher CEs applied for the assigned percentage participation of SMEs in specific manufacturing sectors. Tables </w:t>
      </w:r>
      <w:r w:rsidR="00FE324D" w:rsidRPr="00A81971">
        <w:rPr>
          <w:rFonts w:eastAsia="Times New Roman"/>
          <w:color w:val="000000"/>
        </w:rPr>
        <w:t>A3.8</w:t>
      </w:r>
      <w:r w:rsidRPr="00A81971">
        <w:rPr>
          <w:rFonts w:eastAsia="Times New Roman"/>
          <w:color w:val="000000"/>
        </w:rPr>
        <w:t xml:space="preserve">, </w:t>
      </w:r>
      <w:r w:rsidR="00FE324D" w:rsidRPr="00A81971">
        <w:rPr>
          <w:rFonts w:eastAsia="Times New Roman"/>
          <w:color w:val="000000"/>
        </w:rPr>
        <w:t>A3.9</w:t>
      </w:r>
      <w:r w:rsidRPr="00A81971">
        <w:rPr>
          <w:rFonts w:eastAsia="Times New Roman"/>
          <w:color w:val="000000"/>
        </w:rPr>
        <w:t xml:space="preserve">, and </w:t>
      </w:r>
      <w:r w:rsidR="00FE324D" w:rsidRPr="00A81971">
        <w:rPr>
          <w:rFonts w:eastAsia="Times New Roman"/>
          <w:color w:val="000000"/>
        </w:rPr>
        <w:t>A3.10</w:t>
      </w:r>
      <w:r w:rsidRPr="00A81971">
        <w:rPr>
          <w:rFonts w:eastAsia="Times New Roman"/>
          <w:color w:val="000000"/>
        </w:rPr>
        <w:t xml:space="preserve"> show the </w:t>
      </w:r>
      <w:r w:rsidR="00FE324D" w:rsidRPr="00A81971">
        <w:rPr>
          <w:rFonts w:eastAsia="Times New Roman"/>
          <w:color w:val="000000"/>
        </w:rPr>
        <w:t xml:space="preserve">updated </w:t>
      </w:r>
      <w:r w:rsidRPr="00A81971">
        <w:rPr>
          <w:rFonts w:eastAsia="Times New Roman"/>
          <w:color w:val="000000"/>
        </w:rPr>
        <w:t>total estimated funding for Stage I and Stage II and application of two resource allocation schedules A and B.</w:t>
      </w:r>
    </w:p>
    <w:p w14:paraId="64122D28" w14:textId="77777777" w:rsidR="008B6C19" w:rsidRPr="00A81971" w:rsidRDefault="008B6C19" w:rsidP="008B6C19">
      <w:pPr>
        <w:spacing w:after="0"/>
        <w:rPr>
          <w:rFonts w:eastAsia="Yu Mincho"/>
          <w:b/>
          <w:color w:val="000000"/>
        </w:rPr>
      </w:pPr>
    </w:p>
    <w:p w14:paraId="285B3F15" w14:textId="77777777" w:rsidR="008B6C19" w:rsidRPr="00A81971" w:rsidRDefault="008B6C19" w:rsidP="008B6C19">
      <w:pPr>
        <w:spacing w:after="0"/>
        <w:rPr>
          <w:rFonts w:eastAsia="Yu Mincho"/>
          <w:b/>
          <w:color w:val="000000"/>
        </w:rPr>
      </w:pPr>
    </w:p>
    <w:p w14:paraId="4F8FE384" w14:textId="77777777" w:rsidR="006B7D5D" w:rsidRPr="00A81971" w:rsidRDefault="0032495C">
      <w:pPr>
        <w:spacing w:after="0"/>
        <w:rPr>
          <w:rFonts w:eastAsia="Yu Mincho"/>
          <w:b/>
          <w:bCs/>
          <w:color w:val="000000"/>
        </w:rPr>
      </w:pPr>
      <w:r w:rsidRPr="00A81971">
        <w:rPr>
          <w:rFonts w:eastAsia="Yu Mincho"/>
          <w:b/>
          <w:bCs/>
          <w:color w:val="000000"/>
        </w:rPr>
        <w:br w:type="page"/>
      </w:r>
    </w:p>
    <w:p w14:paraId="5E182574" w14:textId="77777777" w:rsidR="00DB74C3" w:rsidRPr="00A81971" w:rsidRDefault="00DB74C3" w:rsidP="008B6C19">
      <w:pPr>
        <w:tabs>
          <w:tab w:val="left" w:pos="0"/>
          <w:tab w:val="left" w:pos="1276"/>
        </w:tabs>
        <w:spacing w:after="120"/>
        <w:ind w:left="1276" w:hanging="1276"/>
        <w:rPr>
          <w:rFonts w:eastAsia="Yu Mincho"/>
          <w:b/>
          <w:bCs/>
          <w:color w:val="000000"/>
        </w:rPr>
        <w:sectPr w:rsidR="00DB74C3" w:rsidRPr="00A81971" w:rsidSect="008A3973">
          <w:pgSz w:w="11906" w:h="16838" w:code="9"/>
          <w:pgMar w:top="1411" w:right="1411" w:bottom="1411" w:left="1411" w:header="706" w:footer="706" w:gutter="0"/>
          <w:cols w:space="708"/>
          <w:titlePg/>
          <w:docGrid w:linePitch="360"/>
        </w:sectPr>
      </w:pPr>
    </w:p>
    <w:p w14:paraId="5F61BF8F" w14:textId="77777777" w:rsidR="00914DA3" w:rsidRDefault="0032495C" w:rsidP="009E4C1F">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lastRenderedPageBreak/>
        <w:t xml:space="preserve">Table </w:t>
      </w:r>
      <w:r>
        <w:rPr>
          <w:rFonts w:eastAsia="Yu Mincho"/>
          <w:b/>
          <w:bCs/>
          <w:color w:val="000000"/>
          <w:lang w:val="en-CA"/>
        </w:rPr>
        <w:t>A3.8:</w:t>
      </w:r>
      <w:r w:rsidRPr="0006445E">
        <w:rPr>
          <w:rFonts w:eastAsia="Times New Roman"/>
          <w:color w:val="000000"/>
          <w:lang w:val="en-CA"/>
        </w:rPr>
        <w:tab/>
      </w:r>
      <w:r w:rsidRPr="00A81971">
        <w:rPr>
          <w:rFonts w:eastAsia="Times New Roman"/>
          <w:b/>
          <w:bCs/>
          <w:color w:val="000000" w:themeColor="text1"/>
        </w:rPr>
        <w:t>Updated Funding Estimates for the HFC Scenario 2 considering Stage</w:t>
      </w:r>
      <w:r w:rsidR="00311D9D">
        <w:rPr>
          <w:rFonts w:eastAsia="Times New Roman"/>
          <w:b/>
          <w:bCs/>
          <w:color w:val="000000" w:themeColor="text1"/>
        </w:rPr>
        <w:t>s</w:t>
      </w:r>
      <w:r w:rsidRPr="00A81971">
        <w:rPr>
          <w:rFonts w:eastAsia="Times New Roman"/>
          <w:b/>
          <w:bCs/>
          <w:color w:val="000000" w:themeColor="text1"/>
        </w:rPr>
        <w:t xml:space="preserve"> I and II Targets (in US$ million)</w:t>
      </w:r>
    </w:p>
    <w:p w14:paraId="43FECAC8" w14:textId="77777777" w:rsidR="008B6C19" w:rsidRPr="00A81971" w:rsidRDefault="0032495C" w:rsidP="009E4C1F">
      <w:pPr>
        <w:tabs>
          <w:tab w:val="left" w:pos="0"/>
          <w:tab w:val="left" w:pos="1276"/>
        </w:tabs>
        <w:spacing w:after="120"/>
        <w:ind w:left="1282" w:hanging="1282"/>
      </w:pPr>
      <w:r w:rsidRPr="00A81971">
        <w:rPr>
          <w:noProof/>
        </w:rPr>
        <w:drawing>
          <wp:inline distT="0" distB="0" distL="0" distR="0" wp14:anchorId="24D32486" wp14:editId="532CEC7D">
            <wp:extent cx="8896350" cy="5181600"/>
            <wp:effectExtent l="0" t="0" r="0" b="0"/>
            <wp:docPr id="11707736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73614" name="Picture 1170773614"/>
                    <pic:cNvPicPr/>
                  </pic:nvPicPr>
                  <pic:blipFill>
                    <a:blip r:embed="rId57">
                      <a:extLst>
                        <a:ext uri="{28A0092B-C50C-407E-A947-70E740481C1C}">
                          <a14:useLocalDpi xmlns:a14="http://schemas.microsoft.com/office/drawing/2010/main" val="0"/>
                        </a:ext>
                      </a:extLst>
                    </a:blip>
                    <a:stretch>
                      <a:fillRect/>
                    </a:stretch>
                  </pic:blipFill>
                  <pic:spPr>
                    <a:xfrm>
                      <a:off x="0" y="0"/>
                      <a:ext cx="8896350" cy="5181600"/>
                    </a:xfrm>
                    <a:prstGeom prst="rect">
                      <a:avLst/>
                    </a:prstGeom>
                  </pic:spPr>
                </pic:pic>
              </a:graphicData>
            </a:graphic>
          </wp:inline>
        </w:drawing>
      </w:r>
    </w:p>
    <w:p w14:paraId="20B641D6" w14:textId="77777777" w:rsidR="008B6C19" w:rsidRPr="00A81971" w:rsidRDefault="008B6C19" w:rsidP="008B6C19">
      <w:pPr>
        <w:tabs>
          <w:tab w:val="left" w:pos="0"/>
          <w:tab w:val="left" w:pos="1500"/>
        </w:tabs>
        <w:spacing w:after="0"/>
        <w:rPr>
          <w:rFonts w:eastAsia="Times New Roman"/>
          <w:b/>
          <w:bCs/>
          <w:color w:val="000000"/>
        </w:rPr>
      </w:pPr>
    </w:p>
    <w:p w14:paraId="0B0866CB" w14:textId="77777777" w:rsidR="00456900" w:rsidRPr="00A81971" w:rsidRDefault="0032495C" w:rsidP="00587951">
      <w:pPr>
        <w:tabs>
          <w:tab w:val="left" w:pos="0"/>
          <w:tab w:val="left" w:pos="1276"/>
        </w:tabs>
        <w:spacing w:after="120"/>
        <w:ind w:left="1282" w:hanging="1282"/>
        <w:rPr>
          <w:rFonts w:eastAsia="Times New Roman"/>
          <w:color w:val="000000"/>
        </w:rPr>
      </w:pPr>
      <w:r w:rsidRPr="0006445E">
        <w:rPr>
          <w:rFonts w:eastAsia="Yu Mincho"/>
          <w:b/>
          <w:bCs/>
          <w:color w:val="000000"/>
          <w:lang w:val="en-CA"/>
        </w:rPr>
        <w:lastRenderedPageBreak/>
        <w:t xml:space="preserve">Table </w:t>
      </w:r>
      <w:r>
        <w:rPr>
          <w:rFonts w:eastAsia="Yu Mincho"/>
          <w:b/>
          <w:bCs/>
          <w:color w:val="000000"/>
          <w:lang w:val="en-CA"/>
        </w:rPr>
        <w:t>A3.9:</w:t>
      </w:r>
      <w:r w:rsidRPr="0006445E">
        <w:rPr>
          <w:rFonts w:eastAsia="Times New Roman"/>
          <w:color w:val="000000"/>
          <w:lang w:val="en-CA"/>
        </w:rPr>
        <w:tab/>
      </w:r>
      <w:r w:rsidR="00587951" w:rsidRPr="00A81971">
        <w:rPr>
          <w:rFonts w:eastAsia="Times New Roman"/>
          <w:b/>
          <w:bCs/>
          <w:color w:val="000000"/>
        </w:rPr>
        <w:t>HFC Scenario 2,</w:t>
      </w:r>
      <w:r w:rsidR="00587951" w:rsidRPr="00A81971">
        <w:rPr>
          <w:rFonts w:eastAsia="Times New Roman"/>
          <w:color w:val="000000"/>
        </w:rPr>
        <w:t xml:space="preserve"> </w:t>
      </w:r>
      <w:r w:rsidR="00587951" w:rsidRPr="00A81971">
        <w:rPr>
          <w:rFonts w:eastAsia="Times New Roman"/>
          <w:b/>
          <w:bCs/>
          <w:color w:val="000000"/>
        </w:rPr>
        <w:t>using Resource Allocation A considerations proposed by RTF (US$ million)</w:t>
      </w:r>
      <w:r w:rsidR="008B6C19" w:rsidRPr="00A81971">
        <w:rPr>
          <w:rFonts w:eastAsia="Times New Roman"/>
          <w:color w:val="000000"/>
        </w:rPr>
        <w:tab/>
      </w:r>
      <w:r w:rsidRPr="00A81971">
        <w:rPr>
          <w:rFonts w:eastAsia="Times New Roman"/>
          <w:color w:val="000000"/>
        </w:rPr>
        <w:t xml:space="preserve"> </w:t>
      </w:r>
    </w:p>
    <w:p w14:paraId="5C5C2820" w14:textId="77777777" w:rsidR="008B6C19" w:rsidRPr="00A81971" w:rsidRDefault="0032495C" w:rsidP="28A930F7">
      <w:pPr>
        <w:tabs>
          <w:tab w:val="left" w:pos="0"/>
          <w:tab w:val="left" w:pos="1418"/>
        </w:tabs>
        <w:spacing w:after="240"/>
        <w:ind w:left="1418" w:hanging="1418"/>
      </w:pPr>
      <w:r w:rsidRPr="00A81971">
        <w:rPr>
          <w:noProof/>
        </w:rPr>
        <w:drawing>
          <wp:inline distT="0" distB="0" distL="0" distR="0" wp14:anchorId="7D796B82" wp14:editId="361E588E">
            <wp:extent cx="8896350" cy="4219575"/>
            <wp:effectExtent l="0" t="0" r="0" b="0"/>
            <wp:docPr id="2012811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11752" name="Picture 2012811752"/>
                    <pic:cNvPicPr/>
                  </pic:nvPicPr>
                  <pic:blipFill>
                    <a:blip r:embed="rId58">
                      <a:extLst>
                        <a:ext uri="{28A0092B-C50C-407E-A947-70E740481C1C}">
                          <a14:useLocalDpi xmlns:a14="http://schemas.microsoft.com/office/drawing/2010/main" val="0"/>
                        </a:ext>
                      </a:extLst>
                    </a:blip>
                    <a:stretch>
                      <a:fillRect/>
                    </a:stretch>
                  </pic:blipFill>
                  <pic:spPr>
                    <a:xfrm>
                      <a:off x="0" y="0"/>
                      <a:ext cx="8896350" cy="4219575"/>
                    </a:xfrm>
                    <a:prstGeom prst="rect">
                      <a:avLst/>
                    </a:prstGeom>
                  </pic:spPr>
                </pic:pic>
              </a:graphicData>
            </a:graphic>
          </wp:inline>
        </w:drawing>
      </w:r>
    </w:p>
    <w:p w14:paraId="567C3E2C" w14:textId="77777777" w:rsidR="008B6C19" w:rsidRPr="00A81971" w:rsidRDefault="0032495C" w:rsidP="008B6C19">
      <w:pPr>
        <w:tabs>
          <w:tab w:val="left" w:pos="0"/>
          <w:tab w:val="left" w:pos="1500"/>
        </w:tabs>
        <w:spacing w:after="120"/>
        <w:rPr>
          <w:rFonts w:eastAsia="Times New Roman"/>
          <w:color w:val="000000"/>
        </w:rPr>
      </w:pPr>
      <w:r w:rsidRPr="00A81971">
        <w:rPr>
          <w:rFonts w:eastAsia="Times New Roman"/>
          <w:color w:val="000000"/>
        </w:rPr>
        <w:t xml:space="preserve">Applying </w:t>
      </w:r>
      <w:r w:rsidRPr="00A81971">
        <w:rPr>
          <w:rFonts w:eastAsia="Times New Roman"/>
          <w:b/>
          <w:bCs/>
          <w:color w:val="000000"/>
        </w:rPr>
        <w:t>resource allocation schedule A</w:t>
      </w:r>
      <w:r w:rsidRPr="00A81971">
        <w:rPr>
          <w:rFonts w:eastAsia="Times New Roman"/>
          <w:color w:val="000000"/>
        </w:rPr>
        <w:t xml:space="preserve">, the </w:t>
      </w:r>
      <w:r w:rsidR="00024ADB" w:rsidRPr="00A81971">
        <w:rPr>
          <w:rFonts w:eastAsia="Times New Roman"/>
          <w:color w:val="000000"/>
        </w:rPr>
        <w:t xml:space="preserve">updated </w:t>
      </w:r>
      <w:r w:rsidRPr="00A81971">
        <w:rPr>
          <w:rFonts w:eastAsia="Times New Roman"/>
          <w:color w:val="000000"/>
        </w:rPr>
        <w:t>new funding estimates for each triennium for HFC Scenario 2 are:</w:t>
      </w:r>
    </w:p>
    <w:p w14:paraId="776A030F" w14:textId="77777777" w:rsidR="008B6C19" w:rsidRPr="00A81971" w:rsidRDefault="0032495C" w:rsidP="007A20BD">
      <w:pPr>
        <w:numPr>
          <w:ilvl w:val="0"/>
          <w:numId w:val="43"/>
        </w:numPr>
        <w:tabs>
          <w:tab w:val="left" w:pos="0"/>
          <w:tab w:val="left" w:pos="1500"/>
        </w:tabs>
        <w:spacing w:after="120"/>
        <w:rPr>
          <w:b/>
          <w:bCs/>
        </w:rPr>
      </w:pPr>
      <w:r w:rsidRPr="00A81971">
        <w:rPr>
          <w:b/>
          <w:bCs/>
        </w:rPr>
        <w:t xml:space="preserve">2027-2029: </w:t>
      </w:r>
      <w:r w:rsidR="00A151C8" w:rsidRPr="00A81971">
        <w:rPr>
          <w:b/>
          <w:bCs/>
        </w:rPr>
        <w:t xml:space="preserve">US$ 889.01 million (compared to </w:t>
      </w:r>
      <w:r w:rsidRPr="00A81971">
        <w:rPr>
          <w:b/>
          <w:bCs/>
        </w:rPr>
        <w:t>US$ 876.37 million</w:t>
      </w:r>
      <w:r w:rsidR="00A151C8" w:rsidRPr="00A81971">
        <w:rPr>
          <w:b/>
          <w:bCs/>
        </w:rPr>
        <w:t xml:space="preserve"> in the May 2026 Report)</w:t>
      </w:r>
    </w:p>
    <w:p w14:paraId="390457ED" w14:textId="77777777" w:rsidR="008B6C19" w:rsidRPr="00A81971" w:rsidRDefault="0032495C" w:rsidP="007A20BD">
      <w:pPr>
        <w:numPr>
          <w:ilvl w:val="0"/>
          <w:numId w:val="43"/>
        </w:numPr>
        <w:tabs>
          <w:tab w:val="left" w:pos="0"/>
          <w:tab w:val="left" w:pos="1500"/>
        </w:tabs>
        <w:spacing w:after="120"/>
        <w:rPr>
          <w:b/>
          <w:bCs/>
        </w:rPr>
      </w:pPr>
      <w:r w:rsidRPr="00A81971">
        <w:rPr>
          <w:b/>
          <w:bCs/>
        </w:rPr>
        <w:t xml:space="preserve">2030-2032: </w:t>
      </w:r>
      <w:r w:rsidR="00A151C8" w:rsidRPr="00A81971">
        <w:rPr>
          <w:b/>
          <w:bCs/>
        </w:rPr>
        <w:t>US$ 871</w:t>
      </w:r>
      <w:r w:rsidR="003E0596" w:rsidRPr="00A81971">
        <w:rPr>
          <w:b/>
          <w:bCs/>
        </w:rPr>
        <w:t xml:space="preserve">.99 million (compared to </w:t>
      </w:r>
      <w:r w:rsidRPr="00A81971">
        <w:rPr>
          <w:b/>
          <w:bCs/>
        </w:rPr>
        <w:t>US$ 884.72 million</w:t>
      </w:r>
      <w:r w:rsidR="003E0596" w:rsidRPr="00A81971">
        <w:rPr>
          <w:b/>
          <w:bCs/>
        </w:rPr>
        <w:t xml:space="preserve"> in the May 2026 Report)</w:t>
      </w:r>
    </w:p>
    <w:p w14:paraId="76ADF423" w14:textId="77777777" w:rsidR="008B6C19" w:rsidRPr="00A81971" w:rsidRDefault="0032495C" w:rsidP="007A20BD">
      <w:pPr>
        <w:numPr>
          <w:ilvl w:val="0"/>
          <w:numId w:val="43"/>
        </w:numPr>
        <w:tabs>
          <w:tab w:val="left" w:pos="0"/>
          <w:tab w:val="left" w:pos="1500"/>
        </w:tabs>
        <w:spacing w:after="120"/>
        <w:rPr>
          <w:b/>
          <w:bCs/>
        </w:rPr>
      </w:pPr>
      <w:r w:rsidRPr="00A81971">
        <w:rPr>
          <w:b/>
          <w:bCs/>
        </w:rPr>
        <w:t xml:space="preserve">2033-2035: </w:t>
      </w:r>
      <w:r w:rsidR="003E0596" w:rsidRPr="00A81971">
        <w:rPr>
          <w:b/>
          <w:bCs/>
        </w:rPr>
        <w:t>US$ 461</w:t>
      </w:r>
      <w:r w:rsidR="004E2E8E" w:rsidRPr="00A81971">
        <w:rPr>
          <w:b/>
          <w:bCs/>
        </w:rPr>
        <w:t xml:space="preserve">.70 million (compared to </w:t>
      </w:r>
      <w:r w:rsidRPr="00A81971">
        <w:rPr>
          <w:b/>
          <w:bCs/>
        </w:rPr>
        <w:t>US$ 494.62 million</w:t>
      </w:r>
      <w:r w:rsidR="004E2E8E" w:rsidRPr="00A81971">
        <w:rPr>
          <w:b/>
          <w:bCs/>
        </w:rPr>
        <w:t xml:space="preserve"> in the May 2026 Report)</w:t>
      </w:r>
    </w:p>
    <w:p w14:paraId="0A7BE924" w14:textId="77777777" w:rsidR="00587951" w:rsidRDefault="0032495C">
      <w:pPr>
        <w:spacing w:after="0"/>
        <w:rPr>
          <w:rFonts w:eastAsia="Yu Mincho"/>
          <w:b/>
          <w:bCs/>
          <w:color w:val="000000"/>
        </w:rPr>
      </w:pPr>
      <w:r>
        <w:rPr>
          <w:rFonts w:eastAsia="Yu Mincho"/>
          <w:b/>
          <w:bCs/>
          <w:color w:val="000000"/>
        </w:rPr>
        <w:br w:type="page"/>
      </w:r>
    </w:p>
    <w:p w14:paraId="4EABB875" w14:textId="77777777" w:rsidR="00587951" w:rsidRDefault="0032495C" w:rsidP="00587951">
      <w:pPr>
        <w:tabs>
          <w:tab w:val="left" w:pos="0"/>
          <w:tab w:val="left" w:pos="1276"/>
        </w:tabs>
        <w:spacing w:after="120"/>
        <w:ind w:left="1282" w:hanging="1282"/>
        <w:rPr>
          <w:rFonts w:eastAsia="Times New Roman"/>
          <w:b/>
          <w:bCs/>
          <w:color w:val="000000"/>
        </w:rPr>
      </w:pPr>
      <w:r w:rsidRPr="0006445E">
        <w:rPr>
          <w:rFonts w:eastAsia="Yu Mincho"/>
          <w:b/>
          <w:bCs/>
          <w:color w:val="000000"/>
          <w:lang w:val="en-CA"/>
        </w:rPr>
        <w:lastRenderedPageBreak/>
        <w:t xml:space="preserve">Table </w:t>
      </w:r>
      <w:r>
        <w:rPr>
          <w:rFonts w:eastAsia="Yu Mincho"/>
          <w:b/>
          <w:bCs/>
          <w:color w:val="000000"/>
          <w:lang w:val="en-CA"/>
        </w:rPr>
        <w:t>A3.10:</w:t>
      </w:r>
      <w:r w:rsidRPr="0006445E">
        <w:rPr>
          <w:rFonts w:eastAsia="Times New Roman"/>
          <w:color w:val="000000"/>
          <w:lang w:val="en-CA"/>
        </w:rPr>
        <w:tab/>
      </w:r>
      <w:r w:rsidRPr="00A81971">
        <w:rPr>
          <w:rFonts w:eastAsia="Times New Roman"/>
          <w:b/>
          <w:bCs/>
          <w:color w:val="000000"/>
        </w:rPr>
        <w:t>HFC Scenario 2,</w:t>
      </w:r>
      <w:r w:rsidRPr="00A81971">
        <w:rPr>
          <w:rFonts w:eastAsia="Times New Roman"/>
          <w:color w:val="000000"/>
        </w:rPr>
        <w:t xml:space="preserve"> </w:t>
      </w:r>
      <w:r w:rsidRPr="00A81971">
        <w:rPr>
          <w:rFonts w:eastAsia="Times New Roman"/>
          <w:b/>
          <w:bCs/>
          <w:color w:val="000000"/>
        </w:rPr>
        <w:t>using Resource Allocation B considerations proposed by RTF (US$ million)</w:t>
      </w:r>
    </w:p>
    <w:p w14:paraId="2CD04B0E" w14:textId="77777777" w:rsidR="008B6C19" w:rsidRPr="00A81971" w:rsidRDefault="0032495C" w:rsidP="00587951">
      <w:pPr>
        <w:tabs>
          <w:tab w:val="left" w:pos="0"/>
          <w:tab w:val="left" w:pos="1276"/>
        </w:tabs>
        <w:spacing w:after="120"/>
        <w:ind w:left="1282" w:hanging="1282"/>
      </w:pPr>
      <w:r w:rsidRPr="00A81971">
        <w:rPr>
          <w:noProof/>
        </w:rPr>
        <w:drawing>
          <wp:inline distT="0" distB="0" distL="0" distR="0" wp14:anchorId="45382304" wp14:editId="7013D5C2">
            <wp:extent cx="8896350" cy="3781425"/>
            <wp:effectExtent l="0" t="0" r="0" b="9525"/>
            <wp:docPr id="11796084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08413" name="Picture 1179608413"/>
                    <pic:cNvPicPr/>
                  </pic:nvPicPr>
                  <pic:blipFill>
                    <a:blip r:embed="rId59">
                      <a:extLst>
                        <a:ext uri="{28A0092B-C50C-407E-A947-70E740481C1C}">
                          <a14:useLocalDpi xmlns:a14="http://schemas.microsoft.com/office/drawing/2010/main" val="0"/>
                        </a:ext>
                      </a:extLst>
                    </a:blip>
                    <a:stretch>
                      <a:fillRect/>
                    </a:stretch>
                  </pic:blipFill>
                  <pic:spPr>
                    <a:xfrm>
                      <a:off x="0" y="0"/>
                      <a:ext cx="8896350" cy="3781425"/>
                    </a:xfrm>
                    <a:prstGeom prst="rect">
                      <a:avLst/>
                    </a:prstGeom>
                  </pic:spPr>
                </pic:pic>
              </a:graphicData>
            </a:graphic>
          </wp:inline>
        </w:drawing>
      </w:r>
    </w:p>
    <w:p w14:paraId="4DDC16CD" w14:textId="77777777" w:rsidR="00024ADB" w:rsidRPr="00A81971" w:rsidRDefault="00024ADB" w:rsidP="00024ADB">
      <w:pPr>
        <w:tabs>
          <w:tab w:val="left" w:pos="0"/>
          <w:tab w:val="left" w:pos="1276"/>
        </w:tabs>
        <w:spacing w:after="120"/>
        <w:rPr>
          <w:rFonts w:eastAsia="Times New Roman"/>
          <w:b/>
          <w:bCs/>
          <w:color w:val="000000"/>
        </w:rPr>
      </w:pPr>
    </w:p>
    <w:p w14:paraId="0F639197" w14:textId="77777777" w:rsidR="008B6C19" w:rsidRPr="00A81971" w:rsidRDefault="0032495C" w:rsidP="008B6C19">
      <w:pPr>
        <w:tabs>
          <w:tab w:val="left" w:pos="0"/>
        </w:tabs>
        <w:spacing w:after="240"/>
        <w:rPr>
          <w:rFonts w:eastAsia="Times New Roman"/>
          <w:color w:val="000000"/>
        </w:rPr>
      </w:pPr>
      <w:r w:rsidRPr="00A81971">
        <w:rPr>
          <w:rFonts w:eastAsia="Times New Roman"/>
          <w:color w:val="000000"/>
        </w:rPr>
        <w:t xml:space="preserve">Applying </w:t>
      </w:r>
      <w:r w:rsidRPr="00A81971">
        <w:rPr>
          <w:rFonts w:eastAsia="Times New Roman"/>
          <w:b/>
          <w:bCs/>
          <w:color w:val="000000"/>
        </w:rPr>
        <w:t>resource allocation schedule B</w:t>
      </w:r>
      <w:r w:rsidRPr="00A81971">
        <w:rPr>
          <w:rFonts w:eastAsia="Times New Roman"/>
          <w:color w:val="000000"/>
        </w:rPr>
        <w:t xml:space="preserve">, the </w:t>
      </w:r>
      <w:r w:rsidR="00024ADB" w:rsidRPr="00A81971">
        <w:rPr>
          <w:rFonts w:eastAsia="Times New Roman"/>
          <w:color w:val="000000"/>
        </w:rPr>
        <w:t xml:space="preserve">updated </w:t>
      </w:r>
      <w:r w:rsidRPr="00A81971">
        <w:rPr>
          <w:rFonts w:eastAsia="Times New Roman"/>
          <w:color w:val="000000"/>
        </w:rPr>
        <w:t>new funding estimates for each triennium for HFC Scenario 2 are:</w:t>
      </w:r>
    </w:p>
    <w:p w14:paraId="79D4FC88" w14:textId="77777777" w:rsidR="008B6C19" w:rsidRPr="00A81971" w:rsidRDefault="0032495C" w:rsidP="007A20BD">
      <w:pPr>
        <w:numPr>
          <w:ilvl w:val="0"/>
          <w:numId w:val="44"/>
        </w:numPr>
        <w:tabs>
          <w:tab w:val="left" w:pos="0"/>
        </w:tabs>
        <w:spacing w:after="120"/>
        <w:rPr>
          <w:b/>
          <w:bCs/>
        </w:rPr>
      </w:pPr>
      <w:r w:rsidRPr="00A81971">
        <w:rPr>
          <w:b/>
          <w:bCs/>
        </w:rPr>
        <w:t xml:space="preserve">2027-2029: </w:t>
      </w:r>
      <w:r w:rsidR="00024ADB" w:rsidRPr="00A81971">
        <w:rPr>
          <w:b/>
          <w:bCs/>
        </w:rPr>
        <w:t>US$ 584</w:t>
      </w:r>
      <w:r w:rsidR="008E7B5D" w:rsidRPr="00A81971">
        <w:rPr>
          <w:b/>
          <w:bCs/>
        </w:rPr>
        <w:t xml:space="preserve">.30 million (compared to </w:t>
      </w:r>
      <w:r w:rsidRPr="00A81971">
        <w:rPr>
          <w:b/>
          <w:bCs/>
        </w:rPr>
        <w:t>US$ 603.28 million</w:t>
      </w:r>
      <w:r w:rsidR="008E7B5D" w:rsidRPr="00A81971">
        <w:rPr>
          <w:b/>
          <w:bCs/>
        </w:rPr>
        <w:t xml:space="preserve"> in the May 2026 Report)</w:t>
      </w:r>
    </w:p>
    <w:p w14:paraId="7AE8F3D3" w14:textId="77777777" w:rsidR="008B6C19" w:rsidRPr="00A81971" w:rsidRDefault="0032495C" w:rsidP="007A20BD">
      <w:pPr>
        <w:numPr>
          <w:ilvl w:val="0"/>
          <w:numId w:val="44"/>
        </w:numPr>
        <w:tabs>
          <w:tab w:val="left" w:pos="0"/>
        </w:tabs>
        <w:spacing w:after="120"/>
        <w:rPr>
          <w:b/>
          <w:bCs/>
        </w:rPr>
      </w:pPr>
      <w:r w:rsidRPr="00A81971">
        <w:rPr>
          <w:b/>
          <w:bCs/>
        </w:rPr>
        <w:t xml:space="preserve">2030-2032: </w:t>
      </w:r>
      <w:r w:rsidR="008E7B5D" w:rsidRPr="00A81971">
        <w:rPr>
          <w:b/>
          <w:bCs/>
        </w:rPr>
        <w:t xml:space="preserve">US$ 1,059.64 million (compared to </w:t>
      </w:r>
      <w:r w:rsidRPr="00A81971">
        <w:rPr>
          <w:b/>
          <w:bCs/>
        </w:rPr>
        <w:t>US$ 1,061.32 million</w:t>
      </w:r>
      <w:r w:rsidR="008E7B5D" w:rsidRPr="00A81971">
        <w:rPr>
          <w:b/>
          <w:bCs/>
        </w:rPr>
        <w:t xml:space="preserve"> in the May 2026 Report)</w:t>
      </w:r>
    </w:p>
    <w:p w14:paraId="55DEE0C2" w14:textId="77777777" w:rsidR="008B6C19" w:rsidRPr="00A81971" w:rsidRDefault="0032495C" w:rsidP="007A20BD">
      <w:pPr>
        <w:numPr>
          <w:ilvl w:val="0"/>
          <w:numId w:val="44"/>
        </w:numPr>
        <w:tabs>
          <w:tab w:val="left" w:pos="0"/>
        </w:tabs>
        <w:spacing w:after="360"/>
        <w:rPr>
          <w:b/>
          <w:bCs/>
        </w:rPr>
      </w:pPr>
      <w:r w:rsidRPr="00A81971">
        <w:rPr>
          <w:b/>
          <w:bCs/>
        </w:rPr>
        <w:t xml:space="preserve">2033-2035: </w:t>
      </w:r>
      <w:r w:rsidR="008E7B5D" w:rsidRPr="00A81971">
        <w:rPr>
          <w:b/>
          <w:bCs/>
        </w:rPr>
        <w:t>US$ 578</w:t>
      </w:r>
      <w:r w:rsidR="00865BE1" w:rsidRPr="00A81971">
        <w:rPr>
          <w:b/>
          <w:bCs/>
        </w:rPr>
        <w:t xml:space="preserve">.76 million (compared to US$ </w:t>
      </w:r>
      <w:r w:rsidRPr="00A81971">
        <w:rPr>
          <w:b/>
          <w:bCs/>
        </w:rPr>
        <w:t>591.11 million</w:t>
      </w:r>
      <w:r w:rsidR="00865BE1" w:rsidRPr="00A81971">
        <w:rPr>
          <w:b/>
          <w:bCs/>
        </w:rPr>
        <w:t xml:space="preserve"> in the May 2026 Report)</w:t>
      </w:r>
    </w:p>
    <w:p w14:paraId="62615D19" w14:textId="77777777" w:rsidR="008C7145" w:rsidRPr="00A81971" w:rsidRDefault="008C7145" w:rsidP="008C7145">
      <w:pPr>
        <w:rPr>
          <w:lang w:eastAsia="nl-NL"/>
        </w:rPr>
      </w:pPr>
    </w:p>
    <w:p w14:paraId="4C3D7421" w14:textId="77777777" w:rsidR="00EC57BE" w:rsidRPr="00A81971" w:rsidRDefault="00EC57BE" w:rsidP="00201CFA">
      <w:pPr>
        <w:pStyle w:val="Heading2"/>
        <w:sectPr w:rsidR="00EC57BE" w:rsidRPr="00A81971" w:rsidSect="005F6D97">
          <w:pgSz w:w="16838" w:h="11906" w:orient="landscape" w:code="9"/>
          <w:pgMar w:top="1411" w:right="1411" w:bottom="1411" w:left="1411" w:header="706" w:footer="706" w:gutter="0"/>
          <w:cols w:space="708"/>
          <w:titlePg/>
          <w:docGrid w:linePitch="360"/>
        </w:sectPr>
      </w:pPr>
    </w:p>
    <w:p w14:paraId="6C9CECFA" w14:textId="77777777" w:rsidR="008C7145" w:rsidRPr="00A81971" w:rsidRDefault="0032495C" w:rsidP="00201CFA">
      <w:pPr>
        <w:pStyle w:val="Heading2"/>
      </w:pPr>
      <w:bookmarkStart w:id="248" w:name="_Toc240987353"/>
      <w:r w:rsidRPr="002E3156">
        <w:lastRenderedPageBreak/>
        <w:t>A3.5</w:t>
      </w:r>
      <w:r w:rsidRPr="002E3156">
        <w:tab/>
        <w:t>verification: consumption sector</w:t>
      </w:r>
      <w:r>
        <w:rPr>
          <w:vertAlign w:val="superscript"/>
        </w:rPr>
        <w:footnoteReference w:id="31"/>
      </w:r>
      <w:bookmarkEnd w:id="248"/>
    </w:p>
    <w:p w14:paraId="5B3C2E9A" w14:textId="77777777" w:rsidR="00646D2D" w:rsidRPr="00A81971" w:rsidRDefault="0032495C" w:rsidP="00646D2D">
      <w:pPr>
        <w:spacing w:after="0"/>
        <w:rPr>
          <w:rFonts w:eastAsia="Times New Roman"/>
          <w:color w:val="000000" w:themeColor="text1"/>
        </w:rPr>
      </w:pPr>
      <w:r w:rsidRPr="00A81971">
        <w:rPr>
          <w:rFonts w:eastAsia="Times New Roman"/>
          <w:color w:val="000000" w:themeColor="text1"/>
        </w:rPr>
        <w:t>The May 2026 Report assumed that all 144 parties will have KIPs Stage</w:t>
      </w:r>
      <w:r w:rsidR="00311D9D">
        <w:rPr>
          <w:rFonts w:eastAsia="Times New Roman"/>
          <w:color w:val="000000" w:themeColor="text1"/>
        </w:rPr>
        <w:t>s</w:t>
      </w:r>
      <w:r w:rsidRPr="00A81971">
        <w:rPr>
          <w:rFonts w:eastAsia="Times New Roman"/>
          <w:color w:val="000000" w:themeColor="text1"/>
        </w:rPr>
        <w:t xml:space="preserve"> I and II in the next three</w:t>
      </w:r>
      <w:r w:rsidR="00050EB6" w:rsidRPr="00A81971">
        <w:rPr>
          <w:rFonts w:eastAsia="Times New Roman"/>
          <w:color w:val="000000" w:themeColor="text1"/>
        </w:rPr>
        <w:t xml:space="preserve"> </w:t>
      </w:r>
      <w:r w:rsidRPr="00A81971">
        <w:rPr>
          <w:rFonts w:eastAsia="Times New Roman"/>
          <w:color w:val="000000" w:themeColor="text1"/>
        </w:rPr>
        <w:t xml:space="preserve">triennia; consequently, </w:t>
      </w:r>
      <w:r w:rsidR="00050EB6" w:rsidRPr="00A81971">
        <w:rPr>
          <w:rFonts w:eastAsia="Times New Roman"/>
          <w:color w:val="000000" w:themeColor="text1"/>
        </w:rPr>
        <w:t xml:space="preserve">the </w:t>
      </w:r>
      <w:r w:rsidRPr="00A81971">
        <w:rPr>
          <w:rFonts w:eastAsia="Times New Roman"/>
          <w:color w:val="000000" w:themeColor="text1"/>
        </w:rPr>
        <w:t>RTF considered for each triennium three tranches per party, and two tranche verification requests per triennium each, for a total of six tranche verifications for the three triennia, for each of the 144 A5 parties. With this in mind, RTF estimated for three triennia (2027 to 2035 period), a</w:t>
      </w:r>
      <w:r w:rsidR="00050EB6" w:rsidRPr="00A81971">
        <w:rPr>
          <w:rFonts w:eastAsia="Times New Roman"/>
          <w:color w:val="000000" w:themeColor="text1"/>
        </w:rPr>
        <w:t>pproximately</w:t>
      </w:r>
      <w:r w:rsidRPr="00A81971">
        <w:rPr>
          <w:rFonts w:eastAsia="Times New Roman"/>
          <w:color w:val="000000" w:themeColor="text1"/>
        </w:rPr>
        <w:t xml:space="preserve"> US$ 26 million in verification costs (at US$ 30,000 each, used for LVCs)</w:t>
      </w:r>
      <w:r w:rsidR="005F54B8">
        <w:rPr>
          <w:rFonts w:eastAsia="Times New Roman"/>
          <w:color w:val="000000" w:themeColor="text1"/>
        </w:rPr>
        <w:t>.</w:t>
      </w:r>
      <w:r w:rsidRPr="00A81971">
        <w:rPr>
          <w:rFonts w:eastAsia="Times New Roman"/>
          <w:color w:val="000000" w:themeColor="text1"/>
        </w:rPr>
        <w:t xml:space="preserve"> </w:t>
      </w:r>
    </w:p>
    <w:p w14:paraId="2ED4A67C" w14:textId="77777777" w:rsidR="00646D2D" w:rsidRPr="00A81971" w:rsidRDefault="0032495C" w:rsidP="00646D2D">
      <w:pPr>
        <w:spacing w:after="0"/>
        <w:rPr>
          <w:rFonts w:eastAsia="Times New Roman"/>
          <w:color w:val="000000" w:themeColor="text1"/>
        </w:rPr>
      </w:pPr>
      <w:r w:rsidRPr="00A81971">
        <w:rPr>
          <w:rFonts w:eastAsia="Times New Roman"/>
          <w:color w:val="000000" w:themeColor="text1"/>
        </w:rPr>
        <w:t xml:space="preserve"> </w:t>
      </w:r>
    </w:p>
    <w:p w14:paraId="2F03A309" w14:textId="77777777" w:rsidR="00EB69DD" w:rsidRPr="00A81971" w:rsidRDefault="0032495C" w:rsidP="00646D2D">
      <w:pPr>
        <w:rPr>
          <w:lang w:eastAsia="nl-NL"/>
        </w:rPr>
      </w:pPr>
      <w:r w:rsidRPr="00A81971">
        <w:rPr>
          <w:rFonts w:eastAsia="Times New Roman"/>
          <w:color w:val="000000" w:themeColor="text1"/>
        </w:rPr>
        <w:t xml:space="preserve">The amount used in this report is however based on the original calculations </w:t>
      </w:r>
      <w:r w:rsidR="004F388F" w:rsidRPr="00A81971">
        <w:rPr>
          <w:rFonts w:eastAsia="Times New Roman"/>
          <w:color w:val="000000" w:themeColor="text1"/>
        </w:rPr>
        <w:t>sub</w:t>
      </w:r>
      <w:r w:rsidR="00F2184F" w:rsidRPr="00A81971">
        <w:rPr>
          <w:rFonts w:eastAsia="Times New Roman"/>
          <w:color w:val="000000" w:themeColor="text1"/>
        </w:rPr>
        <w:t>tracting th</w:t>
      </w:r>
      <w:r w:rsidR="00646D2D" w:rsidRPr="00A81971">
        <w:rPr>
          <w:rFonts w:eastAsia="Times New Roman"/>
          <w:color w:val="000000" w:themeColor="text1"/>
        </w:rPr>
        <w:t xml:space="preserve">e approved amounts for KIP verification, including combined HPMP and KIPs, </w:t>
      </w:r>
      <w:r w:rsidR="00F2184F" w:rsidRPr="00A81971">
        <w:rPr>
          <w:rFonts w:eastAsia="Times New Roman"/>
          <w:color w:val="000000" w:themeColor="text1"/>
        </w:rPr>
        <w:t xml:space="preserve">which </w:t>
      </w:r>
      <w:r w:rsidR="00646D2D" w:rsidRPr="00A81971">
        <w:rPr>
          <w:rFonts w:eastAsia="Times New Roman"/>
          <w:color w:val="000000" w:themeColor="text1"/>
        </w:rPr>
        <w:t xml:space="preserve">amount to US$ 1.8 million </w:t>
      </w:r>
      <w:r w:rsidR="00F2184F" w:rsidRPr="00A81971">
        <w:rPr>
          <w:rFonts w:eastAsia="Times New Roman"/>
          <w:color w:val="000000" w:themeColor="text1"/>
        </w:rPr>
        <w:t>and</w:t>
      </w:r>
      <w:r w:rsidR="00646D2D" w:rsidRPr="00A81971">
        <w:rPr>
          <w:rFonts w:eastAsia="Times New Roman"/>
          <w:color w:val="000000" w:themeColor="text1"/>
        </w:rPr>
        <w:t xml:space="preserve"> deduct</w:t>
      </w:r>
      <w:r w:rsidR="00F2184F" w:rsidRPr="00A81971">
        <w:rPr>
          <w:rFonts w:eastAsia="Times New Roman"/>
          <w:color w:val="000000" w:themeColor="text1"/>
        </w:rPr>
        <w:t>ing them</w:t>
      </w:r>
      <w:r w:rsidR="00646D2D" w:rsidRPr="00A81971">
        <w:rPr>
          <w:rFonts w:eastAsia="Times New Roman"/>
          <w:color w:val="000000" w:themeColor="text1"/>
        </w:rPr>
        <w:t xml:space="preserve"> from the estimate in the May 2026 RTF report for a </w:t>
      </w:r>
      <w:r w:rsidR="00646D2D" w:rsidRPr="00A81971">
        <w:rPr>
          <w:rFonts w:eastAsia="Times New Roman"/>
          <w:b/>
          <w:bCs/>
          <w:color w:val="000000" w:themeColor="text1"/>
        </w:rPr>
        <w:t>revised total of US$ 24.2 million</w:t>
      </w:r>
      <w:r w:rsidR="007148A8" w:rsidRPr="00A81971">
        <w:rPr>
          <w:rFonts w:eastAsia="Times New Roman"/>
          <w:b/>
          <w:bCs/>
          <w:color w:val="000000" w:themeColor="text1"/>
        </w:rPr>
        <w:t>.</w:t>
      </w:r>
    </w:p>
    <w:p w14:paraId="39926EC1" w14:textId="77777777" w:rsidR="00EB69DD" w:rsidRPr="00A81971" w:rsidRDefault="0032495C" w:rsidP="00201CFA">
      <w:pPr>
        <w:pStyle w:val="Heading2"/>
        <w:rPr>
          <w:vertAlign w:val="superscript"/>
        </w:rPr>
      </w:pPr>
      <w:bookmarkStart w:id="249" w:name="_Toc240987354"/>
      <w:r w:rsidRPr="2E7655E2">
        <w:t>A3.6</w:t>
      </w:r>
      <w:r>
        <w:tab/>
      </w:r>
      <w:r w:rsidRPr="2E7655E2">
        <w:t>project preparation: consumption sector</w:t>
      </w:r>
      <w:bookmarkEnd w:id="249"/>
      <w:r w:rsidRPr="2E7655E2">
        <w:t xml:space="preserve"> </w:t>
      </w:r>
    </w:p>
    <w:p w14:paraId="41AFBDD3" w14:textId="77777777" w:rsidR="007148A8" w:rsidRPr="00A81971" w:rsidRDefault="0032495C" w:rsidP="007148A8">
      <w:pPr>
        <w:spacing w:after="0"/>
        <w:rPr>
          <w:rFonts w:eastAsia="Times New Roman"/>
          <w:color w:val="000000" w:themeColor="text1"/>
        </w:rPr>
      </w:pPr>
      <w:r w:rsidRPr="00A81971">
        <w:rPr>
          <w:rFonts w:eastAsia="Times New Roman"/>
          <w:color w:val="000000" w:themeColor="text1"/>
        </w:rPr>
        <w:t>For the forecast of</w:t>
      </w:r>
      <w:r w:rsidR="00406804" w:rsidRPr="00A81971">
        <w:rPr>
          <w:rFonts w:eastAsia="Times New Roman"/>
          <w:color w:val="000000" w:themeColor="text1"/>
        </w:rPr>
        <w:t xml:space="preserve"> project preparation (</w:t>
      </w:r>
      <w:r w:rsidRPr="00A81971">
        <w:rPr>
          <w:rFonts w:eastAsia="Times New Roman"/>
          <w:color w:val="000000" w:themeColor="text1"/>
        </w:rPr>
        <w:t>PRP</w:t>
      </w:r>
      <w:r w:rsidR="00406804" w:rsidRPr="00A81971">
        <w:rPr>
          <w:rFonts w:eastAsia="Times New Roman"/>
          <w:color w:val="000000" w:themeColor="text1"/>
        </w:rPr>
        <w:t>)</w:t>
      </w:r>
      <w:r w:rsidRPr="00A81971">
        <w:rPr>
          <w:rFonts w:eastAsia="Times New Roman"/>
          <w:color w:val="000000" w:themeColor="text1"/>
        </w:rPr>
        <w:t xml:space="preserve"> needs for the consumption sector in 2027-2029, RTF considered that for every new KIP to be submitted, the country can request project preparation. Several parties already received PRP as of </w:t>
      </w:r>
      <w:r w:rsidR="00406804" w:rsidRPr="00A81971">
        <w:rPr>
          <w:rFonts w:eastAsia="Times New Roman"/>
          <w:color w:val="000000" w:themeColor="text1"/>
        </w:rPr>
        <w:t>ExCom-97</w:t>
      </w:r>
      <w:r w:rsidRPr="00A81971">
        <w:rPr>
          <w:rFonts w:eastAsia="Times New Roman"/>
          <w:color w:val="000000" w:themeColor="text1"/>
        </w:rPr>
        <w:t>, according to the MLF</w:t>
      </w:r>
      <w:r w:rsidR="00406804" w:rsidRPr="00A81971">
        <w:rPr>
          <w:rFonts w:eastAsia="Times New Roman"/>
          <w:color w:val="000000" w:themeColor="text1"/>
        </w:rPr>
        <w:t>S</w:t>
      </w:r>
      <w:r w:rsidRPr="00A81971">
        <w:rPr>
          <w:rFonts w:eastAsia="Times New Roman"/>
          <w:color w:val="000000" w:themeColor="text1"/>
        </w:rPr>
        <w:t xml:space="preserve"> information provided.</w:t>
      </w:r>
    </w:p>
    <w:p w14:paraId="0E122E15" w14:textId="77777777" w:rsidR="007148A8" w:rsidRPr="00A81971" w:rsidRDefault="0032495C" w:rsidP="007148A8">
      <w:pPr>
        <w:spacing w:after="0"/>
        <w:rPr>
          <w:rFonts w:eastAsia="Times New Roman"/>
          <w:color w:val="000000" w:themeColor="text1"/>
        </w:rPr>
      </w:pPr>
      <w:r w:rsidRPr="00A81971">
        <w:rPr>
          <w:rFonts w:eastAsia="Times New Roman"/>
          <w:color w:val="000000" w:themeColor="text1"/>
        </w:rPr>
        <w:t xml:space="preserve"> </w:t>
      </w:r>
    </w:p>
    <w:p w14:paraId="6A7E9AB7" w14:textId="77777777" w:rsidR="007148A8" w:rsidRPr="00A81971" w:rsidRDefault="0032495C" w:rsidP="007148A8">
      <w:pPr>
        <w:spacing w:after="0"/>
        <w:rPr>
          <w:rFonts w:eastAsia="Times New Roman"/>
          <w:color w:val="000000" w:themeColor="text1"/>
        </w:rPr>
      </w:pPr>
      <w:r w:rsidRPr="00A81971">
        <w:rPr>
          <w:rFonts w:eastAsia="Times New Roman"/>
          <w:color w:val="000000" w:themeColor="text1"/>
        </w:rPr>
        <w:t>The updated list of remaining parties eligible for Stage I KIP PRP contains 26 parties without PRP request, and 18 of them have included PRP requests in the BP.</w:t>
      </w:r>
    </w:p>
    <w:p w14:paraId="16025C70" w14:textId="77777777" w:rsidR="007148A8" w:rsidRPr="00A81971" w:rsidRDefault="0032495C" w:rsidP="007148A8">
      <w:pPr>
        <w:spacing w:after="0"/>
        <w:rPr>
          <w:rFonts w:eastAsia="Times New Roman"/>
          <w:color w:val="000000" w:themeColor="text1"/>
        </w:rPr>
      </w:pPr>
      <w:r w:rsidRPr="00A81971">
        <w:rPr>
          <w:rFonts w:eastAsia="Times New Roman"/>
          <w:color w:val="000000" w:themeColor="text1"/>
        </w:rPr>
        <w:t xml:space="preserve"> </w:t>
      </w:r>
    </w:p>
    <w:p w14:paraId="73A0F51F" w14:textId="77777777" w:rsidR="007148A8" w:rsidRPr="00A81971" w:rsidRDefault="0032495C" w:rsidP="00E200B6">
      <w:pPr>
        <w:spacing w:after="0"/>
        <w:rPr>
          <w:rFonts w:eastAsia="Times New Roman"/>
          <w:color w:val="000000" w:themeColor="text1"/>
        </w:rPr>
      </w:pPr>
      <w:r w:rsidRPr="00A81971">
        <w:rPr>
          <w:rFonts w:eastAsia="Times New Roman"/>
          <w:color w:val="000000" w:themeColor="text1"/>
        </w:rPr>
        <w:t xml:space="preserve">The updated total </w:t>
      </w:r>
      <w:r w:rsidR="00877C87" w:rsidRPr="00A81971">
        <w:rPr>
          <w:rFonts w:eastAsia="Times New Roman"/>
          <w:color w:val="000000" w:themeColor="text1"/>
        </w:rPr>
        <w:t xml:space="preserve">estimated funding requirement </w:t>
      </w:r>
      <w:r w:rsidRPr="00A81971">
        <w:rPr>
          <w:rFonts w:eastAsia="Times New Roman"/>
          <w:color w:val="000000" w:themeColor="text1"/>
        </w:rPr>
        <w:t xml:space="preserve">after </w:t>
      </w:r>
      <w:r w:rsidR="00877C87" w:rsidRPr="00A81971">
        <w:rPr>
          <w:rFonts w:eastAsia="Times New Roman"/>
          <w:color w:val="000000" w:themeColor="text1"/>
        </w:rPr>
        <w:t xml:space="preserve">approvals </w:t>
      </w:r>
      <w:r w:rsidR="000D592F" w:rsidRPr="00A81971">
        <w:rPr>
          <w:rFonts w:eastAsia="Times New Roman"/>
          <w:color w:val="000000" w:themeColor="text1"/>
        </w:rPr>
        <w:t xml:space="preserve">from </w:t>
      </w:r>
      <w:r w:rsidR="00406804" w:rsidRPr="00A81971">
        <w:rPr>
          <w:rFonts w:eastAsia="Times New Roman"/>
          <w:color w:val="000000" w:themeColor="text1"/>
        </w:rPr>
        <w:t>ExCom-98</w:t>
      </w:r>
      <w:r w:rsidR="00877C87" w:rsidRPr="00A81971">
        <w:rPr>
          <w:rFonts w:eastAsia="Times New Roman"/>
          <w:color w:val="000000" w:themeColor="text1"/>
        </w:rPr>
        <w:t xml:space="preserve"> </w:t>
      </w:r>
      <w:r w:rsidRPr="00A81971">
        <w:rPr>
          <w:rFonts w:eastAsia="Times New Roman"/>
          <w:color w:val="000000" w:themeColor="text1"/>
        </w:rPr>
        <w:t xml:space="preserve">for 25 countries, not including China which is case-by-case, is </w:t>
      </w:r>
      <w:r w:rsidRPr="00A81971">
        <w:rPr>
          <w:rFonts w:eastAsia="Times New Roman"/>
          <w:b/>
          <w:bCs/>
          <w:color w:val="000000" w:themeColor="text1"/>
        </w:rPr>
        <w:t>US $ 4,570,320</w:t>
      </w:r>
      <w:r w:rsidRPr="00A81971">
        <w:rPr>
          <w:rFonts w:eastAsia="Times New Roman"/>
          <w:color w:val="000000" w:themeColor="text1"/>
        </w:rPr>
        <w:t xml:space="preserve"> including 9.6% support costs if all is requested for the 2027-2029 triennium. Annex </w:t>
      </w:r>
      <w:r w:rsidR="00D21D6D" w:rsidRPr="00A81971">
        <w:rPr>
          <w:rFonts w:eastAsia="Times New Roman"/>
          <w:color w:val="000000" w:themeColor="text1"/>
        </w:rPr>
        <w:t>7</w:t>
      </w:r>
      <w:r w:rsidRPr="00A81971">
        <w:rPr>
          <w:rFonts w:eastAsia="Times New Roman"/>
          <w:color w:val="000000" w:themeColor="text1"/>
        </w:rPr>
        <w:t xml:space="preserve"> shows the details for the 25 countries for which PRP funding for KIP Stage I is needed.</w:t>
      </w:r>
    </w:p>
    <w:p w14:paraId="00E8AE8F" w14:textId="77777777" w:rsidR="007148A8" w:rsidRPr="00A81971" w:rsidRDefault="0032495C" w:rsidP="007148A8">
      <w:pPr>
        <w:spacing w:after="0"/>
        <w:rPr>
          <w:rFonts w:eastAsia="Times New Roman"/>
          <w:color w:val="000000" w:themeColor="text1"/>
        </w:rPr>
      </w:pPr>
      <w:r w:rsidRPr="00A81971">
        <w:rPr>
          <w:rFonts w:eastAsia="Times New Roman"/>
          <w:color w:val="000000" w:themeColor="text1"/>
        </w:rPr>
        <w:t xml:space="preserve"> </w:t>
      </w:r>
    </w:p>
    <w:p w14:paraId="797D6702" w14:textId="77777777" w:rsidR="007148A8" w:rsidRPr="00A81971" w:rsidRDefault="0032495C" w:rsidP="007148A8">
      <w:pPr>
        <w:spacing w:after="240"/>
        <w:rPr>
          <w:rFonts w:eastAsia="Times New Roman"/>
          <w:color w:val="000000" w:themeColor="text1"/>
        </w:rPr>
      </w:pPr>
      <w:r w:rsidRPr="00A81971">
        <w:rPr>
          <w:rFonts w:eastAsia="Times New Roman"/>
          <w:color w:val="000000" w:themeColor="text1"/>
        </w:rPr>
        <w:t xml:space="preserve">For KIP Stage II, RTF considered that all countries with approved project preparation funding for Stage I would be eligible for project preparation funding for KIP Stage II since they would have progressed in their implementation of Stage I and would be ready to submit requests for Stage II, except for those countries that exceeded 30% reduction from their baseline or went beyond 2030 for Stage I. This assumption has not changed for the supplementary report and funds for preparation of KIP Stage II remains at US$ 15,660,000, and cost including agency support cost is </w:t>
      </w:r>
      <w:r w:rsidRPr="00A81971">
        <w:rPr>
          <w:rFonts w:eastAsia="Times New Roman"/>
          <w:b/>
          <w:bCs/>
          <w:color w:val="000000" w:themeColor="text1"/>
        </w:rPr>
        <w:t>US$ 17,163,360</w:t>
      </w:r>
      <w:r w:rsidRPr="00A81971">
        <w:rPr>
          <w:rFonts w:eastAsia="Times New Roman"/>
          <w:color w:val="000000" w:themeColor="text1"/>
        </w:rPr>
        <w:t>.</w:t>
      </w:r>
    </w:p>
    <w:p w14:paraId="5AE5A75F" w14:textId="77777777" w:rsidR="007148A8" w:rsidRPr="00A81971" w:rsidRDefault="0032495C" w:rsidP="007148A8">
      <w:pPr>
        <w:spacing w:after="240"/>
        <w:rPr>
          <w:rFonts w:eastAsia="Times New Roman"/>
          <w:color w:val="000000" w:themeColor="text1"/>
        </w:rPr>
      </w:pPr>
      <w:r w:rsidRPr="00A81971">
        <w:rPr>
          <w:rFonts w:eastAsia="Times New Roman"/>
          <w:color w:val="000000" w:themeColor="text1"/>
        </w:rPr>
        <w:t xml:space="preserve">Table </w:t>
      </w:r>
      <w:r w:rsidR="005A5D6D" w:rsidRPr="00A81971">
        <w:rPr>
          <w:rFonts w:eastAsia="Times New Roman"/>
          <w:color w:val="000000" w:themeColor="text1"/>
        </w:rPr>
        <w:t>A</w:t>
      </w:r>
      <w:r w:rsidRPr="00A81971">
        <w:rPr>
          <w:rFonts w:eastAsia="Times New Roman"/>
          <w:color w:val="000000" w:themeColor="text1"/>
        </w:rPr>
        <w:t>3.1</w:t>
      </w:r>
      <w:r w:rsidR="005A5D6D" w:rsidRPr="00A81971">
        <w:rPr>
          <w:rFonts w:eastAsia="Times New Roman"/>
          <w:color w:val="000000" w:themeColor="text1"/>
        </w:rPr>
        <w:t>1</w:t>
      </w:r>
      <w:r w:rsidRPr="00A81971">
        <w:rPr>
          <w:rFonts w:eastAsia="Times New Roman"/>
          <w:color w:val="000000" w:themeColor="text1"/>
        </w:rPr>
        <w:t xml:space="preserve"> provides a summary of the estimated funding requirement for PRP for KIP Stages I and II in the 2027-2029 triennium.</w:t>
      </w:r>
    </w:p>
    <w:p w14:paraId="3752BF41" w14:textId="77777777" w:rsidR="007148A8" w:rsidRPr="00A81971" w:rsidRDefault="0032495C" w:rsidP="00537EA6">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t xml:space="preserve">Table </w:t>
      </w:r>
      <w:r>
        <w:rPr>
          <w:rFonts w:eastAsia="Yu Mincho"/>
          <w:b/>
          <w:bCs/>
          <w:color w:val="000000"/>
          <w:lang w:val="en-CA"/>
        </w:rPr>
        <w:t>A3.11:</w:t>
      </w:r>
      <w:r w:rsidRPr="0006445E">
        <w:rPr>
          <w:rFonts w:eastAsia="Times New Roman"/>
          <w:color w:val="000000"/>
          <w:lang w:val="en-CA"/>
        </w:rPr>
        <w:tab/>
      </w:r>
      <w:r w:rsidRPr="00A81971">
        <w:rPr>
          <w:rFonts w:eastAsia="Times New Roman"/>
          <w:b/>
          <w:bCs/>
          <w:color w:val="000000" w:themeColor="text1"/>
        </w:rPr>
        <w:t>Estimated funding for PRP for KIP Stages I and II for 2027-2029 (US$)</w:t>
      </w:r>
    </w:p>
    <w:tbl>
      <w:tblPr>
        <w:tblStyle w:val="TableGrid"/>
        <w:tblW w:w="0" w:type="auto"/>
        <w:tblLook w:val="04A0" w:firstRow="1" w:lastRow="0" w:firstColumn="1" w:lastColumn="0" w:noHBand="0" w:noVBand="1"/>
      </w:tblPr>
      <w:tblGrid>
        <w:gridCol w:w="3020"/>
        <w:gridCol w:w="3022"/>
        <w:gridCol w:w="3022"/>
      </w:tblGrid>
      <w:tr w:rsidR="00F90461" w14:paraId="255AB0B7" w14:textId="77777777" w:rsidTr="00C80FFD">
        <w:trPr>
          <w:trHeight w:val="300"/>
        </w:trPr>
        <w:tc>
          <w:tcPr>
            <w:tcW w:w="3030"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7C7FEEFC" w14:textId="77777777" w:rsidR="007148A8"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KIP Stage</w:t>
            </w:r>
          </w:p>
        </w:tc>
        <w:tc>
          <w:tcPr>
            <w:tcW w:w="3030"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53003999" w14:textId="77777777" w:rsidR="007148A8"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Total project preparation cost (US$)</w:t>
            </w:r>
          </w:p>
        </w:tc>
        <w:tc>
          <w:tcPr>
            <w:tcW w:w="3030"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4AAE8CC1" w14:textId="77777777" w:rsidR="007148A8" w:rsidRPr="00A81971" w:rsidRDefault="0032495C" w:rsidP="00C80FFD">
            <w:pPr>
              <w:spacing w:after="0"/>
              <w:jc w:val="center"/>
              <w:rPr>
                <w:rFonts w:eastAsia="Times New Roman"/>
                <w:b/>
                <w:bCs/>
                <w:color w:val="000000" w:themeColor="text1"/>
              </w:rPr>
            </w:pPr>
            <w:r w:rsidRPr="00A81971">
              <w:rPr>
                <w:rFonts w:eastAsia="Times New Roman"/>
                <w:b/>
                <w:bCs/>
                <w:color w:val="000000" w:themeColor="text1"/>
              </w:rPr>
              <w:t>Total including Agency Support Cost @ 9.6% (US$)</w:t>
            </w:r>
          </w:p>
        </w:tc>
      </w:tr>
      <w:tr w:rsidR="00F90461" w14:paraId="48C16E98" w14:textId="77777777" w:rsidTr="00A04930">
        <w:trPr>
          <w:trHeight w:val="300"/>
        </w:trPr>
        <w:tc>
          <w:tcPr>
            <w:tcW w:w="3030"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33A25D6" w14:textId="77777777" w:rsidR="007148A8" w:rsidRPr="00A81971" w:rsidRDefault="0032495C" w:rsidP="00C80FFD">
            <w:pPr>
              <w:spacing w:after="0"/>
              <w:jc w:val="center"/>
              <w:rPr>
                <w:rFonts w:eastAsia="Times New Roman"/>
                <w:color w:val="000000" w:themeColor="text1"/>
              </w:rPr>
            </w:pPr>
            <w:r w:rsidRPr="00A81971">
              <w:rPr>
                <w:rFonts w:eastAsia="Times New Roman"/>
                <w:color w:val="000000" w:themeColor="text1"/>
              </w:rPr>
              <w:t>I</w:t>
            </w:r>
          </w:p>
        </w:tc>
        <w:tc>
          <w:tcPr>
            <w:tcW w:w="30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A55EB" w14:textId="77777777" w:rsidR="007148A8" w:rsidRPr="00A81971" w:rsidRDefault="0032495C" w:rsidP="00A04930">
            <w:pPr>
              <w:spacing w:after="0"/>
              <w:jc w:val="right"/>
              <w:rPr>
                <w:rFonts w:eastAsia="Times New Roman"/>
                <w:color w:val="000000" w:themeColor="text1"/>
              </w:rPr>
            </w:pPr>
            <w:r w:rsidRPr="00A81971">
              <w:rPr>
                <w:rFonts w:eastAsia="Times New Roman"/>
                <w:color w:val="000000" w:themeColor="text1"/>
              </w:rPr>
              <w:t>4,170,000</w:t>
            </w:r>
          </w:p>
        </w:tc>
        <w:tc>
          <w:tcPr>
            <w:tcW w:w="30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EBD4F" w14:textId="77777777" w:rsidR="007148A8" w:rsidRPr="00A81971" w:rsidRDefault="0032495C" w:rsidP="00A04930">
            <w:pPr>
              <w:spacing w:after="0"/>
              <w:jc w:val="right"/>
              <w:rPr>
                <w:rFonts w:eastAsia="Times New Roman"/>
                <w:color w:val="000000" w:themeColor="text1"/>
              </w:rPr>
            </w:pPr>
            <w:r w:rsidRPr="00A81971">
              <w:rPr>
                <w:rFonts w:eastAsia="Times New Roman"/>
                <w:color w:val="000000" w:themeColor="text1"/>
              </w:rPr>
              <w:t>4,570,320</w:t>
            </w:r>
          </w:p>
        </w:tc>
      </w:tr>
      <w:tr w:rsidR="00F90461" w14:paraId="7E01550C" w14:textId="77777777" w:rsidTr="00A04930">
        <w:trPr>
          <w:trHeight w:val="300"/>
        </w:trPr>
        <w:tc>
          <w:tcPr>
            <w:tcW w:w="3030"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FBC9077" w14:textId="77777777" w:rsidR="007148A8" w:rsidRPr="00A81971" w:rsidRDefault="0032495C" w:rsidP="00C80FFD">
            <w:pPr>
              <w:spacing w:after="0"/>
              <w:jc w:val="center"/>
              <w:rPr>
                <w:rFonts w:eastAsia="Times New Roman"/>
                <w:color w:val="000000" w:themeColor="text1"/>
              </w:rPr>
            </w:pPr>
            <w:r w:rsidRPr="00A81971">
              <w:rPr>
                <w:rFonts w:eastAsia="Times New Roman"/>
                <w:color w:val="000000" w:themeColor="text1"/>
              </w:rPr>
              <w:t>II</w:t>
            </w:r>
          </w:p>
        </w:tc>
        <w:tc>
          <w:tcPr>
            <w:tcW w:w="30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EF781" w14:textId="77777777" w:rsidR="007148A8" w:rsidRPr="00A81971" w:rsidRDefault="0032495C" w:rsidP="00A04930">
            <w:pPr>
              <w:spacing w:after="0"/>
              <w:jc w:val="right"/>
              <w:rPr>
                <w:rFonts w:eastAsia="Times New Roman"/>
                <w:color w:val="000000" w:themeColor="text1"/>
              </w:rPr>
            </w:pPr>
            <w:r w:rsidRPr="00A81971">
              <w:rPr>
                <w:rFonts w:eastAsia="Times New Roman"/>
                <w:color w:val="000000" w:themeColor="text1"/>
              </w:rPr>
              <w:t>15,660,000</w:t>
            </w:r>
          </w:p>
        </w:tc>
        <w:tc>
          <w:tcPr>
            <w:tcW w:w="30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9D446" w14:textId="77777777" w:rsidR="007148A8" w:rsidRPr="00A81971" w:rsidRDefault="0032495C" w:rsidP="00A04930">
            <w:pPr>
              <w:spacing w:after="0"/>
              <w:jc w:val="right"/>
              <w:rPr>
                <w:rFonts w:eastAsia="Times New Roman"/>
                <w:color w:val="000000" w:themeColor="text1"/>
              </w:rPr>
            </w:pPr>
            <w:r w:rsidRPr="00A81971">
              <w:rPr>
                <w:rFonts w:eastAsia="Times New Roman"/>
                <w:color w:val="000000" w:themeColor="text1"/>
              </w:rPr>
              <w:t>17,163,360</w:t>
            </w:r>
          </w:p>
        </w:tc>
      </w:tr>
      <w:tr w:rsidR="00F90461" w14:paraId="56692B71" w14:textId="77777777" w:rsidTr="00A04930">
        <w:trPr>
          <w:trHeight w:val="300"/>
        </w:trPr>
        <w:tc>
          <w:tcPr>
            <w:tcW w:w="303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428A27A" w14:textId="77777777" w:rsidR="007148A8" w:rsidRPr="00A81971" w:rsidRDefault="0032495C" w:rsidP="00C80FFD">
            <w:pPr>
              <w:spacing w:after="0"/>
              <w:rPr>
                <w:rFonts w:eastAsia="Times New Roman"/>
                <w:b/>
                <w:bCs/>
                <w:color w:val="000000" w:themeColor="text1"/>
              </w:rPr>
            </w:pPr>
            <w:r w:rsidRPr="00A81971">
              <w:rPr>
                <w:rFonts w:eastAsia="Times New Roman"/>
                <w:b/>
                <w:bCs/>
                <w:color w:val="000000" w:themeColor="text1"/>
              </w:rPr>
              <w:t>Total for Stages I and II</w:t>
            </w:r>
          </w:p>
        </w:tc>
        <w:tc>
          <w:tcPr>
            <w:tcW w:w="303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5EDD232" w14:textId="77777777" w:rsidR="007148A8" w:rsidRPr="00A81971" w:rsidRDefault="0032495C" w:rsidP="00A04930">
            <w:pPr>
              <w:spacing w:after="0"/>
              <w:jc w:val="right"/>
              <w:rPr>
                <w:rFonts w:eastAsia="Times New Roman"/>
                <w:b/>
                <w:bCs/>
                <w:color w:val="000000" w:themeColor="text1"/>
              </w:rPr>
            </w:pPr>
            <w:r w:rsidRPr="00A81971">
              <w:rPr>
                <w:rFonts w:eastAsia="Times New Roman"/>
                <w:b/>
                <w:bCs/>
                <w:color w:val="000000" w:themeColor="text1"/>
              </w:rPr>
              <w:t>19,830,000</w:t>
            </w:r>
          </w:p>
        </w:tc>
        <w:tc>
          <w:tcPr>
            <w:tcW w:w="303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3FA5CAFD" w14:textId="77777777" w:rsidR="007148A8" w:rsidRPr="00A81971" w:rsidRDefault="0032495C" w:rsidP="00A04930">
            <w:pPr>
              <w:spacing w:after="0"/>
              <w:jc w:val="right"/>
              <w:rPr>
                <w:rFonts w:eastAsia="Times New Roman"/>
                <w:b/>
                <w:bCs/>
                <w:color w:val="000000" w:themeColor="text1"/>
              </w:rPr>
            </w:pPr>
            <w:r w:rsidRPr="00A81971">
              <w:rPr>
                <w:rFonts w:eastAsia="Times New Roman"/>
                <w:b/>
                <w:bCs/>
                <w:color w:val="000000" w:themeColor="text1"/>
              </w:rPr>
              <w:t>21,733,680</w:t>
            </w:r>
          </w:p>
        </w:tc>
      </w:tr>
    </w:tbl>
    <w:p w14:paraId="1BB47E98" w14:textId="77777777" w:rsidR="00EB69DD" w:rsidRPr="00A81971" w:rsidRDefault="00EB69DD" w:rsidP="00EB69DD">
      <w:pPr>
        <w:rPr>
          <w:lang w:eastAsia="nl-NL"/>
        </w:rPr>
      </w:pPr>
    </w:p>
    <w:p w14:paraId="76696050" w14:textId="4D199A1B" w:rsidR="00EB69DD" w:rsidRPr="00A81971" w:rsidRDefault="0032495C" w:rsidP="00201CFA">
      <w:pPr>
        <w:pStyle w:val="Heading2"/>
      </w:pPr>
      <w:bookmarkStart w:id="250" w:name="_Toc240987355"/>
      <w:r w:rsidRPr="00A81971">
        <w:t>A3</w:t>
      </w:r>
      <w:r w:rsidR="004D30AC" w:rsidRPr="00A81971">
        <w:t>.</w:t>
      </w:r>
      <w:r w:rsidRPr="00A81971">
        <w:t>7</w:t>
      </w:r>
      <w:r w:rsidRPr="00A81971">
        <w:tab/>
      </w:r>
      <w:r w:rsidR="00092AB3" w:rsidRPr="00A81971">
        <w:t>energy efficiency</w:t>
      </w:r>
      <w:r w:rsidR="0029316A" w:rsidRPr="00A81971">
        <w:t xml:space="preserve"> (decisions 91/65, 94/60, and 95/87)</w:t>
      </w:r>
      <w:bookmarkEnd w:id="250"/>
    </w:p>
    <w:p w14:paraId="43A0C7C3"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As discussed in its May 2026 Report, in the context of estimated funding for EE-related items for the HFC phase-down, the RTF considered the following relevant decisions agreed upon by the ExCom:</w:t>
      </w:r>
    </w:p>
    <w:p w14:paraId="0A1C507F" w14:textId="77777777" w:rsidR="004D30AC" w:rsidRPr="00A81971" w:rsidRDefault="0032495C" w:rsidP="007A20BD">
      <w:pPr>
        <w:pStyle w:val="ListParagraph"/>
        <w:numPr>
          <w:ilvl w:val="0"/>
          <w:numId w:val="35"/>
        </w:numPr>
        <w:spacing w:after="0"/>
        <w:rPr>
          <w:rFonts w:eastAsia="Times New Roman"/>
          <w:color w:val="000000" w:themeColor="text1"/>
        </w:rPr>
      </w:pPr>
      <w:r w:rsidRPr="00A81971">
        <w:rPr>
          <w:rFonts w:eastAsia="Times New Roman"/>
          <w:color w:val="000000" w:themeColor="text1"/>
        </w:rPr>
        <w:lastRenderedPageBreak/>
        <w:t>Decision 91/65 established a funding window for pilot projects in the amount of US $20 million with the possibility of augmenting that funding window at a future meeting to maintain and/or enhance EE in the context of HFC phase-down as specified in decision XXVIII/2, following the criteria identified in subparagraph (b) of the decision;</w:t>
      </w:r>
    </w:p>
    <w:p w14:paraId="7B48C4A4" w14:textId="77777777" w:rsidR="004D30AC" w:rsidRPr="00A81971" w:rsidRDefault="0032495C" w:rsidP="007A20BD">
      <w:pPr>
        <w:pStyle w:val="ListParagraph"/>
        <w:numPr>
          <w:ilvl w:val="0"/>
          <w:numId w:val="35"/>
        </w:numPr>
        <w:spacing w:after="0"/>
        <w:rPr>
          <w:rFonts w:eastAsia="Times New Roman"/>
          <w:color w:val="000000" w:themeColor="text1"/>
        </w:rPr>
      </w:pPr>
      <w:r w:rsidRPr="00A81971">
        <w:rPr>
          <w:rFonts w:eastAsia="Times New Roman"/>
          <w:color w:val="000000" w:themeColor="text1"/>
        </w:rPr>
        <w:t>Decision 94/60 established a funding window in the amount of US $100 million with the possibility of augmenting that funding window at a future meeting to maintain and/or enhance EE in the context of HFC phase-down as specified in decision XXVIII/2, following the criteria identified in subparagraph (b) of the decision’;</w:t>
      </w:r>
    </w:p>
    <w:p w14:paraId="31ACC3BC" w14:textId="77777777" w:rsidR="004D30AC" w:rsidRPr="00A81971" w:rsidRDefault="0032495C" w:rsidP="007A20BD">
      <w:pPr>
        <w:pStyle w:val="ListParagraph"/>
        <w:numPr>
          <w:ilvl w:val="0"/>
          <w:numId w:val="35"/>
        </w:numPr>
        <w:spacing w:after="0"/>
        <w:rPr>
          <w:rFonts w:eastAsia="Times New Roman"/>
          <w:color w:val="000000" w:themeColor="text1"/>
        </w:rPr>
      </w:pPr>
      <w:r w:rsidRPr="00A81971">
        <w:rPr>
          <w:rFonts w:eastAsia="Times New Roman"/>
          <w:color w:val="000000" w:themeColor="text1"/>
        </w:rPr>
        <w:t>Decision 95/87 established a funding window in the amount of US $40 million in the context of HFC phase-down as specified in decision XXVIII/2, following the criteria identified in subparagraph (b) of the decision’.</w:t>
      </w:r>
    </w:p>
    <w:p w14:paraId="4BDDDC63" w14:textId="77777777" w:rsidR="004D30AC" w:rsidRPr="00A81971" w:rsidRDefault="004D30AC" w:rsidP="004D30AC">
      <w:pPr>
        <w:spacing w:after="0"/>
        <w:rPr>
          <w:rFonts w:eastAsia="Times New Roman"/>
          <w:color w:val="000000" w:themeColor="text1"/>
        </w:rPr>
      </w:pPr>
    </w:p>
    <w:p w14:paraId="195C9AAF" w14:textId="77777777" w:rsidR="004D30AC" w:rsidRPr="00A81971" w:rsidRDefault="0032495C" w:rsidP="004D30AC">
      <w:pPr>
        <w:spacing w:after="240"/>
        <w:rPr>
          <w:rFonts w:eastAsia="Times New Roman"/>
          <w:b/>
          <w:bCs/>
          <w:i/>
          <w:iCs/>
          <w:color w:val="000000" w:themeColor="text1"/>
          <w:sz w:val="20"/>
          <w:szCs w:val="20"/>
        </w:rPr>
      </w:pPr>
      <w:r w:rsidRPr="00A81971">
        <w:rPr>
          <w:rFonts w:eastAsia="Times New Roman"/>
          <w:b/>
          <w:bCs/>
          <w:i/>
          <w:iCs/>
          <w:color w:val="000000" w:themeColor="text1"/>
        </w:rPr>
        <w:t>Decision 91/65</w:t>
      </w:r>
    </w:p>
    <w:p w14:paraId="10A6E173"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Decision 91/65</w:t>
      </w:r>
      <w:r w:rsidRPr="00A81971">
        <w:rPr>
          <w:rFonts w:eastAsia="Times New Roman"/>
          <w:color w:val="000000" w:themeColor="text1"/>
          <w:vertAlign w:val="superscript"/>
        </w:rPr>
        <w:t>2</w:t>
      </w:r>
      <w:r w:rsidRPr="00A81971">
        <w:rPr>
          <w:rFonts w:eastAsia="Times New Roman"/>
          <w:color w:val="000000" w:themeColor="text1"/>
        </w:rPr>
        <w:t xml:space="preserve"> has established a “funding window for pilot projects in the amount of US$ 20 million with the possibility of augmenting that funding window at a future meeting to maintain and/or enhance EE in the context of HFC phase-down as specified in decision XXVIII/2, following the criteria identified in subparagraph(b)”. This funding window is currently extended till the 100</w:t>
      </w:r>
      <w:r w:rsidRPr="00A81971">
        <w:rPr>
          <w:rFonts w:eastAsia="Times New Roman"/>
          <w:color w:val="000000" w:themeColor="text1"/>
          <w:vertAlign w:val="superscript"/>
        </w:rPr>
        <w:t>th</w:t>
      </w:r>
      <w:r w:rsidRPr="00A81971">
        <w:rPr>
          <w:rFonts w:eastAsia="Times New Roman"/>
          <w:color w:val="000000" w:themeColor="text1"/>
        </w:rPr>
        <w:t xml:space="preserve"> ExCom meeting for servicing only activities.</w:t>
      </w:r>
      <w:r w:rsidRPr="00A81971">
        <w:rPr>
          <w:rFonts w:eastAsia="Times New Roman"/>
          <w:color w:val="000000" w:themeColor="text1"/>
          <w:vertAlign w:val="superscript"/>
        </w:rPr>
        <w:t>3</w:t>
      </w:r>
    </w:p>
    <w:p w14:paraId="6D23C341" w14:textId="77777777" w:rsidR="004D30AC" w:rsidRPr="00A81971" w:rsidRDefault="004D30AC" w:rsidP="004D30AC">
      <w:pPr>
        <w:spacing w:after="0"/>
        <w:rPr>
          <w:rFonts w:eastAsia="Times New Roman"/>
          <w:color w:val="000000" w:themeColor="text1"/>
        </w:rPr>
      </w:pPr>
    </w:p>
    <w:p w14:paraId="10068396"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During ExCom-98, the ExCom approved 16 projects worth US$ 1,133,772. The total funding amount available in this funding until ExCom-100 is US$ 5,235,856 including support costs. Parties are actively ramping up their proposals for EE pilot projects and are expected to fully utilise this funding window based on the business plan.</w:t>
      </w:r>
    </w:p>
    <w:p w14:paraId="64F2C56A" w14:textId="77777777" w:rsidR="004D30AC" w:rsidRPr="00A81971" w:rsidRDefault="004D30AC" w:rsidP="004D30AC">
      <w:pPr>
        <w:spacing w:after="0"/>
        <w:rPr>
          <w:rFonts w:eastAsia="Times New Roman"/>
          <w:color w:val="000000" w:themeColor="text1"/>
        </w:rPr>
      </w:pPr>
    </w:p>
    <w:p w14:paraId="508C6EFD"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The RTF estimates, based on previous approval rates, that ExCom-99 may approve up to US$ 2 million. As such, the estimated funding requirement for ExCom-100 in the next triennium is:</w:t>
      </w:r>
    </w:p>
    <w:p w14:paraId="368AC6F0" w14:textId="77777777" w:rsidR="004D30AC" w:rsidRPr="00A81971" w:rsidRDefault="0032495C" w:rsidP="007A20BD">
      <w:pPr>
        <w:pStyle w:val="ListParagraph"/>
        <w:numPr>
          <w:ilvl w:val="0"/>
          <w:numId w:val="34"/>
        </w:numPr>
        <w:spacing w:after="0"/>
        <w:rPr>
          <w:rFonts w:eastAsia="Times New Roman"/>
          <w:color w:val="000000" w:themeColor="text1"/>
        </w:rPr>
      </w:pPr>
      <w:r w:rsidRPr="00A81971">
        <w:rPr>
          <w:rFonts w:eastAsia="Times New Roman"/>
          <w:color w:val="000000" w:themeColor="text1"/>
        </w:rPr>
        <w:t>Low-end funding: US$ 3,235,856 including support costs;</w:t>
      </w:r>
    </w:p>
    <w:p w14:paraId="04FEB5AA" w14:textId="77777777" w:rsidR="004D30AC" w:rsidRPr="00A81971" w:rsidRDefault="0032495C" w:rsidP="007A20BD">
      <w:pPr>
        <w:pStyle w:val="ListParagraph"/>
        <w:numPr>
          <w:ilvl w:val="0"/>
          <w:numId w:val="34"/>
        </w:numPr>
        <w:spacing w:after="0"/>
        <w:rPr>
          <w:rFonts w:eastAsia="Times New Roman"/>
          <w:color w:val="000000" w:themeColor="text1"/>
        </w:rPr>
      </w:pPr>
      <w:r w:rsidRPr="00A81971">
        <w:rPr>
          <w:rFonts w:eastAsia="Times New Roman"/>
          <w:color w:val="000000" w:themeColor="text1"/>
        </w:rPr>
        <w:t>High-end funding: US$ 5,235,856 including support costs.</w:t>
      </w:r>
    </w:p>
    <w:p w14:paraId="3A8BF162" w14:textId="77777777" w:rsidR="004D30AC" w:rsidRPr="00A81971" w:rsidRDefault="004D30AC" w:rsidP="00686363">
      <w:pPr>
        <w:spacing w:after="0"/>
        <w:rPr>
          <w:rFonts w:eastAsia="Times New Roman"/>
          <w:color w:val="000000" w:themeColor="text1"/>
          <w:sz w:val="24"/>
          <w:szCs w:val="24"/>
        </w:rPr>
      </w:pPr>
    </w:p>
    <w:p w14:paraId="25B8000A" w14:textId="77777777" w:rsidR="004D30AC" w:rsidRPr="00A81971" w:rsidRDefault="0032495C" w:rsidP="004D30AC">
      <w:pPr>
        <w:spacing w:after="240"/>
        <w:rPr>
          <w:rFonts w:eastAsia="Times New Roman"/>
          <w:b/>
          <w:bCs/>
          <w:i/>
          <w:iCs/>
          <w:color w:val="000000" w:themeColor="text1"/>
          <w:sz w:val="20"/>
          <w:szCs w:val="20"/>
        </w:rPr>
      </w:pPr>
      <w:r w:rsidRPr="00A81971">
        <w:rPr>
          <w:rFonts w:eastAsia="Times New Roman"/>
          <w:b/>
          <w:bCs/>
          <w:i/>
          <w:iCs/>
          <w:color w:val="000000" w:themeColor="text1"/>
        </w:rPr>
        <w:t>Decision 94/60</w:t>
      </w:r>
    </w:p>
    <w:p w14:paraId="1EE64565"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Decision 94/60</w:t>
      </w:r>
      <w:r w:rsidRPr="00A81971">
        <w:rPr>
          <w:rFonts w:eastAsia="Times New Roman"/>
          <w:color w:val="000000" w:themeColor="text1"/>
          <w:vertAlign w:val="superscript"/>
        </w:rPr>
        <w:t xml:space="preserve">4 </w:t>
      </w:r>
      <w:r w:rsidRPr="00A81971">
        <w:rPr>
          <w:rFonts w:eastAsia="Times New Roman"/>
          <w:color w:val="000000" w:themeColor="text1"/>
        </w:rPr>
        <w:t>has established a “a funding window of US $100 million for projects developed and implemented under the framework, subject to further augmentation by the Executive Committee”. These projects focus on enhancing energy efficiency when phasing down HFCs in the manufacturing of domestic refrigerators, commercial refrigeration display cabinets, commercial refrigeration chest freezers, residential air conditioners and commercial air conditioners. These activities were later extended to include compressors, heat exchangers, and heat pumps according to Decision 95/87</w:t>
      </w:r>
      <w:r w:rsidRPr="00A81971">
        <w:rPr>
          <w:rFonts w:eastAsia="Times New Roman"/>
          <w:color w:val="000000" w:themeColor="text1"/>
          <w:vertAlign w:val="superscript"/>
        </w:rPr>
        <w:t>5</w:t>
      </w:r>
      <w:r w:rsidRPr="00A81971">
        <w:rPr>
          <w:rFonts w:eastAsia="Times New Roman"/>
          <w:color w:val="000000" w:themeColor="text1"/>
        </w:rPr>
        <w:t xml:space="preserve"> paragraphs (b) and (c).</w:t>
      </w:r>
    </w:p>
    <w:p w14:paraId="0300EB4B" w14:textId="77777777" w:rsidR="004D30AC" w:rsidRPr="00A81971" w:rsidRDefault="004D30AC" w:rsidP="004D30AC">
      <w:pPr>
        <w:spacing w:after="0"/>
        <w:rPr>
          <w:rFonts w:eastAsia="Times New Roman"/>
          <w:color w:val="000000" w:themeColor="text1"/>
        </w:rPr>
      </w:pPr>
    </w:p>
    <w:p w14:paraId="554F472E"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The ExCom has approved 8 project preparation proposals and 7 investment projects for 11 parties with a total funding of US$ 30,946,243 including support costs. The RTF estimates, based on current approval rates, that ExCom-99 may approve up to US$ 10,320,000. A5 parties may wish to continue to submit proposals and request funding at the current rate which would result in fully utilizing the fund by 2029. Assuming such is the case, the estimated funding requirement for ExCom-100 in the next triennium is:</w:t>
      </w:r>
    </w:p>
    <w:p w14:paraId="5D6A8C9F" w14:textId="77777777" w:rsidR="004D30AC" w:rsidRPr="00A81971" w:rsidRDefault="0032495C" w:rsidP="007A20BD">
      <w:pPr>
        <w:pStyle w:val="ListParagraph"/>
        <w:numPr>
          <w:ilvl w:val="0"/>
          <w:numId w:val="33"/>
        </w:numPr>
        <w:spacing w:after="0"/>
        <w:rPr>
          <w:rFonts w:eastAsia="Times New Roman"/>
          <w:color w:val="000000" w:themeColor="text1"/>
        </w:rPr>
      </w:pPr>
      <w:r w:rsidRPr="00A81971">
        <w:rPr>
          <w:rFonts w:eastAsia="Times New Roman"/>
          <w:color w:val="000000" w:themeColor="text1"/>
        </w:rPr>
        <w:t>Low-end funding: US$ 58,733,757 including support costs.</w:t>
      </w:r>
    </w:p>
    <w:p w14:paraId="5BA1A998" w14:textId="77777777" w:rsidR="004D30AC" w:rsidRPr="00A81971" w:rsidRDefault="0032495C" w:rsidP="007A20BD">
      <w:pPr>
        <w:pStyle w:val="ListParagraph"/>
        <w:numPr>
          <w:ilvl w:val="0"/>
          <w:numId w:val="33"/>
        </w:numPr>
        <w:spacing w:after="0"/>
        <w:rPr>
          <w:rFonts w:eastAsia="Times New Roman"/>
          <w:color w:val="000000" w:themeColor="text1"/>
        </w:rPr>
      </w:pPr>
      <w:r w:rsidRPr="00A81971">
        <w:rPr>
          <w:rFonts w:eastAsia="Times New Roman"/>
          <w:color w:val="000000" w:themeColor="text1"/>
        </w:rPr>
        <w:t>High-end funding: US$ 69,053,757 including support costs.</w:t>
      </w:r>
    </w:p>
    <w:p w14:paraId="63F41365" w14:textId="77777777" w:rsidR="004D30AC" w:rsidRPr="00A81971" w:rsidRDefault="004D30AC" w:rsidP="00686363">
      <w:pPr>
        <w:spacing w:after="0"/>
        <w:rPr>
          <w:rFonts w:eastAsia="Times New Roman"/>
          <w:color w:val="000000" w:themeColor="text1"/>
          <w:sz w:val="24"/>
          <w:szCs w:val="24"/>
        </w:rPr>
      </w:pPr>
    </w:p>
    <w:p w14:paraId="2598E81A" w14:textId="77777777" w:rsidR="004D30AC" w:rsidRPr="00A81971" w:rsidRDefault="0032495C" w:rsidP="004D30AC">
      <w:pPr>
        <w:spacing w:after="240"/>
        <w:rPr>
          <w:rFonts w:eastAsia="Times New Roman"/>
          <w:b/>
          <w:bCs/>
          <w:i/>
          <w:iCs/>
          <w:color w:val="000000" w:themeColor="text1"/>
          <w:sz w:val="20"/>
          <w:szCs w:val="20"/>
        </w:rPr>
      </w:pPr>
      <w:r w:rsidRPr="00A81971">
        <w:rPr>
          <w:rFonts w:eastAsia="Times New Roman"/>
          <w:b/>
          <w:bCs/>
          <w:i/>
          <w:iCs/>
          <w:color w:val="000000" w:themeColor="text1"/>
        </w:rPr>
        <w:t>Decision 95/87</w:t>
      </w:r>
    </w:p>
    <w:p w14:paraId="760D0230" w14:textId="77777777" w:rsidR="004D30AC" w:rsidRPr="00A81971" w:rsidRDefault="0032495C" w:rsidP="004D30AC">
      <w:pPr>
        <w:spacing w:after="0" w:line="259" w:lineRule="auto"/>
      </w:pPr>
      <w:r w:rsidRPr="00A81971">
        <w:rPr>
          <w:rFonts w:eastAsia="Times New Roman"/>
          <w:color w:val="000000" w:themeColor="text1"/>
        </w:rPr>
        <w:t>Decision 95/87</w:t>
      </w:r>
      <w:r w:rsidRPr="00A81971">
        <w:rPr>
          <w:rFonts w:eastAsia="Times New Roman"/>
          <w:color w:val="000000" w:themeColor="text1"/>
          <w:vertAlign w:val="superscript"/>
        </w:rPr>
        <w:t xml:space="preserve">6 </w:t>
      </w:r>
      <w:r w:rsidRPr="00A81971">
        <w:rPr>
          <w:rFonts w:eastAsia="Times New Roman"/>
          <w:color w:val="000000" w:themeColor="text1"/>
        </w:rPr>
        <w:t xml:space="preserve">has established in paragraph f a “funding window of US$ 40 million for two EE end-user projects using a revolving fund mechanism developed and supported by implementing agencies, over a duration of eight years, after which funds would be returned to the [MLF], on the understanding </w:t>
      </w:r>
      <w:r w:rsidRPr="00A81971">
        <w:rPr>
          <w:rFonts w:eastAsia="Times New Roman"/>
          <w:color w:val="000000" w:themeColor="text1"/>
        </w:rPr>
        <w:lastRenderedPageBreak/>
        <w:t xml:space="preserve">that it would not be operationalized until the [ExCom] had agreed on the modalities for operationalizing the revolving fund;” and in paragraph g agreed to “provide funding, for the preparation of no more than five projects, of no more than US$ 100,000 per project, on the understanding that those proposals would be submitted to the 96th meeting and that only up to two projects would be selected for the funding window referred to in subparagraph (f) above;”. </w:t>
      </w:r>
      <w:r w:rsidR="46A3B0F3" w:rsidRPr="00A81971">
        <w:rPr>
          <w:rFonts w:eastAsia="Times New Roman"/>
          <w:color w:val="000000" w:themeColor="text1"/>
        </w:rPr>
        <w:t xml:space="preserve"> At </w:t>
      </w:r>
      <w:r w:rsidR="00C44A47">
        <w:rPr>
          <w:rFonts w:eastAsia="Times New Roman"/>
          <w:color w:val="000000" w:themeColor="text1"/>
        </w:rPr>
        <w:t>ExCom-98</w:t>
      </w:r>
      <w:r w:rsidR="00686363">
        <w:rPr>
          <w:rFonts w:eastAsia="Times New Roman"/>
          <w:color w:val="000000" w:themeColor="text1"/>
        </w:rPr>
        <w:t xml:space="preserve">, the ExCom </w:t>
      </w:r>
      <w:r w:rsidR="46A3B0F3" w:rsidRPr="00A81971">
        <w:rPr>
          <w:rFonts w:eastAsia="Times New Roman"/>
          <w:color w:val="000000" w:themeColor="text1"/>
        </w:rPr>
        <w:t xml:space="preserve">approved two revolving fund projects covering four countries, with a total funding allocation of US $42.8 million, and five technical assistance projects, </w:t>
      </w:r>
      <w:r w:rsidR="1E5287F2" w:rsidRPr="00A81971">
        <w:rPr>
          <w:rFonts w:eastAsia="Times New Roman"/>
          <w:color w:val="000000" w:themeColor="text1"/>
        </w:rPr>
        <w:t>totalling</w:t>
      </w:r>
      <w:r w:rsidR="46A3B0F3" w:rsidRPr="00A81971">
        <w:rPr>
          <w:rFonts w:eastAsia="Times New Roman"/>
          <w:color w:val="000000" w:themeColor="text1"/>
        </w:rPr>
        <w:t xml:space="preserve"> US $1,417,750.</w:t>
      </w:r>
      <w:r w:rsidRPr="00A81971">
        <w:rPr>
          <w:rFonts w:eastAsia="Times New Roman"/>
          <w:color w:val="000000" w:themeColor="text1"/>
        </w:rPr>
        <w:t xml:space="preserve"> Hence no additional funding is expected in the next triennium. </w:t>
      </w:r>
      <w:r w:rsidRPr="00A81971">
        <w:rPr>
          <w:rFonts w:eastAsia="Times New Roman"/>
          <w:sz w:val="24"/>
          <w:szCs w:val="24"/>
        </w:rPr>
        <w:t xml:space="preserve"> </w:t>
      </w:r>
    </w:p>
    <w:p w14:paraId="6C19D5FC" w14:textId="77777777" w:rsidR="004D30AC" w:rsidRPr="00A81971" w:rsidRDefault="004D30AC" w:rsidP="004D30AC">
      <w:pPr>
        <w:spacing w:after="0"/>
        <w:rPr>
          <w:rFonts w:eastAsia="Times New Roman"/>
          <w:color w:val="000000" w:themeColor="text1"/>
        </w:rPr>
      </w:pPr>
    </w:p>
    <w:p w14:paraId="363309C7"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 xml:space="preserve">Table </w:t>
      </w:r>
      <w:r w:rsidR="0029316A" w:rsidRPr="00A81971">
        <w:rPr>
          <w:rFonts w:eastAsia="Times New Roman"/>
          <w:color w:val="000000" w:themeColor="text1"/>
        </w:rPr>
        <w:t>A3.12</w:t>
      </w:r>
      <w:r w:rsidRPr="00A81971">
        <w:rPr>
          <w:rFonts w:eastAsia="Times New Roman"/>
          <w:color w:val="000000" w:themeColor="text1"/>
        </w:rPr>
        <w:t xml:space="preserve"> summari</w:t>
      </w:r>
      <w:r w:rsidR="0029316A" w:rsidRPr="00A81971">
        <w:rPr>
          <w:rFonts w:eastAsia="Times New Roman"/>
          <w:color w:val="000000" w:themeColor="text1"/>
        </w:rPr>
        <w:t>s</w:t>
      </w:r>
      <w:r w:rsidRPr="00A81971">
        <w:rPr>
          <w:rFonts w:eastAsia="Times New Roman"/>
          <w:color w:val="000000" w:themeColor="text1"/>
        </w:rPr>
        <w:t>es the updated estimated funding requirement, taking into consideration the approved funding window (dec 91/65), without considering the possibility of augmentation.</w:t>
      </w:r>
    </w:p>
    <w:p w14:paraId="5F0ADA0D" w14:textId="77777777" w:rsidR="004D30AC" w:rsidRPr="00A81971" w:rsidRDefault="004D30AC" w:rsidP="004D30AC">
      <w:pPr>
        <w:spacing w:after="0"/>
        <w:rPr>
          <w:rFonts w:eastAsia="Times New Roman"/>
          <w:color w:val="000000" w:themeColor="text1"/>
        </w:rPr>
      </w:pPr>
    </w:p>
    <w:p w14:paraId="3E5C1EDB" w14:textId="77777777" w:rsidR="004D30AC" w:rsidRPr="00A81971" w:rsidRDefault="0032495C" w:rsidP="00F725FD">
      <w:pPr>
        <w:tabs>
          <w:tab w:val="left" w:pos="0"/>
          <w:tab w:val="left" w:pos="1276"/>
        </w:tabs>
        <w:spacing w:after="120"/>
        <w:ind w:left="1282" w:hanging="1282"/>
        <w:rPr>
          <w:rFonts w:eastAsia="Times New Roman"/>
          <w:color w:val="000000" w:themeColor="text1"/>
        </w:rPr>
      </w:pPr>
      <w:r w:rsidRPr="0006445E">
        <w:rPr>
          <w:rFonts w:eastAsia="Yu Mincho"/>
          <w:b/>
          <w:bCs/>
          <w:color w:val="000000"/>
          <w:lang w:val="en-CA"/>
        </w:rPr>
        <w:t xml:space="preserve">Table </w:t>
      </w:r>
      <w:r>
        <w:rPr>
          <w:rFonts w:eastAsia="Yu Mincho"/>
          <w:b/>
          <w:bCs/>
          <w:color w:val="000000"/>
          <w:lang w:val="en-CA"/>
        </w:rPr>
        <w:t>A3.12:</w:t>
      </w:r>
      <w:r w:rsidRPr="0006445E">
        <w:rPr>
          <w:rFonts w:eastAsia="Times New Roman"/>
          <w:color w:val="000000"/>
          <w:lang w:val="en-CA"/>
        </w:rPr>
        <w:tab/>
      </w:r>
      <w:r>
        <w:rPr>
          <w:rFonts w:eastAsia="Times New Roman"/>
          <w:b/>
          <w:bCs/>
          <w:color w:val="000000"/>
          <w:lang w:val="en-CA"/>
        </w:rPr>
        <w:t>Updated Estimated Funding Requirement for EE activities during the HFC phasedown for 2027-2029</w:t>
      </w:r>
      <w:r w:rsidR="00F725FD">
        <w:rPr>
          <w:rFonts w:eastAsia="Times New Roman"/>
          <w:b/>
          <w:bCs/>
          <w:color w:val="000000"/>
          <w:lang w:val="en-CA"/>
        </w:rPr>
        <w:t xml:space="preserve"> (US$)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517"/>
        <w:gridCol w:w="1861"/>
        <w:gridCol w:w="1690"/>
      </w:tblGrid>
      <w:tr w:rsidR="00F90461" w14:paraId="4FA5AA4C" w14:textId="77777777" w:rsidTr="00F725FD">
        <w:trPr>
          <w:trHeight w:val="285"/>
        </w:trPr>
        <w:tc>
          <w:tcPr>
            <w:tcW w:w="5745" w:type="dxa"/>
            <w:shd w:val="clear" w:color="auto" w:fill="D9E2F3" w:themeFill="accent1" w:themeFillTint="33"/>
            <w:tcMar>
              <w:left w:w="105" w:type="dxa"/>
              <w:right w:w="105" w:type="dxa"/>
            </w:tcMar>
          </w:tcPr>
          <w:p w14:paraId="6F18943E" w14:textId="77777777" w:rsidR="004D30AC" w:rsidRPr="00A81971" w:rsidRDefault="0032495C" w:rsidP="00C80FFD">
            <w:pPr>
              <w:spacing w:before="40" w:after="40"/>
              <w:jc w:val="center"/>
              <w:rPr>
                <w:rFonts w:eastAsia="Times New Roman"/>
              </w:rPr>
            </w:pPr>
            <w:r w:rsidRPr="00A81971">
              <w:rPr>
                <w:rFonts w:eastAsia="Times New Roman"/>
                <w:b/>
                <w:bCs/>
              </w:rPr>
              <w:t>Funding Window for Energy Efficiency</w:t>
            </w:r>
          </w:p>
        </w:tc>
        <w:tc>
          <w:tcPr>
            <w:tcW w:w="1890" w:type="dxa"/>
            <w:shd w:val="clear" w:color="auto" w:fill="D9E2F3" w:themeFill="accent1" w:themeFillTint="33"/>
            <w:tcMar>
              <w:left w:w="105" w:type="dxa"/>
              <w:right w:w="105" w:type="dxa"/>
            </w:tcMar>
          </w:tcPr>
          <w:p w14:paraId="1CFC02D1" w14:textId="77777777" w:rsidR="004D30AC" w:rsidRPr="00A81971" w:rsidRDefault="0032495C" w:rsidP="00C80FFD">
            <w:pPr>
              <w:jc w:val="center"/>
              <w:rPr>
                <w:rFonts w:eastAsia="Times New Roman"/>
              </w:rPr>
            </w:pPr>
            <w:r w:rsidRPr="00A81971">
              <w:rPr>
                <w:rFonts w:eastAsia="Times New Roman"/>
                <w:b/>
                <w:bCs/>
              </w:rPr>
              <w:t>Low</w:t>
            </w:r>
          </w:p>
        </w:tc>
        <w:tc>
          <w:tcPr>
            <w:tcW w:w="1710" w:type="dxa"/>
            <w:shd w:val="clear" w:color="auto" w:fill="D9E2F3" w:themeFill="accent1" w:themeFillTint="33"/>
            <w:tcMar>
              <w:left w:w="105" w:type="dxa"/>
              <w:right w:w="105" w:type="dxa"/>
            </w:tcMar>
          </w:tcPr>
          <w:p w14:paraId="0B04BBCF" w14:textId="77777777" w:rsidR="004D30AC" w:rsidRPr="00A81971" w:rsidRDefault="0032495C" w:rsidP="00C80FFD">
            <w:pPr>
              <w:jc w:val="center"/>
              <w:rPr>
                <w:rFonts w:eastAsia="Times New Roman"/>
              </w:rPr>
            </w:pPr>
            <w:r w:rsidRPr="00A81971">
              <w:rPr>
                <w:rFonts w:eastAsia="Times New Roman"/>
                <w:b/>
                <w:bCs/>
              </w:rPr>
              <w:t>High</w:t>
            </w:r>
          </w:p>
        </w:tc>
      </w:tr>
      <w:tr w:rsidR="00F90461" w14:paraId="39263FDA" w14:textId="77777777" w:rsidTr="00FE5C31">
        <w:trPr>
          <w:trHeight w:val="285"/>
        </w:trPr>
        <w:tc>
          <w:tcPr>
            <w:tcW w:w="5745" w:type="dxa"/>
            <w:shd w:val="clear" w:color="auto" w:fill="E2EFD9" w:themeFill="accent6" w:themeFillTint="33"/>
            <w:tcMar>
              <w:left w:w="105" w:type="dxa"/>
              <w:right w:w="105" w:type="dxa"/>
            </w:tcMar>
          </w:tcPr>
          <w:p w14:paraId="218304FF" w14:textId="77777777" w:rsidR="004D30AC" w:rsidRPr="00A81971" w:rsidRDefault="0032495C" w:rsidP="00C80FFD">
            <w:pPr>
              <w:spacing w:before="40" w:after="40"/>
              <w:rPr>
                <w:rFonts w:eastAsia="Times New Roman"/>
              </w:rPr>
            </w:pPr>
            <w:r w:rsidRPr="00A81971">
              <w:rPr>
                <w:rFonts w:eastAsia="Times New Roman"/>
              </w:rPr>
              <w:t>Dec 91/65</w:t>
            </w:r>
          </w:p>
        </w:tc>
        <w:tc>
          <w:tcPr>
            <w:tcW w:w="1890" w:type="dxa"/>
            <w:tcMar>
              <w:left w:w="105" w:type="dxa"/>
              <w:right w:w="105" w:type="dxa"/>
            </w:tcMar>
            <w:vAlign w:val="center"/>
          </w:tcPr>
          <w:p w14:paraId="3A6366E1" w14:textId="77777777" w:rsidR="004D30AC" w:rsidRPr="00A81971" w:rsidRDefault="0032495C" w:rsidP="00FE5C31">
            <w:pPr>
              <w:spacing w:after="0"/>
              <w:jc w:val="right"/>
              <w:rPr>
                <w:rFonts w:eastAsia="Times New Roman"/>
              </w:rPr>
            </w:pPr>
            <w:r w:rsidRPr="00A81971">
              <w:rPr>
                <w:rFonts w:eastAsia="Times New Roman"/>
              </w:rPr>
              <w:t>$3,235,856</w:t>
            </w:r>
          </w:p>
        </w:tc>
        <w:tc>
          <w:tcPr>
            <w:tcW w:w="1710" w:type="dxa"/>
            <w:tcMar>
              <w:left w:w="105" w:type="dxa"/>
              <w:right w:w="105" w:type="dxa"/>
            </w:tcMar>
            <w:vAlign w:val="center"/>
          </w:tcPr>
          <w:p w14:paraId="126EA114" w14:textId="77777777" w:rsidR="004D30AC" w:rsidRPr="00A81971" w:rsidRDefault="0032495C" w:rsidP="00E65E35">
            <w:pPr>
              <w:spacing w:after="0"/>
              <w:jc w:val="right"/>
              <w:rPr>
                <w:rFonts w:eastAsia="Times New Roman"/>
              </w:rPr>
            </w:pPr>
            <w:r w:rsidRPr="00A81971">
              <w:rPr>
                <w:rFonts w:eastAsia="Times New Roman"/>
              </w:rPr>
              <w:t>$5,235,856</w:t>
            </w:r>
          </w:p>
        </w:tc>
      </w:tr>
      <w:tr w:rsidR="00F90461" w14:paraId="5D8B9B26" w14:textId="77777777" w:rsidTr="00FE5C31">
        <w:trPr>
          <w:trHeight w:val="285"/>
        </w:trPr>
        <w:tc>
          <w:tcPr>
            <w:tcW w:w="5745" w:type="dxa"/>
            <w:shd w:val="clear" w:color="auto" w:fill="E2EFD9" w:themeFill="accent6" w:themeFillTint="33"/>
            <w:tcMar>
              <w:left w:w="105" w:type="dxa"/>
              <w:right w:w="105" w:type="dxa"/>
            </w:tcMar>
          </w:tcPr>
          <w:p w14:paraId="0B6C61E5" w14:textId="77777777" w:rsidR="004D30AC" w:rsidRPr="00A81971" w:rsidRDefault="0032495C" w:rsidP="00C80FFD">
            <w:pPr>
              <w:spacing w:before="40" w:after="40"/>
              <w:rPr>
                <w:rFonts w:eastAsia="Times New Roman"/>
              </w:rPr>
            </w:pPr>
            <w:r w:rsidRPr="00A81971">
              <w:rPr>
                <w:rFonts w:eastAsia="Times New Roman"/>
              </w:rPr>
              <w:t>Dec 94/60</w:t>
            </w:r>
          </w:p>
        </w:tc>
        <w:tc>
          <w:tcPr>
            <w:tcW w:w="1890" w:type="dxa"/>
            <w:tcMar>
              <w:left w:w="105" w:type="dxa"/>
              <w:right w:w="105" w:type="dxa"/>
            </w:tcMar>
            <w:vAlign w:val="center"/>
          </w:tcPr>
          <w:p w14:paraId="57F43D8C" w14:textId="77777777" w:rsidR="004D30AC" w:rsidRPr="00A81971" w:rsidRDefault="0032495C" w:rsidP="00FE5C31">
            <w:pPr>
              <w:spacing w:after="0"/>
              <w:jc w:val="right"/>
              <w:rPr>
                <w:rFonts w:eastAsia="Times New Roman"/>
              </w:rPr>
            </w:pPr>
            <w:r w:rsidRPr="00A81971">
              <w:rPr>
                <w:rFonts w:eastAsia="Times New Roman"/>
              </w:rPr>
              <w:t>$58,733,757</w:t>
            </w:r>
          </w:p>
        </w:tc>
        <w:tc>
          <w:tcPr>
            <w:tcW w:w="1710" w:type="dxa"/>
            <w:tcMar>
              <w:left w:w="105" w:type="dxa"/>
              <w:right w:w="105" w:type="dxa"/>
            </w:tcMar>
            <w:vAlign w:val="center"/>
          </w:tcPr>
          <w:p w14:paraId="4FE9F5E8" w14:textId="77777777" w:rsidR="004D30AC" w:rsidRPr="00A81971" w:rsidRDefault="0032495C" w:rsidP="00FE5C31">
            <w:pPr>
              <w:spacing w:after="0"/>
              <w:jc w:val="right"/>
              <w:rPr>
                <w:rFonts w:eastAsia="Times New Roman"/>
              </w:rPr>
            </w:pPr>
            <w:r w:rsidRPr="00A81971">
              <w:rPr>
                <w:rFonts w:eastAsia="Times New Roman"/>
              </w:rPr>
              <w:t>$69,053,757</w:t>
            </w:r>
          </w:p>
        </w:tc>
      </w:tr>
      <w:tr w:rsidR="00F90461" w14:paraId="286A1974" w14:textId="77777777" w:rsidTr="00FE5C31">
        <w:trPr>
          <w:trHeight w:val="285"/>
        </w:trPr>
        <w:tc>
          <w:tcPr>
            <w:tcW w:w="5745" w:type="dxa"/>
            <w:shd w:val="clear" w:color="auto" w:fill="FFFF00"/>
            <w:tcMar>
              <w:left w:w="105" w:type="dxa"/>
              <w:right w:w="105" w:type="dxa"/>
            </w:tcMar>
          </w:tcPr>
          <w:p w14:paraId="4FCBE0CA" w14:textId="77777777" w:rsidR="004D30AC" w:rsidRPr="004C1AA5" w:rsidRDefault="0032495C" w:rsidP="00C80FFD">
            <w:pPr>
              <w:spacing w:before="40" w:after="40"/>
              <w:rPr>
                <w:rFonts w:eastAsia="Times New Roman"/>
                <w:b/>
                <w:bCs/>
              </w:rPr>
            </w:pPr>
            <w:r w:rsidRPr="004C1AA5">
              <w:rPr>
                <w:rFonts w:eastAsia="Times New Roman"/>
                <w:b/>
                <w:bCs/>
              </w:rPr>
              <w:t>Total US$ (with support costs)</w:t>
            </w:r>
          </w:p>
        </w:tc>
        <w:tc>
          <w:tcPr>
            <w:tcW w:w="1890" w:type="dxa"/>
            <w:shd w:val="clear" w:color="auto" w:fill="FFFF00"/>
            <w:tcMar>
              <w:left w:w="105" w:type="dxa"/>
              <w:right w:w="105" w:type="dxa"/>
            </w:tcMar>
            <w:vAlign w:val="center"/>
          </w:tcPr>
          <w:p w14:paraId="5B7B7302" w14:textId="77777777" w:rsidR="004D30AC" w:rsidRPr="004C1AA5" w:rsidRDefault="0032495C" w:rsidP="00E65E35">
            <w:pPr>
              <w:spacing w:after="0" w:line="259" w:lineRule="auto"/>
              <w:jc w:val="right"/>
              <w:rPr>
                <w:rFonts w:eastAsia="Times New Roman"/>
                <w:b/>
                <w:bCs/>
                <w:color w:val="000000" w:themeColor="text1"/>
              </w:rPr>
            </w:pPr>
            <w:r w:rsidRPr="004C1AA5">
              <w:rPr>
                <w:rFonts w:eastAsia="Times New Roman"/>
                <w:b/>
                <w:bCs/>
                <w:color w:val="000000" w:themeColor="text1"/>
              </w:rPr>
              <w:t xml:space="preserve">$61,696,613 </w:t>
            </w:r>
          </w:p>
        </w:tc>
        <w:tc>
          <w:tcPr>
            <w:tcW w:w="1710" w:type="dxa"/>
            <w:shd w:val="clear" w:color="auto" w:fill="FFFF00"/>
            <w:tcMar>
              <w:left w:w="105" w:type="dxa"/>
              <w:right w:w="105" w:type="dxa"/>
            </w:tcMar>
            <w:vAlign w:val="center"/>
          </w:tcPr>
          <w:p w14:paraId="29F7F476" w14:textId="77777777" w:rsidR="004D30AC" w:rsidRPr="004C1AA5" w:rsidRDefault="0032495C" w:rsidP="00E65E35">
            <w:pPr>
              <w:spacing w:after="0" w:line="259" w:lineRule="auto"/>
              <w:jc w:val="right"/>
              <w:rPr>
                <w:rFonts w:eastAsia="Times New Roman"/>
                <w:b/>
                <w:bCs/>
              </w:rPr>
            </w:pPr>
            <w:r w:rsidRPr="004C1AA5">
              <w:rPr>
                <w:rFonts w:eastAsia="Times New Roman"/>
                <w:b/>
                <w:bCs/>
                <w:color w:val="000000" w:themeColor="text1"/>
              </w:rPr>
              <w:t xml:space="preserve"> $74,289,613</w:t>
            </w:r>
          </w:p>
        </w:tc>
      </w:tr>
    </w:tbl>
    <w:p w14:paraId="095F2EAB" w14:textId="77777777" w:rsidR="004D30AC" w:rsidRPr="00A81971" w:rsidRDefault="004D30AC" w:rsidP="004D30AC">
      <w:pPr>
        <w:spacing w:after="240"/>
        <w:rPr>
          <w:rFonts w:eastAsia="Times New Roman"/>
          <w:b/>
          <w:bCs/>
          <w:i/>
          <w:iCs/>
          <w:color w:val="000000" w:themeColor="text1"/>
          <w:sz w:val="24"/>
          <w:szCs w:val="24"/>
        </w:rPr>
      </w:pPr>
    </w:p>
    <w:p w14:paraId="238DFA17" w14:textId="77777777" w:rsidR="002D49F7" w:rsidRPr="00A81971" w:rsidRDefault="0032495C" w:rsidP="00201CFA">
      <w:pPr>
        <w:pStyle w:val="Heading2"/>
      </w:pPr>
      <w:bookmarkStart w:id="251" w:name="_Toc240987356"/>
      <w:r w:rsidRPr="00A81971">
        <w:t>A3.8</w:t>
      </w:r>
      <w:r w:rsidRPr="00A81971">
        <w:tab/>
      </w:r>
      <w:r w:rsidR="00AC61B4" w:rsidRPr="00A81971">
        <w:t>pilot projects to enhance regional atmospheric monitoring</w:t>
      </w:r>
      <w:bookmarkEnd w:id="251"/>
    </w:p>
    <w:p w14:paraId="18BFFF07" w14:textId="77777777" w:rsidR="004D30AC" w:rsidRPr="00A81971" w:rsidRDefault="0032495C" w:rsidP="004D30AC">
      <w:pPr>
        <w:spacing w:after="240"/>
      </w:pPr>
      <w:r w:rsidRPr="00A81971">
        <w:rPr>
          <w:rFonts w:eastAsia="Times New Roman"/>
          <w:color w:val="000000" w:themeColor="text1"/>
        </w:rPr>
        <w:t>Decision XXXVII/6, providing the TOR for the current replenishment of the MLF, requested TEAP to provide “a scenario to allocate resources for a funding modality to support a limited number of pilot projects to enhance regional atmospheric monitoring of substances controlled by the Montreal Protocol.” The RTF considered the above, relevant decisions of the MOP and ExCom along with relevant documents and discussions related to support for enhancing regional atmospheric monitoring. The RTF considered a funding timeline based on the OS’s report on Decision XXXVI/1 to MOP-37 which outlined the potential timeline of supported activities, assuming the ExCom established a funding window at ExCom-98. Based on this assumption and relevant information, the RTF estimated the funding requirement to support three pilot projects over a five-year period to enhance regional atmospheric monitoring with the recognition that funding for the 2027-2029 triennium would focus primarily on project preparation activities, i.e., proposals for the three pilot stations.</w:t>
      </w:r>
    </w:p>
    <w:p w14:paraId="18A76BA3" w14:textId="77777777" w:rsidR="004D30AC" w:rsidRPr="00A81971" w:rsidRDefault="0032495C" w:rsidP="00FE5C31">
      <w:pPr>
        <w:spacing w:after="120"/>
        <w:rPr>
          <w:rFonts w:eastAsia="Times New Roman"/>
        </w:rPr>
      </w:pPr>
      <w:r w:rsidRPr="00A81971">
        <w:rPr>
          <w:rFonts w:eastAsia="Times New Roman"/>
          <w:color w:val="000000" w:themeColor="text1"/>
        </w:rPr>
        <w:t>At ExCom-98, parties reviewed a document prepared by the MLFS, “Matters relating to pilot projects to enhance regional atmospheric monitoring of substances controlled by the Montreal Protocol (Decision 96/56).”</w:t>
      </w:r>
      <w:r>
        <w:rPr>
          <w:rFonts w:eastAsia="Times New Roman"/>
          <w:color w:val="000000" w:themeColor="text1"/>
          <w:vertAlign w:val="superscript"/>
        </w:rPr>
        <w:footnoteReference w:id="32"/>
      </w:r>
      <w:r w:rsidRPr="00A81971">
        <w:rPr>
          <w:rFonts w:eastAsia="Times New Roman"/>
          <w:color w:val="000000" w:themeColor="text1"/>
          <w:vertAlign w:val="superscript"/>
        </w:rPr>
        <w:t xml:space="preserve"> </w:t>
      </w:r>
      <w:r w:rsidRPr="00A81971">
        <w:t xml:space="preserve">In Decision 98/62, ExCom decided to “establish a funding window of US$ 9,250,000 for three pilot projects to enhance regional atmospheric monitoring of substances controlled by the Montreal Protocol, including preparation, implementation and capacity-building activities as specified in table 1 of document UNEP/OzL.Pro/ExCom/98/61. Table </w:t>
      </w:r>
      <w:r w:rsidR="00250D8E">
        <w:t>A3.13</w:t>
      </w:r>
      <w:r w:rsidRPr="00A81971">
        <w:t xml:space="preserve"> below provides the summary of expected costs. </w:t>
      </w:r>
      <w:r w:rsidRPr="00A81971">
        <w:rPr>
          <w:rFonts w:eastAsia="Times New Roman"/>
          <w:color w:val="000000" w:themeColor="text1"/>
        </w:rPr>
        <w:t xml:space="preserve">In Decision 98/62, ExCom also decided to “add </w:t>
      </w:r>
      <w:r w:rsidRPr="00A81971">
        <w:rPr>
          <w:rFonts w:eastAsia="Times New Roman"/>
        </w:rPr>
        <w:t xml:space="preserve">to the funding window the amount of US$ 1,800,000 for the continuation of operation of three atmospheric monitoring stations to be established with the support of the General Trust Fund (GTF), on the understanding that project proposals to access the funding would be submitted to the ExCom.” The RTF assumes the timing for this addition to the funding window to be beyond the 2027-2029 triennium. </w:t>
      </w:r>
    </w:p>
    <w:p w14:paraId="69D9199D" w14:textId="77777777" w:rsidR="004D30AC" w:rsidRPr="00A81971" w:rsidRDefault="0032495C" w:rsidP="004D30AC">
      <w:pPr>
        <w:spacing w:after="0"/>
        <w:rPr>
          <w:rFonts w:eastAsia="Times New Roman"/>
          <w:color w:val="000000" w:themeColor="text1"/>
        </w:rPr>
      </w:pPr>
      <w:r w:rsidRPr="00A81971">
        <w:rPr>
          <w:rFonts w:eastAsia="Times New Roman"/>
          <w:color w:val="000000" w:themeColor="text1"/>
        </w:rPr>
        <w:t xml:space="preserve">A schematic of these activities and estimated timeline of the three funding streams is presented in Figure </w:t>
      </w:r>
      <w:r w:rsidR="00AC61B4" w:rsidRPr="00A81971">
        <w:rPr>
          <w:rFonts w:eastAsia="Times New Roman"/>
          <w:color w:val="000000" w:themeColor="text1"/>
        </w:rPr>
        <w:t>A</w:t>
      </w:r>
      <w:r w:rsidR="002749C3" w:rsidRPr="00A81971">
        <w:rPr>
          <w:rFonts w:eastAsia="Times New Roman"/>
          <w:color w:val="000000" w:themeColor="text1"/>
        </w:rPr>
        <w:t>3.7</w:t>
      </w:r>
      <w:r w:rsidRPr="00A81971">
        <w:rPr>
          <w:rFonts w:eastAsia="Times New Roman"/>
          <w:color w:val="000000" w:themeColor="text1"/>
        </w:rPr>
        <w:t>.</w:t>
      </w:r>
    </w:p>
    <w:p w14:paraId="48B88E3A" w14:textId="77777777" w:rsidR="004D30AC" w:rsidRPr="00A81971" w:rsidRDefault="004D30AC" w:rsidP="004D30AC">
      <w:pPr>
        <w:spacing w:after="240"/>
        <w:rPr>
          <w:rFonts w:eastAsia="Times New Roman"/>
          <w:b/>
          <w:bCs/>
          <w:color w:val="000000" w:themeColor="text1"/>
        </w:rPr>
      </w:pPr>
    </w:p>
    <w:p w14:paraId="6B351A03" w14:textId="77777777" w:rsidR="004D30AC" w:rsidRPr="00A81971" w:rsidRDefault="0032495C" w:rsidP="00FE5C31">
      <w:pPr>
        <w:tabs>
          <w:tab w:val="left" w:pos="0"/>
          <w:tab w:val="left" w:pos="1276"/>
        </w:tabs>
        <w:spacing w:after="60"/>
        <w:ind w:left="1281" w:hanging="1281"/>
      </w:pPr>
      <w:r>
        <w:rPr>
          <w:rFonts w:eastAsia="Yu Mincho"/>
          <w:b/>
          <w:bCs/>
          <w:color w:val="000000"/>
          <w:lang w:val="en-CA"/>
        </w:rPr>
        <w:t>Figure A3.7</w:t>
      </w:r>
      <w:r w:rsidRPr="0006445E">
        <w:rPr>
          <w:rFonts w:eastAsia="Times New Roman"/>
          <w:color w:val="000000"/>
          <w:lang w:val="en-CA"/>
        </w:rPr>
        <w:tab/>
      </w:r>
      <w:r w:rsidRPr="00A81971">
        <w:rPr>
          <w:rFonts w:eastAsia="Times New Roman"/>
          <w:b/>
          <w:bCs/>
          <w:color w:val="000000" w:themeColor="text1"/>
        </w:rPr>
        <w:t>Action areas and estimated timeline of the three existing and potential funding streams to support the establishment and operation of stations for the atmospheric monitoring of controlled substances</w:t>
      </w:r>
      <w:r w:rsidRPr="00A81971">
        <w:tab/>
      </w:r>
    </w:p>
    <w:p w14:paraId="6F33E836" w14:textId="77777777" w:rsidR="004D30AC" w:rsidRPr="00A81971" w:rsidRDefault="0032495C" w:rsidP="004D30AC">
      <w:pPr>
        <w:spacing w:after="240"/>
      </w:pPr>
      <w:r w:rsidRPr="00A81971">
        <w:rPr>
          <w:noProof/>
        </w:rPr>
        <w:drawing>
          <wp:inline distT="0" distB="0" distL="0" distR="0" wp14:anchorId="562DEE76" wp14:editId="589F9B5C">
            <wp:extent cx="5762625" cy="2800350"/>
            <wp:effectExtent l="0" t="0" r="9525" b="0"/>
            <wp:docPr id="12704113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11395" name="Picture 959430165"/>
                    <pic:cNvPicPr/>
                  </pic:nvPicPr>
                  <pic:blipFill>
                    <a:blip r:embed="rId60">
                      <a:extLst>
                        <a:ext uri="{28A0092B-C50C-407E-A947-70E740481C1C}">
                          <a14:useLocalDpi xmlns:a14="http://schemas.microsoft.com/office/drawing/2010/main" val="0"/>
                        </a:ext>
                      </a:extLst>
                    </a:blip>
                    <a:stretch>
                      <a:fillRect/>
                    </a:stretch>
                  </pic:blipFill>
                  <pic:spPr>
                    <a:xfrm>
                      <a:off x="0" y="0"/>
                      <a:ext cx="5762625" cy="2800350"/>
                    </a:xfrm>
                    <a:prstGeom prst="rect">
                      <a:avLst/>
                    </a:prstGeom>
                  </pic:spPr>
                </pic:pic>
              </a:graphicData>
            </a:graphic>
          </wp:inline>
        </w:drawing>
      </w:r>
    </w:p>
    <w:p w14:paraId="35605B06" w14:textId="77777777" w:rsidR="004D30AC" w:rsidRPr="00A81971" w:rsidRDefault="0032495C" w:rsidP="004D30AC">
      <w:pPr>
        <w:spacing w:after="0"/>
      </w:pPr>
      <w:r w:rsidRPr="00A81971">
        <w:rPr>
          <w:rFonts w:eastAsia="Times New Roman"/>
        </w:rPr>
        <w:t xml:space="preserve">Based on the estimated timeline of activities, the RTF updated allocation of the funding window for the 2027-2029 and 2030-2032 periods is show in Table </w:t>
      </w:r>
      <w:r w:rsidR="002749C3" w:rsidRPr="00A81971">
        <w:rPr>
          <w:rFonts w:eastAsia="Times New Roman"/>
        </w:rPr>
        <w:t>A3.13</w:t>
      </w:r>
      <w:r w:rsidRPr="00A81971">
        <w:rPr>
          <w:rFonts w:eastAsia="Times New Roman"/>
        </w:rPr>
        <w:t>.</w:t>
      </w:r>
    </w:p>
    <w:p w14:paraId="4C90D550" w14:textId="77777777" w:rsidR="004D30AC" w:rsidRPr="00A81971" w:rsidRDefault="004D30AC" w:rsidP="004D30AC">
      <w:pPr>
        <w:spacing w:after="0"/>
        <w:rPr>
          <w:rFonts w:eastAsia="Times New Roman"/>
        </w:rPr>
      </w:pPr>
    </w:p>
    <w:p w14:paraId="6B54399F" w14:textId="77777777" w:rsidR="004D30AC" w:rsidRPr="00A81971" w:rsidRDefault="0032495C" w:rsidP="00FE5C31">
      <w:pPr>
        <w:tabs>
          <w:tab w:val="left" w:pos="0"/>
          <w:tab w:val="left" w:pos="1276"/>
        </w:tabs>
        <w:spacing w:after="60"/>
        <w:ind w:left="1281" w:hanging="1281"/>
        <w:rPr>
          <w:rFonts w:eastAsia="Times New Roman"/>
          <w:b/>
          <w:bCs/>
        </w:rPr>
      </w:pPr>
      <w:r w:rsidRPr="0006445E">
        <w:rPr>
          <w:rFonts w:eastAsia="Yu Mincho"/>
          <w:b/>
          <w:bCs/>
          <w:color w:val="000000"/>
          <w:lang w:val="en-CA"/>
        </w:rPr>
        <w:t xml:space="preserve">Table </w:t>
      </w:r>
      <w:r>
        <w:rPr>
          <w:rFonts w:eastAsia="Yu Mincho"/>
          <w:b/>
          <w:bCs/>
          <w:color w:val="000000"/>
          <w:lang w:val="en-CA"/>
        </w:rPr>
        <w:t>A</w:t>
      </w:r>
      <w:r w:rsidR="00090977">
        <w:rPr>
          <w:rFonts w:eastAsia="Yu Mincho"/>
          <w:b/>
          <w:bCs/>
          <w:color w:val="000000"/>
          <w:lang w:val="en-CA"/>
        </w:rPr>
        <w:t>3</w:t>
      </w:r>
      <w:r>
        <w:rPr>
          <w:rFonts w:eastAsia="Yu Mincho"/>
          <w:b/>
          <w:bCs/>
          <w:color w:val="000000"/>
          <w:lang w:val="en-CA"/>
        </w:rPr>
        <w:t>.1</w:t>
      </w:r>
      <w:r w:rsidR="00090977">
        <w:rPr>
          <w:rFonts w:eastAsia="Yu Mincho"/>
          <w:b/>
          <w:bCs/>
          <w:color w:val="000000"/>
          <w:lang w:val="en-CA"/>
        </w:rPr>
        <w:t>3</w:t>
      </w:r>
      <w:r>
        <w:rPr>
          <w:rFonts w:eastAsia="Yu Mincho"/>
          <w:b/>
          <w:bCs/>
          <w:color w:val="000000"/>
          <w:lang w:val="en-CA"/>
        </w:rPr>
        <w:t>:</w:t>
      </w:r>
      <w:r w:rsidRPr="0006445E">
        <w:rPr>
          <w:rFonts w:eastAsia="Times New Roman"/>
          <w:color w:val="000000"/>
          <w:lang w:val="en-CA"/>
        </w:rPr>
        <w:tab/>
      </w:r>
      <w:r w:rsidR="00090977" w:rsidRPr="00A81971">
        <w:rPr>
          <w:rFonts w:eastAsia="Times New Roman"/>
          <w:b/>
          <w:bCs/>
        </w:rPr>
        <w:t>Updated indicative costs for 2027-2029 and future triennia for a funding window for three pilot projects over five years (based on Table 1 of UNEP/OzL.Pro/ExCom/98/61)</w:t>
      </w:r>
    </w:p>
    <w:tbl>
      <w:tblPr>
        <w:tblW w:w="0" w:type="auto"/>
        <w:tblLook w:val="04A0" w:firstRow="1" w:lastRow="0" w:firstColumn="1" w:lastColumn="0" w:noHBand="0" w:noVBand="1"/>
      </w:tblPr>
      <w:tblGrid>
        <w:gridCol w:w="4369"/>
        <w:gridCol w:w="1174"/>
        <w:gridCol w:w="1174"/>
        <w:gridCol w:w="1173"/>
        <w:gridCol w:w="1174"/>
      </w:tblGrid>
      <w:tr w:rsidR="00F90461" w14:paraId="14358A69" w14:textId="77777777" w:rsidTr="00090977">
        <w:trPr>
          <w:trHeight w:val="540"/>
        </w:trPr>
        <w:tc>
          <w:tcPr>
            <w:tcW w:w="438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68E67FCE" w14:textId="77777777" w:rsidR="004D30AC"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Activity</w:t>
            </w:r>
          </w:p>
        </w:tc>
        <w:tc>
          <w:tcPr>
            <w:tcW w:w="117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6DC1DFA5" w14:textId="77777777" w:rsidR="004D30AC"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Unit cost</w:t>
            </w:r>
            <w:r w:rsidRPr="00A81971">
              <w:br/>
            </w:r>
            <w:r w:rsidRPr="00A81971">
              <w:rPr>
                <w:rFonts w:eastAsia="Times New Roman"/>
                <w:b/>
                <w:bCs/>
                <w:color w:val="000000" w:themeColor="text1"/>
                <w:sz w:val="20"/>
                <w:szCs w:val="20"/>
              </w:rPr>
              <w:t xml:space="preserve"> (US $)</w:t>
            </w:r>
          </w:p>
        </w:tc>
        <w:tc>
          <w:tcPr>
            <w:tcW w:w="1175"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41ADA6AA" w14:textId="77777777" w:rsidR="004D30AC"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Quantity</w:t>
            </w:r>
          </w:p>
        </w:tc>
        <w:tc>
          <w:tcPr>
            <w:tcW w:w="117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3DDFACFD" w14:textId="77777777" w:rsidR="004D30AC" w:rsidRPr="00A81971" w:rsidRDefault="0032495C" w:rsidP="00FE5C31">
            <w:pPr>
              <w:spacing w:before="40" w:after="40"/>
              <w:jc w:val="center"/>
              <w:rPr>
                <w:rFonts w:eastAsia="Times New Roman"/>
                <w:b/>
                <w:bCs/>
                <w:color w:val="000000" w:themeColor="text1"/>
                <w:sz w:val="20"/>
                <w:szCs w:val="20"/>
              </w:rPr>
            </w:pPr>
            <w:r w:rsidRPr="00A81971">
              <w:rPr>
                <w:rFonts w:eastAsia="Times New Roman"/>
                <w:b/>
                <w:bCs/>
                <w:color w:val="000000" w:themeColor="text1"/>
                <w:sz w:val="20"/>
                <w:szCs w:val="20"/>
              </w:rPr>
              <w:t>Cost</w:t>
            </w:r>
            <w:r w:rsidRPr="00A81971">
              <w:br/>
            </w:r>
            <w:r w:rsidRPr="00A81971">
              <w:rPr>
                <w:rFonts w:eastAsia="Times New Roman"/>
                <w:b/>
                <w:bCs/>
                <w:color w:val="000000" w:themeColor="text1"/>
                <w:sz w:val="20"/>
                <w:szCs w:val="20"/>
              </w:rPr>
              <w:t xml:space="preserve"> (US $)</w:t>
            </w:r>
          </w:p>
        </w:tc>
        <w:tc>
          <w:tcPr>
            <w:tcW w:w="117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48FC2899" w14:textId="77777777" w:rsidR="004D30AC" w:rsidRPr="00A81971" w:rsidRDefault="004D30AC" w:rsidP="00FE5C31">
            <w:pPr>
              <w:spacing w:before="40" w:after="40"/>
              <w:jc w:val="center"/>
              <w:rPr>
                <w:rFonts w:eastAsia="Times New Roman"/>
                <w:b/>
                <w:bCs/>
                <w:color w:val="000000" w:themeColor="text1"/>
                <w:sz w:val="20"/>
                <w:szCs w:val="20"/>
              </w:rPr>
            </w:pPr>
          </w:p>
          <w:p w14:paraId="0CAE4263" w14:textId="77777777" w:rsidR="004D30AC" w:rsidRPr="00A81971" w:rsidRDefault="0032495C" w:rsidP="00FE5C31">
            <w:pPr>
              <w:spacing w:before="40" w:after="40"/>
              <w:jc w:val="center"/>
            </w:pPr>
            <w:r w:rsidRPr="00A81971">
              <w:rPr>
                <w:rFonts w:eastAsia="Times New Roman"/>
                <w:b/>
                <w:bCs/>
                <w:color w:val="000000" w:themeColor="text1"/>
                <w:sz w:val="20"/>
                <w:szCs w:val="20"/>
              </w:rPr>
              <w:t>Triennium</w:t>
            </w:r>
          </w:p>
        </w:tc>
      </w:tr>
      <w:tr w:rsidR="00F90461" w14:paraId="5EC537AA" w14:textId="77777777" w:rsidTr="00090977">
        <w:trPr>
          <w:trHeight w:val="285"/>
        </w:trPr>
        <w:tc>
          <w:tcPr>
            <w:tcW w:w="7909" w:type="dxa"/>
            <w:gridSpan w:val="4"/>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50BABB2" w14:textId="77777777" w:rsidR="004D30AC" w:rsidRPr="00A81971" w:rsidRDefault="0032495C" w:rsidP="00FE5C31">
            <w:pPr>
              <w:spacing w:before="40" w:after="40"/>
              <w:jc w:val="center"/>
              <w:rPr>
                <w:rFonts w:eastAsia="Times New Roman"/>
                <w:i/>
                <w:iCs/>
                <w:color w:val="000000" w:themeColor="text1"/>
                <w:sz w:val="20"/>
                <w:szCs w:val="20"/>
              </w:rPr>
            </w:pPr>
            <w:r w:rsidRPr="00A81971">
              <w:rPr>
                <w:rFonts w:eastAsia="Times New Roman"/>
                <w:i/>
                <w:iCs/>
                <w:color w:val="000000" w:themeColor="text1"/>
                <w:sz w:val="20"/>
                <w:szCs w:val="20"/>
              </w:rPr>
              <w:t>Preparation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6A56F" w14:textId="77777777" w:rsidR="004D30AC" w:rsidRPr="00A81971" w:rsidRDefault="004D30AC" w:rsidP="00FE5C31">
            <w:pPr>
              <w:spacing w:before="40" w:after="40"/>
              <w:jc w:val="center"/>
              <w:rPr>
                <w:rFonts w:eastAsia="Times New Roman"/>
                <w:i/>
                <w:iCs/>
                <w:color w:val="000000" w:themeColor="text1"/>
                <w:sz w:val="20"/>
                <w:szCs w:val="20"/>
              </w:rPr>
            </w:pPr>
          </w:p>
        </w:tc>
      </w:tr>
      <w:tr w:rsidR="00F90461" w14:paraId="3CBEE311" w14:textId="77777777" w:rsidTr="00FE5C31">
        <w:trPr>
          <w:trHeight w:val="330"/>
        </w:trPr>
        <w:tc>
          <w:tcPr>
            <w:tcW w:w="438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EF55245"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Preparation of a pilot project to establish an atmospheric monitoring station</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3461EEEB"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576,813</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2C177CA6"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3</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1C15A687"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1,730,440</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05A241B1" w14:textId="77777777" w:rsidR="004D30AC" w:rsidRPr="00A81971" w:rsidRDefault="0032495C" w:rsidP="00FE5C31">
            <w:pPr>
              <w:spacing w:before="40" w:after="40"/>
              <w:jc w:val="right"/>
            </w:pPr>
            <w:r w:rsidRPr="00A81971">
              <w:rPr>
                <w:rFonts w:eastAsia="Times New Roman"/>
                <w:color w:val="000000" w:themeColor="text1"/>
                <w:sz w:val="20"/>
                <w:szCs w:val="20"/>
              </w:rPr>
              <w:t>2027-2029</w:t>
            </w:r>
          </w:p>
        </w:tc>
      </w:tr>
      <w:tr w:rsidR="00F90461" w14:paraId="149B46BF" w14:textId="77777777" w:rsidTr="00090977">
        <w:trPr>
          <w:trHeight w:val="285"/>
        </w:trPr>
        <w:tc>
          <w:tcPr>
            <w:tcW w:w="7909" w:type="dxa"/>
            <w:gridSpan w:val="4"/>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0219CCC2" w14:textId="77777777" w:rsidR="004D30AC" w:rsidRPr="00A81971" w:rsidRDefault="0032495C" w:rsidP="00FE5C31">
            <w:pPr>
              <w:spacing w:before="40" w:after="40"/>
              <w:jc w:val="center"/>
              <w:rPr>
                <w:rFonts w:eastAsia="Times New Roman"/>
                <w:i/>
                <w:iCs/>
                <w:color w:val="000000" w:themeColor="text1"/>
                <w:sz w:val="20"/>
                <w:szCs w:val="20"/>
              </w:rPr>
            </w:pPr>
            <w:r w:rsidRPr="00A81971">
              <w:rPr>
                <w:rFonts w:eastAsia="Times New Roman"/>
                <w:i/>
                <w:iCs/>
                <w:color w:val="000000" w:themeColor="text1"/>
                <w:sz w:val="20"/>
                <w:szCs w:val="20"/>
              </w:rPr>
              <w:t>Implementation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0F031" w14:textId="77777777" w:rsidR="004D30AC" w:rsidRPr="00A81971" w:rsidRDefault="004D30AC" w:rsidP="00FE5C31">
            <w:pPr>
              <w:spacing w:before="40" w:after="40"/>
              <w:jc w:val="center"/>
              <w:rPr>
                <w:rFonts w:eastAsia="Times New Roman"/>
                <w:i/>
                <w:iCs/>
                <w:color w:val="000000" w:themeColor="text1"/>
                <w:sz w:val="20"/>
                <w:szCs w:val="20"/>
              </w:rPr>
            </w:pPr>
          </w:p>
        </w:tc>
      </w:tr>
      <w:tr w:rsidR="00F90461" w14:paraId="11119617" w14:textId="77777777" w:rsidTr="00FE5C31">
        <w:trPr>
          <w:trHeight w:val="300"/>
        </w:trPr>
        <w:tc>
          <w:tcPr>
            <w:tcW w:w="438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3F5C7AF"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Establish and operate an atmospheric monitoring station</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26FA4431"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1,546,967</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6A16C771"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3</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06EE2A5F"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4,640,900</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79DC3CB3" w14:textId="77777777" w:rsidR="004D30AC" w:rsidRPr="00A81971" w:rsidRDefault="0032495C" w:rsidP="00FE5C31">
            <w:pPr>
              <w:spacing w:before="40" w:after="40"/>
              <w:jc w:val="right"/>
            </w:pPr>
            <w:r w:rsidRPr="00A81971">
              <w:rPr>
                <w:rFonts w:eastAsia="Times New Roman"/>
                <w:color w:val="000000" w:themeColor="text1"/>
                <w:sz w:val="20"/>
                <w:szCs w:val="20"/>
              </w:rPr>
              <w:t>2030-2032</w:t>
            </w:r>
          </w:p>
        </w:tc>
      </w:tr>
      <w:tr w:rsidR="00F90461" w14:paraId="4D74A0E8" w14:textId="77777777" w:rsidTr="00090977">
        <w:trPr>
          <w:trHeight w:val="285"/>
        </w:trPr>
        <w:tc>
          <w:tcPr>
            <w:tcW w:w="7909" w:type="dxa"/>
            <w:gridSpan w:val="4"/>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AB7BBF5" w14:textId="77777777" w:rsidR="004D30AC" w:rsidRPr="00A81971" w:rsidRDefault="0032495C" w:rsidP="00FE5C31">
            <w:pPr>
              <w:spacing w:before="40" w:after="40"/>
              <w:jc w:val="center"/>
              <w:rPr>
                <w:rFonts w:eastAsia="Times New Roman"/>
                <w:i/>
                <w:iCs/>
                <w:color w:val="000000" w:themeColor="text1"/>
                <w:sz w:val="20"/>
                <w:szCs w:val="20"/>
              </w:rPr>
            </w:pPr>
            <w:r w:rsidRPr="00A81971">
              <w:rPr>
                <w:rFonts w:eastAsia="Times New Roman"/>
                <w:i/>
                <w:iCs/>
                <w:color w:val="000000" w:themeColor="text1"/>
                <w:sz w:val="20"/>
                <w:szCs w:val="20"/>
              </w:rPr>
              <w:t>Capacity</w:t>
            </w:r>
            <w:r w:rsidRPr="00A81971">
              <w:noBreakHyphen/>
            </w:r>
            <w:r w:rsidRPr="00A81971">
              <w:rPr>
                <w:rFonts w:eastAsia="Times New Roman"/>
                <w:i/>
                <w:iCs/>
                <w:color w:val="000000" w:themeColor="text1"/>
                <w:sz w:val="20"/>
                <w:szCs w:val="20"/>
              </w:rPr>
              <w:t>building</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B28A69" w14:textId="77777777" w:rsidR="004D30AC" w:rsidRPr="00A81971" w:rsidRDefault="004D30AC" w:rsidP="00FE5C31">
            <w:pPr>
              <w:spacing w:before="40" w:after="40"/>
              <w:jc w:val="center"/>
              <w:rPr>
                <w:rFonts w:eastAsia="Times New Roman"/>
                <w:i/>
                <w:iCs/>
                <w:color w:val="000000" w:themeColor="text1"/>
                <w:sz w:val="20"/>
                <w:szCs w:val="20"/>
              </w:rPr>
            </w:pPr>
          </w:p>
        </w:tc>
      </w:tr>
      <w:tr w:rsidR="00F90461" w14:paraId="62AA906E" w14:textId="77777777" w:rsidTr="00FE5C31">
        <w:trPr>
          <w:trHeight w:val="195"/>
        </w:trPr>
        <w:tc>
          <w:tcPr>
            <w:tcW w:w="438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E4DB80E"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Training and technical assistance for five years per station established under the Multilateral Fund</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569AA768"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150,000</w:t>
            </w:r>
          </w:p>
        </w:tc>
        <w:tc>
          <w:tcPr>
            <w:tcW w:w="1175" w:type="dxa"/>
            <w:tcBorders>
              <w:top w:val="nil"/>
              <w:left w:val="single" w:sz="8" w:space="0" w:color="auto"/>
              <w:bottom w:val="single" w:sz="8" w:space="0" w:color="auto"/>
              <w:right w:val="single" w:sz="8" w:space="0" w:color="auto"/>
            </w:tcBorders>
            <w:tcMar>
              <w:left w:w="108" w:type="dxa"/>
              <w:right w:w="108" w:type="dxa"/>
            </w:tcMar>
            <w:vAlign w:val="center"/>
          </w:tcPr>
          <w:p w14:paraId="06153513"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3</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76A1C9C7"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450,000</w:t>
            </w:r>
          </w:p>
        </w:tc>
        <w:tc>
          <w:tcPr>
            <w:tcW w:w="1174" w:type="dxa"/>
            <w:tcBorders>
              <w:top w:val="nil"/>
              <w:left w:val="single" w:sz="8" w:space="0" w:color="auto"/>
              <w:bottom w:val="single" w:sz="8" w:space="0" w:color="auto"/>
              <w:right w:val="single" w:sz="8" w:space="0" w:color="auto"/>
            </w:tcBorders>
            <w:tcMar>
              <w:left w:w="108" w:type="dxa"/>
              <w:right w:w="108" w:type="dxa"/>
            </w:tcMar>
            <w:vAlign w:val="center"/>
          </w:tcPr>
          <w:p w14:paraId="37C6DA1E" w14:textId="77777777" w:rsidR="004D30AC" w:rsidRPr="00A81971" w:rsidRDefault="0032495C" w:rsidP="00FE5C31">
            <w:pPr>
              <w:spacing w:before="40" w:after="40"/>
              <w:jc w:val="right"/>
            </w:pPr>
            <w:r w:rsidRPr="00A81971">
              <w:rPr>
                <w:rFonts w:eastAsia="Times New Roman"/>
                <w:color w:val="000000" w:themeColor="text1"/>
                <w:sz w:val="20"/>
                <w:szCs w:val="20"/>
              </w:rPr>
              <w:t>2030-2032</w:t>
            </w:r>
          </w:p>
        </w:tc>
      </w:tr>
      <w:tr w:rsidR="00F90461" w14:paraId="198E3072" w14:textId="77777777" w:rsidTr="00FE5C31">
        <w:trPr>
          <w:trHeight w:val="255"/>
        </w:trPr>
        <w:tc>
          <w:tcPr>
            <w:tcW w:w="438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473BC81"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Technical assistance for data storage and management per station established under the Multilateral Fund</w:t>
            </w:r>
          </w:p>
        </w:tc>
        <w:tc>
          <w:tcPr>
            <w:tcW w:w="11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373F6"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150,000</w:t>
            </w:r>
          </w:p>
        </w:tc>
        <w:tc>
          <w:tcPr>
            <w:tcW w:w="11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468B4"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3</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18E0B"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450,000</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30EDE" w14:textId="77777777" w:rsidR="004D30AC" w:rsidRPr="00A81971" w:rsidRDefault="0032495C" w:rsidP="00FE5C31">
            <w:pPr>
              <w:spacing w:before="40" w:after="40"/>
              <w:jc w:val="right"/>
            </w:pPr>
            <w:r w:rsidRPr="00A81971">
              <w:rPr>
                <w:rFonts w:eastAsia="Times New Roman"/>
                <w:color w:val="000000" w:themeColor="text1"/>
                <w:sz w:val="20"/>
                <w:szCs w:val="20"/>
              </w:rPr>
              <w:t>2030-2032</w:t>
            </w:r>
          </w:p>
        </w:tc>
      </w:tr>
      <w:tr w:rsidR="00F90461" w14:paraId="23388051" w14:textId="77777777" w:rsidTr="00FE5C31">
        <w:trPr>
          <w:trHeight w:val="315"/>
        </w:trPr>
        <w:tc>
          <w:tcPr>
            <w:tcW w:w="438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EE53810"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Support for calibration standards and an international conference in the fourth year to share results and lessons learned</w:t>
            </w:r>
          </w:p>
        </w:tc>
        <w:tc>
          <w:tcPr>
            <w:tcW w:w="11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4B5EC"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1,000,000</w:t>
            </w:r>
          </w:p>
        </w:tc>
        <w:tc>
          <w:tcPr>
            <w:tcW w:w="11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3FF2A"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0E5B1"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1,000,000</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8A5AD" w14:textId="77777777" w:rsidR="004D30AC" w:rsidRPr="00A81971" w:rsidRDefault="0032495C" w:rsidP="00FE5C31">
            <w:pPr>
              <w:spacing w:before="40" w:after="40"/>
              <w:jc w:val="right"/>
            </w:pPr>
            <w:r w:rsidRPr="00A81971">
              <w:rPr>
                <w:rFonts w:eastAsia="Times New Roman"/>
                <w:color w:val="000000" w:themeColor="text1"/>
                <w:sz w:val="20"/>
                <w:szCs w:val="20"/>
              </w:rPr>
              <w:t>2030-2032</w:t>
            </w:r>
          </w:p>
        </w:tc>
      </w:tr>
      <w:tr w:rsidR="00F90461" w14:paraId="5F3C5FB2" w14:textId="77777777" w:rsidTr="00FE5C31">
        <w:trPr>
          <w:trHeight w:val="285"/>
        </w:trPr>
        <w:tc>
          <w:tcPr>
            <w:tcW w:w="6735"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F6C2E" w14:textId="77777777" w:rsidR="004D30AC" w:rsidRPr="00A81971" w:rsidRDefault="0032495C" w:rsidP="00FE5C31">
            <w:pPr>
              <w:spacing w:before="40" w:after="40"/>
              <w:rPr>
                <w:rFonts w:eastAsia="Times New Roman"/>
                <w:b/>
                <w:bCs/>
                <w:color w:val="000000" w:themeColor="text1"/>
                <w:sz w:val="20"/>
                <w:szCs w:val="20"/>
              </w:rPr>
            </w:pPr>
            <w:r w:rsidRPr="00A81971">
              <w:rPr>
                <w:rFonts w:eastAsia="Times New Roman"/>
                <w:b/>
                <w:bCs/>
                <w:color w:val="000000" w:themeColor="text1"/>
                <w:sz w:val="20"/>
                <w:szCs w:val="20"/>
              </w:rPr>
              <w:t>Subtotal</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040608DE" w14:textId="77777777" w:rsidR="004D30AC"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8,271,340</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768ECC31" w14:textId="77777777" w:rsidR="004D30AC" w:rsidRPr="00A81971" w:rsidRDefault="004D30AC" w:rsidP="00FE5C31">
            <w:pPr>
              <w:spacing w:before="40" w:after="40"/>
              <w:jc w:val="right"/>
              <w:rPr>
                <w:rFonts w:eastAsia="Times New Roman"/>
                <w:b/>
                <w:bCs/>
                <w:color w:val="000000" w:themeColor="text1"/>
                <w:sz w:val="20"/>
                <w:szCs w:val="20"/>
              </w:rPr>
            </w:pPr>
          </w:p>
        </w:tc>
      </w:tr>
      <w:tr w:rsidR="00F90461" w14:paraId="47B76D84" w14:textId="77777777" w:rsidTr="00FE5C31">
        <w:trPr>
          <w:trHeight w:val="285"/>
        </w:trPr>
        <w:tc>
          <w:tcPr>
            <w:tcW w:w="6735"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01F16" w14:textId="77777777" w:rsidR="004D30AC" w:rsidRPr="00A81971" w:rsidRDefault="0032495C" w:rsidP="00FE5C31">
            <w:pPr>
              <w:spacing w:before="40" w:after="40"/>
              <w:rPr>
                <w:rFonts w:eastAsia="Times New Roman"/>
                <w:color w:val="000000" w:themeColor="text1"/>
                <w:sz w:val="20"/>
                <w:szCs w:val="20"/>
              </w:rPr>
            </w:pPr>
            <w:r w:rsidRPr="00A81971">
              <w:rPr>
                <w:rFonts w:eastAsia="Times New Roman"/>
                <w:color w:val="000000" w:themeColor="text1"/>
                <w:sz w:val="20"/>
                <w:szCs w:val="20"/>
              </w:rPr>
              <w:t>Agency support costs (11.8%*)</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1325464B" w14:textId="77777777" w:rsidR="004D30AC" w:rsidRPr="00A81971" w:rsidRDefault="0032495C" w:rsidP="00FE5C31">
            <w:pPr>
              <w:spacing w:before="40" w:after="40"/>
              <w:jc w:val="right"/>
              <w:rPr>
                <w:rFonts w:eastAsia="Times New Roman"/>
                <w:color w:val="000000" w:themeColor="text1"/>
                <w:sz w:val="20"/>
                <w:szCs w:val="20"/>
              </w:rPr>
            </w:pPr>
            <w:r w:rsidRPr="00A81971">
              <w:rPr>
                <w:rFonts w:eastAsia="Times New Roman"/>
                <w:color w:val="000000" w:themeColor="text1"/>
                <w:sz w:val="20"/>
                <w:szCs w:val="20"/>
              </w:rPr>
              <w:t>976,018</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180660AC" w14:textId="77777777" w:rsidR="004D30AC" w:rsidRPr="00A81971" w:rsidRDefault="004D30AC" w:rsidP="00FE5C31">
            <w:pPr>
              <w:spacing w:before="40" w:after="40"/>
              <w:jc w:val="right"/>
              <w:rPr>
                <w:rFonts w:eastAsia="Times New Roman"/>
                <w:color w:val="000000" w:themeColor="text1"/>
                <w:sz w:val="20"/>
                <w:szCs w:val="20"/>
              </w:rPr>
            </w:pPr>
          </w:p>
        </w:tc>
      </w:tr>
      <w:tr w:rsidR="00F90461" w14:paraId="7DF24DD7" w14:textId="77777777" w:rsidTr="00C80FFD">
        <w:trPr>
          <w:trHeight w:val="285"/>
        </w:trPr>
        <w:tc>
          <w:tcPr>
            <w:tcW w:w="6735"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14248" w14:textId="77777777" w:rsidR="004D30AC" w:rsidRPr="00A81971" w:rsidRDefault="0032495C" w:rsidP="00FE5C31">
            <w:pPr>
              <w:spacing w:before="40" w:after="40"/>
              <w:rPr>
                <w:rFonts w:eastAsia="Times New Roman"/>
                <w:b/>
                <w:bCs/>
                <w:color w:val="000000" w:themeColor="text1"/>
                <w:sz w:val="20"/>
                <w:szCs w:val="20"/>
              </w:rPr>
            </w:pPr>
            <w:r w:rsidRPr="00A81971">
              <w:rPr>
                <w:rFonts w:eastAsia="Times New Roman"/>
                <w:b/>
                <w:bCs/>
                <w:color w:val="000000" w:themeColor="text1"/>
                <w:sz w:val="20"/>
                <w:szCs w:val="20"/>
              </w:rPr>
              <w:t>Total</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5C88C27C" w14:textId="77777777" w:rsidR="004D30AC" w:rsidRPr="00A81971" w:rsidRDefault="0032495C" w:rsidP="00FE5C31">
            <w:pPr>
              <w:spacing w:before="40" w:after="40"/>
              <w:jc w:val="right"/>
              <w:rPr>
                <w:rFonts w:eastAsia="Times New Roman"/>
                <w:b/>
                <w:bCs/>
                <w:color w:val="000000" w:themeColor="text1"/>
                <w:sz w:val="20"/>
                <w:szCs w:val="20"/>
              </w:rPr>
            </w:pPr>
            <w:r w:rsidRPr="00A81971">
              <w:rPr>
                <w:rFonts w:eastAsia="Times New Roman"/>
                <w:b/>
                <w:bCs/>
                <w:color w:val="000000" w:themeColor="text1"/>
                <w:sz w:val="20"/>
                <w:szCs w:val="20"/>
              </w:rPr>
              <w:t>9,247,358</w:t>
            </w:r>
          </w:p>
        </w:tc>
        <w:tc>
          <w:tcPr>
            <w:tcW w:w="1174" w:type="dxa"/>
            <w:tcBorders>
              <w:top w:val="single" w:sz="8" w:space="0" w:color="auto"/>
              <w:left w:val="nil"/>
              <w:bottom w:val="single" w:sz="8" w:space="0" w:color="auto"/>
              <w:right w:val="single" w:sz="8" w:space="0" w:color="auto"/>
            </w:tcBorders>
            <w:tcMar>
              <w:left w:w="108" w:type="dxa"/>
              <w:right w:w="108" w:type="dxa"/>
            </w:tcMar>
            <w:vAlign w:val="center"/>
          </w:tcPr>
          <w:p w14:paraId="0599F255" w14:textId="77777777" w:rsidR="004D30AC" w:rsidRPr="00A81971" w:rsidRDefault="004D30AC" w:rsidP="00FE5C31">
            <w:pPr>
              <w:spacing w:before="40" w:after="40"/>
              <w:jc w:val="right"/>
              <w:rPr>
                <w:rFonts w:eastAsia="Times New Roman"/>
                <w:b/>
                <w:bCs/>
                <w:color w:val="000000" w:themeColor="text1"/>
                <w:sz w:val="20"/>
                <w:szCs w:val="20"/>
              </w:rPr>
            </w:pPr>
          </w:p>
        </w:tc>
      </w:tr>
    </w:tbl>
    <w:p w14:paraId="53A11C54" w14:textId="77777777" w:rsidR="004D30AC" w:rsidRPr="00A81971" w:rsidRDefault="0032495C" w:rsidP="004D30AC">
      <w:pPr>
        <w:spacing w:after="0"/>
        <w:rPr>
          <w:rFonts w:eastAsia="Times New Roman"/>
          <w:sz w:val="18"/>
          <w:szCs w:val="18"/>
        </w:rPr>
      </w:pPr>
      <w:r w:rsidRPr="00A81971">
        <w:rPr>
          <w:sz w:val="18"/>
          <w:szCs w:val="18"/>
        </w:rPr>
        <w:t>*</w:t>
      </w:r>
      <w:r w:rsidRPr="00A81971">
        <w:rPr>
          <w:rFonts w:eastAsia="Times New Roman"/>
          <w:sz w:val="18"/>
          <w:szCs w:val="18"/>
        </w:rPr>
        <w:t xml:space="preserve"> Based on table 1 of document UNEP/OzL.Pro/ExCom/93/101.</w:t>
      </w:r>
    </w:p>
    <w:p w14:paraId="66C899A8" w14:textId="77777777" w:rsidR="007B246E" w:rsidRPr="00A81971" w:rsidRDefault="007B246E" w:rsidP="004D30AC">
      <w:pPr>
        <w:spacing w:after="240"/>
        <w:rPr>
          <w:rFonts w:eastAsia="Times New Roman"/>
          <w:color w:val="000000" w:themeColor="text1"/>
        </w:rPr>
      </w:pPr>
    </w:p>
    <w:p w14:paraId="38BBA563" w14:textId="77777777" w:rsidR="004D30AC" w:rsidRPr="00A81971" w:rsidRDefault="0032495C" w:rsidP="00FE5C31">
      <w:pPr>
        <w:spacing w:after="80"/>
        <w:rPr>
          <w:rFonts w:eastAsia="Times New Roman"/>
          <w:color w:val="000000" w:themeColor="text1"/>
        </w:rPr>
      </w:pPr>
      <w:r w:rsidRPr="00A81971">
        <w:rPr>
          <w:rFonts w:eastAsia="Times New Roman"/>
          <w:color w:val="000000" w:themeColor="text1"/>
        </w:rPr>
        <w:lastRenderedPageBreak/>
        <w:t xml:space="preserve">Table </w:t>
      </w:r>
      <w:r w:rsidR="00BD7868" w:rsidRPr="00A81971">
        <w:rPr>
          <w:rFonts w:eastAsia="Times New Roman"/>
          <w:color w:val="000000" w:themeColor="text1"/>
        </w:rPr>
        <w:t xml:space="preserve">A3.14 </w:t>
      </w:r>
      <w:r w:rsidRPr="00A81971">
        <w:rPr>
          <w:rFonts w:eastAsia="Times New Roman"/>
          <w:color w:val="000000" w:themeColor="text1"/>
        </w:rPr>
        <w:t xml:space="preserve">provides the updated estimated funding for a funding window for three pilot projects for 2027-2029 and 2030-2032. </w:t>
      </w:r>
    </w:p>
    <w:p w14:paraId="11C49B43" w14:textId="77777777" w:rsidR="004D30AC" w:rsidRPr="00A81971" w:rsidRDefault="0032495C" w:rsidP="00FE5C31">
      <w:pPr>
        <w:spacing w:after="120"/>
        <w:ind w:left="1440" w:hanging="1440"/>
        <w:rPr>
          <w:rFonts w:eastAsia="Times New Roman"/>
          <w:b/>
          <w:bCs/>
          <w:color w:val="000000" w:themeColor="text1"/>
        </w:rPr>
      </w:pPr>
      <w:r w:rsidRPr="00A81971">
        <w:rPr>
          <w:rFonts w:eastAsia="Times New Roman"/>
          <w:b/>
          <w:bCs/>
          <w:color w:val="000000" w:themeColor="text1"/>
        </w:rPr>
        <w:t xml:space="preserve">Table </w:t>
      </w:r>
      <w:r w:rsidR="00BD7868" w:rsidRPr="00A81971">
        <w:rPr>
          <w:rFonts w:eastAsia="Times New Roman"/>
          <w:b/>
          <w:bCs/>
          <w:color w:val="000000" w:themeColor="text1"/>
        </w:rPr>
        <w:t>A3.14</w:t>
      </w:r>
      <w:r w:rsidR="000120DA" w:rsidRPr="00A81971">
        <w:rPr>
          <w:rFonts w:eastAsia="Times New Roman"/>
          <w:b/>
          <w:bCs/>
          <w:color w:val="000000" w:themeColor="text1"/>
        </w:rPr>
        <w:t>:</w:t>
      </w:r>
      <w:r w:rsidRPr="00A81971">
        <w:tab/>
      </w:r>
      <w:r w:rsidRPr="00A81971">
        <w:rPr>
          <w:rFonts w:eastAsia="Times New Roman"/>
          <w:b/>
          <w:bCs/>
          <w:color w:val="000000" w:themeColor="text1"/>
        </w:rPr>
        <w:t xml:space="preserve">Updated </w:t>
      </w:r>
      <w:r w:rsidR="00FB2FD8" w:rsidRPr="00A81971">
        <w:rPr>
          <w:rFonts w:eastAsia="Times New Roman"/>
          <w:b/>
          <w:bCs/>
          <w:color w:val="000000" w:themeColor="text1"/>
        </w:rPr>
        <w:t>indicative costs</w:t>
      </w:r>
      <w:r w:rsidRPr="00A81971">
        <w:rPr>
          <w:rFonts w:eastAsia="Times New Roman"/>
          <w:b/>
          <w:bCs/>
          <w:color w:val="000000" w:themeColor="text1"/>
        </w:rPr>
        <w:t xml:space="preserve"> for </w:t>
      </w:r>
      <w:r w:rsidR="00FB2FD8" w:rsidRPr="00A81971">
        <w:rPr>
          <w:rFonts w:eastAsia="Times New Roman"/>
          <w:b/>
          <w:bCs/>
          <w:color w:val="000000" w:themeColor="text1"/>
        </w:rPr>
        <w:t>funding window</w:t>
      </w:r>
      <w:r w:rsidRPr="00A81971">
        <w:rPr>
          <w:rFonts w:eastAsia="Times New Roman"/>
          <w:b/>
          <w:bCs/>
          <w:color w:val="000000" w:themeColor="text1"/>
        </w:rPr>
        <w:t xml:space="preserve"> for </w:t>
      </w:r>
      <w:r w:rsidR="00FB2FD8" w:rsidRPr="00A81971">
        <w:rPr>
          <w:rFonts w:eastAsia="Times New Roman"/>
          <w:b/>
          <w:bCs/>
          <w:color w:val="000000" w:themeColor="text1"/>
        </w:rPr>
        <w:t>pilot projects over five years</w:t>
      </w:r>
      <w:r w:rsidRPr="00A81971">
        <w:rPr>
          <w:rFonts w:eastAsia="Times New Roman"/>
          <w:b/>
          <w:bCs/>
          <w:color w:val="000000" w:themeColor="text1"/>
        </w:rPr>
        <w:t xml:space="preserve"> (Decision 98/62) (US$)</w:t>
      </w:r>
    </w:p>
    <w:tbl>
      <w:tblPr>
        <w:tblW w:w="0" w:type="auto"/>
        <w:tblLook w:val="04A0" w:firstRow="1" w:lastRow="0" w:firstColumn="1" w:lastColumn="0" w:noHBand="0" w:noVBand="1"/>
      </w:tblPr>
      <w:tblGrid>
        <w:gridCol w:w="3170"/>
        <w:gridCol w:w="2144"/>
        <w:gridCol w:w="2912"/>
      </w:tblGrid>
      <w:tr w:rsidR="00F90461" w14:paraId="24D03793" w14:textId="77777777" w:rsidTr="00E610AE">
        <w:trPr>
          <w:trHeight w:val="60"/>
        </w:trPr>
        <w:tc>
          <w:tcPr>
            <w:tcW w:w="3170"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vAlign w:val="center"/>
          </w:tcPr>
          <w:p w14:paraId="3E851A14" w14:textId="77777777" w:rsidR="004D30AC" w:rsidRPr="00A81971" w:rsidRDefault="0032495C" w:rsidP="00C80FFD">
            <w:pPr>
              <w:spacing w:before="120" w:after="120"/>
              <w:rPr>
                <w:rFonts w:eastAsia="Times New Roman"/>
                <w:b/>
                <w:bCs/>
                <w:color w:val="000000" w:themeColor="text1"/>
              </w:rPr>
            </w:pPr>
            <w:r w:rsidRPr="00A81971">
              <w:rPr>
                <w:rFonts w:eastAsia="Times New Roman"/>
                <w:b/>
                <w:bCs/>
                <w:color w:val="000000" w:themeColor="text1"/>
              </w:rPr>
              <w:t xml:space="preserve"> </w:t>
            </w:r>
          </w:p>
        </w:tc>
        <w:tc>
          <w:tcPr>
            <w:tcW w:w="2144"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134648B6" w14:textId="77777777" w:rsidR="004D30AC" w:rsidRPr="00A81971" w:rsidRDefault="0032495C" w:rsidP="00C80FFD">
            <w:pPr>
              <w:spacing w:before="120" w:after="120"/>
              <w:jc w:val="center"/>
              <w:rPr>
                <w:rFonts w:eastAsia="Times New Roman"/>
                <w:b/>
                <w:bCs/>
                <w:color w:val="000000" w:themeColor="text1"/>
              </w:rPr>
            </w:pPr>
            <w:r w:rsidRPr="00A81971">
              <w:rPr>
                <w:rFonts w:eastAsia="Times New Roman"/>
                <w:b/>
                <w:bCs/>
                <w:color w:val="000000" w:themeColor="text1"/>
              </w:rPr>
              <w:t>2027-2029*</w:t>
            </w:r>
          </w:p>
        </w:tc>
        <w:tc>
          <w:tcPr>
            <w:tcW w:w="2912" w:type="dxa"/>
            <w:tcBorders>
              <w:top w:val="single" w:sz="8" w:space="0" w:color="auto"/>
              <w:left w:val="single" w:sz="8" w:space="0" w:color="auto"/>
              <w:bottom w:val="single" w:sz="8" w:space="0" w:color="auto"/>
              <w:right w:val="single" w:sz="8" w:space="0" w:color="auto"/>
            </w:tcBorders>
            <w:shd w:val="clear" w:color="auto" w:fill="D9E2F3" w:themeFill="accent1" w:themeFillTint="33"/>
            <w:tcMar>
              <w:left w:w="108" w:type="dxa"/>
              <w:right w:w="108" w:type="dxa"/>
            </w:tcMar>
          </w:tcPr>
          <w:p w14:paraId="0A60209F" w14:textId="77777777" w:rsidR="004D30AC" w:rsidRPr="00A81971" w:rsidRDefault="0032495C" w:rsidP="00C80FFD">
            <w:pPr>
              <w:spacing w:before="120" w:after="120"/>
              <w:jc w:val="center"/>
              <w:rPr>
                <w:rFonts w:eastAsia="Times New Roman"/>
                <w:b/>
                <w:bCs/>
                <w:color w:val="000000" w:themeColor="text1"/>
              </w:rPr>
            </w:pPr>
            <w:r w:rsidRPr="00A81971">
              <w:rPr>
                <w:rFonts w:eastAsia="Times New Roman"/>
                <w:b/>
                <w:bCs/>
                <w:color w:val="000000" w:themeColor="text1"/>
              </w:rPr>
              <w:t>2030-2032</w:t>
            </w:r>
          </w:p>
        </w:tc>
      </w:tr>
      <w:tr w:rsidR="00F90461" w14:paraId="512548F0" w14:textId="77777777" w:rsidTr="00FE5C31">
        <w:trPr>
          <w:trHeight w:val="877"/>
        </w:trPr>
        <w:tc>
          <w:tcPr>
            <w:tcW w:w="3170"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62F0C4A3" w14:textId="77777777" w:rsidR="004D30AC" w:rsidRPr="00A81971" w:rsidRDefault="0032495C" w:rsidP="00FE5C31">
            <w:pPr>
              <w:spacing w:before="80" w:after="80"/>
              <w:rPr>
                <w:rFonts w:eastAsia="Times New Roman"/>
                <w:b/>
                <w:bCs/>
                <w:color w:val="000000" w:themeColor="text1"/>
              </w:rPr>
            </w:pPr>
            <w:r w:rsidRPr="00A81971">
              <w:rPr>
                <w:rFonts w:eastAsia="Times New Roman"/>
                <w:b/>
                <w:bCs/>
                <w:color w:val="000000" w:themeColor="text1"/>
              </w:rPr>
              <w:t>Regional atmospheric monitoring for three pilot projects</w:t>
            </w:r>
          </w:p>
        </w:tc>
        <w:tc>
          <w:tcPr>
            <w:tcW w:w="214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9B490EF" w14:textId="77777777" w:rsidR="004D30AC" w:rsidRPr="00A81971" w:rsidRDefault="0032495C" w:rsidP="00C80FFD">
            <w:pPr>
              <w:spacing w:before="120" w:after="120" w:line="257" w:lineRule="auto"/>
              <w:jc w:val="right"/>
              <w:rPr>
                <w:rFonts w:eastAsia="Times New Roman"/>
                <w:b/>
                <w:bCs/>
                <w:color w:val="000000" w:themeColor="text1"/>
              </w:rPr>
            </w:pPr>
            <w:r w:rsidRPr="00A81971">
              <w:rPr>
                <w:rFonts w:eastAsia="Times New Roman"/>
                <w:b/>
                <w:bCs/>
                <w:color w:val="000000" w:themeColor="text1"/>
              </w:rPr>
              <w:t>$     1,730,440</w:t>
            </w:r>
          </w:p>
        </w:tc>
        <w:tc>
          <w:tcPr>
            <w:tcW w:w="291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F28F3FF" w14:textId="77777777" w:rsidR="004D30AC" w:rsidRPr="00A81971" w:rsidRDefault="0032495C" w:rsidP="00C80FFD">
            <w:pPr>
              <w:spacing w:before="120" w:after="120" w:line="257" w:lineRule="auto"/>
              <w:jc w:val="right"/>
              <w:rPr>
                <w:rFonts w:eastAsia="Times New Roman"/>
                <w:b/>
                <w:bCs/>
                <w:color w:val="000000" w:themeColor="text1"/>
              </w:rPr>
            </w:pPr>
            <w:r w:rsidRPr="00A81971">
              <w:rPr>
                <w:rFonts w:eastAsia="Times New Roman"/>
                <w:b/>
                <w:bCs/>
                <w:color w:val="000000" w:themeColor="text1"/>
              </w:rPr>
              <w:t>$    8,271,340</w:t>
            </w:r>
          </w:p>
        </w:tc>
      </w:tr>
      <w:tr w:rsidR="00F90461" w14:paraId="7C5F99B6" w14:textId="77777777" w:rsidTr="00FE5C31">
        <w:trPr>
          <w:trHeight w:val="165"/>
        </w:trPr>
        <w:tc>
          <w:tcPr>
            <w:tcW w:w="3170"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center"/>
          </w:tcPr>
          <w:p w14:paraId="1E6C0E15" w14:textId="77777777" w:rsidR="004D30AC" w:rsidRPr="00A81971" w:rsidRDefault="0032495C" w:rsidP="00FE5C31">
            <w:pPr>
              <w:spacing w:before="80" w:after="80"/>
            </w:pPr>
            <w:r w:rsidRPr="00A81971">
              <w:rPr>
                <w:rFonts w:eastAsia="Times New Roman"/>
                <w:b/>
                <w:bCs/>
                <w:color w:val="000000" w:themeColor="text1"/>
              </w:rPr>
              <w:t>Agency support costs (11.8%)</w:t>
            </w:r>
          </w:p>
        </w:tc>
        <w:tc>
          <w:tcPr>
            <w:tcW w:w="214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2650EE0" w14:textId="77777777" w:rsidR="004D30AC" w:rsidRPr="00A81971" w:rsidRDefault="0032495C" w:rsidP="00C80FFD">
            <w:pPr>
              <w:spacing w:line="257" w:lineRule="auto"/>
              <w:jc w:val="right"/>
              <w:rPr>
                <w:rFonts w:eastAsia="Times New Roman"/>
                <w:b/>
                <w:bCs/>
                <w:color w:val="000000" w:themeColor="text1"/>
              </w:rPr>
            </w:pPr>
            <w:r w:rsidRPr="00A81971">
              <w:rPr>
                <w:rFonts w:eastAsia="Times New Roman"/>
                <w:b/>
                <w:bCs/>
                <w:color w:val="000000" w:themeColor="text1"/>
              </w:rPr>
              <w:t>$     204,192</w:t>
            </w:r>
          </w:p>
        </w:tc>
        <w:tc>
          <w:tcPr>
            <w:tcW w:w="291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9F879A5" w14:textId="77777777" w:rsidR="004D30AC" w:rsidRPr="00A81971" w:rsidRDefault="0032495C" w:rsidP="00C80FFD">
            <w:pPr>
              <w:spacing w:line="257" w:lineRule="auto"/>
              <w:jc w:val="right"/>
              <w:rPr>
                <w:rFonts w:eastAsia="Times New Roman"/>
                <w:b/>
                <w:bCs/>
                <w:color w:val="000000" w:themeColor="text1"/>
              </w:rPr>
            </w:pPr>
            <w:r w:rsidRPr="00A81971">
              <w:rPr>
                <w:rFonts w:eastAsia="Times New Roman"/>
                <w:b/>
                <w:bCs/>
                <w:color w:val="000000" w:themeColor="text1"/>
              </w:rPr>
              <w:t>$     976,018</w:t>
            </w:r>
          </w:p>
        </w:tc>
      </w:tr>
      <w:tr w:rsidR="00F90461" w14:paraId="315C733E" w14:textId="77777777" w:rsidTr="00FE5C31">
        <w:trPr>
          <w:trHeight w:val="30"/>
        </w:trPr>
        <w:tc>
          <w:tcPr>
            <w:tcW w:w="317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A98D519" w14:textId="77777777" w:rsidR="004D30AC" w:rsidRPr="00A81971" w:rsidRDefault="0032495C" w:rsidP="00FE5C31">
            <w:pPr>
              <w:spacing w:before="80" w:after="80"/>
              <w:rPr>
                <w:rFonts w:eastAsia="Times New Roman"/>
                <w:b/>
                <w:bCs/>
                <w:color w:val="000000" w:themeColor="text1"/>
              </w:rPr>
            </w:pPr>
            <w:r w:rsidRPr="00A81971">
              <w:rPr>
                <w:rFonts w:eastAsia="Times New Roman"/>
                <w:b/>
                <w:bCs/>
                <w:color w:val="000000" w:themeColor="text1"/>
              </w:rPr>
              <w:t>Subtotal – Regional Atmospheric Monitoring</w:t>
            </w:r>
          </w:p>
        </w:tc>
        <w:tc>
          <w:tcPr>
            <w:tcW w:w="214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4341532" w14:textId="77777777" w:rsidR="004D30AC" w:rsidRPr="00A81971" w:rsidRDefault="0032495C" w:rsidP="00C80FFD">
            <w:pPr>
              <w:spacing w:before="120" w:after="120" w:line="257" w:lineRule="auto"/>
              <w:jc w:val="right"/>
              <w:rPr>
                <w:rFonts w:eastAsia="Times New Roman"/>
                <w:b/>
                <w:bCs/>
                <w:color w:val="000000" w:themeColor="text1"/>
              </w:rPr>
            </w:pPr>
            <w:r w:rsidRPr="00A81971">
              <w:rPr>
                <w:rFonts w:eastAsia="Times New Roman"/>
                <w:b/>
                <w:bCs/>
                <w:color w:val="000000" w:themeColor="text1"/>
              </w:rPr>
              <w:t>$     1,934,632</w:t>
            </w:r>
          </w:p>
        </w:tc>
        <w:tc>
          <w:tcPr>
            <w:tcW w:w="2912"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D1DF567" w14:textId="4DBC1085" w:rsidR="004D30AC" w:rsidRPr="00A81971" w:rsidRDefault="0032495C" w:rsidP="00C80FFD">
            <w:pPr>
              <w:spacing w:before="120" w:after="120"/>
              <w:jc w:val="right"/>
              <w:rPr>
                <w:rFonts w:eastAsia="Times New Roman"/>
                <w:b/>
                <w:bCs/>
                <w:color w:val="000000" w:themeColor="text1"/>
              </w:rPr>
            </w:pPr>
            <w:r w:rsidRPr="00A81971">
              <w:rPr>
                <w:rFonts w:eastAsia="Times New Roman"/>
                <w:b/>
                <w:bCs/>
                <w:color w:val="000000" w:themeColor="text1"/>
              </w:rPr>
              <w:t xml:space="preserve">$     </w:t>
            </w:r>
            <w:r w:rsidR="0073635B">
              <w:rPr>
                <w:rFonts w:eastAsia="Times New Roman"/>
                <w:b/>
                <w:bCs/>
                <w:color w:val="000000" w:themeColor="text1"/>
              </w:rPr>
              <w:t>9,247,358</w:t>
            </w:r>
          </w:p>
        </w:tc>
      </w:tr>
    </w:tbl>
    <w:p w14:paraId="42BDF10F" w14:textId="77777777" w:rsidR="004D30AC" w:rsidRPr="00EA1496" w:rsidRDefault="0032495C" w:rsidP="00FE5C31">
      <w:pPr>
        <w:spacing w:after="60"/>
        <w:rPr>
          <w:rFonts w:eastAsia="Times New Roman"/>
          <w:color w:val="000000" w:themeColor="text1"/>
          <w:sz w:val="18"/>
          <w:szCs w:val="18"/>
        </w:rPr>
      </w:pPr>
      <w:r w:rsidRPr="00EA1496">
        <w:rPr>
          <w:rFonts w:eastAsia="Times New Roman"/>
          <w:color w:val="000000" w:themeColor="text1"/>
          <w:sz w:val="18"/>
          <w:szCs w:val="18"/>
        </w:rPr>
        <w:t>*Estimated costs only cover project preparation</w:t>
      </w:r>
    </w:p>
    <w:p w14:paraId="58124BD3" w14:textId="77777777" w:rsidR="00092AB3" w:rsidRPr="00A81971" w:rsidRDefault="0032495C" w:rsidP="00201CFA">
      <w:pPr>
        <w:pStyle w:val="Heading2"/>
      </w:pPr>
      <w:bookmarkStart w:id="252" w:name="_Toc240987357"/>
      <w:r w:rsidRPr="00A81971">
        <w:t>A3.</w:t>
      </w:r>
      <w:r w:rsidR="00FD5708" w:rsidRPr="00A81971">
        <w:t>9</w:t>
      </w:r>
      <w:r w:rsidRPr="00A81971">
        <w:tab/>
        <w:t>updated total estimated funding requirement for the hfc consumption Sector</w:t>
      </w:r>
      <w:bookmarkEnd w:id="252"/>
    </w:p>
    <w:p w14:paraId="50F3D0AB" w14:textId="77777777" w:rsidR="00D559A4" w:rsidRPr="00A81971" w:rsidRDefault="0032495C" w:rsidP="00FE5C31">
      <w:pPr>
        <w:keepNext/>
        <w:keepLines/>
        <w:tabs>
          <w:tab w:val="left" w:pos="0"/>
        </w:tabs>
        <w:spacing w:before="120" w:after="120"/>
        <w:rPr>
          <w:rFonts w:eastAsia="Times New Roman"/>
          <w:color w:val="000000"/>
        </w:rPr>
      </w:pPr>
      <w:r w:rsidRPr="00A81971">
        <w:rPr>
          <w:rFonts w:eastAsia="Times New Roman"/>
          <w:color w:val="000000"/>
        </w:rPr>
        <w:t>The summary of</w:t>
      </w:r>
      <w:r w:rsidR="00E223DC" w:rsidRPr="00A81971">
        <w:rPr>
          <w:rFonts w:eastAsia="Times New Roman"/>
          <w:color w:val="000000"/>
        </w:rPr>
        <w:t xml:space="preserve"> the updated</w:t>
      </w:r>
      <w:r w:rsidRPr="00A81971">
        <w:rPr>
          <w:rFonts w:eastAsia="Times New Roman"/>
          <w:color w:val="000000"/>
        </w:rPr>
        <w:t xml:space="preserve"> estimated funding requirements to address Stage I and Stage II for the HFC phasedown in the consumption sector based on HFC Scenarios 1 and 2 and the resource allocation schedules A and B is presented in Tables </w:t>
      </w:r>
      <w:r w:rsidR="00BD7868" w:rsidRPr="00A81971">
        <w:rPr>
          <w:rFonts w:eastAsia="Times New Roman"/>
          <w:color w:val="000000"/>
        </w:rPr>
        <w:t>A</w:t>
      </w:r>
      <w:r w:rsidRPr="00A81971">
        <w:rPr>
          <w:rFonts w:eastAsia="Times New Roman"/>
          <w:color w:val="000000"/>
        </w:rPr>
        <w:t>3.1</w:t>
      </w:r>
      <w:r w:rsidR="00BD7868" w:rsidRPr="00A81971">
        <w:rPr>
          <w:rFonts w:eastAsia="Times New Roman"/>
          <w:color w:val="000000"/>
        </w:rPr>
        <w:t>5</w:t>
      </w:r>
      <w:r w:rsidRPr="00A81971">
        <w:rPr>
          <w:rFonts w:eastAsia="Times New Roman"/>
          <w:color w:val="000000"/>
        </w:rPr>
        <w:t xml:space="preserve"> and </w:t>
      </w:r>
      <w:r w:rsidR="00BD7868" w:rsidRPr="00A81971">
        <w:rPr>
          <w:rFonts w:eastAsia="Times New Roman"/>
          <w:color w:val="000000"/>
        </w:rPr>
        <w:t>A</w:t>
      </w:r>
      <w:r w:rsidRPr="00A81971">
        <w:rPr>
          <w:rFonts w:eastAsia="Times New Roman"/>
          <w:color w:val="000000"/>
        </w:rPr>
        <w:t>3.1</w:t>
      </w:r>
      <w:r w:rsidR="00BD7868" w:rsidRPr="00A81971">
        <w:rPr>
          <w:rFonts w:eastAsia="Times New Roman"/>
          <w:color w:val="000000"/>
        </w:rPr>
        <w:t>6</w:t>
      </w:r>
      <w:r w:rsidRPr="00A81971">
        <w:rPr>
          <w:rFonts w:eastAsia="Times New Roman"/>
          <w:color w:val="000000"/>
        </w:rPr>
        <w:t>.</w:t>
      </w:r>
    </w:p>
    <w:p w14:paraId="6D14A010" w14:textId="7EA4E225" w:rsidR="007F0CFA" w:rsidRPr="00A81971" w:rsidRDefault="0032495C" w:rsidP="00FE5C31">
      <w:pPr>
        <w:tabs>
          <w:tab w:val="left" w:pos="0"/>
          <w:tab w:val="left" w:pos="1276"/>
        </w:tabs>
        <w:spacing w:after="120"/>
        <w:ind w:left="1281" w:hanging="1281"/>
        <w:rPr>
          <w:rFonts w:eastAsia="Times New Roman"/>
          <w:b/>
          <w:bCs/>
          <w:color w:val="000000" w:themeColor="text1"/>
        </w:rPr>
      </w:pPr>
      <w:r w:rsidRPr="0006445E">
        <w:rPr>
          <w:rFonts w:eastAsia="Yu Mincho"/>
          <w:b/>
          <w:bCs/>
          <w:color w:val="000000"/>
          <w:lang w:val="en-CA"/>
        </w:rPr>
        <w:t xml:space="preserve">Table </w:t>
      </w:r>
      <w:r w:rsidR="00A950E0">
        <w:rPr>
          <w:rFonts w:eastAsia="Yu Mincho"/>
          <w:b/>
          <w:bCs/>
          <w:color w:val="000000"/>
          <w:lang w:val="en-CA"/>
        </w:rPr>
        <w:t>A</w:t>
      </w:r>
      <w:r>
        <w:rPr>
          <w:rFonts w:eastAsia="Yu Mincho"/>
          <w:b/>
          <w:bCs/>
          <w:color w:val="000000"/>
          <w:lang w:val="en-CA"/>
        </w:rPr>
        <w:t>3.15:</w:t>
      </w:r>
      <w:r w:rsidRPr="0006445E">
        <w:rPr>
          <w:rFonts w:eastAsia="Times New Roman"/>
          <w:color w:val="000000"/>
          <w:lang w:val="en-CA"/>
        </w:rPr>
        <w:tab/>
      </w:r>
      <w:r w:rsidRPr="00A81971">
        <w:rPr>
          <w:rFonts w:eastAsia="Times New Roman"/>
          <w:b/>
          <w:bCs/>
          <w:color w:val="000000" w:themeColor="text1"/>
        </w:rPr>
        <w:t>Total funding estimate for HFC consumption sector for HFC Scenario 1 to address Stage</w:t>
      </w:r>
      <w:r w:rsidR="00311D9D">
        <w:rPr>
          <w:rFonts w:eastAsia="Times New Roman"/>
          <w:b/>
          <w:bCs/>
          <w:color w:val="000000" w:themeColor="text1"/>
        </w:rPr>
        <w:t>s</w:t>
      </w:r>
      <w:r w:rsidRPr="00A81971">
        <w:rPr>
          <w:rFonts w:eastAsia="Times New Roman"/>
          <w:b/>
          <w:bCs/>
          <w:color w:val="000000" w:themeColor="text1"/>
        </w:rPr>
        <w:t xml:space="preserve"> I and II targets (US$ million)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580"/>
        <w:gridCol w:w="987"/>
        <w:gridCol w:w="811"/>
        <w:gridCol w:w="811"/>
        <w:gridCol w:w="811"/>
        <w:gridCol w:w="961"/>
        <w:gridCol w:w="824"/>
      </w:tblGrid>
      <w:tr w:rsidR="00F90461" w14:paraId="5D6BEA84" w14:textId="77777777" w:rsidTr="2E7655E2">
        <w:trPr>
          <w:trHeight w:val="645"/>
          <w:tblHeader/>
        </w:trPr>
        <w:tc>
          <w:tcPr>
            <w:tcW w:w="2279" w:type="dxa"/>
            <w:tcMar>
              <w:left w:w="70" w:type="dxa"/>
              <w:right w:w="70" w:type="dxa"/>
            </w:tcMar>
            <w:vAlign w:val="center"/>
          </w:tcPr>
          <w:p w14:paraId="4B4D8531"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HFC CONSUMPTION SECTOR</w:t>
            </w:r>
          </w:p>
        </w:tc>
        <w:tc>
          <w:tcPr>
            <w:tcW w:w="1580" w:type="dxa"/>
            <w:tcMar>
              <w:left w:w="70" w:type="dxa"/>
              <w:right w:w="70" w:type="dxa"/>
            </w:tcMar>
            <w:vAlign w:val="center"/>
          </w:tcPr>
          <w:p w14:paraId="77FB7A8B"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Total for 3 Triennia</w:t>
            </w:r>
          </w:p>
          <w:p w14:paraId="05992D3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 to 2035 period)</w:t>
            </w:r>
          </w:p>
        </w:tc>
        <w:tc>
          <w:tcPr>
            <w:tcW w:w="2609" w:type="dxa"/>
            <w:gridSpan w:val="3"/>
            <w:shd w:val="clear" w:color="auto" w:fill="DAE9F8"/>
            <w:tcMar>
              <w:left w:w="70" w:type="dxa"/>
              <w:right w:w="70" w:type="dxa"/>
            </w:tcMar>
            <w:vAlign w:val="center"/>
          </w:tcPr>
          <w:p w14:paraId="6068879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A</w:t>
            </w:r>
          </w:p>
        </w:tc>
        <w:tc>
          <w:tcPr>
            <w:tcW w:w="2596" w:type="dxa"/>
            <w:gridSpan w:val="3"/>
            <w:shd w:val="clear" w:color="auto" w:fill="F2CEEF"/>
            <w:tcMar>
              <w:left w:w="70" w:type="dxa"/>
              <w:right w:w="70" w:type="dxa"/>
            </w:tcMar>
            <w:vAlign w:val="center"/>
          </w:tcPr>
          <w:p w14:paraId="2526D2A6"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B</w:t>
            </w:r>
          </w:p>
        </w:tc>
      </w:tr>
      <w:tr w:rsidR="00F90461" w14:paraId="3668B539" w14:textId="77777777" w:rsidTr="2E7655E2">
        <w:trPr>
          <w:trHeight w:val="1065"/>
        </w:trPr>
        <w:tc>
          <w:tcPr>
            <w:tcW w:w="2279" w:type="dxa"/>
            <w:tcMar>
              <w:left w:w="70" w:type="dxa"/>
              <w:right w:w="70" w:type="dxa"/>
            </w:tcMar>
            <w:vAlign w:val="center"/>
          </w:tcPr>
          <w:p w14:paraId="1010BD5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HFC Scenario 1</w:t>
            </w:r>
          </w:p>
          <w:p w14:paraId="6D3CA851"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(CE in cost guidelines)</w:t>
            </w:r>
          </w:p>
        </w:tc>
        <w:tc>
          <w:tcPr>
            <w:tcW w:w="1580" w:type="dxa"/>
            <w:tcMar>
              <w:left w:w="70" w:type="dxa"/>
              <w:right w:w="70" w:type="dxa"/>
            </w:tcMar>
            <w:vAlign w:val="center"/>
          </w:tcPr>
          <w:p w14:paraId="4B1212FA"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Funding for Stage</w:t>
            </w:r>
            <w:r w:rsidR="00311D9D">
              <w:rPr>
                <w:rFonts w:eastAsia="Times New Roman"/>
                <w:b/>
                <w:bCs/>
                <w:color w:val="000000" w:themeColor="text1"/>
              </w:rPr>
              <w:t>s</w:t>
            </w:r>
            <w:r w:rsidRPr="00A81971">
              <w:rPr>
                <w:rFonts w:eastAsia="Times New Roman"/>
                <w:b/>
                <w:bCs/>
                <w:color w:val="000000" w:themeColor="text1"/>
              </w:rPr>
              <w:t xml:space="preserve"> I and II</w:t>
            </w:r>
          </w:p>
        </w:tc>
        <w:tc>
          <w:tcPr>
            <w:tcW w:w="987" w:type="dxa"/>
            <w:shd w:val="clear" w:color="auto" w:fill="DAE9F8"/>
            <w:tcMar>
              <w:left w:w="70" w:type="dxa"/>
              <w:right w:w="70" w:type="dxa"/>
            </w:tcMar>
            <w:vAlign w:val="center"/>
          </w:tcPr>
          <w:p w14:paraId="0F6EDBDD"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811" w:type="dxa"/>
            <w:shd w:val="clear" w:color="auto" w:fill="DAE9F8"/>
            <w:tcMar>
              <w:left w:w="70" w:type="dxa"/>
              <w:right w:w="70" w:type="dxa"/>
            </w:tcMar>
            <w:vAlign w:val="center"/>
          </w:tcPr>
          <w:p w14:paraId="2AF55500"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811" w:type="dxa"/>
            <w:shd w:val="clear" w:color="auto" w:fill="DAE9F8"/>
            <w:tcMar>
              <w:left w:w="70" w:type="dxa"/>
              <w:right w:w="70" w:type="dxa"/>
            </w:tcMar>
            <w:vAlign w:val="center"/>
          </w:tcPr>
          <w:p w14:paraId="20CA9ED1"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c>
          <w:tcPr>
            <w:tcW w:w="811" w:type="dxa"/>
            <w:shd w:val="clear" w:color="auto" w:fill="F2CEEF"/>
            <w:tcMar>
              <w:left w:w="70" w:type="dxa"/>
              <w:right w:w="70" w:type="dxa"/>
            </w:tcMar>
            <w:vAlign w:val="center"/>
          </w:tcPr>
          <w:p w14:paraId="183B8C26"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961" w:type="dxa"/>
            <w:shd w:val="clear" w:color="auto" w:fill="F2CEEF"/>
            <w:tcMar>
              <w:left w:w="70" w:type="dxa"/>
              <w:right w:w="70" w:type="dxa"/>
            </w:tcMar>
            <w:vAlign w:val="center"/>
          </w:tcPr>
          <w:p w14:paraId="3F7C4793"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824" w:type="dxa"/>
            <w:shd w:val="clear" w:color="auto" w:fill="F2CEEF"/>
            <w:tcMar>
              <w:left w:w="70" w:type="dxa"/>
              <w:right w:w="70" w:type="dxa"/>
            </w:tcMar>
            <w:vAlign w:val="center"/>
          </w:tcPr>
          <w:p w14:paraId="1DD2ADF8"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r>
      <w:tr w:rsidR="00F90461" w14:paraId="4D3047A0" w14:textId="77777777" w:rsidTr="00FE5C31">
        <w:trPr>
          <w:trHeight w:val="465"/>
        </w:trPr>
        <w:tc>
          <w:tcPr>
            <w:tcW w:w="2279" w:type="dxa"/>
            <w:shd w:val="clear" w:color="auto" w:fill="E2EFD9" w:themeFill="accent6" w:themeFillTint="33"/>
            <w:tcMar>
              <w:left w:w="70" w:type="dxa"/>
              <w:right w:w="70" w:type="dxa"/>
            </w:tcMar>
            <w:vAlign w:val="center"/>
          </w:tcPr>
          <w:p w14:paraId="69FD1309"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 xml:space="preserve">Funding </w:t>
            </w:r>
            <w:r w:rsidRPr="00A81971">
              <w:rPr>
                <w:rFonts w:eastAsia="Times New Roman"/>
                <w:b/>
                <w:bCs/>
                <w:color w:val="000000" w:themeColor="text1"/>
              </w:rPr>
              <w:t>Committed *</w:t>
            </w:r>
            <w:r w:rsidRPr="00A81971">
              <w:rPr>
                <w:rFonts w:eastAsia="Times New Roman"/>
                <w:color w:val="000000" w:themeColor="text1"/>
              </w:rPr>
              <w:t xml:space="preserve"> for Approved KIPs</w:t>
            </w:r>
          </w:p>
        </w:tc>
        <w:tc>
          <w:tcPr>
            <w:tcW w:w="1580" w:type="dxa"/>
            <w:tcMar>
              <w:left w:w="70" w:type="dxa"/>
              <w:right w:w="70" w:type="dxa"/>
            </w:tcMar>
            <w:vAlign w:val="center"/>
          </w:tcPr>
          <w:p w14:paraId="2CD03D7A"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80.96</w:t>
            </w:r>
          </w:p>
        </w:tc>
        <w:tc>
          <w:tcPr>
            <w:tcW w:w="987" w:type="dxa"/>
            <w:shd w:val="clear" w:color="auto" w:fill="DAE9F8"/>
            <w:tcMar>
              <w:left w:w="70" w:type="dxa"/>
              <w:right w:w="70" w:type="dxa"/>
            </w:tcMar>
            <w:vAlign w:val="center"/>
          </w:tcPr>
          <w:p w14:paraId="4BD338CD"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811" w:type="dxa"/>
            <w:shd w:val="clear" w:color="auto" w:fill="DAE9F8"/>
            <w:tcMar>
              <w:left w:w="70" w:type="dxa"/>
              <w:right w:w="70" w:type="dxa"/>
            </w:tcMar>
            <w:vAlign w:val="center"/>
          </w:tcPr>
          <w:p w14:paraId="0136F541"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15.3</w:t>
            </w:r>
          </w:p>
        </w:tc>
        <w:tc>
          <w:tcPr>
            <w:tcW w:w="811" w:type="dxa"/>
            <w:shd w:val="clear" w:color="auto" w:fill="DAE9F8"/>
            <w:tcMar>
              <w:left w:w="70" w:type="dxa"/>
              <w:right w:w="70" w:type="dxa"/>
            </w:tcMar>
            <w:vAlign w:val="center"/>
          </w:tcPr>
          <w:p w14:paraId="346B7DDB"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0.37</w:t>
            </w:r>
          </w:p>
        </w:tc>
        <w:tc>
          <w:tcPr>
            <w:tcW w:w="811" w:type="dxa"/>
            <w:shd w:val="clear" w:color="auto" w:fill="F2CEEF"/>
            <w:tcMar>
              <w:left w:w="70" w:type="dxa"/>
              <w:right w:w="70" w:type="dxa"/>
            </w:tcMar>
            <w:vAlign w:val="center"/>
          </w:tcPr>
          <w:p w14:paraId="1AC7F9BA"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961" w:type="dxa"/>
            <w:shd w:val="clear" w:color="auto" w:fill="F2CEEF"/>
            <w:tcMar>
              <w:left w:w="70" w:type="dxa"/>
              <w:right w:w="70" w:type="dxa"/>
            </w:tcMar>
            <w:vAlign w:val="center"/>
          </w:tcPr>
          <w:p w14:paraId="04C41846"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15.3</w:t>
            </w:r>
          </w:p>
        </w:tc>
        <w:tc>
          <w:tcPr>
            <w:tcW w:w="824" w:type="dxa"/>
            <w:shd w:val="clear" w:color="auto" w:fill="F2CEEF"/>
            <w:tcMar>
              <w:left w:w="70" w:type="dxa"/>
              <w:right w:w="70" w:type="dxa"/>
            </w:tcMar>
            <w:vAlign w:val="center"/>
          </w:tcPr>
          <w:p w14:paraId="71E3DA08"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0.37</w:t>
            </w:r>
          </w:p>
        </w:tc>
      </w:tr>
      <w:tr w:rsidR="00F90461" w14:paraId="082BAC57" w14:textId="77777777" w:rsidTr="00FE5C31">
        <w:trPr>
          <w:trHeight w:val="465"/>
        </w:trPr>
        <w:tc>
          <w:tcPr>
            <w:tcW w:w="2279" w:type="dxa"/>
            <w:shd w:val="clear" w:color="auto" w:fill="E2EFD9" w:themeFill="accent6" w:themeFillTint="33"/>
            <w:tcMar>
              <w:left w:w="70" w:type="dxa"/>
              <w:right w:w="70" w:type="dxa"/>
            </w:tcMar>
            <w:vAlign w:val="center"/>
          </w:tcPr>
          <w:p w14:paraId="503897C5"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Estimated New Funding to Address Stage II for parties with KIPs Stage I approved</w:t>
            </w:r>
          </w:p>
        </w:tc>
        <w:tc>
          <w:tcPr>
            <w:tcW w:w="1580" w:type="dxa"/>
            <w:tcMar>
              <w:left w:w="70" w:type="dxa"/>
              <w:right w:w="70" w:type="dxa"/>
            </w:tcMar>
            <w:vAlign w:val="center"/>
          </w:tcPr>
          <w:p w14:paraId="262347D2"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249.17</w:t>
            </w:r>
          </w:p>
        </w:tc>
        <w:tc>
          <w:tcPr>
            <w:tcW w:w="987" w:type="dxa"/>
            <w:shd w:val="clear" w:color="auto" w:fill="DAE9F8"/>
            <w:tcMar>
              <w:left w:w="70" w:type="dxa"/>
              <w:right w:w="70" w:type="dxa"/>
            </w:tcMar>
            <w:vAlign w:val="center"/>
          </w:tcPr>
          <w:p w14:paraId="3287024E"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149.5</w:t>
            </w:r>
          </w:p>
        </w:tc>
        <w:tc>
          <w:tcPr>
            <w:tcW w:w="811" w:type="dxa"/>
            <w:shd w:val="clear" w:color="auto" w:fill="DAE9F8"/>
            <w:tcMar>
              <w:left w:w="70" w:type="dxa"/>
              <w:right w:w="70" w:type="dxa"/>
            </w:tcMar>
            <w:vAlign w:val="center"/>
          </w:tcPr>
          <w:p w14:paraId="00703AF7"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99.67</w:t>
            </w:r>
          </w:p>
        </w:tc>
        <w:tc>
          <w:tcPr>
            <w:tcW w:w="811" w:type="dxa"/>
            <w:shd w:val="clear" w:color="auto" w:fill="DAE9F8"/>
            <w:tcMar>
              <w:left w:w="70" w:type="dxa"/>
              <w:right w:w="70" w:type="dxa"/>
            </w:tcMar>
            <w:vAlign w:val="center"/>
          </w:tcPr>
          <w:p w14:paraId="6C92B3ED"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811" w:type="dxa"/>
            <w:shd w:val="clear" w:color="auto" w:fill="F2CEEF"/>
            <w:tcMar>
              <w:left w:w="70" w:type="dxa"/>
              <w:right w:w="70" w:type="dxa"/>
            </w:tcMar>
            <w:vAlign w:val="center"/>
          </w:tcPr>
          <w:p w14:paraId="530D6CA8"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961" w:type="dxa"/>
            <w:shd w:val="clear" w:color="auto" w:fill="F2CEEF"/>
            <w:tcMar>
              <w:left w:w="70" w:type="dxa"/>
              <w:right w:w="70" w:type="dxa"/>
            </w:tcMar>
            <w:vAlign w:val="center"/>
          </w:tcPr>
          <w:p w14:paraId="450E3B14"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149.5</w:t>
            </w:r>
          </w:p>
        </w:tc>
        <w:tc>
          <w:tcPr>
            <w:tcW w:w="824" w:type="dxa"/>
            <w:shd w:val="clear" w:color="auto" w:fill="F2CEEF"/>
            <w:tcMar>
              <w:left w:w="70" w:type="dxa"/>
              <w:right w:w="70" w:type="dxa"/>
            </w:tcMar>
            <w:vAlign w:val="center"/>
          </w:tcPr>
          <w:p w14:paraId="4DFD4422"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99.67</w:t>
            </w:r>
          </w:p>
        </w:tc>
      </w:tr>
      <w:tr w:rsidR="00F90461" w14:paraId="4E4B3928" w14:textId="77777777" w:rsidTr="00FE5C31">
        <w:trPr>
          <w:trHeight w:val="465"/>
        </w:trPr>
        <w:tc>
          <w:tcPr>
            <w:tcW w:w="2279" w:type="dxa"/>
            <w:shd w:val="clear" w:color="auto" w:fill="E2EFD9" w:themeFill="accent6" w:themeFillTint="33"/>
            <w:tcMar>
              <w:left w:w="70" w:type="dxa"/>
              <w:right w:w="70" w:type="dxa"/>
            </w:tcMar>
            <w:vAlign w:val="center"/>
          </w:tcPr>
          <w:p w14:paraId="0E7F2CDF"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Estimated New Funding to Address Stages I and II for parties without approved KIPs</w:t>
            </w:r>
          </w:p>
        </w:tc>
        <w:tc>
          <w:tcPr>
            <w:tcW w:w="1580" w:type="dxa"/>
            <w:tcMar>
              <w:left w:w="70" w:type="dxa"/>
              <w:right w:w="70" w:type="dxa"/>
            </w:tcMar>
            <w:vAlign w:val="center"/>
          </w:tcPr>
          <w:p w14:paraId="3FE92162"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1,788</w:t>
            </w:r>
          </w:p>
        </w:tc>
        <w:tc>
          <w:tcPr>
            <w:tcW w:w="987" w:type="dxa"/>
            <w:shd w:val="clear" w:color="auto" w:fill="DAE9F8"/>
            <w:tcMar>
              <w:left w:w="70" w:type="dxa"/>
              <w:right w:w="70" w:type="dxa"/>
            </w:tcMar>
            <w:vAlign w:val="center"/>
          </w:tcPr>
          <w:p w14:paraId="6DB2732E"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633.3</w:t>
            </w:r>
          </w:p>
        </w:tc>
        <w:tc>
          <w:tcPr>
            <w:tcW w:w="811" w:type="dxa"/>
            <w:shd w:val="clear" w:color="auto" w:fill="DAE9F8"/>
            <w:tcMar>
              <w:left w:w="70" w:type="dxa"/>
              <w:right w:w="70" w:type="dxa"/>
            </w:tcMar>
            <w:vAlign w:val="center"/>
          </w:tcPr>
          <w:p w14:paraId="71F9AFF5"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715.19</w:t>
            </w:r>
          </w:p>
        </w:tc>
        <w:tc>
          <w:tcPr>
            <w:tcW w:w="811" w:type="dxa"/>
            <w:shd w:val="clear" w:color="auto" w:fill="DAE9F8"/>
            <w:tcMar>
              <w:left w:w="70" w:type="dxa"/>
              <w:right w:w="70" w:type="dxa"/>
            </w:tcMar>
            <w:vAlign w:val="center"/>
          </w:tcPr>
          <w:p w14:paraId="12E03AC6"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439.48</w:t>
            </w:r>
          </w:p>
        </w:tc>
        <w:tc>
          <w:tcPr>
            <w:tcW w:w="811" w:type="dxa"/>
            <w:shd w:val="clear" w:color="auto" w:fill="F2CEEF"/>
            <w:tcMar>
              <w:left w:w="70" w:type="dxa"/>
              <w:right w:w="70" w:type="dxa"/>
            </w:tcMar>
            <w:vAlign w:val="center"/>
          </w:tcPr>
          <w:p w14:paraId="3F3B7FA4"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494.42</w:t>
            </w:r>
          </w:p>
        </w:tc>
        <w:tc>
          <w:tcPr>
            <w:tcW w:w="961" w:type="dxa"/>
            <w:shd w:val="clear" w:color="auto" w:fill="F2CEEF"/>
            <w:tcMar>
              <w:left w:w="70" w:type="dxa"/>
              <w:right w:w="70" w:type="dxa"/>
            </w:tcMar>
            <w:vAlign w:val="center"/>
          </w:tcPr>
          <w:p w14:paraId="689C9BE1"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840.09</w:t>
            </w:r>
          </w:p>
        </w:tc>
        <w:tc>
          <w:tcPr>
            <w:tcW w:w="824" w:type="dxa"/>
            <w:shd w:val="clear" w:color="auto" w:fill="F2CEEF"/>
            <w:tcMar>
              <w:left w:w="70" w:type="dxa"/>
              <w:right w:w="70" w:type="dxa"/>
            </w:tcMar>
            <w:vAlign w:val="center"/>
          </w:tcPr>
          <w:p w14:paraId="5B14F6C1"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453.48</w:t>
            </w:r>
          </w:p>
        </w:tc>
      </w:tr>
      <w:tr w:rsidR="00F90461" w14:paraId="72318773" w14:textId="77777777" w:rsidTr="00FE5C31">
        <w:trPr>
          <w:trHeight w:val="465"/>
        </w:trPr>
        <w:tc>
          <w:tcPr>
            <w:tcW w:w="2279" w:type="dxa"/>
            <w:shd w:val="clear" w:color="auto" w:fill="E2EFD9" w:themeFill="accent6" w:themeFillTint="33"/>
            <w:tcMar>
              <w:left w:w="70" w:type="dxa"/>
              <w:right w:w="70" w:type="dxa"/>
            </w:tcMar>
            <w:vAlign w:val="center"/>
          </w:tcPr>
          <w:p w14:paraId="36DC94B7"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Estimated New Funding to Address KIPS Stages I and II for countries pending ratification / RTF assumed all will ratify by 2029</w:t>
            </w:r>
          </w:p>
        </w:tc>
        <w:tc>
          <w:tcPr>
            <w:tcW w:w="1580" w:type="dxa"/>
            <w:tcMar>
              <w:left w:w="70" w:type="dxa"/>
              <w:right w:w="70" w:type="dxa"/>
            </w:tcMar>
            <w:vAlign w:val="center"/>
          </w:tcPr>
          <w:p w14:paraId="4741FA82"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 xml:space="preserve">36.91 </w:t>
            </w:r>
          </w:p>
        </w:tc>
        <w:tc>
          <w:tcPr>
            <w:tcW w:w="987" w:type="dxa"/>
            <w:shd w:val="clear" w:color="auto" w:fill="DAE9F8"/>
            <w:tcMar>
              <w:left w:w="70" w:type="dxa"/>
              <w:right w:w="70" w:type="dxa"/>
            </w:tcMar>
            <w:vAlign w:val="center"/>
          </w:tcPr>
          <w:p w14:paraId="493438C0"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16.44</w:t>
            </w:r>
          </w:p>
        </w:tc>
        <w:tc>
          <w:tcPr>
            <w:tcW w:w="811" w:type="dxa"/>
            <w:shd w:val="clear" w:color="auto" w:fill="DAE9F8"/>
            <w:tcMar>
              <w:left w:w="70" w:type="dxa"/>
              <w:right w:w="70" w:type="dxa"/>
            </w:tcMar>
            <w:vAlign w:val="center"/>
          </w:tcPr>
          <w:p w14:paraId="7371EA53"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14.79</w:t>
            </w:r>
          </w:p>
        </w:tc>
        <w:tc>
          <w:tcPr>
            <w:tcW w:w="811" w:type="dxa"/>
            <w:shd w:val="clear" w:color="auto" w:fill="DAE9F8"/>
            <w:tcMar>
              <w:left w:w="70" w:type="dxa"/>
              <w:right w:w="70" w:type="dxa"/>
            </w:tcMar>
            <w:vAlign w:val="center"/>
          </w:tcPr>
          <w:p w14:paraId="7437646A"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5.74</w:t>
            </w:r>
          </w:p>
        </w:tc>
        <w:tc>
          <w:tcPr>
            <w:tcW w:w="811" w:type="dxa"/>
            <w:shd w:val="clear" w:color="auto" w:fill="F2CEEF"/>
            <w:tcMar>
              <w:left w:w="70" w:type="dxa"/>
              <w:right w:w="70" w:type="dxa"/>
            </w:tcMar>
            <w:vAlign w:val="center"/>
          </w:tcPr>
          <w:p w14:paraId="0C1436DD"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6.46</w:t>
            </w:r>
          </w:p>
        </w:tc>
        <w:tc>
          <w:tcPr>
            <w:tcW w:w="961" w:type="dxa"/>
            <w:shd w:val="clear" w:color="auto" w:fill="F2CEEF"/>
            <w:tcMar>
              <w:left w:w="70" w:type="dxa"/>
              <w:right w:w="70" w:type="dxa"/>
            </w:tcMar>
            <w:vAlign w:val="center"/>
          </w:tcPr>
          <w:p w14:paraId="7E89759A"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23.22</w:t>
            </w:r>
          </w:p>
        </w:tc>
        <w:tc>
          <w:tcPr>
            <w:tcW w:w="824" w:type="dxa"/>
            <w:shd w:val="clear" w:color="auto" w:fill="F2CEEF"/>
            <w:tcMar>
              <w:left w:w="70" w:type="dxa"/>
              <w:right w:w="70" w:type="dxa"/>
            </w:tcMar>
            <w:vAlign w:val="center"/>
          </w:tcPr>
          <w:p w14:paraId="7A71936C" w14:textId="77777777" w:rsidR="00160E95" w:rsidRPr="00A81971" w:rsidRDefault="0032495C" w:rsidP="004C04B3">
            <w:pPr>
              <w:tabs>
                <w:tab w:val="left" w:pos="720"/>
              </w:tabs>
              <w:spacing w:after="0"/>
              <w:jc w:val="right"/>
              <w:rPr>
                <w:rFonts w:eastAsia="Times New Roman"/>
                <w:color w:val="000000" w:themeColor="text1"/>
              </w:rPr>
            </w:pPr>
            <w:r w:rsidRPr="00A81971">
              <w:rPr>
                <w:rFonts w:eastAsia="Times New Roman"/>
                <w:color w:val="000000" w:themeColor="text1"/>
              </w:rPr>
              <w:t xml:space="preserve">7.29 </w:t>
            </w:r>
          </w:p>
        </w:tc>
      </w:tr>
      <w:tr w:rsidR="00F90461" w14:paraId="7740DD27" w14:textId="77777777" w:rsidTr="00FE5C31">
        <w:trPr>
          <w:trHeight w:val="465"/>
        </w:trPr>
        <w:tc>
          <w:tcPr>
            <w:tcW w:w="2279" w:type="dxa"/>
            <w:shd w:val="clear" w:color="auto" w:fill="E2EFD9" w:themeFill="accent6" w:themeFillTint="33"/>
            <w:tcMar>
              <w:left w:w="70" w:type="dxa"/>
              <w:right w:w="70" w:type="dxa"/>
            </w:tcMar>
            <w:vAlign w:val="center"/>
          </w:tcPr>
          <w:p w14:paraId="7126324C"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 xml:space="preserve"> Sub-Total 1</w:t>
            </w:r>
          </w:p>
        </w:tc>
        <w:tc>
          <w:tcPr>
            <w:tcW w:w="1580" w:type="dxa"/>
            <w:tcMar>
              <w:left w:w="70" w:type="dxa"/>
              <w:right w:w="70" w:type="dxa"/>
            </w:tcMar>
            <w:vAlign w:val="center"/>
          </w:tcPr>
          <w:p w14:paraId="6164809F"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2,155.08</w:t>
            </w:r>
          </w:p>
        </w:tc>
        <w:tc>
          <w:tcPr>
            <w:tcW w:w="987" w:type="dxa"/>
            <w:shd w:val="clear" w:color="auto" w:fill="DAE9F8"/>
            <w:tcMar>
              <w:left w:w="70" w:type="dxa"/>
              <w:right w:w="70" w:type="dxa"/>
            </w:tcMar>
            <w:vAlign w:val="center"/>
          </w:tcPr>
          <w:p w14:paraId="67A74D12"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864.55</w:t>
            </w:r>
          </w:p>
        </w:tc>
        <w:tc>
          <w:tcPr>
            <w:tcW w:w="811" w:type="dxa"/>
            <w:shd w:val="clear" w:color="auto" w:fill="DAE9F8"/>
            <w:tcMar>
              <w:left w:w="70" w:type="dxa"/>
              <w:right w:w="70" w:type="dxa"/>
            </w:tcMar>
            <w:vAlign w:val="center"/>
          </w:tcPr>
          <w:p w14:paraId="1844884E"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844.94</w:t>
            </w:r>
          </w:p>
        </w:tc>
        <w:tc>
          <w:tcPr>
            <w:tcW w:w="811" w:type="dxa"/>
            <w:shd w:val="clear" w:color="auto" w:fill="DAE9F8"/>
            <w:tcMar>
              <w:left w:w="70" w:type="dxa"/>
              <w:right w:w="70" w:type="dxa"/>
            </w:tcMar>
            <w:vAlign w:val="center"/>
          </w:tcPr>
          <w:p w14:paraId="182DC6DF"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445.59</w:t>
            </w:r>
          </w:p>
        </w:tc>
        <w:tc>
          <w:tcPr>
            <w:tcW w:w="811" w:type="dxa"/>
            <w:shd w:val="clear" w:color="auto" w:fill="F2CEEF"/>
            <w:tcMar>
              <w:left w:w="70" w:type="dxa"/>
              <w:right w:w="70" w:type="dxa"/>
            </w:tcMar>
            <w:vAlign w:val="center"/>
          </w:tcPr>
          <w:p w14:paraId="2F3304C5"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566.18</w:t>
            </w:r>
          </w:p>
        </w:tc>
        <w:tc>
          <w:tcPr>
            <w:tcW w:w="961" w:type="dxa"/>
            <w:shd w:val="clear" w:color="auto" w:fill="F2CEEF"/>
            <w:tcMar>
              <w:left w:w="70" w:type="dxa"/>
              <w:right w:w="70" w:type="dxa"/>
            </w:tcMar>
            <w:vAlign w:val="center"/>
          </w:tcPr>
          <w:p w14:paraId="534AD667"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1,028.1</w:t>
            </w:r>
          </w:p>
        </w:tc>
        <w:tc>
          <w:tcPr>
            <w:tcW w:w="824" w:type="dxa"/>
            <w:shd w:val="clear" w:color="auto" w:fill="F2CEEF"/>
            <w:tcMar>
              <w:left w:w="70" w:type="dxa"/>
              <w:right w:w="70" w:type="dxa"/>
            </w:tcMar>
            <w:vAlign w:val="center"/>
          </w:tcPr>
          <w:p w14:paraId="79100947" w14:textId="77777777" w:rsidR="00160E95" w:rsidRPr="00A81971" w:rsidRDefault="0032495C" w:rsidP="004C04B3">
            <w:pPr>
              <w:tabs>
                <w:tab w:val="left" w:pos="720"/>
              </w:tabs>
              <w:spacing w:after="0"/>
              <w:jc w:val="right"/>
              <w:rPr>
                <w:rFonts w:eastAsia="Times New Roman"/>
                <w:b/>
                <w:bCs/>
                <w:color w:val="000000" w:themeColor="text1"/>
              </w:rPr>
            </w:pPr>
            <w:r w:rsidRPr="00A81971">
              <w:rPr>
                <w:rFonts w:eastAsia="Times New Roman"/>
                <w:b/>
                <w:bCs/>
                <w:color w:val="000000" w:themeColor="text1"/>
              </w:rPr>
              <w:t>560.8</w:t>
            </w:r>
          </w:p>
        </w:tc>
      </w:tr>
      <w:tr w:rsidR="00F90461" w14:paraId="66B0C96E" w14:textId="77777777" w:rsidTr="00FE5C31">
        <w:trPr>
          <w:trHeight w:val="465"/>
        </w:trPr>
        <w:tc>
          <w:tcPr>
            <w:tcW w:w="2279" w:type="dxa"/>
            <w:shd w:val="clear" w:color="auto" w:fill="E2EFD9" w:themeFill="accent6" w:themeFillTint="33"/>
            <w:tcMar>
              <w:left w:w="70" w:type="dxa"/>
              <w:right w:w="70" w:type="dxa"/>
            </w:tcMar>
            <w:vAlign w:val="center"/>
          </w:tcPr>
          <w:p w14:paraId="0E7124D2"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 xml:space="preserve"> </w:t>
            </w:r>
          </w:p>
        </w:tc>
        <w:tc>
          <w:tcPr>
            <w:tcW w:w="1580" w:type="dxa"/>
            <w:tcMar>
              <w:left w:w="70" w:type="dxa"/>
              <w:right w:w="70" w:type="dxa"/>
            </w:tcMar>
            <w:vAlign w:val="center"/>
          </w:tcPr>
          <w:p w14:paraId="259E4550" w14:textId="77777777" w:rsidR="00160E95" w:rsidRPr="00A81971" w:rsidRDefault="00160E95" w:rsidP="004C04B3">
            <w:pPr>
              <w:tabs>
                <w:tab w:val="left" w:pos="720"/>
              </w:tabs>
              <w:spacing w:after="0"/>
              <w:jc w:val="right"/>
              <w:rPr>
                <w:rFonts w:eastAsia="Times New Roman"/>
                <w:color w:val="000000" w:themeColor="text1"/>
              </w:rPr>
            </w:pPr>
          </w:p>
        </w:tc>
        <w:tc>
          <w:tcPr>
            <w:tcW w:w="2609" w:type="dxa"/>
            <w:gridSpan w:val="3"/>
            <w:shd w:val="clear" w:color="auto" w:fill="DAE9F8"/>
            <w:tcMar>
              <w:left w:w="70" w:type="dxa"/>
              <w:right w:w="70" w:type="dxa"/>
            </w:tcMar>
            <w:vAlign w:val="center"/>
          </w:tcPr>
          <w:p w14:paraId="43D5CA4E" w14:textId="77777777" w:rsidR="00160E95"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2155.08</w:t>
            </w:r>
          </w:p>
        </w:tc>
        <w:tc>
          <w:tcPr>
            <w:tcW w:w="2596" w:type="dxa"/>
            <w:gridSpan w:val="3"/>
            <w:shd w:val="clear" w:color="auto" w:fill="F2CEEF"/>
            <w:tcMar>
              <w:left w:w="70" w:type="dxa"/>
              <w:right w:w="70" w:type="dxa"/>
            </w:tcMar>
            <w:vAlign w:val="center"/>
          </w:tcPr>
          <w:p w14:paraId="7BBEEDAC" w14:textId="77777777" w:rsidR="00160E95"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2155.08</w:t>
            </w:r>
          </w:p>
        </w:tc>
      </w:tr>
      <w:tr w:rsidR="00F90461" w14:paraId="46FBE2EB" w14:textId="77777777" w:rsidTr="00FE5C31">
        <w:trPr>
          <w:trHeight w:val="465"/>
        </w:trPr>
        <w:tc>
          <w:tcPr>
            <w:tcW w:w="2279" w:type="dxa"/>
            <w:shd w:val="clear" w:color="auto" w:fill="E2EFD9" w:themeFill="accent6" w:themeFillTint="33"/>
            <w:tcMar>
              <w:left w:w="70" w:type="dxa"/>
              <w:right w:w="70" w:type="dxa"/>
            </w:tcMar>
            <w:vAlign w:val="center"/>
          </w:tcPr>
          <w:p w14:paraId="272C7B2C"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lastRenderedPageBreak/>
              <w:t>Funding for Project Preparation (PRP)</w:t>
            </w:r>
          </w:p>
        </w:tc>
        <w:tc>
          <w:tcPr>
            <w:tcW w:w="1580" w:type="dxa"/>
            <w:tcMar>
              <w:left w:w="70" w:type="dxa"/>
              <w:right w:w="70" w:type="dxa"/>
            </w:tcMar>
            <w:vAlign w:val="center"/>
          </w:tcPr>
          <w:p w14:paraId="707E0446"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987" w:type="dxa"/>
            <w:shd w:val="clear" w:color="auto" w:fill="DAE9F8"/>
            <w:tcMar>
              <w:left w:w="70" w:type="dxa"/>
              <w:right w:w="70" w:type="dxa"/>
            </w:tcMar>
            <w:vAlign w:val="center"/>
          </w:tcPr>
          <w:p w14:paraId="2D76E199"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811" w:type="dxa"/>
            <w:shd w:val="clear" w:color="auto" w:fill="DAE9F8"/>
            <w:tcMar>
              <w:left w:w="70" w:type="dxa"/>
              <w:right w:w="70" w:type="dxa"/>
            </w:tcMar>
            <w:vAlign w:val="center"/>
          </w:tcPr>
          <w:p w14:paraId="44B98146"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811" w:type="dxa"/>
            <w:shd w:val="clear" w:color="auto" w:fill="DAE9F8"/>
            <w:tcMar>
              <w:left w:w="70" w:type="dxa"/>
              <w:right w:w="70" w:type="dxa"/>
            </w:tcMar>
            <w:vAlign w:val="center"/>
          </w:tcPr>
          <w:p w14:paraId="1BA13A57"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811" w:type="dxa"/>
            <w:shd w:val="clear" w:color="auto" w:fill="F2CEEF"/>
            <w:tcMar>
              <w:left w:w="70" w:type="dxa"/>
              <w:right w:w="70" w:type="dxa"/>
            </w:tcMar>
            <w:vAlign w:val="center"/>
          </w:tcPr>
          <w:p w14:paraId="1347E244"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961" w:type="dxa"/>
            <w:shd w:val="clear" w:color="auto" w:fill="F2CEEF"/>
            <w:tcMar>
              <w:left w:w="70" w:type="dxa"/>
              <w:right w:w="70" w:type="dxa"/>
            </w:tcMar>
            <w:vAlign w:val="center"/>
          </w:tcPr>
          <w:p w14:paraId="47C00931"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824" w:type="dxa"/>
            <w:shd w:val="clear" w:color="auto" w:fill="F2CEEF"/>
            <w:tcMar>
              <w:left w:w="70" w:type="dxa"/>
              <w:right w:w="70" w:type="dxa"/>
            </w:tcMar>
            <w:vAlign w:val="center"/>
          </w:tcPr>
          <w:p w14:paraId="2D2D8960"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themeColor="text1"/>
              </w:rPr>
              <w:t>0</w:t>
            </w:r>
          </w:p>
        </w:tc>
      </w:tr>
      <w:tr w:rsidR="00F90461" w14:paraId="49D1CE8B" w14:textId="77777777" w:rsidTr="00FE5C31">
        <w:trPr>
          <w:trHeight w:val="465"/>
        </w:trPr>
        <w:tc>
          <w:tcPr>
            <w:tcW w:w="2279" w:type="dxa"/>
            <w:shd w:val="clear" w:color="auto" w:fill="E2EFD9" w:themeFill="accent6" w:themeFillTint="33"/>
            <w:tcMar>
              <w:left w:w="70" w:type="dxa"/>
              <w:right w:w="70" w:type="dxa"/>
            </w:tcMar>
            <w:vAlign w:val="center"/>
          </w:tcPr>
          <w:p w14:paraId="483D304E" w14:textId="77777777" w:rsidR="00160E95" w:rsidRPr="00A81971" w:rsidRDefault="0032495C" w:rsidP="001365A8">
            <w:pPr>
              <w:tabs>
                <w:tab w:val="left" w:pos="720"/>
              </w:tabs>
              <w:spacing w:after="0"/>
              <w:rPr>
                <w:rFonts w:eastAsia="Times New Roman"/>
                <w:color w:val="000000" w:themeColor="text1"/>
              </w:rPr>
            </w:pPr>
            <w:r w:rsidRPr="2E7655E2">
              <w:rPr>
                <w:rFonts w:eastAsia="Times New Roman"/>
                <w:color w:val="000000" w:themeColor="text1"/>
              </w:rPr>
              <w:t xml:space="preserve">Funding for KIP Verification </w:t>
            </w:r>
            <w:r>
              <w:rPr>
                <w:rFonts w:eastAsia="Times New Roman"/>
                <w:color w:val="000000" w:themeColor="text1"/>
                <w:vertAlign w:val="superscript"/>
              </w:rPr>
              <w:footnoteReference w:id="33"/>
            </w:r>
            <w:r w:rsidRPr="2E7655E2">
              <w:rPr>
                <w:rFonts w:eastAsia="Times New Roman"/>
                <w:color w:val="000000" w:themeColor="text1"/>
              </w:rPr>
              <w:t xml:space="preserve"> </w:t>
            </w:r>
          </w:p>
        </w:tc>
        <w:tc>
          <w:tcPr>
            <w:tcW w:w="1580" w:type="dxa"/>
            <w:tcMar>
              <w:left w:w="70" w:type="dxa"/>
              <w:right w:w="70" w:type="dxa"/>
            </w:tcMar>
            <w:vAlign w:val="center"/>
          </w:tcPr>
          <w:p w14:paraId="6E72FF7E"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lang w:eastAsia="pt-BR"/>
              </w:rPr>
              <w:t>24.20</w:t>
            </w:r>
          </w:p>
        </w:tc>
        <w:tc>
          <w:tcPr>
            <w:tcW w:w="987" w:type="dxa"/>
            <w:shd w:val="clear" w:color="auto" w:fill="DAE9F8"/>
            <w:tcMar>
              <w:left w:w="70" w:type="dxa"/>
              <w:right w:w="70" w:type="dxa"/>
            </w:tcMar>
            <w:vAlign w:val="center"/>
          </w:tcPr>
          <w:p w14:paraId="4CC078D6"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811" w:type="dxa"/>
            <w:shd w:val="clear" w:color="auto" w:fill="DAE9F8"/>
            <w:tcMar>
              <w:left w:w="70" w:type="dxa"/>
              <w:right w:w="70" w:type="dxa"/>
            </w:tcMar>
            <w:vAlign w:val="center"/>
          </w:tcPr>
          <w:p w14:paraId="0EE89185"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811" w:type="dxa"/>
            <w:shd w:val="clear" w:color="auto" w:fill="DAE9F8"/>
            <w:tcMar>
              <w:left w:w="70" w:type="dxa"/>
              <w:right w:w="70" w:type="dxa"/>
            </w:tcMar>
            <w:vAlign w:val="center"/>
          </w:tcPr>
          <w:p w14:paraId="0B2364C0"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811" w:type="dxa"/>
            <w:shd w:val="clear" w:color="auto" w:fill="F2CEEF"/>
            <w:tcMar>
              <w:left w:w="70" w:type="dxa"/>
              <w:right w:w="70" w:type="dxa"/>
            </w:tcMar>
            <w:vAlign w:val="center"/>
          </w:tcPr>
          <w:p w14:paraId="67DCCD86"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961" w:type="dxa"/>
            <w:shd w:val="clear" w:color="auto" w:fill="F2CEEF"/>
            <w:tcMar>
              <w:left w:w="70" w:type="dxa"/>
              <w:right w:w="70" w:type="dxa"/>
            </w:tcMar>
            <w:vAlign w:val="center"/>
          </w:tcPr>
          <w:p w14:paraId="1CC57B3A"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824" w:type="dxa"/>
            <w:shd w:val="clear" w:color="auto" w:fill="F2CEEF"/>
            <w:tcMar>
              <w:left w:w="70" w:type="dxa"/>
              <w:right w:w="70" w:type="dxa"/>
            </w:tcMar>
            <w:vAlign w:val="center"/>
          </w:tcPr>
          <w:p w14:paraId="5F1528F9"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r>
      <w:tr w:rsidR="00F90461" w14:paraId="5853A304" w14:textId="77777777" w:rsidTr="00FE5C31">
        <w:trPr>
          <w:trHeight w:val="465"/>
        </w:trPr>
        <w:tc>
          <w:tcPr>
            <w:tcW w:w="2279" w:type="dxa"/>
            <w:shd w:val="clear" w:color="auto" w:fill="E2EFD9" w:themeFill="accent6" w:themeFillTint="33"/>
            <w:tcMar>
              <w:left w:w="70" w:type="dxa"/>
              <w:right w:w="70" w:type="dxa"/>
            </w:tcMar>
            <w:vAlign w:val="center"/>
          </w:tcPr>
          <w:p w14:paraId="10ED8E87"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Energy Efficiency (</w:t>
            </w:r>
            <w:r w:rsidRPr="00A81971">
              <w:rPr>
                <w:rFonts w:eastAsia="Times New Roman"/>
                <w:color w:val="000000" w:themeColor="text1"/>
                <w:u w:val="single"/>
              </w:rPr>
              <w:t>low-end option</w:t>
            </w:r>
            <w:r w:rsidRPr="00A81971">
              <w:rPr>
                <w:rFonts w:eastAsia="Times New Roman"/>
                <w:color w:val="000000" w:themeColor="text1"/>
              </w:rPr>
              <w:t>)</w:t>
            </w:r>
          </w:p>
        </w:tc>
        <w:tc>
          <w:tcPr>
            <w:tcW w:w="1580" w:type="dxa"/>
            <w:tcMar>
              <w:left w:w="70" w:type="dxa"/>
              <w:right w:w="70" w:type="dxa"/>
            </w:tcMar>
            <w:vAlign w:val="center"/>
          </w:tcPr>
          <w:p w14:paraId="04819754" w14:textId="77777777" w:rsidR="00160E95" w:rsidRPr="00A81971" w:rsidRDefault="0032495C" w:rsidP="008F1975">
            <w:pPr>
              <w:tabs>
                <w:tab w:val="left" w:pos="720"/>
              </w:tabs>
              <w:spacing w:after="0" w:line="257" w:lineRule="auto"/>
              <w:jc w:val="right"/>
              <w:rPr>
                <w:rFonts w:eastAsia="Times New Roman"/>
                <w:color w:val="000000" w:themeColor="text1"/>
              </w:rPr>
            </w:pPr>
            <w:r w:rsidRPr="00A81971">
              <w:rPr>
                <w:rFonts w:eastAsia="Times New Roman"/>
                <w:color w:val="000000"/>
                <w:lang w:eastAsia="pt-BR"/>
              </w:rPr>
              <w:t>61.70</w:t>
            </w:r>
          </w:p>
        </w:tc>
        <w:tc>
          <w:tcPr>
            <w:tcW w:w="987" w:type="dxa"/>
            <w:shd w:val="clear" w:color="auto" w:fill="DAE9F8"/>
            <w:tcMar>
              <w:left w:w="70" w:type="dxa"/>
              <w:right w:w="70" w:type="dxa"/>
            </w:tcMar>
            <w:vAlign w:val="center"/>
          </w:tcPr>
          <w:p w14:paraId="7A973386" w14:textId="77777777" w:rsidR="00160E95" w:rsidRPr="00A81971" w:rsidRDefault="0032495C" w:rsidP="008F1975">
            <w:pPr>
              <w:tabs>
                <w:tab w:val="left" w:pos="720"/>
              </w:tabs>
              <w:spacing w:after="0" w:line="257" w:lineRule="auto"/>
              <w:jc w:val="right"/>
              <w:rPr>
                <w:rFonts w:eastAsia="Times New Roman"/>
                <w:color w:val="000000" w:themeColor="text1"/>
              </w:rPr>
            </w:pPr>
            <w:r w:rsidRPr="00A81971">
              <w:rPr>
                <w:rFonts w:eastAsia="Aptos"/>
                <w:color w:val="000000"/>
              </w:rPr>
              <w:t>61.70</w:t>
            </w:r>
          </w:p>
        </w:tc>
        <w:tc>
          <w:tcPr>
            <w:tcW w:w="811" w:type="dxa"/>
            <w:shd w:val="clear" w:color="auto" w:fill="DAE9F8"/>
            <w:tcMar>
              <w:left w:w="70" w:type="dxa"/>
              <w:right w:w="70" w:type="dxa"/>
            </w:tcMar>
            <w:vAlign w:val="center"/>
          </w:tcPr>
          <w:p w14:paraId="15A09CDC"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811" w:type="dxa"/>
            <w:shd w:val="clear" w:color="auto" w:fill="DAE9F8"/>
            <w:tcMar>
              <w:left w:w="70" w:type="dxa"/>
              <w:right w:w="70" w:type="dxa"/>
            </w:tcMar>
            <w:vAlign w:val="center"/>
          </w:tcPr>
          <w:p w14:paraId="4DAE5D17"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811" w:type="dxa"/>
            <w:shd w:val="clear" w:color="auto" w:fill="F2CEEF"/>
            <w:tcMar>
              <w:left w:w="70" w:type="dxa"/>
              <w:right w:w="70" w:type="dxa"/>
            </w:tcMar>
            <w:vAlign w:val="center"/>
          </w:tcPr>
          <w:p w14:paraId="35362BE6" w14:textId="77777777" w:rsidR="00160E95" w:rsidRPr="00A81971" w:rsidRDefault="0032495C" w:rsidP="008F1975">
            <w:pPr>
              <w:tabs>
                <w:tab w:val="left" w:pos="720"/>
              </w:tabs>
              <w:spacing w:after="0" w:line="257" w:lineRule="auto"/>
              <w:jc w:val="right"/>
              <w:rPr>
                <w:rFonts w:eastAsia="Times New Roman"/>
                <w:color w:val="000000" w:themeColor="text1"/>
              </w:rPr>
            </w:pPr>
            <w:r w:rsidRPr="00A81971">
              <w:rPr>
                <w:rFonts w:eastAsia="Aptos"/>
                <w:color w:val="000000"/>
              </w:rPr>
              <w:t>61.70</w:t>
            </w:r>
          </w:p>
        </w:tc>
        <w:tc>
          <w:tcPr>
            <w:tcW w:w="961" w:type="dxa"/>
            <w:shd w:val="clear" w:color="auto" w:fill="F2CEEF"/>
            <w:tcMar>
              <w:left w:w="70" w:type="dxa"/>
              <w:right w:w="70" w:type="dxa"/>
            </w:tcMar>
            <w:vAlign w:val="center"/>
          </w:tcPr>
          <w:p w14:paraId="7A3EE9A6"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824" w:type="dxa"/>
            <w:shd w:val="clear" w:color="auto" w:fill="F2CEEF"/>
            <w:tcMar>
              <w:left w:w="70" w:type="dxa"/>
              <w:right w:w="70" w:type="dxa"/>
            </w:tcMar>
            <w:vAlign w:val="center"/>
          </w:tcPr>
          <w:p w14:paraId="5A967000"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25B9AA65" w14:textId="77777777" w:rsidTr="00FE5C31">
        <w:trPr>
          <w:trHeight w:val="465"/>
        </w:trPr>
        <w:tc>
          <w:tcPr>
            <w:tcW w:w="2279" w:type="dxa"/>
            <w:shd w:val="clear" w:color="auto" w:fill="E2EFD9" w:themeFill="accent6" w:themeFillTint="33"/>
            <w:tcMar>
              <w:left w:w="70" w:type="dxa"/>
              <w:right w:w="70" w:type="dxa"/>
            </w:tcMar>
            <w:vAlign w:val="center"/>
          </w:tcPr>
          <w:p w14:paraId="1BA1A354"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Pilot Projects for Regional Atmospheric Monitoring</w:t>
            </w:r>
          </w:p>
        </w:tc>
        <w:tc>
          <w:tcPr>
            <w:tcW w:w="1580" w:type="dxa"/>
            <w:tcMar>
              <w:left w:w="70" w:type="dxa"/>
              <w:right w:w="70" w:type="dxa"/>
            </w:tcMar>
            <w:vAlign w:val="center"/>
          </w:tcPr>
          <w:p w14:paraId="23037CF3"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Times New Roman"/>
                <w:color w:val="000000"/>
                <w:lang w:eastAsia="pt-BR"/>
              </w:rPr>
              <w:t>9.25</w:t>
            </w:r>
          </w:p>
        </w:tc>
        <w:tc>
          <w:tcPr>
            <w:tcW w:w="987" w:type="dxa"/>
            <w:shd w:val="clear" w:color="auto" w:fill="DAE9F8"/>
            <w:tcMar>
              <w:left w:w="70" w:type="dxa"/>
              <w:right w:w="70" w:type="dxa"/>
            </w:tcMar>
            <w:vAlign w:val="center"/>
          </w:tcPr>
          <w:p w14:paraId="57DD28EE"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811" w:type="dxa"/>
            <w:shd w:val="clear" w:color="auto" w:fill="DAE9F8"/>
            <w:tcMar>
              <w:left w:w="70" w:type="dxa"/>
              <w:right w:w="70" w:type="dxa"/>
            </w:tcMar>
            <w:vAlign w:val="center"/>
          </w:tcPr>
          <w:p w14:paraId="5A780435"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811" w:type="dxa"/>
            <w:shd w:val="clear" w:color="auto" w:fill="DAE9F8"/>
            <w:tcMar>
              <w:left w:w="70" w:type="dxa"/>
              <w:right w:w="70" w:type="dxa"/>
            </w:tcMar>
            <w:vAlign w:val="center"/>
          </w:tcPr>
          <w:p w14:paraId="4946459D"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811" w:type="dxa"/>
            <w:shd w:val="clear" w:color="auto" w:fill="F2CEEF"/>
            <w:tcMar>
              <w:left w:w="70" w:type="dxa"/>
              <w:right w:w="70" w:type="dxa"/>
            </w:tcMar>
            <w:vAlign w:val="center"/>
          </w:tcPr>
          <w:p w14:paraId="27E96224"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961" w:type="dxa"/>
            <w:shd w:val="clear" w:color="auto" w:fill="F2CEEF"/>
            <w:tcMar>
              <w:left w:w="70" w:type="dxa"/>
              <w:right w:w="70" w:type="dxa"/>
            </w:tcMar>
            <w:vAlign w:val="center"/>
          </w:tcPr>
          <w:p w14:paraId="3F66CB35"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824" w:type="dxa"/>
            <w:shd w:val="clear" w:color="auto" w:fill="F2CEEF"/>
            <w:tcMar>
              <w:left w:w="70" w:type="dxa"/>
              <w:right w:w="70" w:type="dxa"/>
            </w:tcMar>
            <w:vAlign w:val="center"/>
          </w:tcPr>
          <w:p w14:paraId="658E78B5" w14:textId="77777777" w:rsidR="00160E95" w:rsidRPr="00A81971" w:rsidRDefault="0032495C" w:rsidP="008F197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7E27BBFD" w14:textId="77777777" w:rsidTr="00FE5C31">
        <w:trPr>
          <w:trHeight w:val="465"/>
        </w:trPr>
        <w:tc>
          <w:tcPr>
            <w:tcW w:w="2279" w:type="dxa"/>
            <w:shd w:val="clear" w:color="auto" w:fill="E2EFD9" w:themeFill="accent6" w:themeFillTint="33"/>
            <w:tcMar>
              <w:left w:w="70" w:type="dxa"/>
              <w:right w:w="70" w:type="dxa"/>
            </w:tcMar>
            <w:vAlign w:val="center"/>
          </w:tcPr>
          <w:p w14:paraId="5ECABB15"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Sub-Total 2</w:t>
            </w:r>
          </w:p>
        </w:tc>
        <w:tc>
          <w:tcPr>
            <w:tcW w:w="1580" w:type="dxa"/>
            <w:tcMar>
              <w:left w:w="70" w:type="dxa"/>
              <w:right w:w="70" w:type="dxa"/>
            </w:tcMar>
            <w:vAlign w:val="center"/>
          </w:tcPr>
          <w:p w14:paraId="2277FF07"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116.88</w:t>
            </w:r>
          </w:p>
        </w:tc>
        <w:tc>
          <w:tcPr>
            <w:tcW w:w="987" w:type="dxa"/>
            <w:shd w:val="clear" w:color="auto" w:fill="DAE9F8"/>
            <w:tcMar>
              <w:left w:w="70" w:type="dxa"/>
              <w:right w:w="70" w:type="dxa"/>
            </w:tcMar>
            <w:vAlign w:val="center"/>
          </w:tcPr>
          <w:p w14:paraId="707F86AF"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93.43</w:t>
            </w:r>
          </w:p>
        </w:tc>
        <w:tc>
          <w:tcPr>
            <w:tcW w:w="811" w:type="dxa"/>
            <w:shd w:val="clear" w:color="auto" w:fill="DAE9F8"/>
            <w:tcMar>
              <w:left w:w="70" w:type="dxa"/>
              <w:right w:w="70" w:type="dxa"/>
            </w:tcMar>
            <w:vAlign w:val="center"/>
          </w:tcPr>
          <w:p w14:paraId="675ECAED"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15.37</w:t>
            </w:r>
          </w:p>
        </w:tc>
        <w:tc>
          <w:tcPr>
            <w:tcW w:w="811" w:type="dxa"/>
            <w:shd w:val="clear" w:color="auto" w:fill="DAE9F8"/>
            <w:tcMar>
              <w:left w:w="70" w:type="dxa"/>
              <w:right w:w="70" w:type="dxa"/>
            </w:tcMar>
            <w:vAlign w:val="center"/>
          </w:tcPr>
          <w:p w14:paraId="3A9BE0E8"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8.07</w:t>
            </w:r>
          </w:p>
        </w:tc>
        <w:tc>
          <w:tcPr>
            <w:tcW w:w="811" w:type="dxa"/>
            <w:shd w:val="clear" w:color="auto" w:fill="F2CEEF"/>
            <w:tcMar>
              <w:left w:w="70" w:type="dxa"/>
              <w:right w:w="70" w:type="dxa"/>
            </w:tcMar>
            <w:vAlign w:val="center"/>
          </w:tcPr>
          <w:p w14:paraId="090FF2F6"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93.43</w:t>
            </w:r>
          </w:p>
        </w:tc>
        <w:tc>
          <w:tcPr>
            <w:tcW w:w="961" w:type="dxa"/>
            <w:shd w:val="clear" w:color="auto" w:fill="F2CEEF"/>
            <w:tcMar>
              <w:left w:w="70" w:type="dxa"/>
              <w:right w:w="70" w:type="dxa"/>
            </w:tcMar>
            <w:vAlign w:val="center"/>
          </w:tcPr>
          <w:p w14:paraId="43E87034"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15.37</w:t>
            </w:r>
          </w:p>
        </w:tc>
        <w:tc>
          <w:tcPr>
            <w:tcW w:w="824" w:type="dxa"/>
            <w:shd w:val="clear" w:color="auto" w:fill="F2CEEF"/>
            <w:tcMar>
              <w:left w:w="70" w:type="dxa"/>
              <w:right w:w="70" w:type="dxa"/>
            </w:tcMar>
            <w:vAlign w:val="center"/>
          </w:tcPr>
          <w:p w14:paraId="47255481" w14:textId="77777777" w:rsidR="00160E95" w:rsidRPr="00A81971" w:rsidRDefault="0032495C" w:rsidP="008F1975">
            <w:pPr>
              <w:tabs>
                <w:tab w:val="left" w:pos="720"/>
              </w:tabs>
              <w:spacing w:after="0"/>
              <w:jc w:val="right"/>
              <w:rPr>
                <w:rFonts w:eastAsia="Times New Roman"/>
                <w:b/>
                <w:bCs/>
                <w:color w:val="000000" w:themeColor="text1"/>
              </w:rPr>
            </w:pPr>
            <w:r w:rsidRPr="00A81971">
              <w:rPr>
                <w:rFonts w:eastAsia="Times New Roman"/>
                <w:b/>
                <w:bCs/>
                <w:color w:val="000000"/>
                <w:lang w:eastAsia="pt-BR"/>
              </w:rPr>
              <w:t>8.07</w:t>
            </w:r>
          </w:p>
        </w:tc>
      </w:tr>
      <w:tr w:rsidR="00F90461" w14:paraId="27BA612E" w14:textId="77777777" w:rsidTr="00FE5C31">
        <w:trPr>
          <w:trHeight w:val="465"/>
        </w:trPr>
        <w:tc>
          <w:tcPr>
            <w:tcW w:w="2279" w:type="dxa"/>
            <w:shd w:val="clear" w:color="auto" w:fill="FFFF00"/>
            <w:tcMar>
              <w:left w:w="70" w:type="dxa"/>
              <w:right w:w="70" w:type="dxa"/>
            </w:tcMar>
            <w:vAlign w:val="center"/>
          </w:tcPr>
          <w:p w14:paraId="5563E506"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Total for HFC Consumption Sector</w:t>
            </w:r>
          </w:p>
        </w:tc>
        <w:tc>
          <w:tcPr>
            <w:tcW w:w="1580" w:type="dxa"/>
            <w:tcMar>
              <w:left w:w="70" w:type="dxa"/>
              <w:right w:w="70" w:type="dxa"/>
            </w:tcMar>
            <w:vAlign w:val="center"/>
          </w:tcPr>
          <w:p w14:paraId="74560ACB" w14:textId="77777777" w:rsidR="00160E95" w:rsidRPr="00A81971" w:rsidRDefault="0032495C" w:rsidP="008F1975">
            <w:pPr>
              <w:tabs>
                <w:tab w:val="left" w:pos="720"/>
              </w:tabs>
              <w:spacing w:after="0"/>
              <w:jc w:val="right"/>
              <w:rPr>
                <w:rFonts w:eastAsia="Times New Roman"/>
                <w:b/>
                <w:bCs/>
                <w:color w:val="000000" w:themeColor="text1"/>
              </w:rPr>
            </w:pPr>
            <w:r w:rsidRPr="00A81971">
              <w:rPr>
                <w:b/>
                <w:bCs/>
              </w:rPr>
              <w:t>2,271.96</w:t>
            </w:r>
          </w:p>
        </w:tc>
        <w:tc>
          <w:tcPr>
            <w:tcW w:w="987" w:type="dxa"/>
            <w:shd w:val="clear" w:color="auto" w:fill="DAE9F8"/>
            <w:tcMar>
              <w:left w:w="70" w:type="dxa"/>
              <w:right w:w="70" w:type="dxa"/>
            </w:tcMar>
            <w:vAlign w:val="center"/>
          </w:tcPr>
          <w:p w14:paraId="23E8F201" w14:textId="77777777" w:rsidR="00160E95" w:rsidRPr="00A81971" w:rsidRDefault="0032495C" w:rsidP="008F1975">
            <w:pPr>
              <w:tabs>
                <w:tab w:val="left" w:pos="720"/>
              </w:tabs>
              <w:spacing w:after="0" w:line="257" w:lineRule="auto"/>
              <w:jc w:val="right"/>
              <w:rPr>
                <w:rFonts w:eastAsia="Times New Roman"/>
                <w:b/>
                <w:bCs/>
                <w:color w:val="000000" w:themeColor="text1"/>
              </w:rPr>
            </w:pPr>
            <w:r w:rsidRPr="00A81971">
              <w:rPr>
                <w:b/>
                <w:bCs/>
              </w:rPr>
              <w:t>957.98</w:t>
            </w:r>
          </w:p>
        </w:tc>
        <w:tc>
          <w:tcPr>
            <w:tcW w:w="811" w:type="dxa"/>
            <w:shd w:val="clear" w:color="auto" w:fill="DAE9F8"/>
            <w:tcMar>
              <w:left w:w="70" w:type="dxa"/>
              <w:right w:w="70" w:type="dxa"/>
            </w:tcMar>
            <w:vAlign w:val="center"/>
          </w:tcPr>
          <w:p w14:paraId="3A98C557" w14:textId="77777777" w:rsidR="00160E95" w:rsidRPr="00A81971" w:rsidRDefault="0032495C" w:rsidP="008F1975">
            <w:pPr>
              <w:tabs>
                <w:tab w:val="left" w:pos="720"/>
              </w:tabs>
              <w:spacing w:after="0"/>
              <w:jc w:val="right"/>
              <w:rPr>
                <w:rFonts w:eastAsia="Times New Roman"/>
                <w:b/>
                <w:bCs/>
                <w:color w:val="000000" w:themeColor="text1"/>
              </w:rPr>
            </w:pPr>
            <w:r w:rsidRPr="00A81971">
              <w:rPr>
                <w:b/>
                <w:bCs/>
              </w:rPr>
              <w:t>860.31</w:t>
            </w:r>
          </w:p>
        </w:tc>
        <w:tc>
          <w:tcPr>
            <w:tcW w:w="811" w:type="dxa"/>
            <w:shd w:val="clear" w:color="auto" w:fill="DAE9F8"/>
            <w:tcMar>
              <w:left w:w="70" w:type="dxa"/>
              <w:right w:w="70" w:type="dxa"/>
            </w:tcMar>
            <w:vAlign w:val="center"/>
          </w:tcPr>
          <w:p w14:paraId="11D75E32" w14:textId="77777777" w:rsidR="00160E95" w:rsidRPr="00A81971" w:rsidRDefault="0032495C" w:rsidP="008F1975">
            <w:pPr>
              <w:tabs>
                <w:tab w:val="left" w:pos="720"/>
              </w:tabs>
              <w:spacing w:after="0"/>
              <w:jc w:val="right"/>
              <w:rPr>
                <w:rFonts w:eastAsia="Times New Roman"/>
                <w:b/>
                <w:bCs/>
                <w:color w:val="000000" w:themeColor="text1"/>
              </w:rPr>
            </w:pPr>
            <w:r w:rsidRPr="00A81971">
              <w:rPr>
                <w:b/>
                <w:bCs/>
              </w:rPr>
              <w:t>453.66</w:t>
            </w:r>
          </w:p>
        </w:tc>
        <w:tc>
          <w:tcPr>
            <w:tcW w:w="811" w:type="dxa"/>
            <w:shd w:val="clear" w:color="auto" w:fill="F2CEEF"/>
            <w:tcMar>
              <w:left w:w="70" w:type="dxa"/>
              <w:right w:w="70" w:type="dxa"/>
            </w:tcMar>
            <w:vAlign w:val="center"/>
          </w:tcPr>
          <w:p w14:paraId="0E455180" w14:textId="77777777" w:rsidR="00160E95" w:rsidRPr="00A81971" w:rsidRDefault="0032495C" w:rsidP="008F1975">
            <w:pPr>
              <w:tabs>
                <w:tab w:val="left" w:pos="720"/>
              </w:tabs>
              <w:spacing w:after="0" w:line="257" w:lineRule="auto"/>
              <w:jc w:val="right"/>
              <w:rPr>
                <w:rFonts w:eastAsia="Times New Roman"/>
                <w:b/>
                <w:bCs/>
                <w:color w:val="000000" w:themeColor="text1"/>
              </w:rPr>
            </w:pPr>
            <w:r w:rsidRPr="00A81971">
              <w:rPr>
                <w:b/>
                <w:bCs/>
              </w:rPr>
              <w:t>659.61</w:t>
            </w:r>
          </w:p>
        </w:tc>
        <w:tc>
          <w:tcPr>
            <w:tcW w:w="961" w:type="dxa"/>
            <w:shd w:val="clear" w:color="auto" w:fill="F2CEEF"/>
            <w:tcMar>
              <w:left w:w="70" w:type="dxa"/>
              <w:right w:w="70" w:type="dxa"/>
            </w:tcMar>
            <w:vAlign w:val="center"/>
          </w:tcPr>
          <w:p w14:paraId="14544ADC" w14:textId="77777777" w:rsidR="00160E95" w:rsidRPr="00A81971" w:rsidRDefault="0032495C" w:rsidP="008F1975">
            <w:pPr>
              <w:tabs>
                <w:tab w:val="left" w:pos="720"/>
              </w:tabs>
              <w:spacing w:after="0"/>
              <w:jc w:val="right"/>
              <w:rPr>
                <w:rFonts w:eastAsia="Times New Roman"/>
                <w:b/>
                <w:bCs/>
                <w:color w:val="000000" w:themeColor="text1"/>
              </w:rPr>
            </w:pPr>
            <w:r w:rsidRPr="00A81971">
              <w:rPr>
                <w:b/>
                <w:bCs/>
              </w:rPr>
              <w:t>1,043.47</w:t>
            </w:r>
          </w:p>
        </w:tc>
        <w:tc>
          <w:tcPr>
            <w:tcW w:w="824" w:type="dxa"/>
            <w:shd w:val="clear" w:color="auto" w:fill="F2CEEF"/>
            <w:tcMar>
              <w:left w:w="70" w:type="dxa"/>
              <w:right w:w="70" w:type="dxa"/>
            </w:tcMar>
            <w:vAlign w:val="center"/>
          </w:tcPr>
          <w:p w14:paraId="00C8859C" w14:textId="77777777" w:rsidR="00160E95" w:rsidRPr="00A81971" w:rsidRDefault="0032495C" w:rsidP="008F1975">
            <w:pPr>
              <w:tabs>
                <w:tab w:val="left" w:pos="720"/>
              </w:tabs>
              <w:spacing w:after="0"/>
              <w:jc w:val="right"/>
              <w:rPr>
                <w:rFonts w:eastAsia="Times New Roman"/>
                <w:b/>
                <w:bCs/>
                <w:color w:val="000000" w:themeColor="text1"/>
              </w:rPr>
            </w:pPr>
            <w:r w:rsidRPr="00A81971">
              <w:rPr>
                <w:b/>
                <w:bCs/>
              </w:rPr>
              <w:t>568.87</w:t>
            </w:r>
          </w:p>
        </w:tc>
      </w:tr>
    </w:tbl>
    <w:p w14:paraId="342EDB55" w14:textId="77777777" w:rsidR="00160E95" w:rsidRPr="00A81971" w:rsidRDefault="0032495C" w:rsidP="00160E95">
      <w:pPr>
        <w:tabs>
          <w:tab w:val="left" w:pos="0"/>
          <w:tab w:val="left" w:pos="1418"/>
        </w:tabs>
        <w:spacing w:after="240"/>
        <w:ind w:left="1418" w:hanging="1418"/>
        <w:rPr>
          <w:rFonts w:eastAsia="Times New Roman"/>
          <w:b/>
          <w:bCs/>
          <w:color w:val="000000" w:themeColor="text1"/>
        </w:rPr>
      </w:pPr>
      <w:r w:rsidRPr="00A81971">
        <w:rPr>
          <w:rFonts w:eastAsia="Times New Roman"/>
          <w:b/>
          <w:bCs/>
          <w:color w:val="000000" w:themeColor="text1"/>
        </w:rPr>
        <w:t xml:space="preserve"> </w:t>
      </w:r>
    </w:p>
    <w:p w14:paraId="04A12503" w14:textId="77777777" w:rsidR="002F76B0" w:rsidRDefault="0032495C">
      <w:pPr>
        <w:spacing w:after="0"/>
        <w:rPr>
          <w:rFonts w:eastAsia="Yu Mincho"/>
          <w:b/>
          <w:bCs/>
          <w:color w:val="000000"/>
          <w:lang w:val="en-CA"/>
        </w:rPr>
      </w:pPr>
      <w:r>
        <w:rPr>
          <w:rFonts w:eastAsia="Yu Mincho"/>
          <w:b/>
          <w:bCs/>
          <w:color w:val="000000"/>
          <w:lang w:val="en-CA"/>
        </w:rPr>
        <w:br w:type="page"/>
      </w:r>
    </w:p>
    <w:p w14:paraId="351586BF" w14:textId="77777777" w:rsidR="007F0CFA" w:rsidRPr="00A81971" w:rsidRDefault="0032495C" w:rsidP="00EA1496">
      <w:pPr>
        <w:tabs>
          <w:tab w:val="left" w:pos="0"/>
          <w:tab w:val="left" w:pos="1276"/>
        </w:tabs>
        <w:spacing w:after="120"/>
        <w:ind w:left="1282" w:hanging="1282"/>
        <w:rPr>
          <w:rFonts w:eastAsia="Times New Roman"/>
          <w:b/>
          <w:bCs/>
          <w:color w:val="000000" w:themeColor="text1"/>
        </w:rPr>
      </w:pPr>
      <w:r w:rsidRPr="0006445E">
        <w:rPr>
          <w:rFonts w:eastAsia="Yu Mincho"/>
          <w:b/>
          <w:bCs/>
          <w:color w:val="000000"/>
          <w:lang w:val="en-CA"/>
        </w:rPr>
        <w:lastRenderedPageBreak/>
        <w:t xml:space="preserve">Table </w:t>
      </w:r>
      <w:r>
        <w:rPr>
          <w:rFonts w:eastAsia="Yu Mincho"/>
          <w:b/>
          <w:bCs/>
          <w:color w:val="000000"/>
          <w:lang w:val="en-CA"/>
        </w:rPr>
        <w:t>A3.16:</w:t>
      </w:r>
      <w:r w:rsidRPr="0006445E">
        <w:rPr>
          <w:rFonts w:eastAsia="Times New Roman"/>
          <w:color w:val="000000"/>
          <w:lang w:val="en-CA"/>
        </w:rPr>
        <w:tab/>
      </w:r>
      <w:r w:rsidRPr="00A81971">
        <w:rPr>
          <w:rFonts w:eastAsia="Times New Roman"/>
          <w:b/>
          <w:bCs/>
          <w:color w:val="000000" w:themeColor="text1"/>
        </w:rPr>
        <w:t>Total funding estimate for HFC consumption sector for the HFC Scenario 2 to address Stage</w:t>
      </w:r>
      <w:r w:rsidR="00311D9D">
        <w:rPr>
          <w:rFonts w:eastAsia="Times New Roman"/>
          <w:b/>
          <w:bCs/>
          <w:color w:val="000000" w:themeColor="text1"/>
        </w:rPr>
        <w:t>s</w:t>
      </w:r>
      <w:r w:rsidRPr="00A81971">
        <w:rPr>
          <w:rFonts w:eastAsia="Times New Roman"/>
          <w:b/>
          <w:bCs/>
          <w:color w:val="000000" w:themeColor="text1"/>
        </w:rPr>
        <w:t xml:space="preserve"> I and II targets (US$ million)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1415"/>
        <w:gridCol w:w="971"/>
        <w:gridCol w:w="798"/>
        <w:gridCol w:w="860"/>
        <w:gridCol w:w="910"/>
        <w:gridCol w:w="988"/>
        <w:gridCol w:w="910"/>
      </w:tblGrid>
      <w:tr w:rsidR="00F90461" w14:paraId="40B892AA" w14:textId="77777777" w:rsidTr="2E7655E2">
        <w:trPr>
          <w:trHeight w:val="645"/>
          <w:tblHeader/>
        </w:trPr>
        <w:tc>
          <w:tcPr>
            <w:tcW w:w="2222" w:type="dxa"/>
            <w:tcMar>
              <w:left w:w="70" w:type="dxa"/>
              <w:right w:w="70" w:type="dxa"/>
            </w:tcMar>
            <w:vAlign w:val="center"/>
          </w:tcPr>
          <w:p w14:paraId="15DF1462"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HFC CONSUMPTION SECTOR</w:t>
            </w:r>
          </w:p>
        </w:tc>
        <w:tc>
          <w:tcPr>
            <w:tcW w:w="1415" w:type="dxa"/>
            <w:tcMar>
              <w:left w:w="70" w:type="dxa"/>
              <w:right w:w="70" w:type="dxa"/>
            </w:tcMar>
            <w:vAlign w:val="center"/>
          </w:tcPr>
          <w:p w14:paraId="2A1DBE45"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Total for 3 Triennia</w:t>
            </w:r>
          </w:p>
          <w:p w14:paraId="521923E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 to 2035 period)</w:t>
            </w:r>
          </w:p>
        </w:tc>
        <w:tc>
          <w:tcPr>
            <w:tcW w:w="2629" w:type="dxa"/>
            <w:gridSpan w:val="3"/>
            <w:shd w:val="clear" w:color="auto" w:fill="DAE9F8"/>
            <w:tcMar>
              <w:left w:w="70" w:type="dxa"/>
              <w:right w:w="70" w:type="dxa"/>
            </w:tcMar>
            <w:vAlign w:val="center"/>
          </w:tcPr>
          <w:p w14:paraId="298384BD"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A</w:t>
            </w:r>
          </w:p>
        </w:tc>
        <w:tc>
          <w:tcPr>
            <w:tcW w:w="2808" w:type="dxa"/>
            <w:gridSpan w:val="3"/>
            <w:shd w:val="clear" w:color="auto" w:fill="F2CEEF"/>
            <w:tcMar>
              <w:left w:w="70" w:type="dxa"/>
              <w:right w:w="70" w:type="dxa"/>
            </w:tcMar>
            <w:vAlign w:val="center"/>
          </w:tcPr>
          <w:p w14:paraId="358815C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Resource Allocation B</w:t>
            </w:r>
          </w:p>
        </w:tc>
      </w:tr>
      <w:tr w:rsidR="00F90461" w14:paraId="0DC4D97C" w14:textId="77777777" w:rsidTr="2E7655E2">
        <w:trPr>
          <w:trHeight w:val="1065"/>
        </w:trPr>
        <w:tc>
          <w:tcPr>
            <w:tcW w:w="2222" w:type="dxa"/>
            <w:tcMar>
              <w:left w:w="70" w:type="dxa"/>
              <w:right w:w="70" w:type="dxa"/>
            </w:tcMar>
            <w:vAlign w:val="center"/>
          </w:tcPr>
          <w:p w14:paraId="03DF6B03"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HFC Scenario 2</w:t>
            </w:r>
          </w:p>
          <w:p w14:paraId="2D19111B"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(CEs for SMEs)</w:t>
            </w:r>
          </w:p>
        </w:tc>
        <w:tc>
          <w:tcPr>
            <w:tcW w:w="1415" w:type="dxa"/>
            <w:tcMar>
              <w:left w:w="70" w:type="dxa"/>
              <w:right w:w="70" w:type="dxa"/>
            </w:tcMar>
            <w:vAlign w:val="center"/>
          </w:tcPr>
          <w:p w14:paraId="35B2096F"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Funding for Stages I and II</w:t>
            </w:r>
          </w:p>
        </w:tc>
        <w:tc>
          <w:tcPr>
            <w:tcW w:w="971" w:type="dxa"/>
            <w:shd w:val="clear" w:color="auto" w:fill="DAE9F8"/>
            <w:tcMar>
              <w:left w:w="70" w:type="dxa"/>
              <w:right w:w="70" w:type="dxa"/>
            </w:tcMar>
            <w:vAlign w:val="center"/>
          </w:tcPr>
          <w:p w14:paraId="0A20ABE3"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798" w:type="dxa"/>
            <w:shd w:val="clear" w:color="auto" w:fill="DAE9F8"/>
            <w:tcMar>
              <w:left w:w="70" w:type="dxa"/>
              <w:right w:w="70" w:type="dxa"/>
            </w:tcMar>
            <w:vAlign w:val="center"/>
          </w:tcPr>
          <w:p w14:paraId="226EDEA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860" w:type="dxa"/>
            <w:shd w:val="clear" w:color="auto" w:fill="DAE9F8"/>
            <w:tcMar>
              <w:left w:w="70" w:type="dxa"/>
              <w:right w:w="70" w:type="dxa"/>
            </w:tcMar>
            <w:vAlign w:val="center"/>
          </w:tcPr>
          <w:p w14:paraId="1260BFE8"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c>
          <w:tcPr>
            <w:tcW w:w="910" w:type="dxa"/>
            <w:shd w:val="clear" w:color="auto" w:fill="F2CEEF"/>
            <w:tcMar>
              <w:left w:w="70" w:type="dxa"/>
              <w:right w:w="70" w:type="dxa"/>
            </w:tcMar>
            <w:vAlign w:val="center"/>
          </w:tcPr>
          <w:p w14:paraId="24AED7D6"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2027-2029</w:t>
            </w:r>
          </w:p>
        </w:tc>
        <w:tc>
          <w:tcPr>
            <w:tcW w:w="988" w:type="dxa"/>
            <w:shd w:val="clear" w:color="auto" w:fill="F2CEEF"/>
            <w:tcMar>
              <w:left w:w="70" w:type="dxa"/>
              <w:right w:w="70" w:type="dxa"/>
            </w:tcMar>
            <w:vAlign w:val="center"/>
          </w:tcPr>
          <w:p w14:paraId="629AFB31"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2030-2032</w:t>
            </w:r>
          </w:p>
        </w:tc>
        <w:tc>
          <w:tcPr>
            <w:tcW w:w="910" w:type="dxa"/>
            <w:shd w:val="clear" w:color="auto" w:fill="F2CEEF"/>
            <w:tcMar>
              <w:left w:w="70" w:type="dxa"/>
              <w:right w:w="70" w:type="dxa"/>
            </w:tcMar>
            <w:vAlign w:val="center"/>
          </w:tcPr>
          <w:p w14:paraId="6EA36775"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2033-2035</w:t>
            </w:r>
          </w:p>
        </w:tc>
      </w:tr>
      <w:tr w:rsidR="00F90461" w14:paraId="775F239B" w14:textId="77777777" w:rsidTr="00FE5C31">
        <w:trPr>
          <w:trHeight w:val="465"/>
        </w:trPr>
        <w:tc>
          <w:tcPr>
            <w:tcW w:w="2222" w:type="dxa"/>
            <w:shd w:val="clear" w:color="auto" w:fill="E2EFD9" w:themeFill="accent6" w:themeFillTint="33"/>
            <w:tcMar>
              <w:left w:w="70" w:type="dxa"/>
              <w:right w:w="70" w:type="dxa"/>
            </w:tcMar>
            <w:vAlign w:val="center"/>
          </w:tcPr>
          <w:p w14:paraId="53D825C4"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Funding</w:t>
            </w:r>
            <w:r w:rsidRPr="00A81971">
              <w:rPr>
                <w:rFonts w:eastAsia="Times New Roman"/>
                <w:b/>
                <w:bCs/>
                <w:color w:val="000000" w:themeColor="text1"/>
              </w:rPr>
              <w:t xml:space="preserve"> Committed *</w:t>
            </w:r>
            <w:r w:rsidRPr="00A81971">
              <w:rPr>
                <w:rFonts w:eastAsia="Times New Roman"/>
                <w:color w:val="000000" w:themeColor="text1"/>
              </w:rPr>
              <w:t xml:space="preserve"> for Approved KIPs</w:t>
            </w:r>
          </w:p>
        </w:tc>
        <w:tc>
          <w:tcPr>
            <w:tcW w:w="1415" w:type="dxa"/>
            <w:tcMar>
              <w:left w:w="70" w:type="dxa"/>
              <w:right w:w="70" w:type="dxa"/>
            </w:tcMar>
            <w:vAlign w:val="center"/>
          </w:tcPr>
          <w:p w14:paraId="262DA121"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80.96</w:t>
            </w:r>
          </w:p>
        </w:tc>
        <w:tc>
          <w:tcPr>
            <w:tcW w:w="971" w:type="dxa"/>
            <w:shd w:val="clear" w:color="auto" w:fill="DAE9F8"/>
            <w:tcMar>
              <w:left w:w="70" w:type="dxa"/>
              <w:right w:w="70" w:type="dxa"/>
            </w:tcMar>
            <w:vAlign w:val="center"/>
          </w:tcPr>
          <w:p w14:paraId="3F8B290F"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798" w:type="dxa"/>
            <w:shd w:val="clear" w:color="auto" w:fill="DAE9F8"/>
            <w:tcMar>
              <w:left w:w="70" w:type="dxa"/>
              <w:right w:w="70" w:type="dxa"/>
            </w:tcMar>
            <w:vAlign w:val="center"/>
          </w:tcPr>
          <w:p w14:paraId="58B2F585"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15.29</w:t>
            </w:r>
          </w:p>
        </w:tc>
        <w:tc>
          <w:tcPr>
            <w:tcW w:w="860" w:type="dxa"/>
            <w:shd w:val="clear" w:color="auto" w:fill="DAE9F8"/>
            <w:tcMar>
              <w:left w:w="70" w:type="dxa"/>
              <w:right w:w="70" w:type="dxa"/>
            </w:tcMar>
            <w:vAlign w:val="center"/>
          </w:tcPr>
          <w:p w14:paraId="6481DDAF"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0.37</w:t>
            </w:r>
          </w:p>
        </w:tc>
        <w:tc>
          <w:tcPr>
            <w:tcW w:w="910" w:type="dxa"/>
            <w:shd w:val="clear" w:color="auto" w:fill="F2CEEF"/>
            <w:tcMar>
              <w:left w:w="70" w:type="dxa"/>
              <w:right w:w="70" w:type="dxa"/>
            </w:tcMar>
            <w:vAlign w:val="center"/>
          </w:tcPr>
          <w:p w14:paraId="652271C4"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65.3</w:t>
            </w:r>
          </w:p>
        </w:tc>
        <w:tc>
          <w:tcPr>
            <w:tcW w:w="988" w:type="dxa"/>
            <w:shd w:val="clear" w:color="auto" w:fill="F2CEEF"/>
            <w:tcMar>
              <w:left w:w="70" w:type="dxa"/>
              <w:right w:w="70" w:type="dxa"/>
            </w:tcMar>
            <w:vAlign w:val="center"/>
          </w:tcPr>
          <w:p w14:paraId="75735B52"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15.29</w:t>
            </w:r>
          </w:p>
        </w:tc>
        <w:tc>
          <w:tcPr>
            <w:tcW w:w="910" w:type="dxa"/>
            <w:shd w:val="clear" w:color="auto" w:fill="F2CEEF"/>
            <w:tcMar>
              <w:left w:w="70" w:type="dxa"/>
              <w:right w:w="70" w:type="dxa"/>
            </w:tcMar>
            <w:vAlign w:val="center"/>
          </w:tcPr>
          <w:p w14:paraId="658340F0"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0.37</w:t>
            </w:r>
          </w:p>
        </w:tc>
      </w:tr>
      <w:tr w:rsidR="00F90461" w14:paraId="52E11436" w14:textId="77777777" w:rsidTr="00FE5C31">
        <w:trPr>
          <w:trHeight w:val="465"/>
        </w:trPr>
        <w:tc>
          <w:tcPr>
            <w:tcW w:w="2222" w:type="dxa"/>
            <w:shd w:val="clear" w:color="auto" w:fill="E2EFD9" w:themeFill="accent6" w:themeFillTint="33"/>
            <w:tcMar>
              <w:left w:w="70" w:type="dxa"/>
              <w:right w:w="70" w:type="dxa"/>
            </w:tcMar>
            <w:vAlign w:val="center"/>
          </w:tcPr>
          <w:p w14:paraId="17E5EB25"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 xml:space="preserve">Estimated New Funding to Address Stage II for parties with KIPs Stage I approved </w:t>
            </w:r>
          </w:p>
        </w:tc>
        <w:tc>
          <w:tcPr>
            <w:tcW w:w="1415" w:type="dxa"/>
            <w:tcMar>
              <w:left w:w="70" w:type="dxa"/>
              <w:right w:w="70" w:type="dxa"/>
            </w:tcMar>
            <w:vAlign w:val="center"/>
          </w:tcPr>
          <w:p w14:paraId="6A7AAB67"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252.96</w:t>
            </w:r>
          </w:p>
        </w:tc>
        <w:tc>
          <w:tcPr>
            <w:tcW w:w="971" w:type="dxa"/>
            <w:shd w:val="clear" w:color="auto" w:fill="DAE9F8"/>
            <w:tcMar>
              <w:left w:w="70" w:type="dxa"/>
              <w:right w:w="70" w:type="dxa"/>
            </w:tcMar>
            <w:vAlign w:val="center"/>
          </w:tcPr>
          <w:p w14:paraId="7F0E7AC3"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151.78</w:t>
            </w:r>
          </w:p>
        </w:tc>
        <w:tc>
          <w:tcPr>
            <w:tcW w:w="798" w:type="dxa"/>
            <w:shd w:val="clear" w:color="auto" w:fill="DAE9F8"/>
            <w:tcMar>
              <w:left w:w="70" w:type="dxa"/>
              <w:right w:w="70" w:type="dxa"/>
            </w:tcMar>
            <w:vAlign w:val="center"/>
          </w:tcPr>
          <w:p w14:paraId="69887DB4"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101.18</w:t>
            </w:r>
          </w:p>
        </w:tc>
        <w:tc>
          <w:tcPr>
            <w:tcW w:w="860" w:type="dxa"/>
            <w:shd w:val="clear" w:color="auto" w:fill="DAE9F8"/>
            <w:tcMar>
              <w:left w:w="70" w:type="dxa"/>
              <w:right w:w="70" w:type="dxa"/>
            </w:tcMar>
            <w:vAlign w:val="center"/>
          </w:tcPr>
          <w:p w14:paraId="344B4DC4"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910" w:type="dxa"/>
            <w:shd w:val="clear" w:color="auto" w:fill="F2CEEF"/>
            <w:tcMar>
              <w:left w:w="70" w:type="dxa"/>
              <w:right w:w="70" w:type="dxa"/>
            </w:tcMar>
            <w:vAlign w:val="center"/>
          </w:tcPr>
          <w:p w14:paraId="47F316D8"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988" w:type="dxa"/>
            <w:shd w:val="clear" w:color="auto" w:fill="F2CEEF"/>
            <w:tcMar>
              <w:left w:w="70" w:type="dxa"/>
              <w:right w:w="70" w:type="dxa"/>
            </w:tcMar>
            <w:vAlign w:val="center"/>
          </w:tcPr>
          <w:p w14:paraId="53C0309D"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151.78</w:t>
            </w:r>
          </w:p>
        </w:tc>
        <w:tc>
          <w:tcPr>
            <w:tcW w:w="910" w:type="dxa"/>
            <w:shd w:val="clear" w:color="auto" w:fill="F2CEEF"/>
            <w:tcMar>
              <w:left w:w="70" w:type="dxa"/>
              <w:right w:w="70" w:type="dxa"/>
            </w:tcMar>
            <w:vAlign w:val="center"/>
          </w:tcPr>
          <w:p w14:paraId="0F15D034" w14:textId="77777777" w:rsidR="00160E95"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101.18</w:t>
            </w:r>
          </w:p>
        </w:tc>
      </w:tr>
      <w:tr w:rsidR="00F90461" w14:paraId="06123567" w14:textId="77777777" w:rsidTr="00FE5C31">
        <w:trPr>
          <w:trHeight w:val="465"/>
        </w:trPr>
        <w:tc>
          <w:tcPr>
            <w:tcW w:w="2222" w:type="dxa"/>
            <w:shd w:val="clear" w:color="auto" w:fill="E2EFD9" w:themeFill="accent6" w:themeFillTint="33"/>
            <w:tcMar>
              <w:left w:w="70" w:type="dxa"/>
              <w:right w:w="70" w:type="dxa"/>
            </w:tcMar>
            <w:vAlign w:val="center"/>
          </w:tcPr>
          <w:p w14:paraId="1FD133BC"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Estimated New Funding to Address Stages I and II for parties without approved KIPs</w:t>
            </w:r>
          </w:p>
        </w:tc>
        <w:tc>
          <w:tcPr>
            <w:tcW w:w="1415" w:type="dxa"/>
            <w:tcMar>
              <w:left w:w="70" w:type="dxa"/>
              <w:right w:w="70" w:type="dxa"/>
            </w:tcMar>
            <w:vAlign w:val="center"/>
          </w:tcPr>
          <w:p w14:paraId="37BA7E27"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1,851</w:t>
            </w:r>
          </w:p>
        </w:tc>
        <w:tc>
          <w:tcPr>
            <w:tcW w:w="971" w:type="dxa"/>
            <w:shd w:val="clear" w:color="auto" w:fill="DAE9F8"/>
            <w:tcMar>
              <w:left w:w="70" w:type="dxa"/>
              <w:right w:w="70" w:type="dxa"/>
            </w:tcMar>
            <w:vAlign w:val="center"/>
          </w:tcPr>
          <w:p w14:paraId="08866341"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655.28</w:t>
            </w:r>
          </w:p>
        </w:tc>
        <w:tc>
          <w:tcPr>
            <w:tcW w:w="798" w:type="dxa"/>
            <w:shd w:val="clear" w:color="auto" w:fill="DAE9F8"/>
            <w:tcMar>
              <w:left w:w="70" w:type="dxa"/>
              <w:right w:w="70" w:type="dxa"/>
            </w:tcMar>
            <w:vAlign w:val="center"/>
          </w:tcPr>
          <w:p w14:paraId="269A7A39"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740.57</w:t>
            </w:r>
          </w:p>
        </w:tc>
        <w:tc>
          <w:tcPr>
            <w:tcW w:w="860" w:type="dxa"/>
            <w:shd w:val="clear" w:color="auto" w:fill="DAE9F8"/>
            <w:tcMar>
              <w:left w:w="70" w:type="dxa"/>
              <w:right w:w="70" w:type="dxa"/>
            </w:tcMar>
            <w:vAlign w:val="center"/>
          </w:tcPr>
          <w:p w14:paraId="0F4FACB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455.57</w:t>
            </w:r>
          </w:p>
        </w:tc>
        <w:tc>
          <w:tcPr>
            <w:tcW w:w="910" w:type="dxa"/>
            <w:shd w:val="clear" w:color="auto" w:fill="F2CEEF"/>
            <w:tcMar>
              <w:left w:w="70" w:type="dxa"/>
              <w:right w:w="70" w:type="dxa"/>
            </w:tcMar>
            <w:vAlign w:val="center"/>
          </w:tcPr>
          <w:p w14:paraId="7EA25B78"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512.52</w:t>
            </w:r>
          </w:p>
        </w:tc>
        <w:tc>
          <w:tcPr>
            <w:tcW w:w="988" w:type="dxa"/>
            <w:shd w:val="clear" w:color="auto" w:fill="F2CEEF"/>
            <w:tcMar>
              <w:left w:w="70" w:type="dxa"/>
              <w:right w:w="70" w:type="dxa"/>
            </w:tcMar>
            <w:vAlign w:val="center"/>
          </w:tcPr>
          <w:p w14:paraId="359C0D1F"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869.03</w:t>
            </w:r>
          </w:p>
        </w:tc>
        <w:tc>
          <w:tcPr>
            <w:tcW w:w="910" w:type="dxa"/>
            <w:shd w:val="clear" w:color="auto" w:fill="F2CEEF"/>
            <w:tcMar>
              <w:left w:w="70" w:type="dxa"/>
              <w:right w:w="70" w:type="dxa"/>
            </w:tcMar>
            <w:vAlign w:val="center"/>
          </w:tcPr>
          <w:p w14:paraId="3EB021E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469.87</w:t>
            </w:r>
          </w:p>
        </w:tc>
      </w:tr>
      <w:tr w:rsidR="00F90461" w14:paraId="6A3C11AE" w14:textId="77777777" w:rsidTr="00FE5C31">
        <w:trPr>
          <w:trHeight w:val="465"/>
        </w:trPr>
        <w:tc>
          <w:tcPr>
            <w:tcW w:w="2222" w:type="dxa"/>
            <w:shd w:val="clear" w:color="auto" w:fill="E2EFD9" w:themeFill="accent6" w:themeFillTint="33"/>
            <w:tcMar>
              <w:left w:w="70" w:type="dxa"/>
              <w:right w:w="70" w:type="dxa"/>
            </w:tcMar>
            <w:vAlign w:val="center"/>
          </w:tcPr>
          <w:p w14:paraId="03975BA8"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Estimated New Funding to Address KIPS Stages I and II for countries pending ratification / RTF assumed all will ratify by 2029</w:t>
            </w:r>
          </w:p>
        </w:tc>
        <w:tc>
          <w:tcPr>
            <w:tcW w:w="1415" w:type="dxa"/>
            <w:tcMar>
              <w:left w:w="70" w:type="dxa"/>
              <w:right w:w="70" w:type="dxa"/>
            </w:tcMar>
            <w:vAlign w:val="center"/>
          </w:tcPr>
          <w:p w14:paraId="60A3E816"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37.36</w:t>
            </w:r>
          </w:p>
        </w:tc>
        <w:tc>
          <w:tcPr>
            <w:tcW w:w="971" w:type="dxa"/>
            <w:shd w:val="clear" w:color="auto" w:fill="DAE9F8"/>
            <w:tcMar>
              <w:left w:w="70" w:type="dxa"/>
              <w:right w:w="70" w:type="dxa"/>
            </w:tcMar>
            <w:vAlign w:val="center"/>
          </w:tcPr>
          <w:p w14:paraId="0B0B8CB5"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16.66</w:t>
            </w:r>
          </w:p>
        </w:tc>
        <w:tc>
          <w:tcPr>
            <w:tcW w:w="798" w:type="dxa"/>
            <w:shd w:val="clear" w:color="auto" w:fill="DAE9F8"/>
            <w:tcMar>
              <w:left w:w="70" w:type="dxa"/>
              <w:right w:w="70" w:type="dxa"/>
            </w:tcMar>
            <w:vAlign w:val="center"/>
          </w:tcPr>
          <w:p w14:paraId="5521A0C4"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14.94</w:t>
            </w:r>
          </w:p>
        </w:tc>
        <w:tc>
          <w:tcPr>
            <w:tcW w:w="860" w:type="dxa"/>
            <w:shd w:val="clear" w:color="auto" w:fill="DAE9F8"/>
            <w:tcMar>
              <w:left w:w="70" w:type="dxa"/>
              <w:right w:w="70" w:type="dxa"/>
            </w:tcMar>
            <w:vAlign w:val="center"/>
          </w:tcPr>
          <w:p w14:paraId="06217512"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5.76</w:t>
            </w:r>
          </w:p>
        </w:tc>
        <w:tc>
          <w:tcPr>
            <w:tcW w:w="910" w:type="dxa"/>
            <w:shd w:val="clear" w:color="auto" w:fill="F2CEEF"/>
            <w:tcMar>
              <w:left w:w="70" w:type="dxa"/>
              <w:right w:w="70" w:type="dxa"/>
            </w:tcMar>
            <w:vAlign w:val="center"/>
          </w:tcPr>
          <w:p w14:paraId="4C94DC4D"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6.48</w:t>
            </w:r>
          </w:p>
        </w:tc>
        <w:tc>
          <w:tcPr>
            <w:tcW w:w="988" w:type="dxa"/>
            <w:shd w:val="clear" w:color="auto" w:fill="F2CEEF"/>
            <w:tcMar>
              <w:left w:w="70" w:type="dxa"/>
              <w:right w:w="70" w:type="dxa"/>
            </w:tcMar>
            <w:vAlign w:val="center"/>
          </w:tcPr>
          <w:p w14:paraId="05D4489F"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23.54</w:t>
            </w:r>
          </w:p>
        </w:tc>
        <w:tc>
          <w:tcPr>
            <w:tcW w:w="910" w:type="dxa"/>
            <w:shd w:val="clear" w:color="auto" w:fill="F2CEEF"/>
            <w:tcMar>
              <w:left w:w="70" w:type="dxa"/>
              <w:right w:w="70" w:type="dxa"/>
            </w:tcMar>
            <w:vAlign w:val="center"/>
          </w:tcPr>
          <w:p w14:paraId="3BF2BCA6"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7.34</w:t>
            </w:r>
          </w:p>
        </w:tc>
      </w:tr>
      <w:tr w:rsidR="00F90461" w14:paraId="4DE9B7D8" w14:textId="77777777" w:rsidTr="00FE5C31">
        <w:trPr>
          <w:trHeight w:val="465"/>
        </w:trPr>
        <w:tc>
          <w:tcPr>
            <w:tcW w:w="2222" w:type="dxa"/>
            <w:shd w:val="clear" w:color="auto" w:fill="E2EFD9" w:themeFill="accent6" w:themeFillTint="33"/>
            <w:tcMar>
              <w:left w:w="70" w:type="dxa"/>
              <w:right w:w="70" w:type="dxa"/>
            </w:tcMar>
            <w:vAlign w:val="center"/>
          </w:tcPr>
          <w:p w14:paraId="1D7F3733"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Sub-Total 1</w:t>
            </w:r>
          </w:p>
        </w:tc>
        <w:tc>
          <w:tcPr>
            <w:tcW w:w="1415" w:type="dxa"/>
            <w:tcMar>
              <w:left w:w="70" w:type="dxa"/>
              <w:right w:w="70" w:type="dxa"/>
            </w:tcMar>
            <w:vAlign w:val="center"/>
          </w:tcPr>
          <w:p w14:paraId="34756416"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2,222.69</w:t>
            </w:r>
          </w:p>
        </w:tc>
        <w:tc>
          <w:tcPr>
            <w:tcW w:w="971" w:type="dxa"/>
            <w:shd w:val="clear" w:color="auto" w:fill="DAE9F8"/>
            <w:tcMar>
              <w:left w:w="70" w:type="dxa"/>
              <w:right w:w="70" w:type="dxa"/>
            </w:tcMar>
            <w:vAlign w:val="center"/>
          </w:tcPr>
          <w:p w14:paraId="168D818D"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889.01</w:t>
            </w:r>
          </w:p>
        </w:tc>
        <w:tc>
          <w:tcPr>
            <w:tcW w:w="798" w:type="dxa"/>
            <w:shd w:val="clear" w:color="auto" w:fill="DAE9F8"/>
            <w:tcMar>
              <w:left w:w="70" w:type="dxa"/>
              <w:right w:w="70" w:type="dxa"/>
            </w:tcMar>
            <w:vAlign w:val="center"/>
          </w:tcPr>
          <w:p w14:paraId="4DAFC4BB"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871.99</w:t>
            </w:r>
          </w:p>
        </w:tc>
        <w:tc>
          <w:tcPr>
            <w:tcW w:w="860" w:type="dxa"/>
            <w:shd w:val="clear" w:color="auto" w:fill="DAE9F8"/>
            <w:tcMar>
              <w:left w:w="70" w:type="dxa"/>
              <w:right w:w="70" w:type="dxa"/>
            </w:tcMar>
            <w:vAlign w:val="center"/>
          </w:tcPr>
          <w:p w14:paraId="6B1B10D9"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461.70</w:t>
            </w:r>
          </w:p>
        </w:tc>
        <w:tc>
          <w:tcPr>
            <w:tcW w:w="910" w:type="dxa"/>
            <w:shd w:val="clear" w:color="auto" w:fill="F2CEEF"/>
            <w:tcMar>
              <w:left w:w="70" w:type="dxa"/>
              <w:right w:w="70" w:type="dxa"/>
            </w:tcMar>
            <w:vAlign w:val="center"/>
          </w:tcPr>
          <w:p w14:paraId="086249A6"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584.3</w:t>
            </w:r>
          </w:p>
        </w:tc>
        <w:tc>
          <w:tcPr>
            <w:tcW w:w="988" w:type="dxa"/>
            <w:shd w:val="clear" w:color="auto" w:fill="F2CEEF"/>
            <w:tcMar>
              <w:left w:w="70" w:type="dxa"/>
              <w:right w:w="70" w:type="dxa"/>
            </w:tcMar>
            <w:vAlign w:val="center"/>
          </w:tcPr>
          <w:p w14:paraId="3DB01FAD"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1,059.64</w:t>
            </w:r>
          </w:p>
        </w:tc>
        <w:tc>
          <w:tcPr>
            <w:tcW w:w="910" w:type="dxa"/>
            <w:shd w:val="clear" w:color="auto" w:fill="F2CEEF"/>
            <w:tcMar>
              <w:left w:w="70" w:type="dxa"/>
              <w:right w:w="70" w:type="dxa"/>
            </w:tcMar>
            <w:vAlign w:val="center"/>
          </w:tcPr>
          <w:p w14:paraId="28BBF66F" w14:textId="77777777" w:rsidR="00160E95" w:rsidRPr="00A81971" w:rsidRDefault="0032495C" w:rsidP="005D0F15">
            <w:pPr>
              <w:tabs>
                <w:tab w:val="left" w:pos="720"/>
              </w:tabs>
              <w:spacing w:after="0"/>
              <w:jc w:val="right"/>
              <w:rPr>
                <w:rFonts w:eastAsia="Times New Roman"/>
                <w:b/>
                <w:bCs/>
                <w:color w:val="000000" w:themeColor="text1"/>
              </w:rPr>
            </w:pPr>
            <w:r w:rsidRPr="00A81971">
              <w:rPr>
                <w:rFonts w:eastAsia="Times New Roman"/>
                <w:b/>
                <w:bCs/>
                <w:color w:val="000000" w:themeColor="text1"/>
              </w:rPr>
              <w:t>578.76</w:t>
            </w:r>
          </w:p>
        </w:tc>
      </w:tr>
      <w:tr w:rsidR="00F90461" w14:paraId="26AFD28E" w14:textId="77777777" w:rsidTr="00FE5C31">
        <w:trPr>
          <w:trHeight w:val="465"/>
        </w:trPr>
        <w:tc>
          <w:tcPr>
            <w:tcW w:w="2222" w:type="dxa"/>
            <w:shd w:val="clear" w:color="auto" w:fill="E2EFD9" w:themeFill="accent6" w:themeFillTint="33"/>
            <w:tcMar>
              <w:left w:w="70" w:type="dxa"/>
              <w:right w:w="70" w:type="dxa"/>
            </w:tcMar>
            <w:vAlign w:val="center"/>
          </w:tcPr>
          <w:p w14:paraId="1A3ECA2A"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 xml:space="preserve"> </w:t>
            </w:r>
          </w:p>
        </w:tc>
        <w:tc>
          <w:tcPr>
            <w:tcW w:w="1415" w:type="dxa"/>
            <w:tcMar>
              <w:left w:w="70" w:type="dxa"/>
              <w:right w:w="70" w:type="dxa"/>
            </w:tcMar>
            <w:vAlign w:val="center"/>
          </w:tcPr>
          <w:p w14:paraId="75DE67EC" w14:textId="77777777" w:rsidR="00160E95" w:rsidRPr="00A81971" w:rsidRDefault="00160E95" w:rsidP="005D0F15">
            <w:pPr>
              <w:tabs>
                <w:tab w:val="left" w:pos="720"/>
              </w:tabs>
              <w:spacing w:after="0"/>
              <w:jc w:val="right"/>
              <w:rPr>
                <w:rFonts w:eastAsia="Times New Roman"/>
                <w:color w:val="000000" w:themeColor="text1"/>
              </w:rPr>
            </w:pPr>
          </w:p>
        </w:tc>
        <w:tc>
          <w:tcPr>
            <w:tcW w:w="2629" w:type="dxa"/>
            <w:gridSpan w:val="3"/>
            <w:shd w:val="clear" w:color="auto" w:fill="DAE9F8"/>
            <w:tcMar>
              <w:left w:w="70" w:type="dxa"/>
              <w:right w:w="70" w:type="dxa"/>
            </w:tcMar>
            <w:vAlign w:val="center"/>
          </w:tcPr>
          <w:p w14:paraId="7045D18D" w14:textId="77777777" w:rsidR="00160E95"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2,222.69</w:t>
            </w:r>
          </w:p>
        </w:tc>
        <w:tc>
          <w:tcPr>
            <w:tcW w:w="2808" w:type="dxa"/>
            <w:gridSpan w:val="3"/>
            <w:shd w:val="clear" w:color="auto" w:fill="F2CEEF"/>
            <w:tcMar>
              <w:left w:w="70" w:type="dxa"/>
              <w:right w:w="70" w:type="dxa"/>
            </w:tcMar>
            <w:vAlign w:val="center"/>
          </w:tcPr>
          <w:p w14:paraId="41850223" w14:textId="77777777" w:rsidR="00160E95" w:rsidRPr="00A81971" w:rsidRDefault="0032495C" w:rsidP="00FE5C31">
            <w:pPr>
              <w:tabs>
                <w:tab w:val="left" w:pos="720"/>
              </w:tabs>
              <w:spacing w:after="0"/>
              <w:jc w:val="right"/>
              <w:rPr>
                <w:rFonts w:eastAsia="Times New Roman"/>
                <w:color w:val="000000" w:themeColor="text1"/>
              </w:rPr>
            </w:pPr>
            <w:r w:rsidRPr="00A81971">
              <w:rPr>
                <w:rFonts w:eastAsia="Times New Roman"/>
                <w:color w:val="000000" w:themeColor="text1"/>
              </w:rPr>
              <w:t>2,222.69</w:t>
            </w:r>
          </w:p>
        </w:tc>
      </w:tr>
      <w:tr w:rsidR="00F90461" w14:paraId="79DCDDE6" w14:textId="77777777" w:rsidTr="00FE5C31">
        <w:trPr>
          <w:trHeight w:val="465"/>
        </w:trPr>
        <w:tc>
          <w:tcPr>
            <w:tcW w:w="2222" w:type="dxa"/>
            <w:shd w:val="clear" w:color="auto" w:fill="E2EFD9" w:themeFill="accent6" w:themeFillTint="33"/>
            <w:tcMar>
              <w:left w:w="70" w:type="dxa"/>
              <w:right w:w="70" w:type="dxa"/>
            </w:tcMar>
            <w:vAlign w:val="center"/>
          </w:tcPr>
          <w:p w14:paraId="422D6342"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Funding for Project Preparation (PRP)</w:t>
            </w:r>
          </w:p>
        </w:tc>
        <w:tc>
          <w:tcPr>
            <w:tcW w:w="1415" w:type="dxa"/>
            <w:tcMar>
              <w:left w:w="70" w:type="dxa"/>
              <w:right w:w="70" w:type="dxa"/>
            </w:tcMar>
            <w:vAlign w:val="center"/>
          </w:tcPr>
          <w:p w14:paraId="6245B45D"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971" w:type="dxa"/>
            <w:shd w:val="clear" w:color="auto" w:fill="DAE9F8"/>
            <w:tcMar>
              <w:left w:w="70" w:type="dxa"/>
              <w:right w:w="70" w:type="dxa"/>
            </w:tcMar>
            <w:vAlign w:val="center"/>
          </w:tcPr>
          <w:p w14:paraId="27254860"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798" w:type="dxa"/>
            <w:shd w:val="clear" w:color="auto" w:fill="DAE9F8"/>
            <w:tcMar>
              <w:left w:w="70" w:type="dxa"/>
              <w:right w:w="70" w:type="dxa"/>
            </w:tcMar>
            <w:vAlign w:val="center"/>
          </w:tcPr>
          <w:p w14:paraId="5C5656A0"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860" w:type="dxa"/>
            <w:shd w:val="clear" w:color="auto" w:fill="DAE9F8"/>
            <w:tcMar>
              <w:left w:w="70" w:type="dxa"/>
              <w:right w:w="70" w:type="dxa"/>
            </w:tcMar>
            <w:vAlign w:val="center"/>
          </w:tcPr>
          <w:p w14:paraId="77462A76"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910" w:type="dxa"/>
            <w:shd w:val="clear" w:color="auto" w:fill="F2CEEF"/>
            <w:tcMar>
              <w:left w:w="70" w:type="dxa"/>
              <w:right w:w="70" w:type="dxa"/>
            </w:tcMar>
            <w:vAlign w:val="center"/>
          </w:tcPr>
          <w:p w14:paraId="59D7F81D"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21.73</w:t>
            </w:r>
          </w:p>
        </w:tc>
        <w:tc>
          <w:tcPr>
            <w:tcW w:w="988" w:type="dxa"/>
            <w:shd w:val="clear" w:color="auto" w:fill="F2CEEF"/>
            <w:tcMar>
              <w:left w:w="70" w:type="dxa"/>
              <w:right w:w="70" w:type="dxa"/>
            </w:tcMar>
            <w:vAlign w:val="center"/>
          </w:tcPr>
          <w:p w14:paraId="4D564521"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c>
          <w:tcPr>
            <w:tcW w:w="910" w:type="dxa"/>
            <w:shd w:val="clear" w:color="auto" w:fill="F2CEEF"/>
            <w:tcMar>
              <w:left w:w="70" w:type="dxa"/>
              <w:right w:w="70" w:type="dxa"/>
            </w:tcMar>
            <w:vAlign w:val="center"/>
          </w:tcPr>
          <w:p w14:paraId="01A6DF9B"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themeColor="text1"/>
              </w:rPr>
              <w:t>0</w:t>
            </w:r>
          </w:p>
        </w:tc>
      </w:tr>
      <w:tr w:rsidR="00F90461" w14:paraId="700BD48B" w14:textId="77777777" w:rsidTr="00FE5C31">
        <w:trPr>
          <w:trHeight w:val="465"/>
        </w:trPr>
        <w:tc>
          <w:tcPr>
            <w:tcW w:w="2222" w:type="dxa"/>
            <w:shd w:val="clear" w:color="auto" w:fill="E2EFD9" w:themeFill="accent6" w:themeFillTint="33"/>
            <w:tcMar>
              <w:left w:w="70" w:type="dxa"/>
              <w:right w:w="70" w:type="dxa"/>
            </w:tcMar>
            <w:vAlign w:val="center"/>
          </w:tcPr>
          <w:p w14:paraId="2939C149" w14:textId="77777777" w:rsidR="00160E95" w:rsidRPr="00A81971" w:rsidRDefault="0032495C" w:rsidP="001365A8">
            <w:pPr>
              <w:tabs>
                <w:tab w:val="left" w:pos="720"/>
              </w:tabs>
              <w:spacing w:after="0"/>
              <w:rPr>
                <w:rFonts w:eastAsia="Times New Roman"/>
                <w:color w:val="000000" w:themeColor="text1"/>
              </w:rPr>
            </w:pPr>
            <w:r w:rsidRPr="2E7655E2">
              <w:rPr>
                <w:rFonts w:eastAsia="Times New Roman"/>
                <w:color w:val="000000" w:themeColor="text1"/>
              </w:rPr>
              <w:t xml:space="preserve">Funding for KIP Verification </w:t>
            </w:r>
            <w:r>
              <w:rPr>
                <w:rFonts w:eastAsia="Times New Roman"/>
                <w:color w:val="000000" w:themeColor="text1"/>
                <w:vertAlign w:val="superscript"/>
              </w:rPr>
              <w:footnoteReference w:id="34"/>
            </w:r>
            <w:r w:rsidRPr="2E7655E2">
              <w:rPr>
                <w:rFonts w:eastAsia="Times New Roman"/>
                <w:color w:val="000000" w:themeColor="text1"/>
              </w:rPr>
              <w:t xml:space="preserve"> </w:t>
            </w:r>
          </w:p>
        </w:tc>
        <w:tc>
          <w:tcPr>
            <w:tcW w:w="1415" w:type="dxa"/>
            <w:tcMar>
              <w:left w:w="70" w:type="dxa"/>
              <w:right w:w="70" w:type="dxa"/>
            </w:tcMar>
            <w:vAlign w:val="center"/>
          </w:tcPr>
          <w:p w14:paraId="27B8CEC9"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lang w:eastAsia="pt-BR"/>
              </w:rPr>
              <w:t>24.20</w:t>
            </w:r>
          </w:p>
        </w:tc>
        <w:tc>
          <w:tcPr>
            <w:tcW w:w="971" w:type="dxa"/>
            <w:shd w:val="clear" w:color="auto" w:fill="DAE9F8"/>
            <w:tcMar>
              <w:left w:w="70" w:type="dxa"/>
              <w:right w:w="70" w:type="dxa"/>
            </w:tcMar>
            <w:vAlign w:val="center"/>
          </w:tcPr>
          <w:p w14:paraId="77E1B082"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798" w:type="dxa"/>
            <w:shd w:val="clear" w:color="auto" w:fill="DAE9F8"/>
            <w:tcMar>
              <w:left w:w="70" w:type="dxa"/>
              <w:right w:w="70" w:type="dxa"/>
            </w:tcMar>
            <w:vAlign w:val="center"/>
          </w:tcPr>
          <w:p w14:paraId="283D73F9"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860" w:type="dxa"/>
            <w:shd w:val="clear" w:color="auto" w:fill="DAE9F8"/>
            <w:tcMar>
              <w:left w:w="70" w:type="dxa"/>
              <w:right w:w="70" w:type="dxa"/>
            </w:tcMar>
            <w:vAlign w:val="center"/>
          </w:tcPr>
          <w:p w14:paraId="5896DDF7"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910" w:type="dxa"/>
            <w:shd w:val="clear" w:color="auto" w:fill="F2CEEF"/>
            <w:tcMar>
              <w:left w:w="70" w:type="dxa"/>
              <w:right w:w="70" w:type="dxa"/>
            </w:tcMar>
            <w:vAlign w:val="center"/>
          </w:tcPr>
          <w:p w14:paraId="2ECE23A6"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988" w:type="dxa"/>
            <w:shd w:val="clear" w:color="auto" w:fill="F2CEEF"/>
            <w:tcMar>
              <w:left w:w="70" w:type="dxa"/>
              <w:right w:w="70" w:type="dxa"/>
            </w:tcMar>
            <w:vAlign w:val="center"/>
          </w:tcPr>
          <w:p w14:paraId="353A65C1"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c>
          <w:tcPr>
            <w:tcW w:w="910" w:type="dxa"/>
            <w:shd w:val="clear" w:color="auto" w:fill="F2CEEF"/>
            <w:tcMar>
              <w:left w:w="70" w:type="dxa"/>
              <w:right w:w="70" w:type="dxa"/>
            </w:tcMar>
            <w:vAlign w:val="center"/>
          </w:tcPr>
          <w:p w14:paraId="1C5E7DC6"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8.07</w:t>
            </w:r>
          </w:p>
        </w:tc>
      </w:tr>
      <w:tr w:rsidR="00F90461" w14:paraId="266C547A" w14:textId="77777777" w:rsidTr="00FE5C31">
        <w:trPr>
          <w:trHeight w:val="465"/>
        </w:trPr>
        <w:tc>
          <w:tcPr>
            <w:tcW w:w="2222" w:type="dxa"/>
            <w:shd w:val="clear" w:color="auto" w:fill="E2EFD9" w:themeFill="accent6" w:themeFillTint="33"/>
            <w:tcMar>
              <w:left w:w="70" w:type="dxa"/>
              <w:right w:w="70" w:type="dxa"/>
            </w:tcMar>
            <w:vAlign w:val="center"/>
          </w:tcPr>
          <w:p w14:paraId="10E5BA81"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Energy Efficiency (</w:t>
            </w:r>
            <w:r w:rsidRPr="00A81971">
              <w:rPr>
                <w:rFonts w:eastAsia="Times New Roman"/>
                <w:color w:val="000000" w:themeColor="text1"/>
                <w:u w:val="single"/>
              </w:rPr>
              <w:t>high-end option</w:t>
            </w:r>
            <w:r w:rsidRPr="00A81971">
              <w:rPr>
                <w:rFonts w:eastAsia="Times New Roman"/>
                <w:color w:val="000000" w:themeColor="text1"/>
              </w:rPr>
              <w:t>)</w:t>
            </w:r>
          </w:p>
        </w:tc>
        <w:tc>
          <w:tcPr>
            <w:tcW w:w="1415" w:type="dxa"/>
            <w:tcMar>
              <w:left w:w="70" w:type="dxa"/>
              <w:right w:w="70" w:type="dxa"/>
            </w:tcMar>
            <w:vAlign w:val="center"/>
          </w:tcPr>
          <w:p w14:paraId="5830B0D1" w14:textId="77777777" w:rsidR="00160E95" w:rsidRPr="00A81971" w:rsidRDefault="0032495C" w:rsidP="005D0F15">
            <w:pPr>
              <w:tabs>
                <w:tab w:val="left" w:pos="720"/>
              </w:tabs>
              <w:spacing w:after="0" w:line="257" w:lineRule="auto"/>
              <w:jc w:val="right"/>
              <w:rPr>
                <w:rFonts w:eastAsia="Times New Roman"/>
                <w:color w:val="000000" w:themeColor="text1"/>
              </w:rPr>
            </w:pPr>
            <w:r w:rsidRPr="00A81971">
              <w:rPr>
                <w:rFonts w:eastAsia="Times New Roman"/>
                <w:color w:val="000000"/>
                <w:lang w:eastAsia="pt-BR"/>
              </w:rPr>
              <w:t>74.29</w:t>
            </w:r>
          </w:p>
        </w:tc>
        <w:tc>
          <w:tcPr>
            <w:tcW w:w="971" w:type="dxa"/>
            <w:shd w:val="clear" w:color="auto" w:fill="DAE9F8"/>
            <w:tcMar>
              <w:left w:w="70" w:type="dxa"/>
              <w:right w:w="70" w:type="dxa"/>
            </w:tcMar>
            <w:vAlign w:val="center"/>
          </w:tcPr>
          <w:p w14:paraId="5EFC267A" w14:textId="77777777" w:rsidR="00160E95" w:rsidRPr="00A81971" w:rsidRDefault="0032495C" w:rsidP="005D0F15">
            <w:pPr>
              <w:tabs>
                <w:tab w:val="left" w:pos="720"/>
              </w:tabs>
              <w:spacing w:after="0" w:line="257" w:lineRule="auto"/>
              <w:jc w:val="right"/>
              <w:rPr>
                <w:rFonts w:eastAsia="Times New Roman"/>
                <w:color w:val="000000" w:themeColor="text1"/>
              </w:rPr>
            </w:pPr>
            <w:r w:rsidRPr="00A81971">
              <w:rPr>
                <w:rFonts w:eastAsia="Aptos"/>
                <w:color w:val="000000"/>
              </w:rPr>
              <w:t>74.29</w:t>
            </w:r>
          </w:p>
        </w:tc>
        <w:tc>
          <w:tcPr>
            <w:tcW w:w="798" w:type="dxa"/>
            <w:shd w:val="clear" w:color="auto" w:fill="DAE9F8"/>
            <w:tcMar>
              <w:left w:w="70" w:type="dxa"/>
              <w:right w:w="70" w:type="dxa"/>
            </w:tcMar>
            <w:vAlign w:val="center"/>
          </w:tcPr>
          <w:p w14:paraId="0A5D0D63"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860" w:type="dxa"/>
            <w:shd w:val="clear" w:color="auto" w:fill="DAE9F8"/>
            <w:tcMar>
              <w:left w:w="70" w:type="dxa"/>
              <w:right w:w="70" w:type="dxa"/>
            </w:tcMar>
            <w:vAlign w:val="center"/>
          </w:tcPr>
          <w:p w14:paraId="2ED73421"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910" w:type="dxa"/>
            <w:shd w:val="clear" w:color="auto" w:fill="F2CEEF"/>
            <w:tcMar>
              <w:left w:w="70" w:type="dxa"/>
              <w:right w:w="70" w:type="dxa"/>
            </w:tcMar>
            <w:vAlign w:val="center"/>
          </w:tcPr>
          <w:p w14:paraId="10F7B36D" w14:textId="77777777" w:rsidR="00160E95" w:rsidRPr="00A81971" w:rsidRDefault="0032495C" w:rsidP="005D0F15">
            <w:pPr>
              <w:tabs>
                <w:tab w:val="left" w:pos="720"/>
              </w:tabs>
              <w:spacing w:after="0" w:line="257" w:lineRule="auto"/>
              <w:jc w:val="right"/>
              <w:rPr>
                <w:rFonts w:eastAsia="Times New Roman"/>
                <w:color w:val="000000" w:themeColor="text1"/>
              </w:rPr>
            </w:pPr>
            <w:r w:rsidRPr="00A81971">
              <w:rPr>
                <w:rFonts w:eastAsia="Aptos"/>
                <w:color w:val="000000"/>
              </w:rPr>
              <w:t>74.29</w:t>
            </w:r>
          </w:p>
        </w:tc>
        <w:tc>
          <w:tcPr>
            <w:tcW w:w="988" w:type="dxa"/>
            <w:shd w:val="clear" w:color="auto" w:fill="F2CEEF"/>
            <w:tcMar>
              <w:left w:w="70" w:type="dxa"/>
              <w:right w:w="70" w:type="dxa"/>
            </w:tcMar>
            <w:vAlign w:val="center"/>
          </w:tcPr>
          <w:p w14:paraId="09AB237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910" w:type="dxa"/>
            <w:shd w:val="clear" w:color="auto" w:fill="F2CEEF"/>
            <w:tcMar>
              <w:left w:w="70" w:type="dxa"/>
              <w:right w:w="70" w:type="dxa"/>
            </w:tcMar>
            <w:vAlign w:val="center"/>
          </w:tcPr>
          <w:p w14:paraId="057CF915"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7651380C" w14:textId="77777777" w:rsidTr="00FE5C31">
        <w:trPr>
          <w:trHeight w:val="465"/>
        </w:trPr>
        <w:tc>
          <w:tcPr>
            <w:tcW w:w="2222" w:type="dxa"/>
            <w:shd w:val="clear" w:color="auto" w:fill="E2EFD9" w:themeFill="accent6" w:themeFillTint="33"/>
            <w:tcMar>
              <w:left w:w="70" w:type="dxa"/>
              <w:right w:w="70" w:type="dxa"/>
            </w:tcMar>
            <w:vAlign w:val="center"/>
          </w:tcPr>
          <w:p w14:paraId="24F1887D" w14:textId="77777777" w:rsidR="00160E95" w:rsidRPr="00A81971" w:rsidRDefault="0032495C" w:rsidP="001365A8">
            <w:pPr>
              <w:tabs>
                <w:tab w:val="left" w:pos="720"/>
              </w:tabs>
              <w:spacing w:after="0"/>
              <w:rPr>
                <w:rFonts w:eastAsia="Times New Roman"/>
                <w:color w:val="000000" w:themeColor="text1"/>
              </w:rPr>
            </w:pPr>
            <w:r w:rsidRPr="00A81971">
              <w:rPr>
                <w:rFonts w:eastAsia="Times New Roman"/>
                <w:color w:val="000000" w:themeColor="text1"/>
              </w:rPr>
              <w:t>Pilot Projects for Regional Atmospheric Monitoring</w:t>
            </w:r>
          </w:p>
        </w:tc>
        <w:tc>
          <w:tcPr>
            <w:tcW w:w="1415" w:type="dxa"/>
            <w:tcMar>
              <w:left w:w="70" w:type="dxa"/>
              <w:right w:w="70" w:type="dxa"/>
            </w:tcMar>
            <w:vAlign w:val="center"/>
          </w:tcPr>
          <w:p w14:paraId="610DF7C7"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Times New Roman"/>
                <w:color w:val="000000"/>
                <w:lang w:eastAsia="pt-BR"/>
              </w:rPr>
              <w:t>9.25</w:t>
            </w:r>
          </w:p>
        </w:tc>
        <w:tc>
          <w:tcPr>
            <w:tcW w:w="971" w:type="dxa"/>
            <w:shd w:val="clear" w:color="auto" w:fill="DAE9F8"/>
            <w:tcMar>
              <w:left w:w="70" w:type="dxa"/>
              <w:right w:w="70" w:type="dxa"/>
            </w:tcMar>
            <w:vAlign w:val="center"/>
          </w:tcPr>
          <w:p w14:paraId="6FE77B5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798" w:type="dxa"/>
            <w:shd w:val="clear" w:color="auto" w:fill="DAE9F8"/>
            <w:tcMar>
              <w:left w:w="70" w:type="dxa"/>
              <w:right w:w="70" w:type="dxa"/>
            </w:tcMar>
            <w:vAlign w:val="center"/>
          </w:tcPr>
          <w:p w14:paraId="1E74721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860" w:type="dxa"/>
            <w:shd w:val="clear" w:color="auto" w:fill="DAE9F8"/>
            <w:tcMar>
              <w:left w:w="70" w:type="dxa"/>
              <w:right w:w="70" w:type="dxa"/>
            </w:tcMar>
            <w:vAlign w:val="center"/>
          </w:tcPr>
          <w:p w14:paraId="744A4F0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c>
          <w:tcPr>
            <w:tcW w:w="910" w:type="dxa"/>
            <w:shd w:val="clear" w:color="auto" w:fill="F2CEEF"/>
            <w:tcMar>
              <w:left w:w="70" w:type="dxa"/>
              <w:right w:w="70" w:type="dxa"/>
            </w:tcMar>
            <w:vAlign w:val="center"/>
          </w:tcPr>
          <w:p w14:paraId="61C76602"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1.93</w:t>
            </w:r>
          </w:p>
        </w:tc>
        <w:tc>
          <w:tcPr>
            <w:tcW w:w="988" w:type="dxa"/>
            <w:shd w:val="clear" w:color="auto" w:fill="F2CEEF"/>
            <w:tcMar>
              <w:left w:w="70" w:type="dxa"/>
              <w:right w:w="70" w:type="dxa"/>
            </w:tcMar>
            <w:vAlign w:val="center"/>
          </w:tcPr>
          <w:p w14:paraId="39A1553C"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7.30</w:t>
            </w:r>
          </w:p>
        </w:tc>
        <w:tc>
          <w:tcPr>
            <w:tcW w:w="910" w:type="dxa"/>
            <w:shd w:val="clear" w:color="auto" w:fill="F2CEEF"/>
            <w:tcMar>
              <w:left w:w="70" w:type="dxa"/>
              <w:right w:w="70" w:type="dxa"/>
            </w:tcMar>
            <w:vAlign w:val="center"/>
          </w:tcPr>
          <w:p w14:paraId="7D4FB7F5" w14:textId="77777777" w:rsidR="00160E95" w:rsidRPr="00A81971" w:rsidRDefault="0032495C" w:rsidP="005D0F15">
            <w:pPr>
              <w:tabs>
                <w:tab w:val="left" w:pos="720"/>
              </w:tabs>
              <w:spacing w:after="0"/>
              <w:jc w:val="right"/>
              <w:rPr>
                <w:rFonts w:eastAsia="Times New Roman"/>
                <w:color w:val="000000" w:themeColor="text1"/>
              </w:rPr>
            </w:pPr>
            <w:r w:rsidRPr="00A81971">
              <w:rPr>
                <w:rFonts w:eastAsia="Aptos"/>
                <w:color w:val="000000"/>
                <w:kern w:val="2"/>
                <w14:ligatures w14:val="standardContextual"/>
              </w:rPr>
              <w:t>0</w:t>
            </w:r>
          </w:p>
        </w:tc>
      </w:tr>
      <w:tr w:rsidR="00F90461" w14:paraId="16FF305C" w14:textId="77777777" w:rsidTr="00FE5C31">
        <w:trPr>
          <w:trHeight w:val="465"/>
        </w:trPr>
        <w:tc>
          <w:tcPr>
            <w:tcW w:w="2222" w:type="dxa"/>
            <w:shd w:val="clear" w:color="auto" w:fill="E2EFD9" w:themeFill="accent6" w:themeFillTint="33"/>
            <w:tcMar>
              <w:left w:w="70" w:type="dxa"/>
              <w:right w:w="70" w:type="dxa"/>
            </w:tcMar>
            <w:vAlign w:val="center"/>
          </w:tcPr>
          <w:p w14:paraId="24E022EA"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Sub-Total 2</w:t>
            </w:r>
          </w:p>
        </w:tc>
        <w:tc>
          <w:tcPr>
            <w:tcW w:w="1415" w:type="dxa"/>
            <w:tcMar>
              <w:left w:w="70" w:type="dxa"/>
              <w:right w:w="70" w:type="dxa"/>
            </w:tcMar>
            <w:vAlign w:val="center"/>
          </w:tcPr>
          <w:p w14:paraId="45A83CE8"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129.47</w:t>
            </w:r>
          </w:p>
        </w:tc>
        <w:tc>
          <w:tcPr>
            <w:tcW w:w="971" w:type="dxa"/>
            <w:shd w:val="clear" w:color="auto" w:fill="DAE9F8"/>
            <w:tcMar>
              <w:left w:w="70" w:type="dxa"/>
              <w:right w:w="70" w:type="dxa"/>
            </w:tcMar>
            <w:vAlign w:val="center"/>
          </w:tcPr>
          <w:p w14:paraId="62355836"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106.02</w:t>
            </w:r>
          </w:p>
        </w:tc>
        <w:tc>
          <w:tcPr>
            <w:tcW w:w="798" w:type="dxa"/>
            <w:shd w:val="clear" w:color="auto" w:fill="DAE9F8"/>
            <w:tcMar>
              <w:left w:w="70" w:type="dxa"/>
              <w:right w:w="70" w:type="dxa"/>
            </w:tcMar>
            <w:vAlign w:val="center"/>
          </w:tcPr>
          <w:p w14:paraId="3385F7D8"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15.37</w:t>
            </w:r>
          </w:p>
        </w:tc>
        <w:tc>
          <w:tcPr>
            <w:tcW w:w="860" w:type="dxa"/>
            <w:shd w:val="clear" w:color="auto" w:fill="DAE9F8"/>
            <w:tcMar>
              <w:left w:w="70" w:type="dxa"/>
              <w:right w:w="70" w:type="dxa"/>
            </w:tcMar>
            <w:vAlign w:val="center"/>
          </w:tcPr>
          <w:p w14:paraId="3581E659"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8.07</w:t>
            </w:r>
          </w:p>
        </w:tc>
        <w:tc>
          <w:tcPr>
            <w:tcW w:w="910" w:type="dxa"/>
            <w:shd w:val="clear" w:color="auto" w:fill="F2CEEF"/>
            <w:tcMar>
              <w:left w:w="70" w:type="dxa"/>
              <w:right w:w="70" w:type="dxa"/>
            </w:tcMar>
            <w:vAlign w:val="center"/>
          </w:tcPr>
          <w:p w14:paraId="536EA5BE"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106.02</w:t>
            </w:r>
          </w:p>
        </w:tc>
        <w:tc>
          <w:tcPr>
            <w:tcW w:w="988" w:type="dxa"/>
            <w:shd w:val="clear" w:color="auto" w:fill="F2CEEF"/>
            <w:tcMar>
              <w:left w:w="70" w:type="dxa"/>
              <w:right w:w="70" w:type="dxa"/>
            </w:tcMar>
            <w:vAlign w:val="center"/>
          </w:tcPr>
          <w:p w14:paraId="56D959D1"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15.37</w:t>
            </w:r>
          </w:p>
        </w:tc>
        <w:tc>
          <w:tcPr>
            <w:tcW w:w="910" w:type="dxa"/>
            <w:shd w:val="clear" w:color="auto" w:fill="F2CEEF"/>
            <w:tcMar>
              <w:left w:w="70" w:type="dxa"/>
              <w:right w:w="70" w:type="dxa"/>
            </w:tcMar>
            <w:vAlign w:val="center"/>
          </w:tcPr>
          <w:p w14:paraId="6B578110"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8.07</w:t>
            </w:r>
          </w:p>
        </w:tc>
      </w:tr>
      <w:tr w:rsidR="00F90461" w14:paraId="53F4A70D" w14:textId="77777777" w:rsidTr="00FE5C31">
        <w:trPr>
          <w:trHeight w:val="465"/>
        </w:trPr>
        <w:tc>
          <w:tcPr>
            <w:tcW w:w="2222" w:type="dxa"/>
            <w:shd w:val="clear" w:color="auto" w:fill="FFFF00"/>
            <w:tcMar>
              <w:left w:w="70" w:type="dxa"/>
              <w:right w:w="70" w:type="dxa"/>
            </w:tcMar>
            <w:vAlign w:val="center"/>
          </w:tcPr>
          <w:p w14:paraId="56EF027A" w14:textId="77777777" w:rsidR="00160E95" w:rsidRPr="00A81971" w:rsidRDefault="0032495C" w:rsidP="001365A8">
            <w:pPr>
              <w:tabs>
                <w:tab w:val="left" w:pos="720"/>
              </w:tabs>
              <w:spacing w:after="0"/>
              <w:rPr>
                <w:rFonts w:eastAsia="Times New Roman"/>
                <w:b/>
                <w:bCs/>
                <w:color w:val="000000" w:themeColor="text1"/>
              </w:rPr>
            </w:pPr>
            <w:r w:rsidRPr="00A81971">
              <w:rPr>
                <w:rFonts w:eastAsia="Times New Roman"/>
                <w:b/>
                <w:bCs/>
                <w:color w:val="000000" w:themeColor="text1"/>
              </w:rPr>
              <w:t>Total for HFC Consumption Sector</w:t>
            </w:r>
          </w:p>
        </w:tc>
        <w:tc>
          <w:tcPr>
            <w:tcW w:w="1415" w:type="dxa"/>
            <w:tcMar>
              <w:left w:w="70" w:type="dxa"/>
              <w:right w:w="70" w:type="dxa"/>
            </w:tcMar>
            <w:vAlign w:val="center"/>
          </w:tcPr>
          <w:p w14:paraId="2A3EDFFB"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2,352.17</w:t>
            </w:r>
          </w:p>
        </w:tc>
        <w:tc>
          <w:tcPr>
            <w:tcW w:w="971" w:type="dxa"/>
            <w:shd w:val="clear" w:color="auto" w:fill="DAE9F8"/>
            <w:tcMar>
              <w:left w:w="70" w:type="dxa"/>
              <w:right w:w="70" w:type="dxa"/>
            </w:tcMar>
            <w:vAlign w:val="center"/>
          </w:tcPr>
          <w:p w14:paraId="49237BF8"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995.03</w:t>
            </w:r>
          </w:p>
        </w:tc>
        <w:tc>
          <w:tcPr>
            <w:tcW w:w="798" w:type="dxa"/>
            <w:shd w:val="clear" w:color="auto" w:fill="DAE9F8"/>
            <w:tcMar>
              <w:left w:w="70" w:type="dxa"/>
              <w:right w:w="70" w:type="dxa"/>
            </w:tcMar>
            <w:vAlign w:val="center"/>
          </w:tcPr>
          <w:p w14:paraId="7157C67D"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887.36</w:t>
            </w:r>
          </w:p>
        </w:tc>
        <w:tc>
          <w:tcPr>
            <w:tcW w:w="860" w:type="dxa"/>
            <w:shd w:val="clear" w:color="auto" w:fill="DAE9F8"/>
            <w:tcMar>
              <w:left w:w="70" w:type="dxa"/>
              <w:right w:w="70" w:type="dxa"/>
            </w:tcMar>
            <w:vAlign w:val="center"/>
          </w:tcPr>
          <w:p w14:paraId="4F668ABE"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469.77</w:t>
            </w:r>
          </w:p>
        </w:tc>
        <w:tc>
          <w:tcPr>
            <w:tcW w:w="910" w:type="dxa"/>
            <w:shd w:val="clear" w:color="auto" w:fill="F2CEEF"/>
            <w:tcMar>
              <w:left w:w="70" w:type="dxa"/>
              <w:right w:w="70" w:type="dxa"/>
            </w:tcMar>
            <w:vAlign w:val="center"/>
          </w:tcPr>
          <w:p w14:paraId="2BE57311"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690.32</w:t>
            </w:r>
          </w:p>
        </w:tc>
        <w:tc>
          <w:tcPr>
            <w:tcW w:w="988" w:type="dxa"/>
            <w:shd w:val="clear" w:color="auto" w:fill="F2CEEF"/>
            <w:tcMar>
              <w:left w:w="70" w:type="dxa"/>
              <w:right w:w="70" w:type="dxa"/>
            </w:tcMar>
            <w:vAlign w:val="center"/>
          </w:tcPr>
          <w:p w14:paraId="1C7C1710"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1,075.01</w:t>
            </w:r>
          </w:p>
        </w:tc>
        <w:tc>
          <w:tcPr>
            <w:tcW w:w="910" w:type="dxa"/>
            <w:shd w:val="clear" w:color="auto" w:fill="F2CEEF"/>
            <w:tcMar>
              <w:left w:w="70" w:type="dxa"/>
              <w:right w:w="70" w:type="dxa"/>
            </w:tcMar>
            <w:vAlign w:val="center"/>
          </w:tcPr>
          <w:p w14:paraId="5F8D8A04" w14:textId="77777777" w:rsidR="00160E95" w:rsidRPr="00A81971" w:rsidRDefault="0032495C" w:rsidP="005D0F15">
            <w:pPr>
              <w:tabs>
                <w:tab w:val="left" w:pos="720"/>
              </w:tabs>
              <w:spacing w:after="0"/>
              <w:jc w:val="right"/>
              <w:rPr>
                <w:rFonts w:eastAsia="Times New Roman"/>
                <w:b/>
                <w:bCs/>
                <w:color w:val="000000" w:themeColor="text1"/>
              </w:rPr>
            </w:pPr>
            <w:r w:rsidRPr="00A81971">
              <w:rPr>
                <w:b/>
                <w:bCs/>
              </w:rPr>
              <w:t>586.83</w:t>
            </w:r>
          </w:p>
        </w:tc>
      </w:tr>
    </w:tbl>
    <w:p w14:paraId="6BB97144" w14:textId="77777777" w:rsidR="00160E95" w:rsidRPr="00A81971" w:rsidRDefault="0032495C" w:rsidP="00160E95">
      <w:pPr>
        <w:tabs>
          <w:tab w:val="left" w:pos="720"/>
        </w:tabs>
        <w:spacing w:after="0"/>
        <w:rPr>
          <w:rFonts w:eastAsia="Times New Roman"/>
          <w:color w:val="000000" w:themeColor="text1"/>
        </w:rPr>
      </w:pPr>
      <w:r w:rsidRPr="00A81971">
        <w:rPr>
          <w:rFonts w:eastAsia="Times New Roman"/>
          <w:color w:val="000000" w:themeColor="text1"/>
        </w:rPr>
        <w:t xml:space="preserve"> </w:t>
      </w:r>
    </w:p>
    <w:p w14:paraId="443B2BD9" w14:textId="77777777" w:rsidR="007F120E" w:rsidRPr="00A81971" w:rsidRDefault="007F120E" w:rsidP="00160E95">
      <w:pPr>
        <w:spacing w:after="0"/>
        <w:rPr>
          <w:rFonts w:eastAsia="Times New Roman"/>
          <w:color w:val="000000" w:themeColor="text1"/>
        </w:rPr>
      </w:pPr>
    </w:p>
    <w:p w14:paraId="2D0DFE46" w14:textId="77777777" w:rsidR="00160E95" w:rsidRPr="00A81971" w:rsidRDefault="0032495C" w:rsidP="00160E95">
      <w:pPr>
        <w:spacing w:after="0"/>
        <w:rPr>
          <w:rFonts w:eastAsia="Times New Roman"/>
          <w:color w:val="000000" w:themeColor="text1"/>
        </w:rPr>
      </w:pPr>
      <w:r w:rsidRPr="00A81971">
        <w:rPr>
          <w:rFonts w:eastAsia="Times New Roman"/>
          <w:color w:val="000000" w:themeColor="text1"/>
        </w:rPr>
        <w:t xml:space="preserve">Table </w:t>
      </w:r>
      <w:r w:rsidR="0096252F" w:rsidRPr="00A81971">
        <w:rPr>
          <w:rFonts w:eastAsia="Times New Roman"/>
          <w:color w:val="000000" w:themeColor="text1"/>
        </w:rPr>
        <w:t>A3.17</w:t>
      </w:r>
      <w:r w:rsidRPr="00A81971">
        <w:rPr>
          <w:rFonts w:eastAsia="Times New Roman"/>
          <w:color w:val="000000" w:themeColor="text1"/>
        </w:rPr>
        <w:t xml:space="preserve"> below summarises the total estimated funding requirement for the HFC consumption sector for the 2027-2029 and future triennia and presents a range per triennium.</w:t>
      </w:r>
    </w:p>
    <w:p w14:paraId="0CE08020" w14:textId="77777777" w:rsidR="00160E95" w:rsidRPr="00A81971" w:rsidRDefault="00160E95" w:rsidP="00160E95">
      <w:pPr>
        <w:tabs>
          <w:tab w:val="left" w:pos="0"/>
          <w:tab w:val="left" w:pos="1418"/>
        </w:tabs>
        <w:spacing w:after="240"/>
        <w:ind w:left="1418" w:hanging="1418"/>
        <w:rPr>
          <w:rFonts w:eastAsia="Times New Roman"/>
          <w:b/>
          <w:bCs/>
          <w:color w:val="000000" w:themeColor="text1"/>
        </w:rPr>
      </w:pPr>
    </w:p>
    <w:p w14:paraId="1BA0040C" w14:textId="77777777" w:rsidR="00160E95" w:rsidRPr="00A81971" w:rsidRDefault="0032495C" w:rsidP="00160E95">
      <w:pPr>
        <w:tabs>
          <w:tab w:val="left" w:pos="0"/>
          <w:tab w:val="left" w:pos="1418"/>
        </w:tabs>
        <w:spacing w:after="240"/>
        <w:ind w:left="1418" w:hanging="1418"/>
        <w:rPr>
          <w:rFonts w:eastAsia="Times New Roman"/>
          <w:b/>
          <w:bCs/>
          <w:color w:val="000000" w:themeColor="text1"/>
        </w:rPr>
      </w:pPr>
      <w:r w:rsidRPr="00A81971">
        <w:rPr>
          <w:rFonts w:eastAsia="Times New Roman"/>
          <w:b/>
          <w:bCs/>
          <w:color w:val="000000" w:themeColor="text1"/>
        </w:rPr>
        <w:t xml:space="preserve">Table </w:t>
      </w:r>
      <w:r w:rsidR="0096252F" w:rsidRPr="00A81971">
        <w:rPr>
          <w:rFonts w:eastAsia="Times New Roman"/>
          <w:b/>
          <w:bCs/>
          <w:color w:val="000000" w:themeColor="text1"/>
        </w:rPr>
        <w:t>A3.17</w:t>
      </w:r>
      <w:r w:rsidRPr="00A81971">
        <w:tab/>
      </w:r>
      <w:r w:rsidRPr="00A81971">
        <w:rPr>
          <w:rFonts w:eastAsia="Times New Roman"/>
          <w:b/>
          <w:bCs/>
          <w:color w:val="000000" w:themeColor="text1"/>
        </w:rPr>
        <w:t>Summary of the total estimated funding ranges for the HFC consumption sector for 2027-2029 and future triennia</w:t>
      </w:r>
      <w:r w:rsidRPr="00A81971">
        <w:tab/>
      </w:r>
      <w:r w:rsidRPr="00A81971">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3318"/>
        <w:gridCol w:w="3240"/>
      </w:tblGrid>
      <w:tr w:rsidR="00F90461" w14:paraId="33B4347E" w14:textId="77777777" w:rsidTr="001365A8">
        <w:trPr>
          <w:trHeight w:val="300"/>
        </w:trPr>
        <w:tc>
          <w:tcPr>
            <w:tcW w:w="2516" w:type="dxa"/>
            <w:vMerge w:val="restart"/>
            <w:shd w:val="clear" w:color="auto" w:fill="DEEAF6" w:themeFill="accent5" w:themeFillTint="33"/>
            <w:vAlign w:val="center"/>
          </w:tcPr>
          <w:p w14:paraId="64C81194" w14:textId="77777777" w:rsidR="00160E95" w:rsidRPr="00A81971" w:rsidRDefault="0032495C" w:rsidP="001365A8">
            <w:pPr>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Triennium</w:t>
            </w:r>
            <w:r w:rsidRPr="00A81971">
              <w:rPr>
                <w:rFonts w:eastAsia="Times New Roman"/>
                <w:color w:val="000000" w:themeColor="text1"/>
                <w:sz w:val="21"/>
                <w:szCs w:val="21"/>
              </w:rPr>
              <w:t xml:space="preserve"> </w:t>
            </w:r>
          </w:p>
        </w:tc>
        <w:tc>
          <w:tcPr>
            <w:tcW w:w="6558" w:type="dxa"/>
            <w:gridSpan w:val="2"/>
            <w:shd w:val="clear" w:color="auto" w:fill="DEEAF6" w:themeFill="accent5" w:themeFillTint="33"/>
            <w:vAlign w:val="center"/>
          </w:tcPr>
          <w:p w14:paraId="6A575712" w14:textId="77777777" w:rsidR="00160E95" w:rsidRPr="00A81971" w:rsidRDefault="0032495C" w:rsidP="001365A8">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 xml:space="preserve">HFC CONSUMPTION SECTOR ESTIMATED </w:t>
            </w:r>
            <w:r w:rsidRPr="00A81971">
              <w:br/>
            </w:r>
            <w:r w:rsidRPr="00A81971">
              <w:rPr>
                <w:rFonts w:eastAsia="Times New Roman"/>
                <w:b/>
                <w:bCs/>
                <w:color w:val="000000" w:themeColor="text1"/>
                <w:sz w:val="21"/>
                <w:szCs w:val="21"/>
              </w:rPr>
              <w:t>FUNDING RANGE (US$ million)</w:t>
            </w:r>
          </w:p>
        </w:tc>
      </w:tr>
      <w:tr w:rsidR="00F90461" w14:paraId="0ED3B577" w14:textId="77777777" w:rsidTr="001365A8">
        <w:trPr>
          <w:trHeight w:val="60"/>
        </w:trPr>
        <w:tc>
          <w:tcPr>
            <w:tcW w:w="2516" w:type="dxa"/>
            <w:vMerge/>
            <w:vAlign w:val="center"/>
          </w:tcPr>
          <w:p w14:paraId="234E8F48" w14:textId="77777777" w:rsidR="00160E95" w:rsidRPr="00A81971" w:rsidRDefault="00160E95" w:rsidP="001365A8"/>
        </w:tc>
        <w:tc>
          <w:tcPr>
            <w:tcW w:w="3318" w:type="dxa"/>
            <w:shd w:val="clear" w:color="auto" w:fill="DEEAF6" w:themeFill="accent5" w:themeFillTint="33"/>
            <w:vAlign w:val="center"/>
          </w:tcPr>
          <w:p w14:paraId="17DB77E7" w14:textId="77777777" w:rsidR="00160E95" w:rsidRPr="00A81971" w:rsidRDefault="0032495C" w:rsidP="001365A8">
            <w:pPr>
              <w:tabs>
                <w:tab w:val="left" w:pos="720"/>
              </w:tabs>
              <w:spacing w:after="0"/>
              <w:jc w:val="center"/>
              <w:rPr>
                <w:rFonts w:eastAsia="Times New Roman"/>
                <w:color w:val="000000" w:themeColor="text1"/>
                <w:sz w:val="21"/>
                <w:szCs w:val="21"/>
              </w:rPr>
            </w:pPr>
            <w:r w:rsidRPr="00A81971">
              <w:rPr>
                <w:rFonts w:eastAsia="Times New Roman"/>
                <w:b/>
                <w:bCs/>
                <w:color w:val="000000" w:themeColor="text1"/>
                <w:sz w:val="21"/>
                <w:szCs w:val="21"/>
              </w:rPr>
              <w:t>Resource Allocation A</w:t>
            </w:r>
            <w:r w:rsidRPr="00A81971">
              <w:rPr>
                <w:rFonts w:eastAsia="Times New Roman"/>
                <w:color w:val="000000" w:themeColor="text1"/>
                <w:sz w:val="21"/>
                <w:szCs w:val="21"/>
              </w:rPr>
              <w:t xml:space="preserve"> </w:t>
            </w:r>
          </w:p>
        </w:tc>
        <w:tc>
          <w:tcPr>
            <w:tcW w:w="3240" w:type="dxa"/>
            <w:shd w:val="clear" w:color="auto" w:fill="DEEAF6" w:themeFill="accent5" w:themeFillTint="33"/>
            <w:vAlign w:val="center"/>
          </w:tcPr>
          <w:p w14:paraId="59939BFA" w14:textId="77777777" w:rsidR="00160E95" w:rsidRPr="00A81971" w:rsidRDefault="0032495C" w:rsidP="001365A8">
            <w:pPr>
              <w:tabs>
                <w:tab w:val="left" w:pos="720"/>
              </w:tabs>
              <w:spacing w:after="0"/>
              <w:jc w:val="center"/>
              <w:rPr>
                <w:rFonts w:eastAsia="Times New Roman"/>
                <w:b/>
                <w:bCs/>
                <w:color w:val="000000" w:themeColor="text1"/>
                <w:sz w:val="21"/>
                <w:szCs w:val="21"/>
              </w:rPr>
            </w:pPr>
            <w:r w:rsidRPr="00A81971">
              <w:rPr>
                <w:rFonts w:eastAsia="Times New Roman"/>
                <w:b/>
                <w:bCs/>
                <w:color w:val="000000" w:themeColor="text1"/>
                <w:sz w:val="21"/>
                <w:szCs w:val="21"/>
              </w:rPr>
              <w:t>Resource Allocation B</w:t>
            </w:r>
          </w:p>
        </w:tc>
      </w:tr>
      <w:tr w:rsidR="00F90461" w14:paraId="0ACB7720" w14:textId="77777777" w:rsidTr="001365A8">
        <w:trPr>
          <w:trHeight w:val="285"/>
        </w:trPr>
        <w:tc>
          <w:tcPr>
            <w:tcW w:w="2516" w:type="dxa"/>
            <w:shd w:val="clear" w:color="auto" w:fill="FFFF00"/>
            <w:vAlign w:val="bottom"/>
          </w:tcPr>
          <w:p w14:paraId="6AE5626E" w14:textId="77777777" w:rsidR="00160E95" w:rsidRPr="00A81971" w:rsidRDefault="0032495C" w:rsidP="001365A8">
            <w:pPr>
              <w:tabs>
                <w:tab w:val="left" w:pos="720"/>
              </w:tabs>
              <w:spacing w:after="0"/>
              <w:jc w:val="center"/>
              <w:rPr>
                <w:rFonts w:eastAsia="Times New Roman"/>
                <w:color w:val="000000" w:themeColor="text1"/>
              </w:rPr>
            </w:pPr>
            <w:r w:rsidRPr="00A81971">
              <w:rPr>
                <w:rFonts w:eastAsia="Times New Roman"/>
                <w:b/>
                <w:bCs/>
                <w:color w:val="000000" w:themeColor="text1"/>
              </w:rPr>
              <w:t>2027–2029</w:t>
            </w:r>
            <w:r w:rsidRPr="00A81971">
              <w:rPr>
                <w:rFonts w:eastAsia="Times New Roman"/>
                <w:color w:val="000000" w:themeColor="text1"/>
              </w:rPr>
              <w:t xml:space="preserve"> </w:t>
            </w:r>
          </w:p>
        </w:tc>
        <w:tc>
          <w:tcPr>
            <w:tcW w:w="3318" w:type="dxa"/>
            <w:shd w:val="clear" w:color="auto" w:fill="FFFF00"/>
            <w:vAlign w:val="center"/>
          </w:tcPr>
          <w:p w14:paraId="7CFE0BBF"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958 – 995</w:t>
            </w:r>
          </w:p>
        </w:tc>
        <w:tc>
          <w:tcPr>
            <w:tcW w:w="3240" w:type="dxa"/>
            <w:shd w:val="clear" w:color="auto" w:fill="FFFF00"/>
            <w:vAlign w:val="center"/>
          </w:tcPr>
          <w:p w14:paraId="39158CE8"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660 – 690</w:t>
            </w:r>
          </w:p>
        </w:tc>
      </w:tr>
      <w:tr w:rsidR="00F90461" w14:paraId="00D3D440" w14:textId="77777777" w:rsidTr="001365A8">
        <w:trPr>
          <w:trHeight w:val="285"/>
        </w:trPr>
        <w:tc>
          <w:tcPr>
            <w:tcW w:w="2516" w:type="dxa"/>
            <w:shd w:val="clear" w:color="auto" w:fill="FFFF00"/>
            <w:vAlign w:val="bottom"/>
          </w:tcPr>
          <w:p w14:paraId="3AA5CE1B" w14:textId="77777777" w:rsidR="00160E95" w:rsidRPr="00A81971" w:rsidRDefault="0032495C" w:rsidP="001365A8">
            <w:pPr>
              <w:tabs>
                <w:tab w:val="left" w:pos="720"/>
              </w:tabs>
              <w:spacing w:after="0"/>
              <w:jc w:val="center"/>
              <w:rPr>
                <w:rFonts w:eastAsia="Times New Roman"/>
                <w:color w:val="000000" w:themeColor="text1"/>
              </w:rPr>
            </w:pPr>
            <w:r w:rsidRPr="00A81971">
              <w:rPr>
                <w:rFonts w:eastAsia="Times New Roman"/>
                <w:b/>
                <w:bCs/>
                <w:color w:val="000000" w:themeColor="text1"/>
              </w:rPr>
              <w:t>2030–2032</w:t>
            </w:r>
            <w:r w:rsidRPr="00A81971">
              <w:rPr>
                <w:rFonts w:eastAsia="Times New Roman"/>
                <w:color w:val="000000" w:themeColor="text1"/>
              </w:rPr>
              <w:t xml:space="preserve"> </w:t>
            </w:r>
          </w:p>
        </w:tc>
        <w:tc>
          <w:tcPr>
            <w:tcW w:w="3318" w:type="dxa"/>
            <w:shd w:val="clear" w:color="auto" w:fill="FFFF00"/>
            <w:vAlign w:val="center"/>
          </w:tcPr>
          <w:p w14:paraId="05E0C697"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860 – 887</w:t>
            </w:r>
          </w:p>
        </w:tc>
        <w:tc>
          <w:tcPr>
            <w:tcW w:w="3240" w:type="dxa"/>
            <w:shd w:val="clear" w:color="auto" w:fill="FFFF00"/>
            <w:vAlign w:val="center"/>
          </w:tcPr>
          <w:p w14:paraId="1B2F4E19"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1,043 – 1,075</w:t>
            </w:r>
          </w:p>
        </w:tc>
      </w:tr>
      <w:tr w:rsidR="00F90461" w14:paraId="50079E4B" w14:textId="77777777" w:rsidTr="001365A8">
        <w:trPr>
          <w:trHeight w:val="285"/>
        </w:trPr>
        <w:tc>
          <w:tcPr>
            <w:tcW w:w="2516" w:type="dxa"/>
            <w:shd w:val="clear" w:color="auto" w:fill="FFFF00"/>
            <w:vAlign w:val="bottom"/>
          </w:tcPr>
          <w:p w14:paraId="59825372" w14:textId="77777777" w:rsidR="00160E95" w:rsidRPr="00A81971" w:rsidRDefault="0032495C" w:rsidP="001365A8">
            <w:pPr>
              <w:tabs>
                <w:tab w:val="left" w:pos="720"/>
              </w:tabs>
              <w:spacing w:after="0"/>
              <w:jc w:val="center"/>
              <w:rPr>
                <w:rFonts w:eastAsia="Times New Roman"/>
                <w:color w:val="000000" w:themeColor="text1"/>
              </w:rPr>
            </w:pPr>
            <w:r w:rsidRPr="00A81971">
              <w:rPr>
                <w:rFonts w:eastAsia="Times New Roman"/>
                <w:b/>
                <w:bCs/>
                <w:color w:val="000000" w:themeColor="text1"/>
              </w:rPr>
              <w:t>2033–2035</w:t>
            </w:r>
            <w:r w:rsidRPr="00A81971">
              <w:rPr>
                <w:rFonts w:eastAsia="Times New Roman"/>
                <w:color w:val="000000" w:themeColor="text1"/>
              </w:rPr>
              <w:t xml:space="preserve"> </w:t>
            </w:r>
          </w:p>
        </w:tc>
        <w:tc>
          <w:tcPr>
            <w:tcW w:w="3318" w:type="dxa"/>
            <w:shd w:val="clear" w:color="auto" w:fill="FFFF00"/>
            <w:vAlign w:val="center"/>
          </w:tcPr>
          <w:p w14:paraId="77C81F18"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454 – 470</w:t>
            </w:r>
          </w:p>
        </w:tc>
        <w:tc>
          <w:tcPr>
            <w:tcW w:w="3240" w:type="dxa"/>
            <w:shd w:val="clear" w:color="auto" w:fill="FFFF00"/>
            <w:vAlign w:val="center"/>
          </w:tcPr>
          <w:p w14:paraId="535DC97D" w14:textId="77777777" w:rsidR="00160E95" w:rsidRPr="00A81971" w:rsidRDefault="0032495C" w:rsidP="001365A8">
            <w:pPr>
              <w:tabs>
                <w:tab w:val="left" w:pos="720"/>
              </w:tabs>
              <w:spacing w:after="0"/>
              <w:jc w:val="center"/>
              <w:rPr>
                <w:rFonts w:eastAsia="Times New Roman"/>
                <w:b/>
                <w:bCs/>
                <w:color w:val="000000" w:themeColor="text1"/>
              </w:rPr>
            </w:pPr>
            <w:r w:rsidRPr="00A81971">
              <w:rPr>
                <w:rFonts w:eastAsia="Times New Roman"/>
                <w:b/>
                <w:bCs/>
                <w:color w:val="000000" w:themeColor="text1"/>
              </w:rPr>
              <w:t>569 – 587</w:t>
            </w:r>
          </w:p>
        </w:tc>
      </w:tr>
    </w:tbl>
    <w:p w14:paraId="4F5093F0" w14:textId="77777777" w:rsidR="00160E95" w:rsidRPr="00A81971" w:rsidRDefault="0032495C" w:rsidP="00160E95">
      <w:pPr>
        <w:spacing w:after="240"/>
        <w:rPr>
          <w:rFonts w:eastAsia="Times New Roman"/>
          <w:color w:val="000000" w:themeColor="text1"/>
        </w:rPr>
      </w:pPr>
      <w:r w:rsidRPr="00A81971">
        <w:rPr>
          <w:rFonts w:eastAsia="Times New Roman"/>
          <w:color w:val="000000" w:themeColor="text1"/>
        </w:rPr>
        <w:t xml:space="preserve"> </w:t>
      </w:r>
    </w:p>
    <w:p w14:paraId="7478AC0A" w14:textId="77777777" w:rsidR="00092AB3" w:rsidRPr="00A81971" w:rsidRDefault="00092AB3" w:rsidP="00E200B6">
      <w:pPr>
        <w:rPr>
          <w:b/>
          <w:bCs/>
        </w:rPr>
      </w:pPr>
    </w:p>
    <w:p w14:paraId="546CEC79" w14:textId="77777777" w:rsidR="004848FD" w:rsidRPr="00A81971" w:rsidRDefault="0032495C">
      <w:pPr>
        <w:spacing w:after="0"/>
        <w:rPr>
          <w:b/>
          <w:bCs/>
        </w:rPr>
      </w:pPr>
      <w:r w:rsidRPr="00A81971">
        <w:rPr>
          <w:b/>
          <w:bCs/>
        </w:rPr>
        <w:br w:type="page"/>
      </w:r>
    </w:p>
    <w:p w14:paraId="71B8CD13" w14:textId="4A15D866" w:rsidR="00DD1C7F" w:rsidRPr="002E3156" w:rsidRDefault="0032495C" w:rsidP="00696E14">
      <w:pPr>
        <w:pStyle w:val="Heading1"/>
      </w:pPr>
      <w:bookmarkStart w:id="253" w:name="_Toc240987358"/>
      <w:r w:rsidRPr="00A81971">
        <w:lastRenderedPageBreak/>
        <w:t xml:space="preserve">Annex 4: </w:t>
      </w:r>
      <w:r w:rsidR="00C10A2B">
        <w:tab/>
      </w:r>
      <w:r w:rsidR="6F79C402" w:rsidRPr="002E3156">
        <w:t xml:space="preserve">MLFS </w:t>
      </w:r>
      <w:r w:rsidR="00DF7486" w:rsidRPr="002E3156">
        <w:t>information</w:t>
      </w:r>
      <w:r w:rsidR="00957946" w:rsidRPr="002E3156">
        <w:t xml:space="preserve"> to support new scenario </w:t>
      </w:r>
      <w:r w:rsidR="00957946" w:rsidRPr="00FE5C31">
        <w:t>1c</w:t>
      </w:r>
      <w:r w:rsidR="59EA448B" w:rsidRPr="00FE5C31">
        <w:t xml:space="preserve"> </w:t>
      </w:r>
      <w:r w:rsidR="009123BE" w:rsidRPr="002E3156">
        <w:t xml:space="preserve">: CE based on average funding </w:t>
      </w:r>
      <w:r w:rsidR="00800B83" w:rsidRPr="002E3156">
        <w:t>levels for each a5 party over the past six years</w:t>
      </w:r>
      <w:bookmarkEnd w:id="253"/>
    </w:p>
    <w:p w14:paraId="59A03A0D" w14:textId="77777777" w:rsidR="00DD1C7F" w:rsidRPr="00A81971" w:rsidRDefault="00DD1C7F" w:rsidP="00DD1C7F">
      <w:pPr>
        <w:spacing w:after="0"/>
        <w:rPr>
          <w:rFonts w:eastAsia="Times New Roman"/>
          <w:sz w:val="24"/>
          <w:szCs w:val="24"/>
          <w:lang w:eastAsia="nl-NL"/>
        </w:rPr>
      </w:pPr>
    </w:p>
    <w:tbl>
      <w:tblPr>
        <w:tblW w:w="9067" w:type="dxa"/>
        <w:tblLook w:val="04A0" w:firstRow="1" w:lastRow="0" w:firstColumn="1" w:lastColumn="0" w:noHBand="0" w:noVBand="1"/>
      </w:tblPr>
      <w:tblGrid>
        <w:gridCol w:w="3865"/>
        <w:gridCol w:w="2651"/>
        <w:gridCol w:w="2551"/>
      </w:tblGrid>
      <w:tr w:rsidR="00F90461" w14:paraId="5D108670" w14:textId="77777777" w:rsidTr="00B17CBF">
        <w:trPr>
          <w:trHeight w:val="300"/>
          <w:tblHeader/>
        </w:trPr>
        <w:tc>
          <w:tcPr>
            <w:tcW w:w="386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DFF124" w14:textId="77777777" w:rsidR="00DD1C7F" w:rsidRPr="00A81971" w:rsidRDefault="0032495C" w:rsidP="00727A94">
            <w:pPr>
              <w:spacing w:after="0"/>
              <w:jc w:val="center"/>
              <w:rPr>
                <w:rFonts w:eastAsia="Times New Roman"/>
                <w:b/>
                <w:bCs/>
                <w:color w:val="000000"/>
              </w:rPr>
            </w:pPr>
            <w:r w:rsidRPr="00A81971">
              <w:rPr>
                <w:rFonts w:eastAsia="Times New Roman"/>
                <w:b/>
                <w:bCs/>
                <w:color w:val="000000"/>
              </w:rPr>
              <w:t>Country</w:t>
            </w:r>
          </w:p>
        </w:tc>
        <w:tc>
          <w:tcPr>
            <w:tcW w:w="2651"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432EBEA" w14:textId="77777777" w:rsidR="00DD1C7F" w:rsidRPr="00A81971" w:rsidRDefault="0032495C" w:rsidP="00FE5C31">
            <w:pPr>
              <w:spacing w:after="0"/>
              <w:jc w:val="center"/>
              <w:rPr>
                <w:rFonts w:eastAsia="Times New Roman"/>
                <w:b/>
                <w:bCs/>
                <w:color w:val="000000"/>
              </w:rPr>
            </w:pPr>
            <w:r w:rsidRPr="00A81971">
              <w:rPr>
                <w:rFonts w:eastAsia="Times New Roman"/>
                <w:b/>
                <w:bCs/>
                <w:color w:val="000000"/>
              </w:rPr>
              <w:t xml:space="preserve">2020-2025 </w:t>
            </w:r>
            <w:r w:rsidR="00FA1F03" w:rsidRPr="00A81971">
              <w:rPr>
                <w:rFonts w:eastAsia="Times New Roman"/>
                <w:b/>
                <w:bCs/>
                <w:color w:val="000000"/>
              </w:rPr>
              <w:t>f</w:t>
            </w:r>
            <w:r w:rsidRPr="00A81971">
              <w:rPr>
                <w:rFonts w:eastAsia="Times New Roman"/>
                <w:b/>
                <w:bCs/>
                <w:color w:val="000000"/>
              </w:rPr>
              <w:t>unding (US$, including ASC)</w:t>
            </w:r>
          </w:p>
        </w:tc>
        <w:tc>
          <w:tcPr>
            <w:tcW w:w="2551"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009130FA" w14:textId="77777777" w:rsidR="00DD1C7F" w:rsidRPr="00A81971" w:rsidRDefault="0032495C" w:rsidP="00FE5C31">
            <w:pPr>
              <w:spacing w:after="0"/>
              <w:jc w:val="center"/>
              <w:rPr>
                <w:rFonts w:eastAsia="Times New Roman"/>
                <w:b/>
                <w:bCs/>
                <w:color w:val="000000"/>
              </w:rPr>
            </w:pPr>
            <w:r w:rsidRPr="00A81971">
              <w:rPr>
                <w:rFonts w:eastAsia="Times New Roman"/>
                <w:b/>
                <w:bCs/>
                <w:color w:val="000000"/>
              </w:rPr>
              <w:t>Average annual funding (US$, including ASC)</w:t>
            </w:r>
          </w:p>
        </w:tc>
      </w:tr>
      <w:tr w:rsidR="00F90461" w14:paraId="640D333B" w14:textId="77777777" w:rsidTr="00A04930">
        <w:trPr>
          <w:trHeight w:val="262"/>
        </w:trPr>
        <w:tc>
          <w:tcPr>
            <w:tcW w:w="3865" w:type="dxa"/>
            <w:tcBorders>
              <w:top w:val="nil"/>
              <w:left w:val="single" w:sz="4" w:space="0" w:color="auto"/>
              <w:bottom w:val="single" w:sz="4" w:space="0" w:color="auto"/>
              <w:right w:val="single" w:sz="4" w:space="0" w:color="auto"/>
            </w:tcBorders>
            <w:noWrap/>
            <w:vAlign w:val="bottom"/>
            <w:hideMark/>
          </w:tcPr>
          <w:p w14:paraId="5E02698D" w14:textId="77777777" w:rsidR="00DD1C7F" w:rsidRPr="00A81971" w:rsidRDefault="0032495C">
            <w:pPr>
              <w:spacing w:after="0"/>
              <w:rPr>
                <w:rFonts w:eastAsia="Times New Roman"/>
                <w:color w:val="000000"/>
              </w:rPr>
            </w:pPr>
            <w:r w:rsidRPr="00A81971">
              <w:rPr>
                <w:rFonts w:eastAsia="Times New Roman"/>
                <w:color w:val="000000"/>
              </w:rPr>
              <w:t>Albania</w:t>
            </w:r>
          </w:p>
        </w:tc>
        <w:tc>
          <w:tcPr>
            <w:tcW w:w="2651" w:type="dxa"/>
            <w:tcBorders>
              <w:top w:val="nil"/>
              <w:left w:val="nil"/>
              <w:bottom w:val="single" w:sz="4" w:space="0" w:color="auto"/>
              <w:right w:val="single" w:sz="4" w:space="0" w:color="auto"/>
            </w:tcBorders>
            <w:noWrap/>
            <w:vAlign w:val="center"/>
            <w:hideMark/>
          </w:tcPr>
          <w:p w14:paraId="1D983CFD" w14:textId="5040E383" w:rsidR="00DD1C7F" w:rsidRPr="00A81971" w:rsidRDefault="0032495C" w:rsidP="00A04930">
            <w:pPr>
              <w:spacing w:after="0"/>
              <w:jc w:val="right"/>
              <w:rPr>
                <w:rFonts w:eastAsia="Times New Roman"/>
                <w:color w:val="000000"/>
              </w:rPr>
            </w:pPr>
            <w:r w:rsidRPr="00A81971">
              <w:rPr>
                <w:rFonts w:eastAsia="Times New Roman"/>
                <w:color w:val="000000"/>
              </w:rPr>
              <w:t>202</w:t>
            </w:r>
            <w:r w:rsidR="006264EA">
              <w:rPr>
                <w:rFonts w:eastAsia="Times New Roman"/>
                <w:color w:val="000000"/>
              </w:rPr>
              <w:t>,</w:t>
            </w:r>
            <w:r w:rsidRPr="00A81971">
              <w:rPr>
                <w:rFonts w:eastAsia="Times New Roman"/>
                <w:color w:val="000000"/>
              </w:rPr>
              <w:t xml:space="preserve">711 </w:t>
            </w:r>
          </w:p>
        </w:tc>
        <w:tc>
          <w:tcPr>
            <w:tcW w:w="2551" w:type="dxa"/>
            <w:tcBorders>
              <w:top w:val="nil"/>
              <w:left w:val="nil"/>
              <w:bottom w:val="single" w:sz="4" w:space="0" w:color="auto"/>
              <w:right w:val="single" w:sz="4" w:space="0" w:color="auto"/>
            </w:tcBorders>
            <w:noWrap/>
            <w:vAlign w:val="center"/>
            <w:hideMark/>
          </w:tcPr>
          <w:p w14:paraId="74686590" w14:textId="6464E89D" w:rsidR="00DD1C7F" w:rsidRPr="00A81971" w:rsidRDefault="0032495C" w:rsidP="00A04930">
            <w:pPr>
              <w:spacing w:after="0"/>
              <w:jc w:val="right"/>
              <w:rPr>
                <w:rFonts w:eastAsia="Times New Roman"/>
                <w:color w:val="000000"/>
              </w:rPr>
            </w:pPr>
            <w:r w:rsidRPr="00A81971">
              <w:rPr>
                <w:rFonts w:eastAsia="Times New Roman"/>
                <w:color w:val="000000"/>
              </w:rPr>
              <w:t>33</w:t>
            </w:r>
            <w:r w:rsidR="006264EA">
              <w:rPr>
                <w:rFonts w:eastAsia="Times New Roman"/>
                <w:color w:val="000000"/>
              </w:rPr>
              <w:t>,</w:t>
            </w:r>
            <w:r w:rsidRPr="00A81971">
              <w:rPr>
                <w:rFonts w:eastAsia="Times New Roman"/>
                <w:color w:val="000000"/>
              </w:rPr>
              <w:t xml:space="preserve">785 </w:t>
            </w:r>
          </w:p>
        </w:tc>
      </w:tr>
      <w:tr w:rsidR="00F90461" w14:paraId="2AA135A2"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69734A41" w14:textId="77777777" w:rsidR="00DD1C7F" w:rsidRPr="00A81971" w:rsidRDefault="0032495C">
            <w:pPr>
              <w:spacing w:after="0"/>
              <w:rPr>
                <w:rFonts w:eastAsia="Times New Roman"/>
                <w:color w:val="000000"/>
              </w:rPr>
            </w:pPr>
            <w:r w:rsidRPr="00A81971">
              <w:rPr>
                <w:rFonts w:eastAsia="Times New Roman"/>
                <w:color w:val="000000"/>
              </w:rPr>
              <w:t>Angola</w:t>
            </w:r>
          </w:p>
        </w:tc>
        <w:tc>
          <w:tcPr>
            <w:tcW w:w="2651" w:type="dxa"/>
            <w:tcBorders>
              <w:top w:val="nil"/>
              <w:left w:val="nil"/>
              <w:bottom w:val="single" w:sz="4" w:space="0" w:color="auto"/>
              <w:right w:val="single" w:sz="4" w:space="0" w:color="auto"/>
            </w:tcBorders>
            <w:noWrap/>
            <w:vAlign w:val="center"/>
            <w:hideMark/>
          </w:tcPr>
          <w:p w14:paraId="06F48811" w14:textId="0E3CA894" w:rsidR="00DD1C7F" w:rsidRPr="00A81971" w:rsidRDefault="0032495C" w:rsidP="00A04930">
            <w:pPr>
              <w:spacing w:after="0"/>
              <w:jc w:val="right"/>
              <w:rPr>
                <w:rFonts w:eastAsia="Times New Roman"/>
                <w:color w:val="000000"/>
              </w:rPr>
            </w:pPr>
            <w:r w:rsidRPr="00A81971">
              <w:rPr>
                <w:rFonts w:eastAsia="Times New Roman"/>
                <w:color w:val="000000"/>
              </w:rPr>
              <w:t>412</w:t>
            </w:r>
            <w:r w:rsidR="006264EA">
              <w:rPr>
                <w:rFonts w:eastAsia="Times New Roman"/>
                <w:color w:val="000000"/>
              </w:rPr>
              <w:t>,</w:t>
            </w:r>
            <w:r w:rsidRPr="00A81971">
              <w:rPr>
                <w:rFonts w:eastAsia="Times New Roman"/>
                <w:color w:val="000000"/>
              </w:rPr>
              <w:t xml:space="preserve">552 </w:t>
            </w:r>
          </w:p>
        </w:tc>
        <w:tc>
          <w:tcPr>
            <w:tcW w:w="2551" w:type="dxa"/>
            <w:tcBorders>
              <w:top w:val="nil"/>
              <w:left w:val="nil"/>
              <w:bottom w:val="single" w:sz="4" w:space="0" w:color="auto"/>
              <w:right w:val="single" w:sz="4" w:space="0" w:color="auto"/>
            </w:tcBorders>
            <w:noWrap/>
            <w:vAlign w:val="center"/>
            <w:hideMark/>
          </w:tcPr>
          <w:p w14:paraId="6E14AF97" w14:textId="481BEB90" w:rsidR="00DD1C7F" w:rsidRPr="00A81971" w:rsidRDefault="0032495C" w:rsidP="00A04930">
            <w:pPr>
              <w:spacing w:after="0"/>
              <w:jc w:val="right"/>
              <w:rPr>
                <w:rFonts w:eastAsia="Times New Roman"/>
                <w:color w:val="000000"/>
              </w:rPr>
            </w:pPr>
            <w:r w:rsidRPr="00A81971">
              <w:rPr>
                <w:rFonts w:eastAsia="Times New Roman"/>
                <w:color w:val="000000"/>
              </w:rPr>
              <w:t>68</w:t>
            </w:r>
            <w:r w:rsidR="006264EA">
              <w:rPr>
                <w:rFonts w:eastAsia="Times New Roman"/>
                <w:color w:val="000000"/>
              </w:rPr>
              <w:t>,</w:t>
            </w:r>
            <w:r w:rsidRPr="00A81971">
              <w:rPr>
                <w:rFonts w:eastAsia="Times New Roman"/>
                <w:color w:val="000000"/>
              </w:rPr>
              <w:t xml:space="preserve">759 </w:t>
            </w:r>
          </w:p>
        </w:tc>
      </w:tr>
      <w:tr w:rsidR="00F90461" w14:paraId="467382C5"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5935269" w14:textId="77777777" w:rsidR="00DD1C7F" w:rsidRPr="00A81971" w:rsidRDefault="0032495C">
            <w:pPr>
              <w:spacing w:after="0"/>
              <w:rPr>
                <w:rFonts w:eastAsia="Times New Roman"/>
                <w:color w:val="000000"/>
              </w:rPr>
            </w:pPr>
            <w:r w:rsidRPr="00A81971">
              <w:rPr>
                <w:rFonts w:eastAsia="Times New Roman"/>
                <w:color w:val="000000"/>
              </w:rPr>
              <w:t>Armenia</w:t>
            </w:r>
          </w:p>
        </w:tc>
        <w:tc>
          <w:tcPr>
            <w:tcW w:w="2651" w:type="dxa"/>
            <w:tcBorders>
              <w:top w:val="nil"/>
              <w:left w:val="nil"/>
              <w:bottom w:val="single" w:sz="4" w:space="0" w:color="auto"/>
              <w:right w:val="single" w:sz="4" w:space="0" w:color="auto"/>
            </w:tcBorders>
            <w:noWrap/>
            <w:vAlign w:val="center"/>
            <w:hideMark/>
          </w:tcPr>
          <w:p w14:paraId="7FCD2F5A" w14:textId="7228DD2F" w:rsidR="00DD1C7F" w:rsidRPr="00A81971" w:rsidRDefault="0032495C" w:rsidP="00A04930">
            <w:pPr>
              <w:spacing w:after="0"/>
              <w:jc w:val="right"/>
              <w:rPr>
                <w:rFonts w:eastAsia="Times New Roman"/>
                <w:color w:val="000000"/>
              </w:rPr>
            </w:pPr>
            <w:r w:rsidRPr="00A81971">
              <w:rPr>
                <w:rFonts w:eastAsia="Times New Roman"/>
                <w:color w:val="000000"/>
              </w:rPr>
              <w:t>186</w:t>
            </w:r>
            <w:r w:rsidR="006264EA">
              <w:rPr>
                <w:rFonts w:eastAsia="Times New Roman"/>
                <w:color w:val="000000"/>
              </w:rPr>
              <w:t>,</w:t>
            </w:r>
            <w:r w:rsidRPr="00A81971">
              <w:rPr>
                <w:rFonts w:eastAsia="Times New Roman"/>
                <w:color w:val="000000"/>
              </w:rPr>
              <w:t xml:space="preserve">535 </w:t>
            </w:r>
          </w:p>
        </w:tc>
        <w:tc>
          <w:tcPr>
            <w:tcW w:w="2551" w:type="dxa"/>
            <w:tcBorders>
              <w:top w:val="nil"/>
              <w:left w:val="nil"/>
              <w:bottom w:val="single" w:sz="4" w:space="0" w:color="auto"/>
              <w:right w:val="single" w:sz="4" w:space="0" w:color="auto"/>
            </w:tcBorders>
            <w:noWrap/>
            <w:vAlign w:val="center"/>
            <w:hideMark/>
          </w:tcPr>
          <w:p w14:paraId="7D9E8C26" w14:textId="24BA472B" w:rsidR="00DD1C7F" w:rsidRPr="00A81971" w:rsidRDefault="0032495C" w:rsidP="00A04930">
            <w:pPr>
              <w:spacing w:after="0"/>
              <w:jc w:val="right"/>
              <w:rPr>
                <w:rFonts w:eastAsia="Times New Roman"/>
                <w:color w:val="000000"/>
              </w:rPr>
            </w:pPr>
            <w:r w:rsidRPr="00A81971">
              <w:rPr>
                <w:rFonts w:eastAsia="Times New Roman"/>
                <w:color w:val="000000"/>
              </w:rPr>
              <w:t>31</w:t>
            </w:r>
            <w:r w:rsidR="006264EA">
              <w:rPr>
                <w:rFonts w:eastAsia="Times New Roman"/>
                <w:color w:val="000000"/>
              </w:rPr>
              <w:t>,</w:t>
            </w:r>
            <w:r w:rsidRPr="00A81971">
              <w:rPr>
                <w:rFonts w:eastAsia="Times New Roman"/>
                <w:color w:val="000000"/>
              </w:rPr>
              <w:t xml:space="preserve">089 </w:t>
            </w:r>
          </w:p>
        </w:tc>
      </w:tr>
      <w:tr w:rsidR="00F90461" w14:paraId="351C2B2F"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86C87DF" w14:textId="77777777" w:rsidR="00DD1C7F" w:rsidRPr="00A81971" w:rsidRDefault="0032495C">
            <w:pPr>
              <w:spacing w:after="0"/>
              <w:rPr>
                <w:rFonts w:eastAsia="Times New Roman"/>
                <w:color w:val="000000"/>
              </w:rPr>
            </w:pPr>
            <w:r w:rsidRPr="00A81971">
              <w:rPr>
                <w:rFonts w:eastAsia="Times New Roman"/>
                <w:color w:val="000000"/>
              </w:rPr>
              <w:t>Benin</w:t>
            </w:r>
          </w:p>
        </w:tc>
        <w:tc>
          <w:tcPr>
            <w:tcW w:w="2651" w:type="dxa"/>
            <w:tcBorders>
              <w:top w:val="nil"/>
              <w:left w:val="nil"/>
              <w:bottom w:val="single" w:sz="4" w:space="0" w:color="auto"/>
              <w:right w:val="single" w:sz="4" w:space="0" w:color="auto"/>
            </w:tcBorders>
            <w:noWrap/>
            <w:vAlign w:val="center"/>
            <w:hideMark/>
          </w:tcPr>
          <w:p w14:paraId="56A55AB7" w14:textId="1948F019" w:rsidR="00DD1C7F" w:rsidRPr="00A81971" w:rsidRDefault="0032495C" w:rsidP="00A04930">
            <w:pPr>
              <w:spacing w:after="0"/>
              <w:jc w:val="right"/>
              <w:rPr>
                <w:rFonts w:eastAsia="Times New Roman"/>
                <w:color w:val="000000"/>
              </w:rPr>
            </w:pPr>
            <w:r w:rsidRPr="00A81971">
              <w:rPr>
                <w:rFonts w:eastAsia="Times New Roman"/>
                <w:color w:val="000000"/>
              </w:rPr>
              <w:t>200</w:t>
            </w:r>
            <w:r w:rsidR="006264EA">
              <w:rPr>
                <w:rFonts w:eastAsia="Times New Roman"/>
                <w:color w:val="000000"/>
              </w:rPr>
              <w:t>,</w:t>
            </w:r>
            <w:r w:rsidRPr="00A81971">
              <w:rPr>
                <w:rFonts w:eastAsia="Times New Roman"/>
                <w:color w:val="000000"/>
              </w:rPr>
              <w:t xml:space="preserve">575 </w:t>
            </w:r>
          </w:p>
        </w:tc>
        <w:tc>
          <w:tcPr>
            <w:tcW w:w="2551" w:type="dxa"/>
            <w:tcBorders>
              <w:top w:val="nil"/>
              <w:left w:val="nil"/>
              <w:bottom w:val="single" w:sz="4" w:space="0" w:color="auto"/>
              <w:right w:val="single" w:sz="4" w:space="0" w:color="auto"/>
            </w:tcBorders>
            <w:noWrap/>
            <w:vAlign w:val="center"/>
            <w:hideMark/>
          </w:tcPr>
          <w:p w14:paraId="2095FD1E" w14:textId="1E2FC0C2" w:rsidR="00DD1C7F" w:rsidRPr="00A81971" w:rsidRDefault="0032495C" w:rsidP="00A04930">
            <w:pPr>
              <w:spacing w:after="0"/>
              <w:jc w:val="right"/>
              <w:rPr>
                <w:rFonts w:eastAsia="Times New Roman"/>
                <w:color w:val="000000"/>
              </w:rPr>
            </w:pPr>
            <w:r w:rsidRPr="00A81971">
              <w:rPr>
                <w:rFonts w:eastAsia="Times New Roman"/>
                <w:color w:val="000000"/>
              </w:rPr>
              <w:t>33</w:t>
            </w:r>
            <w:r w:rsidR="006264EA">
              <w:rPr>
                <w:rFonts w:eastAsia="Times New Roman"/>
                <w:color w:val="000000"/>
              </w:rPr>
              <w:t>,</w:t>
            </w:r>
            <w:r w:rsidRPr="00A81971">
              <w:rPr>
                <w:rFonts w:eastAsia="Times New Roman"/>
                <w:color w:val="000000"/>
              </w:rPr>
              <w:t xml:space="preserve">429 </w:t>
            </w:r>
          </w:p>
        </w:tc>
      </w:tr>
      <w:tr w:rsidR="00F90461" w14:paraId="5DDBCB0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4B18843" w14:textId="77777777" w:rsidR="00DD1C7F" w:rsidRPr="00A81971" w:rsidRDefault="0032495C">
            <w:pPr>
              <w:spacing w:after="0"/>
              <w:rPr>
                <w:rFonts w:eastAsia="Times New Roman"/>
                <w:color w:val="000000"/>
              </w:rPr>
            </w:pPr>
            <w:r w:rsidRPr="00A81971">
              <w:rPr>
                <w:rFonts w:eastAsia="Times New Roman"/>
                <w:color w:val="000000"/>
              </w:rPr>
              <w:t>Bolivia (Plurinational State of)</w:t>
            </w:r>
          </w:p>
        </w:tc>
        <w:tc>
          <w:tcPr>
            <w:tcW w:w="2651" w:type="dxa"/>
            <w:tcBorders>
              <w:top w:val="nil"/>
              <w:left w:val="nil"/>
              <w:bottom w:val="single" w:sz="4" w:space="0" w:color="auto"/>
              <w:right w:val="single" w:sz="4" w:space="0" w:color="auto"/>
            </w:tcBorders>
            <w:noWrap/>
            <w:vAlign w:val="center"/>
            <w:hideMark/>
          </w:tcPr>
          <w:p w14:paraId="79C5322D" w14:textId="29028581" w:rsidR="00DD1C7F" w:rsidRPr="00A81971" w:rsidRDefault="0032495C" w:rsidP="00A04930">
            <w:pPr>
              <w:spacing w:after="0"/>
              <w:jc w:val="right"/>
              <w:rPr>
                <w:rFonts w:eastAsia="Times New Roman"/>
                <w:color w:val="000000"/>
              </w:rPr>
            </w:pPr>
            <w:r w:rsidRPr="00A81971">
              <w:rPr>
                <w:rFonts w:eastAsia="Times New Roman"/>
                <w:color w:val="000000"/>
              </w:rPr>
              <w:t>219</w:t>
            </w:r>
            <w:r w:rsidR="006264EA">
              <w:rPr>
                <w:rFonts w:eastAsia="Times New Roman"/>
                <w:color w:val="000000"/>
              </w:rPr>
              <w:t>,</w:t>
            </w:r>
            <w:r w:rsidRPr="00A81971">
              <w:rPr>
                <w:rFonts w:eastAsia="Times New Roman"/>
                <w:color w:val="000000"/>
              </w:rPr>
              <w:t xml:space="preserve">220 </w:t>
            </w:r>
          </w:p>
        </w:tc>
        <w:tc>
          <w:tcPr>
            <w:tcW w:w="2551" w:type="dxa"/>
            <w:tcBorders>
              <w:top w:val="nil"/>
              <w:left w:val="nil"/>
              <w:bottom w:val="single" w:sz="4" w:space="0" w:color="auto"/>
              <w:right w:val="single" w:sz="4" w:space="0" w:color="auto"/>
            </w:tcBorders>
            <w:noWrap/>
            <w:vAlign w:val="center"/>
            <w:hideMark/>
          </w:tcPr>
          <w:p w14:paraId="1D22DF43" w14:textId="60C87416" w:rsidR="00DD1C7F" w:rsidRPr="00A81971" w:rsidRDefault="0032495C" w:rsidP="00A04930">
            <w:pPr>
              <w:spacing w:after="0"/>
              <w:jc w:val="right"/>
              <w:rPr>
                <w:rFonts w:eastAsia="Times New Roman"/>
                <w:color w:val="000000"/>
              </w:rPr>
            </w:pPr>
            <w:r w:rsidRPr="00A81971">
              <w:rPr>
                <w:rFonts w:eastAsia="Times New Roman"/>
                <w:color w:val="000000"/>
              </w:rPr>
              <w:t>36</w:t>
            </w:r>
            <w:r w:rsidR="006264EA">
              <w:rPr>
                <w:rFonts w:eastAsia="Times New Roman"/>
                <w:color w:val="000000"/>
              </w:rPr>
              <w:t>,</w:t>
            </w:r>
            <w:r w:rsidRPr="00A81971">
              <w:rPr>
                <w:rFonts w:eastAsia="Times New Roman"/>
                <w:color w:val="000000"/>
              </w:rPr>
              <w:t xml:space="preserve">537 </w:t>
            </w:r>
          </w:p>
        </w:tc>
      </w:tr>
      <w:tr w:rsidR="00F90461" w14:paraId="4B633A82"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407D202" w14:textId="77777777" w:rsidR="00DD1C7F" w:rsidRPr="00A81971" w:rsidRDefault="0032495C">
            <w:pPr>
              <w:spacing w:after="0"/>
              <w:rPr>
                <w:rFonts w:eastAsia="Times New Roman"/>
                <w:color w:val="000000"/>
              </w:rPr>
            </w:pPr>
            <w:r w:rsidRPr="00A81971">
              <w:rPr>
                <w:rFonts w:eastAsia="Times New Roman"/>
                <w:color w:val="000000"/>
              </w:rPr>
              <w:t>Bosnia and Herzegovina</w:t>
            </w:r>
          </w:p>
        </w:tc>
        <w:tc>
          <w:tcPr>
            <w:tcW w:w="2651" w:type="dxa"/>
            <w:tcBorders>
              <w:top w:val="nil"/>
              <w:left w:val="nil"/>
              <w:bottom w:val="single" w:sz="4" w:space="0" w:color="auto"/>
              <w:right w:val="single" w:sz="4" w:space="0" w:color="auto"/>
            </w:tcBorders>
            <w:noWrap/>
            <w:vAlign w:val="center"/>
            <w:hideMark/>
          </w:tcPr>
          <w:p w14:paraId="4B107F1A" w14:textId="051A621D" w:rsidR="00DD1C7F" w:rsidRPr="00A81971" w:rsidRDefault="0032495C" w:rsidP="00A04930">
            <w:pPr>
              <w:spacing w:after="0"/>
              <w:jc w:val="right"/>
              <w:rPr>
                <w:rFonts w:eastAsia="Times New Roman"/>
                <w:color w:val="000000"/>
              </w:rPr>
            </w:pPr>
            <w:r w:rsidRPr="00A81971">
              <w:rPr>
                <w:rFonts w:eastAsia="Times New Roman"/>
                <w:color w:val="000000"/>
              </w:rPr>
              <w:t>244</w:t>
            </w:r>
            <w:r w:rsidR="006264EA">
              <w:rPr>
                <w:rFonts w:eastAsia="Times New Roman"/>
                <w:color w:val="000000"/>
              </w:rPr>
              <w:t>,</w:t>
            </w:r>
            <w:r w:rsidRPr="00A81971">
              <w:rPr>
                <w:rFonts w:eastAsia="Times New Roman"/>
                <w:color w:val="000000"/>
              </w:rPr>
              <w:t xml:space="preserve">080 </w:t>
            </w:r>
          </w:p>
        </w:tc>
        <w:tc>
          <w:tcPr>
            <w:tcW w:w="2551" w:type="dxa"/>
            <w:tcBorders>
              <w:top w:val="nil"/>
              <w:left w:val="nil"/>
              <w:bottom w:val="single" w:sz="4" w:space="0" w:color="auto"/>
              <w:right w:val="single" w:sz="4" w:space="0" w:color="auto"/>
            </w:tcBorders>
            <w:noWrap/>
            <w:vAlign w:val="center"/>
            <w:hideMark/>
          </w:tcPr>
          <w:p w14:paraId="52E8E342" w14:textId="60329826" w:rsidR="00DD1C7F" w:rsidRPr="00A81971" w:rsidRDefault="0032495C" w:rsidP="00A04930">
            <w:pPr>
              <w:spacing w:after="0"/>
              <w:jc w:val="right"/>
              <w:rPr>
                <w:rFonts w:eastAsia="Times New Roman"/>
                <w:color w:val="000000"/>
              </w:rPr>
            </w:pPr>
            <w:r w:rsidRPr="00A81971">
              <w:rPr>
                <w:rFonts w:eastAsia="Times New Roman"/>
                <w:color w:val="000000"/>
              </w:rPr>
              <w:t>40</w:t>
            </w:r>
            <w:r w:rsidR="006264EA">
              <w:rPr>
                <w:rFonts w:eastAsia="Times New Roman"/>
                <w:color w:val="000000"/>
              </w:rPr>
              <w:t>,</w:t>
            </w:r>
            <w:r w:rsidRPr="00A81971">
              <w:rPr>
                <w:rFonts w:eastAsia="Times New Roman"/>
                <w:color w:val="000000"/>
              </w:rPr>
              <w:t xml:space="preserve">680 </w:t>
            </w:r>
          </w:p>
        </w:tc>
      </w:tr>
      <w:tr w:rsidR="00F90461" w14:paraId="28F2745F"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8C87DC5" w14:textId="77777777" w:rsidR="00DD1C7F" w:rsidRPr="00A81971" w:rsidRDefault="0032495C">
            <w:pPr>
              <w:spacing w:after="0"/>
              <w:rPr>
                <w:rFonts w:eastAsia="Times New Roman"/>
                <w:color w:val="000000"/>
              </w:rPr>
            </w:pPr>
            <w:r w:rsidRPr="00A81971">
              <w:rPr>
                <w:rFonts w:eastAsia="Times New Roman"/>
                <w:color w:val="000000"/>
              </w:rPr>
              <w:t>Botswana</w:t>
            </w:r>
          </w:p>
        </w:tc>
        <w:tc>
          <w:tcPr>
            <w:tcW w:w="2651" w:type="dxa"/>
            <w:tcBorders>
              <w:top w:val="nil"/>
              <w:left w:val="nil"/>
              <w:bottom w:val="single" w:sz="4" w:space="0" w:color="auto"/>
              <w:right w:val="single" w:sz="4" w:space="0" w:color="auto"/>
            </w:tcBorders>
            <w:noWrap/>
            <w:vAlign w:val="center"/>
            <w:hideMark/>
          </w:tcPr>
          <w:p w14:paraId="7E8DC1A9" w14:textId="1003CAB1" w:rsidR="00DD1C7F" w:rsidRPr="00A81971" w:rsidRDefault="0032495C" w:rsidP="00A04930">
            <w:pPr>
              <w:spacing w:after="0"/>
              <w:jc w:val="right"/>
              <w:rPr>
                <w:rFonts w:eastAsia="Times New Roman"/>
                <w:color w:val="000000"/>
              </w:rPr>
            </w:pPr>
            <w:r w:rsidRPr="00A81971">
              <w:rPr>
                <w:rFonts w:eastAsia="Times New Roman"/>
                <w:color w:val="000000"/>
              </w:rPr>
              <w:t>107</w:t>
            </w:r>
            <w:r w:rsidR="006264EA">
              <w:rPr>
                <w:rFonts w:eastAsia="Times New Roman"/>
                <w:color w:val="000000"/>
              </w:rPr>
              <w:t>,</w:t>
            </w:r>
            <w:r w:rsidRPr="00A81971">
              <w:rPr>
                <w:rFonts w:eastAsia="Times New Roman"/>
                <w:color w:val="000000"/>
              </w:rPr>
              <w:t xml:space="preserve">915 </w:t>
            </w:r>
          </w:p>
        </w:tc>
        <w:tc>
          <w:tcPr>
            <w:tcW w:w="2551" w:type="dxa"/>
            <w:tcBorders>
              <w:top w:val="nil"/>
              <w:left w:val="nil"/>
              <w:bottom w:val="single" w:sz="4" w:space="0" w:color="auto"/>
              <w:right w:val="single" w:sz="4" w:space="0" w:color="auto"/>
            </w:tcBorders>
            <w:noWrap/>
            <w:vAlign w:val="center"/>
            <w:hideMark/>
          </w:tcPr>
          <w:p w14:paraId="1F4B5B18" w14:textId="7C839674" w:rsidR="00DD1C7F" w:rsidRPr="00A81971" w:rsidRDefault="0032495C" w:rsidP="00A04930">
            <w:pPr>
              <w:spacing w:after="0"/>
              <w:jc w:val="right"/>
              <w:rPr>
                <w:rFonts w:eastAsia="Times New Roman"/>
                <w:color w:val="000000"/>
              </w:rPr>
            </w:pPr>
            <w:r w:rsidRPr="00A81971">
              <w:rPr>
                <w:rFonts w:eastAsia="Times New Roman"/>
                <w:color w:val="000000"/>
              </w:rPr>
              <w:t>17</w:t>
            </w:r>
            <w:r w:rsidR="006264EA">
              <w:rPr>
                <w:rFonts w:eastAsia="Times New Roman"/>
                <w:color w:val="000000"/>
              </w:rPr>
              <w:t>,</w:t>
            </w:r>
            <w:r w:rsidRPr="00A81971">
              <w:rPr>
                <w:rFonts w:eastAsia="Times New Roman"/>
                <w:color w:val="000000"/>
              </w:rPr>
              <w:t xml:space="preserve">986 </w:t>
            </w:r>
          </w:p>
        </w:tc>
      </w:tr>
      <w:tr w:rsidR="00F90461" w14:paraId="733F6C5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8673361" w14:textId="77777777" w:rsidR="00DD1C7F" w:rsidRPr="00A81971" w:rsidRDefault="0032495C">
            <w:pPr>
              <w:spacing w:after="0"/>
              <w:rPr>
                <w:rFonts w:eastAsia="Times New Roman"/>
                <w:color w:val="000000"/>
              </w:rPr>
            </w:pPr>
            <w:r w:rsidRPr="00A81971">
              <w:rPr>
                <w:rFonts w:eastAsia="Times New Roman"/>
                <w:color w:val="000000"/>
              </w:rPr>
              <w:t>Burkina Faso</w:t>
            </w:r>
          </w:p>
        </w:tc>
        <w:tc>
          <w:tcPr>
            <w:tcW w:w="2651" w:type="dxa"/>
            <w:tcBorders>
              <w:top w:val="nil"/>
              <w:left w:val="nil"/>
              <w:bottom w:val="single" w:sz="4" w:space="0" w:color="auto"/>
              <w:right w:val="single" w:sz="4" w:space="0" w:color="auto"/>
            </w:tcBorders>
            <w:noWrap/>
            <w:vAlign w:val="center"/>
            <w:hideMark/>
          </w:tcPr>
          <w:p w14:paraId="2A2B0C65" w14:textId="5F2FDC25" w:rsidR="00DD1C7F" w:rsidRPr="00A81971" w:rsidRDefault="0032495C" w:rsidP="00A04930">
            <w:pPr>
              <w:spacing w:after="0"/>
              <w:jc w:val="right"/>
              <w:rPr>
                <w:rFonts w:eastAsia="Times New Roman"/>
                <w:color w:val="000000"/>
              </w:rPr>
            </w:pPr>
            <w:r w:rsidRPr="00A81971">
              <w:rPr>
                <w:rFonts w:eastAsia="Times New Roman"/>
                <w:color w:val="000000"/>
              </w:rPr>
              <w:t>183</w:t>
            </w:r>
            <w:r w:rsidR="006264EA">
              <w:rPr>
                <w:rFonts w:eastAsia="Times New Roman"/>
                <w:color w:val="000000"/>
              </w:rPr>
              <w:t>,</w:t>
            </w:r>
            <w:r w:rsidRPr="00A81971">
              <w:rPr>
                <w:rFonts w:eastAsia="Times New Roman"/>
                <w:color w:val="000000"/>
              </w:rPr>
              <w:t xml:space="preserve">625 </w:t>
            </w:r>
          </w:p>
        </w:tc>
        <w:tc>
          <w:tcPr>
            <w:tcW w:w="2551" w:type="dxa"/>
            <w:tcBorders>
              <w:top w:val="nil"/>
              <w:left w:val="nil"/>
              <w:bottom w:val="single" w:sz="4" w:space="0" w:color="auto"/>
              <w:right w:val="single" w:sz="4" w:space="0" w:color="auto"/>
            </w:tcBorders>
            <w:noWrap/>
            <w:vAlign w:val="center"/>
            <w:hideMark/>
          </w:tcPr>
          <w:p w14:paraId="508757C8" w14:textId="4A1D68F5" w:rsidR="00DD1C7F" w:rsidRPr="00A81971" w:rsidRDefault="0032495C" w:rsidP="00A04930">
            <w:pPr>
              <w:spacing w:after="0"/>
              <w:jc w:val="right"/>
              <w:rPr>
                <w:rFonts w:eastAsia="Times New Roman"/>
                <w:color w:val="000000"/>
              </w:rPr>
            </w:pPr>
            <w:r w:rsidRPr="00A81971">
              <w:rPr>
                <w:rFonts w:eastAsia="Times New Roman"/>
                <w:color w:val="000000"/>
              </w:rPr>
              <w:t>30</w:t>
            </w:r>
            <w:r w:rsidR="006264EA">
              <w:rPr>
                <w:rFonts w:eastAsia="Times New Roman"/>
                <w:color w:val="000000"/>
              </w:rPr>
              <w:t>,</w:t>
            </w:r>
            <w:r w:rsidRPr="00A81971">
              <w:rPr>
                <w:rFonts w:eastAsia="Times New Roman"/>
                <w:color w:val="000000"/>
              </w:rPr>
              <w:t xml:space="preserve">604 </w:t>
            </w:r>
          </w:p>
        </w:tc>
      </w:tr>
      <w:tr w:rsidR="00F90461" w14:paraId="1E6497BD"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632D54BF" w14:textId="77777777" w:rsidR="00DD1C7F" w:rsidRPr="00A81971" w:rsidRDefault="0032495C">
            <w:pPr>
              <w:spacing w:after="0"/>
              <w:rPr>
                <w:rFonts w:eastAsia="Times New Roman"/>
                <w:color w:val="000000"/>
              </w:rPr>
            </w:pPr>
            <w:r w:rsidRPr="00A81971">
              <w:rPr>
                <w:rFonts w:eastAsia="Times New Roman"/>
                <w:color w:val="000000"/>
              </w:rPr>
              <w:t>Cambodia</w:t>
            </w:r>
          </w:p>
        </w:tc>
        <w:tc>
          <w:tcPr>
            <w:tcW w:w="2651" w:type="dxa"/>
            <w:tcBorders>
              <w:top w:val="nil"/>
              <w:left w:val="nil"/>
              <w:bottom w:val="single" w:sz="4" w:space="0" w:color="auto"/>
              <w:right w:val="single" w:sz="4" w:space="0" w:color="auto"/>
            </w:tcBorders>
            <w:noWrap/>
            <w:vAlign w:val="center"/>
            <w:hideMark/>
          </w:tcPr>
          <w:p w14:paraId="5D19144D" w14:textId="65505FF6" w:rsidR="00DD1C7F" w:rsidRPr="00A81971" w:rsidRDefault="0032495C" w:rsidP="00A04930">
            <w:pPr>
              <w:spacing w:after="0"/>
              <w:jc w:val="right"/>
              <w:rPr>
                <w:rFonts w:eastAsia="Times New Roman"/>
                <w:color w:val="000000"/>
              </w:rPr>
            </w:pPr>
            <w:r w:rsidRPr="00A81971">
              <w:rPr>
                <w:rFonts w:eastAsia="Times New Roman"/>
                <w:color w:val="000000"/>
              </w:rPr>
              <w:t>277</w:t>
            </w:r>
            <w:r w:rsidR="006264EA">
              <w:rPr>
                <w:rFonts w:eastAsia="Times New Roman"/>
                <w:color w:val="000000"/>
              </w:rPr>
              <w:t>,</w:t>
            </w:r>
            <w:r w:rsidRPr="00A81971">
              <w:rPr>
                <w:rFonts w:eastAsia="Times New Roman"/>
                <w:color w:val="000000"/>
              </w:rPr>
              <w:t xml:space="preserve">672 </w:t>
            </w:r>
          </w:p>
        </w:tc>
        <w:tc>
          <w:tcPr>
            <w:tcW w:w="2551" w:type="dxa"/>
            <w:tcBorders>
              <w:top w:val="nil"/>
              <w:left w:val="nil"/>
              <w:bottom w:val="single" w:sz="4" w:space="0" w:color="auto"/>
              <w:right w:val="single" w:sz="4" w:space="0" w:color="auto"/>
            </w:tcBorders>
            <w:noWrap/>
            <w:vAlign w:val="center"/>
            <w:hideMark/>
          </w:tcPr>
          <w:p w14:paraId="262CC3E9" w14:textId="577E3BDB" w:rsidR="00DD1C7F" w:rsidRPr="00A81971" w:rsidRDefault="0032495C" w:rsidP="00A04930">
            <w:pPr>
              <w:spacing w:after="0"/>
              <w:jc w:val="right"/>
              <w:rPr>
                <w:rFonts w:eastAsia="Times New Roman"/>
                <w:color w:val="000000"/>
              </w:rPr>
            </w:pPr>
            <w:r w:rsidRPr="00A81971">
              <w:rPr>
                <w:rFonts w:eastAsia="Times New Roman"/>
                <w:color w:val="000000"/>
              </w:rPr>
              <w:t>46</w:t>
            </w:r>
            <w:r w:rsidR="006264EA">
              <w:rPr>
                <w:rFonts w:eastAsia="Times New Roman"/>
                <w:color w:val="000000"/>
              </w:rPr>
              <w:t>,</w:t>
            </w:r>
            <w:r w:rsidRPr="00A81971">
              <w:rPr>
                <w:rFonts w:eastAsia="Times New Roman"/>
                <w:color w:val="000000"/>
              </w:rPr>
              <w:t xml:space="preserve">279 </w:t>
            </w:r>
          </w:p>
        </w:tc>
      </w:tr>
      <w:tr w:rsidR="00F90461" w14:paraId="6D1C127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41DFC30" w14:textId="77777777" w:rsidR="00DD1C7F" w:rsidRPr="00A81971" w:rsidRDefault="0032495C">
            <w:pPr>
              <w:spacing w:after="0"/>
              <w:rPr>
                <w:rFonts w:eastAsia="Times New Roman"/>
                <w:color w:val="000000"/>
              </w:rPr>
            </w:pPr>
            <w:r w:rsidRPr="00A81971">
              <w:rPr>
                <w:rFonts w:eastAsia="Times New Roman"/>
                <w:color w:val="000000"/>
              </w:rPr>
              <w:t>Cameroon</w:t>
            </w:r>
          </w:p>
        </w:tc>
        <w:tc>
          <w:tcPr>
            <w:tcW w:w="2651" w:type="dxa"/>
            <w:tcBorders>
              <w:top w:val="nil"/>
              <w:left w:val="nil"/>
              <w:bottom w:val="single" w:sz="4" w:space="0" w:color="auto"/>
              <w:right w:val="single" w:sz="4" w:space="0" w:color="auto"/>
            </w:tcBorders>
            <w:noWrap/>
            <w:vAlign w:val="center"/>
            <w:hideMark/>
          </w:tcPr>
          <w:p w14:paraId="5D607EB3" w14:textId="20CB1215" w:rsidR="00DD1C7F" w:rsidRPr="00A81971" w:rsidRDefault="0032495C" w:rsidP="00A04930">
            <w:pPr>
              <w:spacing w:after="0"/>
              <w:jc w:val="right"/>
              <w:rPr>
                <w:rFonts w:eastAsia="Times New Roman"/>
                <w:color w:val="000000"/>
              </w:rPr>
            </w:pPr>
            <w:r w:rsidRPr="00A81971">
              <w:rPr>
                <w:rFonts w:eastAsia="Times New Roman"/>
                <w:color w:val="000000"/>
              </w:rPr>
              <w:t>380</w:t>
            </w:r>
            <w:r w:rsidR="006264EA">
              <w:rPr>
                <w:rFonts w:eastAsia="Times New Roman"/>
                <w:color w:val="000000"/>
              </w:rPr>
              <w:t>,</w:t>
            </w:r>
            <w:r w:rsidRPr="00A81971">
              <w:rPr>
                <w:rFonts w:eastAsia="Times New Roman"/>
                <w:color w:val="000000"/>
              </w:rPr>
              <w:t xml:space="preserve">385 </w:t>
            </w:r>
          </w:p>
        </w:tc>
        <w:tc>
          <w:tcPr>
            <w:tcW w:w="2551" w:type="dxa"/>
            <w:tcBorders>
              <w:top w:val="nil"/>
              <w:left w:val="nil"/>
              <w:bottom w:val="single" w:sz="4" w:space="0" w:color="auto"/>
              <w:right w:val="single" w:sz="4" w:space="0" w:color="auto"/>
            </w:tcBorders>
            <w:noWrap/>
            <w:vAlign w:val="center"/>
            <w:hideMark/>
          </w:tcPr>
          <w:p w14:paraId="59E97AE2" w14:textId="29817B15" w:rsidR="00DD1C7F" w:rsidRPr="00A81971" w:rsidRDefault="0032495C" w:rsidP="00A04930">
            <w:pPr>
              <w:spacing w:after="0"/>
              <w:jc w:val="right"/>
              <w:rPr>
                <w:rFonts w:eastAsia="Times New Roman"/>
                <w:color w:val="000000"/>
              </w:rPr>
            </w:pPr>
            <w:r w:rsidRPr="00A81971">
              <w:rPr>
                <w:rFonts w:eastAsia="Times New Roman"/>
                <w:color w:val="000000"/>
              </w:rPr>
              <w:t>63</w:t>
            </w:r>
            <w:r w:rsidR="006264EA">
              <w:rPr>
                <w:rFonts w:eastAsia="Times New Roman"/>
                <w:color w:val="000000"/>
              </w:rPr>
              <w:t>,</w:t>
            </w:r>
            <w:r w:rsidRPr="00A81971">
              <w:rPr>
                <w:rFonts w:eastAsia="Times New Roman"/>
                <w:color w:val="000000"/>
              </w:rPr>
              <w:t xml:space="preserve">398 </w:t>
            </w:r>
          </w:p>
        </w:tc>
      </w:tr>
      <w:tr w:rsidR="00F90461" w14:paraId="3E784BA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68FDE57A" w14:textId="77777777" w:rsidR="00DD1C7F" w:rsidRPr="00A81971" w:rsidRDefault="0032495C">
            <w:pPr>
              <w:spacing w:after="0"/>
              <w:rPr>
                <w:rFonts w:eastAsia="Times New Roman"/>
                <w:color w:val="000000"/>
              </w:rPr>
            </w:pPr>
            <w:r w:rsidRPr="00A81971">
              <w:rPr>
                <w:rFonts w:eastAsia="Times New Roman"/>
                <w:color w:val="000000"/>
              </w:rPr>
              <w:t>Chad</w:t>
            </w:r>
          </w:p>
        </w:tc>
        <w:tc>
          <w:tcPr>
            <w:tcW w:w="2651" w:type="dxa"/>
            <w:tcBorders>
              <w:top w:val="nil"/>
              <w:left w:val="nil"/>
              <w:bottom w:val="single" w:sz="4" w:space="0" w:color="auto"/>
              <w:right w:val="single" w:sz="4" w:space="0" w:color="auto"/>
            </w:tcBorders>
            <w:noWrap/>
            <w:vAlign w:val="center"/>
            <w:hideMark/>
          </w:tcPr>
          <w:p w14:paraId="6F596FA1" w14:textId="675BAB18" w:rsidR="00DD1C7F" w:rsidRPr="00A81971" w:rsidRDefault="0032495C" w:rsidP="00A04930">
            <w:pPr>
              <w:spacing w:after="0"/>
              <w:jc w:val="right"/>
              <w:rPr>
                <w:rFonts w:eastAsia="Times New Roman"/>
                <w:color w:val="000000"/>
              </w:rPr>
            </w:pPr>
            <w:r w:rsidRPr="00A81971">
              <w:rPr>
                <w:rFonts w:eastAsia="Times New Roman"/>
                <w:color w:val="000000"/>
              </w:rPr>
              <w:t>244</w:t>
            </w:r>
            <w:r w:rsidR="006264EA">
              <w:rPr>
                <w:rFonts w:eastAsia="Times New Roman"/>
                <w:color w:val="000000"/>
              </w:rPr>
              <w:t>,</w:t>
            </w:r>
            <w:r w:rsidRPr="00A81971">
              <w:rPr>
                <w:rFonts w:eastAsia="Times New Roman"/>
                <w:color w:val="000000"/>
              </w:rPr>
              <w:t xml:space="preserve">080 </w:t>
            </w:r>
          </w:p>
        </w:tc>
        <w:tc>
          <w:tcPr>
            <w:tcW w:w="2551" w:type="dxa"/>
            <w:tcBorders>
              <w:top w:val="nil"/>
              <w:left w:val="nil"/>
              <w:bottom w:val="single" w:sz="4" w:space="0" w:color="auto"/>
              <w:right w:val="single" w:sz="4" w:space="0" w:color="auto"/>
            </w:tcBorders>
            <w:noWrap/>
            <w:vAlign w:val="center"/>
            <w:hideMark/>
          </w:tcPr>
          <w:p w14:paraId="551C6C6C" w14:textId="42BFA916" w:rsidR="00DD1C7F" w:rsidRPr="00A81971" w:rsidRDefault="0032495C" w:rsidP="00A04930">
            <w:pPr>
              <w:spacing w:after="0"/>
              <w:jc w:val="right"/>
              <w:rPr>
                <w:rFonts w:eastAsia="Times New Roman"/>
                <w:color w:val="000000"/>
              </w:rPr>
            </w:pPr>
            <w:r w:rsidRPr="00A81971">
              <w:rPr>
                <w:rFonts w:eastAsia="Times New Roman"/>
                <w:color w:val="000000"/>
              </w:rPr>
              <w:t>40</w:t>
            </w:r>
            <w:r w:rsidR="006264EA">
              <w:rPr>
                <w:rFonts w:eastAsia="Times New Roman"/>
                <w:color w:val="000000"/>
              </w:rPr>
              <w:t>,</w:t>
            </w:r>
            <w:r w:rsidRPr="00A81971">
              <w:rPr>
                <w:rFonts w:eastAsia="Times New Roman"/>
                <w:color w:val="000000"/>
              </w:rPr>
              <w:t xml:space="preserve">680 </w:t>
            </w:r>
          </w:p>
        </w:tc>
      </w:tr>
      <w:tr w:rsidR="00F90461" w14:paraId="3F7960A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7FBB032" w14:textId="77777777" w:rsidR="00DD1C7F" w:rsidRPr="00A81971" w:rsidRDefault="0032495C">
            <w:pPr>
              <w:spacing w:after="0"/>
              <w:rPr>
                <w:rFonts w:eastAsia="Times New Roman"/>
                <w:color w:val="000000"/>
              </w:rPr>
            </w:pPr>
            <w:r w:rsidRPr="00A81971">
              <w:rPr>
                <w:rFonts w:eastAsia="Times New Roman"/>
                <w:color w:val="000000"/>
              </w:rPr>
              <w:t>Chile</w:t>
            </w:r>
          </w:p>
        </w:tc>
        <w:tc>
          <w:tcPr>
            <w:tcW w:w="2651" w:type="dxa"/>
            <w:tcBorders>
              <w:top w:val="nil"/>
              <w:left w:val="nil"/>
              <w:bottom w:val="single" w:sz="4" w:space="0" w:color="auto"/>
              <w:right w:val="single" w:sz="4" w:space="0" w:color="auto"/>
            </w:tcBorders>
            <w:noWrap/>
            <w:vAlign w:val="center"/>
            <w:hideMark/>
          </w:tcPr>
          <w:p w14:paraId="7DA3362B" w14:textId="4DC68403" w:rsidR="00DD1C7F" w:rsidRPr="00A81971" w:rsidRDefault="0032495C" w:rsidP="00A04930">
            <w:pPr>
              <w:spacing w:after="0"/>
              <w:jc w:val="right"/>
              <w:rPr>
                <w:rFonts w:eastAsia="Times New Roman"/>
                <w:color w:val="000000"/>
              </w:rPr>
            </w:pPr>
            <w:r w:rsidRPr="00A81971">
              <w:rPr>
                <w:rFonts w:eastAsia="Times New Roman"/>
                <w:color w:val="000000"/>
              </w:rPr>
              <w:t>945</w:t>
            </w:r>
            <w:r w:rsidR="006264EA">
              <w:rPr>
                <w:rFonts w:eastAsia="Times New Roman"/>
                <w:color w:val="000000"/>
              </w:rPr>
              <w:t>,</w:t>
            </w:r>
            <w:r w:rsidRPr="00A81971">
              <w:rPr>
                <w:rFonts w:eastAsia="Times New Roman"/>
                <w:color w:val="000000"/>
              </w:rPr>
              <w:t xml:space="preserve">297 </w:t>
            </w:r>
          </w:p>
        </w:tc>
        <w:tc>
          <w:tcPr>
            <w:tcW w:w="2551" w:type="dxa"/>
            <w:tcBorders>
              <w:top w:val="nil"/>
              <w:left w:val="nil"/>
              <w:bottom w:val="single" w:sz="4" w:space="0" w:color="auto"/>
              <w:right w:val="single" w:sz="4" w:space="0" w:color="auto"/>
            </w:tcBorders>
            <w:noWrap/>
            <w:vAlign w:val="center"/>
            <w:hideMark/>
          </w:tcPr>
          <w:p w14:paraId="7961FED0" w14:textId="53C34AD2" w:rsidR="00DD1C7F" w:rsidRPr="00A81971" w:rsidRDefault="0032495C" w:rsidP="00A04930">
            <w:pPr>
              <w:spacing w:after="0"/>
              <w:jc w:val="right"/>
              <w:rPr>
                <w:rFonts w:eastAsia="Times New Roman"/>
                <w:color w:val="000000"/>
              </w:rPr>
            </w:pPr>
            <w:r w:rsidRPr="00A81971">
              <w:rPr>
                <w:rFonts w:eastAsia="Times New Roman"/>
                <w:color w:val="000000"/>
              </w:rPr>
              <w:t>157</w:t>
            </w:r>
            <w:r w:rsidR="006264EA">
              <w:rPr>
                <w:rFonts w:eastAsia="Times New Roman"/>
                <w:color w:val="000000"/>
              </w:rPr>
              <w:t>,</w:t>
            </w:r>
            <w:r w:rsidRPr="00A81971">
              <w:rPr>
                <w:rFonts w:eastAsia="Times New Roman"/>
                <w:color w:val="000000"/>
              </w:rPr>
              <w:t xml:space="preserve">550 </w:t>
            </w:r>
          </w:p>
        </w:tc>
      </w:tr>
      <w:tr w:rsidR="00F90461" w14:paraId="65CC8BC9"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E7EDB70" w14:textId="77777777" w:rsidR="00DD1C7F" w:rsidRPr="00A81971" w:rsidRDefault="0032495C">
            <w:pPr>
              <w:spacing w:after="0"/>
              <w:rPr>
                <w:rFonts w:eastAsia="Times New Roman"/>
                <w:color w:val="000000"/>
              </w:rPr>
            </w:pPr>
            <w:r w:rsidRPr="00A81971">
              <w:rPr>
                <w:rFonts w:eastAsia="Times New Roman"/>
                <w:color w:val="000000"/>
              </w:rPr>
              <w:t>Colombia</w:t>
            </w:r>
          </w:p>
        </w:tc>
        <w:tc>
          <w:tcPr>
            <w:tcW w:w="2651" w:type="dxa"/>
            <w:tcBorders>
              <w:top w:val="nil"/>
              <w:left w:val="nil"/>
              <w:bottom w:val="single" w:sz="4" w:space="0" w:color="auto"/>
              <w:right w:val="single" w:sz="4" w:space="0" w:color="auto"/>
            </w:tcBorders>
            <w:noWrap/>
            <w:vAlign w:val="center"/>
            <w:hideMark/>
          </w:tcPr>
          <w:p w14:paraId="53B52490" w14:textId="34F2D74F" w:rsidR="00DD1C7F" w:rsidRPr="00A81971" w:rsidRDefault="0032495C" w:rsidP="00A04930">
            <w:pPr>
              <w:spacing w:after="0"/>
              <w:jc w:val="right"/>
              <w:rPr>
                <w:rFonts w:eastAsia="Times New Roman"/>
                <w:color w:val="000000"/>
              </w:rPr>
            </w:pPr>
            <w:r w:rsidRPr="00A81971">
              <w:rPr>
                <w:rFonts w:eastAsia="Times New Roman"/>
                <w:color w:val="000000"/>
              </w:rPr>
              <w:t>3</w:t>
            </w:r>
            <w:r w:rsidR="006264EA">
              <w:rPr>
                <w:rFonts w:eastAsia="Times New Roman"/>
                <w:color w:val="000000"/>
              </w:rPr>
              <w:t>,</w:t>
            </w:r>
            <w:r w:rsidRPr="00A81971">
              <w:rPr>
                <w:rFonts w:eastAsia="Times New Roman"/>
                <w:color w:val="000000"/>
              </w:rPr>
              <w:t>026</w:t>
            </w:r>
            <w:r w:rsidR="006264EA">
              <w:rPr>
                <w:rFonts w:eastAsia="Times New Roman"/>
                <w:color w:val="000000"/>
              </w:rPr>
              <w:t>,</w:t>
            </w:r>
            <w:r w:rsidRPr="00A81971">
              <w:rPr>
                <w:rFonts w:eastAsia="Times New Roman"/>
                <w:color w:val="000000"/>
              </w:rPr>
              <w:t xml:space="preserve">307 </w:t>
            </w:r>
          </w:p>
        </w:tc>
        <w:tc>
          <w:tcPr>
            <w:tcW w:w="2551" w:type="dxa"/>
            <w:tcBorders>
              <w:top w:val="nil"/>
              <w:left w:val="nil"/>
              <w:bottom w:val="single" w:sz="4" w:space="0" w:color="auto"/>
              <w:right w:val="single" w:sz="4" w:space="0" w:color="auto"/>
            </w:tcBorders>
            <w:noWrap/>
            <w:vAlign w:val="center"/>
            <w:hideMark/>
          </w:tcPr>
          <w:p w14:paraId="67489016" w14:textId="633ACB03" w:rsidR="00DD1C7F" w:rsidRPr="00A81971" w:rsidRDefault="0032495C" w:rsidP="00A04930">
            <w:pPr>
              <w:spacing w:after="0"/>
              <w:jc w:val="right"/>
              <w:rPr>
                <w:rFonts w:eastAsia="Times New Roman"/>
                <w:color w:val="000000"/>
              </w:rPr>
            </w:pPr>
            <w:r w:rsidRPr="00A81971">
              <w:rPr>
                <w:rFonts w:eastAsia="Times New Roman"/>
                <w:color w:val="000000"/>
              </w:rPr>
              <w:t>504</w:t>
            </w:r>
            <w:r w:rsidR="006264EA">
              <w:rPr>
                <w:rFonts w:eastAsia="Times New Roman"/>
                <w:color w:val="000000"/>
              </w:rPr>
              <w:t>,</w:t>
            </w:r>
            <w:r w:rsidRPr="00A81971">
              <w:rPr>
                <w:rFonts w:eastAsia="Times New Roman"/>
                <w:color w:val="000000"/>
              </w:rPr>
              <w:t>385</w:t>
            </w:r>
          </w:p>
        </w:tc>
      </w:tr>
      <w:tr w:rsidR="00F90461" w14:paraId="32E5738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31B7828" w14:textId="77777777" w:rsidR="00DD1C7F" w:rsidRPr="00A81971" w:rsidRDefault="0032495C">
            <w:pPr>
              <w:spacing w:after="0"/>
              <w:rPr>
                <w:rFonts w:eastAsia="Times New Roman"/>
                <w:color w:val="000000"/>
              </w:rPr>
            </w:pPr>
            <w:r w:rsidRPr="00A81971">
              <w:rPr>
                <w:rFonts w:eastAsia="Times New Roman"/>
                <w:color w:val="000000"/>
              </w:rPr>
              <w:t>Congo</w:t>
            </w:r>
          </w:p>
        </w:tc>
        <w:tc>
          <w:tcPr>
            <w:tcW w:w="2651" w:type="dxa"/>
            <w:tcBorders>
              <w:top w:val="nil"/>
              <w:left w:val="nil"/>
              <w:bottom w:val="single" w:sz="4" w:space="0" w:color="auto"/>
              <w:right w:val="single" w:sz="4" w:space="0" w:color="auto"/>
            </w:tcBorders>
            <w:noWrap/>
            <w:vAlign w:val="center"/>
            <w:hideMark/>
          </w:tcPr>
          <w:p w14:paraId="7FDD8413" w14:textId="618B1FB5" w:rsidR="00DD1C7F" w:rsidRPr="00A81971" w:rsidRDefault="0032495C" w:rsidP="00A04930">
            <w:pPr>
              <w:spacing w:after="0"/>
              <w:jc w:val="right"/>
              <w:rPr>
                <w:rFonts w:eastAsia="Times New Roman"/>
                <w:color w:val="000000"/>
              </w:rPr>
            </w:pPr>
            <w:r w:rsidRPr="00A81971">
              <w:rPr>
                <w:rFonts w:eastAsia="Times New Roman"/>
                <w:color w:val="000000"/>
              </w:rPr>
              <w:t>92</w:t>
            </w:r>
            <w:r w:rsidR="006264EA">
              <w:rPr>
                <w:rFonts w:eastAsia="Times New Roman"/>
                <w:color w:val="000000"/>
              </w:rPr>
              <w:t>,</w:t>
            </w:r>
            <w:r w:rsidRPr="00A81971">
              <w:rPr>
                <w:rFonts w:eastAsia="Times New Roman"/>
                <w:color w:val="000000"/>
              </w:rPr>
              <w:t xml:space="preserve">095 </w:t>
            </w:r>
          </w:p>
        </w:tc>
        <w:tc>
          <w:tcPr>
            <w:tcW w:w="2551" w:type="dxa"/>
            <w:tcBorders>
              <w:top w:val="nil"/>
              <w:left w:val="nil"/>
              <w:bottom w:val="single" w:sz="4" w:space="0" w:color="auto"/>
              <w:right w:val="single" w:sz="4" w:space="0" w:color="auto"/>
            </w:tcBorders>
            <w:noWrap/>
            <w:vAlign w:val="center"/>
            <w:hideMark/>
          </w:tcPr>
          <w:p w14:paraId="7020BC51" w14:textId="314C58FE"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349 </w:t>
            </w:r>
          </w:p>
        </w:tc>
      </w:tr>
      <w:tr w:rsidR="00F90461" w14:paraId="36264788"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78DBE83" w14:textId="77777777" w:rsidR="00DD1C7F" w:rsidRPr="00A81971" w:rsidRDefault="0032495C">
            <w:pPr>
              <w:spacing w:after="0"/>
              <w:rPr>
                <w:rFonts w:eastAsia="Times New Roman"/>
                <w:color w:val="000000"/>
              </w:rPr>
            </w:pPr>
            <w:r w:rsidRPr="00A81971">
              <w:rPr>
                <w:rFonts w:eastAsia="Times New Roman"/>
                <w:color w:val="000000"/>
              </w:rPr>
              <w:t>Costa Rica</w:t>
            </w:r>
          </w:p>
        </w:tc>
        <w:tc>
          <w:tcPr>
            <w:tcW w:w="2651" w:type="dxa"/>
            <w:tcBorders>
              <w:top w:val="nil"/>
              <w:left w:val="nil"/>
              <w:bottom w:val="single" w:sz="4" w:space="0" w:color="auto"/>
              <w:right w:val="single" w:sz="4" w:space="0" w:color="auto"/>
            </w:tcBorders>
            <w:noWrap/>
            <w:vAlign w:val="center"/>
            <w:hideMark/>
          </w:tcPr>
          <w:p w14:paraId="03D27179" w14:textId="58FED3E0" w:rsidR="00DD1C7F" w:rsidRPr="00A81971" w:rsidRDefault="0032495C" w:rsidP="00A04930">
            <w:pPr>
              <w:spacing w:after="0"/>
              <w:jc w:val="right"/>
              <w:rPr>
                <w:rFonts w:eastAsia="Times New Roman"/>
                <w:color w:val="000000"/>
              </w:rPr>
            </w:pPr>
            <w:r w:rsidRPr="00A81971">
              <w:rPr>
                <w:rFonts w:eastAsia="Times New Roman"/>
                <w:color w:val="000000"/>
              </w:rPr>
              <w:t>417</w:t>
            </w:r>
            <w:r w:rsidR="006264EA">
              <w:rPr>
                <w:rFonts w:eastAsia="Times New Roman"/>
                <w:color w:val="000000"/>
              </w:rPr>
              <w:t>,</w:t>
            </w:r>
            <w:r w:rsidRPr="00A81971">
              <w:rPr>
                <w:rFonts w:eastAsia="Times New Roman"/>
                <w:color w:val="000000"/>
              </w:rPr>
              <w:t xml:space="preserve">775 </w:t>
            </w:r>
          </w:p>
        </w:tc>
        <w:tc>
          <w:tcPr>
            <w:tcW w:w="2551" w:type="dxa"/>
            <w:tcBorders>
              <w:top w:val="nil"/>
              <w:left w:val="nil"/>
              <w:bottom w:val="single" w:sz="4" w:space="0" w:color="auto"/>
              <w:right w:val="single" w:sz="4" w:space="0" w:color="auto"/>
            </w:tcBorders>
            <w:noWrap/>
            <w:vAlign w:val="center"/>
            <w:hideMark/>
          </w:tcPr>
          <w:p w14:paraId="3B57E62E" w14:textId="43131CC7" w:rsidR="00DD1C7F" w:rsidRPr="00A81971" w:rsidRDefault="0032495C" w:rsidP="00A04930">
            <w:pPr>
              <w:spacing w:after="0"/>
              <w:jc w:val="right"/>
              <w:rPr>
                <w:rFonts w:eastAsia="Times New Roman"/>
                <w:color w:val="000000"/>
              </w:rPr>
            </w:pPr>
            <w:r w:rsidRPr="00A81971">
              <w:rPr>
                <w:rFonts w:eastAsia="Times New Roman"/>
                <w:color w:val="000000"/>
              </w:rPr>
              <w:t>69</w:t>
            </w:r>
            <w:r w:rsidR="006264EA">
              <w:rPr>
                <w:rFonts w:eastAsia="Times New Roman"/>
                <w:color w:val="000000"/>
              </w:rPr>
              <w:t>,</w:t>
            </w:r>
            <w:r w:rsidRPr="00A81971">
              <w:rPr>
                <w:rFonts w:eastAsia="Times New Roman"/>
                <w:color w:val="000000"/>
              </w:rPr>
              <w:t xml:space="preserve">629 </w:t>
            </w:r>
          </w:p>
        </w:tc>
      </w:tr>
      <w:tr w:rsidR="00F90461" w14:paraId="1272EAD5"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592F78E" w14:textId="77777777" w:rsidR="00DD1C7F" w:rsidRPr="00A81971" w:rsidRDefault="0032495C">
            <w:pPr>
              <w:spacing w:after="0"/>
              <w:rPr>
                <w:rFonts w:eastAsia="Times New Roman"/>
                <w:color w:val="000000"/>
              </w:rPr>
            </w:pPr>
            <w:r w:rsidRPr="00A81971">
              <w:rPr>
                <w:rFonts w:eastAsia="Times New Roman"/>
                <w:color w:val="000000"/>
              </w:rPr>
              <w:t>Cuba</w:t>
            </w:r>
          </w:p>
        </w:tc>
        <w:tc>
          <w:tcPr>
            <w:tcW w:w="2651" w:type="dxa"/>
            <w:tcBorders>
              <w:top w:val="nil"/>
              <w:left w:val="nil"/>
              <w:bottom w:val="single" w:sz="4" w:space="0" w:color="auto"/>
              <w:right w:val="single" w:sz="4" w:space="0" w:color="auto"/>
            </w:tcBorders>
            <w:noWrap/>
            <w:vAlign w:val="center"/>
            <w:hideMark/>
          </w:tcPr>
          <w:p w14:paraId="223009E9" w14:textId="4F43E76B" w:rsidR="00DD1C7F" w:rsidRPr="00A81971" w:rsidRDefault="0032495C" w:rsidP="00A04930">
            <w:pPr>
              <w:spacing w:after="0"/>
              <w:jc w:val="right"/>
              <w:rPr>
                <w:rFonts w:eastAsia="Times New Roman"/>
                <w:color w:val="000000"/>
              </w:rPr>
            </w:pPr>
            <w:r w:rsidRPr="00A81971">
              <w:rPr>
                <w:rFonts w:eastAsia="Times New Roman"/>
                <w:color w:val="000000"/>
              </w:rPr>
              <w:t>180</w:t>
            </w:r>
            <w:r w:rsidR="006264EA">
              <w:rPr>
                <w:rFonts w:eastAsia="Times New Roman"/>
                <w:color w:val="000000"/>
              </w:rPr>
              <w:t>,</w:t>
            </w:r>
            <w:r w:rsidRPr="00A81971">
              <w:rPr>
                <w:rFonts w:eastAsia="Times New Roman"/>
                <w:color w:val="000000"/>
              </w:rPr>
              <w:t xml:space="preserve">800 </w:t>
            </w:r>
          </w:p>
        </w:tc>
        <w:tc>
          <w:tcPr>
            <w:tcW w:w="2551" w:type="dxa"/>
            <w:tcBorders>
              <w:top w:val="nil"/>
              <w:left w:val="nil"/>
              <w:bottom w:val="single" w:sz="4" w:space="0" w:color="auto"/>
              <w:right w:val="single" w:sz="4" w:space="0" w:color="auto"/>
            </w:tcBorders>
            <w:noWrap/>
            <w:vAlign w:val="center"/>
            <w:hideMark/>
          </w:tcPr>
          <w:p w14:paraId="27F8E4EC" w14:textId="7B11C7A3" w:rsidR="00DD1C7F" w:rsidRPr="00A81971" w:rsidRDefault="0032495C" w:rsidP="00A04930">
            <w:pPr>
              <w:spacing w:after="0"/>
              <w:jc w:val="right"/>
              <w:rPr>
                <w:rFonts w:eastAsia="Times New Roman"/>
                <w:color w:val="000000"/>
              </w:rPr>
            </w:pPr>
            <w:r w:rsidRPr="00A81971">
              <w:rPr>
                <w:rFonts w:eastAsia="Times New Roman"/>
                <w:color w:val="000000"/>
              </w:rPr>
              <w:t>30</w:t>
            </w:r>
            <w:r w:rsidR="006264EA">
              <w:rPr>
                <w:rFonts w:eastAsia="Times New Roman"/>
                <w:color w:val="000000"/>
              </w:rPr>
              <w:t>,</w:t>
            </w:r>
            <w:r w:rsidRPr="00A81971">
              <w:rPr>
                <w:rFonts w:eastAsia="Times New Roman"/>
                <w:color w:val="000000"/>
              </w:rPr>
              <w:t xml:space="preserve">133 </w:t>
            </w:r>
          </w:p>
        </w:tc>
      </w:tr>
      <w:tr w:rsidR="00F90461" w14:paraId="2D39427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DA7B097" w14:textId="77777777" w:rsidR="00DD1C7F" w:rsidRPr="00A81971" w:rsidRDefault="0032495C">
            <w:pPr>
              <w:spacing w:after="0"/>
              <w:rPr>
                <w:rFonts w:eastAsia="Times New Roman"/>
                <w:color w:val="000000"/>
              </w:rPr>
            </w:pPr>
            <w:r w:rsidRPr="00A81971">
              <w:rPr>
                <w:rFonts w:eastAsia="Times New Roman"/>
                <w:color w:val="000000"/>
              </w:rPr>
              <w:t>Dominican Republic</w:t>
            </w:r>
          </w:p>
        </w:tc>
        <w:tc>
          <w:tcPr>
            <w:tcW w:w="2651" w:type="dxa"/>
            <w:tcBorders>
              <w:top w:val="nil"/>
              <w:left w:val="nil"/>
              <w:bottom w:val="single" w:sz="4" w:space="0" w:color="auto"/>
              <w:right w:val="single" w:sz="4" w:space="0" w:color="auto"/>
            </w:tcBorders>
            <w:noWrap/>
            <w:vAlign w:val="center"/>
            <w:hideMark/>
          </w:tcPr>
          <w:p w14:paraId="052E6813" w14:textId="7424BB43" w:rsidR="00DD1C7F" w:rsidRPr="00A81971" w:rsidRDefault="0032495C" w:rsidP="00A04930">
            <w:pPr>
              <w:spacing w:after="0"/>
              <w:jc w:val="right"/>
              <w:rPr>
                <w:rFonts w:eastAsia="Times New Roman"/>
                <w:color w:val="000000"/>
              </w:rPr>
            </w:pPr>
            <w:r w:rsidRPr="00A81971">
              <w:rPr>
                <w:rFonts w:eastAsia="Times New Roman"/>
                <w:color w:val="000000"/>
              </w:rPr>
              <w:t>581</w:t>
            </w:r>
            <w:r w:rsidR="006264EA">
              <w:rPr>
                <w:rFonts w:eastAsia="Times New Roman"/>
                <w:color w:val="000000"/>
              </w:rPr>
              <w:t>,</w:t>
            </w:r>
            <w:r w:rsidRPr="00A81971">
              <w:rPr>
                <w:rFonts w:eastAsia="Times New Roman"/>
                <w:color w:val="000000"/>
              </w:rPr>
              <w:t xml:space="preserve">693 </w:t>
            </w:r>
          </w:p>
        </w:tc>
        <w:tc>
          <w:tcPr>
            <w:tcW w:w="2551" w:type="dxa"/>
            <w:tcBorders>
              <w:top w:val="nil"/>
              <w:left w:val="nil"/>
              <w:bottom w:val="single" w:sz="4" w:space="0" w:color="auto"/>
              <w:right w:val="single" w:sz="4" w:space="0" w:color="auto"/>
            </w:tcBorders>
            <w:noWrap/>
            <w:vAlign w:val="center"/>
            <w:hideMark/>
          </w:tcPr>
          <w:p w14:paraId="605B64DC" w14:textId="4030EDB4" w:rsidR="00DD1C7F" w:rsidRPr="00A81971" w:rsidRDefault="0032495C" w:rsidP="00A04930">
            <w:pPr>
              <w:spacing w:after="0"/>
              <w:jc w:val="right"/>
              <w:rPr>
                <w:rFonts w:eastAsia="Times New Roman"/>
                <w:color w:val="000000"/>
              </w:rPr>
            </w:pPr>
            <w:r w:rsidRPr="00A81971">
              <w:rPr>
                <w:rFonts w:eastAsia="Times New Roman"/>
                <w:color w:val="000000"/>
              </w:rPr>
              <w:t>96</w:t>
            </w:r>
            <w:r w:rsidR="006264EA">
              <w:rPr>
                <w:rFonts w:eastAsia="Times New Roman"/>
                <w:color w:val="000000"/>
              </w:rPr>
              <w:t>,</w:t>
            </w:r>
            <w:r w:rsidRPr="00A81971">
              <w:rPr>
                <w:rFonts w:eastAsia="Times New Roman"/>
                <w:color w:val="000000"/>
              </w:rPr>
              <w:t xml:space="preserve">949 </w:t>
            </w:r>
          </w:p>
        </w:tc>
      </w:tr>
      <w:tr w:rsidR="00F90461" w14:paraId="56AFCE4C"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8B769FC" w14:textId="77777777" w:rsidR="00DD1C7F" w:rsidRPr="00A81971" w:rsidRDefault="0032495C">
            <w:pPr>
              <w:spacing w:after="0"/>
              <w:rPr>
                <w:rFonts w:eastAsia="Times New Roman"/>
                <w:color w:val="000000"/>
              </w:rPr>
            </w:pPr>
            <w:r w:rsidRPr="00A81971">
              <w:rPr>
                <w:rFonts w:eastAsia="Times New Roman"/>
                <w:color w:val="000000"/>
              </w:rPr>
              <w:t>Ecuador</w:t>
            </w:r>
          </w:p>
        </w:tc>
        <w:tc>
          <w:tcPr>
            <w:tcW w:w="2651" w:type="dxa"/>
            <w:tcBorders>
              <w:top w:val="nil"/>
              <w:left w:val="nil"/>
              <w:bottom w:val="single" w:sz="4" w:space="0" w:color="auto"/>
              <w:right w:val="single" w:sz="4" w:space="0" w:color="auto"/>
            </w:tcBorders>
            <w:noWrap/>
            <w:vAlign w:val="center"/>
            <w:hideMark/>
          </w:tcPr>
          <w:p w14:paraId="7F69961A" w14:textId="301BEFAD" w:rsidR="00DD1C7F" w:rsidRPr="00A81971" w:rsidRDefault="0032495C" w:rsidP="00A04930">
            <w:pPr>
              <w:spacing w:after="0"/>
              <w:jc w:val="right"/>
              <w:rPr>
                <w:rFonts w:eastAsia="Times New Roman"/>
                <w:color w:val="000000"/>
              </w:rPr>
            </w:pPr>
            <w:r w:rsidRPr="00A81971">
              <w:rPr>
                <w:rFonts w:eastAsia="Times New Roman"/>
                <w:color w:val="000000"/>
              </w:rPr>
              <w:t>599</w:t>
            </w:r>
            <w:r w:rsidR="006264EA">
              <w:rPr>
                <w:rFonts w:eastAsia="Times New Roman"/>
                <w:color w:val="000000"/>
              </w:rPr>
              <w:t>,</w:t>
            </w:r>
            <w:r w:rsidRPr="00A81971">
              <w:rPr>
                <w:rFonts w:eastAsia="Times New Roman"/>
                <w:color w:val="000000"/>
              </w:rPr>
              <w:t xml:space="preserve">719 </w:t>
            </w:r>
          </w:p>
        </w:tc>
        <w:tc>
          <w:tcPr>
            <w:tcW w:w="2551" w:type="dxa"/>
            <w:tcBorders>
              <w:top w:val="nil"/>
              <w:left w:val="nil"/>
              <w:bottom w:val="single" w:sz="4" w:space="0" w:color="auto"/>
              <w:right w:val="single" w:sz="4" w:space="0" w:color="auto"/>
            </w:tcBorders>
            <w:noWrap/>
            <w:vAlign w:val="center"/>
            <w:hideMark/>
          </w:tcPr>
          <w:p w14:paraId="10B04E12" w14:textId="3AC69F28" w:rsidR="00DD1C7F" w:rsidRPr="00A81971" w:rsidRDefault="0032495C" w:rsidP="00A04930">
            <w:pPr>
              <w:spacing w:after="0"/>
              <w:jc w:val="right"/>
              <w:rPr>
                <w:rFonts w:eastAsia="Times New Roman"/>
                <w:color w:val="000000"/>
              </w:rPr>
            </w:pPr>
            <w:r w:rsidRPr="00A81971">
              <w:rPr>
                <w:rFonts w:eastAsia="Times New Roman"/>
                <w:color w:val="000000"/>
              </w:rPr>
              <w:t>99</w:t>
            </w:r>
            <w:r w:rsidR="006264EA">
              <w:rPr>
                <w:rFonts w:eastAsia="Times New Roman"/>
                <w:color w:val="000000"/>
              </w:rPr>
              <w:t>,</w:t>
            </w:r>
            <w:r w:rsidRPr="00A81971">
              <w:rPr>
                <w:rFonts w:eastAsia="Times New Roman"/>
                <w:color w:val="000000"/>
              </w:rPr>
              <w:t xml:space="preserve">953 </w:t>
            </w:r>
          </w:p>
        </w:tc>
      </w:tr>
      <w:tr w:rsidR="00F90461" w14:paraId="4E3FAFFF"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18A1792" w14:textId="77777777" w:rsidR="00DD1C7F" w:rsidRPr="00A81971" w:rsidRDefault="0032495C">
            <w:pPr>
              <w:spacing w:after="0"/>
              <w:rPr>
                <w:rFonts w:eastAsia="Times New Roman"/>
                <w:color w:val="000000"/>
              </w:rPr>
            </w:pPr>
            <w:r w:rsidRPr="00A81971">
              <w:rPr>
                <w:rFonts w:eastAsia="Times New Roman"/>
                <w:color w:val="000000"/>
              </w:rPr>
              <w:t>Egypt</w:t>
            </w:r>
          </w:p>
        </w:tc>
        <w:tc>
          <w:tcPr>
            <w:tcW w:w="2651" w:type="dxa"/>
            <w:tcBorders>
              <w:top w:val="nil"/>
              <w:left w:val="nil"/>
              <w:bottom w:val="single" w:sz="4" w:space="0" w:color="auto"/>
              <w:right w:val="single" w:sz="4" w:space="0" w:color="auto"/>
            </w:tcBorders>
            <w:noWrap/>
            <w:vAlign w:val="center"/>
            <w:hideMark/>
          </w:tcPr>
          <w:p w14:paraId="19B70D57" w14:textId="279E5A15" w:rsidR="00DD1C7F" w:rsidRPr="00A81971" w:rsidRDefault="0032495C" w:rsidP="00A04930">
            <w:pPr>
              <w:spacing w:after="0"/>
              <w:jc w:val="right"/>
              <w:rPr>
                <w:rFonts w:eastAsia="Times New Roman"/>
                <w:color w:val="000000"/>
              </w:rPr>
            </w:pPr>
            <w:r w:rsidRPr="00A81971">
              <w:rPr>
                <w:rFonts w:eastAsia="Times New Roman"/>
                <w:color w:val="000000"/>
              </w:rPr>
              <w:t>11</w:t>
            </w:r>
            <w:r w:rsidR="006264EA">
              <w:rPr>
                <w:rFonts w:eastAsia="Times New Roman"/>
                <w:color w:val="000000"/>
              </w:rPr>
              <w:t>,</w:t>
            </w:r>
            <w:r w:rsidRPr="00A81971">
              <w:rPr>
                <w:rFonts w:eastAsia="Times New Roman"/>
                <w:color w:val="000000"/>
              </w:rPr>
              <w:t>541</w:t>
            </w:r>
            <w:r w:rsidR="006264EA">
              <w:rPr>
                <w:rFonts w:eastAsia="Times New Roman"/>
                <w:color w:val="000000"/>
              </w:rPr>
              <w:t>,</w:t>
            </w:r>
            <w:r w:rsidRPr="00A81971">
              <w:rPr>
                <w:rFonts w:eastAsia="Times New Roman"/>
                <w:color w:val="000000"/>
              </w:rPr>
              <w:t xml:space="preserve">528 </w:t>
            </w:r>
          </w:p>
        </w:tc>
        <w:tc>
          <w:tcPr>
            <w:tcW w:w="2551" w:type="dxa"/>
            <w:tcBorders>
              <w:top w:val="nil"/>
              <w:left w:val="nil"/>
              <w:bottom w:val="single" w:sz="4" w:space="0" w:color="auto"/>
              <w:right w:val="single" w:sz="4" w:space="0" w:color="auto"/>
            </w:tcBorders>
            <w:noWrap/>
            <w:vAlign w:val="center"/>
            <w:hideMark/>
          </w:tcPr>
          <w:p w14:paraId="1E877928" w14:textId="7630C10F" w:rsidR="00DD1C7F" w:rsidRPr="00A81971" w:rsidRDefault="0032495C" w:rsidP="00A04930">
            <w:pPr>
              <w:spacing w:after="0"/>
              <w:jc w:val="right"/>
              <w:rPr>
                <w:rFonts w:eastAsia="Times New Roman"/>
                <w:color w:val="000000"/>
              </w:rPr>
            </w:pPr>
            <w:r w:rsidRPr="00A81971">
              <w:rPr>
                <w:rFonts w:eastAsia="Times New Roman"/>
                <w:color w:val="000000"/>
              </w:rPr>
              <w:t>1</w:t>
            </w:r>
            <w:r w:rsidR="006264EA">
              <w:rPr>
                <w:rFonts w:eastAsia="Times New Roman"/>
                <w:color w:val="000000"/>
              </w:rPr>
              <w:t>,</w:t>
            </w:r>
            <w:r w:rsidRPr="00A81971">
              <w:rPr>
                <w:rFonts w:eastAsia="Times New Roman"/>
                <w:color w:val="000000"/>
              </w:rPr>
              <w:t>923</w:t>
            </w:r>
            <w:r w:rsidR="006264EA">
              <w:rPr>
                <w:rFonts w:eastAsia="Times New Roman"/>
                <w:color w:val="000000"/>
              </w:rPr>
              <w:t>,</w:t>
            </w:r>
            <w:r w:rsidRPr="00A81971">
              <w:rPr>
                <w:rFonts w:eastAsia="Times New Roman"/>
                <w:color w:val="000000"/>
              </w:rPr>
              <w:t xml:space="preserve">588 </w:t>
            </w:r>
          </w:p>
        </w:tc>
      </w:tr>
      <w:tr w:rsidR="00F90461" w14:paraId="4B25497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C4FB9E0" w14:textId="77777777" w:rsidR="00DD1C7F" w:rsidRPr="00A81971" w:rsidRDefault="0032495C">
            <w:pPr>
              <w:spacing w:after="0"/>
              <w:rPr>
                <w:rFonts w:eastAsia="Times New Roman"/>
                <w:color w:val="000000"/>
              </w:rPr>
            </w:pPr>
            <w:r w:rsidRPr="00A81971">
              <w:rPr>
                <w:rFonts w:eastAsia="Times New Roman"/>
                <w:color w:val="000000"/>
              </w:rPr>
              <w:t>El Salvador</w:t>
            </w:r>
          </w:p>
        </w:tc>
        <w:tc>
          <w:tcPr>
            <w:tcW w:w="2651" w:type="dxa"/>
            <w:tcBorders>
              <w:top w:val="nil"/>
              <w:left w:val="nil"/>
              <w:bottom w:val="single" w:sz="4" w:space="0" w:color="auto"/>
              <w:right w:val="single" w:sz="4" w:space="0" w:color="auto"/>
            </w:tcBorders>
            <w:noWrap/>
            <w:vAlign w:val="center"/>
            <w:hideMark/>
          </w:tcPr>
          <w:p w14:paraId="199ACA54" w14:textId="476B64E5" w:rsidR="00DD1C7F" w:rsidRPr="00A81971" w:rsidRDefault="0032495C" w:rsidP="00A04930">
            <w:pPr>
              <w:spacing w:after="0"/>
              <w:jc w:val="right"/>
              <w:rPr>
                <w:rFonts w:eastAsia="Times New Roman"/>
                <w:color w:val="000000"/>
              </w:rPr>
            </w:pPr>
            <w:r w:rsidRPr="00A81971">
              <w:rPr>
                <w:rFonts w:eastAsia="Times New Roman"/>
                <w:color w:val="000000"/>
              </w:rPr>
              <w:t>203</w:t>
            </w:r>
            <w:r w:rsidR="006264EA">
              <w:rPr>
                <w:rFonts w:eastAsia="Times New Roman"/>
                <w:color w:val="000000"/>
              </w:rPr>
              <w:t>,</w:t>
            </w:r>
            <w:r w:rsidRPr="00A81971">
              <w:rPr>
                <w:rFonts w:eastAsia="Times New Roman"/>
                <w:color w:val="000000"/>
              </w:rPr>
              <w:t xml:space="preserve">400 </w:t>
            </w:r>
          </w:p>
        </w:tc>
        <w:tc>
          <w:tcPr>
            <w:tcW w:w="2551" w:type="dxa"/>
            <w:tcBorders>
              <w:top w:val="nil"/>
              <w:left w:val="nil"/>
              <w:bottom w:val="single" w:sz="4" w:space="0" w:color="auto"/>
              <w:right w:val="single" w:sz="4" w:space="0" w:color="auto"/>
            </w:tcBorders>
            <w:noWrap/>
            <w:vAlign w:val="center"/>
            <w:hideMark/>
          </w:tcPr>
          <w:p w14:paraId="6250A70B" w14:textId="7E0A81B9" w:rsidR="00DD1C7F" w:rsidRPr="00A81971" w:rsidRDefault="0032495C" w:rsidP="00A04930">
            <w:pPr>
              <w:spacing w:after="0"/>
              <w:jc w:val="right"/>
              <w:rPr>
                <w:rFonts w:eastAsia="Times New Roman"/>
                <w:color w:val="000000"/>
              </w:rPr>
            </w:pPr>
            <w:r w:rsidRPr="00A81971">
              <w:rPr>
                <w:rFonts w:eastAsia="Times New Roman"/>
                <w:color w:val="000000"/>
              </w:rPr>
              <w:t>33</w:t>
            </w:r>
            <w:r w:rsidR="006264EA">
              <w:rPr>
                <w:rFonts w:eastAsia="Times New Roman"/>
                <w:color w:val="000000"/>
              </w:rPr>
              <w:t>,</w:t>
            </w:r>
            <w:r w:rsidRPr="00A81971">
              <w:rPr>
                <w:rFonts w:eastAsia="Times New Roman"/>
                <w:color w:val="000000"/>
              </w:rPr>
              <w:t xml:space="preserve">900 </w:t>
            </w:r>
          </w:p>
        </w:tc>
      </w:tr>
      <w:tr w:rsidR="00F90461" w14:paraId="5AA6371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080D084" w14:textId="77777777" w:rsidR="00DD1C7F" w:rsidRPr="00A81971" w:rsidRDefault="0032495C">
            <w:pPr>
              <w:spacing w:after="0"/>
              <w:rPr>
                <w:rFonts w:eastAsia="Times New Roman"/>
                <w:color w:val="000000"/>
              </w:rPr>
            </w:pPr>
            <w:r w:rsidRPr="00A81971">
              <w:rPr>
                <w:rFonts w:eastAsia="Times New Roman"/>
                <w:color w:val="000000"/>
              </w:rPr>
              <w:t>Eritrea</w:t>
            </w:r>
          </w:p>
        </w:tc>
        <w:tc>
          <w:tcPr>
            <w:tcW w:w="2651" w:type="dxa"/>
            <w:tcBorders>
              <w:top w:val="nil"/>
              <w:left w:val="nil"/>
              <w:bottom w:val="single" w:sz="4" w:space="0" w:color="auto"/>
              <w:right w:val="single" w:sz="4" w:space="0" w:color="auto"/>
            </w:tcBorders>
            <w:noWrap/>
            <w:vAlign w:val="center"/>
            <w:hideMark/>
          </w:tcPr>
          <w:p w14:paraId="18CC5A2E" w14:textId="741FA2EB" w:rsidR="00DD1C7F" w:rsidRPr="00A81971" w:rsidRDefault="0032495C" w:rsidP="00A04930">
            <w:pPr>
              <w:spacing w:after="0"/>
              <w:jc w:val="right"/>
              <w:rPr>
                <w:rFonts w:eastAsia="Times New Roman"/>
                <w:color w:val="000000"/>
              </w:rPr>
            </w:pPr>
            <w:r w:rsidRPr="00A81971">
              <w:rPr>
                <w:rFonts w:eastAsia="Times New Roman"/>
                <w:color w:val="000000"/>
              </w:rPr>
              <w:t>101</w:t>
            </w:r>
            <w:r w:rsidR="006264EA">
              <w:rPr>
                <w:rFonts w:eastAsia="Times New Roman"/>
                <w:color w:val="000000"/>
              </w:rPr>
              <w:t>,</w:t>
            </w:r>
            <w:r w:rsidRPr="00A81971">
              <w:rPr>
                <w:rFonts w:eastAsia="Times New Roman"/>
                <w:color w:val="000000"/>
              </w:rPr>
              <w:t xml:space="preserve">596 </w:t>
            </w:r>
          </w:p>
        </w:tc>
        <w:tc>
          <w:tcPr>
            <w:tcW w:w="2551" w:type="dxa"/>
            <w:tcBorders>
              <w:top w:val="nil"/>
              <w:left w:val="nil"/>
              <w:bottom w:val="single" w:sz="4" w:space="0" w:color="auto"/>
              <w:right w:val="single" w:sz="4" w:space="0" w:color="auto"/>
            </w:tcBorders>
            <w:noWrap/>
            <w:vAlign w:val="center"/>
            <w:hideMark/>
          </w:tcPr>
          <w:p w14:paraId="72AC64DC" w14:textId="7CBA165E" w:rsidR="00DD1C7F" w:rsidRPr="00A81971" w:rsidRDefault="0032495C" w:rsidP="00A04930">
            <w:pPr>
              <w:spacing w:after="0"/>
              <w:jc w:val="right"/>
              <w:rPr>
                <w:rFonts w:eastAsia="Times New Roman"/>
                <w:color w:val="000000"/>
              </w:rPr>
            </w:pPr>
            <w:r w:rsidRPr="00A81971">
              <w:rPr>
                <w:rFonts w:eastAsia="Times New Roman"/>
                <w:color w:val="000000"/>
              </w:rPr>
              <w:t>16</w:t>
            </w:r>
            <w:r w:rsidR="006264EA">
              <w:rPr>
                <w:rFonts w:eastAsia="Times New Roman"/>
                <w:color w:val="000000"/>
              </w:rPr>
              <w:t>,</w:t>
            </w:r>
            <w:r w:rsidRPr="00A81971">
              <w:rPr>
                <w:rFonts w:eastAsia="Times New Roman"/>
                <w:color w:val="000000"/>
              </w:rPr>
              <w:t xml:space="preserve">933 </w:t>
            </w:r>
          </w:p>
        </w:tc>
      </w:tr>
      <w:tr w:rsidR="00F90461" w14:paraId="5EC58E8A"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59B7DCA" w14:textId="77777777" w:rsidR="00DD1C7F" w:rsidRPr="00A81971" w:rsidRDefault="0032495C">
            <w:pPr>
              <w:spacing w:after="0"/>
              <w:rPr>
                <w:rFonts w:eastAsia="Times New Roman"/>
                <w:color w:val="000000"/>
              </w:rPr>
            </w:pPr>
            <w:r w:rsidRPr="00A81971">
              <w:rPr>
                <w:rFonts w:eastAsia="Times New Roman"/>
                <w:color w:val="000000"/>
              </w:rPr>
              <w:t>Eswatini</w:t>
            </w:r>
          </w:p>
        </w:tc>
        <w:tc>
          <w:tcPr>
            <w:tcW w:w="2651" w:type="dxa"/>
            <w:tcBorders>
              <w:top w:val="nil"/>
              <w:left w:val="nil"/>
              <w:bottom w:val="single" w:sz="4" w:space="0" w:color="auto"/>
              <w:right w:val="single" w:sz="4" w:space="0" w:color="auto"/>
            </w:tcBorders>
            <w:noWrap/>
            <w:vAlign w:val="center"/>
            <w:hideMark/>
          </w:tcPr>
          <w:p w14:paraId="29357677" w14:textId="09F8FDE0" w:rsidR="00DD1C7F" w:rsidRPr="00A81971" w:rsidRDefault="0032495C" w:rsidP="00A04930">
            <w:pPr>
              <w:spacing w:after="0"/>
              <w:jc w:val="right"/>
              <w:rPr>
                <w:rFonts w:eastAsia="Times New Roman"/>
                <w:color w:val="000000"/>
              </w:rPr>
            </w:pPr>
            <w:r w:rsidRPr="00A81971">
              <w:rPr>
                <w:rFonts w:eastAsia="Times New Roman"/>
                <w:color w:val="000000"/>
              </w:rPr>
              <w:t>71</w:t>
            </w:r>
            <w:r w:rsidR="006264EA">
              <w:rPr>
                <w:rFonts w:eastAsia="Times New Roman"/>
                <w:color w:val="000000"/>
              </w:rPr>
              <w:t>,</w:t>
            </w:r>
            <w:r w:rsidRPr="00A81971">
              <w:rPr>
                <w:rFonts w:eastAsia="Times New Roman"/>
                <w:color w:val="000000"/>
              </w:rPr>
              <w:t xml:space="preserve">755 </w:t>
            </w:r>
          </w:p>
        </w:tc>
        <w:tc>
          <w:tcPr>
            <w:tcW w:w="2551" w:type="dxa"/>
            <w:tcBorders>
              <w:top w:val="nil"/>
              <w:left w:val="nil"/>
              <w:bottom w:val="single" w:sz="4" w:space="0" w:color="auto"/>
              <w:right w:val="single" w:sz="4" w:space="0" w:color="auto"/>
            </w:tcBorders>
            <w:noWrap/>
            <w:vAlign w:val="center"/>
            <w:hideMark/>
          </w:tcPr>
          <w:p w14:paraId="030E8308" w14:textId="3030393E" w:rsidR="00DD1C7F" w:rsidRPr="00A81971" w:rsidRDefault="0032495C" w:rsidP="00A04930">
            <w:pPr>
              <w:spacing w:after="0"/>
              <w:jc w:val="right"/>
              <w:rPr>
                <w:rFonts w:eastAsia="Times New Roman"/>
                <w:color w:val="000000"/>
              </w:rPr>
            </w:pPr>
            <w:r w:rsidRPr="00A81971">
              <w:rPr>
                <w:rFonts w:eastAsia="Times New Roman"/>
                <w:color w:val="000000"/>
              </w:rPr>
              <w:t>11</w:t>
            </w:r>
            <w:r w:rsidR="006264EA">
              <w:rPr>
                <w:rFonts w:eastAsia="Times New Roman"/>
                <w:color w:val="000000"/>
              </w:rPr>
              <w:t>,</w:t>
            </w:r>
            <w:r w:rsidRPr="00A81971">
              <w:rPr>
                <w:rFonts w:eastAsia="Times New Roman"/>
                <w:color w:val="000000"/>
              </w:rPr>
              <w:t xml:space="preserve">959 </w:t>
            </w:r>
          </w:p>
        </w:tc>
      </w:tr>
      <w:tr w:rsidR="00F90461" w14:paraId="2E93BDA4"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BFA2CA9" w14:textId="77777777" w:rsidR="00DD1C7F" w:rsidRPr="00A81971" w:rsidRDefault="0032495C">
            <w:pPr>
              <w:spacing w:after="0"/>
              <w:rPr>
                <w:rFonts w:eastAsia="Times New Roman"/>
                <w:color w:val="000000"/>
              </w:rPr>
            </w:pPr>
            <w:r w:rsidRPr="00A81971">
              <w:rPr>
                <w:rFonts w:eastAsia="Times New Roman"/>
                <w:color w:val="000000"/>
              </w:rPr>
              <w:t>Ethiopia</w:t>
            </w:r>
          </w:p>
        </w:tc>
        <w:tc>
          <w:tcPr>
            <w:tcW w:w="2651" w:type="dxa"/>
            <w:tcBorders>
              <w:top w:val="nil"/>
              <w:left w:val="nil"/>
              <w:bottom w:val="single" w:sz="4" w:space="0" w:color="auto"/>
              <w:right w:val="single" w:sz="4" w:space="0" w:color="auto"/>
            </w:tcBorders>
            <w:noWrap/>
            <w:vAlign w:val="center"/>
            <w:hideMark/>
          </w:tcPr>
          <w:p w14:paraId="279028C9" w14:textId="4510C236" w:rsidR="00DD1C7F" w:rsidRPr="00A81971" w:rsidRDefault="0032495C" w:rsidP="00A04930">
            <w:pPr>
              <w:spacing w:after="0"/>
              <w:jc w:val="right"/>
              <w:rPr>
                <w:rFonts w:eastAsia="Times New Roman"/>
                <w:color w:val="000000"/>
              </w:rPr>
            </w:pPr>
            <w:r w:rsidRPr="00A81971">
              <w:rPr>
                <w:rFonts w:eastAsia="Times New Roman"/>
                <w:color w:val="000000"/>
              </w:rPr>
              <w:t>115</w:t>
            </w:r>
            <w:r w:rsidR="006264EA">
              <w:rPr>
                <w:rFonts w:eastAsia="Times New Roman"/>
                <w:color w:val="000000"/>
              </w:rPr>
              <w:t>,</w:t>
            </w:r>
            <w:r w:rsidRPr="00A81971">
              <w:rPr>
                <w:rFonts w:eastAsia="Times New Roman"/>
                <w:color w:val="000000"/>
              </w:rPr>
              <w:t xml:space="preserve">260 </w:t>
            </w:r>
          </w:p>
        </w:tc>
        <w:tc>
          <w:tcPr>
            <w:tcW w:w="2551" w:type="dxa"/>
            <w:tcBorders>
              <w:top w:val="nil"/>
              <w:left w:val="nil"/>
              <w:bottom w:val="single" w:sz="4" w:space="0" w:color="auto"/>
              <w:right w:val="single" w:sz="4" w:space="0" w:color="auto"/>
            </w:tcBorders>
            <w:noWrap/>
            <w:vAlign w:val="center"/>
            <w:hideMark/>
          </w:tcPr>
          <w:p w14:paraId="6079753E" w14:textId="2EF75E6C" w:rsidR="00DD1C7F" w:rsidRPr="00A81971" w:rsidRDefault="0032495C" w:rsidP="00A04930">
            <w:pPr>
              <w:spacing w:after="0"/>
              <w:jc w:val="right"/>
              <w:rPr>
                <w:rFonts w:eastAsia="Times New Roman"/>
                <w:color w:val="000000"/>
              </w:rPr>
            </w:pPr>
            <w:r w:rsidRPr="00A81971">
              <w:rPr>
                <w:rFonts w:eastAsia="Times New Roman"/>
                <w:color w:val="000000"/>
              </w:rPr>
              <w:t>19</w:t>
            </w:r>
            <w:r w:rsidR="006264EA">
              <w:rPr>
                <w:rFonts w:eastAsia="Times New Roman"/>
                <w:color w:val="000000"/>
              </w:rPr>
              <w:t>,</w:t>
            </w:r>
            <w:r w:rsidRPr="00A81971">
              <w:rPr>
                <w:rFonts w:eastAsia="Times New Roman"/>
                <w:color w:val="000000"/>
              </w:rPr>
              <w:t xml:space="preserve">210 </w:t>
            </w:r>
          </w:p>
        </w:tc>
      </w:tr>
      <w:tr w:rsidR="00F90461" w14:paraId="041A2E0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4DF088D" w14:textId="77777777" w:rsidR="00DD1C7F" w:rsidRPr="00A81971" w:rsidRDefault="0032495C">
            <w:pPr>
              <w:spacing w:after="0"/>
              <w:rPr>
                <w:rFonts w:eastAsia="Times New Roman"/>
                <w:color w:val="000000"/>
              </w:rPr>
            </w:pPr>
            <w:r w:rsidRPr="00A81971">
              <w:rPr>
                <w:rFonts w:eastAsia="Times New Roman"/>
                <w:color w:val="000000"/>
              </w:rPr>
              <w:t>Fiji</w:t>
            </w:r>
          </w:p>
        </w:tc>
        <w:tc>
          <w:tcPr>
            <w:tcW w:w="2651" w:type="dxa"/>
            <w:tcBorders>
              <w:top w:val="nil"/>
              <w:left w:val="nil"/>
              <w:bottom w:val="single" w:sz="4" w:space="0" w:color="auto"/>
              <w:right w:val="single" w:sz="4" w:space="0" w:color="auto"/>
            </w:tcBorders>
            <w:noWrap/>
            <w:vAlign w:val="center"/>
            <w:hideMark/>
          </w:tcPr>
          <w:p w14:paraId="2B581078" w14:textId="62EE0FAD" w:rsidR="00DD1C7F" w:rsidRPr="00A81971" w:rsidRDefault="0032495C" w:rsidP="00A04930">
            <w:pPr>
              <w:spacing w:after="0"/>
              <w:jc w:val="right"/>
              <w:rPr>
                <w:rFonts w:eastAsia="Times New Roman"/>
                <w:color w:val="000000"/>
              </w:rPr>
            </w:pPr>
            <w:r w:rsidRPr="00A81971">
              <w:rPr>
                <w:rFonts w:eastAsia="Times New Roman"/>
                <w:color w:val="000000"/>
              </w:rPr>
              <w:t>115</w:t>
            </w:r>
            <w:r w:rsidR="006264EA">
              <w:rPr>
                <w:rFonts w:eastAsia="Times New Roman"/>
                <w:color w:val="000000"/>
              </w:rPr>
              <w:t>,</w:t>
            </w:r>
            <w:r w:rsidRPr="00A81971">
              <w:rPr>
                <w:rFonts w:eastAsia="Times New Roman"/>
                <w:color w:val="000000"/>
              </w:rPr>
              <w:t xml:space="preserve">260 </w:t>
            </w:r>
          </w:p>
        </w:tc>
        <w:tc>
          <w:tcPr>
            <w:tcW w:w="2551" w:type="dxa"/>
            <w:tcBorders>
              <w:top w:val="nil"/>
              <w:left w:val="nil"/>
              <w:bottom w:val="single" w:sz="4" w:space="0" w:color="auto"/>
              <w:right w:val="single" w:sz="4" w:space="0" w:color="auto"/>
            </w:tcBorders>
            <w:noWrap/>
            <w:vAlign w:val="center"/>
            <w:hideMark/>
          </w:tcPr>
          <w:p w14:paraId="6C7CA02F" w14:textId="61DC53C3" w:rsidR="00DD1C7F" w:rsidRPr="00A81971" w:rsidRDefault="0032495C" w:rsidP="00A04930">
            <w:pPr>
              <w:spacing w:after="0"/>
              <w:jc w:val="right"/>
              <w:rPr>
                <w:rFonts w:eastAsia="Times New Roman"/>
                <w:color w:val="000000"/>
              </w:rPr>
            </w:pPr>
            <w:r w:rsidRPr="00A81971">
              <w:rPr>
                <w:rFonts w:eastAsia="Times New Roman"/>
                <w:color w:val="000000"/>
              </w:rPr>
              <w:t>19</w:t>
            </w:r>
            <w:r w:rsidR="006264EA">
              <w:rPr>
                <w:rFonts w:eastAsia="Times New Roman"/>
                <w:color w:val="000000"/>
              </w:rPr>
              <w:t>,</w:t>
            </w:r>
            <w:r w:rsidRPr="00A81971">
              <w:rPr>
                <w:rFonts w:eastAsia="Times New Roman"/>
                <w:color w:val="000000"/>
              </w:rPr>
              <w:t xml:space="preserve">210 </w:t>
            </w:r>
          </w:p>
        </w:tc>
      </w:tr>
      <w:tr w:rsidR="00F90461" w14:paraId="2AC01522"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B656FAD" w14:textId="77777777" w:rsidR="00DD1C7F" w:rsidRPr="00A81971" w:rsidRDefault="0032495C">
            <w:pPr>
              <w:spacing w:after="0"/>
              <w:rPr>
                <w:rFonts w:eastAsia="Times New Roman"/>
                <w:color w:val="000000"/>
              </w:rPr>
            </w:pPr>
            <w:r w:rsidRPr="00A81971">
              <w:rPr>
                <w:rFonts w:eastAsia="Times New Roman"/>
                <w:color w:val="000000"/>
              </w:rPr>
              <w:t>Gambia</w:t>
            </w:r>
          </w:p>
        </w:tc>
        <w:tc>
          <w:tcPr>
            <w:tcW w:w="2651" w:type="dxa"/>
            <w:tcBorders>
              <w:top w:val="nil"/>
              <w:left w:val="nil"/>
              <w:bottom w:val="single" w:sz="4" w:space="0" w:color="auto"/>
              <w:right w:val="single" w:sz="4" w:space="0" w:color="auto"/>
            </w:tcBorders>
            <w:noWrap/>
            <w:vAlign w:val="center"/>
            <w:hideMark/>
          </w:tcPr>
          <w:p w14:paraId="7D7A4092" w14:textId="5C86399A" w:rsidR="00DD1C7F" w:rsidRPr="00A81971" w:rsidRDefault="0032495C" w:rsidP="00A04930">
            <w:pPr>
              <w:spacing w:after="0"/>
              <w:jc w:val="right"/>
              <w:rPr>
                <w:rFonts w:eastAsia="Times New Roman"/>
                <w:color w:val="000000"/>
              </w:rPr>
            </w:pPr>
            <w:r w:rsidRPr="00A81971">
              <w:rPr>
                <w:rFonts w:eastAsia="Times New Roman"/>
                <w:color w:val="000000"/>
              </w:rPr>
              <w:t>90</w:t>
            </w:r>
            <w:r w:rsidR="006264EA">
              <w:rPr>
                <w:rFonts w:eastAsia="Times New Roman"/>
                <w:color w:val="000000"/>
              </w:rPr>
              <w:t>,</w:t>
            </w:r>
            <w:r w:rsidRPr="00A81971">
              <w:rPr>
                <w:rFonts w:eastAsia="Times New Roman"/>
                <w:color w:val="000000"/>
              </w:rPr>
              <w:t xml:space="preserve">570 </w:t>
            </w:r>
          </w:p>
        </w:tc>
        <w:tc>
          <w:tcPr>
            <w:tcW w:w="2551" w:type="dxa"/>
            <w:tcBorders>
              <w:top w:val="nil"/>
              <w:left w:val="nil"/>
              <w:bottom w:val="single" w:sz="4" w:space="0" w:color="auto"/>
              <w:right w:val="single" w:sz="4" w:space="0" w:color="auto"/>
            </w:tcBorders>
            <w:noWrap/>
            <w:vAlign w:val="center"/>
            <w:hideMark/>
          </w:tcPr>
          <w:p w14:paraId="560C23A3" w14:textId="245CBA04"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095 </w:t>
            </w:r>
          </w:p>
        </w:tc>
      </w:tr>
      <w:tr w:rsidR="00F90461" w14:paraId="588D77C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5F788ED" w14:textId="77777777" w:rsidR="00DD1C7F" w:rsidRPr="00A81971" w:rsidRDefault="0032495C">
            <w:pPr>
              <w:spacing w:after="0"/>
              <w:rPr>
                <w:rFonts w:eastAsia="Times New Roman"/>
                <w:color w:val="000000"/>
              </w:rPr>
            </w:pPr>
            <w:r w:rsidRPr="00A81971">
              <w:rPr>
                <w:rFonts w:eastAsia="Times New Roman"/>
                <w:color w:val="000000"/>
              </w:rPr>
              <w:t>Georgia</w:t>
            </w:r>
          </w:p>
        </w:tc>
        <w:tc>
          <w:tcPr>
            <w:tcW w:w="2651" w:type="dxa"/>
            <w:tcBorders>
              <w:top w:val="nil"/>
              <w:left w:val="nil"/>
              <w:bottom w:val="single" w:sz="4" w:space="0" w:color="auto"/>
              <w:right w:val="single" w:sz="4" w:space="0" w:color="auto"/>
            </w:tcBorders>
            <w:noWrap/>
            <w:vAlign w:val="center"/>
            <w:hideMark/>
          </w:tcPr>
          <w:p w14:paraId="244CC231" w14:textId="1458E29A" w:rsidR="00DD1C7F" w:rsidRPr="00A81971" w:rsidRDefault="0032495C" w:rsidP="00A04930">
            <w:pPr>
              <w:spacing w:after="0"/>
              <w:jc w:val="right"/>
              <w:rPr>
                <w:rFonts w:eastAsia="Times New Roman"/>
                <w:color w:val="000000"/>
              </w:rPr>
            </w:pPr>
            <w:r w:rsidRPr="00A81971">
              <w:rPr>
                <w:rFonts w:eastAsia="Times New Roman"/>
                <w:color w:val="000000"/>
              </w:rPr>
              <w:t>231</w:t>
            </w:r>
            <w:r w:rsidR="006264EA">
              <w:rPr>
                <w:rFonts w:eastAsia="Times New Roman"/>
                <w:color w:val="000000"/>
              </w:rPr>
              <w:t>,</w:t>
            </w:r>
            <w:r w:rsidRPr="00A81971">
              <w:rPr>
                <w:rFonts w:eastAsia="Times New Roman"/>
                <w:color w:val="000000"/>
              </w:rPr>
              <w:t xml:space="preserve">085 </w:t>
            </w:r>
          </w:p>
        </w:tc>
        <w:tc>
          <w:tcPr>
            <w:tcW w:w="2551" w:type="dxa"/>
            <w:tcBorders>
              <w:top w:val="nil"/>
              <w:left w:val="nil"/>
              <w:bottom w:val="single" w:sz="4" w:space="0" w:color="auto"/>
              <w:right w:val="single" w:sz="4" w:space="0" w:color="auto"/>
            </w:tcBorders>
            <w:noWrap/>
            <w:vAlign w:val="center"/>
            <w:hideMark/>
          </w:tcPr>
          <w:p w14:paraId="2FC2A054" w14:textId="30F9FBCC" w:rsidR="00DD1C7F" w:rsidRPr="00A81971" w:rsidRDefault="0032495C" w:rsidP="00A04930">
            <w:pPr>
              <w:spacing w:after="0"/>
              <w:jc w:val="right"/>
              <w:rPr>
                <w:rFonts w:eastAsia="Times New Roman"/>
                <w:color w:val="000000"/>
              </w:rPr>
            </w:pPr>
            <w:r w:rsidRPr="00A81971">
              <w:rPr>
                <w:rFonts w:eastAsia="Times New Roman"/>
                <w:color w:val="000000"/>
              </w:rPr>
              <w:t>38</w:t>
            </w:r>
            <w:r w:rsidR="006264EA">
              <w:rPr>
                <w:rFonts w:eastAsia="Times New Roman"/>
                <w:color w:val="000000"/>
              </w:rPr>
              <w:t>,</w:t>
            </w:r>
            <w:r w:rsidRPr="00A81971">
              <w:rPr>
                <w:rFonts w:eastAsia="Times New Roman"/>
                <w:color w:val="000000"/>
              </w:rPr>
              <w:t xml:space="preserve">514 </w:t>
            </w:r>
          </w:p>
        </w:tc>
      </w:tr>
      <w:tr w:rsidR="00F90461" w14:paraId="23C7D4F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638EF26" w14:textId="77777777" w:rsidR="00DD1C7F" w:rsidRPr="00A81971" w:rsidRDefault="0032495C">
            <w:pPr>
              <w:spacing w:after="0"/>
              <w:rPr>
                <w:rFonts w:eastAsia="Times New Roman"/>
                <w:color w:val="000000"/>
              </w:rPr>
            </w:pPr>
            <w:r w:rsidRPr="00A81971">
              <w:rPr>
                <w:rFonts w:eastAsia="Times New Roman"/>
                <w:color w:val="000000"/>
              </w:rPr>
              <w:t>Ghana</w:t>
            </w:r>
          </w:p>
        </w:tc>
        <w:tc>
          <w:tcPr>
            <w:tcW w:w="2651" w:type="dxa"/>
            <w:tcBorders>
              <w:top w:val="nil"/>
              <w:left w:val="nil"/>
              <w:bottom w:val="single" w:sz="4" w:space="0" w:color="auto"/>
              <w:right w:val="single" w:sz="4" w:space="0" w:color="auto"/>
            </w:tcBorders>
            <w:noWrap/>
            <w:vAlign w:val="center"/>
            <w:hideMark/>
          </w:tcPr>
          <w:p w14:paraId="113B6730" w14:textId="013D9063" w:rsidR="00DD1C7F" w:rsidRPr="00A81971" w:rsidRDefault="0032495C" w:rsidP="00A04930">
            <w:pPr>
              <w:spacing w:after="0"/>
              <w:jc w:val="right"/>
              <w:rPr>
                <w:rFonts w:eastAsia="Times New Roman"/>
                <w:color w:val="000000"/>
              </w:rPr>
            </w:pPr>
            <w:r w:rsidRPr="00A81971">
              <w:rPr>
                <w:rFonts w:eastAsia="Times New Roman"/>
                <w:color w:val="000000"/>
              </w:rPr>
              <w:t>212</w:t>
            </w:r>
            <w:r w:rsidR="006264EA">
              <w:rPr>
                <w:rFonts w:eastAsia="Times New Roman"/>
                <w:color w:val="000000"/>
              </w:rPr>
              <w:t>,</w:t>
            </w:r>
            <w:r w:rsidRPr="00A81971">
              <w:rPr>
                <w:rFonts w:eastAsia="Times New Roman"/>
                <w:color w:val="000000"/>
              </w:rPr>
              <w:t xml:space="preserve">440 </w:t>
            </w:r>
          </w:p>
        </w:tc>
        <w:tc>
          <w:tcPr>
            <w:tcW w:w="2551" w:type="dxa"/>
            <w:tcBorders>
              <w:top w:val="nil"/>
              <w:left w:val="nil"/>
              <w:bottom w:val="single" w:sz="4" w:space="0" w:color="auto"/>
              <w:right w:val="single" w:sz="4" w:space="0" w:color="auto"/>
            </w:tcBorders>
            <w:noWrap/>
            <w:vAlign w:val="center"/>
            <w:hideMark/>
          </w:tcPr>
          <w:p w14:paraId="2EF262DF" w14:textId="31D8E02F" w:rsidR="00DD1C7F" w:rsidRPr="00A81971" w:rsidRDefault="0032495C" w:rsidP="00A04930">
            <w:pPr>
              <w:spacing w:after="0"/>
              <w:jc w:val="right"/>
              <w:rPr>
                <w:rFonts w:eastAsia="Times New Roman"/>
                <w:color w:val="000000"/>
              </w:rPr>
            </w:pPr>
            <w:r w:rsidRPr="00A81971">
              <w:rPr>
                <w:rFonts w:eastAsia="Times New Roman"/>
                <w:color w:val="000000"/>
              </w:rPr>
              <w:t>35</w:t>
            </w:r>
            <w:r w:rsidR="006264EA">
              <w:rPr>
                <w:rFonts w:eastAsia="Times New Roman"/>
                <w:color w:val="000000"/>
              </w:rPr>
              <w:t>,</w:t>
            </w:r>
            <w:r w:rsidRPr="00A81971">
              <w:rPr>
                <w:rFonts w:eastAsia="Times New Roman"/>
                <w:color w:val="000000"/>
              </w:rPr>
              <w:t xml:space="preserve">407 </w:t>
            </w:r>
          </w:p>
        </w:tc>
      </w:tr>
      <w:tr w:rsidR="00F90461" w14:paraId="0E7BE7F8"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441B3F0" w14:textId="77777777" w:rsidR="00DD1C7F" w:rsidRPr="00A81971" w:rsidRDefault="0032495C">
            <w:pPr>
              <w:spacing w:after="0"/>
              <w:rPr>
                <w:rFonts w:eastAsia="Times New Roman"/>
                <w:color w:val="000000"/>
              </w:rPr>
            </w:pPr>
            <w:r w:rsidRPr="00A81971">
              <w:rPr>
                <w:rFonts w:eastAsia="Times New Roman"/>
                <w:color w:val="000000"/>
              </w:rPr>
              <w:t>Grenada</w:t>
            </w:r>
          </w:p>
        </w:tc>
        <w:tc>
          <w:tcPr>
            <w:tcW w:w="2651" w:type="dxa"/>
            <w:tcBorders>
              <w:top w:val="nil"/>
              <w:left w:val="nil"/>
              <w:bottom w:val="single" w:sz="4" w:space="0" w:color="auto"/>
              <w:right w:val="single" w:sz="4" w:space="0" w:color="auto"/>
            </w:tcBorders>
            <w:noWrap/>
            <w:vAlign w:val="center"/>
            <w:hideMark/>
          </w:tcPr>
          <w:p w14:paraId="27A0DE79" w14:textId="681D4A15" w:rsidR="00DD1C7F" w:rsidRPr="00A81971" w:rsidRDefault="0032495C" w:rsidP="00A04930">
            <w:pPr>
              <w:spacing w:after="0"/>
              <w:jc w:val="right"/>
              <w:rPr>
                <w:rFonts w:eastAsia="Times New Roman"/>
                <w:color w:val="000000"/>
              </w:rPr>
            </w:pPr>
            <w:r w:rsidRPr="00A81971">
              <w:rPr>
                <w:rFonts w:eastAsia="Times New Roman"/>
                <w:color w:val="000000"/>
              </w:rPr>
              <w:t>81</w:t>
            </w:r>
            <w:r w:rsidR="006264EA">
              <w:rPr>
                <w:rFonts w:eastAsia="Times New Roman"/>
                <w:color w:val="000000"/>
              </w:rPr>
              <w:t>,</w:t>
            </w:r>
            <w:r w:rsidRPr="00A81971">
              <w:rPr>
                <w:rFonts w:eastAsia="Times New Roman"/>
                <w:color w:val="000000"/>
              </w:rPr>
              <w:t xml:space="preserve">925 </w:t>
            </w:r>
          </w:p>
        </w:tc>
        <w:tc>
          <w:tcPr>
            <w:tcW w:w="2551" w:type="dxa"/>
            <w:tcBorders>
              <w:top w:val="nil"/>
              <w:left w:val="nil"/>
              <w:bottom w:val="single" w:sz="4" w:space="0" w:color="auto"/>
              <w:right w:val="single" w:sz="4" w:space="0" w:color="auto"/>
            </w:tcBorders>
            <w:noWrap/>
            <w:vAlign w:val="center"/>
            <w:hideMark/>
          </w:tcPr>
          <w:p w14:paraId="61838B17" w14:textId="46AFF942" w:rsidR="00DD1C7F" w:rsidRPr="00A81971" w:rsidRDefault="0032495C" w:rsidP="00A04930">
            <w:pPr>
              <w:spacing w:after="0"/>
              <w:jc w:val="right"/>
              <w:rPr>
                <w:rFonts w:eastAsia="Times New Roman"/>
                <w:color w:val="000000"/>
              </w:rPr>
            </w:pPr>
            <w:r w:rsidRPr="00A81971">
              <w:rPr>
                <w:rFonts w:eastAsia="Times New Roman"/>
                <w:color w:val="000000"/>
              </w:rPr>
              <w:t>13</w:t>
            </w:r>
            <w:r w:rsidR="006264EA">
              <w:rPr>
                <w:rFonts w:eastAsia="Times New Roman"/>
                <w:color w:val="000000"/>
              </w:rPr>
              <w:t>,</w:t>
            </w:r>
            <w:r w:rsidRPr="00A81971">
              <w:rPr>
                <w:rFonts w:eastAsia="Times New Roman"/>
                <w:color w:val="000000"/>
              </w:rPr>
              <w:t xml:space="preserve">654 </w:t>
            </w:r>
          </w:p>
        </w:tc>
      </w:tr>
      <w:tr w:rsidR="00F90461" w14:paraId="62A95E3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27EDD2D" w14:textId="77777777" w:rsidR="00DD1C7F" w:rsidRPr="00A81971" w:rsidRDefault="0032495C">
            <w:pPr>
              <w:spacing w:after="0"/>
              <w:rPr>
                <w:rFonts w:eastAsia="Times New Roman"/>
                <w:color w:val="000000"/>
              </w:rPr>
            </w:pPr>
            <w:r w:rsidRPr="00A81971">
              <w:rPr>
                <w:rFonts w:eastAsia="Times New Roman"/>
                <w:color w:val="000000"/>
              </w:rPr>
              <w:t>Guatemala</w:t>
            </w:r>
          </w:p>
        </w:tc>
        <w:tc>
          <w:tcPr>
            <w:tcW w:w="2651" w:type="dxa"/>
            <w:tcBorders>
              <w:top w:val="nil"/>
              <w:left w:val="nil"/>
              <w:bottom w:val="single" w:sz="4" w:space="0" w:color="auto"/>
              <w:right w:val="single" w:sz="4" w:space="0" w:color="auto"/>
            </w:tcBorders>
            <w:noWrap/>
            <w:vAlign w:val="center"/>
            <w:hideMark/>
          </w:tcPr>
          <w:p w14:paraId="17F7D726" w14:textId="67FA313D" w:rsidR="00DD1C7F" w:rsidRPr="00A81971" w:rsidRDefault="0032495C" w:rsidP="00A04930">
            <w:pPr>
              <w:spacing w:after="0"/>
              <w:jc w:val="right"/>
              <w:rPr>
                <w:rFonts w:eastAsia="Times New Roman"/>
                <w:color w:val="000000"/>
              </w:rPr>
            </w:pPr>
            <w:r w:rsidRPr="00A81971">
              <w:rPr>
                <w:rFonts w:eastAsia="Times New Roman"/>
                <w:color w:val="000000"/>
              </w:rPr>
              <w:t>279</w:t>
            </w:r>
            <w:r w:rsidR="006264EA">
              <w:rPr>
                <w:rFonts w:eastAsia="Times New Roman"/>
                <w:color w:val="000000"/>
              </w:rPr>
              <w:t>,</w:t>
            </w:r>
            <w:r w:rsidRPr="00A81971">
              <w:rPr>
                <w:rFonts w:eastAsia="Times New Roman"/>
                <w:color w:val="000000"/>
              </w:rPr>
              <w:t xml:space="preserve">890 </w:t>
            </w:r>
          </w:p>
        </w:tc>
        <w:tc>
          <w:tcPr>
            <w:tcW w:w="2551" w:type="dxa"/>
            <w:tcBorders>
              <w:top w:val="nil"/>
              <w:left w:val="nil"/>
              <w:bottom w:val="single" w:sz="4" w:space="0" w:color="auto"/>
              <w:right w:val="single" w:sz="4" w:space="0" w:color="auto"/>
            </w:tcBorders>
            <w:noWrap/>
            <w:vAlign w:val="center"/>
            <w:hideMark/>
          </w:tcPr>
          <w:p w14:paraId="1A059171" w14:textId="043FF051" w:rsidR="00DD1C7F" w:rsidRPr="00A81971" w:rsidRDefault="0032495C" w:rsidP="00A04930">
            <w:pPr>
              <w:spacing w:after="0"/>
              <w:jc w:val="right"/>
              <w:rPr>
                <w:rFonts w:eastAsia="Times New Roman"/>
                <w:color w:val="000000"/>
              </w:rPr>
            </w:pPr>
            <w:r w:rsidRPr="00A81971">
              <w:rPr>
                <w:rFonts w:eastAsia="Times New Roman"/>
                <w:color w:val="000000"/>
              </w:rPr>
              <w:t>46</w:t>
            </w:r>
            <w:r w:rsidR="006264EA">
              <w:rPr>
                <w:rFonts w:eastAsia="Times New Roman"/>
                <w:color w:val="000000"/>
              </w:rPr>
              <w:t>,</w:t>
            </w:r>
            <w:r w:rsidRPr="00A81971">
              <w:rPr>
                <w:rFonts w:eastAsia="Times New Roman"/>
                <w:color w:val="000000"/>
              </w:rPr>
              <w:t xml:space="preserve">648 </w:t>
            </w:r>
          </w:p>
        </w:tc>
      </w:tr>
      <w:tr w:rsidR="00F90461" w14:paraId="3B12713D"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690265F" w14:textId="77777777" w:rsidR="00DD1C7F" w:rsidRPr="00A81971" w:rsidRDefault="0032495C">
            <w:pPr>
              <w:spacing w:after="0"/>
              <w:rPr>
                <w:rFonts w:eastAsia="Times New Roman"/>
                <w:color w:val="000000"/>
              </w:rPr>
            </w:pPr>
            <w:r w:rsidRPr="00A81971">
              <w:rPr>
                <w:rFonts w:eastAsia="Times New Roman"/>
                <w:color w:val="000000"/>
              </w:rPr>
              <w:t>Guinea</w:t>
            </w:r>
          </w:p>
        </w:tc>
        <w:tc>
          <w:tcPr>
            <w:tcW w:w="2651" w:type="dxa"/>
            <w:tcBorders>
              <w:top w:val="nil"/>
              <w:left w:val="nil"/>
              <w:bottom w:val="single" w:sz="4" w:space="0" w:color="auto"/>
              <w:right w:val="single" w:sz="4" w:space="0" w:color="auto"/>
            </w:tcBorders>
            <w:noWrap/>
            <w:vAlign w:val="center"/>
            <w:hideMark/>
          </w:tcPr>
          <w:p w14:paraId="331CBB71" w14:textId="23F31045" w:rsidR="00DD1C7F" w:rsidRPr="00A81971" w:rsidRDefault="0032495C" w:rsidP="00A04930">
            <w:pPr>
              <w:spacing w:after="0"/>
              <w:jc w:val="right"/>
              <w:rPr>
                <w:rFonts w:eastAsia="Times New Roman"/>
                <w:color w:val="000000"/>
              </w:rPr>
            </w:pPr>
            <w:r w:rsidRPr="00A81971">
              <w:rPr>
                <w:rFonts w:eastAsia="Times New Roman"/>
                <w:color w:val="000000"/>
              </w:rPr>
              <w:t>453</w:t>
            </w:r>
            <w:r w:rsidR="006264EA">
              <w:rPr>
                <w:rFonts w:eastAsia="Times New Roman"/>
                <w:color w:val="000000"/>
              </w:rPr>
              <w:t>,</w:t>
            </w:r>
            <w:r w:rsidRPr="00A81971">
              <w:rPr>
                <w:rFonts w:eastAsia="Times New Roman"/>
                <w:color w:val="000000"/>
              </w:rPr>
              <w:t xml:space="preserve">542 </w:t>
            </w:r>
          </w:p>
        </w:tc>
        <w:tc>
          <w:tcPr>
            <w:tcW w:w="2551" w:type="dxa"/>
            <w:tcBorders>
              <w:top w:val="nil"/>
              <w:left w:val="nil"/>
              <w:bottom w:val="single" w:sz="4" w:space="0" w:color="auto"/>
              <w:right w:val="single" w:sz="4" w:space="0" w:color="auto"/>
            </w:tcBorders>
            <w:noWrap/>
            <w:vAlign w:val="center"/>
            <w:hideMark/>
          </w:tcPr>
          <w:p w14:paraId="704FA8FA" w14:textId="3EC3ED6D" w:rsidR="00DD1C7F" w:rsidRPr="00A81971" w:rsidRDefault="0032495C" w:rsidP="00A04930">
            <w:pPr>
              <w:spacing w:after="0"/>
              <w:jc w:val="right"/>
              <w:rPr>
                <w:rFonts w:eastAsia="Times New Roman"/>
                <w:color w:val="000000"/>
              </w:rPr>
            </w:pPr>
            <w:r w:rsidRPr="00A81971">
              <w:rPr>
                <w:rFonts w:eastAsia="Times New Roman"/>
                <w:color w:val="000000"/>
              </w:rPr>
              <w:t>75</w:t>
            </w:r>
            <w:r w:rsidR="006264EA">
              <w:rPr>
                <w:rFonts w:eastAsia="Times New Roman"/>
                <w:color w:val="000000"/>
              </w:rPr>
              <w:t>,</w:t>
            </w:r>
            <w:r w:rsidRPr="00A81971">
              <w:rPr>
                <w:rFonts w:eastAsia="Times New Roman"/>
                <w:color w:val="000000"/>
              </w:rPr>
              <w:t xml:space="preserve">590 </w:t>
            </w:r>
          </w:p>
        </w:tc>
      </w:tr>
      <w:tr w:rsidR="00F90461" w14:paraId="7EFAF0E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D8EF2B9" w14:textId="77777777" w:rsidR="00DD1C7F" w:rsidRPr="00A81971" w:rsidRDefault="0032495C">
            <w:pPr>
              <w:spacing w:after="0"/>
              <w:rPr>
                <w:rFonts w:eastAsia="Times New Roman"/>
                <w:color w:val="000000"/>
              </w:rPr>
            </w:pPr>
            <w:r w:rsidRPr="00A81971">
              <w:rPr>
                <w:rFonts w:eastAsia="Times New Roman"/>
                <w:color w:val="000000"/>
              </w:rPr>
              <w:t>Guinea-Bissau</w:t>
            </w:r>
          </w:p>
        </w:tc>
        <w:tc>
          <w:tcPr>
            <w:tcW w:w="2651" w:type="dxa"/>
            <w:tcBorders>
              <w:top w:val="nil"/>
              <w:left w:val="nil"/>
              <w:bottom w:val="single" w:sz="4" w:space="0" w:color="auto"/>
              <w:right w:val="single" w:sz="4" w:space="0" w:color="auto"/>
            </w:tcBorders>
            <w:noWrap/>
            <w:vAlign w:val="center"/>
            <w:hideMark/>
          </w:tcPr>
          <w:p w14:paraId="00027A94" w14:textId="7D783793" w:rsidR="00DD1C7F" w:rsidRPr="00A81971" w:rsidRDefault="0032495C" w:rsidP="00A04930">
            <w:pPr>
              <w:spacing w:after="0"/>
              <w:jc w:val="right"/>
              <w:rPr>
                <w:rFonts w:eastAsia="Times New Roman"/>
                <w:color w:val="000000"/>
              </w:rPr>
            </w:pPr>
            <w:r w:rsidRPr="00A81971">
              <w:rPr>
                <w:rFonts w:eastAsia="Times New Roman"/>
                <w:color w:val="000000"/>
              </w:rPr>
              <w:t>189</w:t>
            </w:r>
            <w:r w:rsidR="006264EA">
              <w:rPr>
                <w:rFonts w:eastAsia="Times New Roman"/>
                <w:color w:val="000000"/>
              </w:rPr>
              <w:t>,</w:t>
            </w:r>
            <w:r w:rsidRPr="00A81971">
              <w:rPr>
                <w:rFonts w:eastAsia="Times New Roman"/>
                <w:color w:val="000000"/>
              </w:rPr>
              <w:t xml:space="preserve">275 </w:t>
            </w:r>
          </w:p>
        </w:tc>
        <w:tc>
          <w:tcPr>
            <w:tcW w:w="2551" w:type="dxa"/>
            <w:tcBorders>
              <w:top w:val="nil"/>
              <w:left w:val="nil"/>
              <w:bottom w:val="single" w:sz="4" w:space="0" w:color="auto"/>
              <w:right w:val="single" w:sz="4" w:space="0" w:color="auto"/>
            </w:tcBorders>
            <w:noWrap/>
            <w:vAlign w:val="center"/>
            <w:hideMark/>
          </w:tcPr>
          <w:p w14:paraId="7A252B4C" w14:textId="07F8FF76" w:rsidR="00DD1C7F" w:rsidRPr="00A81971" w:rsidRDefault="0032495C" w:rsidP="00A04930">
            <w:pPr>
              <w:spacing w:after="0"/>
              <w:jc w:val="right"/>
              <w:rPr>
                <w:rFonts w:eastAsia="Times New Roman"/>
                <w:color w:val="000000"/>
              </w:rPr>
            </w:pPr>
            <w:r w:rsidRPr="00A81971">
              <w:rPr>
                <w:rFonts w:eastAsia="Times New Roman"/>
                <w:color w:val="000000"/>
              </w:rPr>
              <w:t>31</w:t>
            </w:r>
            <w:r w:rsidR="006264EA">
              <w:rPr>
                <w:rFonts w:eastAsia="Times New Roman"/>
                <w:color w:val="000000"/>
              </w:rPr>
              <w:t>,</w:t>
            </w:r>
            <w:r w:rsidRPr="00A81971">
              <w:rPr>
                <w:rFonts w:eastAsia="Times New Roman"/>
                <w:color w:val="000000"/>
              </w:rPr>
              <w:t xml:space="preserve">546 </w:t>
            </w:r>
          </w:p>
        </w:tc>
      </w:tr>
      <w:tr w:rsidR="00F90461" w14:paraId="2EF5C8CC"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BF8C414" w14:textId="77777777" w:rsidR="00DD1C7F" w:rsidRPr="00A81971" w:rsidRDefault="0032495C">
            <w:pPr>
              <w:spacing w:after="0"/>
              <w:rPr>
                <w:rFonts w:eastAsia="Times New Roman"/>
                <w:color w:val="000000"/>
              </w:rPr>
            </w:pPr>
            <w:r w:rsidRPr="00A81971">
              <w:rPr>
                <w:rFonts w:eastAsia="Times New Roman"/>
                <w:color w:val="000000"/>
              </w:rPr>
              <w:t>Honduras</w:t>
            </w:r>
          </w:p>
        </w:tc>
        <w:tc>
          <w:tcPr>
            <w:tcW w:w="2651" w:type="dxa"/>
            <w:tcBorders>
              <w:top w:val="nil"/>
              <w:left w:val="nil"/>
              <w:bottom w:val="single" w:sz="4" w:space="0" w:color="auto"/>
              <w:right w:val="single" w:sz="4" w:space="0" w:color="auto"/>
            </w:tcBorders>
            <w:noWrap/>
            <w:vAlign w:val="center"/>
            <w:hideMark/>
          </w:tcPr>
          <w:p w14:paraId="11871E57" w14:textId="766D0B7C" w:rsidR="00DD1C7F" w:rsidRPr="00A81971" w:rsidRDefault="0032495C" w:rsidP="00A04930">
            <w:pPr>
              <w:spacing w:after="0"/>
              <w:jc w:val="right"/>
              <w:rPr>
                <w:rFonts w:eastAsia="Times New Roman"/>
                <w:color w:val="000000"/>
              </w:rPr>
            </w:pPr>
            <w:r w:rsidRPr="00A81971">
              <w:rPr>
                <w:rFonts w:eastAsia="Times New Roman"/>
                <w:color w:val="000000"/>
              </w:rPr>
              <w:t>321</w:t>
            </w:r>
            <w:r w:rsidR="006264EA">
              <w:rPr>
                <w:rFonts w:eastAsia="Times New Roman"/>
                <w:color w:val="000000"/>
              </w:rPr>
              <w:t>,</w:t>
            </w:r>
            <w:r w:rsidRPr="00A81971">
              <w:rPr>
                <w:rFonts w:eastAsia="Times New Roman"/>
                <w:color w:val="000000"/>
              </w:rPr>
              <w:t xml:space="preserve">903 </w:t>
            </w:r>
          </w:p>
        </w:tc>
        <w:tc>
          <w:tcPr>
            <w:tcW w:w="2551" w:type="dxa"/>
            <w:tcBorders>
              <w:top w:val="nil"/>
              <w:left w:val="nil"/>
              <w:bottom w:val="single" w:sz="4" w:space="0" w:color="auto"/>
              <w:right w:val="single" w:sz="4" w:space="0" w:color="auto"/>
            </w:tcBorders>
            <w:noWrap/>
            <w:vAlign w:val="center"/>
            <w:hideMark/>
          </w:tcPr>
          <w:p w14:paraId="07A3B8D0" w14:textId="505E8809" w:rsidR="00DD1C7F" w:rsidRPr="00A81971" w:rsidRDefault="0032495C" w:rsidP="00A04930">
            <w:pPr>
              <w:spacing w:after="0"/>
              <w:jc w:val="right"/>
              <w:rPr>
                <w:rFonts w:eastAsia="Times New Roman"/>
                <w:color w:val="000000"/>
              </w:rPr>
            </w:pPr>
            <w:r w:rsidRPr="00A81971">
              <w:rPr>
                <w:rFonts w:eastAsia="Times New Roman"/>
                <w:color w:val="000000"/>
              </w:rPr>
              <w:t>53</w:t>
            </w:r>
            <w:r w:rsidR="006264EA">
              <w:rPr>
                <w:rFonts w:eastAsia="Times New Roman"/>
                <w:color w:val="000000"/>
              </w:rPr>
              <w:t>,</w:t>
            </w:r>
            <w:r w:rsidRPr="00A81971">
              <w:rPr>
                <w:rFonts w:eastAsia="Times New Roman"/>
                <w:color w:val="000000"/>
              </w:rPr>
              <w:t xml:space="preserve">651 </w:t>
            </w:r>
          </w:p>
        </w:tc>
      </w:tr>
      <w:tr w:rsidR="00F90461" w14:paraId="4CBB2663"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6250DA8" w14:textId="77777777" w:rsidR="00DD1C7F" w:rsidRPr="00A81971" w:rsidRDefault="0032495C">
            <w:pPr>
              <w:spacing w:after="0"/>
              <w:rPr>
                <w:rFonts w:eastAsia="Times New Roman"/>
                <w:color w:val="000000"/>
              </w:rPr>
            </w:pPr>
            <w:r w:rsidRPr="00A81971">
              <w:rPr>
                <w:rFonts w:eastAsia="Times New Roman"/>
                <w:color w:val="000000"/>
              </w:rPr>
              <w:t>Indonesia</w:t>
            </w:r>
          </w:p>
        </w:tc>
        <w:tc>
          <w:tcPr>
            <w:tcW w:w="2651" w:type="dxa"/>
            <w:tcBorders>
              <w:top w:val="nil"/>
              <w:left w:val="nil"/>
              <w:bottom w:val="single" w:sz="4" w:space="0" w:color="auto"/>
              <w:right w:val="single" w:sz="4" w:space="0" w:color="auto"/>
            </w:tcBorders>
            <w:noWrap/>
            <w:vAlign w:val="center"/>
            <w:hideMark/>
          </w:tcPr>
          <w:p w14:paraId="7689ADCF" w14:textId="6874C6F2" w:rsidR="00DD1C7F" w:rsidRPr="00A81971" w:rsidRDefault="0032495C" w:rsidP="00A04930">
            <w:pPr>
              <w:spacing w:after="0"/>
              <w:jc w:val="right"/>
              <w:rPr>
                <w:rFonts w:eastAsia="Times New Roman"/>
                <w:color w:val="000000"/>
              </w:rPr>
            </w:pPr>
            <w:r w:rsidRPr="00A81971">
              <w:rPr>
                <w:rFonts w:eastAsia="Times New Roman"/>
                <w:color w:val="000000"/>
              </w:rPr>
              <w:t>3</w:t>
            </w:r>
            <w:r w:rsidR="006264EA">
              <w:rPr>
                <w:rFonts w:eastAsia="Times New Roman"/>
                <w:color w:val="000000"/>
              </w:rPr>
              <w:t>,</w:t>
            </w:r>
            <w:r w:rsidRPr="00A81971">
              <w:rPr>
                <w:rFonts w:eastAsia="Times New Roman"/>
                <w:color w:val="000000"/>
              </w:rPr>
              <w:t>338</w:t>
            </w:r>
            <w:r w:rsidR="006264EA">
              <w:rPr>
                <w:rFonts w:eastAsia="Times New Roman"/>
                <w:color w:val="000000"/>
              </w:rPr>
              <w:t>,</w:t>
            </w:r>
            <w:r w:rsidRPr="00A81971">
              <w:rPr>
                <w:rFonts w:eastAsia="Times New Roman"/>
                <w:color w:val="000000"/>
              </w:rPr>
              <w:t xml:space="preserve">838 </w:t>
            </w:r>
          </w:p>
        </w:tc>
        <w:tc>
          <w:tcPr>
            <w:tcW w:w="2551" w:type="dxa"/>
            <w:tcBorders>
              <w:top w:val="nil"/>
              <w:left w:val="nil"/>
              <w:bottom w:val="single" w:sz="4" w:space="0" w:color="auto"/>
              <w:right w:val="single" w:sz="4" w:space="0" w:color="auto"/>
            </w:tcBorders>
            <w:noWrap/>
            <w:vAlign w:val="center"/>
            <w:hideMark/>
          </w:tcPr>
          <w:p w14:paraId="1ADDDEDB" w14:textId="63010FCC" w:rsidR="00DD1C7F" w:rsidRPr="00A81971" w:rsidRDefault="0032495C" w:rsidP="00A04930">
            <w:pPr>
              <w:spacing w:after="0"/>
              <w:jc w:val="right"/>
              <w:rPr>
                <w:rFonts w:eastAsia="Times New Roman"/>
                <w:color w:val="000000"/>
              </w:rPr>
            </w:pPr>
            <w:r w:rsidRPr="00A81971">
              <w:rPr>
                <w:rFonts w:eastAsia="Times New Roman"/>
                <w:color w:val="000000"/>
              </w:rPr>
              <w:t>556</w:t>
            </w:r>
            <w:r w:rsidR="006264EA">
              <w:rPr>
                <w:rFonts w:eastAsia="Times New Roman"/>
                <w:color w:val="000000"/>
              </w:rPr>
              <w:t>,</w:t>
            </w:r>
            <w:r w:rsidRPr="00A81971">
              <w:rPr>
                <w:rFonts w:eastAsia="Times New Roman"/>
                <w:color w:val="000000"/>
              </w:rPr>
              <w:t xml:space="preserve">473 </w:t>
            </w:r>
          </w:p>
        </w:tc>
      </w:tr>
      <w:tr w:rsidR="00F90461" w14:paraId="361EE72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2BC91F6" w14:textId="77777777" w:rsidR="00DD1C7F" w:rsidRPr="00A81971" w:rsidRDefault="0032495C">
            <w:pPr>
              <w:spacing w:after="0"/>
              <w:rPr>
                <w:rFonts w:eastAsia="Times New Roman"/>
                <w:color w:val="000000"/>
              </w:rPr>
            </w:pPr>
            <w:r w:rsidRPr="00A81971">
              <w:rPr>
                <w:rFonts w:eastAsia="Times New Roman"/>
                <w:color w:val="000000"/>
              </w:rPr>
              <w:t>Jordan</w:t>
            </w:r>
          </w:p>
        </w:tc>
        <w:tc>
          <w:tcPr>
            <w:tcW w:w="2651" w:type="dxa"/>
            <w:tcBorders>
              <w:top w:val="nil"/>
              <w:left w:val="nil"/>
              <w:bottom w:val="single" w:sz="4" w:space="0" w:color="auto"/>
              <w:right w:val="single" w:sz="4" w:space="0" w:color="auto"/>
            </w:tcBorders>
            <w:noWrap/>
            <w:vAlign w:val="center"/>
            <w:hideMark/>
          </w:tcPr>
          <w:p w14:paraId="573856B8" w14:textId="242D9A82"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718</w:t>
            </w:r>
            <w:r w:rsidR="006264EA">
              <w:rPr>
                <w:rFonts w:eastAsia="Times New Roman"/>
                <w:color w:val="000000"/>
              </w:rPr>
              <w:t>,</w:t>
            </w:r>
            <w:r w:rsidRPr="00A81971">
              <w:rPr>
                <w:rFonts w:eastAsia="Times New Roman"/>
                <w:color w:val="000000"/>
              </w:rPr>
              <w:t xml:space="preserve">528 </w:t>
            </w:r>
          </w:p>
        </w:tc>
        <w:tc>
          <w:tcPr>
            <w:tcW w:w="2551" w:type="dxa"/>
            <w:tcBorders>
              <w:top w:val="nil"/>
              <w:left w:val="nil"/>
              <w:bottom w:val="single" w:sz="4" w:space="0" w:color="auto"/>
              <w:right w:val="single" w:sz="4" w:space="0" w:color="auto"/>
            </w:tcBorders>
            <w:noWrap/>
            <w:vAlign w:val="center"/>
            <w:hideMark/>
          </w:tcPr>
          <w:p w14:paraId="2763AE35" w14:textId="048D2953" w:rsidR="00DD1C7F" w:rsidRPr="00A81971" w:rsidRDefault="0032495C" w:rsidP="00A04930">
            <w:pPr>
              <w:spacing w:after="0"/>
              <w:jc w:val="right"/>
              <w:rPr>
                <w:rFonts w:eastAsia="Times New Roman"/>
                <w:color w:val="000000"/>
              </w:rPr>
            </w:pPr>
            <w:r w:rsidRPr="00A81971">
              <w:rPr>
                <w:rFonts w:eastAsia="Times New Roman"/>
                <w:color w:val="000000"/>
              </w:rPr>
              <w:t>453</w:t>
            </w:r>
            <w:r w:rsidR="006264EA">
              <w:rPr>
                <w:rFonts w:eastAsia="Times New Roman"/>
                <w:color w:val="000000"/>
              </w:rPr>
              <w:t>,</w:t>
            </w:r>
            <w:r w:rsidRPr="00A81971">
              <w:rPr>
                <w:rFonts w:eastAsia="Times New Roman"/>
                <w:color w:val="000000"/>
              </w:rPr>
              <w:t xml:space="preserve">088 </w:t>
            </w:r>
          </w:p>
        </w:tc>
      </w:tr>
      <w:tr w:rsidR="00F90461" w14:paraId="42B1C5C5"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A973423" w14:textId="77777777" w:rsidR="00DD1C7F" w:rsidRPr="00A81971" w:rsidRDefault="0032495C">
            <w:pPr>
              <w:spacing w:after="0"/>
              <w:rPr>
                <w:rFonts w:eastAsia="Times New Roman"/>
                <w:color w:val="000000"/>
              </w:rPr>
            </w:pPr>
            <w:r w:rsidRPr="00A81971">
              <w:rPr>
                <w:rFonts w:eastAsia="Times New Roman"/>
                <w:color w:val="000000"/>
              </w:rPr>
              <w:t>Kyrgyzstan</w:t>
            </w:r>
          </w:p>
        </w:tc>
        <w:tc>
          <w:tcPr>
            <w:tcW w:w="2651" w:type="dxa"/>
            <w:tcBorders>
              <w:top w:val="nil"/>
              <w:left w:val="nil"/>
              <w:bottom w:val="single" w:sz="4" w:space="0" w:color="auto"/>
              <w:right w:val="single" w:sz="4" w:space="0" w:color="auto"/>
            </w:tcBorders>
            <w:noWrap/>
            <w:vAlign w:val="center"/>
            <w:hideMark/>
          </w:tcPr>
          <w:p w14:paraId="75B8028C" w14:textId="3676FC31" w:rsidR="00DD1C7F" w:rsidRPr="00A81971" w:rsidRDefault="0032495C" w:rsidP="00A04930">
            <w:pPr>
              <w:spacing w:after="0"/>
              <w:jc w:val="right"/>
              <w:rPr>
                <w:rFonts w:eastAsia="Times New Roman"/>
                <w:color w:val="000000"/>
              </w:rPr>
            </w:pPr>
            <w:r w:rsidRPr="00A81971">
              <w:rPr>
                <w:rFonts w:eastAsia="Times New Roman"/>
                <w:color w:val="000000"/>
              </w:rPr>
              <w:t>91</w:t>
            </w:r>
            <w:r w:rsidR="006264EA">
              <w:rPr>
                <w:rFonts w:eastAsia="Times New Roman"/>
                <w:color w:val="000000"/>
              </w:rPr>
              <w:t>,</w:t>
            </w:r>
            <w:r w:rsidRPr="00A81971">
              <w:rPr>
                <w:rFonts w:eastAsia="Times New Roman"/>
                <w:color w:val="000000"/>
              </w:rPr>
              <w:t xml:space="preserve">530 </w:t>
            </w:r>
          </w:p>
        </w:tc>
        <w:tc>
          <w:tcPr>
            <w:tcW w:w="2551" w:type="dxa"/>
            <w:tcBorders>
              <w:top w:val="nil"/>
              <w:left w:val="nil"/>
              <w:bottom w:val="single" w:sz="4" w:space="0" w:color="auto"/>
              <w:right w:val="single" w:sz="4" w:space="0" w:color="auto"/>
            </w:tcBorders>
            <w:noWrap/>
            <w:vAlign w:val="center"/>
            <w:hideMark/>
          </w:tcPr>
          <w:p w14:paraId="2F469AEA" w14:textId="0DB5AFA2"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255 </w:t>
            </w:r>
          </w:p>
        </w:tc>
      </w:tr>
      <w:tr w:rsidR="00F90461" w14:paraId="0981CD3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8FCEA56" w14:textId="77777777" w:rsidR="00DD1C7F" w:rsidRPr="00A81971" w:rsidRDefault="0032495C">
            <w:pPr>
              <w:spacing w:after="0"/>
              <w:rPr>
                <w:rFonts w:eastAsia="Times New Roman"/>
                <w:color w:val="000000"/>
              </w:rPr>
            </w:pPr>
            <w:r w:rsidRPr="00A81971">
              <w:rPr>
                <w:rFonts w:eastAsia="Times New Roman"/>
                <w:color w:val="000000"/>
              </w:rPr>
              <w:t>Lao People’s Democratic Republic</w:t>
            </w:r>
          </w:p>
        </w:tc>
        <w:tc>
          <w:tcPr>
            <w:tcW w:w="2651" w:type="dxa"/>
            <w:tcBorders>
              <w:top w:val="nil"/>
              <w:left w:val="nil"/>
              <w:bottom w:val="single" w:sz="4" w:space="0" w:color="auto"/>
              <w:right w:val="single" w:sz="4" w:space="0" w:color="auto"/>
            </w:tcBorders>
            <w:noWrap/>
            <w:vAlign w:val="center"/>
            <w:hideMark/>
          </w:tcPr>
          <w:p w14:paraId="59B6C1ED" w14:textId="0E1F8670" w:rsidR="00DD1C7F" w:rsidRPr="00A81971" w:rsidRDefault="0032495C" w:rsidP="00A04930">
            <w:pPr>
              <w:spacing w:after="0"/>
              <w:jc w:val="right"/>
              <w:rPr>
                <w:rFonts w:eastAsia="Times New Roman"/>
                <w:color w:val="000000"/>
              </w:rPr>
            </w:pPr>
            <w:r w:rsidRPr="00A81971">
              <w:rPr>
                <w:rFonts w:eastAsia="Times New Roman"/>
                <w:color w:val="000000"/>
              </w:rPr>
              <w:t>124</w:t>
            </w:r>
            <w:r w:rsidR="006264EA">
              <w:rPr>
                <w:rFonts w:eastAsia="Times New Roman"/>
                <w:color w:val="000000"/>
              </w:rPr>
              <w:t>,</w:t>
            </w:r>
            <w:r w:rsidRPr="00A81971">
              <w:rPr>
                <w:rFonts w:eastAsia="Times New Roman"/>
                <w:color w:val="000000"/>
              </w:rPr>
              <w:t xml:space="preserve">300 </w:t>
            </w:r>
          </w:p>
        </w:tc>
        <w:tc>
          <w:tcPr>
            <w:tcW w:w="2551" w:type="dxa"/>
            <w:tcBorders>
              <w:top w:val="nil"/>
              <w:left w:val="nil"/>
              <w:bottom w:val="single" w:sz="4" w:space="0" w:color="auto"/>
              <w:right w:val="single" w:sz="4" w:space="0" w:color="auto"/>
            </w:tcBorders>
            <w:noWrap/>
            <w:vAlign w:val="center"/>
            <w:hideMark/>
          </w:tcPr>
          <w:p w14:paraId="533A9563" w14:textId="6A752D15" w:rsidR="00DD1C7F" w:rsidRPr="00A81971" w:rsidRDefault="0032495C" w:rsidP="00A04930">
            <w:pPr>
              <w:spacing w:after="0"/>
              <w:jc w:val="right"/>
              <w:rPr>
                <w:rFonts w:eastAsia="Times New Roman"/>
                <w:color w:val="000000"/>
              </w:rPr>
            </w:pPr>
            <w:r w:rsidRPr="00A81971">
              <w:rPr>
                <w:rFonts w:eastAsia="Times New Roman"/>
                <w:color w:val="000000"/>
              </w:rPr>
              <w:t>20</w:t>
            </w:r>
            <w:r w:rsidR="006264EA">
              <w:rPr>
                <w:rFonts w:eastAsia="Times New Roman"/>
                <w:color w:val="000000"/>
              </w:rPr>
              <w:t>,</w:t>
            </w:r>
            <w:r w:rsidRPr="00A81971">
              <w:rPr>
                <w:rFonts w:eastAsia="Times New Roman"/>
                <w:color w:val="000000"/>
              </w:rPr>
              <w:t xml:space="preserve">717 </w:t>
            </w:r>
          </w:p>
        </w:tc>
      </w:tr>
      <w:tr w:rsidR="00F90461" w14:paraId="30EA472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3AA46B7" w14:textId="77777777" w:rsidR="00DD1C7F" w:rsidRPr="00A81971" w:rsidRDefault="0032495C">
            <w:pPr>
              <w:spacing w:after="0"/>
              <w:rPr>
                <w:rFonts w:eastAsia="Times New Roman"/>
                <w:color w:val="000000"/>
              </w:rPr>
            </w:pPr>
            <w:r w:rsidRPr="00A81971">
              <w:rPr>
                <w:rFonts w:eastAsia="Times New Roman"/>
                <w:color w:val="000000"/>
              </w:rPr>
              <w:t>Lebanon</w:t>
            </w:r>
          </w:p>
        </w:tc>
        <w:tc>
          <w:tcPr>
            <w:tcW w:w="2651" w:type="dxa"/>
            <w:tcBorders>
              <w:top w:val="nil"/>
              <w:left w:val="nil"/>
              <w:bottom w:val="single" w:sz="4" w:space="0" w:color="auto"/>
              <w:right w:val="single" w:sz="4" w:space="0" w:color="auto"/>
            </w:tcBorders>
            <w:noWrap/>
            <w:vAlign w:val="center"/>
            <w:hideMark/>
          </w:tcPr>
          <w:p w14:paraId="4667B9DD" w14:textId="0003CB97"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000</w:t>
            </w:r>
            <w:r w:rsidR="006264EA">
              <w:rPr>
                <w:rFonts w:eastAsia="Times New Roman"/>
                <w:color w:val="000000"/>
              </w:rPr>
              <w:t>,</w:t>
            </w:r>
            <w:r w:rsidRPr="00A81971">
              <w:rPr>
                <w:rFonts w:eastAsia="Times New Roman"/>
                <w:color w:val="000000"/>
              </w:rPr>
              <w:t xml:space="preserve">677 </w:t>
            </w:r>
          </w:p>
        </w:tc>
        <w:tc>
          <w:tcPr>
            <w:tcW w:w="2551" w:type="dxa"/>
            <w:tcBorders>
              <w:top w:val="nil"/>
              <w:left w:val="nil"/>
              <w:bottom w:val="single" w:sz="4" w:space="0" w:color="auto"/>
              <w:right w:val="single" w:sz="4" w:space="0" w:color="auto"/>
            </w:tcBorders>
            <w:noWrap/>
            <w:vAlign w:val="center"/>
            <w:hideMark/>
          </w:tcPr>
          <w:p w14:paraId="145235E5" w14:textId="2CA61654" w:rsidR="00DD1C7F" w:rsidRPr="00A81971" w:rsidRDefault="0032495C" w:rsidP="00A04930">
            <w:pPr>
              <w:spacing w:after="0"/>
              <w:jc w:val="right"/>
              <w:rPr>
                <w:rFonts w:eastAsia="Times New Roman"/>
                <w:color w:val="000000"/>
              </w:rPr>
            </w:pPr>
            <w:r w:rsidRPr="00A81971">
              <w:rPr>
                <w:rFonts w:eastAsia="Times New Roman"/>
                <w:color w:val="000000"/>
              </w:rPr>
              <w:t>333</w:t>
            </w:r>
            <w:r w:rsidR="006264EA">
              <w:rPr>
                <w:rFonts w:eastAsia="Times New Roman"/>
                <w:color w:val="000000"/>
              </w:rPr>
              <w:t>,</w:t>
            </w:r>
            <w:r w:rsidRPr="00A81971">
              <w:rPr>
                <w:rFonts w:eastAsia="Times New Roman"/>
                <w:color w:val="000000"/>
              </w:rPr>
              <w:t xml:space="preserve">446 </w:t>
            </w:r>
          </w:p>
        </w:tc>
      </w:tr>
      <w:tr w:rsidR="00F90461" w14:paraId="690FCFA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6B90035" w14:textId="77777777" w:rsidR="00DD1C7F" w:rsidRPr="00A81971" w:rsidRDefault="0032495C">
            <w:pPr>
              <w:spacing w:after="0"/>
              <w:rPr>
                <w:rFonts w:eastAsia="Times New Roman"/>
                <w:color w:val="000000"/>
              </w:rPr>
            </w:pPr>
            <w:r w:rsidRPr="00A81971">
              <w:rPr>
                <w:rFonts w:eastAsia="Times New Roman"/>
                <w:color w:val="000000"/>
              </w:rPr>
              <w:t>Lesotho</w:t>
            </w:r>
          </w:p>
        </w:tc>
        <w:tc>
          <w:tcPr>
            <w:tcW w:w="2651" w:type="dxa"/>
            <w:tcBorders>
              <w:top w:val="nil"/>
              <w:left w:val="nil"/>
              <w:bottom w:val="single" w:sz="4" w:space="0" w:color="auto"/>
              <w:right w:val="single" w:sz="4" w:space="0" w:color="auto"/>
            </w:tcBorders>
            <w:noWrap/>
            <w:vAlign w:val="center"/>
            <w:hideMark/>
          </w:tcPr>
          <w:p w14:paraId="2249C4F3" w14:textId="7AB37060" w:rsidR="00DD1C7F" w:rsidRPr="00A81971" w:rsidRDefault="0032495C" w:rsidP="00A04930">
            <w:pPr>
              <w:spacing w:after="0"/>
              <w:jc w:val="right"/>
              <w:rPr>
                <w:rFonts w:eastAsia="Times New Roman"/>
                <w:color w:val="000000"/>
              </w:rPr>
            </w:pPr>
            <w:r w:rsidRPr="00A81971">
              <w:rPr>
                <w:rFonts w:eastAsia="Times New Roman"/>
                <w:color w:val="000000"/>
              </w:rPr>
              <w:t>92</w:t>
            </w:r>
            <w:r w:rsidR="006264EA">
              <w:rPr>
                <w:rFonts w:eastAsia="Times New Roman"/>
                <w:color w:val="000000"/>
              </w:rPr>
              <w:t>,</w:t>
            </w:r>
            <w:r w:rsidRPr="00A81971">
              <w:rPr>
                <w:rFonts w:eastAsia="Times New Roman"/>
                <w:color w:val="000000"/>
              </w:rPr>
              <w:t xml:space="preserve">660 </w:t>
            </w:r>
          </w:p>
        </w:tc>
        <w:tc>
          <w:tcPr>
            <w:tcW w:w="2551" w:type="dxa"/>
            <w:tcBorders>
              <w:top w:val="nil"/>
              <w:left w:val="nil"/>
              <w:bottom w:val="single" w:sz="4" w:space="0" w:color="auto"/>
              <w:right w:val="single" w:sz="4" w:space="0" w:color="auto"/>
            </w:tcBorders>
            <w:noWrap/>
            <w:vAlign w:val="center"/>
            <w:hideMark/>
          </w:tcPr>
          <w:p w14:paraId="03157400" w14:textId="50EB1510"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443 </w:t>
            </w:r>
          </w:p>
        </w:tc>
      </w:tr>
      <w:tr w:rsidR="00F90461" w14:paraId="6F4ECD5B"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E9F4272" w14:textId="77777777" w:rsidR="00DD1C7F" w:rsidRPr="00A81971" w:rsidRDefault="0032495C">
            <w:pPr>
              <w:spacing w:after="0"/>
              <w:rPr>
                <w:rFonts w:eastAsia="Times New Roman"/>
                <w:color w:val="000000"/>
              </w:rPr>
            </w:pPr>
            <w:r w:rsidRPr="00A81971">
              <w:rPr>
                <w:rFonts w:eastAsia="Times New Roman"/>
                <w:color w:val="000000"/>
              </w:rPr>
              <w:t>Liberia</w:t>
            </w:r>
          </w:p>
        </w:tc>
        <w:tc>
          <w:tcPr>
            <w:tcW w:w="2651" w:type="dxa"/>
            <w:tcBorders>
              <w:top w:val="nil"/>
              <w:left w:val="nil"/>
              <w:bottom w:val="single" w:sz="4" w:space="0" w:color="auto"/>
              <w:right w:val="single" w:sz="4" w:space="0" w:color="auto"/>
            </w:tcBorders>
            <w:noWrap/>
            <w:vAlign w:val="center"/>
            <w:hideMark/>
          </w:tcPr>
          <w:p w14:paraId="5EC4E009" w14:textId="6593E48C" w:rsidR="00DD1C7F" w:rsidRPr="00A81971" w:rsidRDefault="0032495C" w:rsidP="00A04930">
            <w:pPr>
              <w:spacing w:after="0"/>
              <w:jc w:val="right"/>
              <w:rPr>
                <w:rFonts w:eastAsia="Times New Roman"/>
                <w:color w:val="000000"/>
              </w:rPr>
            </w:pPr>
            <w:r w:rsidRPr="00A81971">
              <w:rPr>
                <w:rFonts w:eastAsia="Times New Roman"/>
                <w:color w:val="000000"/>
              </w:rPr>
              <w:t>81</w:t>
            </w:r>
            <w:r w:rsidR="006264EA">
              <w:rPr>
                <w:rFonts w:eastAsia="Times New Roman"/>
                <w:color w:val="000000"/>
              </w:rPr>
              <w:t>,</w:t>
            </w:r>
            <w:r w:rsidRPr="00A81971">
              <w:rPr>
                <w:rFonts w:eastAsia="Times New Roman"/>
                <w:color w:val="000000"/>
              </w:rPr>
              <w:t xml:space="preserve">925 </w:t>
            </w:r>
          </w:p>
        </w:tc>
        <w:tc>
          <w:tcPr>
            <w:tcW w:w="2551" w:type="dxa"/>
            <w:tcBorders>
              <w:top w:val="nil"/>
              <w:left w:val="nil"/>
              <w:bottom w:val="single" w:sz="4" w:space="0" w:color="auto"/>
              <w:right w:val="single" w:sz="4" w:space="0" w:color="auto"/>
            </w:tcBorders>
            <w:noWrap/>
            <w:vAlign w:val="center"/>
            <w:hideMark/>
          </w:tcPr>
          <w:p w14:paraId="41D3A431" w14:textId="75B3B19D" w:rsidR="00DD1C7F" w:rsidRPr="00A81971" w:rsidRDefault="0032495C" w:rsidP="00A04930">
            <w:pPr>
              <w:spacing w:after="0"/>
              <w:jc w:val="right"/>
              <w:rPr>
                <w:rFonts w:eastAsia="Times New Roman"/>
                <w:color w:val="000000"/>
              </w:rPr>
            </w:pPr>
            <w:r w:rsidRPr="00A81971">
              <w:rPr>
                <w:rFonts w:eastAsia="Times New Roman"/>
                <w:color w:val="000000"/>
              </w:rPr>
              <w:t>13</w:t>
            </w:r>
            <w:r w:rsidR="006264EA">
              <w:rPr>
                <w:rFonts w:eastAsia="Times New Roman"/>
                <w:color w:val="000000"/>
              </w:rPr>
              <w:t>,</w:t>
            </w:r>
            <w:r w:rsidRPr="00A81971">
              <w:rPr>
                <w:rFonts w:eastAsia="Times New Roman"/>
                <w:color w:val="000000"/>
              </w:rPr>
              <w:t xml:space="preserve">654 </w:t>
            </w:r>
          </w:p>
        </w:tc>
      </w:tr>
      <w:tr w:rsidR="00F90461" w14:paraId="30A5B67D"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D2908EE" w14:textId="77777777" w:rsidR="00DD1C7F" w:rsidRPr="00A81971" w:rsidRDefault="0032495C">
            <w:pPr>
              <w:spacing w:after="0"/>
              <w:rPr>
                <w:rFonts w:eastAsia="Times New Roman"/>
                <w:color w:val="000000"/>
              </w:rPr>
            </w:pPr>
            <w:r w:rsidRPr="00A81971">
              <w:rPr>
                <w:rFonts w:eastAsia="Times New Roman"/>
                <w:color w:val="000000"/>
              </w:rPr>
              <w:lastRenderedPageBreak/>
              <w:t>Malawi</w:t>
            </w:r>
          </w:p>
        </w:tc>
        <w:tc>
          <w:tcPr>
            <w:tcW w:w="2651" w:type="dxa"/>
            <w:tcBorders>
              <w:top w:val="nil"/>
              <w:left w:val="nil"/>
              <w:bottom w:val="single" w:sz="4" w:space="0" w:color="auto"/>
              <w:right w:val="single" w:sz="4" w:space="0" w:color="auto"/>
            </w:tcBorders>
            <w:noWrap/>
            <w:vAlign w:val="center"/>
            <w:hideMark/>
          </w:tcPr>
          <w:p w14:paraId="6A486973" w14:textId="09B1BD50" w:rsidR="00DD1C7F" w:rsidRPr="00A81971" w:rsidRDefault="0032495C" w:rsidP="00A04930">
            <w:pPr>
              <w:spacing w:after="0"/>
              <w:jc w:val="right"/>
              <w:rPr>
                <w:rFonts w:eastAsia="Times New Roman"/>
                <w:color w:val="000000"/>
              </w:rPr>
            </w:pPr>
            <w:r w:rsidRPr="00A81971">
              <w:rPr>
                <w:rFonts w:eastAsia="Times New Roman"/>
                <w:color w:val="000000"/>
              </w:rPr>
              <w:t>76</w:t>
            </w:r>
            <w:r w:rsidR="006264EA">
              <w:rPr>
                <w:rFonts w:eastAsia="Times New Roman"/>
                <w:color w:val="000000"/>
              </w:rPr>
              <w:t>,</w:t>
            </w:r>
            <w:r w:rsidRPr="00A81971">
              <w:rPr>
                <w:rFonts w:eastAsia="Times New Roman"/>
                <w:color w:val="000000"/>
              </w:rPr>
              <w:t xml:space="preserve">840 </w:t>
            </w:r>
          </w:p>
        </w:tc>
        <w:tc>
          <w:tcPr>
            <w:tcW w:w="2551" w:type="dxa"/>
            <w:tcBorders>
              <w:top w:val="nil"/>
              <w:left w:val="nil"/>
              <w:bottom w:val="single" w:sz="4" w:space="0" w:color="auto"/>
              <w:right w:val="single" w:sz="4" w:space="0" w:color="auto"/>
            </w:tcBorders>
            <w:noWrap/>
            <w:vAlign w:val="center"/>
            <w:hideMark/>
          </w:tcPr>
          <w:p w14:paraId="77025C8E" w14:textId="02B8617C" w:rsidR="00DD1C7F" w:rsidRPr="00A81971" w:rsidRDefault="0032495C" w:rsidP="00A04930">
            <w:pPr>
              <w:spacing w:after="0"/>
              <w:jc w:val="right"/>
              <w:rPr>
                <w:rFonts w:eastAsia="Times New Roman"/>
                <w:color w:val="000000"/>
              </w:rPr>
            </w:pPr>
            <w:r w:rsidRPr="00A81971">
              <w:rPr>
                <w:rFonts w:eastAsia="Times New Roman"/>
                <w:color w:val="000000"/>
              </w:rPr>
              <w:t>12</w:t>
            </w:r>
            <w:r w:rsidR="006264EA">
              <w:rPr>
                <w:rFonts w:eastAsia="Times New Roman"/>
                <w:color w:val="000000"/>
              </w:rPr>
              <w:t>,</w:t>
            </w:r>
            <w:r w:rsidRPr="00A81971">
              <w:rPr>
                <w:rFonts w:eastAsia="Times New Roman"/>
                <w:color w:val="000000"/>
              </w:rPr>
              <w:t xml:space="preserve">807 </w:t>
            </w:r>
          </w:p>
        </w:tc>
      </w:tr>
      <w:tr w:rsidR="00F90461" w14:paraId="431CF62C"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60569979" w14:textId="77777777" w:rsidR="00DD1C7F" w:rsidRPr="00A81971" w:rsidRDefault="0032495C">
            <w:pPr>
              <w:spacing w:after="0"/>
              <w:rPr>
                <w:rFonts w:eastAsia="Times New Roman"/>
                <w:color w:val="000000"/>
              </w:rPr>
            </w:pPr>
            <w:r w:rsidRPr="00A81971">
              <w:rPr>
                <w:rFonts w:eastAsia="Times New Roman"/>
                <w:color w:val="000000"/>
              </w:rPr>
              <w:t>Malaysia</w:t>
            </w:r>
          </w:p>
        </w:tc>
        <w:tc>
          <w:tcPr>
            <w:tcW w:w="2651" w:type="dxa"/>
            <w:tcBorders>
              <w:top w:val="nil"/>
              <w:left w:val="nil"/>
              <w:bottom w:val="single" w:sz="4" w:space="0" w:color="auto"/>
              <w:right w:val="single" w:sz="4" w:space="0" w:color="auto"/>
            </w:tcBorders>
            <w:noWrap/>
            <w:vAlign w:val="center"/>
            <w:hideMark/>
          </w:tcPr>
          <w:p w14:paraId="754A9C68" w14:textId="3BCB94A3" w:rsidR="00DD1C7F" w:rsidRPr="00A81971" w:rsidRDefault="0032495C" w:rsidP="00A04930">
            <w:pPr>
              <w:spacing w:after="0"/>
              <w:jc w:val="right"/>
              <w:rPr>
                <w:rFonts w:eastAsia="Times New Roman"/>
                <w:color w:val="000000"/>
              </w:rPr>
            </w:pPr>
            <w:r w:rsidRPr="00A81971">
              <w:rPr>
                <w:rFonts w:eastAsia="Times New Roman"/>
                <w:color w:val="000000"/>
              </w:rPr>
              <w:t>6</w:t>
            </w:r>
            <w:r w:rsidR="006264EA">
              <w:rPr>
                <w:rFonts w:eastAsia="Times New Roman"/>
                <w:color w:val="000000"/>
              </w:rPr>
              <w:t>,</w:t>
            </w:r>
            <w:r w:rsidRPr="00A81971">
              <w:rPr>
                <w:rFonts w:eastAsia="Times New Roman"/>
                <w:color w:val="000000"/>
              </w:rPr>
              <w:t>729</w:t>
            </w:r>
            <w:r w:rsidR="006264EA">
              <w:rPr>
                <w:rFonts w:eastAsia="Times New Roman"/>
                <w:color w:val="000000"/>
              </w:rPr>
              <w:t>,</w:t>
            </w:r>
            <w:r w:rsidRPr="00A81971">
              <w:rPr>
                <w:rFonts w:eastAsia="Times New Roman"/>
                <w:color w:val="000000"/>
              </w:rPr>
              <w:t xml:space="preserve">446 </w:t>
            </w:r>
          </w:p>
        </w:tc>
        <w:tc>
          <w:tcPr>
            <w:tcW w:w="2551" w:type="dxa"/>
            <w:tcBorders>
              <w:top w:val="nil"/>
              <w:left w:val="nil"/>
              <w:bottom w:val="single" w:sz="4" w:space="0" w:color="auto"/>
              <w:right w:val="single" w:sz="4" w:space="0" w:color="auto"/>
            </w:tcBorders>
            <w:noWrap/>
            <w:vAlign w:val="center"/>
            <w:hideMark/>
          </w:tcPr>
          <w:p w14:paraId="4A5F3FBC" w14:textId="2D2793C6" w:rsidR="00DD1C7F" w:rsidRPr="00A81971" w:rsidRDefault="0032495C" w:rsidP="00A04930">
            <w:pPr>
              <w:spacing w:after="0"/>
              <w:jc w:val="right"/>
              <w:rPr>
                <w:rFonts w:eastAsia="Times New Roman"/>
                <w:color w:val="000000"/>
              </w:rPr>
            </w:pPr>
            <w:r w:rsidRPr="00A81971">
              <w:rPr>
                <w:rFonts w:eastAsia="Times New Roman"/>
                <w:color w:val="000000"/>
              </w:rPr>
              <w:t>1</w:t>
            </w:r>
            <w:r w:rsidR="006264EA">
              <w:rPr>
                <w:rFonts w:eastAsia="Times New Roman"/>
                <w:color w:val="000000"/>
              </w:rPr>
              <w:t>,</w:t>
            </w:r>
            <w:r w:rsidRPr="00A81971">
              <w:rPr>
                <w:rFonts w:eastAsia="Times New Roman"/>
                <w:color w:val="000000"/>
              </w:rPr>
              <w:t>121</w:t>
            </w:r>
            <w:r w:rsidR="006264EA">
              <w:rPr>
                <w:rFonts w:eastAsia="Times New Roman"/>
                <w:color w:val="000000"/>
              </w:rPr>
              <w:t>,</w:t>
            </w:r>
            <w:r w:rsidRPr="00A81971">
              <w:rPr>
                <w:rFonts w:eastAsia="Times New Roman"/>
                <w:color w:val="000000"/>
              </w:rPr>
              <w:t xml:space="preserve">574 </w:t>
            </w:r>
          </w:p>
        </w:tc>
      </w:tr>
      <w:tr w:rsidR="00F90461" w14:paraId="0BEE1BA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91CDEE2" w14:textId="77777777" w:rsidR="00DD1C7F" w:rsidRPr="00A81971" w:rsidRDefault="0032495C">
            <w:pPr>
              <w:spacing w:after="0"/>
              <w:rPr>
                <w:rFonts w:eastAsia="Times New Roman"/>
                <w:color w:val="000000"/>
              </w:rPr>
            </w:pPr>
            <w:r w:rsidRPr="00A81971">
              <w:rPr>
                <w:rFonts w:eastAsia="Times New Roman"/>
                <w:color w:val="000000"/>
              </w:rPr>
              <w:t>Mauritius</w:t>
            </w:r>
          </w:p>
        </w:tc>
        <w:tc>
          <w:tcPr>
            <w:tcW w:w="2651" w:type="dxa"/>
            <w:tcBorders>
              <w:top w:val="nil"/>
              <w:left w:val="nil"/>
              <w:bottom w:val="single" w:sz="4" w:space="0" w:color="auto"/>
              <w:right w:val="single" w:sz="4" w:space="0" w:color="auto"/>
            </w:tcBorders>
            <w:noWrap/>
            <w:vAlign w:val="center"/>
            <w:hideMark/>
          </w:tcPr>
          <w:p w14:paraId="739F6954" w14:textId="625CE247" w:rsidR="00DD1C7F" w:rsidRPr="00A81971" w:rsidRDefault="0032495C" w:rsidP="00A04930">
            <w:pPr>
              <w:spacing w:after="0"/>
              <w:jc w:val="right"/>
              <w:rPr>
                <w:rFonts w:eastAsia="Times New Roman"/>
                <w:color w:val="000000"/>
              </w:rPr>
            </w:pPr>
            <w:r w:rsidRPr="00A81971">
              <w:rPr>
                <w:rFonts w:eastAsia="Times New Roman"/>
                <w:color w:val="000000"/>
              </w:rPr>
              <w:t>116</w:t>
            </w:r>
            <w:r w:rsidR="006264EA">
              <w:rPr>
                <w:rFonts w:eastAsia="Times New Roman"/>
                <w:color w:val="000000"/>
              </w:rPr>
              <w:t>,</w:t>
            </w:r>
            <w:r w:rsidRPr="00A81971">
              <w:rPr>
                <w:rFonts w:eastAsia="Times New Roman"/>
                <w:color w:val="000000"/>
              </w:rPr>
              <w:t xml:space="preserve">390 </w:t>
            </w:r>
          </w:p>
        </w:tc>
        <w:tc>
          <w:tcPr>
            <w:tcW w:w="2551" w:type="dxa"/>
            <w:tcBorders>
              <w:top w:val="nil"/>
              <w:left w:val="nil"/>
              <w:bottom w:val="single" w:sz="4" w:space="0" w:color="auto"/>
              <w:right w:val="single" w:sz="4" w:space="0" w:color="auto"/>
            </w:tcBorders>
            <w:noWrap/>
            <w:vAlign w:val="center"/>
            <w:hideMark/>
          </w:tcPr>
          <w:p w14:paraId="4598A491" w14:textId="2061A559" w:rsidR="00DD1C7F" w:rsidRPr="00A81971" w:rsidRDefault="0032495C" w:rsidP="00A04930">
            <w:pPr>
              <w:spacing w:after="0"/>
              <w:jc w:val="right"/>
              <w:rPr>
                <w:rFonts w:eastAsia="Times New Roman"/>
                <w:color w:val="000000"/>
              </w:rPr>
            </w:pPr>
            <w:r w:rsidRPr="00A81971">
              <w:rPr>
                <w:rFonts w:eastAsia="Times New Roman"/>
                <w:color w:val="000000"/>
              </w:rPr>
              <w:t>19</w:t>
            </w:r>
            <w:r w:rsidR="006264EA">
              <w:rPr>
                <w:rFonts w:eastAsia="Times New Roman"/>
                <w:color w:val="000000"/>
              </w:rPr>
              <w:t>,</w:t>
            </w:r>
            <w:r w:rsidRPr="00A81971">
              <w:rPr>
                <w:rFonts w:eastAsia="Times New Roman"/>
                <w:color w:val="000000"/>
              </w:rPr>
              <w:t xml:space="preserve">398 </w:t>
            </w:r>
          </w:p>
        </w:tc>
      </w:tr>
      <w:tr w:rsidR="00F90461" w14:paraId="6E7FCAF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8A6B7DE" w14:textId="77777777" w:rsidR="00DD1C7F" w:rsidRPr="00A81971" w:rsidRDefault="0032495C">
            <w:pPr>
              <w:spacing w:after="0"/>
              <w:rPr>
                <w:rFonts w:eastAsia="Times New Roman"/>
                <w:color w:val="000000"/>
              </w:rPr>
            </w:pPr>
            <w:r w:rsidRPr="00A81971">
              <w:rPr>
                <w:rFonts w:eastAsia="Times New Roman"/>
                <w:color w:val="000000"/>
              </w:rPr>
              <w:t>Mexico</w:t>
            </w:r>
          </w:p>
        </w:tc>
        <w:tc>
          <w:tcPr>
            <w:tcW w:w="2651" w:type="dxa"/>
            <w:tcBorders>
              <w:top w:val="nil"/>
              <w:left w:val="nil"/>
              <w:bottom w:val="single" w:sz="4" w:space="0" w:color="auto"/>
              <w:right w:val="single" w:sz="4" w:space="0" w:color="auto"/>
            </w:tcBorders>
            <w:noWrap/>
            <w:vAlign w:val="center"/>
            <w:hideMark/>
          </w:tcPr>
          <w:p w14:paraId="3EE8AB52" w14:textId="6F9AE70F" w:rsidR="00DD1C7F" w:rsidRPr="00A81971" w:rsidRDefault="0032495C" w:rsidP="00A04930">
            <w:pPr>
              <w:spacing w:after="0"/>
              <w:jc w:val="right"/>
              <w:rPr>
                <w:rFonts w:eastAsia="Times New Roman"/>
                <w:color w:val="000000"/>
              </w:rPr>
            </w:pPr>
            <w:r w:rsidRPr="00A81971">
              <w:rPr>
                <w:rFonts w:eastAsia="Times New Roman"/>
                <w:color w:val="000000"/>
              </w:rPr>
              <w:t>13</w:t>
            </w:r>
            <w:r w:rsidR="006264EA">
              <w:rPr>
                <w:rFonts w:eastAsia="Times New Roman"/>
                <w:color w:val="000000"/>
              </w:rPr>
              <w:t>,</w:t>
            </w:r>
            <w:r w:rsidRPr="00A81971">
              <w:rPr>
                <w:rFonts w:eastAsia="Times New Roman"/>
                <w:color w:val="000000"/>
              </w:rPr>
              <w:t>739</w:t>
            </w:r>
            <w:r w:rsidR="006264EA">
              <w:rPr>
                <w:rFonts w:eastAsia="Times New Roman"/>
                <w:color w:val="000000"/>
              </w:rPr>
              <w:t>,</w:t>
            </w:r>
            <w:r w:rsidRPr="00A81971">
              <w:rPr>
                <w:rFonts w:eastAsia="Times New Roman"/>
                <w:color w:val="000000"/>
              </w:rPr>
              <w:t xml:space="preserve">356 </w:t>
            </w:r>
          </w:p>
        </w:tc>
        <w:tc>
          <w:tcPr>
            <w:tcW w:w="2551" w:type="dxa"/>
            <w:tcBorders>
              <w:top w:val="nil"/>
              <w:left w:val="nil"/>
              <w:bottom w:val="single" w:sz="4" w:space="0" w:color="auto"/>
              <w:right w:val="single" w:sz="4" w:space="0" w:color="auto"/>
            </w:tcBorders>
            <w:noWrap/>
            <w:vAlign w:val="center"/>
            <w:hideMark/>
          </w:tcPr>
          <w:p w14:paraId="7F01434D" w14:textId="063D3C90"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289</w:t>
            </w:r>
            <w:r w:rsidR="006264EA">
              <w:rPr>
                <w:rFonts w:eastAsia="Times New Roman"/>
                <w:color w:val="000000"/>
              </w:rPr>
              <w:t>,</w:t>
            </w:r>
            <w:r w:rsidRPr="00A81971">
              <w:rPr>
                <w:rFonts w:eastAsia="Times New Roman"/>
                <w:color w:val="000000"/>
              </w:rPr>
              <w:t xml:space="preserve">893 </w:t>
            </w:r>
          </w:p>
        </w:tc>
      </w:tr>
      <w:tr w:rsidR="00F90461" w14:paraId="060DF450"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79B7360" w14:textId="77777777" w:rsidR="00DD1C7F" w:rsidRPr="00A81971" w:rsidRDefault="0032495C">
            <w:pPr>
              <w:spacing w:after="0"/>
              <w:rPr>
                <w:rFonts w:eastAsia="Times New Roman"/>
                <w:color w:val="000000"/>
              </w:rPr>
            </w:pPr>
            <w:r w:rsidRPr="00A81971">
              <w:rPr>
                <w:rFonts w:eastAsia="Times New Roman"/>
                <w:color w:val="000000"/>
              </w:rPr>
              <w:t>Mongolia</w:t>
            </w:r>
          </w:p>
        </w:tc>
        <w:tc>
          <w:tcPr>
            <w:tcW w:w="2651" w:type="dxa"/>
            <w:tcBorders>
              <w:top w:val="nil"/>
              <w:left w:val="nil"/>
              <w:bottom w:val="single" w:sz="4" w:space="0" w:color="auto"/>
              <w:right w:val="single" w:sz="4" w:space="0" w:color="auto"/>
            </w:tcBorders>
            <w:noWrap/>
            <w:vAlign w:val="center"/>
            <w:hideMark/>
          </w:tcPr>
          <w:p w14:paraId="61A60283" w14:textId="764901BA" w:rsidR="00DD1C7F" w:rsidRPr="00A81971" w:rsidRDefault="0032495C" w:rsidP="00A04930">
            <w:pPr>
              <w:spacing w:after="0"/>
              <w:jc w:val="right"/>
              <w:rPr>
                <w:rFonts w:eastAsia="Times New Roman"/>
                <w:color w:val="000000"/>
              </w:rPr>
            </w:pPr>
            <w:r w:rsidRPr="00A81971">
              <w:rPr>
                <w:rFonts w:eastAsia="Times New Roman"/>
                <w:color w:val="000000"/>
              </w:rPr>
              <w:t>91</w:t>
            </w:r>
            <w:r w:rsidR="006264EA">
              <w:rPr>
                <w:rFonts w:eastAsia="Times New Roman"/>
                <w:color w:val="000000"/>
              </w:rPr>
              <w:t>,</w:t>
            </w:r>
            <w:r w:rsidRPr="00A81971">
              <w:rPr>
                <w:rFonts w:eastAsia="Times New Roman"/>
                <w:color w:val="000000"/>
              </w:rPr>
              <w:t xml:space="preserve">530 </w:t>
            </w:r>
          </w:p>
        </w:tc>
        <w:tc>
          <w:tcPr>
            <w:tcW w:w="2551" w:type="dxa"/>
            <w:tcBorders>
              <w:top w:val="nil"/>
              <w:left w:val="nil"/>
              <w:bottom w:val="single" w:sz="4" w:space="0" w:color="auto"/>
              <w:right w:val="single" w:sz="4" w:space="0" w:color="auto"/>
            </w:tcBorders>
            <w:noWrap/>
            <w:vAlign w:val="center"/>
            <w:hideMark/>
          </w:tcPr>
          <w:p w14:paraId="38BB5739" w14:textId="69D43D38"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255 </w:t>
            </w:r>
          </w:p>
        </w:tc>
      </w:tr>
      <w:tr w:rsidR="00F90461" w14:paraId="28D512A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606242EE" w14:textId="77777777" w:rsidR="00DD1C7F" w:rsidRPr="00A81971" w:rsidRDefault="0032495C">
            <w:pPr>
              <w:spacing w:after="0"/>
              <w:rPr>
                <w:rFonts w:eastAsia="Times New Roman"/>
                <w:color w:val="000000"/>
              </w:rPr>
            </w:pPr>
            <w:r w:rsidRPr="00A81971">
              <w:rPr>
                <w:rFonts w:eastAsia="Times New Roman"/>
                <w:color w:val="000000"/>
              </w:rPr>
              <w:t>Montenegro</w:t>
            </w:r>
          </w:p>
        </w:tc>
        <w:tc>
          <w:tcPr>
            <w:tcW w:w="2651" w:type="dxa"/>
            <w:tcBorders>
              <w:top w:val="nil"/>
              <w:left w:val="nil"/>
              <w:bottom w:val="single" w:sz="4" w:space="0" w:color="auto"/>
              <w:right w:val="single" w:sz="4" w:space="0" w:color="auto"/>
            </w:tcBorders>
            <w:noWrap/>
            <w:vAlign w:val="center"/>
            <w:hideMark/>
          </w:tcPr>
          <w:p w14:paraId="34AE8232" w14:textId="0E3D88E7" w:rsidR="00DD1C7F" w:rsidRPr="00A81971" w:rsidRDefault="0032495C" w:rsidP="00A04930">
            <w:pPr>
              <w:spacing w:after="0"/>
              <w:jc w:val="right"/>
              <w:rPr>
                <w:rFonts w:eastAsia="Times New Roman"/>
                <w:color w:val="000000"/>
              </w:rPr>
            </w:pPr>
            <w:r w:rsidRPr="00A81971">
              <w:rPr>
                <w:rFonts w:eastAsia="Times New Roman"/>
                <w:color w:val="000000"/>
              </w:rPr>
              <w:t>130</w:t>
            </w:r>
            <w:r w:rsidR="006264EA">
              <w:rPr>
                <w:rFonts w:eastAsia="Times New Roman"/>
                <w:color w:val="000000"/>
              </w:rPr>
              <w:t>,</w:t>
            </w:r>
            <w:r w:rsidRPr="00A81971">
              <w:rPr>
                <w:rFonts w:eastAsia="Times New Roman"/>
                <w:color w:val="000000"/>
              </w:rPr>
              <w:t xml:space="preserve">006 </w:t>
            </w:r>
          </w:p>
        </w:tc>
        <w:tc>
          <w:tcPr>
            <w:tcW w:w="2551" w:type="dxa"/>
            <w:tcBorders>
              <w:top w:val="nil"/>
              <w:left w:val="nil"/>
              <w:bottom w:val="single" w:sz="4" w:space="0" w:color="auto"/>
              <w:right w:val="single" w:sz="4" w:space="0" w:color="auto"/>
            </w:tcBorders>
            <w:noWrap/>
            <w:vAlign w:val="center"/>
            <w:hideMark/>
          </w:tcPr>
          <w:p w14:paraId="25C59AEC" w14:textId="69B9CD8C" w:rsidR="00DD1C7F" w:rsidRPr="00A81971" w:rsidRDefault="0032495C" w:rsidP="00A04930">
            <w:pPr>
              <w:spacing w:after="0"/>
              <w:jc w:val="right"/>
              <w:rPr>
                <w:rFonts w:eastAsia="Times New Roman"/>
                <w:color w:val="000000"/>
              </w:rPr>
            </w:pPr>
            <w:r w:rsidRPr="00A81971">
              <w:rPr>
                <w:rFonts w:eastAsia="Times New Roman"/>
                <w:color w:val="000000"/>
              </w:rPr>
              <w:t>21</w:t>
            </w:r>
            <w:r w:rsidR="006264EA">
              <w:rPr>
                <w:rFonts w:eastAsia="Times New Roman"/>
                <w:color w:val="000000"/>
              </w:rPr>
              <w:t>,</w:t>
            </w:r>
            <w:r w:rsidRPr="00A81971">
              <w:rPr>
                <w:rFonts w:eastAsia="Times New Roman"/>
                <w:color w:val="000000"/>
              </w:rPr>
              <w:t xml:space="preserve">668 </w:t>
            </w:r>
          </w:p>
        </w:tc>
      </w:tr>
      <w:tr w:rsidR="00F90461" w14:paraId="11B3F5CD"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13925A7" w14:textId="77777777" w:rsidR="00DD1C7F" w:rsidRPr="00A81971" w:rsidRDefault="0032495C">
            <w:pPr>
              <w:spacing w:after="0"/>
              <w:rPr>
                <w:rFonts w:eastAsia="Times New Roman"/>
                <w:color w:val="000000"/>
              </w:rPr>
            </w:pPr>
            <w:r w:rsidRPr="00A81971">
              <w:rPr>
                <w:rFonts w:eastAsia="Times New Roman"/>
                <w:color w:val="000000"/>
              </w:rPr>
              <w:t>Morocco</w:t>
            </w:r>
          </w:p>
        </w:tc>
        <w:tc>
          <w:tcPr>
            <w:tcW w:w="2651" w:type="dxa"/>
            <w:tcBorders>
              <w:top w:val="nil"/>
              <w:left w:val="nil"/>
              <w:bottom w:val="single" w:sz="4" w:space="0" w:color="auto"/>
              <w:right w:val="single" w:sz="4" w:space="0" w:color="auto"/>
            </w:tcBorders>
            <w:noWrap/>
            <w:vAlign w:val="center"/>
            <w:hideMark/>
          </w:tcPr>
          <w:p w14:paraId="586625BF" w14:textId="180F6694" w:rsidR="00DD1C7F" w:rsidRPr="00A81971" w:rsidRDefault="0032495C" w:rsidP="00A04930">
            <w:pPr>
              <w:spacing w:after="0"/>
              <w:jc w:val="right"/>
              <w:rPr>
                <w:rFonts w:eastAsia="Times New Roman"/>
                <w:color w:val="000000"/>
              </w:rPr>
            </w:pPr>
            <w:r w:rsidRPr="00A81971">
              <w:rPr>
                <w:rFonts w:eastAsia="Times New Roman"/>
                <w:color w:val="000000"/>
              </w:rPr>
              <w:t>952</w:t>
            </w:r>
            <w:r w:rsidR="006264EA">
              <w:rPr>
                <w:rFonts w:eastAsia="Times New Roman"/>
                <w:color w:val="000000"/>
              </w:rPr>
              <w:t>,</w:t>
            </w:r>
            <w:r w:rsidRPr="00A81971">
              <w:rPr>
                <w:rFonts w:eastAsia="Times New Roman"/>
                <w:color w:val="000000"/>
              </w:rPr>
              <w:t xml:space="preserve">658 </w:t>
            </w:r>
          </w:p>
        </w:tc>
        <w:tc>
          <w:tcPr>
            <w:tcW w:w="2551" w:type="dxa"/>
            <w:tcBorders>
              <w:top w:val="nil"/>
              <w:left w:val="nil"/>
              <w:bottom w:val="single" w:sz="4" w:space="0" w:color="auto"/>
              <w:right w:val="single" w:sz="4" w:space="0" w:color="auto"/>
            </w:tcBorders>
            <w:noWrap/>
            <w:vAlign w:val="center"/>
            <w:hideMark/>
          </w:tcPr>
          <w:p w14:paraId="61C3056C" w14:textId="21DEF2C4" w:rsidR="00DD1C7F" w:rsidRPr="00A81971" w:rsidRDefault="0032495C" w:rsidP="00A04930">
            <w:pPr>
              <w:spacing w:after="0"/>
              <w:jc w:val="right"/>
              <w:rPr>
                <w:rFonts w:eastAsia="Times New Roman"/>
                <w:color w:val="000000"/>
              </w:rPr>
            </w:pPr>
            <w:r w:rsidRPr="00A81971">
              <w:rPr>
                <w:rFonts w:eastAsia="Times New Roman"/>
                <w:color w:val="000000"/>
              </w:rPr>
              <w:t>158</w:t>
            </w:r>
            <w:r w:rsidR="006264EA">
              <w:rPr>
                <w:rFonts w:eastAsia="Times New Roman"/>
                <w:color w:val="000000"/>
              </w:rPr>
              <w:t>,</w:t>
            </w:r>
            <w:r w:rsidRPr="00A81971">
              <w:rPr>
                <w:rFonts w:eastAsia="Times New Roman"/>
                <w:color w:val="000000"/>
              </w:rPr>
              <w:t xml:space="preserve">776 </w:t>
            </w:r>
          </w:p>
        </w:tc>
      </w:tr>
      <w:tr w:rsidR="00F90461" w14:paraId="193E43E4"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FE96CB9" w14:textId="77777777" w:rsidR="00DD1C7F" w:rsidRPr="00A81971" w:rsidRDefault="0032495C">
            <w:pPr>
              <w:spacing w:after="0"/>
              <w:rPr>
                <w:rFonts w:eastAsia="Times New Roman"/>
                <w:color w:val="000000"/>
              </w:rPr>
            </w:pPr>
            <w:r w:rsidRPr="00A81971">
              <w:rPr>
                <w:rFonts w:eastAsia="Times New Roman"/>
                <w:color w:val="000000"/>
              </w:rPr>
              <w:t>Mozambique</w:t>
            </w:r>
          </w:p>
        </w:tc>
        <w:tc>
          <w:tcPr>
            <w:tcW w:w="2651" w:type="dxa"/>
            <w:tcBorders>
              <w:top w:val="nil"/>
              <w:left w:val="nil"/>
              <w:bottom w:val="single" w:sz="4" w:space="0" w:color="auto"/>
              <w:right w:val="single" w:sz="4" w:space="0" w:color="auto"/>
            </w:tcBorders>
            <w:noWrap/>
            <w:vAlign w:val="center"/>
            <w:hideMark/>
          </w:tcPr>
          <w:p w14:paraId="78FCD856" w14:textId="0114091F" w:rsidR="00DD1C7F" w:rsidRPr="00A81971" w:rsidRDefault="0032495C" w:rsidP="00A04930">
            <w:pPr>
              <w:spacing w:after="0"/>
              <w:jc w:val="right"/>
              <w:rPr>
                <w:rFonts w:eastAsia="Times New Roman"/>
                <w:color w:val="000000"/>
              </w:rPr>
            </w:pPr>
            <w:r w:rsidRPr="00A81971">
              <w:rPr>
                <w:rFonts w:eastAsia="Times New Roman"/>
                <w:color w:val="000000"/>
              </w:rPr>
              <w:t>191</w:t>
            </w:r>
            <w:r w:rsidR="006264EA">
              <w:rPr>
                <w:rFonts w:eastAsia="Times New Roman"/>
                <w:color w:val="000000"/>
              </w:rPr>
              <w:t>,</w:t>
            </w:r>
            <w:r w:rsidRPr="00A81971">
              <w:rPr>
                <w:rFonts w:eastAsia="Times New Roman"/>
                <w:color w:val="000000"/>
              </w:rPr>
              <w:t xml:space="preserve">535 </w:t>
            </w:r>
          </w:p>
        </w:tc>
        <w:tc>
          <w:tcPr>
            <w:tcW w:w="2551" w:type="dxa"/>
            <w:tcBorders>
              <w:top w:val="nil"/>
              <w:left w:val="nil"/>
              <w:bottom w:val="single" w:sz="4" w:space="0" w:color="auto"/>
              <w:right w:val="single" w:sz="4" w:space="0" w:color="auto"/>
            </w:tcBorders>
            <w:noWrap/>
            <w:vAlign w:val="center"/>
            <w:hideMark/>
          </w:tcPr>
          <w:p w14:paraId="170440FF" w14:textId="78AE9B69" w:rsidR="00DD1C7F" w:rsidRPr="00A81971" w:rsidRDefault="0032495C" w:rsidP="00A04930">
            <w:pPr>
              <w:spacing w:after="0"/>
              <w:jc w:val="right"/>
              <w:rPr>
                <w:rFonts w:eastAsia="Times New Roman"/>
                <w:color w:val="000000"/>
              </w:rPr>
            </w:pPr>
            <w:r w:rsidRPr="00A81971">
              <w:rPr>
                <w:rFonts w:eastAsia="Times New Roman"/>
                <w:color w:val="000000"/>
              </w:rPr>
              <w:t>31</w:t>
            </w:r>
            <w:r w:rsidR="006264EA">
              <w:rPr>
                <w:rFonts w:eastAsia="Times New Roman"/>
                <w:color w:val="000000"/>
              </w:rPr>
              <w:t>,</w:t>
            </w:r>
            <w:r w:rsidRPr="00A81971">
              <w:rPr>
                <w:rFonts w:eastAsia="Times New Roman"/>
                <w:color w:val="000000"/>
              </w:rPr>
              <w:t xml:space="preserve">923 </w:t>
            </w:r>
          </w:p>
        </w:tc>
      </w:tr>
      <w:tr w:rsidR="00F90461" w14:paraId="3147C24F"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4BF3FB9" w14:textId="77777777" w:rsidR="00DD1C7F" w:rsidRPr="00A81971" w:rsidRDefault="0032495C">
            <w:pPr>
              <w:spacing w:after="0"/>
              <w:rPr>
                <w:rFonts w:eastAsia="Times New Roman"/>
                <w:color w:val="000000"/>
              </w:rPr>
            </w:pPr>
            <w:r w:rsidRPr="00A81971">
              <w:rPr>
                <w:rFonts w:eastAsia="Times New Roman"/>
                <w:color w:val="000000"/>
              </w:rPr>
              <w:t>Nicaragua</w:t>
            </w:r>
          </w:p>
        </w:tc>
        <w:tc>
          <w:tcPr>
            <w:tcW w:w="2651" w:type="dxa"/>
            <w:tcBorders>
              <w:top w:val="nil"/>
              <w:left w:val="nil"/>
              <w:bottom w:val="single" w:sz="4" w:space="0" w:color="auto"/>
              <w:right w:val="single" w:sz="4" w:space="0" w:color="auto"/>
            </w:tcBorders>
            <w:noWrap/>
            <w:vAlign w:val="center"/>
            <w:hideMark/>
          </w:tcPr>
          <w:p w14:paraId="37FC5108" w14:textId="5D8D1157" w:rsidR="00DD1C7F" w:rsidRPr="00A81971" w:rsidRDefault="0032495C" w:rsidP="00A04930">
            <w:pPr>
              <w:spacing w:after="0"/>
              <w:jc w:val="right"/>
              <w:rPr>
                <w:rFonts w:eastAsia="Times New Roman"/>
                <w:color w:val="000000"/>
              </w:rPr>
            </w:pPr>
            <w:r w:rsidRPr="00A81971">
              <w:rPr>
                <w:rFonts w:eastAsia="Times New Roman"/>
                <w:color w:val="000000"/>
              </w:rPr>
              <w:t>224</w:t>
            </w:r>
            <w:r w:rsidR="006264EA">
              <w:rPr>
                <w:rFonts w:eastAsia="Times New Roman"/>
                <w:color w:val="000000"/>
              </w:rPr>
              <w:t>,</w:t>
            </w:r>
            <w:r w:rsidRPr="00A81971">
              <w:rPr>
                <w:rFonts w:eastAsia="Times New Roman"/>
                <w:color w:val="000000"/>
              </w:rPr>
              <w:t xml:space="preserve">870 </w:t>
            </w:r>
          </w:p>
        </w:tc>
        <w:tc>
          <w:tcPr>
            <w:tcW w:w="2551" w:type="dxa"/>
            <w:tcBorders>
              <w:top w:val="nil"/>
              <w:left w:val="nil"/>
              <w:bottom w:val="single" w:sz="4" w:space="0" w:color="auto"/>
              <w:right w:val="single" w:sz="4" w:space="0" w:color="auto"/>
            </w:tcBorders>
            <w:noWrap/>
            <w:vAlign w:val="center"/>
            <w:hideMark/>
          </w:tcPr>
          <w:p w14:paraId="65BD7BEB" w14:textId="07DF2847" w:rsidR="00DD1C7F" w:rsidRPr="00A81971" w:rsidRDefault="0032495C" w:rsidP="00A04930">
            <w:pPr>
              <w:spacing w:after="0"/>
              <w:jc w:val="right"/>
              <w:rPr>
                <w:rFonts w:eastAsia="Times New Roman"/>
                <w:color w:val="000000"/>
              </w:rPr>
            </w:pPr>
            <w:r w:rsidRPr="00A81971">
              <w:rPr>
                <w:rFonts w:eastAsia="Times New Roman"/>
                <w:color w:val="000000"/>
              </w:rPr>
              <w:t>37</w:t>
            </w:r>
            <w:r w:rsidR="006264EA">
              <w:rPr>
                <w:rFonts w:eastAsia="Times New Roman"/>
                <w:color w:val="000000"/>
              </w:rPr>
              <w:t>,</w:t>
            </w:r>
            <w:r w:rsidRPr="00A81971">
              <w:rPr>
                <w:rFonts w:eastAsia="Times New Roman"/>
                <w:color w:val="000000"/>
              </w:rPr>
              <w:t xml:space="preserve">478 </w:t>
            </w:r>
          </w:p>
        </w:tc>
      </w:tr>
      <w:tr w:rsidR="00F90461" w14:paraId="2595831E"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8F625AB" w14:textId="77777777" w:rsidR="00DD1C7F" w:rsidRPr="00A81971" w:rsidRDefault="0032495C">
            <w:pPr>
              <w:spacing w:after="0"/>
              <w:rPr>
                <w:rFonts w:eastAsia="Times New Roman"/>
                <w:color w:val="000000"/>
              </w:rPr>
            </w:pPr>
            <w:r w:rsidRPr="00A81971">
              <w:rPr>
                <w:rFonts w:eastAsia="Times New Roman"/>
                <w:color w:val="000000"/>
              </w:rPr>
              <w:t>Niger</w:t>
            </w:r>
          </w:p>
        </w:tc>
        <w:tc>
          <w:tcPr>
            <w:tcW w:w="2651" w:type="dxa"/>
            <w:tcBorders>
              <w:top w:val="nil"/>
              <w:left w:val="nil"/>
              <w:bottom w:val="single" w:sz="4" w:space="0" w:color="auto"/>
              <w:right w:val="single" w:sz="4" w:space="0" w:color="auto"/>
            </w:tcBorders>
            <w:noWrap/>
            <w:vAlign w:val="center"/>
            <w:hideMark/>
          </w:tcPr>
          <w:p w14:paraId="060FEA37" w14:textId="1718CDF7" w:rsidR="00DD1C7F" w:rsidRPr="00A81971" w:rsidRDefault="0032495C" w:rsidP="00A04930">
            <w:pPr>
              <w:spacing w:after="0"/>
              <w:jc w:val="right"/>
              <w:rPr>
                <w:rFonts w:eastAsia="Times New Roman"/>
                <w:color w:val="000000"/>
              </w:rPr>
            </w:pPr>
            <w:r w:rsidRPr="00A81971">
              <w:rPr>
                <w:rFonts w:eastAsia="Times New Roman"/>
                <w:color w:val="000000"/>
              </w:rPr>
              <w:t>315</w:t>
            </w:r>
            <w:r w:rsidR="006264EA">
              <w:rPr>
                <w:rFonts w:eastAsia="Times New Roman"/>
                <w:color w:val="000000"/>
              </w:rPr>
              <w:t>,</w:t>
            </w:r>
            <w:r w:rsidRPr="00A81971">
              <w:rPr>
                <w:rFonts w:eastAsia="Times New Roman"/>
                <w:color w:val="000000"/>
              </w:rPr>
              <w:t xml:space="preserve">835 </w:t>
            </w:r>
          </w:p>
        </w:tc>
        <w:tc>
          <w:tcPr>
            <w:tcW w:w="2551" w:type="dxa"/>
            <w:tcBorders>
              <w:top w:val="nil"/>
              <w:left w:val="nil"/>
              <w:bottom w:val="single" w:sz="4" w:space="0" w:color="auto"/>
              <w:right w:val="single" w:sz="4" w:space="0" w:color="auto"/>
            </w:tcBorders>
            <w:noWrap/>
            <w:vAlign w:val="center"/>
            <w:hideMark/>
          </w:tcPr>
          <w:p w14:paraId="2B98F255" w14:textId="2DA2299D" w:rsidR="00DD1C7F" w:rsidRPr="00A81971" w:rsidRDefault="0032495C" w:rsidP="00A04930">
            <w:pPr>
              <w:spacing w:after="0"/>
              <w:jc w:val="right"/>
              <w:rPr>
                <w:rFonts w:eastAsia="Times New Roman"/>
                <w:color w:val="000000"/>
              </w:rPr>
            </w:pPr>
            <w:r w:rsidRPr="00A81971">
              <w:rPr>
                <w:rFonts w:eastAsia="Times New Roman"/>
                <w:color w:val="000000"/>
              </w:rPr>
              <w:t>52</w:t>
            </w:r>
            <w:r w:rsidR="006264EA">
              <w:rPr>
                <w:rFonts w:eastAsia="Times New Roman"/>
                <w:color w:val="000000"/>
              </w:rPr>
              <w:t>,</w:t>
            </w:r>
            <w:r w:rsidRPr="00A81971">
              <w:rPr>
                <w:rFonts w:eastAsia="Times New Roman"/>
                <w:color w:val="000000"/>
              </w:rPr>
              <w:t xml:space="preserve">639 </w:t>
            </w:r>
          </w:p>
        </w:tc>
      </w:tr>
      <w:tr w:rsidR="00F90461" w14:paraId="7D4A389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3D3E060" w14:textId="77777777" w:rsidR="00DD1C7F" w:rsidRPr="00A81971" w:rsidRDefault="0032495C">
            <w:pPr>
              <w:spacing w:after="0"/>
              <w:rPr>
                <w:rFonts w:eastAsia="Times New Roman"/>
                <w:color w:val="000000"/>
              </w:rPr>
            </w:pPr>
            <w:r w:rsidRPr="00A81971">
              <w:rPr>
                <w:rFonts w:eastAsia="Times New Roman"/>
                <w:color w:val="000000"/>
              </w:rPr>
              <w:t>Nigeria</w:t>
            </w:r>
          </w:p>
        </w:tc>
        <w:tc>
          <w:tcPr>
            <w:tcW w:w="2651" w:type="dxa"/>
            <w:tcBorders>
              <w:top w:val="nil"/>
              <w:left w:val="nil"/>
              <w:bottom w:val="single" w:sz="4" w:space="0" w:color="auto"/>
              <w:right w:val="single" w:sz="4" w:space="0" w:color="auto"/>
            </w:tcBorders>
            <w:noWrap/>
            <w:vAlign w:val="center"/>
            <w:hideMark/>
          </w:tcPr>
          <w:p w14:paraId="2253B1D9" w14:textId="001A211D"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937</w:t>
            </w:r>
            <w:r w:rsidR="006264EA">
              <w:rPr>
                <w:rFonts w:eastAsia="Times New Roman"/>
                <w:color w:val="000000"/>
              </w:rPr>
              <w:t>,</w:t>
            </w:r>
            <w:r w:rsidRPr="00A81971">
              <w:rPr>
                <w:rFonts w:eastAsia="Times New Roman"/>
                <w:color w:val="000000"/>
              </w:rPr>
              <w:t xml:space="preserve">894 </w:t>
            </w:r>
          </w:p>
        </w:tc>
        <w:tc>
          <w:tcPr>
            <w:tcW w:w="2551" w:type="dxa"/>
            <w:tcBorders>
              <w:top w:val="nil"/>
              <w:left w:val="nil"/>
              <w:bottom w:val="single" w:sz="4" w:space="0" w:color="auto"/>
              <w:right w:val="single" w:sz="4" w:space="0" w:color="auto"/>
            </w:tcBorders>
            <w:noWrap/>
            <w:vAlign w:val="center"/>
            <w:hideMark/>
          </w:tcPr>
          <w:p w14:paraId="7FDA85C1" w14:textId="057502CC" w:rsidR="00DD1C7F" w:rsidRPr="00A81971" w:rsidRDefault="0032495C" w:rsidP="00A04930">
            <w:pPr>
              <w:spacing w:after="0"/>
              <w:jc w:val="right"/>
              <w:rPr>
                <w:rFonts w:eastAsia="Times New Roman"/>
                <w:color w:val="000000"/>
              </w:rPr>
            </w:pPr>
            <w:r w:rsidRPr="00A81971">
              <w:rPr>
                <w:rFonts w:eastAsia="Times New Roman"/>
                <w:color w:val="000000"/>
              </w:rPr>
              <w:t>489</w:t>
            </w:r>
            <w:r w:rsidR="006264EA">
              <w:rPr>
                <w:rFonts w:eastAsia="Times New Roman"/>
                <w:color w:val="000000"/>
              </w:rPr>
              <w:t>,</w:t>
            </w:r>
            <w:r w:rsidRPr="00A81971">
              <w:rPr>
                <w:rFonts w:eastAsia="Times New Roman"/>
                <w:color w:val="000000"/>
              </w:rPr>
              <w:t xml:space="preserve">649 </w:t>
            </w:r>
          </w:p>
        </w:tc>
      </w:tr>
      <w:tr w:rsidR="00F90461" w14:paraId="7FED5E78"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36A063F" w14:textId="77777777" w:rsidR="00DD1C7F" w:rsidRPr="00A81971" w:rsidRDefault="0032495C">
            <w:pPr>
              <w:spacing w:after="0"/>
              <w:rPr>
                <w:rFonts w:eastAsia="Times New Roman"/>
                <w:color w:val="000000"/>
              </w:rPr>
            </w:pPr>
            <w:r w:rsidRPr="00A81971">
              <w:rPr>
                <w:rFonts w:eastAsia="Times New Roman"/>
                <w:color w:val="000000"/>
              </w:rPr>
              <w:t>North Macedonia</w:t>
            </w:r>
          </w:p>
        </w:tc>
        <w:tc>
          <w:tcPr>
            <w:tcW w:w="2651" w:type="dxa"/>
            <w:tcBorders>
              <w:top w:val="nil"/>
              <w:left w:val="nil"/>
              <w:bottom w:val="single" w:sz="4" w:space="0" w:color="auto"/>
              <w:right w:val="single" w:sz="4" w:space="0" w:color="auto"/>
            </w:tcBorders>
            <w:noWrap/>
            <w:vAlign w:val="center"/>
            <w:hideMark/>
          </w:tcPr>
          <w:p w14:paraId="357E6F70" w14:textId="74F8F47F" w:rsidR="00DD1C7F" w:rsidRPr="00A81971" w:rsidRDefault="0032495C" w:rsidP="00A04930">
            <w:pPr>
              <w:spacing w:after="0"/>
              <w:jc w:val="right"/>
              <w:rPr>
                <w:rFonts w:eastAsia="Times New Roman"/>
                <w:color w:val="000000"/>
              </w:rPr>
            </w:pPr>
            <w:r w:rsidRPr="00A81971">
              <w:rPr>
                <w:rFonts w:eastAsia="Times New Roman"/>
                <w:color w:val="000000"/>
              </w:rPr>
              <w:t>117</w:t>
            </w:r>
            <w:r w:rsidR="006264EA">
              <w:rPr>
                <w:rFonts w:eastAsia="Times New Roman"/>
                <w:color w:val="000000"/>
              </w:rPr>
              <w:t>,</w:t>
            </w:r>
            <w:r w:rsidRPr="00A81971">
              <w:rPr>
                <w:rFonts w:eastAsia="Times New Roman"/>
                <w:color w:val="000000"/>
              </w:rPr>
              <w:t xml:space="preserve">017 </w:t>
            </w:r>
          </w:p>
        </w:tc>
        <w:tc>
          <w:tcPr>
            <w:tcW w:w="2551" w:type="dxa"/>
            <w:tcBorders>
              <w:top w:val="nil"/>
              <w:left w:val="nil"/>
              <w:bottom w:val="single" w:sz="4" w:space="0" w:color="auto"/>
              <w:right w:val="single" w:sz="4" w:space="0" w:color="auto"/>
            </w:tcBorders>
            <w:noWrap/>
            <w:vAlign w:val="center"/>
            <w:hideMark/>
          </w:tcPr>
          <w:p w14:paraId="4E85D947" w14:textId="0DC890AE" w:rsidR="00DD1C7F" w:rsidRPr="00A81971" w:rsidRDefault="0032495C" w:rsidP="00A04930">
            <w:pPr>
              <w:spacing w:after="0"/>
              <w:jc w:val="right"/>
              <w:rPr>
                <w:rFonts w:eastAsia="Times New Roman"/>
                <w:color w:val="000000"/>
              </w:rPr>
            </w:pPr>
            <w:r w:rsidRPr="00A81971">
              <w:rPr>
                <w:rFonts w:eastAsia="Times New Roman"/>
                <w:color w:val="000000"/>
              </w:rPr>
              <w:t>19</w:t>
            </w:r>
            <w:r w:rsidR="006264EA">
              <w:rPr>
                <w:rFonts w:eastAsia="Times New Roman"/>
                <w:color w:val="000000"/>
              </w:rPr>
              <w:t>,</w:t>
            </w:r>
            <w:r w:rsidRPr="00A81971">
              <w:rPr>
                <w:rFonts w:eastAsia="Times New Roman"/>
                <w:color w:val="000000"/>
              </w:rPr>
              <w:t xml:space="preserve">503 </w:t>
            </w:r>
          </w:p>
        </w:tc>
      </w:tr>
      <w:tr w:rsidR="00F90461" w14:paraId="79D8DF4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04E0E17" w14:textId="77777777" w:rsidR="00DD1C7F" w:rsidRPr="00A81971" w:rsidRDefault="0032495C">
            <w:pPr>
              <w:spacing w:after="0"/>
              <w:rPr>
                <w:rFonts w:eastAsia="Times New Roman"/>
                <w:color w:val="000000"/>
              </w:rPr>
            </w:pPr>
            <w:r w:rsidRPr="00A81971">
              <w:rPr>
                <w:rFonts w:eastAsia="Times New Roman"/>
                <w:color w:val="000000"/>
              </w:rPr>
              <w:t>Pacific island countries</w:t>
            </w:r>
          </w:p>
        </w:tc>
        <w:tc>
          <w:tcPr>
            <w:tcW w:w="2651" w:type="dxa"/>
            <w:tcBorders>
              <w:top w:val="nil"/>
              <w:left w:val="nil"/>
              <w:bottom w:val="single" w:sz="4" w:space="0" w:color="auto"/>
              <w:right w:val="single" w:sz="4" w:space="0" w:color="auto"/>
            </w:tcBorders>
            <w:noWrap/>
            <w:vAlign w:val="center"/>
            <w:hideMark/>
          </w:tcPr>
          <w:p w14:paraId="5D7F62CB" w14:textId="0F61647E" w:rsidR="00DD1C7F" w:rsidRPr="00A81971" w:rsidRDefault="0032495C" w:rsidP="00A04930">
            <w:pPr>
              <w:spacing w:after="0"/>
              <w:jc w:val="right"/>
              <w:rPr>
                <w:rFonts w:eastAsia="Times New Roman"/>
                <w:color w:val="000000"/>
              </w:rPr>
            </w:pPr>
            <w:r w:rsidRPr="00A81971">
              <w:rPr>
                <w:rFonts w:eastAsia="Times New Roman"/>
                <w:color w:val="000000"/>
              </w:rPr>
              <w:t>1</w:t>
            </w:r>
            <w:r w:rsidR="006264EA">
              <w:rPr>
                <w:rFonts w:eastAsia="Times New Roman"/>
                <w:color w:val="000000"/>
              </w:rPr>
              <w:t>,</w:t>
            </w:r>
            <w:r w:rsidRPr="00A81971">
              <w:rPr>
                <w:rFonts w:eastAsia="Times New Roman"/>
                <w:color w:val="000000"/>
              </w:rPr>
              <w:t>105</w:t>
            </w:r>
            <w:r w:rsidR="006264EA">
              <w:rPr>
                <w:rFonts w:eastAsia="Times New Roman"/>
                <w:color w:val="000000"/>
              </w:rPr>
              <w:t>,</w:t>
            </w:r>
            <w:r w:rsidRPr="00A81971">
              <w:rPr>
                <w:rFonts w:eastAsia="Times New Roman"/>
                <w:color w:val="000000"/>
              </w:rPr>
              <w:t xml:space="preserve">140 </w:t>
            </w:r>
          </w:p>
        </w:tc>
        <w:tc>
          <w:tcPr>
            <w:tcW w:w="2551" w:type="dxa"/>
            <w:tcBorders>
              <w:top w:val="nil"/>
              <w:left w:val="nil"/>
              <w:bottom w:val="single" w:sz="4" w:space="0" w:color="auto"/>
              <w:right w:val="single" w:sz="4" w:space="0" w:color="auto"/>
            </w:tcBorders>
            <w:noWrap/>
            <w:vAlign w:val="center"/>
            <w:hideMark/>
          </w:tcPr>
          <w:p w14:paraId="7AFDE8CC" w14:textId="2658DFA9" w:rsidR="00DD1C7F" w:rsidRPr="00A81971" w:rsidRDefault="0032495C" w:rsidP="00A04930">
            <w:pPr>
              <w:spacing w:after="0"/>
              <w:jc w:val="right"/>
              <w:rPr>
                <w:rFonts w:eastAsia="Times New Roman"/>
                <w:color w:val="000000"/>
              </w:rPr>
            </w:pPr>
            <w:r w:rsidRPr="00A81971">
              <w:rPr>
                <w:rFonts w:eastAsia="Times New Roman"/>
                <w:color w:val="000000"/>
              </w:rPr>
              <w:t>184</w:t>
            </w:r>
            <w:r w:rsidR="006264EA">
              <w:rPr>
                <w:rFonts w:eastAsia="Times New Roman"/>
                <w:color w:val="000000"/>
              </w:rPr>
              <w:t>,</w:t>
            </w:r>
            <w:r w:rsidRPr="00A81971">
              <w:rPr>
                <w:rFonts w:eastAsia="Times New Roman"/>
                <w:color w:val="000000"/>
              </w:rPr>
              <w:t xml:space="preserve">190 </w:t>
            </w:r>
          </w:p>
        </w:tc>
      </w:tr>
      <w:tr w:rsidR="00F90461" w14:paraId="733EFA74"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FF9B847" w14:textId="77777777" w:rsidR="00DD1C7F" w:rsidRPr="00A81971" w:rsidRDefault="0032495C">
            <w:pPr>
              <w:spacing w:after="0"/>
              <w:rPr>
                <w:rFonts w:eastAsia="Times New Roman"/>
                <w:color w:val="000000"/>
              </w:rPr>
            </w:pPr>
            <w:r w:rsidRPr="00A81971">
              <w:rPr>
                <w:rFonts w:eastAsia="Times New Roman"/>
                <w:color w:val="000000"/>
              </w:rPr>
              <w:t>Panama</w:t>
            </w:r>
          </w:p>
        </w:tc>
        <w:tc>
          <w:tcPr>
            <w:tcW w:w="2651" w:type="dxa"/>
            <w:tcBorders>
              <w:top w:val="nil"/>
              <w:left w:val="nil"/>
              <w:bottom w:val="single" w:sz="4" w:space="0" w:color="auto"/>
              <w:right w:val="single" w:sz="4" w:space="0" w:color="auto"/>
            </w:tcBorders>
            <w:noWrap/>
            <w:vAlign w:val="center"/>
            <w:hideMark/>
          </w:tcPr>
          <w:p w14:paraId="7A1F326A" w14:textId="3A891E7A" w:rsidR="00DD1C7F" w:rsidRPr="00A81971" w:rsidRDefault="0032495C" w:rsidP="00A04930">
            <w:pPr>
              <w:spacing w:after="0"/>
              <w:jc w:val="right"/>
              <w:rPr>
                <w:rFonts w:eastAsia="Times New Roman"/>
                <w:color w:val="000000"/>
              </w:rPr>
            </w:pPr>
            <w:r w:rsidRPr="00A81971">
              <w:rPr>
                <w:rFonts w:eastAsia="Times New Roman"/>
                <w:color w:val="000000"/>
              </w:rPr>
              <w:t>354</w:t>
            </w:r>
            <w:r w:rsidR="006264EA">
              <w:rPr>
                <w:rFonts w:eastAsia="Times New Roman"/>
                <w:color w:val="000000"/>
              </w:rPr>
              <w:t>,</w:t>
            </w:r>
            <w:r w:rsidRPr="00A81971">
              <w:rPr>
                <w:rFonts w:eastAsia="Times New Roman"/>
                <w:color w:val="000000"/>
              </w:rPr>
              <w:t xml:space="preserve">277 </w:t>
            </w:r>
          </w:p>
        </w:tc>
        <w:tc>
          <w:tcPr>
            <w:tcW w:w="2551" w:type="dxa"/>
            <w:tcBorders>
              <w:top w:val="nil"/>
              <w:left w:val="nil"/>
              <w:bottom w:val="single" w:sz="4" w:space="0" w:color="auto"/>
              <w:right w:val="single" w:sz="4" w:space="0" w:color="auto"/>
            </w:tcBorders>
            <w:noWrap/>
            <w:vAlign w:val="center"/>
            <w:hideMark/>
          </w:tcPr>
          <w:p w14:paraId="19DDF64F" w14:textId="3962FE1F" w:rsidR="00DD1C7F" w:rsidRPr="00A81971" w:rsidRDefault="0032495C" w:rsidP="00A04930">
            <w:pPr>
              <w:spacing w:after="0"/>
              <w:jc w:val="right"/>
              <w:rPr>
                <w:rFonts w:eastAsia="Times New Roman"/>
                <w:color w:val="000000"/>
              </w:rPr>
            </w:pPr>
            <w:r w:rsidRPr="00A81971">
              <w:rPr>
                <w:rFonts w:eastAsia="Times New Roman"/>
                <w:color w:val="000000"/>
              </w:rPr>
              <w:t>59</w:t>
            </w:r>
            <w:r w:rsidR="006264EA">
              <w:rPr>
                <w:rFonts w:eastAsia="Times New Roman"/>
                <w:color w:val="000000"/>
              </w:rPr>
              <w:t>,</w:t>
            </w:r>
            <w:r w:rsidRPr="00A81971">
              <w:rPr>
                <w:rFonts w:eastAsia="Times New Roman"/>
                <w:color w:val="000000"/>
              </w:rPr>
              <w:t xml:space="preserve">046 </w:t>
            </w:r>
          </w:p>
        </w:tc>
      </w:tr>
      <w:tr w:rsidR="00F90461" w14:paraId="08141068"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21B3877" w14:textId="77777777" w:rsidR="00DD1C7F" w:rsidRPr="00A81971" w:rsidRDefault="0032495C">
            <w:pPr>
              <w:spacing w:after="0"/>
              <w:rPr>
                <w:rFonts w:eastAsia="Times New Roman"/>
                <w:color w:val="000000"/>
              </w:rPr>
            </w:pPr>
            <w:r w:rsidRPr="00A81971">
              <w:rPr>
                <w:rFonts w:eastAsia="Times New Roman"/>
                <w:color w:val="000000"/>
              </w:rPr>
              <w:t>Paraguay</w:t>
            </w:r>
          </w:p>
        </w:tc>
        <w:tc>
          <w:tcPr>
            <w:tcW w:w="2651" w:type="dxa"/>
            <w:tcBorders>
              <w:top w:val="nil"/>
              <w:left w:val="nil"/>
              <w:bottom w:val="single" w:sz="4" w:space="0" w:color="auto"/>
              <w:right w:val="single" w:sz="4" w:space="0" w:color="auto"/>
            </w:tcBorders>
            <w:noWrap/>
            <w:vAlign w:val="center"/>
            <w:hideMark/>
          </w:tcPr>
          <w:p w14:paraId="7951FEAD" w14:textId="25BBAFE6" w:rsidR="00DD1C7F" w:rsidRPr="00A81971" w:rsidRDefault="0032495C" w:rsidP="00A04930">
            <w:pPr>
              <w:spacing w:after="0"/>
              <w:jc w:val="right"/>
              <w:rPr>
                <w:rFonts w:eastAsia="Times New Roman"/>
                <w:color w:val="000000"/>
              </w:rPr>
            </w:pPr>
            <w:r w:rsidRPr="00A81971">
              <w:rPr>
                <w:rFonts w:eastAsia="Times New Roman"/>
                <w:color w:val="000000"/>
              </w:rPr>
              <w:t>252</w:t>
            </w:r>
            <w:r w:rsidR="006264EA">
              <w:rPr>
                <w:rFonts w:eastAsia="Times New Roman"/>
                <w:color w:val="000000"/>
              </w:rPr>
              <w:t>,</w:t>
            </w:r>
            <w:r w:rsidRPr="00A81971">
              <w:rPr>
                <w:rFonts w:eastAsia="Times New Roman"/>
                <w:color w:val="000000"/>
              </w:rPr>
              <w:t xml:space="preserve">172 </w:t>
            </w:r>
          </w:p>
        </w:tc>
        <w:tc>
          <w:tcPr>
            <w:tcW w:w="2551" w:type="dxa"/>
            <w:tcBorders>
              <w:top w:val="nil"/>
              <w:left w:val="nil"/>
              <w:bottom w:val="single" w:sz="4" w:space="0" w:color="auto"/>
              <w:right w:val="single" w:sz="4" w:space="0" w:color="auto"/>
            </w:tcBorders>
            <w:noWrap/>
            <w:vAlign w:val="center"/>
            <w:hideMark/>
          </w:tcPr>
          <w:p w14:paraId="59A41DB2" w14:textId="2C57CCB8" w:rsidR="00DD1C7F" w:rsidRPr="00A81971" w:rsidRDefault="0032495C" w:rsidP="00A04930">
            <w:pPr>
              <w:spacing w:after="0"/>
              <w:jc w:val="right"/>
              <w:rPr>
                <w:rFonts w:eastAsia="Times New Roman"/>
                <w:color w:val="000000"/>
              </w:rPr>
            </w:pPr>
            <w:r w:rsidRPr="00A81971">
              <w:rPr>
                <w:rFonts w:eastAsia="Times New Roman"/>
                <w:color w:val="000000"/>
              </w:rPr>
              <w:t>42</w:t>
            </w:r>
            <w:r w:rsidR="006264EA">
              <w:rPr>
                <w:rFonts w:eastAsia="Times New Roman"/>
                <w:color w:val="000000"/>
              </w:rPr>
              <w:t>,</w:t>
            </w:r>
            <w:r w:rsidRPr="00A81971">
              <w:rPr>
                <w:rFonts w:eastAsia="Times New Roman"/>
                <w:color w:val="000000"/>
              </w:rPr>
              <w:t xml:space="preserve">029 </w:t>
            </w:r>
          </w:p>
        </w:tc>
      </w:tr>
      <w:tr w:rsidR="00F90461" w14:paraId="631BF67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4C617FD" w14:textId="77777777" w:rsidR="00DD1C7F" w:rsidRPr="00A81971" w:rsidRDefault="0032495C">
            <w:pPr>
              <w:spacing w:after="0"/>
              <w:rPr>
                <w:rFonts w:eastAsia="Times New Roman"/>
                <w:color w:val="000000"/>
              </w:rPr>
            </w:pPr>
            <w:r w:rsidRPr="00A81971">
              <w:rPr>
                <w:rFonts w:eastAsia="Times New Roman"/>
                <w:color w:val="000000"/>
              </w:rPr>
              <w:t>Peru</w:t>
            </w:r>
          </w:p>
        </w:tc>
        <w:tc>
          <w:tcPr>
            <w:tcW w:w="2651" w:type="dxa"/>
            <w:tcBorders>
              <w:top w:val="nil"/>
              <w:left w:val="nil"/>
              <w:bottom w:val="single" w:sz="4" w:space="0" w:color="auto"/>
              <w:right w:val="single" w:sz="4" w:space="0" w:color="auto"/>
            </w:tcBorders>
            <w:noWrap/>
            <w:vAlign w:val="center"/>
            <w:hideMark/>
          </w:tcPr>
          <w:p w14:paraId="3E92ECD9" w14:textId="3F55713B" w:rsidR="00DD1C7F" w:rsidRPr="00A81971" w:rsidRDefault="0032495C" w:rsidP="00A04930">
            <w:pPr>
              <w:spacing w:after="0"/>
              <w:jc w:val="right"/>
              <w:rPr>
                <w:rFonts w:eastAsia="Times New Roman"/>
                <w:color w:val="000000"/>
              </w:rPr>
            </w:pPr>
            <w:r w:rsidRPr="00A81971">
              <w:rPr>
                <w:rFonts w:eastAsia="Times New Roman"/>
                <w:color w:val="000000"/>
              </w:rPr>
              <w:t>302</w:t>
            </w:r>
            <w:r w:rsidR="006264EA">
              <w:rPr>
                <w:rFonts w:eastAsia="Times New Roman"/>
                <w:color w:val="000000"/>
              </w:rPr>
              <w:t>,</w:t>
            </w:r>
            <w:r w:rsidRPr="00A81971">
              <w:rPr>
                <w:rFonts w:eastAsia="Times New Roman"/>
                <w:color w:val="000000"/>
              </w:rPr>
              <w:t xml:space="preserve">960 </w:t>
            </w:r>
          </w:p>
        </w:tc>
        <w:tc>
          <w:tcPr>
            <w:tcW w:w="2551" w:type="dxa"/>
            <w:tcBorders>
              <w:top w:val="nil"/>
              <w:left w:val="nil"/>
              <w:bottom w:val="single" w:sz="4" w:space="0" w:color="auto"/>
              <w:right w:val="single" w:sz="4" w:space="0" w:color="auto"/>
            </w:tcBorders>
            <w:noWrap/>
            <w:vAlign w:val="center"/>
            <w:hideMark/>
          </w:tcPr>
          <w:p w14:paraId="2595138E" w14:textId="4BE5BBBA" w:rsidR="00DD1C7F" w:rsidRPr="00A81971" w:rsidRDefault="0032495C" w:rsidP="00A04930">
            <w:pPr>
              <w:spacing w:after="0"/>
              <w:jc w:val="right"/>
              <w:rPr>
                <w:rFonts w:eastAsia="Times New Roman"/>
                <w:color w:val="000000"/>
              </w:rPr>
            </w:pPr>
            <w:r w:rsidRPr="00A81971">
              <w:rPr>
                <w:rFonts w:eastAsia="Times New Roman"/>
                <w:color w:val="000000"/>
              </w:rPr>
              <w:t>50</w:t>
            </w:r>
            <w:r w:rsidR="006264EA">
              <w:rPr>
                <w:rFonts w:eastAsia="Times New Roman"/>
                <w:color w:val="000000"/>
              </w:rPr>
              <w:t>,</w:t>
            </w:r>
            <w:r w:rsidRPr="00A81971">
              <w:rPr>
                <w:rFonts w:eastAsia="Times New Roman"/>
                <w:color w:val="000000"/>
              </w:rPr>
              <w:t xml:space="preserve">493 </w:t>
            </w:r>
          </w:p>
        </w:tc>
      </w:tr>
      <w:tr w:rsidR="00F90461" w14:paraId="16F1222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2CA2E4F" w14:textId="77777777" w:rsidR="00DD1C7F" w:rsidRPr="00A81971" w:rsidRDefault="0032495C">
            <w:pPr>
              <w:spacing w:after="0"/>
              <w:rPr>
                <w:rFonts w:eastAsia="Times New Roman"/>
                <w:color w:val="000000"/>
              </w:rPr>
            </w:pPr>
            <w:r w:rsidRPr="00A81971">
              <w:rPr>
                <w:rFonts w:eastAsia="Times New Roman"/>
                <w:color w:val="000000"/>
              </w:rPr>
              <w:t>Republic of Moldova</w:t>
            </w:r>
          </w:p>
        </w:tc>
        <w:tc>
          <w:tcPr>
            <w:tcW w:w="2651" w:type="dxa"/>
            <w:tcBorders>
              <w:top w:val="nil"/>
              <w:left w:val="nil"/>
              <w:bottom w:val="single" w:sz="4" w:space="0" w:color="auto"/>
              <w:right w:val="single" w:sz="4" w:space="0" w:color="auto"/>
            </w:tcBorders>
            <w:noWrap/>
            <w:vAlign w:val="center"/>
            <w:hideMark/>
          </w:tcPr>
          <w:p w14:paraId="615F5DB2" w14:textId="475F9980" w:rsidR="00DD1C7F" w:rsidRPr="00A81971" w:rsidRDefault="0032495C" w:rsidP="00A04930">
            <w:pPr>
              <w:spacing w:after="0"/>
              <w:jc w:val="right"/>
              <w:rPr>
                <w:rFonts w:eastAsia="Times New Roman"/>
                <w:color w:val="000000"/>
              </w:rPr>
            </w:pPr>
            <w:r w:rsidRPr="00A81971">
              <w:rPr>
                <w:rFonts w:eastAsia="Times New Roman"/>
                <w:color w:val="000000"/>
              </w:rPr>
              <w:t>107</w:t>
            </w:r>
            <w:r w:rsidR="006264EA">
              <w:rPr>
                <w:rFonts w:eastAsia="Times New Roman"/>
                <w:color w:val="000000"/>
              </w:rPr>
              <w:t>,</w:t>
            </w:r>
            <w:r w:rsidRPr="00A81971">
              <w:rPr>
                <w:rFonts w:eastAsia="Times New Roman"/>
                <w:color w:val="000000"/>
              </w:rPr>
              <w:t xml:space="preserve">915 </w:t>
            </w:r>
          </w:p>
        </w:tc>
        <w:tc>
          <w:tcPr>
            <w:tcW w:w="2551" w:type="dxa"/>
            <w:tcBorders>
              <w:top w:val="nil"/>
              <w:left w:val="nil"/>
              <w:bottom w:val="single" w:sz="4" w:space="0" w:color="auto"/>
              <w:right w:val="single" w:sz="4" w:space="0" w:color="auto"/>
            </w:tcBorders>
            <w:noWrap/>
            <w:vAlign w:val="center"/>
            <w:hideMark/>
          </w:tcPr>
          <w:p w14:paraId="229A5D11" w14:textId="39908F8E" w:rsidR="00DD1C7F" w:rsidRPr="00A81971" w:rsidRDefault="0032495C" w:rsidP="00A04930">
            <w:pPr>
              <w:spacing w:after="0"/>
              <w:jc w:val="right"/>
              <w:rPr>
                <w:rFonts w:eastAsia="Times New Roman"/>
                <w:color w:val="000000"/>
              </w:rPr>
            </w:pPr>
            <w:r w:rsidRPr="00A81971">
              <w:rPr>
                <w:rFonts w:eastAsia="Times New Roman"/>
                <w:color w:val="000000"/>
              </w:rPr>
              <w:t>17</w:t>
            </w:r>
            <w:r w:rsidR="006264EA">
              <w:rPr>
                <w:rFonts w:eastAsia="Times New Roman"/>
                <w:color w:val="000000"/>
              </w:rPr>
              <w:t>,</w:t>
            </w:r>
            <w:r w:rsidRPr="00A81971">
              <w:rPr>
                <w:rFonts w:eastAsia="Times New Roman"/>
                <w:color w:val="000000"/>
              </w:rPr>
              <w:t xml:space="preserve">986 </w:t>
            </w:r>
          </w:p>
        </w:tc>
      </w:tr>
      <w:tr w:rsidR="00F90461" w14:paraId="3395997F"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BB7145F" w14:textId="77777777" w:rsidR="00DD1C7F" w:rsidRPr="00A81971" w:rsidRDefault="0032495C">
            <w:pPr>
              <w:spacing w:after="0"/>
              <w:rPr>
                <w:rFonts w:eastAsia="Times New Roman"/>
                <w:color w:val="000000"/>
              </w:rPr>
            </w:pPr>
            <w:r w:rsidRPr="00A81971">
              <w:rPr>
                <w:rFonts w:eastAsia="Times New Roman"/>
                <w:color w:val="000000"/>
              </w:rPr>
              <w:t>Rwanda</w:t>
            </w:r>
          </w:p>
        </w:tc>
        <w:tc>
          <w:tcPr>
            <w:tcW w:w="2651" w:type="dxa"/>
            <w:tcBorders>
              <w:top w:val="nil"/>
              <w:left w:val="nil"/>
              <w:bottom w:val="single" w:sz="4" w:space="0" w:color="auto"/>
              <w:right w:val="single" w:sz="4" w:space="0" w:color="auto"/>
            </w:tcBorders>
            <w:noWrap/>
            <w:vAlign w:val="center"/>
            <w:hideMark/>
          </w:tcPr>
          <w:p w14:paraId="799545D1" w14:textId="79DFFC12" w:rsidR="00DD1C7F" w:rsidRPr="00A81971" w:rsidRDefault="0032495C" w:rsidP="00A04930">
            <w:pPr>
              <w:spacing w:after="0"/>
              <w:jc w:val="right"/>
              <w:rPr>
                <w:rFonts w:eastAsia="Times New Roman"/>
                <w:color w:val="000000"/>
              </w:rPr>
            </w:pPr>
            <w:r w:rsidRPr="00A81971">
              <w:rPr>
                <w:rFonts w:eastAsia="Times New Roman"/>
                <w:color w:val="000000"/>
              </w:rPr>
              <w:t>85</w:t>
            </w:r>
            <w:r w:rsidR="006264EA">
              <w:rPr>
                <w:rFonts w:eastAsia="Times New Roman"/>
                <w:color w:val="000000"/>
              </w:rPr>
              <w:t>,</w:t>
            </w:r>
            <w:r w:rsidRPr="00A81971">
              <w:rPr>
                <w:rFonts w:eastAsia="Times New Roman"/>
                <w:color w:val="000000"/>
              </w:rPr>
              <w:t xml:space="preserve">767 </w:t>
            </w:r>
          </w:p>
        </w:tc>
        <w:tc>
          <w:tcPr>
            <w:tcW w:w="2551" w:type="dxa"/>
            <w:tcBorders>
              <w:top w:val="nil"/>
              <w:left w:val="nil"/>
              <w:bottom w:val="single" w:sz="4" w:space="0" w:color="auto"/>
              <w:right w:val="single" w:sz="4" w:space="0" w:color="auto"/>
            </w:tcBorders>
            <w:noWrap/>
            <w:vAlign w:val="center"/>
            <w:hideMark/>
          </w:tcPr>
          <w:p w14:paraId="6EA463CD" w14:textId="20D6354D" w:rsidR="00DD1C7F" w:rsidRPr="00A81971" w:rsidRDefault="0032495C" w:rsidP="00A04930">
            <w:pPr>
              <w:spacing w:after="0"/>
              <w:jc w:val="right"/>
              <w:rPr>
                <w:rFonts w:eastAsia="Times New Roman"/>
                <w:color w:val="000000"/>
              </w:rPr>
            </w:pPr>
            <w:r w:rsidRPr="00A81971">
              <w:rPr>
                <w:rFonts w:eastAsia="Times New Roman"/>
                <w:color w:val="000000"/>
              </w:rPr>
              <w:t>14</w:t>
            </w:r>
            <w:r w:rsidR="006264EA">
              <w:rPr>
                <w:rFonts w:eastAsia="Times New Roman"/>
                <w:color w:val="000000"/>
              </w:rPr>
              <w:t>,</w:t>
            </w:r>
            <w:r w:rsidRPr="00A81971">
              <w:rPr>
                <w:rFonts w:eastAsia="Times New Roman"/>
                <w:color w:val="000000"/>
              </w:rPr>
              <w:t xml:space="preserve">295 </w:t>
            </w:r>
          </w:p>
        </w:tc>
      </w:tr>
      <w:tr w:rsidR="00F90461" w14:paraId="54AAA0EA"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D2E77E1" w14:textId="77777777" w:rsidR="00DD1C7F" w:rsidRPr="00A81971" w:rsidRDefault="0032495C">
            <w:pPr>
              <w:spacing w:after="0"/>
              <w:rPr>
                <w:rFonts w:eastAsia="Times New Roman"/>
                <w:color w:val="000000"/>
              </w:rPr>
            </w:pPr>
            <w:r w:rsidRPr="00A81971">
              <w:rPr>
                <w:rFonts w:eastAsia="Times New Roman"/>
                <w:color w:val="000000"/>
              </w:rPr>
              <w:t>Saint Lucia</w:t>
            </w:r>
          </w:p>
        </w:tc>
        <w:tc>
          <w:tcPr>
            <w:tcW w:w="2651" w:type="dxa"/>
            <w:tcBorders>
              <w:top w:val="nil"/>
              <w:left w:val="nil"/>
              <w:bottom w:val="single" w:sz="4" w:space="0" w:color="auto"/>
              <w:right w:val="single" w:sz="4" w:space="0" w:color="auto"/>
            </w:tcBorders>
            <w:noWrap/>
            <w:vAlign w:val="center"/>
            <w:hideMark/>
          </w:tcPr>
          <w:p w14:paraId="4AB9A4F1" w14:textId="54C7A110" w:rsidR="00DD1C7F" w:rsidRPr="00A81971" w:rsidRDefault="0032495C" w:rsidP="00A04930">
            <w:pPr>
              <w:spacing w:after="0"/>
              <w:jc w:val="right"/>
              <w:rPr>
                <w:rFonts w:eastAsia="Times New Roman"/>
                <w:color w:val="000000"/>
              </w:rPr>
            </w:pPr>
            <w:r w:rsidRPr="00A81971">
              <w:rPr>
                <w:rFonts w:eastAsia="Times New Roman"/>
                <w:color w:val="000000"/>
              </w:rPr>
              <w:t>79</w:t>
            </w:r>
            <w:r w:rsidR="006264EA">
              <w:rPr>
                <w:rFonts w:eastAsia="Times New Roman"/>
                <w:color w:val="000000"/>
              </w:rPr>
              <w:t>,</w:t>
            </w:r>
            <w:r w:rsidRPr="00A81971">
              <w:rPr>
                <w:rFonts w:eastAsia="Times New Roman"/>
                <w:color w:val="000000"/>
              </w:rPr>
              <w:t xml:space="preserve">100 </w:t>
            </w:r>
          </w:p>
        </w:tc>
        <w:tc>
          <w:tcPr>
            <w:tcW w:w="2551" w:type="dxa"/>
            <w:tcBorders>
              <w:top w:val="nil"/>
              <w:left w:val="nil"/>
              <w:bottom w:val="single" w:sz="4" w:space="0" w:color="auto"/>
              <w:right w:val="single" w:sz="4" w:space="0" w:color="auto"/>
            </w:tcBorders>
            <w:noWrap/>
            <w:vAlign w:val="center"/>
            <w:hideMark/>
          </w:tcPr>
          <w:p w14:paraId="4EF97FDA" w14:textId="097AD7B4" w:rsidR="00DD1C7F" w:rsidRPr="00A81971" w:rsidRDefault="0032495C" w:rsidP="00A04930">
            <w:pPr>
              <w:spacing w:after="0"/>
              <w:jc w:val="right"/>
              <w:rPr>
                <w:rFonts w:eastAsia="Times New Roman"/>
                <w:color w:val="000000"/>
              </w:rPr>
            </w:pPr>
            <w:r w:rsidRPr="00A81971">
              <w:rPr>
                <w:rFonts w:eastAsia="Times New Roman"/>
                <w:color w:val="000000"/>
              </w:rPr>
              <w:t>13</w:t>
            </w:r>
            <w:r w:rsidR="006264EA">
              <w:rPr>
                <w:rFonts w:eastAsia="Times New Roman"/>
                <w:color w:val="000000"/>
              </w:rPr>
              <w:t>,</w:t>
            </w:r>
            <w:r w:rsidRPr="00A81971">
              <w:rPr>
                <w:rFonts w:eastAsia="Times New Roman"/>
                <w:color w:val="000000"/>
              </w:rPr>
              <w:t xml:space="preserve">183 </w:t>
            </w:r>
          </w:p>
        </w:tc>
      </w:tr>
      <w:tr w:rsidR="00F90461" w14:paraId="51333111"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0EC1F3B" w14:textId="77777777" w:rsidR="00DD1C7F" w:rsidRPr="00A81971" w:rsidRDefault="0032495C">
            <w:pPr>
              <w:spacing w:after="0"/>
              <w:rPr>
                <w:rFonts w:eastAsia="Times New Roman"/>
                <w:color w:val="000000"/>
              </w:rPr>
            </w:pPr>
            <w:r w:rsidRPr="00A81971">
              <w:rPr>
                <w:rFonts w:eastAsia="Times New Roman"/>
                <w:color w:val="000000"/>
              </w:rPr>
              <w:t>Senegal</w:t>
            </w:r>
          </w:p>
        </w:tc>
        <w:tc>
          <w:tcPr>
            <w:tcW w:w="2651" w:type="dxa"/>
            <w:tcBorders>
              <w:top w:val="nil"/>
              <w:left w:val="nil"/>
              <w:bottom w:val="single" w:sz="4" w:space="0" w:color="auto"/>
              <w:right w:val="single" w:sz="4" w:space="0" w:color="auto"/>
            </w:tcBorders>
            <w:noWrap/>
            <w:vAlign w:val="center"/>
            <w:hideMark/>
          </w:tcPr>
          <w:p w14:paraId="6D76D553" w14:textId="48B1D5A7" w:rsidR="00DD1C7F" w:rsidRPr="00A81971" w:rsidRDefault="0032495C" w:rsidP="00A04930">
            <w:pPr>
              <w:spacing w:after="0"/>
              <w:jc w:val="right"/>
              <w:rPr>
                <w:rFonts w:eastAsia="Times New Roman"/>
                <w:color w:val="000000"/>
              </w:rPr>
            </w:pPr>
            <w:r w:rsidRPr="00A81971">
              <w:rPr>
                <w:rFonts w:eastAsia="Times New Roman"/>
                <w:color w:val="000000"/>
              </w:rPr>
              <w:t>326</w:t>
            </w:r>
            <w:r w:rsidR="006264EA">
              <w:rPr>
                <w:rFonts w:eastAsia="Times New Roman"/>
                <w:color w:val="000000"/>
              </w:rPr>
              <w:t>,</w:t>
            </w:r>
            <w:r w:rsidRPr="00A81971">
              <w:rPr>
                <w:rFonts w:eastAsia="Times New Roman"/>
                <w:color w:val="000000"/>
              </w:rPr>
              <w:t xml:space="preserve">265 </w:t>
            </w:r>
          </w:p>
        </w:tc>
        <w:tc>
          <w:tcPr>
            <w:tcW w:w="2551" w:type="dxa"/>
            <w:tcBorders>
              <w:top w:val="nil"/>
              <w:left w:val="nil"/>
              <w:bottom w:val="single" w:sz="4" w:space="0" w:color="auto"/>
              <w:right w:val="single" w:sz="4" w:space="0" w:color="auto"/>
            </w:tcBorders>
            <w:noWrap/>
            <w:vAlign w:val="center"/>
            <w:hideMark/>
          </w:tcPr>
          <w:p w14:paraId="02E2C884" w14:textId="695E4986" w:rsidR="00DD1C7F" w:rsidRPr="00A81971" w:rsidRDefault="0032495C" w:rsidP="00A04930">
            <w:pPr>
              <w:spacing w:after="0"/>
              <w:jc w:val="right"/>
              <w:rPr>
                <w:rFonts w:eastAsia="Times New Roman"/>
                <w:color w:val="000000"/>
              </w:rPr>
            </w:pPr>
            <w:r w:rsidRPr="00A81971">
              <w:rPr>
                <w:rFonts w:eastAsia="Times New Roman"/>
                <w:color w:val="000000"/>
              </w:rPr>
              <w:t>54</w:t>
            </w:r>
            <w:r w:rsidR="006264EA">
              <w:rPr>
                <w:rFonts w:eastAsia="Times New Roman"/>
                <w:color w:val="000000"/>
              </w:rPr>
              <w:t>,</w:t>
            </w:r>
            <w:r w:rsidRPr="00A81971">
              <w:rPr>
                <w:rFonts w:eastAsia="Times New Roman"/>
                <w:color w:val="000000"/>
              </w:rPr>
              <w:t xml:space="preserve">378 </w:t>
            </w:r>
          </w:p>
        </w:tc>
      </w:tr>
      <w:tr w:rsidR="00F90461" w14:paraId="67DF971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3EE2D19" w14:textId="77777777" w:rsidR="00DD1C7F" w:rsidRPr="00A81971" w:rsidRDefault="0032495C">
            <w:pPr>
              <w:spacing w:after="0"/>
              <w:rPr>
                <w:rFonts w:eastAsia="Times New Roman"/>
                <w:color w:val="000000"/>
              </w:rPr>
            </w:pPr>
            <w:r w:rsidRPr="00A81971">
              <w:rPr>
                <w:rFonts w:eastAsia="Times New Roman"/>
                <w:color w:val="000000"/>
              </w:rPr>
              <w:t>Serbia</w:t>
            </w:r>
          </w:p>
        </w:tc>
        <w:tc>
          <w:tcPr>
            <w:tcW w:w="2651" w:type="dxa"/>
            <w:tcBorders>
              <w:top w:val="nil"/>
              <w:left w:val="nil"/>
              <w:bottom w:val="single" w:sz="4" w:space="0" w:color="auto"/>
              <w:right w:val="single" w:sz="4" w:space="0" w:color="auto"/>
            </w:tcBorders>
            <w:noWrap/>
            <w:vAlign w:val="center"/>
            <w:hideMark/>
          </w:tcPr>
          <w:p w14:paraId="5344F358" w14:textId="61377C0F" w:rsidR="00DD1C7F" w:rsidRPr="00A81971" w:rsidRDefault="0032495C" w:rsidP="00A04930">
            <w:pPr>
              <w:spacing w:after="0"/>
              <w:jc w:val="right"/>
              <w:rPr>
                <w:rFonts w:eastAsia="Times New Roman"/>
                <w:color w:val="000000"/>
              </w:rPr>
            </w:pPr>
            <w:r w:rsidRPr="00A81971">
              <w:rPr>
                <w:rFonts w:eastAsia="Times New Roman"/>
                <w:color w:val="000000"/>
              </w:rPr>
              <w:t>324</w:t>
            </w:r>
            <w:r w:rsidR="006264EA">
              <w:rPr>
                <w:rFonts w:eastAsia="Times New Roman"/>
                <w:color w:val="000000"/>
              </w:rPr>
              <w:t>,</w:t>
            </w:r>
            <w:r w:rsidRPr="00A81971">
              <w:rPr>
                <w:rFonts w:eastAsia="Times New Roman"/>
                <w:color w:val="000000"/>
              </w:rPr>
              <w:t xml:space="preserve">900 </w:t>
            </w:r>
          </w:p>
        </w:tc>
        <w:tc>
          <w:tcPr>
            <w:tcW w:w="2551" w:type="dxa"/>
            <w:tcBorders>
              <w:top w:val="nil"/>
              <w:left w:val="nil"/>
              <w:bottom w:val="single" w:sz="4" w:space="0" w:color="auto"/>
              <w:right w:val="single" w:sz="4" w:space="0" w:color="auto"/>
            </w:tcBorders>
            <w:noWrap/>
            <w:vAlign w:val="center"/>
            <w:hideMark/>
          </w:tcPr>
          <w:p w14:paraId="173859F4" w14:textId="289F383F" w:rsidR="00DD1C7F" w:rsidRPr="00A81971" w:rsidRDefault="0032495C" w:rsidP="00A04930">
            <w:pPr>
              <w:spacing w:after="0"/>
              <w:jc w:val="right"/>
              <w:rPr>
                <w:rFonts w:eastAsia="Times New Roman"/>
                <w:color w:val="000000"/>
              </w:rPr>
            </w:pPr>
            <w:r w:rsidRPr="00A81971">
              <w:rPr>
                <w:rFonts w:eastAsia="Times New Roman"/>
                <w:color w:val="000000"/>
              </w:rPr>
              <w:t>54</w:t>
            </w:r>
            <w:r w:rsidR="006264EA">
              <w:rPr>
                <w:rFonts w:eastAsia="Times New Roman"/>
                <w:color w:val="000000"/>
              </w:rPr>
              <w:t>,</w:t>
            </w:r>
            <w:r w:rsidRPr="00A81971">
              <w:rPr>
                <w:rFonts w:eastAsia="Times New Roman"/>
                <w:color w:val="000000"/>
              </w:rPr>
              <w:t xml:space="preserve">150 </w:t>
            </w:r>
          </w:p>
        </w:tc>
      </w:tr>
      <w:tr w:rsidR="00F90461" w14:paraId="3444AB3A"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7B44911" w14:textId="77777777" w:rsidR="00DD1C7F" w:rsidRPr="00A81971" w:rsidRDefault="0032495C">
            <w:pPr>
              <w:spacing w:after="0"/>
              <w:rPr>
                <w:rFonts w:eastAsia="Times New Roman"/>
                <w:color w:val="000000"/>
              </w:rPr>
            </w:pPr>
            <w:r w:rsidRPr="00A81971">
              <w:rPr>
                <w:rFonts w:eastAsia="Times New Roman"/>
                <w:color w:val="000000"/>
              </w:rPr>
              <w:t>Seychelles</w:t>
            </w:r>
          </w:p>
        </w:tc>
        <w:tc>
          <w:tcPr>
            <w:tcW w:w="2651" w:type="dxa"/>
            <w:tcBorders>
              <w:top w:val="nil"/>
              <w:left w:val="nil"/>
              <w:bottom w:val="single" w:sz="4" w:space="0" w:color="auto"/>
              <w:right w:val="single" w:sz="4" w:space="0" w:color="auto"/>
            </w:tcBorders>
            <w:noWrap/>
            <w:vAlign w:val="center"/>
            <w:hideMark/>
          </w:tcPr>
          <w:p w14:paraId="2A63C062" w14:textId="7F3D98D5" w:rsidR="00DD1C7F" w:rsidRPr="00A81971" w:rsidRDefault="0032495C" w:rsidP="00A04930">
            <w:pPr>
              <w:spacing w:after="0"/>
              <w:jc w:val="right"/>
              <w:rPr>
                <w:rFonts w:eastAsia="Times New Roman"/>
                <w:color w:val="000000"/>
              </w:rPr>
            </w:pPr>
            <w:r w:rsidRPr="00A81971">
              <w:rPr>
                <w:rFonts w:eastAsia="Times New Roman"/>
                <w:color w:val="000000"/>
              </w:rPr>
              <w:t>92</w:t>
            </w:r>
            <w:r w:rsidR="006264EA">
              <w:rPr>
                <w:rFonts w:eastAsia="Times New Roman"/>
                <w:color w:val="000000"/>
              </w:rPr>
              <w:t>,</w:t>
            </w:r>
            <w:r w:rsidRPr="00A81971">
              <w:rPr>
                <w:rFonts w:eastAsia="Times New Roman"/>
                <w:color w:val="000000"/>
              </w:rPr>
              <w:t xml:space="preserve">299 </w:t>
            </w:r>
          </w:p>
        </w:tc>
        <w:tc>
          <w:tcPr>
            <w:tcW w:w="2551" w:type="dxa"/>
            <w:tcBorders>
              <w:top w:val="nil"/>
              <w:left w:val="nil"/>
              <w:bottom w:val="single" w:sz="4" w:space="0" w:color="auto"/>
              <w:right w:val="single" w:sz="4" w:space="0" w:color="auto"/>
            </w:tcBorders>
            <w:noWrap/>
            <w:vAlign w:val="center"/>
            <w:hideMark/>
          </w:tcPr>
          <w:p w14:paraId="4FD833B6" w14:textId="791D1C4F" w:rsidR="00DD1C7F" w:rsidRPr="00A81971" w:rsidRDefault="0032495C" w:rsidP="00A04930">
            <w:pPr>
              <w:spacing w:after="0"/>
              <w:jc w:val="right"/>
              <w:rPr>
                <w:rFonts w:eastAsia="Times New Roman"/>
                <w:color w:val="000000"/>
              </w:rPr>
            </w:pPr>
            <w:r w:rsidRPr="00A81971">
              <w:rPr>
                <w:rFonts w:eastAsia="Times New Roman"/>
                <w:color w:val="000000"/>
              </w:rPr>
              <w:t>15</w:t>
            </w:r>
            <w:r w:rsidR="006264EA">
              <w:rPr>
                <w:rFonts w:eastAsia="Times New Roman"/>
                <w:color w:val="000000"/>
              </w:rPr>
              <w:t>,</w:t>
            </w:r>
            <w:r w:rsidRPr="00A81971">
              <w:rPr>
                <w:rFonts w:eastAsia="Times New Roman"/>
                <w:color w:val="000000"/>
              </w:rPr>
              <w:t xml:space="preserve">383 </w:t>
            </w:r>
          </w:p>
        </w:tc>
      </w:tr>
      <w:tr w:rsidR="00F90461" w14:paraId="367D23D3"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969AF4E" w14:textId="77777777" w:rsidR="00DD1C7F" w:rsidRPr="00A81971" w:rsidRDefault="0032495C">
            <w:pPr>
              <w:spacing w:after="0"/>
              <w:rPr>
                <w:rFonts w:eastAsia="Times New Roman"/>
                <w:color w:val="000000"/>
              </w:rPr>
            </w:pPr>
            <w:r w:rsidRPr="00A81971">
              <w:rPr>
                <w:rFonts w:eastAsia="Times New Roman"/>
                <w:color w:val="000000"/>
              </w:rPr>
              <w:t>Sierra Leone</w:t>
            </w:r>
          </w:p>
        </w:tc>
        <w:tc>
          <w:tcPr>
            <w:tcW w:w="2651" w:type="dxa"/>
            <w:tcBorders>
              <w:top w:val="nil"/>
              <w:left w:val="nil"/>
              <w:bottom w:val="single" w:sz="4" w:space="0" w:color="auto"/>
              <w:right w:val="single" w:sz="4" w:space="0" w:color="auto"/>
            </w:tcBorders>
            <w:noWrap/>
            <w:vAlign w:val="center"/>
            <w:hideMark/>
          </w:tcPr>
          <w:p w14:paraId="76771800" w14:textId="6CD4097E" w:rsidR="00DD1C7F" w:rsidRPr="00A81971" w:rsidRDefault="0032495C" w:rsidP="00A04930">
            <w:pPr>
              <w:spacing w:after="0"/>
              <w:jc w:val="right"/>
              <w:rPr>
                <w:rFonts w:eastAsia="Times New Roman"/>
                <w:color w:val="000000"/>
              </w:rPr>
            </w:pPr>
            <w:r w:rsidRPr="00A81971">
              <w:rPr>
                <w:rFonts w:eastAsia="Times New Roman"/>
                <w:color w:val="000000"/>
              </w:rPr>
              <w:t>97</w:t>
            </w:r>
            <w:r w:rsidR="006264EA">
              <w:rPr>
                <w:rFonts w:eastAsia="Times New Roman"/>
                <w:color w:val="000000"/>
              </w:rPr>
              <w:t>,</w:t>
            </w:r>
            <w:r w:rsidRPr="00A81971">
              <w:rPr>
                <w:rFonts w:eastAsia="Times New Roman"/>
                <w:color w:val="000000"/>
              </w:rPr>
              <w:t xml:space="preserve">745 </w:t>
            </w:r>
          </w:p>
        </w:tc>
        <w:tc>
          <w:tcPr>
            <w:tcW w:w="2551" w:type="dxa"/>
            <w:tcBorders>
              <w:top w:val="nil"/>
              <w:left w:val="nil"/>
              <w:bottom w:val="single" w:sz="4" w:space="0" w:color="auto"/>
              <w:right w:val="single" w:sz="4" w:space="0" w:color="auto"/>
            </w:tcBorders>
            <w:noWrap/>
            <w:vAlign w:val="center"/>
            <w:hideMark/>
          </w:tcPr>
          <w:p w14:paraId="51E0C1F1" w14:textId="1D7D1E49" w:rsidR="00DD1C7F" w:rsidRPr="00A81971" w:rsidRDefault="0032495C" w:rsidP="00A04930">
            <w:pPr>
              <w:spacing w:after="0"/>
              <w:jc w:val="right"/>
              <w:rPr>
                <w:rFonts w:eastAsia="Times New Roman"/>
                <w:color w:val="000000"/>
              </w:rPr>
            </w:pPr>
            <w:r w:rsidRPr="00A81971">
              <w:rPr>
                <w:rFonts w:eastAsia="Times New Roman"/>
                <w:color w:val="000000"/>
              </w:rPr>
              <w:t>16</w:t>
            </w:r>
            <w:r w:rsidR="006264EA">
              <w:rPr>
                <w:rFonts w:eastAsia="Times New Roman"/>
                <w:color w:val="000000"/>
              </w:rPr>
              <w:t>,</w:t>
            </w:r>
            <w:r w:rsidRPr="00A81971">
              <w:rPr>
                <w:rFonts w:eastAsia="Times New Roman"/>
                <w:color w:val="000000"/>
              </w:rPr>
              <w:t xml:space="preserve">291 </w:t>
            </w:r>
          </w:p>
        </w:tc>
      </w:tr>
      <w:tr w:rsidR="00F90461" w14:paraId="63965E38"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79D4375B" w14:textId="77777777" w:rsidR="00DD1C7F" w:rsidRPr="00A81971" w:rsidRDefault="0032495C">
            <w:pPr>
              <w:spacing w:after="0"/>
              <w:rPr>
                <w:rFonts w:eastAsia="Times New Roman"/>
                <w:color w:val="000000"/>
              </w:rPr>
            </w:pPr>
            <w:r w:rsidRPr="00A81971">
              <w:rPr>
                <w:rFonts w:eastAsia="Times New Roman"/>
                <w:color w:val="000000"/>
              </w:rPr>
              <w:t>Somalia</w:t>
            </w:r>
          </w:p>
        </w:tc>
        <w:tc>
          <w:tcPr>
            <w:tcW w:w="2651" w:type="dxa"/>
            <w:tcBorders>
              <w:top w:val="nil"/>
              <w:left w:val="nil"/>
              <w:bottom w:val="single" w:sz="4" w:space="0" w:color="auto"/>
              <w:right w:val="single" w:sz="4" w:space="0" w:color="auto"/>
            </w:tcBorders>
            <w:noWrap/>
            <w:vAlign w:val="center"/>
            <w:hideMark/>
          </w:tcPr>
          <w:p w14:paraId="5D5C98DD" w14:textId="63FFA591" w:rsidR="00DD1C7F" w:rsidRPr="00A81971" w:rsidRDefault="0032495C" w:rsidP="00A04930">
            <w:pPr>
              <w:spacing w:after="0"/>
              <w:jc w:val="right"/>
              <w:rPr>
                <w:rFonts w:eastAsia="Times New Roman"/>
                <w:color w:val="000000"/>
              </w:rPr>
            </w:pPr>
            <w:r w:rsidRPr="00A81971">
              <w:rPr>
                <w:rFonts w:eastAsia="Times New Roman"/>
                <w:color w:val="000000"/>
              </w:rPr>
              <w:t>219</w:t>
            </w:r>
            <w:r w:rsidR="006264EA">
              <w:rPr>
                <w:rFonts w:eastAsia="Times New Roman"/>
                <w:color w:val="000000"/>
              </w:rPr>
              <w:t>,</w:t>
            </w:r>
            <w:r w:rsidRPr="00A81971">
              <w:rPr>
                <w:rFonts w:eastAsia="Times New Roman"/>
                <w:color w:val="000000"/>
              </w:rPr>
              <w:t xml:space="preserve">220 </w:t>
            </w:r>
          </w:p>
        </w:tc>
        <w:tc>
          <w:tcPr>
            <w:tcW w:w="2551" w:type="dxa"/>
            <w:tcBorders>
              <w:top w:val="nil"/>
              <w:left w:val="nil"/>
              <w:bottom w:val="single" w:sz="4" w:space="0" w:color="auto"/>
              <w:right w:val="single" w:sz="4" w:space="0" w:color="auto"/>
            </w:tcBorders>
            <w:noWrap/>
            <w:vAlign w:val="center"/>
            <w:hideMark/>
          </w:tcPr>
          <w:p w14:paraId="44614B66" w14:textId="617F9DB7" w:rsidR="00DD1C7F" w:rsidRPr="00A81971" w:rsidRDefault="0032495C" w:rsidP="00A04930">
            <w:pPr>
              <w:spacing w:after="0"/>
              <w:jc w:val="right"/>
              <w:rPr>
                <w:rFonts w:eastAsia="Times New Roman"/>
                <w:color w:val="000000"/>
              </w:rPr>
            </w:pPr>
            <w:r w:rsidRPr="00A81971">
              <w:rPr>
                <w:rFonts w:eastAsia="Times New Roman"/>
                <w:color w:val="000000"/>
              </w:rPr>
              <w:t>36</w:t>
            </w:r>
            <w:r w:rsidR="006264EA">
              <w:rPr>
                <w:rFonts w:eastAsia="Times New Roman"/>
                <w:color w:val="000000"/>
              </w:rPr>
              <w:t>,</w:t>
            </w:r>
            <w:r w:rsidRPr="00A81971">
              <w:rPr>
                <w:rFonts w:eastAsia="Times New Roman"/>
                <w:color w:val="000000"/>
              </w:rPr>
              <w:t xml:space="preserve">537 </w:t>
            </w:r>
          </w:p>
        </w:tc>
      </w:tr>
      <w:tr w:rsidR="00F90461" w14:paraId="51D424A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AA98634" w14:textId="77777777" w:rsidR="00DD1C7F" w:rsidRPr="00A81971" w:rsidRDefault="0032495C">
            <w:pPr>
              <w:spacing w:after="0"/>
              <w:rPr>
                <w:rFonts w:eastAsia="Times New Roman"/>
                <w:color w:val="000000"/>
              </w:rPr>
            </w:pPr>
            <w:r w:rsidRPr="00A81971">
              <w:rPr>
                <w:rFonts w:eastAsia="Times New Roman"/>
                <w:color w:val="000000"/>
              </w:rPr>
              <w:t>South Africa</w:t>
            </w:r>
          </w:p>
        </w:tc>
        <w:tc>
          <w:tcPr>
            <w:tcW w:w="2651" w:type="dxa"/>
            <w:tcBorders>
              <w:top w:val="nil"/>
              <w:left w:val="nil"/>
              <w:bottom w:val="single" w:sz="4" w:space="0" w:color="auto"/>
              <w:right w:val="single" w:sz="4" w:space="0" w:color="auto"/>
            </w:tcBorders>
            <w:noWrap/>
            <w:vAlign w:val="center"/>
            <w:hideMark/>
          </w:tcPr>
          <w:p w14:paraId="748E3607" w14:textId="5CDA7032" w:rsidR="00DD1C7F" w:rsidRPr="00A81971" w:rsidRDefault="0032495C" w:rsidP="00A04930">
            <w:pPr>
              <w:spacing w:after="0"/>
              <w:jc w:val="right"/>
              <w:rPr>
                <w:rFonts w:eastAsia="Times New Roman"/>
                <w:color w:val="000000"/>
              </w:rPr>
            </w:pPr>
            <w:r w:rsidRPr="00A81971">
              <w:rPr>
                <w:rFonts w:eastAsia="Times New Roman"/>
                <w:color w:val="000000"/>
              </w:rPr>
              <w:t>1</w:t>
            </w:r>
            <w:r w:rsidR="006264EA">
              <w:rPr>
                <w:rFonts w:eastAsia="Times New Roman"/>
                <w:color w:val="000000"/>
              </w:rPr>
              <w:t>,</w:t>
            </w:r>
            <w:r w:rsidRPr="00A81971">
              <w:rPr>
                <w:rFonts w:eastAsia="Times New Roman"/>
                <w:color w:val="000000"/>
              </w:rPr>
              <w:t>840</w:t>
            </w:r>
            <w:r w:rsidR="006264EA">
              <w:rPr>
                <w:rFonts w:eastAsia="Times New Roman"/>
                <w:color w:val="000000"/>
              </w:rPr>
              <w:t>,</w:t>
            </w:r>
            <w:r w:rsidRPr="00A81971">
              <w:rPr>
                <w:rFonts w:eastAsia="Times New Roman"/>
                <w:color w:val="000000"/>
              </w:rPr>
              <w:t xml:space="preserve">575 </w:t>
            </w:r>
          </w:p>
        </w:tc>
        <w:tc>
          <w:tcPr>
            <w:tcW w:w="2551" w:type="dxa"/>
            <w:tcBorders>
              <w:top w:val="nil"/>
              <w:left w:val="nil"/>
              <w:bottom w:val="single" w:sz="4" w:space="0" w:color="auto"/>
              <w:right w:val="single" w:sz="4" w:space="0" w:color="auto"/>
            </w:tcBorders>
            <w:noWrap/>
            <w:vAlign w:val="center"/>
            <w:hideMark/>
          </w:tcPr>
          <w:p w14:paraId="0EBBB324" w14:textId="430F28AC" w:rsidR="00DD1C7F" w:rsidRPr="00A81971" w:rsidRDefault="0032495C" w:rsidP="00A04930">
            <w:pPr>
              <w:spacing w:after="0"/>
              <w:jc w:val="right"/>
              <w:rPr>
                <w:rFonts w:eastAsia="Times New Roman"/>
                <w:color w:val="000000"/>
              </w:rPr>
            </w:pPr>
            <w:r w:rsidRPr="00A81971">
              <w:rPr>
                <w:rFonts w:eastAsia="Times New Roman"/>
                <w:color w:val="000000"/>
              </w:rPr>
              <w:t>306</w:t>
            </w:r>
            <w:r w:rsidR="006264EA">
              <w:rPr>
                <w:rFonts w:eastAsia="Times New Roman"/>
                <w:color w:val="000000"/>
              </w:rPr>
              <w:t>,</w:t>
            </w:r>
            <w:r w:rsidRPr="00A81971">
              <w:rPr>
                <w:rFonts w:eastAsia="Times New Roman"/>
                <w:color w:val="000000"/>
              </w:rPr>
              <w:t xml:space="preserve">763 </w:t>
            </w:r>
          </w:p>
        </w:tc>
      </w:tr>
      <w:tr w:rsidR="00F90461" w14:paraId="12AD68B9"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28ED376" w14:textId="77777777" w:rsidR="00DD1C7F" w:rsidRPr="00A81971" w:rsidRDefault="0032495C">
            <w:pPr>
              <w:spacing w:after="0"/>
              <w:rPr>
                <w:rFonts w:eastAsia="Times New Roman"/>
                <w:color w:val="000000"/>
              </w:rPr>
            </w:pPr>
            <w:r w:rsidRPr="00A81971">
              <w:rPr>
                <w:rFonts w:eastAsia="Times New Roman"/>
                <w:color w:val="000000"/>
              </w:rPr>
              <w:t>Sri Lanka</w:t>
            </w:r>
          </w:p>
        </w:tc>
        <w:tc>
          <w:tcPr>
            <w:tcW w:w="2651" w:type="dxa"/>
            <w:tcBorders>
              <w:top w:val="nil"/>
              <w:left w:val="nil"/>
              <w:bottom w:val="single" w:sz="4" w:space="0" w:color="auto"/>
              <w:right w:val="single" w:sz="4" w:space="0" w:color="auto"/>
            </w:tcBorders>
            <w:noWrap/>
            <w:vAlign w:val="center"/>
            <w:hideMark/>
          </w:tcPr>
          <w:p w14:paraId="4C5349EE" w14:textId="379827A6" w:rsidR="00DD1C7F" w:rsidRPr="00A81971" w:rsidRDefault="0032495C" w:rsidP="00A04930">
            <w:pPr>
              <w:spacing w:after="0"/>
              <w:jc w:val="right"/>
              <w:rPr>
                <w:rFonts w:eastAsia="Times New Roman"/>
                <w:color w:val="000000"/>
              </w:rPr>
            </w:pPr>
            <w:r w:rsidRPr="00A81971">
              <w:rPr>
                <w:rFonts w:eastAsia="Times New Roman"/>
                <w:color w:val="000000"/>
              </w:rPr>
              <w:t>267</w:t>
            </w:r>
            <w:r w:rsidR="006264EA">
              <w:rPr>
                <w:rFonts w:eastAsia="Times New Roman"/>
                <w:color w:val="000000"/>
              </w:rPr>
              <w:t>,</w:t>
            </w:r>
            <w:r w:rsidRPr="00A81971">
              <w:rPr>
                <w:rFonts w:eastAsia="Times New Roman"/>
                <w:color w:val="000000"/>
              </w:rPr>
              <w:t xml:space="preserve">276 </w:t>
            </w:r>
          </w:p>
        </w:tc>
        <w:tc>
          <w:tcPr>
            <w:tcW w:w="2551" w:type="dxa"/>
            <w:tcBorders>
              <w:top w:val="nil"/>
              <w:left w:val="nil"/>
              <w:bottom w:val="single" w:sz="4" w:space="0" w:color="auto"/>
              <w:right w:val="single" w:sz="4" w:space="0" w:color="auto"/>
            </w:tcBorders>
            <w:noWrap/>
            <w:vAlign w:val="center"/>
            <w:hideMark/>
          </w:tcPr>
          <w:p w14:paraId="3248172A" w14:textId="6335EAFC" w:rsidR="00DD1C7F" w:rsidRPr="00A81971" w:rsidRDefault="0032495C" w:rsidP="00A04930">
            <w:pPr>
              <w:spacing w:after="0"/>
              <w:jc w:val="right"/>
              <w:rPr>
                <w:rFonts w:eastAsia="Times New Roman"/>
                <w:color w:val="000000"/>
              </w:rPr>
            </w:pPr>
            <w:r w:rsidRPr="00A81971">
              <w:rPr>
                <w:rFonts w:eastAsia="Times New Roman"/>
                <w:color w:val="000000"/>
              </w:rPr>
              <w:t>44</w:t>
            </w:r>
            <w:r w:rsidR="006264EA">
              <w:rPr>
                <w:rFonts w:eastAsia="Times New Roman"/>
                <w:color w:val="000000"/>
              </w:rPr>
              <w:t>,</w:t>
            </w:r>
            <w:r w:rsidRPr="00A81971">
              <w:rPr>
                <w:rFonts w:eastAsia="Times New Roman"/>
                <w:color w:val="000000"/>
              </w:rPr>
              <w:t xml:space="preserve">546 </w:t>
            </w:r>
          </w:p>
        </w:tc>
      </w:tr>
      <w:tr w:rsidR="00F90461" w14:paraId="021D76FC"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2197391B" w14:textId="77777777" w:rsidR="00DD1C7F" w:rsidRPr="00A81971" w:rsidRDefault="0032495C">
            <w:pPr>
              <w:spacing w:after="0"/>
              <w:rPr>
                <w:rFonts w:eastAsia="Times New Roman"/>
                <w:color w:val="000000"/>
              </w:rPr>
            </w:pPr>
            <w:r w:rsidRPr="00A81971">
              <w:rPr>
                <w:rFonts w:eastAsia="Times New Roman"/>
                <w:color w:val="000000"/>
              </w:rPr>
              <w:t>Togo</w:t>
            </w:r>
          </w:p>
        </w:tc>
        <w:tc>
          <w:tcPr>
            <w:tcW w:w="2651" w:type="dxa"/>
            <w:tcBorders>
              <w:top w:val="nil"/>
              <w:left w:val="nil"/>
              <w:bottom w:val="single" w:sz="4" w:space="0" w:color="auto"/>
              <w:right w:val="single" w:sz="4" w:space="0" w:color="auto"/>
            </w:tcBorders>
            <w:noWrap/>
            <w:vAlign w:val="center"/>
            <w:hideMark/>
          </w:tcPr>
          <w:p w14:paraId="4176879E" w14:textId="2684C407" w:rsidR="00DD1C7F" w:rsidRPr="00A81971" w:rsidRDefault="0032495C" w:rsidP="00A04930">
            <w:pPr>
              <w:spacing w:after="0"/>
              <w:jc w:val="right"/>
              <w:rPr>
                <w:rFonts w:eastAsia="Times New Roman"/>
                <w:color w:val="000000"/>
              </w:rPr>
            </w:pPr>
            <w:r w:rsidRPr="00A81971">
              <w:rPr>
                <w:rFonts w:eastAsia="Times New Roman"/>
                <w:color w:val="000000"/>
              </w:rPr>
              <w:t>211</w:t>
            </w:r>
            <w:r w:rsidR="006264EA">
              <w:rPr>
                <w:rFonts w:eastAsia="Times New Roman"/>
                <w:color w:val="000000"/>
              </w:rPr>
              <w:t>,</w:t>
            </w:r>
            <w:r w:rsidRPr="00A81971">
              <w:rPr>
                <w:rFonts w:eastAsia="Times New Roman"/>
                <w:color w:val="000000"/>
              </w:rPr>
              <w:t xml:space="preserve">875 </w:t>
            </w:r>
          </w:p>
        </w:tc>
        <w:tc>
          <w:tcPr>
            <w:tcW w:w="2551" w:type="dxa"/>
            <w:tcBorders>
              <w:top w:val="nil"/>
              <w:left w:val="nil"/>
              <w:bottom w:val="single" w:sz="4" w:space="0" w:color="auto"/>
              <w:right w:val="single" w:sz="4" w:space="0" w:color="auto"/>
            </w:tcBorders>
            <w:noWrap/>
            <w:vAlign w:val="center"/>
            <w:hideMark/>
          </w:tcPr>
          <w:p w14:paraId="7B3D84D2" w14:textId="4E610B65" w:rsidR="00DD1C7F" w:rsidRPr="00A81971" w:rsidRDefault="0032495C" w:rsidP="00A04930">
            <w:pPr>
              <w:spacing w:after="0"/>
              <w:jc w:val="right"/>
              <w:rPr>
                <w:rFonts w:eastAsia="Times New Roman"/>
                <w:color w:val="000000"/>
              </w:rPr>
            </w:pPr>
            <w:r w:rsidRPr="00A81971">
              <w:rPr>
                <w:rFonts w:eastAsia="Times New Roman"/>
                <w:color w:val="000000"/>
              </w:rPr>
              <w:t>35</w:t>
            </w:r>
            <w:r w:rsidR="006264EA">
              <w:rPr>
                <w:rFonts w:eastAsia="Times New Roman"/>
                <w:color w:val="000000"/>
              </w:rPr>
              <w:t>,</w:t>
            </w:r>
            <w:r w:rsidRPr="00A81971">
              <w:rPr>
                <w:rFonts w:eastAsia="Times New Roman"/>
                <w:color w:val="000000"/>
              </w:rPr>
              <w:t xml:space="preserve">313 </w:t>
            </w:r>
          </w:p>
        </w:tc>
      </w:tr>
      <w:tr w:rsidR="00F90461" w14:paraId="767523B9"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3F6A5D6A" w14:textId="77777777" w:rsidR="00DD1C7F" w:rsidRPr="00A81971" w:rsidRDefault="0032495C">
            <w:pPr>
              <w:spacing w:after="0"/>
              <w:rPr>
                <w:rFonts w:eastAsia="Times New Roman"/>
                <w:color w:val="000000"/>
              </w:rPr>
            </w:pPr>
            <w:r w:rsidRPr="00A81971">
              <w:rPr>
                <w:rFonts w:eastAsia="Times New Roman"/>
                <w:color w:val="000000"/>
              </w:rPr>
              <w:t>Trinidad and Tobago</w:t>
            </w:r>
          </w:p>
        </w:tc>
        <w:tc>
          <w:tcPr>
            <w:tcW w:w="2651" w:type="dxa"/>
            <w:tcBorders>
              <w:top w:val="nil"/>
              <w:left w:val="nil"/>
              <w:bottom w:val="single" w:sz="4" w:space="0" w:color="auto"/>
              <w:right w:val="single" w:sz="4" w:space="0" w:color="auto"/>
            </w:tcBorders>
            <w:noWrap/>
            <w:vAlign w:val="center"/>
            <w:hideMark/>
          </w:tcPr>
          <w:p w14:paraId="6E8E8A5E" w14:textId="7BFF0D23" w:rsidR="00DD1C7F" w:rsidRPr="00A81971" w:rsidRDefault="0032495C" w:rsidP="00A04930">
            <w:pPr>
              <w:spacing w:after="0"/>
              <w:jc w:val="right"/>
              <w:rPr>
                <w:rFonts w:eastAsia="Times New Roman"/>
                <w:color w:val="000000"/>
              </w:rPr>
            </w:pPr>
            <w:r w:rsidRPr="00A81971">
              <w:rPr>
                <w:rFonts w:eastAsia="Times New Roman"/>
                <w:color w:val="000000"/>
              </w:rPr>
              <w:t>581</w:t>
            </w:r>
            <w:r w:rsidR="006264EA">
              <w:rPr>
                <w:rFonts w:eastAsia="Times New Roman"/>
                <w:color w:val="000000"/>
              </w:rPr>
              <w:t>,</w:t>
            </w:r>
            <w:r w:rsidRPr="00A81971">
              <w:rPr>
                <w:rFonts w:eastAsia="Times New Roman"/>
                <w:color w:val="000000"/>
              </w:rPr>
              <w:t xml:space="preserve">277 </w:t>
            </w:r>
          </w:p>
        </w:tc>
        <w:tc>
          <w:tcPr>
            <w:tcW w:w="2551" w:type="dxa"/>
            <w:tcBorders>
              <w:top w:val="nil"/>
              <w:left w:val="nil"/>
              <w:bottom w:val="single" w:sz="4" w:space="0" w:color="auto"/>
              <w:right w:val="single" w:sz="4" w:space="0" w:color="auto"/>
            </w:tcBorders>
            <w:noWrap/>
            <w:vAlign w:val="center"/>
            <w:hideMark/>
          </w:tcPr>
          <w:p w14:paraId="6D5F2757" w14:textId="02A7E3B1" w:rsidR="00DD1C7F" w:rsidRPr="00A81971" w:rsidRDefault="0032495C" w:rsidP="00A04930">
            <w:pPr>
              <w:spacing w:after="0"/>
              <w:jc w:val="right"/>
              <w:rPr>
                <w:rFonts w:eastAsia="Times New Roman"/>
                <w:color w:val="000000"/>
              </w:rPr>
            </w:pPr>
            <w:r w:rsidRPr="00A81971">
              <w:rPr>
                <w:rFonts w:eastAsia="Times New Roman"/>
                <w:color w:val="000000"/>
              </w:rPr>
              <w:t>96</w:t>
            </w:r>
            <w:r w:rsidR="006264EA">
              <w:rPr>
                <w:rFonts w:eastAsia="Times New Roman"/>
                <w:color w:val="000000"/>
              </w:rPr>
              <w:t>,</w:t>
            </w:r>
            <w:r w:rsidRPr="00A81971">
              <w:rPr>
                <w:rFonts w:eastAsia="Times New Roman"/>
                <w:color w:val="000000"/>
              </w:rPr>
              <w:t xml:space="preserve">880 </w:t>
            </w:r>
          </w:p>
        </w:tc>
      </w:tr>
      <w:tr w:rsidR="00F90461" w14:paraId="71F69EA7"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06E85870" w14:textId="77777777" w:rsidR="00DD1C7F" w:rsidRPr="00A81971" w:rsidRDefault="0032495C">
            <w:pPr>
              <w:spacing w:after="0"/>
              <w:rPr>
                <w:rFonts w:eastAsia="Times New Roman"/>
                <w:color w:val="000000"/>
              </w:rPr>
            </w:pPr>
            <w:r w:rsidRPr="00A81971">
              <w:rPr>
                <w:rFonts w:eastAsia="Times New Roman"/>
                <w:color w:val="000000"/>
              </w:rPr>
              <w:t>Tunisia</w:t>
            </w:r>
          </w:p>
        </w:tc>
        <w:tc>
          <w:tcPr>
            <w:tcW w:w="2651" w:type="dxa"/>
            <w:tcBorders>
              <w:top w:val="nil"/>
              <w:left w:val="nil"/>
              <w:bottom w:val="single" w:sz="4" w:space="0" w:color="auto"/>
              <w:right w:val="single" w:sz="4" w:space="0" w:color="auto"/>
            </w:tcBorders>
            <w:noWrap/>
            <w:vAlign w:val="center"/>
            <w:hideMark/>
          </w:tcPr>
          <w:p w14:paraId="1A956747" w14:textId="2ED2E4C8" w:rsidR="00DD1C7F" w:rsidRPr="00A81971" w:rsidRDefault="0032495C" w:rsidP="00A04930">
            <w:pPr>
              <w:spacing w:after="0"/>
              <w:jc w:val="right"/>
              <w:rPr>
                <w:rFonts w:eastAsia="Times New Roman"/>
                <w:color w:val="000000"/>
              </w:rPr>
            </w:pPr>
            <w:r w:rsidRPr="00A81971">
              <w:rPr>
                <w:rFonts w:eastAsia="Times New Roman"/>
                <w:color w:val="000000"/>
              </w:rPr>
              <w:t>1</w:t>
            </w:r>
            <w:r w:rsidR="006264EA">
              <w:rPr>
                <w:rFonts w:eastAsia="Times New Roman"/>
                <w:color w:val="000000"/>
              </w:rPr>
              <w:t>,</w:t>
            </w:r>
            <w:r w:rsidRPr="00A81971">
              <w:rPr>
                <w:rFonts w:eastAsia="Times New Roman"/>
                <w:color w:val="000000"/>
              </w:rPr>
              <w:t>689</w:t>
            </w:r>
            <w:r w:rsidR="006264EA">
              <w:rPr>
                <w:rFonts w:eastAsia="Times New Roman"/>
                <w:color w:val="000000"/>
              </w:rPr>
              <w:t>,</w:t>
            </w:r>
            <w:r w:rsidRPr="00A81971">
              <w:rPr>
                <w:rFonts w:eastAsia="Times New Roman"/>
                <w:color w:val="000000"/>
              </w:rPr>
              <w:t xml:space="preserve">926 </w:t>
            </w:r>
          </w:p>
        </w:tc>
        <w:tc>
          <w:tcPr>
            <w:tcW w:w="2551" w:type="dxa"/>
            <w:tcBorders>
              <w:top w:val="nil"/>
              <w:left w:val="nil"/>
              <w:bottom w:val="single" w:sz="4" w:space="0" w:color="auto"/>
              <w:right w:val="single" w:sz="4" w:space="0" w:color="auto"/>
            </w:tcBorders>
            <w:noWrap/>
            <w:vAlign w:val="center"/>
            <w:hideMark/>
          </w:tcPr>
          <w:p w14:paraId="70A7D72C" w14:textId="6B9F9569" w:rsidR="00DD1C7F" w:rsidRPr="00A81971" w:rsidRDefault="0032495C" w:rsidP="00A04930">
            <w:pPr>
              <w:spacing w:after="0"/>
              <w:jc w:val="right"/>
              <w:rPr>
                <w:rFonts w:eastAsia="Times New Roman"/>
                <w:color w:val="000000"/>
              </w:rPr>
            </w:pPr>
            <w:r w:rsidRPr="00A81971">
              <w:rPr>
                <w:rFonts w:eastAsia="Times New Roman"/>
                <w:color w:val="000000"/>
              </w:rPr>
              <w:t>281</w:t>
            </w:r>
            <w:r w:rsidR="006264EA">
              <w:rPr>
                <w:rFonts w:eastAsia="Times New Roman"/>
                <w:color w:val="000000"/>
              </w:rPr>
              <w:t>,</w:t>
            </w:r>
            <w:r w:rsidRPr="00A81971">
              <w:rPr>
                <w:rFonts w:eastAsia="Times New Roman"/>
                <w:color w:val="000000"/>
              </w:rPr>
              <w:t xml:space="preserve">654 </w:t>
            </w:r>
          </w:p>
        </w:tc>
      </w:tr>
      <w:tr w:rsidR="00F90461" w14:paraId="44411FE0"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D316D9F" w14:textId="77777777" w:rsidR="00DD1C7F" w:rsidRPr="00A81971" w:rsidRDefault="0032495C">
            <w:pPr>
              <w:spacing w:after="0"/>
              <w:rPr>
                <w:rFonts w:eastAsia="Times New Roman"/>
                <w:color w:val="000000"/>
              </w:rPr>
            </w:pPr>
            <w:r w:rsidRPr="00A81971">
              <w:rPr>
                <w:rFonts w:eastAsia="Times New Roman"/>
                <w:color w:val="000000"/>
              </w:rPr>
              <w:t>Turkmenistan</w:t>
            </w:r>
          </w:p>
        </w:tc>
        <w:tc>
          <w:tcPr>
            <w:tcW w:w="2651" w:type="dxa"/>
            <w:tcBorders>
              <w:top w:val="nil"/>
              <w:left w:val="nil"/>
              <w:bottom w:val="single" w:sz="4" w:space="0" w:color="auto"/>
              <w:right w:val="single" w:sz="4" w:space="0" w:color="auto"/>
            </w:tcBorders>
            <w:noWrap/>
            <w:vAlign w:val="center"/>
            <w:hideMark/>
          </w:tcPr>
          <w:p w14:paraId="0C473778" w14:textId="6433C54B" w:rsidR="00DD1C7F" w:rsidRPr="00A81971" w:rsidRDefault="0032495C" w:rsidP="00A04930">
            <w:pPr>
              <w:spacing w:after="0"/>
              <w:jc w:val="right"/>
              <w:rPr>
                <w:rFonts w:eastAsia="Times New Roman"/>
                <w:color w:val="000000"/>
              </w:rPr>
            </w:pPr>
            <w:r w:rsidRPr="00A81971">
              <w:rPr>
                <w:rFonts w:eastAsia="Times New Roman"/>
                <w:color w:val="000000"/>
              </w:rPr>
              <w:t>290</w:t>
            </w:r>
            <w:r w:rsidR="006264EA">
              <w:rPr>
                <w:rFonts w:eastAsia="Times New Roman"/>
                <w:color w:val="000000"/>
              </w:rPr>
              <w:t>,</w:t>
            </w:r>
            <w:r w:rsidRPr="00A81971">
              <w:rPr>
                <w:rFonts w:eastAsia="Times New Roman"/>
                <w:color w:val="000000"/>
              </w:rPr>
              <w:t xml:space="preserve">410 </w:t>
            </w:r>
          </w:p>
        </w:tc>
        <w:tc>
          <w:tcPr>
            <w:tcW w:w="2551" w:type="dxa"/>
            <w:tcBorders>
              <w:top w:val="nil"/>
              <w:left w:val="nil"/>
              <w:bottom w:val="single" w:sz="4" w:space="0" w:color="auto"/>
              <w:right w:val="single" w:sz="4" w:space="0" w:color="auto"/>
            </w:tcBorders>
            <w:noWrap/>
            <w:vAlign w:val="center"/>
            <w:hideMark/>
          </w:tcPr>
          <w:p w14:paraId="2327ADBE" w14:textId="3124BAAB" w:rsidR="00DD1C7F" w:rsidRPr="00A81971" w:rsidRDefault="0032495C" w:rsidP="00A04930">
            <w:pPr>
              <w:spacing w:after="0"/>
              <w:jc w:val="right"/>
              <w:rPr>
                <w:rFonts w:eastAsia="Times New Roman"/>
                <w:color w:val="000000"/>
              </w:rPr>
            </w:pPr>
            <w:r w:rsidRPr="00A81971">
              <w:rPr>
                <w:rFonts w:eastAsia="Times New Roman"/>
                <w:color w:val="000000"/>
              </w:rPr>
              <w:t>48</w:t>
            </w:r>
            <w:r w:rsidR="006264EA">
              <w:rPr>
                <w:rFonts w:eastAsia="Times New Roman"/>
                <w:color w:val="000000"/>
              </w:rPr>
              <w:t>,</w:t>
            </w:r>
            <w:r w:rsidRPr="00A81971">
              <w:rPr>
                <w:rFonts w:eastAsia="Times New Roman"/>
                <w:color w:val="000000"/>
              </w:rPr>
              <w:t xml:space="preserve">402 </w:t>
            </w:r>
          </w:p>
        </w:tc>
      </w:tr>
      <w:tr w:rsidR="00F90461" w14:paraId="0FC86E1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170A3A7" w14:textId="77777777" w:rsidR="00DD1C7F" w:rsidRPr="00A81971" w:rsidRDefault="0032495C">
            <w:pPr>
              <w:spacing w:after="0"/>
              <w:rPr>
                <w:rFonts w:eastAsia="Times New Roman"/>
                <w:color w:val="000000"/>
              </w:rPr>
            </w:pPr>
            <w:r w:rsidRPr="00A81971">
              <w:rPr>
                <w:rFonts w:eastAsia="Times New Roman"/>
                <w:color w:val="000000"/>
              </w:rPr>
              <w:t>Türkiye</w:t>
            </w:r>
          </w:p>
        </w:tc>
        <w:tc>
          <w:tcPr>
            <w:tcW w:w="2651" w:type="dxa"/>
            <w:tcBorders>
              <w:top w:val="nil"/>
              <w:left w:val="nil"/>
              <w:bottom w:val="single" w:sz="4" w:space="0" w:color="auto"/>
              <w:right w:val="single" w:sz="4" w:space="0" w:color="auto"/>
            </w:tcBorders>
            <w:noWrap/>
            <w:vAlign w:val="center"/>
            <w:hideMark/>
          </w:tcPr>
          <w:p w14:paraId="2942F7E4" w14:textId="26555909"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984</w:t>
            </w:r>
            <w:r w:rsidR="006264EA">
              <w:rPr>
                <w:rFonts w:eastAsia="Times New Roman"/>
                <w:color w:val="000000"/>
              </w:rPr>
              <w:t>,</w:t>
            </w:r>
            <w:r w:rsidRPr="00A81971">
              <w:rPr>
                <w:rFonts w:eastAsia="Times New Roman"/>
                <w:color w:val="000000"/>
              </w:rPr>
              <w:t xml:space="preserve">690 </w:t>
            </w:r>
          </w:p>
        </w:tc>
        <w:tc>
          <w:tcPr>
            <w:tcW w:w="2551" w:type="dxa"/>
            <w:tcBorders>
              <w:top w:val="nil"/>
              <w:left w:val="nil"/>
              <w:bottom w:val="single" w:sz="4" w:space="0" w:color="auto"/>
              <w:right w:val="single" w:sz="4" w:space="0" w:color="auto"/>
            </w:tcBorders>
            <w:noWrap/>
            <w:vAlign w:val="center"/>
            <w:hideMark/>
          </w:tcPr>
          <w:p w14:paraId="092C9E7A" w14:textId="33456651" w:rsidR="00DD1C7F" w:rsidRPr="00A81971" w:rsidRDefault="0032495C" w:rsidP="00A04930">
            <w:pPr>
              <w:spacing w:after="0"/>
              <w:jc w:val="right"/>
              <w:rPr>
                <w:rFonts w:eastAsia="Times New Roman"/>
                <w:color w:val="000000"/>
              </w:rPr>
            </w:pPr>
            <w:r w:rsidRPr="00A81971">
              <w:rPr>
                <w:rFonts w:eastAsia="Times New Roman"/>
                <w:color w:val="000000"/>
              </w:rPr>
              <w:t>497</w:t>
            </w:r>
            <w:r w:rsidR="006264EA">
              <w:rPr>
                <w:rFonts w:eastAsia="Times New Roman"/>
                <w:color w:val="000000"/>
              </w:rPr>
              <w:t>,</w:t>
            </w:r>
            <w:r w:rsidRPr="00A81971">
              <w:rPr>
                <w:rFonts w:eastAsia="Times New Roman"/>
                <w:color w:val="000000"/>
              </w:rPr>
              <w:t xml:space="preserve">448 </w:t>
            </w:r>
          </w:p>
        </w:tc>
      </w:tr>
      <w:tr w:rsidR="00F90461" w14:paraId="20CF32C3"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7340B93" w14:textId="77777777" w:rsidR="00DD1C7F" w:rsidRPr="00A81971" w:rsidRDefault="0032495C">
            <w:pPr>
              <w:spacing w:after="0"/>
              <w:rPr>
                <w:rFonts w:eastAsia="Times New Roman"/>
                <w:color w:val="000000"/>
              </w:rPr>
            </w:pPr>
            <w:r w:rsidRPr="00A81971">
              <w:rPr>
                <w:rFonts w:eastAsia="Times New Roman"/>
                <w:color w:val="000000"/>
              </w:rPr>
              <w:t>United Republic of Tanzania</w:t>
            </w:r>
          </w:p>
        </w:tc>
        <w:tc>
          <w:tcPr>
            <w:tcW w:w="2651" w:type="dxa"/>
            <w:tcBorders>
              <w:top w:val="nil"/>
              <w:left w:val="nil"/>
              <w:bottom w:val="single" w:sz="4" w:space="0" w:color="auto"/>
              <w:right w:val="single" w:sz="4" w:space="0" w:color="auto"/>
            </w:tcBorders>
            <w:noWrap/>
            <w:vAlign w:val="center"/>
            <w:hideMark/>
          </w:tcPr>
          <w:p w14:paraId="42ACC81D" w14:textId="0873062C" w:rsidR="00DD1C7F" w:rsidRPr="00A81971" w:rsidRDefault="0032495C" w:rsidP="00A04930">
            <w:pPr>
              <w:spacing w:after="0"/>
              <w:jc w:val="right"/>
              <w:rPr>
                <w:rFonts w:eastAsia="Times New Roman"/>
                <w:color w:val="000000"/>
              </w:rPr>
            </w:pPr>
            <w:r w:rsidRPr="00A81971">
              <w:rPr>
                <w:rFonts w:eastAsia="Times New Roman"/>
                <w:color w:val="000000"/>
              </w:rPr>
              <w:t>107</w:t>
            </w:r>
            <w:r w:rsidR="006264EA">
              <w:rPr>
                <w:rFonts w:eastAsia="Times New Roman"/>
                <w:color w:val="000000"/>
              </w:rPr>
              <w:t>,</w:t>
            </w:r>
            <w:r w:rsidRPr="00A81971">
              <w:rPr>
                <w:rFonts w:eastAsia="Times New Roman"/>
                <w:color w:val="000000"/>
              </w:rPr>
              <w:t xml:space="preserve">915 </w:t>
            </w:r>
          </w:p>
        </w:tc>
        <w:tc>
          <w:tcPr>
            <w:tcW w:w="2551" w:type="dxa"/>
            <w:tcBorders>
              <w:top w:val="nil"/>
              <w:left w:val="nil"/>
              <w:bottom w:val="single" w:sz="4" w:space="0" w:color="auto"/>
              <w:right w:val="single" w:sz="4" w:space="0" w:color="auto"/>
            </w:tcBorders>
            <w:noWrap/>
            <w:vAlign w:val="center"/>
            <w:hideMark/>
          </w:tcPr>
          <w:p w14:paraId="7985E5D6" w14:textId="3FC08A2B" w:rsidR="00DD1C7F" w:rsidRPr="00A81971" w:rsidRDefault="0032495C" w:rsidP="00A04930">
            <w:pPr>
              <w:spacing w:after="0"/>
              <w:jc w:val="right"/>
              <w:rPr>
                <w:rFonts w:eastAsia="Times New Roman"/>
                <w:color w:val="000000"/>
              </w:rPr>
            </w:pPr>
            <w:r w:rsidRPr="00A81971">
              <w:rPr>
                <w:rFonts w:eastAsia="Times New Roman"/>
                <w:color w:val="000000"/>
              </w:rPr>
              <w:t>17</w:t>
            </w:r>
            <w:r w:rsidR="006264EA">
              <w:rPr>
                <w:rFonts w:eastAsia="Times New Roman"/>
                <w:color w:val="000000"/>
              </w:rPr>
              <w:t>,</w:t>
            </w:r>
            <w:r w:rsidRPr="00A81971">
              <w:rPr>
                <w:rFonts w:eastAsia="Times New Roman"/>
                <w:color w:val="000000"/>
              </w:rPr>
              <w:t xml:space="preserve">986 </w:t>
            </w:r>
          </w:p>
        </w:tc>
      </w:tr>
      <w:tr w:rsidR="00F90461" w14:paraId="404FECC5"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47DB2B98" w14:textId="77777777" w:rsidR="00DD1C7F" w:rsidRPr="00A81971" w:rsidRDefault="0032495C">
            <w:pPr>
              <w:spacing w:after="0"/>
              <w:rPr>
                <w:rFonts w:eastAsia="Times New Roman"/>
                <w:color w:val="000000"/>
              </w:rPr>
            </w:pPr>
            <w:r w:rsidRPr="00A81971">
              <w:rPr>
                <w:rFonts w:eastAsia="Times New Roman"/>
                <w:color w:val="000000"/>
              </w:rPr>
              <w:t>Uruguay</w:t>
            </w:r>
          </w:p>
        </w:tc>
        <w:tc>
          <w:tcPr>
            <w:tcW w:w="2651" w:type="dxa"/>
            <w:tcBorders>
              <w:top w:val="nil"/>
              <w:left w:val="nil"/>
              <w:bottom w:val="single" w:sz="4" w:space="0" w:color="auto"/>
              <w:right w:val="single" w:sz="4" w:space="0" w:color="auto"/>
            </w:tcBorders>
            <w:noWrap/>
            <w:vAlign w:val="center"/>
            <w:hideMark/>
          </w:tcPr>
          <w:p w14:paraId="3E244E5F" w14:textId="588178B3" w:rsidR="00DD1C7F" w:rsidRPr="00A81971" w:rsidRDefault="0032495C" w:rsidP="00A04930">
            <w:pPr>
              <w:spacing w:after="0"/>
              <w:jc w:val="right"/>
              <w:rPr>
                <w:rFonts w:eastAsia="Times New Roman"/>
                <w:color w:val="000000"/>
              </w:rPr>
            </w:pPr>
            <w:r w:rsidRPr="00A81971">
              <w:rPr>
                <w:rFonts w:eastAsia="Times New Roman"/>
                <w:color w:val="000000"/>
              </w:rPr>
              <w:t>199</w:t>
            </w:r>
            <w:r w:rsidR="006264EA">
              <w:rPr>
                <w:rFonts w:eastAsia="Times New Roman"/>
                <w:color w:val="000000"/>
              </w:rPr>
              <w:t>,</w:t>
            </w:r>
            <w:r w:rsidRPr="00A81971">
              <w:rPr>
                <w:rFonts w:eastAsia="Times New Roman"/>
                <w:color w:val="000000"/>
              </w:rPr>
              <w:t xml:space="preserve">769 </w:t>
            </w:r>
          </w:p>
        </w:tc>
        <w:tc>
          <w:tcPr>
            <w:tcW w:w="2551" w:type="dxa"/>
            <w:tcBorders>
              <w:top w:val="nil"/>
              <w:left w:val="nil"/>
              <w:bottom w:val="single" w:sz="4" w:space="0" w:color="auto"/>
              <w:right w:val="single" w:sz="4" w:space="0" w:color="auto"/>
            </w:tcBorders>
            <w:noWrap/>
            <w:vAlign w:val="center"/>
            <w:hideMark/>
          </w:tcPr>
          <w:p w14:paraId="11DF586C" w14:textId="7A004623" w:rsidR="00DD1C7F" w:rsidRPr="00A81971" w:rsidRDefault="0032495C" w:rsidP="00A04930">
            <w:pPr>
              <w:spacing w:after="0"/>
              <w:jc w:val="right"/>
              <w:rPr>
                <w:rFonts w:eastAsia="Times New Roman"/>
                <w:color w:val="000000"/>
              </w:rPr>
            </w:pPr>
            <w:r w:rsidRPr="00A81971">
              <w:rPr>
                <w:rFonts w:eastAsia="Times New Roman"/>
                <w:color w:val="000000"/>
              </w:rPr>
              <w:t>33</w:t>
            </w:r>
            <w:r w:rsidR="006264EA">
              <w:rPr>
                <w:rFonts w:eastAsia="Times New Roman"/>
                <w:color w:val="000000"/>
              </w:rPr>
              <w:t>,</w:t>
            </w:r>
            <w:r w:rsidRPr="00A81971">
              <w:rPr>
                <w:rFonts w:eastAsia="Times New Roman"/>
                <w:color w:val="000000"/>
              </w:rPr>
              <w:t xml:space="preserve">295 </w:t>
            </w:r>
          </w:p>
        </w:tc>
      </w:tr>
      <w:tr w:rsidR="00F90461" w14:paraId="41AFD736"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553B0A9F" w14:textId="77777777" w:rsidR="00DD1C7F" w:rsidRPr="00A81971" w:rsidRDefault="0032495C">
            <w:pPr>
              <w:spacing w:after="0"/>
              <w:rPr>
                <w:rFonts w:eastAsia="Times New Roman"/>
                <w:color w:val="000000"/>
              </w:rPr>
            </w:pPr>
            <w:r w:rsidRPr="00A81971">
              <w:rPr>
                <w:rFonts w:eastAsia="Times New Roman"/>
                <w:color w:val="000000"/>
              </w:rPr>
              <w:t>Viet Nam</w:t>
            </w:r>
          </w:p>
        </w:tc>
        <w:tc>
          <w:tcPr>
            <w:tcW w:w="2651" w:type="dxa"/>
            <w:tcBorders>
              <w:top w:val="nil"/>
              <w:left w:val="nil"/>
              <w:bottom w:val="single" w:sz="4" w:space="0" w:color="auto"/>
              <w:right w:val="single" w:sz="4" w:space="0" w:color="auto"/>
            </w:tcBorders>
            <w:noWrap/>
            <w:vAlign w:val="center"/>
            <w:hideMark/>
          </w:tcPr>
          <w:p w14:paraId="5513536C" w14:textId="5D318D65" w:rsidR="00DD1C7F" w:rsidRPr="00A81971" w:rsidRDefault="0032495C" w:rsidP="00A04930">
            <w:pPr>
              <w:spacing w:after="0"/>
              <w:jc w:val="right"/>
              <w:rPr>
                <w:rFonts w:eastAsia="Times New Roman"/>
                <w:color w:val="000000"/>
              </w:rPr>
            </w:pPr>
            <w:r w:rsidRPr="00A81971">
              <w:rPr>
                <w:rFonts w:eastAsia="Times New Roman"/>
                <w:color w:val="000000"/>
              </w:rPr>
              <w:t>2</w:t>
            </w:r>
            <w:r w:rsidR="006264EA">
              <w:rPr>
                <w:rFonts w:eastAsia="Times New Roman"/>
                <w:color w:val="000000"/>
              </w:rPr>
              <w:t>,</w:t>
            </w:r>
            <w:r w:rsidRPr="00A81971">
              <w:rPr>
                <w:rFonts w:eastAsia="Times New Roman"/>
                <w:color w:val="000000"/>
              </w:rPr>
              <w:t>183</w:t>
            </w:r>
            <w:r w:rsidR="006264EA">
              <w:rPr>
                <w:rFonts w:eastAsia="Times New Roman"/>
                <w:color w:val="000000"/>
              </w:rPr>
              <w:t>,</w:t>
            </w:r>
            <w:r w:rsidRPr="00A81971">
              <w:rPr>
                <w:rFonts w:eastAsia="Times New Roman"/>
                <w:color w:val="000000"/>
              </w:rPr>
              <w:t xml:space="preserve">683 </w:t>
            </w:r>
          </w:p>
        </w:tc>
        <w:tc>
          <w:tcPr>
            <w:tcW w:w="2551" w:type="dxa"/>
            <w:tcBorders>
              <w:top w:val="nil"/>
              <w:left w:val="nil"/>
              <w:bottom w:val="single" w:sz="4" w:space="0" w:color="auto"/>
              <w:right w:val="single" w:sz="4" w:space="0" w:color="auto"/>
            </w:tcBorders>
            <w:noWrap/>
            <w:vAlign w:val="center"/>
            <w:hideMark/>
          </w:tcPr>
          <w:p w14:paraId="61743205" w14:textId="510A3754" w:rsidR="00DD1C7F" w:rsidRPr="00A81971" w:rsidRDefault="0032495C" w:rsidP="00A04930">
            <w:pPr>
              <w:spacing w:after="0"/>
              <w:jc w:val="right"/>
              <w:rPr>
                <w:rFonts w:eastAsia="Times New Roman"/>
                <w:color w:val="000000"/>
              </w:rPr>
            </w:pPr>
            <w:r w:rsidRPr="00A81971">
              <w:rPr>
                <w:rFonts w:eastAsia="Times New Roman"/>
                <w:color w:val="000000"/>
              </w:rPr>
              <w:t>363</w:t>
            </w:r>
            <w:r w:rsidR="006264EA">
              <w:rPr>
                <w:rFonts w:eastAsia="Times New Roman"/>
                <w:color w:val="000000"/>
              </w:rPr>
              <w:t>,</w:t>
            </w:r>
            <w:r w:rsidRPr="00A81971">
              <w:rPr>
                <w:rFonts w:eastAsia="Times New Roman"/>
                <w:color w:val="000000"/>
              </w:rPr>
              <w:t xml:space="preserve">947 </w:t>
            </w:r>
          </w:p>
        </w:tc>
      </w:tr>
      <w:tr w:rsidR="00F90461" w14:paraId="43873629" w14:textId="77777777" w:rsidTr="00A04930">
        <w:trPr>
          <w:trHeight w:val="300"/>
        </w:trPr>
        <w:tc>
          <w:tcPr>
            <w:tcW w:w="3865" w:type="dxa"/>
            <w:tcBorders>
              <w:top w:val="nil"/>
              <w:left w:val="single" w:sz="4" w:space="0" w:color="auto"/>
              <w:bottom w:val="single" w:sz="4" w:space="0" w:color="auto"/>
              <w:right w:val="single" w:sz="4" w:space="0" w:color="auto"/>
            </w:tcBorders>
            <w:noWrap/>
            <w:vAlign w:val="bottom"/>
            <w:hideMark/>
          </w:tcPr>
          <w:p w14:paraId="11E013F4" w14:textId="77777777" w:rsidR="00DD1C7F" w:rsidRPr="00A81971" w:rsidRDefault="0032495C">
            <w:pPr>
              <w:spacing w:after="0"/>
              <w:rPr>
                <w:rFonts w:eastAsia="Times New Roman"/>
                <w:color w:val="000000"/>
              </w:rPr>
            </w:pPr>
            <w:r w:rsidRPr="00A81971">
              <w:rPr>
                <w:rFonts w:eastAsia="Times New Roman"/>
                <w:color w:val="000000"/>
              </w:rPr>
              <w:t>Zimbabwe</w:t>
            </w:r>
          </w:p>
        </w:tc>
        <w:tc>
          <w:tcPr>
            <w:tcW w:w="2651" w:type="dxa"/>
            <w:tcBorders>
              <w:top w:val="nil"/>
              <w:left w:val="nil"/>
              <w:bottom w:val="single" w:sz="4" w:space="0" w:color="auto"/>
              <w:right w:val="single" w:sz="4" w:space="0" w:color="auto"/>
            </w:tcBorders>
            <w:noWrap/>
            <w:vAlign w:val="center"/>
            <w:hideMark/>
          </w:tcPr>
          <w:p w14:paraId="5C6A293E" w14:textId="0FF970FA" w:rsidR="00DD1C7F" w:rsidRPr="00A81971" w:rsidRDefault="0032495C" w:rsidP="00A04930">
            <w:pPr>
              <w:spacing w:after="0"/>
              <w:jc w:val="right"/>
              <w:rPr>
                <w:rFonts w:eastAsia="Times New Roman"/>
                <w:color w:val="000000"/>
              </w:rPr>
            </w:pPr>
            <w:r w:rsidRPr="00A81971">
              <w:rPr>
                <w:rFonts w:eastAsia="Times New Roman"/>
                <w:color w:val="000000"/>
              </w:rPr>
              <w:t>272</w:t>
            </w:r>
            <w:r w:rsidR="006264EA">
              <w:rPr>
                <w:rFonts w:eastAsia="Times New Roman"/>
                <w:color w:val="000000"/>
              </w:rPr>
              <w:t>,</w:t>
            </w:r>
            <w:r w:rsidRPr="00A81971">
              <w:rPr>
                <w:rFonts w:eastAsia="Times New Roman"/>
                <w:color w:val="000000"/>
              </w:rPr>
              <w:t xml:space="preserve">895 </w:t>
            </w:r>
          </w:p>
        </w:tc>
        <w:tc>
          <w:tcPr>
            <w:tcW w:w="2551" w:type="dxa"/>
            <w:tcBorders>
              <w:top w:val="nil"/>
              <w:left w:val="nil"/>
              <w:bottom w:val="single" w:sz="4" w:space="0" w:color="auto"/>
              <w:right w:val="single" w:sz="4" w:space="0" w:color="auto"/>
            </w:tcBorders>
            <w:noWrap/>
            <w:vAlign w:val="center"/>
            <w:hideMark/>
          </w:tcPr>
          <w:p w14:paraId="6FBD12CD" w14:textId="6F6FEA07" w:rsidR="00DD1C7F" w:rsidRPr="00A81971" w:rsidRDefault="0032495C" w:rsidP="00A04930">
            <w:pPr>
              <w:spacing w:after="0"/>
              <w:jc w:val="right"/>
              <w:rPr>
                <w:rFonts w:eastAsia="Times New Roman"/>
                <w:color w:val="000000"/>
              </w:rPr>
            </w:pPr>
            <w:r w:rsidRPr="00A81971">
              <w:rPr>
                <w:rFonts w:eastAsia="Times New Roman"/>
                <w:color w:val="000000"/>
              </w:rPr>
              <w:t>45</w:t>
            </w:r>
            <w:r w:rsidR="006264EA">
              <w:rPr>
                <w:rFonts w:eastAsia="Times New Roman"/>
                <w:color w:val="000000"/>
              </w:rPr>
              <w:t>,</w:t>
            </w:r>
            <w:r w:rsidRPr="00A81971">
              <w:rPr>
                <w:rFonts w:eastAsia="Times New Roman"/>
                <w:color w:val="000000"/>
              </w:rPr>
              <w:t xml:space="preserve">483 </w:t>
            </w:r>
          </w:p>
        </w:tc>
      </w:tr>
    </w:tbl>
    <w:p w14:paraId="3535AE1E" w14:textId="77777777" w:rsidR="00DD1C7F" w:rsidRPr="00A81971" w:rsidRDefault="0032495C" w:rsidP="62462A06">
      <w:pPr>
        <w:spacing w:after="0"/>
        <w:rPr>
          <w:rFonts w:eastAsia="Times New Roman"/>
          <w:b/>
          <w:bCs/>
          <w:caps/>
          <w:color w:val="000000" w:themeColor="text1"/>
          <w:sz w:val="28"/>
          <w:szCs w:val="28"/>
          <w:lang w:eastAsia="nl-NL"/>
        </w:rPr>
      </w:pPr>
      <w:r w:rsidRPr="006B2355">
        <w:rPr>
          <w:b/>
          <w:bCs/>
        </w:rPr>
        <w:t>Source: MLFS</w:t>
      </w:r>
      <w:r w:rsidRPr="00A81971">
        <w:rPr>
          <w:sz w:val="28"/>
          <w:szCs w:val="28"/>
        </w:rPr>
        <w:br w:type="page"/>
      </w:r>
    </w:p>
    <w:p w14:paraId="67658BF7" w14:textId="33720C20" w:rsidR="6EDB0298" w:rsidRPr="00A81971" w:rsidRDefault="0032495C" w:rsidP="00696E14">
      <w:pPr>
        <w:pStyle w:val="Heading1"/>
        <w:rPr>
          <w:bCs/>
          <w:color w:val="202020"/>
          <w:sz w:val="22"/>
          <w:szCs w:val="22"/>
        </w:rPr>
      </w:pPr>
      <w:bookmarkStart w:id="254" w:name="_Toc240987359"/>
      <w:r w:rsidRPr="00A81971">
        <w:lastRenderedPageBreak/>
        <w:t xml:space="preserve">ANNEX </w:t>
      </w:r>
      <w:r w:rsidR="00FB0EE7" w:rsidRPr="00A81971">
        <w:t>5</w:t>
      </w:r>
      <w:r w:rsidRPr="00A81971">
        <w:t>:</w:t>
      </w:r>
      <w:r w:rsidR="00C10A2B">
        <w:tab/>
      </w:r>
      <w:r w:rsidRPr="002E3156">
        <w:t>Fixed-cost and activity-based scale-up analyses</w:t>
      </w:r>
      <w:bookmarkEnd w:id="254"/>
      <w:r w:rsidRPr="00A81971">
        <w:rPr>
          <w:bCs/>
          <w:color w:val="202020"/>
          <w:sz w:val="22"/>
          <w:szCs w:val="22"/>
        </w:rPr>
        <w:t xml:space="preserve"> </w:t>
      </w:r>
    </w:p>
    <w:p w14:paraId="3DB75F1E" w14:textId="1AEAC63D" w:rsidR="6EDB0298" w:rsidRPr="006B2355" w:rsidRDefault="0032495C" w:rsidP="00201CFA">
      <w:pPr>
        <w:pStyle w:val="Heading2"/>
      </w:pPr>
      <w:bookmarkStart w:id="255" w:name="_Toc240987360"/>
      <w:r w:rsidRPr="006B2355">
        <w:t>A</w:t>
      </w:r>
      <w:r w:rsidR="0008488E" w:rsidRPr="006B2355">
        <w:t>5</w:t>
      </w:r>
      <w:r w:rsidRPr="006B2355">
        <w:t>.1</w:t>
      </w:r>
      <w:r w:rsidR="002E3156">
        <w:tab/>
      </w:r>
      <w:r w:rsidRPr="006B2355">
        <w:t>Fixed-cost analysis</w:t>
      </w:r>
      <w:bookmarkEnd w:id="255"/>
    </w:p>
    <w:p w14:paraId="3EC8DA50"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fixed-cost analysis isolates the minimum institutional and system-building requirements identified in the May 2026 RTF report while the activity-based analysis that follows then considers the wider package of substantive</w:t>
      </w:r>
      <w:r>
        <w:rPr>
          <w:rFonts w:eastAsia="Times New Roman"/>
          <w:color w:val="202020"/>
          <w:vertAlign w:val="superscript"/>
        </w:rPr>
        <w:footnoteReference w:id="35"/>
      </w:r>
      <w:r w:rsidRPr="00A81971">
        <w:rPr>
          <w:rFonts w:eastAsia="Times New Roman"/>
          <w:color w:val="202020"/>
        </w:rPr>
        <w:t xml:space="preserve"> and continuing</w:t>
      </w:r>
      <w:r>
        <w:rPr>
          <w:rFonts w:eastAsia="Times New Roman"/>
          <w:color w:val="202020"/>
          <w:vertAlign w:val="superscript"/>
        </w:rPr>
        <w:footnoteReference w:id="36"/>
      </w:r>
      <w:r w:rsidRPr="00A81971">
        <w:rPr>
          <w:rFonts w:eastAsia="Times New Roman"/>
          <w:color w:val="202020"/>
        </w:rPr>
        <w:t xml:space="preserve"> implementation activities. The two analyses are complementary and should not be interpreted as alternative calculations of the same cost base.</w:t>
      </w:r>
    </w:p>
    <w:p w14:paraId="3A6C15CA" w14:textId="0F8AFB09" w:rsidR="6EDB0298" w:rsidRPr="002E3156" w:rsidRDefault="0032495C" w:rsidP="00FE5C31">
      <w:pPr>
        <w:pStyle w:val="Heading3"/>
        <w:spacing w:before="120" w:after="120"/>
      </w:pPr>
      <w:r w:rsidRPr="002E3156">
        <w:t>A</w:t>
      </w:r>
      <w:r w:rsidR="0008488E" w:rsidRPr="002E3156">
        <w:t>5</w:t>
      </w:r>
      <w:r w:rsidRPr="002E3156">
        <w:t xml:space="preserve">.1.1 </w:t>
      </w:r>
      <w:r w:rsidR="002E3156" w:rsidRPr="002E3156">
        <w:tab/>
      </w:r>
      <w:r w:rsidRPr="002E3156">
        <w:t>Methodology for fixed-cost analysis</w:t>
      </w:r>
    </w:p>
    <w:p w14:paraId="5F8CC158" w14:textId="77777777" w:rsidR="6EDB0298" w:rsidRPr="00A81971" w:rsidRDefault="0032495C" w:rsidP="00FE5C31">
      <w:pPr>
        <w:spacing w:before="120" w:after="120" w:line="257" w:lineRule="auto"/>
        <w:rPr>
          <w:rFonts w:eastAsia="Times New Roman"/>
          <w:color w:val="202020"/>
        </w:rPr>
      </w:pPr>
      <w:r w:rsidRPr="00A81971">
        <w:rPr>
          <w:rFonts w:eastAsia="Times New Roman"/>
          <w:color w:val="202020"/>
        </w:rPr>
        <w:t>RTF updated the fixed-cost analysis presented in the May 2026 report. That analysis used one representative country for each of the eight funding brackets.</w:t>
      </w:r>
    </w:p>
    <w:p w14:paraId="35E23A71" w14:textId="77777777" w:rsidR="6EDB0298" w:rsidRPr="00A81971" w:rsidRDefault="0032495C" w:rsidP="00FE5C31">
      <w:pPr>
        <w:spacing w:before="120" w:after="120" w:line="257" w:lineRule="auto"/>
        <w:rPr>
          <w:rFonts w:eastAsia="Times New Roman"/>
          <w:color w:val="202020"/>
        </w:rPr>
      </w:pPr>
      <w:r w:rsidRPr="00A81971">
        <w:rPr>
          <w:rFonts w:eastAsia="Times New Roman"/>
          <w:color w:val="202020"/>
        </w:rPr>
        <w:t>Fixed costs cover the minimum systems needed to implement and maintain HFC controls. These include policy and regulatory development; licensing, quota and reporting systems; customs and enforcement procedures; standards and standard operating procedures; development of training curricula and certification frameworks; and project coordination, monitoring and reporting.</w:t>
      </w:r>
    </w:p>
    <w:p w14:paraId="42E8C2FD" w14:textId="77777777" w:rsidR="6EDB0298" w:rsidRPr="00A81971" w:rsidRDefault="0032495C" w:rsidP="00FE5C31">
      <w:pPr>
        <w:spacing w:before="120" w:after="120" w:line="257" w:lineRule="auto"/>
        <w:rPr>
          <w:rFonts w:eastAsia="Times New Roman"/>
          <w:color w:val="202020"/>
        </w:rPr>
      </w:pPr>
      <w:r w:rsidRPr="00A81971">
        <w:rPr>
          <w:rFonts w:eastAsia="Times New Roman"/>
          <w:color w:val="202020"/>
        </w:rPr>
        <w:t>Costs that depend on the scale of implementation, such as delivery of technician training and per-technician certification, equipment, demonstrations, broad awareness activities and gender-related outreach, are excluded from the fixed-cost incremental calculation.</w:t>
      </w:r>
    </w:p>
    <w:p w14:paraId="768D37C0" w14:textId="77777777" w:rsidR="6EDB0298" w:rsidRPr="00A81971" w:rsidRDefault="0032495C" w:rsidP="00FE5C31">
      <w:pPr>
        <w:spacing w:before="120" w:after="120" w:line="257" w:lineRule="auto"/>
        <w:rPr>
          <w:rFonts w:eastAsia="Times New Roman"/>
          <w:color w:val="202020"/>
        </w:rPr>
      </w:pPr>
      <w:r w:rsidRPr="00A81971">
        <w:rPr>
          <w:rFonts w:eastAsia="Times New Roman"/>
          <w:color w:val="202020"/>
        </w:rPr>
        <w:t>For Stage II, the starting point is an overall funding envelope equal to twice the Stage I funding. RTF then applied an additional allowance equal to either 50% or 75% of the Stage I fixed-cost amount. The resulting Stage II fixed-cost amount is therefore 150% or 175% of the Stage I fixed-cost amount. The allowance is intended to cover the extension and strengthening of national systems during Stage II; it is not intended to finance the same Stage I activities a second time.</w:t>
      </w:r>
    </w:p>
    <w:p w14:paraId="22A0CAC5" w14:textId="4C37B862" w:rsidR="6EDB0298" w:rsidRPr="002E3156" w:rsidRDefault="0032495C" w:rsidP="00FE5C31">
      <w:pPr>
        <w:pStyle w:val="Heading3"/>
        <w:spacing w:before="120" w:after="120"/>
      </w:pPr>
      <w:r w:rsidRPr="002E3156">
        <w:t>A</w:t>
      </w:r>
      <w:r w:rsidR="0008488E" w:rsidRPr="002E3156">
        <w:t>5.</w:t>
      </w:r>
      <w:r w:rsidRPr="002E3156">
        <w:t xml:space="preserve">1.2 </w:t>
      </w:r>
      <w:r w:rsidR="002E3156">
        <w:tab/>
      </w:r>
      <w:r w:rsidRPr="002E3156">
        <w:t>Analysis of fixed costs</w:t>
      </w:r>
    </w:p>
    <w:p w14:paraId="0D8FB186"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Table A</w:t>
      </w:r>
      <w:r w:rsidR="0008488E" w:rsidRPr="00A81971">
        <w:rPr>
          <w:rFonts w:eastAsia="Times New Roman"/>
          <w:color w:val="202020"/>
        </w:rPr>
        <w:t>5</w:t>
      </w:r>
      <w:r w:rsidRPr="00A81971">
        <w:rPr>
          <w:rFonts w:eastAsia="Times New Roman"/>
          <w:b/>
          <w:bCs/>
          <w:color w:val="202020"/>
        </w:rPr>
        <w:t>.</w:t>
      </w:r>
      <w:r w:rsidRPr="00A81971">
        <w:rPr>
          <w:rFonts w:eastAsia="Times New Roman"/>
          <w:color w:val="202020"/>
        </w:rPr>
        <w:t>1 presents the fixed system-building costs identified in the previous analysis and the additional allowances used for the two scenarios. Agency support costs are excluded.</w:t>
      </w:r>
    </w:p>
    <w:p w14:paraId="5C9A1FDE" w14:textId="77777777" w:rsidR="6EDB0298" w:rsidRPr="00A81971" w:rsidRDefault="0032495C" w:rsidP="00FB45F0">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A5.1:</w:t>
      </w:r>
      <w:r w:rsidRPr="0006445E">
        <w:rPr>
          <w:rFonts w:eastAsia="Times New Roman"/>
          <w:color w:val="000000"/>
          <w:lang w:val="en-CA"/>
        </w:rPr>
        <w:tab/>
      </w:r>
      <w:r w:rsidRPr="00A81971">
        <w:rPr>
          <w:rFonts w:eastAsia="Times New Roman"/>
          <w:b/>
          <w:bCs/>
        </w:rPr>
        <w:t xml:space="preserve">Fixed-cost analysis for the eight funding brackets (US$) </w:t>
      </w:r>
    </w:p>
    <w:tbl>
      <w:tblPr>
        <w:tblStyle w:val="TableGrid"/>
        <w:tblW w:w="0" w:type="auto"/>
        <w:tblLook w:val="04A0" w:firstRow="1" w:lastRow="0" w:firstColumn="1" w:lastColumn="0" w:noHBand="0" w:noVBand="1"/>
      </w:tblPr>
      <w:tblGrid>
        <w:gridCol w:w="1095"/>
        <w:gridCol w:w="1215"/>
        <w:gridCol w:w="1151"/>
        <w:gridCol w:w="1085"/>
        <w:gridCol w:w="1860"/>
        <w:gridCol w:w="1755"/>
      </w:tblGrid>
      <w:tr w:rsidR="00F90461" w14:paraId="6C2929E4" w14:textId="77777777" w:rsidTr="00FB45F0">
        <w:trPr>
          <w:trHeight w:val="300"/>
          <w:tblHeader/>
        </w:trPr>
        <w:tc>
          <w:tcPr>
            <w:tcW w:w="10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FC57EB6"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Bracket</w:t>
            </w:r>
          </w:p>
        </w:tc>
        <w:tc>
          <w:tcPr>
            <w:tcW w:w="121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69AD7A4"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funding</w:t>
            </w:r>
          </w:p>
        </w:tc>
        <w:tc>
          <w:tcPr>
            <w:tcW w:w="115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D4FB261"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Fixed amount</w:t>
            </w:r>
          </w:p>
        </w:tc>
        <w:tc>
          <w:tcPr>
            <w:tcW w:w="108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57AFA32"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Fixed share</w:t>
            </w:r>
          </w:p>
        </w:tc>
        <w:tc>
          <w:tcPr>
            <w:tcW w:w="186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9DD2A87"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allowance: 50%</w:t>
            </w:r>
          </w:p>
        </w:tc>
        <w:tc>
          <w:tcPr>
            <w:tcW w:w="175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4B55920"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allowance: 75%</w:t>
            </w:r>
          </w:p>
        </w:tc>
      </w:tr>
      <w:tr w:rsidR="00F90461" w14:paraId="7FC75784"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239070B" w14:textId="77777777" w:rsidR="6EDB0298" w:rsidRPr="00A81971" w:rsidRDefault="0032495C" w:rsidP="00A04930">
            <w:pPr>
              <w:spacing w:after="0"/>
              <w:rPr>
                <w:rFonts w:eastAsia="Times New Roman"/>
                <w:color w:val="202020"/>
              </w:rPr>
            </w:pPr>
            <w:r w:rsidRPr="00A81971">
              <w:rPr>
                <w:rFonts w:eastAsia="Times New Roman"/>
                <w:color w:val="202020"/>
              </w:rPr>
              <w:t>1</w:t>
            </w:r>
          </w:p>
        </w:tc>
        <w:tc>
          <w:tcPr>
            <w:tcW w:w="121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0CFE42C" w14:textId="77777777" w:rsidR="6EDB0298" w:rsidRPr="00A81971" w:rsidRDefault="0032495C" w:rsidP="6EDB0298">
            <w:pPr>
              <w:spacing w:after="0"/>
              <w:jc w:val="right"/>
              <w:rPr>
                <w:rFonts w:eastAsia="Times New Roman"/>
                <w:color w:val="202020"/>
              </w:rPr>
            </w:pPr>
            <w:r w:rsidRPr="00A81971">
              <w:rPr>
                <w:rFonts w:eastAsia="Times New Roman"/>
                <w:color w:val="202020"/>
              </w:rPr>
              <w:t>135,000</w:t>
            </w:r>
          </w:p>
        </w:tc>
        <w:tc>
          <w:tcPr>
            <w:tcW w:w="115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2714827" w14:textId="77777777" w:rsidR="6EDB0298" w:rsidRPr="00A81971" w:rsidRDefault="0032495C" w:rsidP="6EDB0298">
            <w:pPr>
              <w:spacing w:after="0"/>
              <w:jc w:val="right"/>
              <w:rPr>
                <w:rFonts w:eastAsia="Times New Roman"/>
                <w:color w:val="202020"/>
              </w:rPr>
            </w:pPr>
            <w:r w:rsidRPr="00A81971">
              <w:rPr>
                <w:rFonts w:eastAsia="Times New Roman"/>
                <w:color w:val="202020"/>
              </w:rPr>
              <w:t>47,500</w:t>
            </w:r>
          </w:p>
        </w:tc>
        <w:tc>
          <w:tcPr>
            <w:tcW w:w="10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EE9B451" w14:textId="77777777" w:rsidR="6EDB0298" w:rsidRPr="00A81971" w:rsidRDefault="0032495C" w:rsidP="6EDB0298">
            <w:pPr>
              <w:spacing w:after="0"/>
              <w:jc w:val="right"/>
              <w:rPr>
                <w:rFonts w:eastAsia="Times New Roman"/>
                <w:color w:val="202020"/>
              </w:rPr>
            </w:pPr>
            <w:r w:rsidRPr="00A81971">
              <w:rPr>
                <w:rFonts w:eastAsia="Times New Roman"/>
                <w:color w:val="202020"/>
              </w:rPr>
              <w:t>35.2%</w:t>
            </w:r>
          </w:p>
        </w:tc>
        <w:tc>
          <w:tcPr>
            <w:tcW w:w="18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6B77174" w14:textId="77777777" w:rsidR="6EDB0298" w:rsidRPr="00A81971" w:rsidRDefault="0032495C" w:rsidP="6EDB0298">
            <w:pPr>
              <w:spacing w:after="0"/>
              <w:jc w:val="right"/>
              <w:rPr>
                <w:rFonts w:eastAsia="Times New Roman"/>
                <w:color w:val="202020"/>
              </w:rPr>
            </w:pPr>
            <w:r w:rsidRPr="00A81971">
              <w:rPr>
                <w:rFonts w:eastAsia="Times New Roman"/>
                <w:color w:val="202020"/>
              </w:rPr>
              <w:t>23,750</w:t>
            </w:r>
          </w:p>
        </w:tc>
        <w:tc>
          <w:tcPr>
            <w:tcW w:w="175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6882385" w14:textId="77777777" w:rsidR="6EDB0298" w:rsidRPr="00A81971" w:rsidRDefault="0032495C" w:rsidP="6EDB0298">
            <w:pPr>
              <w:spacing w:after="0"/>
              <w:jc w:val="right"/>
              <w:rPr>
                <w:rFonts w:eastAsia="Times New Roman"/>
                <w:color w:val="202020"/>
              </w:rPr>
            </w:pPr>
            <w:r w:rsidRPr="00A81971">
              <w:rPr>
                <w:rFonts w:eastAsia="Times New Roman"/>
                <w:color w:val="202020"/>
              </w:rPr>
              <w:t>35,625</w:t>
            </w:r>
          </w:p>
        </w:tc>
      </w:tr>
      <w:tr w:rsidR="00F90461" w14:paraId="0E8CE246"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D75579E" w14:textId="77777777" w:rsidR="6EDB0298" w:rsidRPr="00A81971" w:rsidRDefault="0032495C" w:rsidP="00A04930">
            <w:pPr>
              <w:spacing w:after="0"/>
              <w:rPr>
                <w:rFonts w:eastAsia="Times New Roman"/>
                <w:color w:val="202020"/>
              </w:rPr>
            </w:pPr>
            <w:r w:rsidRPr="00A81971">
              <w:rPr>
                <w:rFonts w:eastAsia="Times New Roman"/>
                <w:color w:val="202020"/>
              </w:rPr>
              <w:t>2</w:t>
            </w:r>
          </w:p>
        </w:tc>
        <w:tc>
          <w:tcPr>
            <w:tcW w:w="121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9AF1B32" w14:textId="77777777" w:rsidR="6EDB0298" w:rsidRPr="00A81971" w:rsidRDefault="0032495C" w:rsidP="6EDB0298">
            <w:pPr>
              <w:spacing w:after="0"/>
              <w:jc w:val="right"/>
              <w:rPr>
                <w:rFonts w:eastAsia="Times New Roman"/>
                <w:color w:val="202020"/>
              </w:rPr>
            </w:pPr>
            <w:r w:rsidRPr="00A81971">
              <w:rPr>
                <w:rFonts w:eastAsia="Times New Roman"/>
                <w:color w:val="202020"/>
              </w:rPr>
              <w:t>145,000</w:t>
            </w:r>
          </w:p>
        </w:tc>
        <w:tc>
          <w:tcPr>
            <w:tcW w:w="115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DB31BFE" w14:textId="77777777" w:rsidR="6EDB0298" w:rsidRPr="00A81971" w:rsidRDefault="0032495C" w:rsidP="6EDB0298">
            <w:pPr>
              <w:spacing w:after="0"/>
              <w:jc w:val="right"/>
              <w:rPr>
                <w:rFonts w:eastAsia="Times New Roman"/>
                <w:color w:val="202020"/>
              </w:rPr>
            </w:pPr>
            <w:r w:rsidRPr="00A81971">
              <w:rPr>
                <w:rFonts w:eastAsia="Times New Roman"/>
                <w:color w:val="202020"/>
              </w:rPr>
              <w:t>58,500</w:t>
            </w:r>
          </w:p>
        </w:tc>
        <w:tc>
          <w:tcPr>
            <w:tcW w:w="10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B45960C" w14:textId="77777777" w:rsidR="6EDB0298" w:rsidRPr="00A81971" w:rsidRDefault="0032495C" w:rsidP="6EDB0298">
            <w:pPr>
              <w:spacing w:after="0"/>
              <w:jc w:val="right"/>
              <w:rPr>
                <w:rFonts w:eastAsia="Times New Roman"/>
                <w:color w:val="202020"/>
              </w:rPr>
            </w:pPr>
            <w:r w:rsidRPr="00A81971">
              <w:rPr>
                <w:rFonts w:eastAsia="Times New Roman"/>
                <w:color w:val="202020"/>
              </w:rPr>
              <w:t>40.3%</w:t>
            </w:r>
          </w:p>
        </w:tc>
        <w:tc>
          <w:tcPr>
            <w:tcW w:w="18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79A1BBC" w14:textId="77777777" w:rsidR="6EDB0298" w:rsidRPr="00A81971" w:rsidRDefault="0032495C" w:rsidP="6EDB0298">
            <w:pPr>
              <w:spacing w:after="0"/>
              <w:jc w:val="right"/>
              <w:rPr>
                <w:rFonts w:eastAsia="Times New Roman"/>
                <w:color w:val="202020"/>
              </w:rPr>
            </w:pPr>
            <w:r w:rsidRPr="00A81971">
              <w:rPr>
                <w:rFonts w:eastAsia="Times New Roman"/>
                <w:color w:val="202020"/>
              </w:rPr>
              <w:t>29,250</w:t>
            </w:r>
          </w:p>
        </w:tc>
        <w:tc>
          <w:tcPr>
            <w:tcW w:w="175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E26B8D0" w14:textId="77777777" w:rsidR="6EDB0298" w:rsidRPr="00A81971" w:rsidRDefault="0032495C" w:rsidP="6EDB0298">
            <w:pPr>
              <w:spacing w:after="0"/>
              <w:jc w:val="right"/>
              <w:rPr>
                <w:rFonts w:eastAsia="Times New Roman"/>
                <w:color w:val="202020"/>
              </w:rPr>
            </w:pPr>
            <w:r w:rsidRPr="00A81971">
              <w:rPr>
                <w:rFonts w:eastAsia="Times New Roman"/>
                <w:color w:val="202020"/>
              </w:rPr>
              <w:t>43,875</w:t>
            </w:r>
          </w:p>
        </w:tc>
      </w:tr>
      <w:tr w:rsidR="00F90461" w14:paraId="4898580F"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DD161AF" w14:textId="77777777" w:rsidR="6EDB0298" w:rsidRPr="00A81971" w:rsidRDefault="0032495C" w:rsidP="00A04930">
            <w:pPr>
              <w:spacing w:after="0"/>
              <w:rPr>
                <w:rFonts w:eastAsia="Times New Roman"/>
                <w:color w:val="202020"/>
              </w:rPr>
            </w:pPr>
            <w:r w:rsidRPr="00A81971">
              <w:rPr>
                <w:rFonts w:eastAsia="Times New Roman"/>
                <w:color w:val="202020"/>
              </w:rPr>
              <w:t>3</w:t>
            </w:r>
          </w:p>
        </w:tc>
        <w:tc>
          <w:tcPr>
            <w:tcW w:w="121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49D50A3" w14:textId="77777777" w:rsidR="6EDB0298" w:rsidRPr="00A81971" w:rsidRDefault="0032495C" w:rsidP="6EDB0298">
            <w:pPr>
              <w:spacing w:after="0"/>
              <w:jc w:val="right"/>
              <w:rPr>
                <w:rFonts w:eastAsia="Times New Roman"/>
                <w:color w:val="202020"/>
              </w:rPr>
            </w:pPr>
            <w:r w:rsidRPr="00A81971">
              <w:rPr>
                <w:rFonts w:eastAsia="Times New Roman"/>
                <w:color w:val="202020"/>
              </w:rPr>
              <w:t>158,000</w:t>
            </w:r>
          </w:p>
        </w:tc>
        <w:tc>
          <w:tcPr>
            <w:tcW w:w="115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22B63CA" w14:textId="77777777" w:rsidR="6EDB0298" w:rsidRPr="00A81971" w:rsidRDefault="0032495C" w:rsidP="6EDB0298">
            <w:pPr>
              <w:spacing w:after="0"/>
              <w:jc w:val="right"/>
              <w:rPr>
                <w:rFonts w:eastAsia="Times New Roman"/>
                <w:color w:val="202020"/>
              </w:rPr>
            </w:pPr>
            <w:r w:rsidRPr="00A81971">
              <w:rPr>
                <w:rFonts w:eastAsia="Times New Roman"/>
                <w:color w:val="202020"/>
              </w:rPr>
              <w:t>60,000</w:t>
            </w:r>
          </w:p>
        </w:tc>
        <w:tc>
          <w:tcPr>
            <w:tcW w:w="10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5A02FD8" w14:textId="77777777" w:rsidR="6EDB0298" w:rsidRPr="00A81971" w:rsidRDefault="0032495C" w:rsidP="6EDB0298">
            <w:pPr>
              <w:spacing w:after="0"/>
              <w:jc w:val="right"/>
              <w:rPr>
                <w:rFonts w:eastAsia="Times New Roman"/>
                <w:color w:val="202020"/>
              </w:rPr>
            </w:pPr>
            <w:r w:rsidRPr="00A81971">
              <w:rPr>
                <w:rFonts w:eastAsia="Times New Roman"/>
                <w:color w:val="202020"/>
              </w:rPr>
              <w:t>38.0%</w:t>
            </w:r>
          </w:p>
        </w:tc>
        <w:tc>
          <w:tcPr>
            <w:tcW w:w="18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D586E26" w14:textId="77777777" w:rsidR="6EDB0298" w:rsidRPr="00A81971" w:rsidRDefault="0032495C" w:rsidP="6EDB0298">
            <w:pPr>
              <w:spacing w:after="0"/>
              <w:jc w:val="right"/>
              <w:rPr>
                <w:rFonts w:eastAsia="Times New Roman"/>
                <w:color w:val="202020"/>
              </w:rPr>
            </w:pPr>
            <w:r w:rsidRPr="00A81971">
              <w:rPr>
                <w:rFonts w:eastAsia="Times New Roman"/>
                <w:color w:val="202020"/>
              </w:rPr>
              <w:t>30,000</w:t>
            </w:r>
          </w:p>
        </w:tc>
        <w:tc>
          <w:tcPr>
            <w:tcW w:w="175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4868B3C" w14:textId="77777777" w:rsidR="6EDB0298" w:rsidRPr="00A81971" w:rsidRDefault="0032495C" w:rsidP="6EDB0298">
            <w:pPr>
              <w:spacing w:after="0"/>
              <w:jc w:val="right"/>
              <w:rPr>
                <w:rFonts w:eastAsia="Times New Roman"/>
                <w:color w:val="202020"/>
              </w:rPr>
            </w:pPr>
            <w:r w:rsidRPr="00A81971">
              <w:rPr>
                <w:rFonts w:eastAsia="Times New Roman"/>
                <w:color w:val="202020"/>
              </w:rPr>
              <w:t>45,000</w:t>
            </w:r>
          </w:p>
        </w:tc>
      </w:tr>
      <w:tr w:rsidR="00F90461" w14:paraId="4FD56B51"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7771A6F" w14:textId="77777777" w:rsidR="6EDB0298" w:rsidRPr="00A81971" w:rsidRDefault="0032495C" w:rsidP="00A04930">
            <w:pPr>
              <w:spacing w:after="0"/>
              <w:rPr>
                <w:rFonts w:eastAsia="Times New Roman"/>
                <w:color w:val="202020"/>
              </w:rPr>
            </w:pPr>
            <w:r w:rsidRPr="00A81971">
              <w:rPr>
                <w:rFonts w:eastAsia="Times New Roman"/>
                <w:color w:val="202020"/>
              </w:rPr>
              <w:t>4</w:t>
            </w:r>
          </w:p>
        </w:tc>
        <w:tc>
          <w:tcPr>
            <w:tcW w:w="121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F3DC5C7" w14:textId="77777777" w:rsidR="6EDB0298" w:rsidRPr="00A81971" w:rsidRDefault="0032495C" w:rsidP="6EDB0298">
            <w:pPr>
              <w:spacing w:after="0"/>
              <w:jc w:val="right"/>
              <w:rPr>
                <w:rFonts w:eastAsia="Times New Roman"/>
                <w:color w:val="202020"/>
              </w:rPr>
            </w:pPr>
            <w:r w:rsidRPr="00A81971">
              <w:rPr>
                <w:rFonts w:eastAsia="Times New Roman"/>
                <w:color w:val="202020"/>
              </w:rPr>
              <w:t>170,000</w:t>
            </w:r>
          </w:p>
        </w:tc>
        <w:tc>
          <w:tcPr>
            <w:tcW w:w="115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FD938A4" w14:textId="77777777" w:rsidR="6EDB0298" w:rsidRPr="00A81971" w:rsidRDefault="0032495C" w:rsidP="6EDB0298">
            <w:pPr>
              <w:spacing w:after="0"/>
              <w:jc w:val="right"/>
              <w:rPr>
                <w:rFonts w:eastAsia="Times New Roman"/>
                <w:color w:val="202020"/>
              </w:rPr>
            </w:pPr>
            <w:r w:rsidRPr="00A81971">
              <w:rPr>
                <w:rFonts w:eastAsia="Times New Roman"/>
                <w:color w:val="202020"/>
              </w:rPr>
              <w:t>94,935</w:t>
            </w:r>
          </w:p>
        </w:tc>
        <w:tc>
          <w:tcPr>
            <w:tcW w:w="10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B5E9AC9" w14:textId="77777777" w:rsidR="6EDB0298" w:rsidRPr="00A81971" w:rsidRDefault="0032495C" w:rsidP="6EDB0298">
            <w:pPr>
              <w:spacing w:after="0"/>
              <w:jc w:val="right"/>
              <w:rPr>
                <w:rFonts w:eastAsia="Times New Roman"/>
                <w:color w:val="202020"/>
              </w:rPr>
            </w:pPr>
            <w:r w:rsidRPr="00A81971">
              <w:rPr>
                <w:rFonts w:eastAsia="Times New Roman"/>
                <w:color w:val="202020"/>
              </w:rPr>
              <w:t>55.8%</w:t>
            </w:r>
          </w:p>
        </w:tc>
        <w:tc>
          <w:tcPr>
            <w:tcW w:w="18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764D522" w14:textId="77777777" w:rsidR="6EDB0298" w:rsidRPr="00A81971" w:rsidRDefault="0032495C" w:rsidP="6EDB0298">
            <w:pPr>
              <w:spacing w:after="0"/>
              <w:jc w:val="right"/>
              <w:rPr>
                <w:rFonts w:eastAsia="Times New Roman"/>
                <w:color w:val="202020"/>
              </w:rPr>
            </w:pPr>
            <w:r w:rsidRPr="00A81971">
              <w:rPr>
                <w:rFonts w:eastAsia="Times New Roman"/>
                <w:color w:val="202020"/>
              </w:rPr>
              <w:t>47,468</w:t>
            </w:r>
          </w:p>
        </w:tc>
        <w:tc>
          <w:tcPr>
            <w:tcW w:w="175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251311A" w14:textId="77777777" w:rsidR="6EDB0298" w:rsidRPr="00A81971" w:rsidRDefault="0032495C" w:rsidP="6EDB0298">
            <w:pPr>
              <w:spacing w:after="0"/>
              <w:jc w:val="right"/>
              <w:rPr>
                <w:rFonts w:eastAsia="Times New Roman"/>
                <w:color w:val="202020"/>
              </w:rPr>
            </w:pPr>
            <w:r w:rsidRPr="00A81971">
              <w:rPr>
                <w:rFonts w:eastAsia="Times New Roman"/>
                <w:color w:val="202020"/>
              </w:rPr>
              <w:t>71,201</w:t>
            </w:r>
          </w:p>
        </w:tc>
      </w:tr>
      <w:tr w:rsidR="00F90461" w14:paraId="1F4E003B"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982D718" w14:textId="77777777" w:rsidR="6EDB0298" w:rsidRPr="00A81971" w:rsidRDefault="0032495C" w:rsidP="00A04930">
            <w:pPr>
              <w:spacing w:after="0"/>
              <w:rPr>
                <w:rFonts w:eastAsia="Times New Roman"/>
                <w:color w:val="202020"/>
              </w:rPr>
            </w:pPr>
            <w:r w:rsidRPr="00A81971">
              <w:rPr>
                <w:rFonts w:eastAsia="Times New Roman"/>
                <w:color w:val="202020"/>
              </w:rPr>
              <w:t>5</w:t>
            </w:r>
          </w:p>
        </w:tc>
        <w:tc>
          <w:tcPr>
            <w:tcW w:w="121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B82974D" w14:textId="77777777" w:rsidR="6EDB0298" w:rsidRPr="00A81971" w:rsidRDefault="0032495C" w:rsidP="6EDB0298">
            <w:pPr>
              <w:spacing w:after="0"/>
              <w:jc w:val="right"/>
              <w:rPr>
                <w:rFonts w:eastAsia="Times New Roman"/>
                <w:color w:val="202020"/>
              </w:rPr>
            </w:pPr>
            <w:r w:rsidRPr="00A81971">
              <w:rPr>
                <w:rFonts w:eastAsia="Times New Roman"/>
                <w:color w:val="202020"/>
              </w:rPr>
              <w:t>180,000</w:t>
            </w:r>
          </w:p>
        </w:tc>
        <w:tc>
          <w:tcPr>
            <w:tcW w:w="115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BF327D0" w14:textId="77777777" w:rsidR="6EDB0298" w:rsidRPr="00A81971" w:rsidRDefault="0032495C" w:rsidP="6EDB0298">
            <w:pPr>
              <w:spacing w:after="0"/>
              <w:jc w:val="right"/>
              <w:rPr>
                <w:rFonts w:eastAsia="Times New Roman"/>
                <w:color w:val="202020"/>
              </w:rPr>
            </w:pPr>
            <w:r w:rsidRPr="00A81971">
              <w:rPr>
                <w:rFonts w:eastAsia="Times New Roman"/>
                <w:color w:val="202020"/>
              </w:rPr>
              <w:t>112,700</w:t>
            </w:r>
          </w:p>
        </w:tc>
        <w:tc>
          <w:tcPr>
            <w:tcW w:w="10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A4B0AF0" w14:textId="77777777" w:rsidR="6EDB0298" w:rsidRPr="00A81971" w:rsidRDefault="0032495C" w:rsidP="6EDB0298">
            <w:pPr>
              <w:spacing w:after="0"/>
              <w:jc w:val="right"/>
              <w:rPr>
                <w:rFonts w:eastAsia="Times New Roman"/>
                <w:color w:val="202020"/>
              </w:rPr>
            </w:pPr>
            <w:r w:rsidRPr="00A81971">
              <w:rPr>
                <w:rFonts w:eastAsia="Times New Roman"/>
                <w:color w:val="202020"/>
              </w:rPr>
              <w:t>62.6%</w:t>
            </w:r>
          </w:p>
        </w:tc>
        <w:tc>
          <w:tcPr>
            <w:tcW w:w="18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BEF71C2" w14:textId="77777777" w:rsidR="6EDB0298" w:rsidRPr="00A81971" w:rsidRDefault="0032495C" w:rsidP="6EDB0298">
            <w:pPr>
              <w:spacing w:after="0"/>
              <w:jc w:val="right"/>
              <w:rPr>
                <w:rFonts w:eastAsia="Times New Roman"/>
                <w:color w:val="202020"/>
              </w:rPr>
            </w:pPr>
            <w:r w:rsidRPr="00A81971">
              <w:rPr>
                <w:rFonts w:eastAsia="Times New Roman"/>
                <w:color w:val="202020"/>
              </w:rPr>
              <w:t>56,350</w:t>
            </w:r>
          </w:p>
        </w:tc>
        <w:tc>
          <w:tcPr>
            <w:tcW w:w="175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BEBC769" w14:textId="77777777" w:rsidR="6EDB0298" w:rsidRPr="00A81971" w:rsidRDefault="0032495C" w:rsidP="6EDB0298">
            <w:pPr>
              <w:spacing w:after="0"/>
              <w:jc w:val="right"/>
              <w:rPr>
                <w:rFonts w:eastAsia="Times New Roman"/>
                <w:color w:val="202020"/>
              </w:rPr>
            </w:pPr>
            <w:r w:rsidRPr="00A81971">
              <w:rPr>
                <w:rFonts w:eastAsia="Times New Roman"/>
                <w:color w:val="202020"/>
              </w:rPr>
              <w:t>84,525</w:t>
            </w:r>
          </w:p>
        </w:tc>
      </w:tr>
      <w:tr w:rsidR="00F90461" w14:paraId="124A1304"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E6B9F4B" w14:textId="77777777" w:rsidR="6EDB0298" w:rsidRPr="00A81971" w:rsidRDefault="0032495C" w:rsidP="00A04930">
            <w:pPr>
              <w:spacing w:after="0"/>
              <w:rPr>
                <w:rFonts w:eastAsia="Times New Roman"/>
                <w:color w:val="202020"/>
              </w:rPr>
            </w:pPr>
            <w:r w:rsidRPr="00A81971">
              <w:rPr>
                <w:rFonts w:eastAsia="Times New Roman"/>
                <w:color w:val="202020"/>
              </w:rPr>
              <w:t>6</w:t>
            </w:r>
          </w:p>
        </w:tc>
        <w:tc>
          <w:tcPr>
            <w:tcW w:w="121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1CABB24" w14:textId="77777777" w:rsidR="6EDB0298" w:rsidRPr="00A81971" w:rsidRDefault="0032495C" w:rsidP="6EDB0298">
            <w:pPr>
              <w:spacing w:after="0"/>
              <w:jc w:val="right"/>
              <w:rPr>
                <w:rFonts w:eastAsia="Times New Roman"/>
                <w:color w:val="202020"/>
              </w:rPr>
            </w:pPr>
            <w:r w:rsidRPr="00A81971">
              <w:rPr>
                <w:rFonts w:eastAsia="Times New Roman"/>
                <w:color w:val="202020"/>
              </w:rPr>
              <w:t>190,000</w:t>
            </w:r>
          </w:p>
        </w:tc>
        <w:tc>
          <w:tcPr>
            <w:tcW w:w="115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97A2513" w14:textId="77777777" w:rsidR="6EDB0298" w:rsidRPr="00A81971" w:rsidRDefault="0032495C" w:rsidP="6EDB0298">
            <w:pPr>
              <w:spacing w:after="0"/>
              <w:jc w:val="right"/>
              <w:rPr>
                <w:rFonts w:eastAsia="Times New Roman"/>
                <w:color w:val="202020"/>
              </w:rPr>
            </w:pPr>
            <w:r w:rsidRPr="00A81971">
              <w:rPr>
                <w:rFonts w:eastAsia="Times New Roman"/>
                <w:color w:val="202020"/>
              </w:rPr>
              <w:t>116,400</w:t>
            </w:r>
          </w:p>
        </w:tc>
        <w:tc>
          <w:tcPr>
            <w:tcW w:w="10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DED314F" w14:textId="77777777" w:rsidR="6EDB0298" w:rsidRPr="00A81971" w:rsidRDefault="0032495C" w:rsidP="6EDB0298">
            <w:pPr>
              <w:spacing w:after="0"/>
              <w:jc w:val="right"/>
              <w:rPr>
                <w:rFonts w:eastAsia="Times New Roman"/>
                <w:color w:val="202020"/>
              </w:rPr>
            </w:pPr>
            <w:r w:rsidRPr="00A81971">
              <w:rPr>
                <w:rFonts w:eastAsia="Times New Roman"/>
                <w:color w:val="202020"/>
              </w:rPr>
              <w:t>61.3%</w:t>
            </w:r>
          </w:p>
        </w:tc>
        <w:tc>
          <w:tcPr>
            <w:tcW w:w="18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F894A49" w14:textId="77777777" w:rsidR="6EDB0298" w:rsidRPr="00A81971" w:rsidRDefault="0032495C" w:rsidP="6EDB0298">
            <w:pPr>
              <w:spacing w:after="0"/>
              <w:jc w:val="right"/>
              <w:rPr>
                <w:rFonts w:eastAsia="Times New Roman"/>
                <w:color w:val="202020"/>
              </w:rPr>
            </w:pPr>
            <w:r w:rsidRPr="00A81971">
              <w:rPr>
                <w:rFonts w:eastAsia="Times New Roman"/>
                <w:color w:val="202020"/>
              </w:rPr>
              <w:t>58,200</w:t>
            </w:r>
          </w:p>
        </w:tc>
        <w:tc>
          <w:tcPr>
            <w:tcW w:w="175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0F3C144" w14:textId="77777777" w:rsidR="6EDB0298" w:rsidRPr="00A81971" w:rsidRDefault="0032495C" w:rsidP="6EDB0298">
            <w:pPr>
              <w:spacing w:after="0"/>
              <w:jc w:val="right"/>
              <w:rPr>
                <w:rFonts w:eastAsia="Times New Roman"/>
                <w:color w:val="202020"/>
              </w:rPr>
            </w:pPr>
            <w:r w:rsidRPr="00A81971">
              <w:rPr>
                <w:rFonts w:eastAsia="Times New Roman"/>
                <w:color w:val="202020"/>
              </w:rPr>
              <w:t>87,300</w:t>
            </w:r>
          </w:p>
        </w:tc>
      </w:tr>
      <w:tr w:rsidR="00F90461" w14:paraId="6DF23BF3"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EC8349B" w14:textId="77777777" w:rsidR="6EDB0298" w:rsidRPr="00A81971" w:rsidRDefault="0032495C" w:rsidP="00A04930">
            <w:pPr>
              <w:spacing w:after="0"/>
              <w:rPr>
                <w:rFonts w:eastAsia="Times New Roman"/>
                <w:color w:val="202020"/>
              </w:rPr>
            </w:pPr>
            <w:r w:rsidRPr="00A81971">
              <w:rPr>
                <w:rFonts w:eastAsia="Times New Roman"/>
                <w:color w:val="202020"/>
              </w:rPr>
              <w:t>7</w:t>
            </w:r>
          </w:p>
        </w:tc>
        <w:tc>
          <w:tcPr>
            <w:tcW w:w="121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196E1F9" w14:textId="77777777" w:rsidR="6EDB0298" w:rsidRPr="00A81971" w:rsidRDefault="0032495C" w:rsidP="6EDB0298">
            <w:pPr>
              <w:spacing w:after="0"/>
              <w:jc w:val="right"/>
              <w:rPr>
                <w:rFonts w:eastAsia="Times New Roman"/>
                <w:color w:val="202020"/>
              </w:rPr>
            </w:pPr>
            <w:r w:rsidRPr="00A81971">
              <w:rPr>
                <w:rFonts w:eastAsia="Times New Roman"/>
                <w:color w:val="202020"/>
              </w:rPr>
              <w:t>325,000</w:t>
            </w:r>
          </w:p>
        </w:tc>
        <w:tc>
          <w:tcPr>
            <w:tcW w:w="115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467C1C2" w14:textId="77777777" w:rsidR="6EDB0298" w:rsidRPr="00A81971" w:rsidRDefault="0032495C" w:rsidP="6EDB0298">
            <w:pPr>
              <w:spacing w:after="0"/>
              <w:jc w:val="right"/>
              <w:rPr>
                <w:rFonts w:eastAsia="Times New Roman"/>
                <w:color w:val="202020"/>
              </w:rPr>
            </w:pPr>
            <w:r w:rsidRPr="00A81971">
              <w:rPr>
                <w:rFonts w:eastAsia="Times New Roman"/>
                <w:color w:val="202020"/>
              </w:rPr>
              <w:t>118,800</w:t>
            </w:r>
          </w:p>
        </w:tc>
        <w:tc>
          <w:tcPr>
            <w:tcW w:w="10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B810114" w14:textId="77777777" w:rsidR="6EDB0298" w:rsidRPr="00A81971" w:rsidRDefault="0032495C" w:rsidP="6EDB0298">
            <w:pPr>
              <w:spacing w:after="0"/>
              <w:jc w:val="right"/>
              <w:rPr>
                <w:rFonts w:eastAsia="Times New Roman"/>
                <w:color w:val="202020"/>
              </w:rPr>
            </w:pPr>
            <w:r w:rsidRPr="00A81971">
              <w:rPr>
                <w:rFonts w:eastAsia="Times New Roman"/>
                <w:color w:val="202020"/>
              </w:rPr>
              <w:t>36.6%</w:t>
            </w:r>
          </w:p>
        </w:tc>
        <w:tc>
          <w:tcPr>
            <w:tcW w:w="18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F130852" w14:textId="77777777" w:rsidR="6EDB0298" w:rsidRPr="00A81971" w:rsidRDefault="0032495C" w:rsidP="6EDB0298">
            <w:pPr>
              <w:spacing w:after="0"/>
              <w:jc w:val="right"/>
              <w:rPr>
                <w:rFonts w:eastAsia="Times New Roman"/>
                <w:color w:val="202020"/>
              </w:rPr>
            </w:pPr>
            <w:r w:rsidRPr="00A81971">
              <w:rPr>
                <w:rFonts w:eastAsia="Times New Roman"/>
                <w:color w:val="202020"/>
              </w:rPr>
              <w:t>59,400</w:t>
            </w:r>
          </w:p>
        </w:tc>
        <w:tc>
          <w:tcPr>
            <w:tcW w:w="175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8332A80" w14:textId="77777777" w:rsidR="6EDB0298" w:rsidRPr="00A81971" w:rsidRDefault="0032495C" w:rsidP="6EDB0298">
            <w:pPr>
              <w:spacing w:after="0"/>
              <w:jc w:val="right"/>
              <w:rPr>
                <w:rFonts w:eastAsia="Times New Roman"/>
                <w:color w:val="202020"/>
              </w:rPr>
            </w:pPr>
            <w:r w:rsidRPr="00A81971">
              <w:rPr>
                <w:rFonts w:eastAsia="Times New Roman"/>
                <w:color w:val="202020"/>
              </w:rPr>
              <w:t>89,100</w:t>
            </w:r>
          </w:p>
        </w:tc>
      </w:tr>
      <w:tr w:rsidR="00F90461" w14:paraId="7F34336B" w14:textId="77777777" w:rsidTr="00A04930">
        <w:trPr>
          <w:trHeight w:val="227"/>
        </w:trPr>
        <w:tc>
          <w:tcPr>
            <w:tcW w:w="10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0F2D61D" w14:textId="77777777" w:rsidR="6EDB0298" w:rsidRPr="00A81971" w:rsidRDefault="0032495C" w:rsidP="00A04930">
            <w:pPr>
              <w:spacing w:after="0"/>
              <w:rPr>
                <w:rFonts w:eastAsia="Times New Roman"/>
                <w:color w:val="202020"/>
              </w:rPr>
            </w:pPr>
            <w:r w:rsidRPr="00A81971">
              <w:rPr>
                <w:rFonts w:eastAsia="Times New Roman"/>
                <w:color w:val="202020"/>
              </w:rPr>
              <w:t>8</w:t>
            </w:r>
          </w:p>
        </w:tc>
        <w:tc>
          <w:tcPr>
            <w:tcW w:w="121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F0CBB52" w14:textId="77777777" w:rsidR="6EDB0298" w:rsidRPr="00A81971" w:rsidRDefault="0032495C" w:rsidP="6EDB0298">
            <w:pPr>
              <w:spacing w:after="0"/>
              <w:jc w:val="right"/>
              <w:rPr>
                <w:rFonts w:eastAsia="Times New Roman"/>
                <w:color w:val="202020"/>
              </w:rPr>
            </w:pPr>
            <w:r w:rsidRPr="00A81971">
              <w:rPr>
                <w:rFonts w:eastAsia="Times New Roman"/>
                <w:color w:val="202020"/>
              </w:rPr>
              <w:t>360,000</w:t>
            </w:r>
          </w:p>
        </w:tc>
        <w:tc>
          <w:tcPr>
            <w:tcW w:w="115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67B401D" w14:textId="77777777" w:rsidR="6EDB0298" w:rsidRPr="00A81971" w:rsidRDefault="0032495C" w:rsidP="6EDB0298">
            <w:pPr>
              <w:spacing w:after="0"/>
              <w:jc w:val="right"/>
              <w:rPr>
                <w:rFonts w:eastAsia="Times New Roman"/>
                <w:color w:val="202020"/>
              </w:rPr>
            </w:pPr>
            <w:r w:rsidRPr="00A81971">
              <w:rPr>
                <w:rFonts w:eastAsia="Times New Roman"/>
                <w:color w:val="202020"/>
              </w:rPr>
              <w:t>120,100</w:t>
            </w:r>
          </w:p>
        </w:tc>
        <w:tc>
          <w:tcPr>
            <w:tcW w:w="10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1575932" w14:textId="77777777" w:rsidR="6EDB0298" w:rsidRPr="00A81971" w:rsidRDefault="0032495C" w:rsidP="6EDB0298">
            <w:pPr>
              <w:spacing w:after="0"/>
              <w:jc w:val="right"/>
              <w:rPr>
                <w:rFonts w:eastAsia="Times New Roman"/>
                <w:color w:val="202020"/>
              </w:rPr>
            </w:pPr>
            <w:r w:rsidRPr="00A81971">
              <w:rPr>
                <w:rFonts w:eastAsia="Times New Roman"/>
                <w:color w:val="202020"/>
              </w:rPr>
              <w:t>33.4%</w:t>
            </w:r>
          </w:p>
        </w:tc>
        <w:tc>
          <w:tcPr>
            <w:tcW w:w="18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F05C9FF" w14:textId="77777777" w:rsidR="6EDB0298" w:rsidRPr="00A81971" w:rsidRDefault="0032495C" w:rsidP="6EDB0298">
            <w:pPr>
              <w:spacing w:after="0"/>
              <w:jc w:val="right"/>
              <w:rPr>
                <w:rFonts w:eastAsia="Times New Roman"/>
                <w:color w:val="202020"/>
              </w:rPr>
            </w:pPr>
            <w:r w:rsidRPr="00A81971">
              <w:rPr>
                <w:rFonts w:eastAsia="Times New Roman"/>
                <w:color w:val="202020"/>
              </w:rPr>
              <w:t>60,050</w:t>
            </w:r>
          </w:p>
        </w:tc>
        <w:tc>
          <w:tcPr>
            <w:tcW w:w="175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C233EFC" w14:textId="77777777" w:rsidR="6EDB0298" w:rsidRPr="00A81971" w:rsidRDefault="0032495C" w:rsidP="6EDB0298">
            <w:pPr>
              <w:spacing w:after="0"/>
              <w:jc w:val="right"/>
              <w:rPr>
                <w:rFonts w:eastAsia="Times New Roman"/>
                <w:color w:val="202020"/>
              </w:rPr>
            </w:pPr>
            <w:r w:rsidRPr="00A81971">
              <w:rPr>
                <w:rFonts w:eastAsia="Times New Roman"/>
                <w:color w:val="202020"/>
              </w:rPr>
              <w:t>90,075</w:t>
            </w:r>
          </w:p>
        </w:tc>
      </w:tr>
    </w:tbl>
    <w:p w14:paraId="389DF135" w14:textId="77777777" w:rsidR="6EDB0298" w:rsidRPr="00A81971" w:rsidRDefault="0032495C" w:rsidP="00FE5C31">
      <w:pPr>
        <w:spacing w:after="40" w:line="257" w:lineRule="auto"/>
        <w:rPr>
          <w:rFonts w:eastAsia="Times New Roman"/>
          <w:color w:val="202020"/>
        </w:rPr>
      </w:pPr>
      <w:r w:rsidRPr="00A81971">
        <w:rPr>
          <w:rFonts w:eastAsia="Times New Roman"/>
          <w:color w:val="202020"/>
        </w:rPr>
        <w:lastRenderedPageBreak/>
        <w:t>Table A</w:t>
      </w:r>
      <w:r w:rsidR="0008488E" w:rsidRPr="00A81971">
        <w:rPr>
          <w:rFonts w:eastAsia="Times New Roman"/>
          <w:color w:val="202020"/>
        </w:rPr>
        <w:t>5</w:t>
      </w:r>
      <w:r w:rsidRPr="00A81971">
        <w:rPr>
          <w:rFonts w:eastAsia="Times New Roman"/>
          <w:color w:val="202020"/>
        </w:rPr>
        <w:t>.2 shows the proposed Stage II fixed-cost amount as a share of the resulting total Stage II funding envelope. The proposed fixed-cost amount comprises the Stage I fixed-cost amount plus the applicable 50% or 75% allowance.</w:t>
      </w:r>
    </w:p>
    <w:p w14:paraId="1E3B4FEE" w14:textId="77777777" w:rsidR="6EDB0298" w:rsidRPr="00A81971" w:rsidRDefault="0032495C" w:rsidP="00FB45F0">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A5.2:</w:t>
      </w:r>
      <w:r w:rsidRPr="0006445E">
        <w:rPr>
          <w:rFonts w:eastAsia="Times New Roman"/>
          <w:color w:val="000000"/>
          <w:lang w:val="en-CA"/>
        </w:rPr>
        <w:tab/>
      </w:r>
      <w:r w:rsidRPr="00A81971">
        <w:rPr>
          <w:rFonts w:eastAsia="Times New Roman"/>
          <w:b/>
          <w:bCs/>
        </w:rPr>
        <w:t xml:space="preserve">Stage II fixed costs as a percentage of the total Stage II funding envelope </w:t>
      </w:r>
    </w:p>
    <w:tbl>
      <w:tblPr>
        <w:tblStyle w:val="TableGrid"/>
        <w:tblW w:w="0" w:type="auto"/>
        <w:tblLook w:val="04A0" w:firstRow="1" w:lastRow="0" w:firstColumn="1" w:lastColumn="0" w:noHBand="0" w:noVBand="1"/>
      </w:tblPr>
      <w:tblGrid>
        <w:gridCol w:w="1790"/>
        <w:gridCol w:w="3637"/>
        <w:gridCol w:w="3637"/>
      </w:tblGrid>
      <w:tr w:rsidR="00F90461" w14:paraId="2BBD2F13"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476107C" w14:textId="77777777" w:rsidR="6EDB0298" w:rsidRPr="00FB45F0" w:rsidRDefault="0032495C" w:rsidP="6EDB0298">
            <w:pPr>
              <w:spacing w:after="0"/>
              <w:jc w:val="center"/>
              <w:rPr>
                <w:rFonts w:eastAsia="Times New Roman"/>
                <w:b/>
                <w:bCs/>
                <w:color w:val="FFFFFF" w:themeColor="background1"/>
              </w:rPr>
            </w:pPr>
            <w:r w:rsidRPr="00FB45F0">
              <w:rPr>
                <w:rFonts w:eastAsia="Times New Roman"/>
                <w:b/>
                <w:bCs/>
                <w:color w:val="FFFFFF" w:themeColor="background1"/>
              </w:rPr>
              <w:t>Bracket</w:t>
            </w:r>
          </w:p>
        </w:tc>
        <w:tc>
          <w:tcPr>
            <w:tcW w:w="364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06359A3" w14:textId="77777777" w:rsidR="6EDB0298" w:rsidRPr="00FB45F0" w:rsidRDefault="0032495C" w:rsidP="6EDB0298">
            <w:pPr>
              <w:spacing w:after="0"/>
              <w:jc w:val="center"/>
              <w:rPr>
                <w:rFonts w:eastAsia="Times New Roman"/>
                <w:b/>
                <w:bCs/>
                <w:color w:val="FFFFFF" w:themeColor="background1"/>
              </w:rPr>
            </w:pPr>
            <w:r w:rsidRPr="00FB45F0">
              <w:rPr>
                <w:rFonts w:eastAsia="Times New Roman"/>
                <w:b/>
                <w:bCs/>
                <w:color w:val="FFFFFF" w:themeColor="background1"/>
              </w:rPr>
              <w:t>Lower fixed-cost share</w:t>
            </w:r>
          </w:p>
        </w:tc>
        <w:tc>
          <w:tcPr>
            <w:tcW w:w="364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E728DF8" w14:textId="77777777" w:rsidR="6EDB0298" w:rsidRPr="00FB45F0" w:rsidRDefault="0032495C" w:rsidP="6EDB0298">
            <w:pPr>
              <w:spacing w:after="0"/>
              <w:jc w:val="center"/>
              <w:rPr>
                <w:rFonts w:eastAsia="Times New Roman"/>
                <w:b/>
                <w:bCs/>
                <w:color w:val="FFFFFF" w:themeColor="background1"/>
              </w:rPr>
            </w:pPr>
            <w:r w:rsidRPr="00FB45F0">
              <w:rPr>
                <w:rFonts w:eastAsia="Times New Roman"/>
                <w:b/>
                <w:bCs/>
                <w:color w:val="FFFFFF" w:themeColor="background1"/>
              </w:rPr>
              <w:t>Stress-test fixed-cost share</w:t>
            </w:r>
          </w:p>
        </w:tc>
      </w:tr>
      <w:tr w:rsidR="00F90461" w14:paraId="2C7B938E"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3C3A66D" w14:textId="77777777" w:rsidR="6EDB0298" w:rsidRPr="00A81971" w:rsidRDefault="0032495C" w:rsidP="6EDB0298">
            <w:pPr>
              <w:spacing w:after="0"/>
              <w:rPr>
                <w:rFonts w:eastAsia="Times New Roman"/>
                <w:color w:val="202020"/>
              </w:rPr>
            </w:pPr>
            <w:r w:rsidRPr="00A81971">
              <w:rPr>
                <w:rFonts w:eastAsia="Times New Roman"/>
                <w:color w:val="202020"/>
              </w:rPr>
              <w:t>1</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3D451C1" w14:textId="77777777" w:rsidR="6EDB0298" w:rsidRPr="00A81971" w:rsidRDefault="0032495C" w:rsidP="6EDB0298">
            <w:pPr>
              <w:spacing w:after="0"/>
              <w:jc w:val="right"/>
              <w:rPr>
                <w:rFonts w:eastAsia="Times New Roman"/>
                <w:color w:val="202020"/>
              </w:rPr>
            </w:pPr>
            <w:r w:rsidRPr="00A81971">
              <w:rPr>
                <w:rFonts w:eastAsia="Times New Roman"/>
                <w:color w:val="202020"/>
              </w:rPr>
              <w:t>24.3%</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3512EC2" w14:textId="77777777" w:rsidR="6EDB0298" w:rsidRPr="00A81971" w:rsidRDefault="0032495C" w:rsidP="6EDB0298">
            <w:pPr>
              <w:spacing w:after="0"/>
              <w:jc w:val="right"/>
              <w:rPr>
                <w:rFonts w:eastAsia="Times New Roman"/>
                <w:color w:val="202020"/>
              </w:rPr>
            </w:pPr>
            <w:r w:rsidRPr="00A81971">
              <w:rPr>
                <w:rFonts w:eastAsia="Times New Roman"/>
                <w:color w:val="202020"/>
              </w:rPr>
              <w:t>27.2%</w:t>
            </w:r>
          </w:p>
        </w:tc>
      </w:tr>
      <w:tr w:rsidR="00F90461" w14:paraId="206CAE23"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BD88894" w14:textId="77777777" w:rsidR="6EDB0298" w:rsidRPr="00A81971" w:rsidRDefault="0032495C" w:rsidP="6EDB0298">
            <w:pPr>
              <w:spacing w:after="0"/>
              <w:rPr>
                <w:rFonts w:eastAsia="Times New Roman"/>
                <w:color w:val="202020"/>
              </w:rPr>
            </w:pPr>
            <w:r w:rsidRPr="00A81971">
              <w:rPr>
                <w:rFonts w:eastAsia="Times New Roman"/>
                <w:color w:val="202020"/>
              </w:rPr>
              <w:t>2</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CFC4F02" w14:textId="77777777" w:rsidR="6EDB0298" w:rsidRPr="00A81971" w:rsidRDefault="0032495C" w:rsidP="6EDB0298">
            <w:pPr>
              <w:spacing w:after="0"/>
              <w:jc w:val="right"/>
              <w:rPr>
                <w:rFonts w:eastAsia="Times New Roman"/>
                <w:color w:val="202020"/>
              </w:rPr>
            </w:pPr>
            <w:r w:rsidRPr="00A81971">
              <w:rPr>
                <w:rFonts w:eastAsia="Times New Roman"/>
                <w:color w:val="202020"/>
              </w:rPr>
              <w:t>27.5%</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66FF73C" w14:textId="77777777" w:rsidR="6EDB0298" w:rsidRPr="00A81971" w:rsidRDefault="0032495C" w:rsidP="6EDB0298">
            <w:pPr>
              <w:spacing w:after="0"/>
              <w:jc w:val="right"/>
              <w:rPr>
                <w:rFonts w:eastAsia="Times New Roman"/>
                <w:color w:val="202020"/>
              </w:rPr>
            </w:pPr>
            <w:r w:rsidRPr="00A81971">
              <w:rPr>
                <w:rFonts w:eastAsia="Times New Roman"/>
                <w:color w:val="202020"/>
              </w:rPr>
              <w:t>30.7%</w:t>
            </w:r>
          </w:p>
        </w:tc>
      </w:tr>
      <w:tr w:rsidR="00F90461" w14:paraId="366C5B32"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461396E" w14:textId="77777777" w:rsidR="6EDB0298" w:rsidRPr="00A81971" w:rsidRDefault="0032495C" w:rsidP="6EDB0298">
            <w:pPr>
              <w:spacing w:after="0"/>
              <w:rPr>
                <w:rFonts w:eastAsia="Times New Roman"/>
                <w:color w:val="202020"/>
              </w:rPr>
            </w:pPr>
            <w:r w:rsidRPr="00A81971">
              <w:rPr>
                <w:rFonts w:eastAsia="Times New Roman"/>
                <w:color w:val="202020"/>
              </w:rPr>
              <w:t>3</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0E4D3BB" w14:textId="77777777" w:rsidR="6EDB0298" w:rsidRPr="00A81971" w:rsidRDefault="0032495C" w:rsidP="6EDB0298">
            <w:pPr>
              <w:spacing w:after="0"/>
              <w:jc w:val="right"/>
              <w:rPr>
                <w:rFonts w:eastAsia="Times New Roman"/>
                <w:color w:val="202020"/>
              </w:rPr>
            </w:pPr>
            <w:r w:rsidRPr="00A81971">
              <w:rPr>
                <w:rFonts w:eastAsia="Times New Roman"/>
                <w:color w:val="202020"/>
              </w:rPr>
              <w:t>26.0%</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59B6B34" w14:textId="77777777" w:rsidR="6EDB0298" w:rsidRPr="00A81971" w:rsidRDefault="0032495C" w:rsidP="6EDB0298">
            <w:pPr>
              <w:spacing w:after="0"/>
              <w:jc w:val="right"/>
              <w:rPr>
                <w:rFonts w:eastAsia="Times New Roman"/>
                <w:color w:val="202020"/>
              </w:rPr>
            </w:pPr>
            <w:r w:rsidRPr="00A81971">
              <w:rPr>
                <w:rFonts w:eastAsia="Times New Roman"/>
                <w:color w:val="202020"/>
              </w:rPr>
              <w:t>29.1%</w:t>
            </w:r>
          </w:p>
        </w:tc>
      </w:tr>
      <w:tr w:rsidR="00F90461" w14:paraId="12E4F4BE"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5F35491" w14:textId="77777777" w:rsidR="6EDB0298" w:rsidRPr="00A81971" w:rsidRDefault="0032495C" w:rsidP="6EDB0298">
            <w:pPr>
              <w:spacing w:after="0"/>
              <w:rPr>
                <w:rFonts w:eastAsia="Times New Roman"/>
                <w:color w:val="202020"/>
              </w:rPr>
            </w:pPr>
            <w:r w:rsidRPr="00A81971">
              <w:rPr>
                <w:rFonts w:eastAsia="Times New Roman"/>
                <w:color w:val="202020"/>
              </w:rPr>
              <w:t>4</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30042DA" w14:textId="77777777" w:rsidR="6EDB0298" w:rsidRPr="00A81971" w:rsidRDefault="0032495C" w:rsidP="6EDB0298">
            <w:pPr>
              <w:spacing w:after="0"/>
              <w:jc w:val="right"/>
              <w:rPr>
                <w:rFonts w:eastAsia="Times New Roman"/>
                <w:color w:val="202020"/>
              </w:rPr>
            </w:pPr>
            <w:r w:rsidRPr="00A81971">
              <w:rPr>
                <w:rFonts w:eastAsia="Times New Roman"/>
                <w:color w:val="202020"/>
              </w:rPr>
              <w:t>36.8%</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C11688F" w14:textId="77777777" w:rsidR="6EDB0298" w:rsidRPr="00A81971" w:rsidRDefault="0032495C" w:rsidP="6EDB0298">
            <w:pPr>
              <w:spacing w:after="0"/>
              <w:jc w:val="right"/>
              <w:rPr>
                <w:rFonts w:eastAsia="Times New Roman"/>
                <w:color w:val="202020"/>
              </w:rPr>
            </w:pPr>
            <w:r w:rsidRPr="00A81971">
              <w:rPr>
                <w:rFonts w:eastAsia="Times New Roman"/>
                <w:color w:val="202020"/>
              </w:rPr>
              <w:t>40.4%</w:t>
            </w:r>
          </w:p>
        </w:tc>
      </w:tr>
      <w:tr w:rsidR="00F90461" w14:paraId="2C20C468"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48DD8BD" w14:textId="77777777" w:rsidR="6EDB0298" w:rsidRPr="00A81971" w:rsidRDefault="0032495C" w:rsidP="6EDB0298">
            <w:pPr>
              <w:spacing w:after="0"/>
              <w:rPr>
                <w:rFonts w:eastAsia="Times New Roman"/>
                <w:color w:val="202020"/>
              </w:rPr>
            </w:pPr>
            <w:r w:rsidRPr="00A81971">
              <w:rPr>
                <w:rFonts w:eastAsia="Times New Roman"/>
                <w:color w:val="202020"/>
              </w:rPr>
              <w:t>5</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0C0C1F3" w14:textId="77777777" w:rsidR="6EDB0298" w:rsidRPr="00A81971" w:rsidRDefault="0032495C" w:rsidP="6EDB0298">
            <w:pPr>
              <w:spacing w:after="0"/>
              <w:jc w:val="right"/>
              <w:rPr>
                <w:rFonts w:eastAsia="Times New Roman"/>
                <w:color w:val="202020"/>
              </w:rPr>
            </w:pPr>
            <w:r w:rsidRPr="00A81971">
              <w:rPr>
                <w:rFonts w:eastAsia="Times New Roman"/>
                <w:color w:val="202020"/>
              </w:rPr>
              <w:t>40.6%</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DDD4158" w14:textId="77777777" w:rsidR="6EDB0298" w:rsidRPr="00A81971" w:rsidRDefault="0032495C" w:rsidP="6EDB0298">
            <w:pPr>
              <w:spacing w:after="0"/>
              <w:jc w:val="right"/>
              <w:rPr>
                <w:rFonts w:eastAsia="Times New Roman"/>
                <w:color w:val="202020"/>
              </w:rPr>
            </w:pPr>
            <w:r w:rsidRPr="00A81971">
              <w:rPr>
                <w:rFonts w:eastAsia="Times New Roman"/>
                <w:color w:val="202020"/>
              </w:rPr>
              <w:t>44.4%</w:t>
            </w:r>
          </w:p>
        </w:tc>
      </w:tr>
      <w:tr w:rsidR="00F90461" w14:paraId="298E6310"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01B9D55" w14:textId="77777777" w:rsidR="6EDB0298" w:rsidRPr="00A81971" w:rsidRDefault="0032495C" w:rsidP="6EDB0298">
            <w:pPr>
              <w:spacing w:after="0"/>
              <w:rPr>
                <w:rFonts w:eastAsia="Times New Roman"/>
                <w:color w:val="202020"/>
              </w:rPr>
            </w:pPr>
            <w:r w:rsidRPr="00A81971">
              <w:rPr>
                <w:rFonts w:eastAsia="Times New Roman"/>
                <w:color w:val="202020"/>
              </w:rPr>
              <w:t>6</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E6F674C" w14:textId="77777777" w:rsidR="6EDB0298" w:rsidRPr="00A81971" w:rsidRDefault="0032495C" w:rsidP="6EDB0298">
            <w:pPr>
              <w:spacing w:after="0"/>
              <w:jc w:val="right"/>
              <w:rPr>
                <w:rFonts w:eastAsia="Times New Roman"/>
                <w:color w:val="202020"/>
              </w:rPr>
            </w:pPr>
            <w:r w:rsidRPr="00A81971">
              <w:rPr>
                <w:rFonts w:eastAsia="Times New Roman"/>
                <w:color w:val="202020"/>
              </w:rPr>
              <w:t>39.8%</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2DAA8E6" w14:textId="77777777" w:rsidR="6EDB0298" w:rsidRPr="00A81971" w:rsidRDefault="0032495C" w:rsidP="6EDB0298">
            <w:pPr>
              <w:spacing w:after="0"/>
              <w:jc w:val="right"/>
              <w:rPr>
                <w:rFonts w:eastAsia="Times New Roman"/>
                <w:color w:val="202020"/>
              </w:rPr>
            </w:pPr>
            <w:r w:rsidRPr="00A81971">
              <w:rPr>
                <w:rFonts w:eastAsia="Times New Roman"/>
                <w:color w:val="202020"/>
              </w:rPr>
              <w:t>43.6%</w:t>
            </w:r>
          </w:p>
        </w:tc>
      </w:tr>
      <w:tr w:rsidR="00F90461" w14:paraId="01AF73C2"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67B18AE" w14:textId="77777777" w:rsidR="6EDB0298" w:rsidRPr="00A81971" w:rsidRDefault="0032495C" w:rsidP="6EDB0298">
            <w:pPr>
              <w:spacing w:after="0"/>
              <w:rPr>
                <w:rFonts w:eastAsia="Times New Roman"/>
                <w:color w:val="202020"/>
              </w:rPr>
            </w:pPr>
            <w:r w:rsidRPr="00A81971">
              <w:rPr>
                <w:rFonts w:eastAsia="Times New Roman"/>
                <w:color w:val="202020"/>
              </w:rPr>
              <w:t>7</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B6EAA12" w14:textId="77777777" w:rsidR="6EDB0298" w:rsidRPr="00A81971" w:rsidRDefault="0032495C" w:rsidP="6EDB0298">
            <w:pPr>
              <w:spacing w:after="0"/>
              <w:jc w:val="right"/>
              <w:rPr>
                <w:rFonts w:eastAsia="Times New Roman"/>
                <w:color w:val="202020"/>
              </w:rPr>
            </w:pPr>
            <w:r w:rsidRPr="00A81971">
              <w:rPr>
                <w:rFonts w:eastAsia="Times New Roman"/>
                <w:color w:val="202020"/>
              </w:rPr>
              <w:t>25.1%</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F7F4CBA" w14:textId="77777777" w:rsidR="6EDB0298" w:rsidRPr="00A81971" w:rsidRDefault="0032495C" w:rsidP="6EDB0298">
            <w:pPr>
              <w:spacing w:after="0"/>
              <w:jc w:val="right"/>
              <w:rPr>
                <w:rFonts w:eastAsia="Times New Roman"/>
                <w:color w:val="202020"/>
              </w:rPr>
            </w:pPr>
            <w:r w:rsidRPr="00A81971">
              <w:rPr>
                <w:rFonts w:eastAsia="Times New Roman"/>
                <w:color w:val="202020"/>
              </w:rPr>
              <w:t>28.1%</w:t>
            </w:r>
          </w:p>
        </w:tc>
      </w:tr>
      <w:tr w:rsidR="00F90461" w14:paraId="455D7929"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2F89A71" w14:textId="77777777" w:rsidR="6EDB0298" w:rsidRPr="00A81971" w:rsidRDefault="0032495C" w:rsidP="6EDB0298">
            <w:pPr>
              <w:spacing w:after="0"/>
              <w:rPr>
                <w:rFonts w:eastAsia="Times New Roman"/>
                <w:color w:val="202020"/>
              </w:rPr>
            </w:pPr>
            <w:r w:rsidRPr="00A81971">
              <w:rPr>
                <w:rFonts w:eastAsia="Times New Roman"/>
                <w:color w:val="202020"/>
              </w:rPr>
              <w:t>8</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649A709" w14:textId="77777777" w:rsidR="6EDB0298" w:rsidRPr="00A81971" w:rsidRDefault="0032495C" w:rsidP="6EDB0298">
            <w:pPr>
              <w:spacing w:after="0"/>
              <w:jc w:val="right"/>
              <w:rPr>
                <w:rFonts w:eastAsia="Times New Roman"/>
                <w:color w:val="202020"/>
              </w:rPr>
            </w:pPr>
            <w:r w:rsidRPr="00A81971">
              <w:rPr>
                <w:rFonts w:eastAsia="Times New Roman"/>
                <w:color w:val="202020"/>
              </w:rPr>
              <w:t>23.1%</w:t>
            </w:r>
          </w:p>
        </w:tc>
        <w:tc>
          <w:tcPr>
            <w:tcW w:w="36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299E7C6" w14:textId="77777777" w:rsidR="6EDB0298" w:rsidRPr="00A81971" w:rsidRDefault="0032495C" w:rsidP="6EDB0298">
            <w:pPr>
              <w:spacing w:after="0"/>
              <w:jc w:val="right"/>
              <w:rPr>
                <w:rFonts w:eastAsia="Times New Roman"/>
                <w:color w:val="202020"/>
              </w:rPr>
            </w:pPr>
            <w:r w:rsidRPr="00A81971">
              <w:rPr>
                <w:rFonts w:eastAsia="Times New Roman"/>
                <w:color w:val="202020"/>
              </w:rPr>
              <w:t>25.9%</w:t>
            </w:r>
          </w:p>
        </w:tc>
      </w:tr>
      <w:tr w:rsidR="00F90461" w14:paraId="337ADBDC" w14:textId="77777777" w:rsidTr="00FE5C31">
        <w:trPr>
          <w:trHeight w:val="227"/>
        </w:trPr>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DFDF8C1" w14:textId="77777777" w:rsidR="6EDB0298" w:rsidRPr="00A81971" w:rsidRDefault="0032495C" w:rsidP="6EDB0298">
            <w:pPr>
              <w:spacing w:after="0"/>
              <w:rPr>
                <w:rFonts w:eastAsia="Times New Roman"/>
                <w:color w:val="202020"/>
              </w:rPr>
            </w:pPr>
            <w:r w:rsidRPr="00A81971">
              <w:rPr>
                <w:rFonts w:eastAsia="Times New Roman"/>
                <w:color w:val="202020"/>
              </w:rPr>
              <w:t>Aggregate</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33CDC4F" w14:textId="77777777" w:rsidR="6EDB0298" w:rsidRPr="00A81971" w:rsidRDefault="0032495C" w:rsidP="6EDB0298">
            <w:pPr>
              <w:spacing w:after="0"/>
              <w:jc w:val="right"/>
              <w:rPr>
                <w:rFonts w:eastAsia="Times New Roman"/>
                <w:color w:val="202020"/>
              </w:rPr>
            </w:pPr>
            <w:r w:rsidRPr="00A81971">
              <w:rPr>
                <w:rFonts w:eastAsia="Times New Roman"/>
                <w:color w:val="202020"/>
              </w:rPr>
              <w:t>29.6%</w:t>
            </w:r>
          </w:p>
        </w:tc>
        <w:tc>
          <w:tcPr>
            <w:tcW w:w="36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0DC6E28" w14:textId="77777777" w:rsidR="6EDB0298" w:rsidRPr="00A81971" w:rsidRDefault="0032495C" w:rsidP="6EDB0298">
            <w:pPr>
              <w:spacing w:after="0"/>
              <w:jc w:val="right"/>
              <w:rPr>
                <w:rFonts w:eastAsia="Times New Roman"/>
                <w:color w:val="202020"/>
              </w:rPr>
            </w:pPr>
            <w:r w:rsidRPr="00A81971">
              <w:rPr>
                <w:rFonts w:eastAsia="Times New Roman"/>
                <w:color w:val="202020"/>
              </w:rPr>
              <w:t>32.9%</w:t>
            </w:r>
          </w:p>
        </w:tc>
      </w:tr>
    </w:tbl>
    <w:p w14:paraId="0B5163E9"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4C72A514" w14:textId="2CC2148F" w:rsidR="6EDB0298" w:rsidRPr="002E3156" w:rsidRDefault="0032495C" w:rsidP="002E3156">
      <w:pPr>
        <w:pStyle w:val="Heading3"/>
      </w:pPr>
      <w:r w:rsidRPr="002E3156">
        <w:t>A</w:t>
      </w:r>
      <w:r w:rsidR="0008488E" w:rsidRPr="002E3156">
        <w:t>5</w:t>
      </w:r>
      <w:r w:rsidRPr="002E3156">
        <w:t xml:space="preserve">.1.3 </w:t>
      </w:r>
      <w:r w:rsidR="002E3156">
        <w:tab/>
      </w:r>
      <w:r w:rsidRPr="002E3156">
        <w:t>Interpretation</w:t>
      </w:r>
    </w:p>
    <w:p w14:paraId="6533DC63"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Across the eight illustrative brackets, the proposed fixed-cost amount represents an aggregate 29.6% of the Stage II funding envelope under the 50% lower-case scenario and 32.9% under the 75% stress test. At bracket level, the corresponding shares range from 23.1% to 40.6% in the lower case and from 25.9% to 44.4% in the stress test.</w:t>
      </w:r>
    </w:p>
    <w:p w14:paraId="119A9FEE"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higher shares in brackets 4-6 reflect the larger proportion of Stage I funding used for fixed system-building activities in those brackets. The lower shares in brackets 7-8 mainly reflect their larger overall funding allocations. These results are based on one representative country per bracket and should not be interpreted as fixed entitlements for all countries in a bracket.</w:t>
      </w:r>
    </w:p>
    <w:p w14:paraId="73F61864"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fixed-cost analysis provides a transparent way of recognising additional institutional and system requirements that may not be fully reflected by simply doubling Stage I funding.</w:t>
      </w:r>
    </w:p>
    <w:p w14:paraId="4312B79A" w14:textId="77777777" w:rsidR="6EDB0298" w:rsidRPr="00FB45F0" w:rsidRDefault="0032495C" w:rsidP="00201CFA">
      <w:pPr>
        <w:pStyle w:val="Heading2"/>
      </w:pPr>
      <w:bookmarkStart w:id="256" w:name="_Toc240987361"/>
      <w:r w:rsidRPr="00FB45F0">
        <w:t>A</w:t>
      </w:r>
      <w:r w:rsidR="0008488E" w:rsidRPr="00FB45F0">
        <w:t>5</w:t>
      </w:r>
      <w:r w:rsidRPr="00FB45F0">
        <w:t>.2 Activity-based scale-up analysis</w:t>
      </w:r>
      <w:bookmarkEnd w:id="256"/>
    </w:p>
    <w:p w14:paraId="401A71C7"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activity-based analysis extends the assessment beyond fixed system-building requirements. It considers the wider Stage II package, including scalable implementation activities and the continuation of coordination, monitoring and reporting.</w:t>
      </w:r>
    </w:p>
    <w:p w14:paraId="518BA92C" w14:textId="23B55C82" w:rsidR="6EDB0298" w:rsidRPr="002E3156" w:rsidRDefault="0032495C" w:rsidP="002E3156">
      <w:pPr>
        <w:pStyle w:val="Heading3"/>
      </w:pPr>
      <w:r w:rsidRPr="002E3156">
        <w:t>A</w:t>
      </w:r>
      <w:r w:rsidR="00DF2701" w:rsidRPr="002E3156">
        <w:t>5</w:t>
      </w:r>
      <w:r w:rsidRPr="002E3156">
        <w:t xml:space="preserve">.2.1 </w:t>
      </w:r>
      <w:r w:rsidR="002E3156" w:rsidRPr="002E3156">
        <w:tab/>
      </w:r>
      <w:r w:rsidRPr="002E3156">
        <w:t>Definition and calculation</w:t>
      </w:r>
    </w:p>
    <w:p w14:paraId="75E5DA91" w14:textId="77777777" w:rsidR="6EDB0298" w:rsidRDefault="0032495C" w:rsidP="6EDB0298">
      <w:pPr>
        <w:spacing w:after="100" w:line="257" w:lineRule="auto"/>
        <w:rPr>
          <w:rFonts w:eastAsia="Times New Roman"/>
          <w:color w:val="202020"/>
        </w:rPr>
      </w:pPr>
      <w:r w:rsidRPr="00A81971">
        <w:rPr>
          <w:rFonts w:eastAsia="Times New Roman"/>
          <w:color w:val="202020"/>
        </w:rPr>
        <w:t>The analysis begins with a linear Stage II funding envelope equal to twice the Stage I project funding. This reflects the additional 20 percent reduction addressed during Stage II compared with the 10% reduction under Stage I. An additional activity-based allowance is then calculated for each bracket as shown in table A</w:t>
      </w:r>
      <w:r w:rsidR="00DF2701" w:rsidRPr="00A81971">
        <w:rPr>
          <w:rFonts w:eastAsia="Times New Roman"/>
          <w:color w:val="202020"/>
        </w:rPr>
        <w:t>5</w:t>
      </w:r>
      <w:r w:rsidRPr="00A81971">
        <w:rPr>
          <w:rFonts w:eastAsia="Times New Roman"/>
          <w:color w:val="202020"/>
        </w:rPr>
        <w:t>.3 below.</w:t>
      </w:r>
    </w:p>
    <w:p w14:paraId="0FE8BD12" w14:textId="77777777" w:rsidR="002E3156" w:rsidRDefault="002E3156" w:rsidP="6EDB0298">
      <w:pPr>
        <w:spacing w:after="100" w:line="257" w:lineRule="auto"/>
        <w:rPr>
          <w:rFonts w:eastAsia="Times New Roman"/>
          <w:color w:val="202020"/>
        </w:rPr>
      </w:pPr>
    </w:p>
    <w:p w14:paraId="77C89B78" w14:textId="77777777" w:rsidR="002E3156" w:rsidRPr="00A81971" w:rsidRDefault="002E3156" w:rsidP="6EDB0298">
      <w:pPr>
        <w:spacing w:after="100" w:line="257" w:lineRule="auto"/>
        <w:rPr>
          <w:rFonts w:eastAsia="Times New Roman"/>
          <w:color w:val="202020"/>
        </w:rPr>
      </w:pPr>
    </w:p>
    <w:p w14:paraId="0DFEE7DC" w14:textId="77777777" w:rsidR="6EDB0298" w:rsidRPr="00A81971" w:rsidRDefault="0032495C" w:rsidP="00FE5C31">
      <w:pPr>
        <w:keepNext/>
        <w:keepLines/>
        <w:tabs>
          <w:tab w:val="left" w:pos="0"/>
          <w:tab w:val="left" w:pos="1276"/>
        </w:tabs>
        <w:spacing w:after="120"/>
        <w:ind w:left="1281" w:hanging="1281"/>
        <w:rPr>
          <w:rFonts w:eastAsia="Times New Roman"/>
          <w:b/>
          <w:bCs/>
          <w:color w:val="202020"/>
        </w:rPr>
      </w:pPr>
      <w:r w:rsidRPr="0006445E">
        <w:rPr>
          <w:rFonts w:eastAsia="Yu Mincho"/>
          <w:b/>
          <w:bCs/>
          <w:color w:val="000000"/>
          <w:lang w:val="en-CA"/>
        </w:rPr>
        <w:lastRenderedPageBreak/>
        <w:t xml:space="preserve">Table </w:t>
      </w:r>
      <w:r>
        <w:rPr>
          <w:rFonts w:eastAsia="Yu Mincho"/>
          <w:b/>
          <w:bCs/>
          <w:color w:val="000000"/>
          <w:lang w:val="en-CA"/>
        </w:rPr>
        <w:t>A5.3:</w:t>
      </w:r>
      <w:r w:rsidRPr="0006445E">
        <w:rPr>
          <w:rFonts w:eastAsia="Times New Roman"/>
          <w:color w:val="000000"/>
          <w:lang w:val="en-CA"/>
        </w:rPr>
        <w:tab/>
      </w:r>
      <w:r w:rsidRPr="00A81971">
        <w:rPr>
          <w:rFonts w:eastAsia="Times New Roman"/>
          <w:b/>
          <w:bCs/>
          <w:color w:val="202020"/>
        </w:rPr>
        <w:t xml:space="preserve">Calculation of additional activities </w:t>
      </w:r>
    </w:p>
    <w:tbl>
      <w:tblPr>
        <w:tblStyle w:val="TableGrid"/>
        <w:tblW w:w="0" w:type="auto"/>
        <w:tblLook w:val="04A0" w:firstRow="1" w:lastRow="0" w:firstColumn="1" w:lastColumn="0" w:noHBand="0" w:noVBand="1"/>
      </w:tblPr>
      <w:tblGrid>
        <w:gridCol w:w="2187"/>
        <w:gridCol w:w="6877"/>
      </w:tblGrid>
      <w:tr w:rsidR="00F90461" w14:paraId="31B1A669"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711AE14"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Term</w:t>
            </w:r>
          </w:p>
        </w:tc>
        <w:tc>
          <w:tcPr>
            <w:tcW w:w="688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C4FEFDC"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Definition</w:t>
            </w:r>
          </w:p>
        </w:tc>
      </w:tr>
      <w:tr w:rsidR="00F90461" w14:paraId="50A5AFDE"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749DBAC" w14:textId="77777777" w:rsidR="6EDB0298" w:rsidRPr="00A81971" w:rsidRDefault="0032495C" w:rsidP="6EDB0298">
            <w:pPr>
              <w:spacing w:after="0"/>
              <w:rPr>
                <w:rFonts w:eastAsia="Times New Roman"/>
                <w:color w:val="202020"/>
              </w:rPr>
            </w:pPr>
            <w:r w:rsidRPr="00A81971">
              <w:rPr>
                <w:rFonts w:eastAsia="Times New Roman"/>
                <w:color w:val="202020"/>
              </w:rPr>
              <w:t>Bracket (</w:t>
            </w:r>
            <w:r w:rsidRPr="00A81971">
              <w:rPr>
                <w:rFonts w:eastAsia="Times New Roman"/>
                <w:color w:val="202020"/>
                <w:vertAlign w:val="subscript"/>
              </w:rPr>
              <w:t>i</w:t>
            </w:r>
            <w:r w:rsidRPr="00A81971">
              <w:rPr>
                <w:rFonts w:eastAsia="Times New Roman"/>
                <w:color w:val="202020"/>
              </w:rPr>
              <w:t>)</w:t>
            </w:r>
          </w:p>
        </w:tc>
        <w:tc>
          <w:tcPr>
            <w:tcW w:w="688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77CFA93" w14:textId="77777777" w:rsidR="6EDB0298" w:rsidRPr="00A81971" w:rsidRDefault="0032495C" w:rsidP="6EDB0298">
            <w:pPr>
              <w:spacing w:after="0"/>
              <w:rPr>
                <w:rFonts w:eastAsia="Times New Roman"/>
                <w:color w:val="202020"/>
              </w:rPr>
            </w:pPr>
            <w:r w:rsidRPr="00A81971">
              <w:rPr>
                <w:rFonts w:eastAsia="Times New Roman"/>
                <w:color w:val="202020"/>
              </w:rPr>
              <w:t>One of the eight funding categories used for LVC and VLVC Stage I KIPs.</w:t>
            </w:r>
          </w:p>
        </w:tc>
      </w:tr>
      <w:tr w:rsidR="00F90461" w14:paraId="6D2212AF"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F58C903" w14:textId="77777777" w:rsidR="6EDB0298" w:rsidRPr="00A81971" w:rsidRDefault="0032495C" w:rsidP="6EDB0298">
            <w:pPr>
              <w:spacing w:after="0"/>
              <w:rPr>
                <w:rFonts w:eastAsia="Times New Roman"/>
                <w:color w:val="202020"/>
              </w:rPr>
            </w:pPr>
            <w:r w:rsidRPr="00A81971">
              <w:rPr>
                <w:rFonts w:eastAsia="Times New Roman"/>
                <w:color w:val="202020"/>
              </w:rPr>
              <w:t>Stage I funding (FI</w:t>
            </w:r>
            <w:r w:rsidRPr="00A81971">
              <w:rPr>
                <w:rFonts w:eastAsia="Times New Roman"/>
                <w:color w:val="202020"/>
                <w:vertAlign w:val="subscript"/>
              </w:rPr>
              <w:t>i</w:t>
            </w:r>
            <w:r w:rsidRPr="00A81971">
              <w:rPr>
                <w:rFonts w:eastAsia="Times New Roman"/>
                <w:color w:val="202020"/>
              </w:rPr>
              <w:t>)</w:t>
            </w:r>
          </w:p>
        </w:tc>
        <w:tc>
          <w:tcPr>
            <w:tcW w:w="688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C24717A" w14:textId="77777777" w:rsidR="6EDB0298" w:rsidRPr="00A81971" w:rsidRDefault="0032495C" w:rsidP="6EDB0298">
            <w:pPr>
              <w:spacing w:after="0"/>
              <w:rPr>
                <w:rFonts w:eastAsia="Times New Roman"/>
                <w:color w:val="202020"/>
              </w:rPr>
            </w:pPr>
            <w:r w:rsidRPr="00A81971">
              <w:rPr>
                <w:rFonts w:eastAsia="Times New Roman"/>
                <w:color w:val="202020"/>
              </w:rPr>
              <w:t xml:space="preserve">The Stage I project funding amount for the representative example in bracket </w:t>
            </w:r>
            <w:r w:rsidRPr="00A81971">
              <w:rPr>
                <w:rFonts w:eastAsia="Times New Roman"/>
                <w:color w:val="202020"/>
                <w:vertAlign w:val="subscript"/>
              </w:rPr>
              <w:t>i</w:t>
            </w:r>
            <w:r w:rsidRPr="00A81971">
              <w:rPr>
                <w:rFonts w:eastAsia="Times New Roman"/>
                <w:color w:val="202020"/>
              </w:rPr>
              <w:t>, excluding agency support costs.</w:t>
            </w:r>
          </w:p>
        </w:tc>
      </w:tr>
      <w:tr w:rsidR="00F90461" w14:paraId="1239E218"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F33BAB6" w14:textId="77777777" w:rsidR="6EDB0298" w:rsidRPr="00A81971" w:rsidRDefault="0032495C" w:rsidP="6EDB0298">
            <w:pPr>
              <w:spacing w:after="0"/>
              <w:rPr>
                <w:rFonts w:eastAsia="Times New Roman"/>
                <w:color w:val="202020"/>
              </w:rPr>
            </w:pPr>
            <w:r w:rsidRPr="00A81971">
              <w:rPr>
                <w:rFonts w:eastAsia="Times New Roman"/>
                <w:color w:val="202020"/>
              </w:rPr>
              <w:t>Linear Stage II envelope (F</w:t>
            </w:r>
            <w:r w:rsidRPr="00A81971">
              <w:rPr>
                <w:rFonts w:eastAsia="Times New Roman"/>
                <w:color w:val="202020"/>
                <w:vertAlign w:val="subscript"/>
              </w:rPr>
              <w:t>L</w:t>
            </w:r>
            <w:r w:rsidRPr="00A81971">
              <w:rPr>
                <w:rFonts w:eastAsia="Times New Roman"/>
                <w:color w:val="202020"/>
              </w:rPr>
              <w:t>II</w:t>
            </w:r>
            <w:r w:rsidRPr="00A81971">
              <w:rPr>
                <w:rFonts w:eastAsia="Times New Roman"/>
                <w:color w:val="202020"/>
                <w:vertAlign w:val="subscript"/>
              </w:rPr>
              <w:t>i</w:t>
            </w:r>
            <w:r w:rsidRPr="00A81971">
              <w:rPr>
                <w:rFonts w:eastAsia="Times New Roman"/>
                <w:color w:val="202020"/>
              </w:rPr>
              <w:t>)</w:t>
            </w:r>
          </w:p>
        </w:tc>
        <w:tc>
          <w:tcPr>
            <w:tcW w:w="688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E8EAAC4" w14:textId="77777777" w:rsidR="6EDB0298" w:rsidRPr="00A81971" w:rsidRDefault="0032495C" w:rsidP="6EDB0298">
            <w:pPr>
              <w:spacing w:after="0"/>
              <w:rPr>
                <w:rFonts w:eastAsia="Times New Roman"/>
                <w:color w:val="202020"/>
              </w:rPr>
            </w:pPr>
            <w:r w:rsidRPr="00A81971">
              <w:rPr>
                <w:rFonts w:eastAsia="Times New Roman"/>
                <w:color w:val="202020"/>
              </w:rPr>
              <w:t>Twice Stage I funding: F</w:t>
            </w:r>
            <w:r w:rsidRPr="00A81971">
              <w:rPr>
                <w:rFonts w:eastAsia="Times New Roman"/>
                <w:color w:val="202020"/>
                <w:vertAlign w:val="subscript"/>
              </w:rPr>
              <w:t>L</w:t>
            </w:r>
            <w:r w:rsidRPr="00A81971">
              <w:rPr>
                <w:rFonts w:eastAsia="Times New Roman"/>
                <w:color w:val="202020"/>
              </w:rPr>
              <w:t>II</w:t>
            </w:r>
            <w:r w:rsidRPr="00A81971">
              <w:rPr>
                <w:rFonts w:eastAsia="Times New Roman"/>
                <w:color w:val="202020"/>
                <w:vertAlign w:val="subscript"/>
              </w:rPr>
              <w:t>i</w:t>
            </w:r>
            <w:r w:rsidRPr="00A81971">
              <w:rPr>
                <w:rFonts w:eastAsia="Times New Roman"/>
                <w:color w:val="202020"/>
              </w:rPr>
              <w:t xml:space="preserve"> = 2FI</w:t>
            </w:r>
            <w:r w:rsidRPr="00A81971">
              <w:rPr>
                <w:rFonts w:eastAsia="Times New Roman"/>
                <w:color w:val="202020"/>
                <w:vertAlign w:val="subscript"/>
              </w:rPr>
              <w:t>i</w:t>
            </w:r>
            <w:r w:rsidRPr="00A81971">
              <w:rPr>
                <w:rFonts w:eastAsia="Times New Roman"/>
                <w:color w:val="202020"/>
              </w:rPr>
              <w:t>.</w:t>
            </w:r>
          </w:p>
        </w:tc>
      </w:tr>
      <w:tr w:rsidR="00F90461" w14:paraId="213C674C"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1A371BC"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 (S</w:t>
            </w:r>
            <w:r w:rsidRPr="00A81971">
              <w:rPr>
                <w:rFonts w:eastAsia="Times New Roman"/>
                <w:color w:val="202020"/>
                <w:vertAlign w:val="subscript"/>
              </w:rPr>
              <w:t>i</w:t>
            </w:r>
            <w:r w:rsidRPr="00A81971">
              <w:rPr>
                <w:rFonts w:eastAsia="Times New Roman"/>
                <w:color w:val="202020"/>
              </w:rPr>
              <w:t>)</w:t>
            </w:r>
          </w:p>
        </w:tc>
        <w:tc>
          <w:tcPr>
            <w:tcW w:w="688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64F09EC" w14:textId="77777777" w:rsidR="6EDB0298" w:rsidRPr="00A81971" w:rsidRDefault="0032495C" w:rsidP="6EDB0298">
            <w:pPr>
              <w:spacing w:after="0"/>
              <w:rPr>
                <w:rFonts w:eastAsia="Times New Roman"/>
                <w:color w:val="202020"/>
              </w:rPr>
            </w:pPr>
            <w:r w:rsidRPr="00A81971">
              <w:rPr>
                <w:rFonts w:eastAsia="Times New Roman"/>
                <w:color w:val="202020"/>
              </w:rPr>
              <w:t>Activities whose scale may expand during Stage II, including policy and enforcement work, training and certification, equipment or technical interventions, demonstrations, awareness and sector engagement.</w:t>
            </w:r>
          </w:p>
        </w:tc>
      </w:tr>
      <w:tr w:rsidR="00F90461" w14:paraId="262E88E3"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55389CE" w14:textId="77777777" w:rsidR="6EDB0298" w:rsidRPr="00A81971" w:rsidRDefault="0032495C" w:rsidP="6EDB0298">
            <w:pPr>
              <w:spacing w:after="0"/>
              <w:rPr>
                <w:rFonts w:eastAsia="Times New Roman"/>
                <w:color w:val="202020"/>
              </w:rPr>
            </w:pPr>
            <w:r w:rsidRPr="00A81971">
              <w:rPr>
                <w:rFonts w:eastAsia="Times New Roman"/>
                <w:color w:val="202020"/>
              </w:rPr>
              <w:t>Continuing functions (M</w:t>
            </w:r>
            <w:r w:rsidRPr="00A81971">
              <w:rPr>
                <w:rFonts w:eastAsia="Times New Roman"/>
                <w:color w:val="202020"/>
                <w:vertAlign w:val="subscript"/>
              </w:rPr>
              <w:t>i</w:t>
            </w:r>
            <w:r w:rsidRPr="00A81971">
              <w:rPr>
                <w:rFonts w:eastAsia="Times New Roman"/>
                <w:color w:val="202020"/>
              </w:rPr>
              <w:t>)</w:t>
            </w:r>
          </w:p>
        </w:tc>
        <w:tc>
          <w:tcPr>
            <w:tcW w:w="688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0DA6A59" w14:textId="77777777" w:rsidR="6EDB0298" w:rsidRPr="00A81971" w:rsidRDefault="0032495C" w:rsidP="6EDB0298">
            <w:pPr>
              <w:spacing w:after="0"/>
              <w:rPr>
                <w:rFonts w:eastAsia="Times New Roman"/>
                <w:color w:val="202020"/>
              </w:rPr>
            </w:pPr>
            <w:r w:rsidRPr="00A81971">
              <w:rPr>
                <w:rFonts w:eastAsia="Times New Roman"/>
                <w:color w:val="202020"/>
              </w:rPr>
              <w:t>Coordination, implementation, monitoring and reporting functions required throughout Stage II. These receive a 100% continuation allowance in both cases.</w:t>
            </w:r>
          </w:p>
        </w:tc>
      </w:tr>
      <w:tr w:rsidR="00F90461" w14:paraId="614C76BC"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2463AEA" w14:textId="77777777" w:rsidR="6EDB0298" w:rsidRPr="00A81971" w:rsidRDefault="0032495C" w:rsidP="6EDB0298">
            <w:pPr>
              <w:spacing w:after="0"/>
              <w:rPr>
                <w:rFonts w:eastAsia="Times New Roman"/>
                <w:color w:val="202020"/>
              </w:rPr>
            </w:pPr>
            <w:r w:rsidRPr="00A81971">
              <w:rPr>
                <w:rFonts w:eastAsia="Times New Roman"/>
                <w:color w:val="202020"/>
              </w:rPr>
              <w:t>Expansion rate (r)</w:t>
            </w:r>
          </w:p>
        </w:tc>
        <w:tc>
          <w:tcPr>
            <w:tcW w:w="688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B4F03AA" w14:textId="77777777" w:rsidR="6EDB0298" w:rsidRPr="00A81971" w:rsidRDefault="0032495C" w:rsidP="6EDB0298">
            <w:pPr>
              <w:spacing w:after="0"/>
              <w:rPr>
                <w:rFonts w:eastAsia="Times New Roman"/>
                <w:color w:val="202020"/>
              </w:rPr>
            </w:pPr>
            <w:r w:rsidRPr="00A81971">
              <w:rPr>
                <w:rFonts w:eastAsia="Times New Roman"/>
                <w:color w:val="202020"/>
              </w:rPr>
              <w:t>The proportion applied to substantive activities: r = 0.50 in the lower-case scenario and r = 0.75 in the stress-test scenario.</w:t>
            </w:r>
          </w:p>
        </w:tc>
      </w:tr>
      <w:tr w:rsidR="00F90461" w14:paraId="0E589971"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D73EC4D" w14:textId="77777777" w:rsidR="6EDB0298" w:rsidRPr="00A81971" w:rsidRDefault="0032495C" w:rsidP="6EDB0298">
            <w:pPr>
              <w:spacing w:after="0"/>
              <w:rPr>
                <w:rFonts w:eastAsia="Times New Roman"/>
                <w:color w:val="202020"/>
              </w:rPr>
            </w:pPr>
            <w:r w:rsidRPr="00A81971">
              <w:rPr>
                <w:rFonts w:eastAsia="Times New Roman"/>
                <w:color w:val="202020"/>
              </w:rPr>
              <w:t>Additional allowance (∆</w:t>
            </w:r>
            <w:r w:rsidRPr="00A81971">
              <w:rPr>
                <w:rFonts w:eastAsia="Times New Roman"/>
                <w:color w:val="202020"/>
                <w:vertAlign w:val="subscript"/>
              </w:rPr>
              <w:t>i</w:t>
            </w:r>
            <w:r w:rsidRPr="00A81971">
              <w:rPr>
                <w:rFonts w:eastAsia="Times New Roman"/>
                <w:color w:val="202020"/>
              </w:rPr>
              <w:t>(r))</w:t>
            </w:r>
          </w:p>
        </w:tc>
        <w:tc>
          <w:tcPr>
            <w:tcW w:w="688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33D364A" w14:textId="77777777" w:rsidR="6EDB0298" w:rsidRPr="00A81971" w:rsidRDefault="0032495C" w:rsidP="6EDB0298">
            <w:pPr>
              <w:spacing w:after="0"/>
              <w:rPr>
                <w:rFonts w:eastAsia="Times New Roman"/>
                <w:color w:val="202020"/>
              </w:rPr>
            </w:pPr>
            <w:r w:rsidRPr="00A81971">
              <w:rPr>
                <w:rFonts w:eastAsia="Times New Roman"/>
                <w:color w:val="202020"/>
              </w:rPr>
              <w:t>The funding added above linear doubling: ∆</w:t>
            </w:r>
            <w:r w:rsidRPr="00A81971">
              <w:rPr>
                <w:rFonts w:eastAsia="Times New Roman"/>
                <w:color w:val="202020"/>
                <w:vertAlign w:val="subscript"/>
              </w:rPr>
              <w:t>i</w:t>
            </w:r>
            <w:r w:rsidRPr="00A81971">
              <w:rPr>
                <w:rFonts w:eastAsia="Times New Roman"/>
                <w:color w:val="202020"/>
              </w:rPr>
              <w:t>(r) = rS</w:t>
            </w:r>
            <w:r w:rsidRPr="00A81971">
              <w:rPr>
                <w:rFonts w:eastAsia="Times New Roman"/>
                <w:color w:val="202020"/>
                <w:vertAlign w:val="subscript"/>
              </w:rPr>
              <w:t>i</w:t>
            </w:r>
            <w:r w:rsidRPr="00A81971">
              <w:rPr>
                <w:rFonts w:eastAsia="Times New Roman"/>
                <w:color w:val="202020"/>
              </w:rPr>
              <w:t xml:space="preserve"> + M</w:t>
            </w:r>
            <w:r w:rsidRPr="00A81971">
              <w:rPr>
                <w:rFonts w:eastAsia="Times New Roman"/>
                <w:color w:val="202020"/>
                <w:vertAlign w:val="subscript"/>
              </w:rPr>
              <w:t>i</w:t>
            </w:r>
            <w:r w:rsidRPr="00A81971">
              <w:rPr>
                <w:rFonts w:eastAsia="Times New Roman"/>
                <w:color w:val="202020"/>
              </w:rPr>
              <w:t>.</w:t>
            </w:r>
          </w:p>
        </w:tc>
      </w:tr>
      <w:tr w:rsidR="00F90461" w14:paraId="50112E24" w14:textId="77777777" w:rsidTr="6EDB0298">
        <w:trPr>
          <w:trHeight w:val="300"/>
        </w:trPr>
        <w:tc>
          <w:tcPr>
            <w:tcW w:w="2189"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8032E88" w14:textId="77777777" w:rsidR="6EDB0298" w:rsidRPr="00A81971" w:rsidRDefault="0032495C" w:rsidP="6EDB0298">
            <w:pPr>
              <w:spacing w:after="0"/>
              <w:rPr>
                <w:rFonts w:eastAsia="Times New Roman"/>
                <w:color w:val="202020"/>
              </w:rPr>
            </w:pPr>
            <w:r w:rsidRPr="00A81971">
              <w:rPr>
                <w:rFonts w:eastAsia="Times New Roman"/>
                <w:color w:val="202020"/>
              </w:rPr>
              <w:t>Stage II scenario outcome (FII</w:t>
            </w:r>
            <w:r w:rsidRPr="00A81971">
              <w:rPr>
                <w:rFonts w:eastAsia="Times New Roman"/>
                <w:color w:val="202020"/>
                <w:vertAlign w:val="subscript"/>
              </w:rPr>
              <w:t>i</w:t>
            </w:r>
            <w:r w:rsidRPr="00A81971">
              <w:rPr>
                <w:rFonts w:eastAsia="Times New Roman"/>
                <w:color w:val="202020"/>
              </w:rPr>
              <w:t>(r))</w:t>
            </w:r>
          </w:p>
        </w:tc>
        <w:tc>
          <w:tcPr>
            <w:tcW w:w="688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D1D173C" w14:textId="77777777" w:rsidR="6EDB0298" w:rsidRPr="00A81971" w:rsidRDefault="0032495C" w:rsidP="6EDB0298">
            <w:pPr>
              <w:spacing w:after="0"/>
              <w:rPr>
                <w:rFonts w:eastAsia="Times New Roman"/>
                <w:color w:val="202020"/>
              </w:rPr>
            </w:pPr>
            <w:r w:rsidRPr="00A81971">
              <w:rPr>
                <w:rFonts w:eastAsia="Times New Roman"/>
                <w:color w:val="202020"/>
              </w:rPr>
              <w:t>The resulting funding envelope: FII</w:t>
            </w:r>
            <w:r w:rsidRPr="00A81971">
              <w:rPr>
                <w:rFonts w:eastAsia="Times New Roman"/>
                <w:color w:val="202020"/>
                <w:vertAlign w:val="subscript"/>
              </w:rPr>
              <w:t>i</w:t>
            </w:r>
            <w:r w:rsidRPr="00A81971">
              <w:rPr>
                <w:rFonts w:eastAsia="Times New Roman"/>
                <w:color w:val="202020"/>
              </w:rPr>
              <w:t>(r) = 2FI</w:t>
            </w:r>
            <w:r w:rsidRPr="00A81971">
              <w:rPr>
                <w:rFonts w:eastAsia="Times New Roman"/>
                <w:color w:val="202020"/>
                <w:vertAlign w:val="subscript"/>
              </w:rPr>
              <w:t>i</w:t>
            </w:r>
            <w:r w:rsidRPr="00A81971">
              <w:rPr>
                <w:rFonts w:eastAsia="Times New Roman"/>
                <w:color w:val="202020"/>
              </w:rPr>
              <w:t xml:space="preserve"> + ∆</w:t>
            </w:r>
            <w:r w:rsidRPr="00A81971">
              <w:rPr>
                <w:rFonts w:eastAsia="Times New Roman"/>
                <w:color w:val="202020"/>
                <w:vertAlign w:val="subscript"/>
              </w:rPr>
              <w:t>i</w:t>
            </w:r>
            <w:r w:rsidRPr="00A81971">
              <w:rPr>
                <w:rFonts w:eastAsia="Times New Roman"/>
                <w:color w:val="202020"/>
              </w:rPr>
              <w:t>(r).</w:t>
            </w:r>
          </w:p>
        </w:tc>
      </w:tr>
    </w:tbl>
    <w:p w14:paraId="3E23F0A6"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03D3D46B" w14:textId="77777777" w:rsidR="6EDB0298" w:rsidRDefault="0032495C" w:rsidP="6EDB0298">
      <w:pPr>
        <w:spacing w:after="100" w:line="257" w:lineRule="auto"/>
        <w:rPr>
          <w:rFonts w:eastAsia="Times New Roman"/>
          <w:color w:val="202020"/>
        </w:rPr>
      </w:pPr>
      <w:r w:rsidRPr="00A81971">
        <w:rPr>
          <w:rFonts w:eastAsia="Times New Roman"/>
          <w:color w:val="202020"/>
        </w:rPr>
        <w:t>The 50% and 75% factors are sensitivity parameters as applied to the fixed cost analysis, not estimates that every country requires the same percentage increase. Completed Stage I investments are not automatically repurchased. The additional allowance represents expansion, updating, justified replacement or new Stage II work, together with the continued implementation and monitoring functions required for the new stage.</w:t>
      </w:r>
    </w:p>
    <w:p w14:paraId="464F390D" w14:textId="77777777" w:rsidR="00D1203A" w:rsidRPr="00A81971" w:rsidRDefault="00D1203A" w:rsidP="6EDB0298">
      <w:pPr>
        <w:spacing w:after="100" w:line="257" w:lineRule="auto"/>
        <w:rPr>
          <w:rFonts w:eastAsia="Times New Roman"/>
          <w:color w:val="202020"/>
        </w:rPr>
      </w:pPr>
    </w:p>
    <w:p w14:paraId="7088C49D" w14:textId="4BE68A04" w:rsidR="6EDB0298" w:rsidRPr="002E3156" w:rsidRDefault="0032495C" w:rsidP="002E3156">
      <w:pPr>
        <w:pStyle w:val="Heading3"/>
      </w:pPr>
      <w:r w:rsidRPr="002E3156">
        <w:t>A</w:t>
      </w:r>
      <w:r w:rsidR="00DF2701" w:rsidRPr="002E3156">
        <w:t>5</w:t>
      </w:r>
      <w:r w:rsidRPr="002E3156">
        <w:t xml:space="preserve">.2.2 </w:t>
      </w:r>
      <w:r w:rsidR="002E3156" w:rsidRPr="002E3156">
        <w:tab/>
      </w:r>
      <w:r w:rsidRPr="002E3156">
        <w:t>Classification and treatment of activities</w:t>
      </w:r>
    </w:p>
    <w:tbl>
      <w:tblPr>
        <w:tblStyle w:val="TableGrid"/>
        <w:tblW w:w="0" w:type="auto"/>
        <w:tblLook w:val="04A0" w:firstRow="1" w:lastRow="0" w:firstColumn="1" w:lastColumn="0" w:noHBand="0" w:noVBand="1"/>
      </w:tblPr>
      <w:tblGrid>
        <w:gridCol w:w="3249"/>
        <w:gridCol w:w="1484"/>
        <w:gridCol w:w="1132"/>
        <w:gridCol w:w="1145"/>
        <w:gridCol w:w="2054"/>
      </w:tblGrid>
      <w:tr w:rsidR="00F90461" w14:paraId="6A7F950A"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9EBC0A2"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56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449DB9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Classification</w:t>
            </w:r>
          </w:p>
        </w:tc>
        <w:tc>
          <w:tcPr>
            <w:tcW w:w="118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07A40C4"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23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D13846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307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0CC5902"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Interpretation</w:t>
            </w:r>
          </w:p>
        </w:tc>
      </w:tr>
      <w:tr w:rsidR="00F90461" w14:paraId="1AED84D0"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B858F74" w14:textId="77777777" w:rsidR="6EDB0298" w:rsidRPr="00A81971" w:rsidRDefault="0032495C" w:rsidP="6EDB0298">
            <w:pPr>
              <w:spacing w:after="0"/>
            </w:pPr>
            <w:r w:rsidRPr="00A81971">
              <w:rPr>
                <w:rFonts w:eastAsia="Times New Roman"/>
                <w:color w:val="202020"/>
              </w:rPr>
              <w:t>Policy/regulation/</w:t>
            </w:r>
          </w:p>
          <w:p w14:paraId="0DDD216C" w14:textId="77777777" w:rsidR="6EDB0298" w:rsidRPr="00A81971" w:rsidRDefault="0032495C" w:rsidP="6EDB0298">
            <w:pPr>
              <w:spacing w:after="0"/>
              <w:rPr>
                <w:rFonts w:eastAsia="Times New Roman"/>
                <w:color w:val="202020"/>
              </w:rPr>
            </w:pPr>
            <w:r w:rsidRPr="00A81971">
              <w:rPr>
                <w:rFonts w:eastAsia="Times New Roman"/>
                <w:color w:val="202020"/>
              </w:rPr>
              <w:t>enforcement</w:t>
            </w:r>
          </w:p>
        </w:tc>
        <w:tc>
          <w:tcPr>
            <w:tcW w:w="15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757DC43" w14:textId="77777777" w:rsidR="6EDB0298" w:rsidRPr="00A81971" w:rsidRDefault="0032495C" w:rsidP="6EDB0298">
            <w:pPr>
              <w:spacing w:after="0"/>
              <w:rPr>
                <w:rFonts w:eastAsia="Times New Roman"/>
                <w:color w:val="202020"/>
              </w:rPr>
            </w:pPr>
            <w:r w:rsidRPr="00A81971">
              <w:rPr>
                <w:rFonts w:eastAsia="Times New Roman"/>
                <w:color w:val="202020"/>
              </w:rPr>
              <w:t>Substantive</w:t>
            </w:r>
          </w:p>
        </w:tc>
        <w:tc>
          <w:tcPr>
            <w:tcW w:w="11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0A9E0BE" w14:textId="77777777" w:rsidR="6EDB0298" w:rsidRPr="00A81971" w:rsidRDefault="0032495C" w:rsidP="6EDB0298">
            <w:pPr>
              <w:spacing w:after="0"/>
              <w:rPr>
                <w:rFonts w:eastAsia="Times New Roman"/>
                <w:color w:val="202020"/>
              </w:rPr>
            </w:pPr>
            <w:r w:rsidRPr="00A81971">
              <w:rPr>
                <w:rFonts w:eastAsia="Times New Roman"/>
                <w:color w:val="202020"/>
              </w:rPr>
              <w:t>50%</w:t>
            </w:r>
          </w:p>
        </w:tc>
        <w:tc>
          <w:tcPr>
            <w:tcW w:w="123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01F89CE" w14:textId="77777777" w:rsidR="6EDB0298" w:rsidRPr="00A81971" w:rsidRDefault="0032495C" w:rsidP="6EDB0298">
            <w:pPr>
              <w:spacing w:after="0"/>
              <w:rPr>
                <w:rFonts w:eastAsia="Times New Roman"/>
                <w:color w:val="202020"/>
              </w:rPr>
            </w:pPr>
            <w:r w:rsidRPr="00A81971">
              <w:rPr>
                <w:rFonts w:eastAsia="Times New Roman"/>
                <w:color w:val="202020"/>
              </w:rPr>
              <w:t>75%</w:t>
            </w:r>
          </w:p>
        </w:tc>
        <w:tc>
          <w:tcPr>
            <w:tcW w:w="307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4F660D5" w14:textId="77777777" w:rsidR="6EDB0298" w:rsidRPr="00A81971" w:rsidRDefault="0032495C" w:rsidP="6EDB0298">
            <w:pPr>
              <w:spacing w:after="0"/>
              <w:rPr>
                <w:rFonts w:eastAsia="Times New Roman"/>
                <w:color w:val="202020"/>
              </w:rPr>
            </w:pPr>
            <w:r w:rsidRPr="00A81971">
              <w:rPr>
                <w:rFonts w:eastAsia="Times New Roman"/>
                <w:color w:val="202020"/>
              </w:rPr>
              <w:t>Further implementation, updating and broader enforcement.</w:t>
            </w:r>
          </w:p>
        </w:tc>
      </w:tr>
      <w:tr w:rsidR="00F90461" w14:paraId="2CCEC202"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50CEEF3" w14:textId="77777777" w:rsidR="6EDB0298" w:rsidRPr="00A81971" w:rsidRDefault="0032495C" w:rsidP="6EDB0298">
            <w:pPr>
              <w:spacing w:after="0"/>
            </w:pPr>
            <w:r w:rsidRPr="00A81971">
              <w:rPr>
                <w:rFonts w:eastAsia="Times New Roman"/>
                <w:color w:val="202020"/>
              </w:rPr>
              <w:t>Training/</w:t>
            </w:r>
          </w:p>
          <w:p w14:paraId="7C37B821" w14:textId="77777777" w:rsidR="6EDB0298" w:rsidRPr="00A81971" w:rsidRDefault="0032495C" w:rsidP="6EDB0298">
            <w:pPr>
              <w:spacing w:after="0"/>
              <w:rPr>
                <w:rFonts w:eastAsia="Times New Roman"/>
                <w:color w:val="202020"/>
              </w:rPr>
            </w:pPr>
            <w:r w:rsidRPr="00A81971">
              <w:rPr>
                <w:rFonts w:eastAsia="Times New Roman"/>
                <w:color w:val="202020"/>
              </w:rPr>
              <w:t>certification</w:t>
            </w:r>
          </w:p>
        </w:tc>
        <w:tc>
          <w:tcPr>
            <w:tcW w:w="15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09FB600" w14:textId="77777777" w:rsidR="6EDB0298" w:rsidRPr="00A81971" w:rsidRDefault="0032495C" w:rsidP="6EDB0298">
            <w:pPr>
              <w:spacing w:after="0"/>
              <w:rPr>
                <w:rFonts w:eastAsia="Times New Roman"/>
                <w:color w:val="202020"/>
              </w:rPr>
            </w:pPr>
            <w:r w:rsidRPr="00A81971">
              <w:rPr>
                <w:rFonts w:eastAsia="Times New Roman"/>
                <w:color w:val="202020"/>
              </w:rPr>
              <w:t>Substantive</w:t>
            </w:r>
          </w:p>
        </w:tc>
        <w:tc>
          <w:tcPr>
            <w:tcW w:w="11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A15DE5E" w14:textId="77777777" w:rsidR="6EDB0298" w:rsidRPr="00A81971" w:rsidRDefault="0032495C" w:rsidP="6EDB0298">
            <w:pPr>
              <w:spacing w:after="0"/>
              <w:rPr>
                <w:rFonts w:eastAsia="Times New Roman"/>
                <w:color w:val="202020"/>
              </w:rPr>
            </w:pPr>
            <w:r w:rsidRPr="00A81971">
              <w:rPr>
                <w:rFonts w:eastAsia="Times New Roman"/>
                <w:color w:val="202020"/>
              </w:rPr>
              <w:t>50%</w:t>
            </w:r>
          </w:p>
        </w:tc>
        <w:tc>
          <w:tcPr>
            <w:tcW w:w="123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40070C1" w14:textId="77777777" w:rsidR="6EDB0298" w:rsidRPr="00A81971" w:rsidRDefault="0032495C" w:rsidP="6EDB0298">
            <w:pPr>
              <w:spacing w:after="0"/>
              <w:rPr>
                <w:rFonts w:eastAsia="Times New Roman"/>
                <w:color w:val="202020"/>
              </w:rPr>
            </w:pPr>
            <w:r w:rsidRPr="00A81971">
              <w:rPr>
                <w:rFonts w:eastAsia="Times New Roman"/>
                <w:color w:val="202020"/>
              </w:rPr>
              <w:t>75%</w:t>
            </w:r>
          </w:p>
        </w:tc>
        <w:tc>
          <w:tcPr>
            <w:tcW w:w="307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FF2485C" w14:textId="77777777" w:rsidR="6EDB0298" w:rsidRPr="00A81971" w:rsidRDefault="0032495C" w:rsidP="6EDB0298">
            <w:pPr>
              <w:spacing w:after="0"/>
              <w:rPr>
                <w:rFonts w:eastAsia="Times New Roman"/>
                <w:color w:val="202020"/>
              </w:rPr>
            </w:pPr>
            <w:r w:rsidRPr="00A81971">
              <w:rPr>
                <w:rFonts w:eastAsia="Times New Roman"/>
                <w:color w:val="202020"/>
              </w:rPr>
              <w:t>Additional personnel, institutions, regions or subsectors.</w:t>
            </w:r>
          </w:p>
        </w:tc>
      </w:tr>
      <w:tr w:rsidR="00F90461" w14:paraId="03031348"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2F59AFD" w14:textId="77777777" w:rsidR="6EDB0298" w:rsidRPr="00A81971" w:rsidRDefault="0032495C" w:rsidP="6EDB0298">
            <w:pPr>
              <w:spacing w:after="0"/>
            </w:pPr>
            <w:r w:rsidRPr="00A81971">
              <w:rPr>
                <w:rFonts w:eastAsia="Times New Roman"/>
                <w:color w:val="202020"/>
              </w:rPr>
              <w:t>Equipment/</w:t>
            </w:r>
          </w:p>
          <w:p w14:paraId="734785FB" w14:textId="77777777" w:rsidR="6EDB0298" w:rsidRPr="00A81971" w:rsidRDefault="0032495C" w:rsidP="6EDB0298">
            <w:pPr>
              <w:spacing w:after="0"/>
              <w:rPr>
                <w:rFonts w:eastAsia="Times New Roman"/>
                <w:color w:val="202020"/>
              </w:rPr>
            </w:pPr>
            <w:r w:rsidRPr="00A81971">
              <w:rPr>
                <w:rFonts w:eastAsia="Times New Roman"/>
                <w:color w:val="202020"/>
              </w:rPr>
              <w:t>technical interventions</w:t>
            </w:r>
          </w:p>
        </w:tc>
        <w:tc>
          <w:tcPr>
            <w:tcW w:w="15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9EBDADF" w14:textId="77777777" w:rsidR="6EDB0298" w:rsidRPr="00A81971" w:rsidRDefault="0032495C" w:rsidP="6EDB0298">
            <w:pPr>
              <w:spacing w:after="0"/>
              <w:rPr>
                <w:rFonts w:eastAsia="Times New Roman"/>
                <w:color w:val="202020"/>
              </w:rPr>
            </w:pPr>
            <w:r w:rsidRPr="00A81971">
              <w:rPr>
                <w:rFonts w:eastAsia="Times New Roman"/>
                <w:color w:val="202020"/>
              </w:rPr>
              <w:t>Substantive</w:t>
            </w:r>
          </w:p>
        </w:tc>
        <w:tc>
          <w:tcPr>
            <w:tcW w:w="11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8384F71" w14:textId="77777777" w:rsidR="6EDB0298" w:rsidRPr="00A81971" w:rsidRDefault="0032495C" w:rsidP="6EDB0298">
            <w:pPr>
              <w:spacing w:after="0"/>
              <w:rPr>
                <w:rFonts w:eastAsia="Times New Roman"/>
                <w:color w:val="202020"/>
              </w:rPr>
            </w:pPr>
            <w:r w:rsidRPr="00A81971">
              <w:rPr>
                <w:rFonts w:eastAsia="Times New Roman"/>
                <w:color w:val="202020"/>
              </w:rPr>
              <w:t>50%</w:t>
            </w:r>
          </w:p>
        </w:tc>
        <w:tc>
          <w:tcPr>
            <w:tcW w:w="123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34C5EE4" w14:textId="77777777" w:rsidR="6EDB0298" w:rsidRPr="00A81971" w:rsidRDefault="0032495C" w:rsidP="6EDB0298">
            <w:pPr>
              <w:spacing w:after="0"/>
              <w:rPr>
                <w:rFonts w:eastAsia="Times New Roman"/>
                <w:color w:val="202020"/>
              </w:rPr>
            </w:pPr>
            <w:r w:rsidRPr="00A81971">
              <w:rPr>
                <w:rFonts w:eastAsia="Times New Roman"/>
                <w:color w:val="202020"/>
              </w:rPr>
              <w:t>75%</w:t>
            </w:r>
          </w:p>
        </w:tc>
        <w:tc>
          <w:tcPr>
            <w:tcW w:w="307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3E13D8C" w14:textId="77777777" w:rsidR="6EDB0298" w:rsidRPr="00A81971" w:rsidRDefault="0032495C" w:rsidP="6EDB0298">
            <w:pPr>
              <w:spacing w:after="0"/>
              <w:rPr>
                <w:rFonts w:eastAsia="Times New Roman"/>
                <w:color w:val="202020"/>
              </w:rPr>
            </w:pPr>
            <w:r w:rsidRPr="00A81971">
              <w:rPr>
                <w:rFonts w:eastAsia="Times New Roman"/>
                <w:color w:val="202020"/>
              </w:rPr>
              <w:t>Additional capacity, justified replication or new Stage II technologies.</w:t>
            </w:r>
          </w:p>
        </w:tc>
      </w:tr>
      <w:tr w:rsidR="00F90461" w14:paraId="43205933"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8076875" w14:textId="77777777" w:rsidR="6EDB0298" w:rsidRPr="00A81971" w:rsidRDefault="0032495C" w:rsidP="6EDB0298">
            <w:pPr>
              <w:spacing w:after="0"/>
              <w:rPr>
                <w:rFonts w:eastAsia="Times New Roman"/>
                <w:color w:val="202020"/>
              </w:rPr>
            </w:pPr>
            <w:r w:rsidRPr="00A81971">
              <w:rPr>
                <w:rFonts w:eastAsia="Times New Roman"/>
                <w:color w:val="202020"/>
              </w:rPr>
              <w:lastRenderedPageBreak/>
              <w:t>Demonstrations</w:t>
            </w:r>
          </w:p>
        </w:tc>
        <w:tc>
          <w:tcPr>
            <w:tcW w:w="15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F3F05EE" w14:textId="77777777" w:rsidR="6EDB0298" w:rsidRPr="00A81971" w:rsidRDefault="0032495C" w:rsidP="6EDB0298">
            <w:pPr>
              <w:spacing w:after="0"/>
              <w:rPr>
                <w:rFonts w:eastAsia="Times New Roman"/>
                <w:color w:val="202020"/>
              </w:rPr>
            </w:pPr>
            <w:r w:rsidRPr="00A81971">
              <w:rPr>
                <w:rFonts w:eastAsia="Times New Roman"/>
                <w:color w:val="202020"/>
              </w:rPr>
              <w:t>Substantive</w:t>
            </w:r>
          </w:p>
        </w:tc>
        <w:tc>
          <w:tcPr>
            <w:tcW w:w="11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FD3597E" w14:textId="77777777" w:rsidR="6EDB0298" w:rsidRPr="00A81971" w:rsidRDefault="0032495C" w:rsidP="6EDB0298">
            <w:pPr>
              <w:spacing w:after="0"/>
              <w:rPr>
                <w:rFonts w:eastAsia="Times New Roman"/>
                <w:color w:val="202020"/>
              </w:rPr>
            </w:pPr>
            <w:r w:rsidRPr="00A81971">
              <w:rPr>
                <w:rFonts w:eastAsia="Times New Roman"/>
                <w:color w:val="202020"/>
              </w:rPr>
              <w:t>50%</w:t>
            </w:r>
          </w:p>
        </w:tc>
        <w:tc>
          <w:tcPr>
            <w:tcW w:w="123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A1D3568" w14:textId="77777777" w:rsidR="6EDB0298" w:rsidRPr="00A81971" w:rsidRDefault="0032495C" w:rsidP="6EDB0298">
            <w:pPr>
              <w:spacing w:after="0"/>
              <w:rPr>
                <w:rFonts w:eastAsia="Times New Roman"/>
                <w:color w:val="202020"/>
              </w:rPr>
            </w:pPr>
            <w:r w:rsidRPr="00A81971">
              <w:rPr>
                <w:rFonts w:eastAsia="Times New Roman"/>
                <w:color w:val="202020"/>
              </w:rPr>
              <w:t>75%</w:t>
            </w:r>
          </w:p>
        </w:tc>
        <w:tc>
          <w:tcPr>
            <w:tcW w:w="307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D96895B" w14:textId="77777777" w:rsidR="6EDB0298" w:rsidRPr="00A81971" w:rsidRDefault="0032495C" w:rsidP="6EDB0298">
            <w:pPr>
              <w:spacing w:after="0"/>
              <w:rPr>
                <w:rFonts w:eastAsia="Times New Roman"/>
                <w:color w:val="202020"/>
              </w:rPr>
            </w:pPr>
            <w:r w:rsidRPr="00A81971">
              <w:rPr>
                <w:rFonts w:eastAsia="Times New Roman"/>
                <w:color w:val="202020"/>
              </w:rPr>
              <w:t>Replication, expansion or introduction of Stage II technologies.</w:t>
            </w:r>
          </w:p>
        </w:tc>
      </w:tr>
      <w:tr w:rsidR="00F90461" w14:paraId="794AB771"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B0ADE28" w14:textId="77777777" w:rsidR="6EDB0298" w:rsidRPr="00A81971" w:rsidRDefault="0032495C" w:rsidP="6EDB0298">
            <w:pPr>
              <w:spacing w:after="0"/>
              <w:rPr>
                <w:rFonts w:eastAsia="Times New Roman"/>
                <w:color w:val="202020"/>
              </w:rPr>
            </w:pPr>
            <w:r w:rsidRPr="00A81971">
              <w:rPr>
                <w:rFonts w:eastAsia="Times New Roman"/>
                <w:color w:val="202020"/>
              </w:rPr>
              <w:t>Awareness/sector engagement</w:t>
            </w:r>
          </w:p>
        </w:tc>
        <w:tc>
          <w:tcPr>
            <w:tcW w:w="15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AF97C32" w14:textId="77777777" w:rsidR="6EDB0298" w:rsidRPr="00A81971" w:rsidRDefault="0032495C" w:rsidP="6EDB0298">
            <w:pPr>
              <w:spacing w:after="0"/>
              <w:rPr>
                <w:rFonts w:eastAsia="Times New Roman"/>
                <w:color w:val="202020"/>
              </w:rPr>
            </w:pPr>
            <w:r w:rsidRPr="00A81971">
              <w:rPr>
                <w:rFonts w:eastAsia="Times New Roman"/>
                <w:color w:val="202020"/>
              </w:rPr>
              <w:t>Substantive</w:t>
            </w:r>
          </w:p>
        </w:tc>
        <w:tc>
          <w:tcPr>
            <w:tcW w:w="118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01E77EF" w14:textId="77777777" w:rsidR="6EDB0298" w:rsidRPr="00A81971" w:rsidRDefault="0032495C" w:rsidP="6EDB0298">
            <w:pPr>
              <w:spacing w:after="0"/>
              <w:rPr>
                <w:rFonts w:eastAsia="Times New Roman"/>
                <w:color w:val="202020"/>
              </w:rPr>
            </w:pPr>
            <w:r w:rsidRPr="00A81971">
              <w:rPr>
                <w:rFonts w:eastAsia="Times New Roman"/>
                <w:color w:val="202020"/>
              </w:rPr>
              <w:t>50%</w:t>
            </w:r>
          </w:p>
        </w:tc>
        <w:tc>
          <w:tcPr>
            <w:tcW w:w="123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BEBE9B6" w14:textId="77777777" w:rsidR="6EDB0298" w:rsidRPr="00A81971" w:rsidRDefault="0032495C" w:rsidP="6EDB0298">
            <w:pPr>
              <w:spacing w:after="0"/>
              <w:rPr>
                <w:rFonts w:eastAsia="Times New Roman"/>
                <w:color w:val="202020"/>
              </w:rPr>
            </w:pPr>
            <w:r w:rsidRPr="00A81971">
              <w:rPr>
                <w:rFonts w:eastAsia="Times New Roman"/>
                <w:color w:val="202020"/>
              </w:rPr>
              <w:t>75%</w:t>
            </w:r>
          </w:p>
        </w:tc>
        <w:tc>
          <w:tcPr>
            <w:tcW w:w="307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471B572" w14:textId="77777777" w:rsidR="6EDB0298" w:rsidRPr="00A81971" w:rsidRDefault="0032495C" w:rsidP="6EDB0298">
            <w:pPr>
              <w:spacing w:after="0"/>
              <w:rPr>
                <w:rFonts w:eastAsia="Times New Roman"/>
                <w:color w:val="202020"/>
              </w:rPr>
            </w:pPr>
            <w:r w:rsidRPr="00A81971">
              <w:rPr>
                <w:rFonts w:eastAsia="Times New Roman"/>
                <w:color w:val="202020"/>
              </w:rPr>
              <w:t>Wider or more targeted market coverage.</w:t>
            </w:r>
          </w:p>
        </w:tc>
      </w:tr>
      <w:tr w:rsidR="00F90461" w14:paraId="4621CC29" w14:textId="77777777" w:rsidTr="6EDB0298">
        <w:trPr>
          <w:trHeight w:val="300"/>
        </w:trPr>
        <w:tc>
          <w:tcPr>
            <w:tcW w:w="202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26C72DF"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Coordination/monitoring/reporting</w:t>
            </w:r>
          </w:p>
        </w:tc>
        <w:tc>
          <w:tcPr>
            <w:tcW w:w="15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57FA290" w14:textId="77777777" w:rsidR="6EDB0298" w:rsidRPr="00A81971" w:rsidRDefault="0032495C" w:rsidP="6EDB0298">
            <w:pPr>
              <w:spacing w:after="0"/>
              <w:rPr>
                <w:rFonts w:eastAsia="Times New Roman"/>
                <w:color w:val="202020"/>
              </w:rPr>
            </w:pPr>
            <w:r w:rsidRPr="00A81971">
              <w:rPr>
                <w:rFonts w:eastAsia="Times New Roman"/>
                <w:color w:val="202020"/>
              </w:rPr>
              <w:t>Continuing</w:t>
            </w:r>
          </w:p>
        </w:tc>
        <w:tc>
          <w:tcPr>
            <w:tcW w:w="118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C8C4814" w14:textId="77777777" w:rsidR="6EDB0298" w:rsidRPr="00A81971" w:rsidRDefault="0032495C" w:rsidP="6EDB0298">
            <w:pPr>
              <w:spacing w:after="0"/>
              <w:rPr>
                <w:rFonts w:eastAsia="Times New Roman"/>
                <w:color w:val="202020"/>
              </w:rPr>
            </w:pPr>
            <w:r w:rsidRPr="00A81971">
              <w:rPr>
                <w:rFonts w:eastAsia="Times New Roman"/>
                <w:color w:val="202020"/>
              </w:rPr>
              <w:t>100%</w:t>
            </w:r>
          </w:p>
        </w:tc>
        <w:tc>
          <w:tcPr>
            <w:tcW w:w="123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CB5F1F8" w14:textId="77777777" w:rsidR="6EDB0298" w:rsidRPr="00A81971" w:rsidRDefault="0032495C" w:rsidP="6EDB0298">
            <w:pPr>
              <w:spacing w:after="0"/>
              <w:rPr>
                <w:rFonts w:eastAsia="Times New Roman"/>
                <w:color w:val="202020"/>
              </w:rPr>
            </w:pPr>
            <w:r w:rsidRPr="00A81971">
              <w:rPr>
                <w:rFonts w:eastAsia="Times New Roman"/>
                <w:color w:val="202020"/>
              </w:rPr>
              <w:t>100%</w:t>
            </w:r>
          </w:p>
        </w:tc>
        <w:tc>
          <w:tcPr>
            <w:tcW w:w="307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B10949A" w14:textId="77777777" w:rsidR="6EDB0298" w:rsidRPr="00A81971" w:rsidRDefault="0032495C" w:rsidP="6EDB0298">
            <w:pPr>
              <w:spacing w:after="0"/>
              <w:rPr>
                <w:rFonts w:eastAsia="Times New Roman"/>
                <w:color w:val="202020"/>
              </w:rPr>
            </w:pPr>
            <w:r w:rsidRPr="00A81971">
              <w:rPr>
                <w:rFonts w:eastAsia="Times New Roman"/>
                <w:color w:val="202020"/>
              </w:rPr>
              <w:t>Required throughout the Stage II implementation period.</w:t>
            </w:r>
          </w:p>
        </w:tc>
      </w:tr>
    </w:tbl>
    <w:p w14:paraId="19A2103F"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79560212"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50% lower-case scenario assumes substantial expansion while recognizing that Stage I systems and capacity remain available. The 75% stress test assumes that most substantive activities require further expansion. A 100% factor is excluded because it would imply complete replication of the substantive Stage I cost based on top of linear doubling.</w:t>
      </w:r>
    </w:p>
    <w:p w14:paraId="739A6DCA" w14:textId="6A299D3A" w:rsidR="6EDB0298" w:rsidRPr="00F004D5" w:rsidRDefault="0032495C" w:rsidP="00201CFA">
      <w:pPr>
        <w:pStyle w:val="Heading2"/>
      </w:pPr>
      <w:bookmarkStart w:id="257" w:name="_Toc240987362"/>
      <w:r w:rsidRPr="00F004D5">
        <w:t>A</w:t>
      </w:r>
      <w:r w:rsidR="00DF2701" w:rsidRPr="00F004D5">
        <w:t>5</w:t>
      </w:r>
      <w:r w:rsidRPr="00F004D5">
        <w:t xml:space="preserve">.3 </w:t>
      </w:r>
      <w:r w:rsidR="002E3156">
        <w:tab/>
      </w:r>
      <w:r w:rsidRPr="00F004D5">
        <w:t>Bracket-level calculations</w:t>
      </w:r>
      <w:bookmarkEnd w:id="257"/>
    </w:p>
    <w:p w14:paraId="0672C4F7" w14:textId="77777777" w:rsidR="6EDB0298" w:rsidRPr="00A81971" w:rsidRDefault="0032495C" w:rsidP="6EDB0298">
      <w:pPr>
        <w:spacing w:after="100" w:line="257" w:lineRule="auto"/>
        <w:jc w:val="both"/>
        <w:rPr>
          <w:rFonts w:eastAsia="Times New Roman"/>
          <w:color w:val="202020"/>
        </w:rPr>
      </w:pPr>
      <w:r w:rsidRPr="00A81971">
        <w:rPr>
          <w:rFonts w:eastAsia="Times New Roman"/>
          <w:color w:val="202020"/>
        </w:rPr>
        <w:t>The same calculation is presented for both cases in each bracket. Amounts are based on the representative Stage I activity budgets used in the underlying analysis. Minor differences may arise from rounding to the nearest US dollar.</w:t>
      </w:r>
    </w:p>
    <w:p w14:paraId="7BFADE77" w14:textId="420026FC" w:rsidR="6EDB0298" w:rsidRPr="002E3156" w:rsidRDefault="0032495C" w:rsidP="002E3156">
      <w:pPr>
        <w:pStyle w:val="Heading3"/>
      </w:pPr>
      <w:r w:rsidRPr="002E3156">
        <w:t>A</w:t>
      </w:r>
      <w:r w:rsidR="00DF2701" w:rsidRPr="002E3156">
        <w:t>5</w:t>
      </w:r>
      <w:r w:rsidRPr="002E3156">
        <w:t xml:space="preserve">.3.1 </w:t>
      </w:r>
      <w:r w:rsidR="002E3156" w:rsidRPr="002E3156">
        <w:tab/>
      </w:r>
      <w:r w:rsidRPr="002E3156">
        <w:t>Bracket 1</w:t>
      </w:r>
    </w:p>
    <w:p w14:paraId="623577E9"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US$135,000; </w:t>
      </w:r>
      <w:r w:rsidRPr="00A81971">
        <w:rPr>
          <w:rFonts w:eastAsia="Times New Roman"/>
          <w:b/>
          <w:bCs/>
          <w:color w:val="202020"/>
        </w:rPr>
        <w:t xml:space="preserve">linear Stage II envelope: </w:t>
      </w:r>
      <w:r w:rsidRPr="00A81971">
        <w:rPr>
          <w:rFonts w:eastAsia="Times New Roman"/>
          <w:color w:val="202020"/>
        </w:rPr>
        <w:t>US$270,000.</w:t>
      </w:r>
    </w:p>
    <w:tbl>
      <w:tblPr>
        <w:tblStyle w:val="TableGrid"/>
        <w:tblW w:w="0" w:type="auto"/>
        <w:tblLook w:val="04A0" w:firstRow="1" w:lastRow="0" w:firstColumn="1" w:lastColumn="0" w:noHBand="0" w:noVBand="1"/>
      </w:tblPr>
      <w:tblGrid>
        <w:gridCol w:w="2488"/>
        <w:gridCol w:w="1389"/>
        <w:gridCol w:w="1144"/>
        <w:gridCol w:w="1361"/>
        <w:gridCol w:w="1194"/>
        <w:gridCol w:w="1488"/>
      </w:tblGrid>
      <w:tr w:rsidR="00F90461" w14:paraId="23561F55"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8460913"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9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1D6F92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F21A33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880330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933560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17868B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2850FDAE"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9FCB41B"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9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E963A70" w14:textId="77777777" w:rsidR="6EDB0298" w:rsidRPr="00A81971" w:rsidRDefault="0032495C" w:rsidP="6EDB0298">
            <w:pPr>
              <w:spacing w:after="0"/>
              <w:jc w:val="right"/>
              <w:rPr>
                <w:rFonts w:eastAsia="Times New Roman"/>
                <w:color w:val="202020"/>
              </w:rPr>
            </w:pPr>
            <w:r w:rsidRPr="00A81971">
              <w:rPr>
                <w:rFonts w:eastAsia="Times New Roman"/>
                <w:color w:val="202020"/>
              </w:rPr>
              <w:t>US$120,000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44CB13B"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D37F668" w14:textId="77777777" w:rsidR="6EDB0298" w:rsidRPr="00A81971" w:rsidRDefault="0032495C" w:rsidP="6EDB0298">
            <w:pPr>
              <w:spacing w:after="0"/>
              <w:jc w:val="right"/>
              <w:rPr>
                <w:rFonts w:eastAsia="Times New Roman"/>
                <w:color w:val="202020"/>
              </w:rPr>
            </w:pPr>
            <w:r w:rsidRPr="00A81971">
              <w:rPr>
                <w:rFonts w:eastAsia="Times New Roman"/>
                <w:color w:val="202020"/>
              </w:rPr>
              <w:t>US$60,000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6F4C2AF"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6DD7150" w14:textId="77777777" w:rsidR="6EDB0298" w:rsidRPr="00A81971" w:rsidRDefault="0032495C" w:rsidP="6EDB0298">
            <w:pPr>
              <w:spacing w:after="0"/>
              <w:jc w:val="right"/>
              <w:rPr>
                <w:rFonts w:eastAsia="Times New Roman"/>
                <w:color w:val="202020"/>
              </w:rPr>
            </w:pPr>
            <w:r w:rsidRPr="00A81971">
              <w:rPr>
                <w:rFonts w:eastAsia="Times New Roman"/>
                <w:color w:val="202020"/>
              </w:rPr>
              <w:t>US$90,000</w:t>
            </w:r>
          </w:p>
        </w:tc>
      </w:tr>
      <w:tr w:rsidR="00F90461" w14:paraId="6CD89655"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620BA2D"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9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0933280"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A0556C1"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9DE0681"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5AC34EA"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A76DBBB"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r>
    </w:tbl>
    <w:p w14:paraId="4C0C2F51"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0A801AC2"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US$75,000 and the resulting Stage II envelope is US$345,000 (27.8% above linear doubling). Under the 75% stress test, the additional allowance is US$105,000 and the resulting Stage II envelope is US$375,000 (38.9% above linear doubling).</w:t>
      </w:r>
    </w:p>
    <w:p w14:paraId="6F8F4044" w14:textId="0A69B650" w:rsidR="6EDB0298" w:rsidRPr="002E3156" w:rsidRDefault="0032495C" w:rsidP="002E3156">
      <w:pPr>
        <w:pStyle w:val="Heading3"/>
      </w:pPr>
      <w:r w:rsidRPr="002E3156">
        <w:t>A</w:t>
      </w:r>
      <w:r w:rsidR="00DF2701" w:rsidRPr="002E3156">
        <w:t>5</w:t>
      </w:r>
      <w:r w:rsidRPr="002E3156">
        <w:t>.3.2</w:t>
      </w:r>
      <w:r w:rsidR="002E3156" w:rsidRPr="002E3156">
        <w:tab/>
      </w:r>
      <w:r w:rsidRPr="002E3156">
        <w:t xml:space="preserve"> Bracket 2</w:t>
      </w:r>
    </w:p>
    <w:p w14:paraId="65A16EF5"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US$145,000; </w:t>
      </w:r>
      <w:r w:rsidRPr="00A81971">
        <w:rPr>
          <w:rFonts w:eastAsia="Times New Roman"/>
          <w:b/>
          <w:bCs/>
          <w:color w:val="202020"/>
        </w:rPr>
        <w:t xml:space="preserve">linear Stage II envelope: </w:t>
      </w:r>
      <w:r w:rsidRPr="00A81971">
        <w:rPr>
          <w:rFonts w:eastAsia="Times New Roman"/>
          <w:color w:val="202020"/>
        </w:rPr>
        <w:t>US$290,000.</w:t>
      </w:r>
    </w:p>
    <w:tbl>
      <w:tblPr>
        <w:tblStyle w:val="TableGrid"/>
        <w:tblW w:w="0" w:type="auto"/>
        <w:tblLook w:val="04A0" w:firstRow="1" w:lastRow="0" w:firstColumn="1" w:lastColumn="0" w:noHBand="0" w:noVBand="1"/>
      </w:tblPr>
      <w:tblGrid>
        <w:gridCol w:w="2474"/>
        <w:gridCol w:w="1404"/>
        <w:gridCol w:w="1143"/>
        <w:gridCol w:w="1360"/>
        <w:gridCol w:w="1194"/>
        <w:gridCol w:w="1489"/>
      </w:tblGrid>
      <w:tr w:rsidR="00F90461" w14:paraId="56100C5F" w14:textId="77777777" w:rsidTr="6EDB0298">
        <w:trPr>
          <w:trHeight w:val="300"/>
        </w:trPr>
        <w:tc>
          <w:tcPr>
            <w:tcW w:w="247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D2A8963"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40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3E599B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A47F4BF"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58544B7"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4A9E7B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52C0D89"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75D628CF" w14:textId="77777777" w:rsidTr="6EDB0298">
        <w:trPr>
          <w:trHeight w:val="300"/>
        </w:trPr>
        <w:tc>
          <w:tcPr>
            <w:tcW w:w="247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0B77CEA"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40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A400622" w14:textId="77777777" w:rsidR="6EDB0298" w:rsidRPr="00A81971" w:rsidRDefault="0032495C" w:rsidP="6EDB0298">
            <w:pPr>
              <w:spacing w:after="0"/>
              <w:jc w:val="right"/>
              <w:rPr>
                <w:rFonts w:eastAsia="Times New Roman"/>
                <w:color w:val="202020"/>
              </w:rPr>
            </w:pPr>
            <w:r w:rsidRPr="00A81971">
              <w:rPr>
                <w:rFonts w:eastAsia="Times New Roman"/>
                <w:color w:val="202020"/>
              </w:rPr>
              <w:t>US$141,000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5381A1F"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44EF3F3" w14:textId="77777777" w:rsidR="6EDB0298" w:rsidRPr="00A81971" w:rsidRDefault="0032495C" w:rsidP="6EDB0298">
            <w:pPr>
              <w:spacing w:after="0"/>
              <w:jc w:val="right"/>
              <w:rPr>
                <w:rFonts w:eastAsia="Times New Roman"/>
                <w:color w:val="202020"/>
              </w:rPr>
            </w:pPr>
            <w:r w:rsidRPr="00A81971">
              <w:rPr>
                <w:rFonts w:eastAsia="Times New Roman"/>
                <w:color w:val="202020"/>
              </w:rPr>
              <w:t>US$70,500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3F17F34"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2A9C421" w14:textId="77777777" w:rsidR="6EDB0298" w:rsidRPr="00A81971" w:rsidRDefault="0032495C" w:rsidP="6EDB0298">
            <w:pPr>
              <w:spacing w:after="0"/>
              <w:jc w:val="right"/>
              <w:rPr>
                <w:rFonts w:eastAsia="Times New Roman"/>
                <w:color w:val="202020"/>
              </w:rPr>
            </w:pPr>
            <w:r w:rsidRPr="00A81971">
              <w:rPr>
                <w:rFonts w:eastAsia="Times New Roman"/>
                <w:color w:val="202020"/>
              </w:rPr>
              <w:t>US$105,750</w:t>
            </w:r>
          </w:p>
        </w:tc>
      </w:tr>
      <w:tr w:rsidR="00F90461" w14:paraId="1417765C" w14:textId="77777777" w:rsidTr="6EDB0298">
        <w:trPr>
          <w:trHeight w:val="300"/>
        </w:trPr>
        <w:tc>
          <w:tcPr>
            <w:tcW w:w="247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3E89319"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40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C5FF055" w14:textId="77777777" w:rsidR="6EDB0298" w:rsidRPr="00A81971" w:rsidRDefault="0032495C" w:rsidP="6EDB0298">
            <w:pPr>
              <w:spacing w:after="0"/>
              <w:jc w:val="right"/>
              <w:rPr>
                <w:rFonts w:eastAsia="Times New Roman"/>
                <w:color w:val="202020"/>
              </w:rPr>
            </w:pPr>
            <w:r w:rsidRPr="00A81971">
              <w:rPr>
                <w:rFonts w:eastAsia="Times New Roman"/>
                <w:color w:val="202020"/>
              </w:rPr>
              <w:t>US$4,000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793ED4F"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103B010" w14:textId="77777777" w:rsidR="6EDB0298" w:rsidRPr="00A81971" w:rsidRDefault="0032495C" w:rsidP="6EDB0298">
            <w:pPr>
              <w:spacing w:after="0"/>
              <w:jc w:val="right"/>
              <w:rPr>
                <w:rFonts w:eastAsia="Times New Roman"/>
                <w:color w:val="202020"/>
              </w:rPr>
            </w:pPr>
            <w:r w:rsidRPr="00A81971">
              <w:rPr>
                <w:rFonts w:eastAsia="Times New Roman"/>
                <w:color w:val="202020"/>
              </w:rPr>
              <w:t>US$4,000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58630C7"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80A0966" w14:textId="77777777" w:rsidR="6EDB0298" w:rsidRPr="00A81971" w:rsidRDefault="0032495C" w:rsidP="6EDB0298">
            <w:pPr>
              <w:spacing w:after="0"/>
              <w:jc w:val="right"/>
              <w:rPr>
                <w:rFonts w:eastAsia="Times New Roman"/>
                <w:color w:val="202020"/>
              </w:rPr>
            </w:pPr>
            <w:r w:rsidRPr="00A81971">
              <w:rPr>
                <w:rFonts w:eastAsia="Times New Roman"/>
                <w:color w:val="202020"/>
              </w:rPr>
              <w:t>US$4,000</w:t>
            </w:r>
          </w:p>
        </w:tc>
      </w:tr>
    </w:tbl>
    <w:p w14:paraId="632454E7"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03DA0594"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 xml:space="preserve">Under the 50% lower-case scenario, the additional allowance is US$74,500 and the resulting Stage II envelope is US$364,500 (25.7% above linear doubling). Under the 75% stress test, </w:t>
      </w:r>
      <w:r w:rsidRPr="00A81971">
        <w:rPr>
          <w:rFonts w:eastAsia="Times New Roman"/>
          <w:color w:val="202020"/>
        </w:rPr>
        <w:lastRenderedPageBreak/>
        <w:t>the additional allowance is US$109,750 and the resulting Stage II envelope is US$399,750 (37.8% above linear doubling).</w:t>
      </w:r>
    </w:p>
    <w:p w14:paraId="5E14A235" w14:textId="64F4B40B" w:rsidR="6EDB0298" w:rsidRPr="002E3156" w:rsidRDefault="0032495C" w:rsidP="002E3156">
      <w:pPr>
        <w:pStyle w:val="Heading3"/>
      </w:pPr>
      <w:r w:rsidRPr="002E3156">
        <w:t>A</w:t>
      </w:r>
      <w:r w:rsidR="00DF2701" w:rsidRPr="002E3156">
        <w:t>5</w:t>
      </w:r>
      <w:r w:rsidRPr="002E3156">
        <w:t xml:space="preserve">.3.3 </w:t>
      </w:r>
      <w:r w:rsidR="002E3156" w:rsidRPr="002E3156">
        <w:tab/>
      </w:r>
      <w:r w:rsidRPr="002E3156">
        <w:t>Bracket 3</w:t>
      </w:r>
    </w:p>
    <w:p w14:paraId="589FA1DF"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US$158,000; </w:t>
      </w:r>
      <w:r w:rsidRPr="00A81971">
        <w:rPr>
          <w:rFonts w:eastAsia="Times New Roman"/>
          <w:b/>
          <w:bCs/>
          <w:color w:val="202020"/>
        </w:rPr>
        <w:t xml:space="preserve">linear Stage II envelope: </w:t>
      </w:r>
      <w:r w:rsidRPr="00A81971">
        <w:rPr>
          <w:rFonts w:eastAsia="Times New Roman"/>
          <w:color w:val="202020"/>
        </w:rPr>
        <w:t>US$316,000.</w:t>
      </w:r>
    </w:p>
    <w:tbl>
      <w:tblPr>
        <w:tblStyle w:val="TableGrid"/>
        <w:tblW w:w="0" w:type="auto"/>
        <w:tblLook w:val="04A0" w:firstRow="1" w:lastRow="0" w:firstColumn="1" w:lastColumn="0" w:noHBand="0" w:noVBand="1"/>
      </w:tblPr>
      <w:tblGrid>
        <w:gridCol w:w="2518"/>
        <w:gridCol w:w="1360"/>
        <w:gridCol w:w="1143"/>
        <w:gridCol w:w="1360"/>
        <w:gridCol w:w="1194"/>
        <w:gridCol w:w="1489"/>
      </w:tblGrid>
      <w:tr w:rsidR="00F90461" w14:paraId="15279734" w14:textId="77777777" w:rsidTr="6EDB0298">
        <w:trPr>
          <w:trHeight w:val="300"/>
        </w:trPr>
        <w:tc>
          <w:tcPr>
            <w:tcW w:w="252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F11C0F3"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6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7241B6B"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F3CBC7F"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818522B"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815032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927C11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571A0597" w14:textId="77777777" w:rsidTr="6EDB0298">
        <w:trPr>
          <w:trHeight w:val="300"/>
        </w:trPr>
        <w:tc>
          <w:tcPr>
            <w:tcW w:w="252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AE0656E"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6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DA007FF" w14:textId="77777777" w:rsidR="6EDB0298" w:rsidRPr="00A81971" w:rsidRDefault="0032495C" w:rsidP="6EDB0298">
            <w:pPr>
              <w:spacing w:after="0"/>
              <w:jc w:val="right"/>
              <w:rPr>
                <w:rFonts w:eastAsia="Times New Roman"/>
                <w:color w:val="202020"/>
              </w:rPr>
            </w:pPr>
            <w:r w:rsidRPr="00A81971">
              <w:rPr>
                <w:rFonts w:eastAsia="Times New Roman"/>
                <w:color w:val="202020"/>
              </w:rPr>
              <w:t>US$142,200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F5FB612"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5D8DB3C" w14:textId="77777777" w:rsidR="6EDB0298" w:rsidRPr="00A81971" w:rsidRDefault="0032495C" w:rsidP="6EDB0298">
            <w:pPr>
              <w:spacing w:after="0"/>
              <w:jc w:val="right"/>
              <w:rPr>
                <w:rFonts w:eastAsia="Times New Roman"/>
                <w:color w:val="202020"/>
              </w:rPr>
            </w:pPr>
            <w:r w:rsidRPr="00A81971">
              <w:rPr>
                <w:rFonts w:eastAsia="Times New Roman"/>
                <w:color w:val="202020"/>
              </w:rPr>
              <w:t>US$71,100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B5F48AA"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173809E" w14:textId="77777777" w:rsidR="6EDB0298" w:rsidRPr="00A81971" w:rsidRDefault="0032495C" w:rsidP="6EDB0298">
            <w:pPr>
              <w:spacing w:after="0"/>
              <w:jc w:val="right"/>
              <w:rPr>
                <w:rFonts w:eastAsia="Times New Roman"/>
                <w:color w:val="202020"/>
              </w:rPr>
            </w:pPr>
            <w:r w:rsidRPr="00A81971">
              <w:rPr>
                <w:rFonts w:eastAsia="Times New Roman"/>
                <w:color w:val="202020"/>
              </w:rPr>
              <w:t>US$106,650</w:t>
            </w:r>
          </w:p>
        </w:tc>
      </w:tr>
      <w:tr w:rsidR="00F90461" w14:paraId="7775BC19" w14:textId="77777777" w:rsidTr="6EDB0298">
        <w:trPr>
          <w:trHeight w:val="300"/>
        </w:trPr>
        <w:tc>
          <w:tcPr>
            <w:tcW w:w="252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C5543AE"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6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E122B2D" w14:textId="77777777" w:rsidR="6EDB0298" w:rsidRPr="00A81971" w:rsidRDefault="0032495C" w:rsidP="6EDB0298">
            <w:pPr>
              <w:spacing w:after="0"/>
              <w:jc w:val="right"/>
              <w:rPr>
                <w:rFonts w:eastAsia="Times New Roman"/>
                <w:color w:val="202020"/>
              </w:rPr>
            </w:pPr>
            <w:r w:rsidRPr="00A81971">
              <w:rPr>
                <w:rFonts w:eastAsia="Times New Roman"/>
                <w:color w:val="202020"/>
              </w:rPr>
              <w:t>US$15,800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A0F2354"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1CB4061" w14:textId="77777777" w:rsidR="6EDB0298" w:rsidRPr="00A81971" w:rsidRDefault="0032495C" w:rsidP="6EDB0298">
            <w:pPr>
              <w:spacing w:after="0"/>
              <w:jc w:val="right"/>
              <w:rPr>
                <w:rFonts w:eastAsia="Times New Roman"/>
                <w:color w:val="202020"/>
              </w:rPr>
            </w:pPr>
            <w:r w:rsidRPr="00A81971">
              <w:rPr>
                <w:rFonts w:eastAsia="Times New Roman"/>
                <w:color w:val="202020"/>
              </w:rPr>
              <w:t>US$15,800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D71B489"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E27C9CF" w14:textId="77777777" w:rsidR="6EDB0298" w:rsidRPr="00A81971" w:rsidRDefault="0032495C" w:rsidP="6EDB0298">
            <w:pPr>
              <w:spacing w:after="0"/>
              <w:jc w:val="right"/>
              <w:rPr>
                <w:rFonts w:eastAsia="Times New Roman"/>
                <w:color w:val="202020"/>
              </w:rPr>
            </w:pPr>
            <w:r w:rsidRPr="00A81971">
              <w:rPr>
                <w:rFonts w:eastAsia="Times New Roman"/>
                <w:color w:val="202020"/>
              </w:rPr>
              <w:t>US$15,800</w:t>
            </w:r>
          </w:p>
        </w:tc>
      </w:tr>
    </w:tbl>
    <w:p w14:paraId="7ABE0A3B"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679B8313"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US$86,900 and the resulting Stage II envelope is US$402,900 (27.5% above linear doubling). Under the 75% stress test, the additional allowance is US$122,450 and the resulting Stage II envelope is US$438,450 (38.8% above linear doubling).</w:t>
      </w:r>
    </w:p>
    <w:p w14:paraId="540063AA" w14:textId="25C389F1" w:rsidR="6EDB0298" w:rsidRPr="002E3156" w:rsidRDefault="0032495C" w:rsidP="002E3156">
      <w:pPr>
        <w:pStyle w:val="Heading3"/>
      </w:pPr>
      <w:r w:rsidRPr="002E3156">
        <w:t>A</w:t>
      </w:r>
      <w:r w:rsidR="00DF2701" w:rsidRPr="002E3156">
        <w:t>5</w:t>
      </w:r>
      <w:r w:rsidRPr="002E3156">
        <w:t xml:space="preserve">.3.4 </w:t>
      </w:r>
      <w:r w:rsidR="002E3156" w:rsidRPr="002E3156">
        <w:tab/>
      </w:r>
      <w:r w:rsidRPr="002E3156">
        <w:t>Bracket 4</w:t>
      </w:r>
    </w:p>
    <w:p w14:paraId="2DFC62F3"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US$170,000; </w:t>
      </w:r>
      <w:r w:rsidRPr="00A81971">
        <w:rPr>
          <w:rFonts w:eastAsia="Times New Roman"/>
          <w:b/>
          <w:bCs/>
          <w:color w:val="202020"/>
        </w:rPr>
        <w:t xml:space="preserve">linear Stage II envelope: </w:t>
      </w:r>
      <w:r w:rsidRPr="00A81971">
        <w:rPr>
          <w:rFonts w:eastAsia="Times New Roman"/>
          <w:color w:val="202020"/>
        </w:rPr>
        <w:t>US$340,000.</w:t>
      </w:r>
    </w:p>
    <w:tbl>
      <w:tblPr>
        <w:tblStyle w:val="TableGrid"/>
        <w:tblW w:w="0" w:type="auto"/>
        <w:tblLook w:val="04A0" w:firstRow="1" w:lastRow="0" w:firstColumn="1" w:lastColumn="0" w:noHBand="0" w:noVBand="1"/>
      </w:tblPr>
      <w:tblGrid>
        <w:gridCol w:w="2489"/>
        <w:gridCol w:w="1389"/>
        <w:gridCol w:w="1143"/>
        <w:gridCol w:w="1360"/>
        <w:gridCol w:w="1194"/>
        <w:gridCol w:w="1489"/>
      </w:tblGrid>
      <w:tr w:rsidR="00F90461" w14:paraId="130E0AF8"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66CD739"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9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889827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E5F0A7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F222F89"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D86513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4E79363"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5474E487"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CC782F2"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9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CF72FE5" w14:textId="77777777" w:rsidR="6EDB0298" w:rsidRPr="00A81971" w:rsidRDefault="0032495C" w:rsidP="6EDB0298">
            <w:pPr>
              <w:spacing w:after="0"/>
              <w:jc w:val="right"/>
              <w:rPr>
                <w:rFonts w:eastAsia="Times New Roman"/>
                <w:color w:val="202020"/>
              </w:rPr>
            </w:pPr>
            <w:r w:rsidRPr="00A81971">
              <w:rPr>
                <w:rFonts w:eastAsia="Times New Roman"/>
                <w:color w:val="202020"/>
              </w:rPr>
              <w:t>US$168,620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1F51D97"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37CE293" w14:textId="77777777" w:rsidR="6EDB0298" w:rsidRPr="00A81971" w:rsidRDefault="0032495C" w:rsidP="6EDB0298">
            <w:pPr>
              <w:spacing w:after="0"/>
              <w:jc w:val="right"/>
              <w:rPr>
                <w:rFonts w:eastAsia="Times New Roman"/>
                <w:color w:val="202020"/>
              </w:rPr>
            </w:pPr>
            <w:r w:rsidRPr="00A81971">
              <w:rPr>
                <w:rFonts w:eastAsia="Times New Roman"/>
                <w:color w:val="202020"/>
              </w:rPr>
              <w:t>US$84,310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90D0E7F"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4F209F6" w14:textId="77777777" w:rsidR="6EDB0298" w:rsidRPr="00A81971" w:rsidRDefault="0032495C" w:rsidP="6EDB0298">
            <w:pPr>
              <w:spacing w:after="0"/>
              <w:jc w:val="right"/>
              <w:rPr>
                <w:rFonts w:eastAsia="Times New Roman"/>
                <w:color w:val="202020"/>
              </w:rPr>
            </w:pPr>
            <w:r w:rsidRPr="00A81971">
              <w:rPr>
                <w:rFonts w:eastAsia="Times New Roman"/>
                <w:color w:val="202020"/>
              </w:rPr>
              <w:t>US$126,465</w:t>
            </w:r>
          </w:p>
        </w:tc>
      </w:tr>
      <w:tr w:rsidR="00F90461" w14:paraId="5183C521"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36FF7CB"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9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981FE0A" w14:textId="77777777" w:rsidR="6EDB0298" w:rsidRPr="00A81971" w:rsidRDefault="0032495C" w:rsidP="6EDB0298">
            <w:pPr>
              <w:spacing w:after="0"/>
              <w:jc w:val="right"/>
              <w:rPr>
                <w:rFonts w:eastAsia="Times New Roman"/>
                <w:color w:val="202020"/>
              </w:rPr>
            </w:pPr>
            <w:r w:rsidRPr="00A81971">
              <w:rPr>
                <w:rFonts w:eastAsia="Times New Roman"/>
                <w:color w:val="202020"/>
              </w:rPr>
              <w:t>US$1,380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AFB9090"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FE5B05E" w14:textId="77777777" w:rsidR="6EDB0298" w:rsidRPr="00A81971" w:rsidRDefault="0032495C" w:rsidP="6EDB0298">
            <w:pPr>
              <w:spacing w:after="0"/>
              <w:jc w:val="right"/>
              <w:rPr>
                <w:rFonts w:eastAsia="Times New Roman"/>
                <w:color w:val="202020"/>
              </w:rPr>
            </w:pPr>
            <w:r w:rsidRPr="00A81971">
              <w:rPr>
                <w:rFonts w:eastAsia="Times New Roman"/>
                <w:color w:val="202020"/>
              </w:rPr>
              <w:t>US$1,380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9ABC7A2"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E16889D" w14:textId="77777777" w:rsidR="6EDB0298" w:rsidRPr="00A81971" w:rsidRDefault="0032495C" w:rsidP="6EDB0298">
            <w:pPr>
              <w:spacing w:after="0"/>
              <w:jc w:val="right"/>
              <w:rPr>
                <w:rFonts w:eastAsia="Times New Roman"/>
                <w:color w:val="202020"/>
              </w:rPr>
            </w:pPr>
            <w:r w:rsidRPr="00A81971">
              <w:rPr>
                <w:rFonts w:eastAsia="Times New Roman"/>
                <w:color w:val="202020"/>
              </w:rPr>
              <w:t>US$1,380</w:t>
            </w:r>
          </w:p>
        </w:tc>
      </w:tr>
    </w:tbl>
    <w:p w14:paraId="472E5183"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56F9F637"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US$85,690 and the resulting Stage II envelope is US$425,690 (25.2% above linear doubling). Under the 75% stress test, the additional allowance is US$127,845 and the resulting Stage II envelope is US$467,845 (37.6% above linear doubling).</w:t>
      </w:r>
    </w:p>
    <w:p w14:paraId="4E677DD6" w14:textId="0A6569FC" w:rsidR="6EDB0298" w:rsidRPr="002E3156" w:rsidRDefault="0032495C" w:rsidP="002E3156">
      <w:pPr>
        <w:pStyle w:val="Heading3"/>
      </w:pPr>
      <w:r w:rsidRPr="002E3156">
        <w:t>A</w:t>
      </w:r>
      <w:r w:rsidR="00DF2701" w:rsidRPr="002E3156">
        <w:t>5</w:t>
      </w:r>
      <w:r w:rsidRPr="002E3156">
        <w:t xml:space="preserve">.3.5 </w:t>
      </w:r>
      <w:r w:rsidR="002E3156">
        <w:tab/>
      </w:r>
      <w:r w:rsidRPr="002E3156">
        <w:t>Bracket 5</w:t>
      </w:r>
    </w:p>
    <w:p w14:paraId="73535D1F"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US$180,000; </w:t>
      </w:r>
      <w:r w:rsidRPr="00A81971">
        <w:rPr>
          <w:rFonts w:eastAsia="Times New Roman"/>
          <w:b/>
          <w:bCs/>
          <w:color w:val="202020"/>
        </w:rPr>
        <w:t xml:space="preserve">linear Stage II envelope: </w:t>
      </w:r>
      <w:r w:rsidRPr="00A81971">
        <w:rPr>
          <w:rFonts w:eastAsia="Times New Roman"/>
          <w:color w:val="202020"/>
        </w:rPr>
        <w:t>US$360,000.</w:t>
      </w:r>
    </w:p>
    <w:tbl>
      <w:tblPr>
        <w:tblStyle w:val="TableGrid"/>
        <w:tblW w:w="0" w:type="auto"/>
        <w:tblLook w:val="04A0" w:firstRow="1" w:lastRow="0" w:firstColumn="1" w:lastColumn="0" w:noHBand="0" w:noVBand="1"/>
      </w:tblPr>
      <w:tblGrid>
        <w:gridCol w:w="2489"/>
        <w:gridCol w:w="1389"/>
        <w:gridCol w:w="1143"/>
        <w:gridCol w:w="1360"/>
        <w:gridCol w:w="1194"/>
        <w:gridCol w:w="1489"/>
      </w:tblGrid>
      <w:tr w:rsidR="00F90461" w14:paraId="1B5B19DD"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0285B0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9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73A1E67"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BAD01A0"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7243769"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36E7A47"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055EC6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606A8F74"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0FC0316"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9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F0F27A1" w14:textId="77777777" w:rsidR="6EDB0298" w:rsidRPr="00A81971" w:rsidRDefault="0032495C" w:rsidP="6EDB0298">
            <w:pPr>
              <w:spacing w:after="0"/>
              <w:jc w:val="right"/>
              <w:rPr>
                <w:rFonts w:eastAsia="Times New Roman"/>
                <w:color w:val="202020"/>
              </w:rPr>
            </w:pPr>
            <w:r w:rsidRPr="00A81971">
              <w:rPr>
                <w:rFonts w:eastAsia="Times New Roman"/>
                <w:color w:val="202020"/>
              </w:rPr>
              <w:t>US$162,000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3700DA6"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CC8820E" w14:textId="77777777" w:rsidR="6EDB0298" w:rsidRPr="00A81971" w:rsidRDefault="0032495C" w:rsidP="6EDB0298">
            <w:pPr>
              <w:spacing w:after="0"/>
              <w:jc w:val="right"/>
              <w:rPr>
                <w:rFonts w:eastAsia="Times New Roman"/>
                <w:color w:val="202020"/>
              </w:rPr>
            </w:pPr>
            <w:r w:rsidRPr="00A81971">
              <w:rPr>
                <w:rFonts w:eastAsia="Times New Roman"/>
                <w:color w:val="202020"/>
              </w:rPr>
              <w:t>US$81,000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3322A88"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69655E8" w14:textId="77777777" w:rsidR="6EDB0298" w:rsidRPr="00A81971" w:rsidRDefault="0032495C" w:rsidP="6EDB0298">
            <w:pPr>
              <w:spacing w:after="0"/>
              <w:jc w:val="right"/>
              <w:rPr>
                <w:rFonts w:eastAsia="Times New Roman"/>
                <w:color w:val="202020"/>
              </w:rPr>
            </w:pPr>
            <w:r w:rsidRPr="00A81971">
              <w:rPr>
                <w:rFonts w:eastAsia="Times New Roman"/>
                <w:color w:val="202020"/>
              </w:rPr>
              <w:t>US$121,500</w:t>
            </w:r>
          </w:p>
        </w:tc>
      </w:tr>
      <w:tr w:rsidR="00F90461" w14:paraId="74EE1855" w14:textId="77777777" w:rsidTr="6EDB0298">
        <w:trPr>
          <w:trHeight w:val="300"/>
        </w:trPr>
        <w:tc>
          <w:tcPr>
            <w:tcW w:w="249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30E3DBD"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9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4636B62" w14:textId="77777777" w:rsidR="6EDB0298" w:rsidRPr="00A81971" w:rsidRDefault="0032495C" w:rsidP="6EDB0298">
            <w:pPr>
              <w:spacing w:after="0"/>
              <w:jc w:val="right"/>
              <w:rPr>
                <w:rFonts w:eastAsia="Times New Roman"/>
                <w:color w:val="202020"/>
              </w:rPr>
            </w:pPr>
            <w:r w:rsidRPr="00A81971">
              <w:rPr>
                <w:rFonts w:eastAsia="Times New Roman"/>
                <w:color w:val="202020"/>
              </w:rPr>
              <w:t>US$18,000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51B3B7B"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0C5D652" w14:textId="77777777" w:rsidR="6EDB0298" w:rsidRPr="00A81971" w:rsidRDefault="0032495C" w:rsidP="6EDB0298">
            <w:pPr>
              <w:spacing w:after="0"/>
              <w:jc w:val="right"/>
              <w:rPr>
                <w:rFonts w:eastAsia="Times New Roman"/>
                <w:color w:val="202020"/>
              </w:rPr>
            </w:pPr>
            <w:r w:rsidRPr="00A81971">
              <w:rPr>
                <w:rFonts w:eastAsia="Times New Roman"/>
                <w:color w:val="202020"/>
              </w:rPr>
              <w:t>US$18,000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0BBCC5A"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F9B53E4" w14:textId="77777777" w:rsidR="6EDB0298" w:rsidRPr="00A81971" w:rsidRDefault="0032495C" w:rsidP="6EDB0298">
            <w:pPr>
              <w:spacing w:after="0"/>
              <w:jc w:val="right"/>
              <w:rPr>
                <w:rFonts w:eastAsia="Times New Roman"/>
                <w:color w:val="202020"/>
              </w:rPr>
            </w:pPr>
            <w:r w:rsidRPr="00A81971">
              <w:rPr>
                <w:rFonts w:eastAsia="Times New Roman"/>
                <w:color w:val="202020"/>
              </w:rPr>
              <w:t>US$18,000</w:t>
            </w:r>
          </w:p>
        </w:tc>
      </w:tr>
    </w:tbl>
    <w:p w14:paraId="6D287228"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43B05D58" w14:textId="1FFD68A9" w:rsidR="002E3156"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US$99,000 and the resulting Stage II envelope is US$459,000 (27.5% above linear doubling). Under the 75% stress test, the additional allowance is US$139,500 and the resulting Stage II envelope is US$499,500 (38.8% above linear doubling).</w:t>
      </w:r>
    </w:p>
    <w:p w14:paraId="57A4CC8C" w14:textId="77777777" w:rsidR="002E3156" w:rsidRDefault="002E3156">
      <w:pPr>
        <w:spacing w:after="0"/>
        <w:rPr>
          <w:rFonts w:eastAsia="Times New Roman"/>
          <w:color w:val="202020"/>
        </w:rPr>
      </w:pPr>
      <w:r>
        <w:rPr>
          <w:rFonts w:eastAsia="Times New Roman"/>
          <w:color w:val="202020"/>
        </w:rPr>
        <w:br w:type="page"/>
      </w:r>
    </w:p>
    <w:p w14:paraId="64FB83D5" w14:textId="77777777" w:rsidR="6EDB0298" w:rsidRPr="00A81971" w:rsidRDefault="6EDB0298" w:rsidP="6EDB0298">
      <w:pPr>
        <w:spacing w:after="140" w:line="257" w:lineRule="auto"/>
        <w:rPr>
          <w:rFonts w:eastAsia="Times New Roman"/>
          <w:color w:val="202020"/>
        </w:rPr>
      </w:pPr>
    </w:p>
    <w:p w14:paraId="5FF9D9B3" w14:textId="2EABB05B" w:rsidR="6EDB0298" w:rsidRPr="002E3156" w:rsidRDefault="0032495C" w:rsidP="002E3156">
      <w:pPr>
        <w:pStyle w:val="Heading3"/>
      </w:pPr>
      <w:r w:rsidRPr="002E3156">
        <w:t>A</w:t>
      </w:r>
      <w:r w:rsidR="00DF2701" w:rsidRPr="002E3156">
        <w:t>5</w:t>
      </w:r>
      <w:r w:rsidRPr="002E3156">
        <w:t xml:space="preserve">.3.6 </w:t>
      </w:r>
      <w:r w:rsidR="002E3156">
        <w:tab/>
      </w:r>
      <w:r w:rsidRPr="002E3156">
        <w:t>Bracket 6</w:t>
      </w:r>
    </w:p>
    <w:p w14:paraId="0F2194FA"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US$190,000; </w:t>
      </w:r>
      <w:r w:rsidRPr="00A81971">
        <w:rPr>
          <w:rFonts w:eastAsia="Times New Roman"/>
          <w:b/>
          <w:bCs/>
          <w:color w:val="202020"/>
        </w:rPr>
        <w:t xml:space="preserve">linear Stage II envelope: </w:t>
      </w:r>
      <w:r w:rsidRPr="00A81971">
        <w:rPr>
          <w:rFonts w:eastAsia="Times New Roman"/>
          <w:color w:val="202020"/>
        </w:rPr>
        <w:t>US$380,000.</w:t>
      </w:r>
    </w:p>
    <w:tbl>
      <w:tblPr>
        <w:tblStyle w:val="TableGrid"/>
        <w:tblW w:w="0" w:type="auto"/>
        <w:tblLook w:val="04A0" w:firstRow="1" w:lastRow="0" w:firstColumn="1" w:lastColumn="0" w:noHBand="0" w:noVBand="1"/>
      </w:tblPr>
      <w:tblGrid>
        <w:gridCol w:w="2533"/>
        <w:gridCol w:w="1345"/>
        <w:gridCol w:w="1143"/>
        <w:gridCol w:w="1360"/>
        <w:gridCol w:w="1194"/>
        <w:gridCol w:w="1489"/>
      </w:tblGrid>
      <w:tr w:rsidR="00F90461" w14:paraId="30609602"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65CF25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4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6C9E44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A4818A5"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AE62E0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B80DCAC"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99E7E50"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1B26306F"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467A77E"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7913B4F" w14:textId="77777777" w:rsidR="6EDB0298" w:rsidRPr="00A81971" w:rsidRDefault="0032495C" w:rsidP="6EDB0298">
            <w:pPr>
              <w:spacing w:after="0"/>
              <w:jc w:val="right"/>
              <w:rPr>
                <w:rFonts w:eastAsia="Times New Roman"/>
                <w:color w:val="202020"/>
              </w:rPr>
            </w:pPr>
            <w:r w:rsidRPr="00A81971">
              <w:rPr>
                <w:rFonts w:eastAsia="Times New Roman"/>
                <w:color w:val="202020"/>
              </w:rPr>
              <w:t>US$175,000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99CF175"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4E7F257" w14:textId="77777777" w:rsidR="6EDB0298" w:rsidRPr="00A81971" w:rsidRDefault="0032495C" w:rsidP="6EDB0298">
            <w:pPr>
              <w:spacing w:after="0"/>
              <w:jc w:val="right"/>
              <w:rPr>
                <w:rFonts w:eastAsia="Times New Roman"/>
                <w:color w:val="202020"/>
              </w:rPr>
            </w:pPr>
            <w:r w:rsidRPr="00A81971">
              <w:rPr>
                <w:rFonts w:eastAsia="Times New Roman"/>
                <w:color w:val="202020"/>
              </w:rPr>
              <w:t>US$87,500</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148CF77"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14BFC98" w14:textId="77777777" w:rsidR="6EDB0298" w:rsidRPr="00A81971" w:rsidRDefault="0032495C" w:rsidP="6EDB0298">
            <w:pPr>
              <w:spacing w:after="0"/>
              <w:jc w:val="right"/>
              <w:rPr>
                <w:rFonts w:eastAsia="Times New Roman"/>
                <w:color w:val="202020"/>
              </w:rPr>
            </w:pPr>
            <w:r w:rsidRPr="00A81971">
              <w:rPr>
                <w:rFonts w:eastAsia="Times New Roman"/>
                <w:color w:val="202020"/>
              </w:rPr>
              <w:t>US$131,250</w:t>
            </w:r>
          </w:p>
        </w:tc>
      </w:tr>
      <w:tr w:rsidR="00F90461" w14:paraId="7C3AE62C"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31CC44E"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1A39DBC"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CE6EE05"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245FC8C"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1F672AF"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69A65A9" w14:textId="77777777" w:rsidR="6EDB0298" w:rsidRPr="00A81971" w:rsidRDefault="0032495C" w:rsidP="6EDB0298">
            <w:pPr>
              <w:spacing w:after="0"/>
              <w:jc w:val="right"/>
              <w:rPr>
                <w:rFonts w:eastAsia="Times New Roman"/>
                <w:color w:val="202020"/>
              </w:rPr>
            </w:pPr>
            <w:r w:rsidRPr="00A81971">
              <w:rPr>
                <w:rFonts w:eastAsia="Times New Roman"/>
                <w:color w:val="202020"/>
              </w:rPr>
              <w:t>US$15,000</w:t>
            </w:r>
          </w:p>
        </w:tc>
      </w:tr>
    </w:tbl>
    <w:p w14:paraId="7A9D27C2"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7A0B2E64"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US$102,500 and the resulting Stage II envelope is US$482,500 (27.0% above linear doubling). Under the 75% stress test, the additional allowance is US$146,250 and the resulting Stage II envelope is US$526,250 (38.5% above linear doubling).</w:t>
      </w:r>
    </w:p>
    <w:p w14:paraId="19FFA858" w14:textId="2B282306" w:rsidR="6EDB0298" w:rsidRPr="002E3156" w:rsidRDefault="0032495C" w:rsidP="002E3156">
      <w:pPr>
        <w:pStyle w:val="Heading3"/>
      </w:pPr>
      <w:r w:rsidRPr="002E3156">
        <w:t>A</w:t>
      </w:r>
      <w:r w:rsidR="00DF2701" w:rsidRPr="002E3156">
        <w:t>5</w:t>
      </w:r>
      <w:r w:rsidRPr="002E3156">
        <w:t xml:space="preserve">.3.7 </w:t>
      </w:r>
      <w:r w:rsidR="002E3156" w:rsidRPr="002E3156">
        <w:tab/>
      </w:r>
      <w:r w:rsidRPr="002E3156">
        <w:t>Bracket 7</w:t>
      </w:r>
    </w:p>
    <w:p w14:paraId="7FE9EEBD"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US$325,000; </w:t>
      </w:r>
      <w:r w:rsidRPr="00A81971">
        <w:rPr>
          <w:rFonts w:eastAsia="Times New Roman"/>
          <w:b/>
          <w:bCs/>
          <w:color w:val="202020"/>
        </w:rPr>
        <w:t xml:space="preserve">linear Stage II envelope: </w:t>
      </w:r>
      <w:r w:rsidRPr="00A81971">
        <w:rPr>
          <w:rFonts w:eastAsia="Times New Roman"/>
          <w:color w:val="202020"/>
        </w:rPr>
        <w:t>US$650,000.</w:t>
      </w:r>
    </w:p>
    <w:tbl>
      <w:tblPr>
        <w:tblStyle w:val="TableGrid"/>
        <w:tblW w:w="0" w:type="auto"/>
        <w:tblLook w:val="04A0" w:firstRow="1" w:lastRow="0" w:firstColumn="1" w:lastColumn="0" w:noHBand="0" w:noVBand="1"/>
      </w:tblPr>
      <w:tblGrid>
        <w:gridCol w:w="2504"/>
        <w:gridCol w:w="1374"/>
        <w:gridCol w:w="1143"/>
        <w:gridCol w:w="1362"/>
        <w:gridCol w:w="1193"/>
        <w:gridCol w:w="1488"/>
      </w:tblGrid>
      <w:tr w:rsidR="00F90461" w14:paraId="7A46EA2F" w14:textId="77777777" w:rsidTr="6EDB0298">
        <w:trPr>
          <w:trHeight w:val="300"/>
        </w:trPr>
        <w:tc>
          <w:tcPr>
            <w:tcW w:w="250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C78C065"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7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F79C6B8"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DC96D7E"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37A3CC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37AC5D6"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8045BE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76F6B92F" w14:textId="77777777" w:rsidTr="6EDB0298">
        <w:trPr>
          <w:trHeight w:val="300"/>
        </w:trPr>
        <w:tc>
          <w:tcPr>
            <w:tcW w:w="250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D930689"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7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C6E7A2D" w14:textId="77777777" w:rsidR="6EDB0298" w:rsidRPr="00A81971" w:rsidRDefault="0032495C" w:rsidP="6EDB0298">
            <w:pPr>
              <w:spacing w:after="0"/>
              <w:jc w:val="right"/>
              <w:rPr>
                <w:rFonts w:eastAsia="Times New Roman"/>
                <w:color w:val="202020"/>
              </w:rPr>
            </w:pPr>
            <w:r w:rsidRPr="00A81971">
              <w:rPr>
                <w:rFonts w:eastAsia="Times New Roman"/>
                <w:color w:val="202020"/>
              </w:rPr>
              <w:t>US$313,150</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5520A55"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7632DA2" w14:textId="77777777" w:rsidR="6EDB0298" w:rsidRPr="00A81971" w:rsidRDefault="0032495C" w:rsidP="6EDB0298">
            <w:pPr>
              <w:spacing w:after="0"/>
              <w:jc w:val="right"/>
              <w:rPr>
                <w:rFonts w:eastAsia="Times New Roman"/>
                <w:color w:val="202020"/>
              </w:rPr>
            </w:pPr>
            <w:r w:rsidRPr="00A81971">
              <w:rPr>
                <w:rFonts w:eastAsia="Times New Roman"/>
                <w:color w:val="202020"/>
              </w:rPr>
              <w:t>US$156,575</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2DA4FA9"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C2EB587" w14:textId="77777777" w:rsidR="6EDB0298" w:rsidRPr="00A81971" w:rsidRDefault="0032495C" w:rsidP="6EDB0298">
            <w:pPr>
              <w:spacing w:after="0"/>
              <w:jc w:val="right"/>
              <w:rPr>
                <w:rFonts w:eastAsia="Times New Roman"/>
                <w:color w:val="202020"/>
              </w:rPr>
            </w:pPr>
            <w:r w:rsidRPr="00A81971">
              <w:rPr>
                <w:rFonts w:eastAsia="Times New Roman"/>
                <w:color w:val="202020"/>
              </w:rPr>
              <w:t>US$234,863</w:t>
            </w:r>
          </w:p>
        </w:tc>
      </w:tr>
      <w:tr w:rsidR="00F90461" w14:paraId="08CFED18" w14:textId="77777777" w:rsidTr="6EDB0298">
        <w:trPr>
          <w:trHeight w:val="300"/>
        </w:trPr>
        <w:tc>
          <w:tcPr>
            <w:tcW w:w="250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22B394C"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7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F4205A0" w14:textId="77777777" w:rsidR="6EDB0298" w:rsidRPr="00A81971" w:rsidRDefault="0032495C" w:rsidP="6EDB0298">
            <w:pPr>
              <w:spacing w:after="0"/>
              <w:jc w:val="right"/>
              <w:rPr>
                <w:rFonts w:eastAsia="Times New Roman"/>
                <w:color w:val="202020"/>
              </w:rPr>
            </w:pPr>
            <w:r w:rsidRPr="00A81971">
              <w:rPr>
                <w:rFonts w:eastAsia="Times New Roman"/>
                <w:color w:val="202020"/>
              </w:rPr>
              <w:t>US$11,850</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2DED66B"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9D4941F" w14:textId="77777777" w:rsidR="6EDB0298" w:rsidRPr="00A81971" w:rsidRDefault="0032495C" w:rsidP="6EDB0298">
            <w:pPr>
              <w:spacing w:after="0"/>
              <w:jc w:val="right"/>
              <w:rPr>
                <w:rFonts w:eastAsia="Times New Roman"/>
                <w:color w:val="202020"/>
              </w:rPr>
            </w:pPr>
            <w:r w:rsidRPr="00A81971">
              <w:rPr>
                <w:rFonts w:eastAsia="Times New Roman"/>
                <w:color w:val="202020"/>
              </w:rPr>
              <w:t>US$11,850</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B434D84"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0019C23" w14:textId="77777777" w:rsidR="6EDB0298" w:rsidRPr="00A81971" w:rsidRDefault="0032495C" w:rsidP="6EDB0298">
            <w:pPr>
              <w:spacing w:after="0"/>
              <w:jc w:val="right"/>
              <w:rPr>
                <w:rFonts w:eastAsia="Times New Roman"/>
                <w:color w:val="202020"/>
              </w:rPr>
            </w:pPr>
            <w:r w:rsidRPr="00A81971">
              <w:rPr>
                <w:rFonts w:eastAsia="Times New Roman"/>
                <w:color w:val="202020"/>
              </w:rPr>
              <w:t>US$11,850</w:t>
            </w:r>
          </w:p>
        </w:tc>
      </w:tr>
    </w:tbl>
    <w:p w14:paraId="2BC7674B"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1BD27D38" w14:textId="77777777" w:rsidR="6EDB0298" w:rsidRPr="00A81971"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US$168,425 and the resulting Stage II envelope is US$818,425 (25.9% above linear doubling). Under the 75% stress test, the additional allowance is US$246,713 and the resulting Stage II envelope is US$896,713 (38.0% above linear doubling).</w:t>
      </w:r>
    </w:p>
    <w:p w14:paraId="751A8011" w14:textId="182CCF0B" w:rsidR="6EDB0298" w:rsidRPr="002E3156" w:rsidRDefault="0032495C" w:rsidP="002E3156">
      <w:pPr>
        <w:pStyle w:val="Heading3"/>
      </w:pPr>
      <w:r w:rsidRPr="002E3156">
        <w:t>A</w:t>
      </w:r>
      <w:r w:rsidR="00DF2701" w:rsidRPr="002E3156">
        <w:t>5</w:t>
      </w:r>
      <w:r w:rsidRPr="002E3156">
        <w:t xml:space="preserve">.3.8 </w:t>
      </w:r>
      <w:r w:rsidR="002E3156" w:rsidRPr="002E3156">
        <w:tab/>
      </w:r>
      <w:r w:rsidRPr="002E3156">
        <w:t>Bracket 8</w:t>
      </w:r>
    </w:p>
    <w:p w14:paraId="14B00B42" w14:textId="77777777" w:rsidR="6EDB0298" w:rsidRPr="00A81971" w:rsidRDefault="0032495C" w:rsidP="6EDB0298">
      <w:pPr>
        <w:spacing w:after="100" w:line="257" w:lineRule="auto"/>
        <w:rPr>
          <w:rFonts w:eastAsia="Times New Roman"/>
          <w:color w:val="202020"/>
        </w:rPr>
      </w:pPr>
      <w:r w:rsidRPr="00A81971">
        <w:rPr>
          <w:rFonts w:eastAsia="Times New Roman"/>
          <w:b/>
          <w:bCs/>
          <w:color w:val="202020"/>
        </w:rPr>
        <w:t xml:space="preserve">Stage I funding: </w:t>
      </w:r>
      <w:r w:rsidRPr="00A81971">
        <w:rPr>
          <w:rFonts w:eastAsia="Times New Roman"/>
          <w:color w:val="202020"/>
        </w:rPr>
        <w:t xml:space="preserve">US$360,000; </w:t>
      </w:r>
      <w:r w:rsidRPr="00A81971">
        <w:rPr>
          <w:rFonts w:eastAsia="Times New Roman"/>
          <w:b/>
          <w:bCs/>
          <w:color w:val="202020"/>
        </w:rPr>
        <w:t xml:space="preserve">linear Stage II envelope: </w:t>
      </w:r>
      <w:r w:rsidRPr="00A81971">
        <w:rPr>
          <w:rFonts w:eastAsia="Times New Roman"/>
          <w:color w:val="202020"/>
        </w:rPr>
        <w:t>US$720,000.</w:t>
      </w:r>
    </w:p>
    <w:tbl>
      <w:tblPr>
        <w:tblStyle w:val="TableGrid"/>
        <w:tblW w:w="0" w:type="auto"/>
        <w:tblLook w:val="04A0" w:firstRow="1" w:lastRow="0" w:firstColumn="1" w:lastColumn="0" w:noHBand="0" w:noVBand="1"/>
      </w:tblPr>
      <w:tblGrid>
        <w:gridCol w:w="2533"/>
        <w:gridCol w:w="1345"/>
        <w:gridCol w:w="1143"/>
        <w:gridCol w:w="1362"/>
        <w:gridCol w:w="1193"/>
        <w:gridCol w:w="1488"/>
      </w:tblGrid>
      <w:tr w:rsidR="00F90461" w14:paraId="33C7FE84"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0AC98D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Activity group</w:t>
            </w:r>
          </w:p>
        </w:tc>
        <w:tc>
          <w:tcPr>
            <w:tcW w:w="1346"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870ADA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 amount</w:t>
            </w:r>
          </w:p>
        </w:tc>
        <w:tc>
          <w:tcPr>
            <w:tcW w:w="1144"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55C38E74"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treatment</w:t>
            </w:r>
          </w:p>
        </w:tc>
        <w:tc>
          <w:tcPr>
            <w:tcW w:w="136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A3CD25B"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Lower increment</w:t>
            </w:r>
          </w:p>
        </w:tc>
        <w:tc>
          <w:tcPr>
            <w:tcW w:w="1195"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1A5EBB36"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treatment</w:t>
            </w:r>
          </w:p>
        </w:tc>
        <w:tc>
          <w:tcPr>
            <w:tcW w:w="149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F40CB67"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Stress increment</w:t>
            </w:r>
          </w:p>
        </w:tc>
      </w:tr>
      <w:tr w:rsidR="00F90461" w14:paraId="68EF68D0"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A7BEE77" w14:textId="77777777" w:rsidR="6EDB0298" w:rsidRPr="00A81971" w:rsidRDefault="0032495C" w:rsidP="6EDB0298">
            <w:pPr>
              <w:spacing w:after="0"/>
              <w:rPr>
                <w:rFonts w:eastAsia="Times New Roman"/>
                <w:color w:val="202020"/>
              </w:rPr>
            </w:pPr>
            <w:r w:rsidRPr="00A81971">
              <w:rPr>
                <w:rFonts w:eastAsia="Times New Roman"/>
                <w:color w:val="202020"/>
              </w:rPr>
              <w:t>Substantive activities</w:t>
            </w:r>
          </w:p>
        </w:tc>
        <w:tc>
          <w:tcPr>
            <w:tcW w:w="1346"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F77FCE9" w14:textId="77777777" w:rsidR="6EDB0298" w:rsidRPr="00A81971" w:rsidRDefault="0032495C" w:rsidP="6EDB0298">
            <w:pPr>
              <w:spacing w:after="0"/>
              <w:jc w:val="right"/>
              <w:rPr>
                <w:rFonts w:eastAsia="Times New Roman"/>
                <w:color w:val="202020"/>
              </w:rPr>
            </w:pPr>
            <w:r w:rsidRPr="00A81971">
              <w:rPr>
                <w:rFonts w:eastAsia="Times New Roman"/>
                <w:color w:val="202020"/>
              </w:rPr>
              <w:t>US$327,273</w:t>
            </w:r>
          </w:p>
        </w:tc>
        <w:tc>
          <w:tcPr>
            <w:tcW w:w="1144"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92E3A87"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36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D883C9C" w14:textId="77777777" w:rsidR="6EDB0298" w:rsidRPr="00A81971" w:rsidRDefault="0032495C" w:rsidP="6EDB0298">
            <w:pPr>
              <w:spacing w:after="0"/>
              <w:jc w:val="right"/>
              <w:rPr>
                <w:rFonts w:eastAsia="Times New Roman"/>
                <w:color w:val="202020"/>
              </w:rPr>
            </w:pPr>
            <w:r w:rsidRPr="00A81971">
              <w:rPr>
                <w:rFonts w:eastAsia="Times New Roman"/>
                <w:color w:val="202020"/>
              </w:rPr>
              <w:t>US$163,637</w:t>
            </w:r>
          </w:p>
        </w:tc>
        <w:tc>
          <w:tcPr>
            <w:tcW w:w="1195"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E8A1845"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49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2D1E29D" w14:textId="77777777" w:rsidR="6EDB0298" w:rsidRPr="00A81971" w:rsidRDefault="0032495C" w:rsidP="6EDB0298">
            <w:pPr>
              <w:spacing w:after="0"/>
              <w:jc w:val="right"/>
              <w:rPr>
                <w:rFonts w:eastAsia="Times New Roman"/>
                <w:color w:val="202020"/>
              </w:rPr>
            </w:pPr>
            <w:r w:rsidRPr="00A81971">
              <w:rPr>
                <w:rFonts w:eastAsia="Times New Roman"/>
                <w:color w:val="202020"/>
              </w:rPr>
              <w:t>US$245,455</w:t>
            </w:r>
          </w:p>
        </w:tc>
      </w:tr>
      <w:tr w:rsidR="00F90461" w14:paraId="02BE9751" w14:textId="77777777" w:rsidTr="6EDB0298">
        <w:trPr>
          <w:trHeight w:val="300"/>
        </w:trPr>
        <w:tc>
          <w:tcPr>
            <w:tcW w:w="253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394F437" w14:textId="77777777" w:rsidR="6EDB0298" w:rsidRPr="00A81971" w:rsidRDefault="0032495C" w:rsidP="6EDB0298">
            <w:pPr>
              <w:spacing w:after="0"/>
              <w:rPr>
                <w:rFonts w:eastAsia="Times New Roman"/>
                <w:color w:val="202020"/>
              </w:rPr>
            </w:pPr>
            <w:r w:rsidRPr="00A81971">
              <w:rPr>
                <w:rFonts w:eastAsia="Times New Roman"/>
                <w:color w:val="202020"/>
              </w:rPr>
              <w:t>Coordination/monitoring</w:t>
            </w:r>
          </w:p>
        </w:tc>
        <w:tc>
          <w:tcPr>
            <w:tcW w:w="1346"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469B719" w14:textId="77777777" w:rsidR="6EDB0298" w:rsidRPr="00A81971" w:rsidRDefault="0032495C" w:rsidP="6EDB0298">
            <w:pPr>
              <w:spacing w:after="0"/>
              <w:jc w:val="right"/>
              <w:rPr>
                <w:rFonts w:eastAsia="Times New Roman"/>
                <w:color w:val="202020"/>
              </w:rPr>
            </w:pPr>
            <w:r w:rsidRPr="00A81971">
              <w:rPr>
                <w:rFonts w:eastAsia="Times New Roman"/>
                <w:color w:val="202020"/>
              </w:rPr>
              <w:t>US$32,727</w:t>
            </w:r>
          </w:p>
        </w:tc>
        <w:tc>
          <w:tcPr>
            <w:tcW w:w="1144"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6A2211C"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36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4DCFFA5" w14:textId="77777777" w:rsidR="6EDB0298" w:rsidRPr="00A81971" w:rsidRDefault="0032495C" w:rsidP="6EDB0298">
            <w:pPr>
              <w:spacing w:after="0"/>
              <w:jc w:val="right"/>
              <w:rPr>
                <w:rFonts w:eastAsia="Times New Roman"/>
                <w:color w:val="202020"/>
              </w:rPr>
            </w:pPr>
            <w:r w:rsidRPr="00A81971">
              <w:rPr>
                <w:rFonts w:eastAsia="Times New Roman"/>
                <w:color w:val="202020"/>
              </w:rPr>
              <w:t>US$32,727</w:t>
            </w:r>
          </w:p>
        </w:tc>
        <w:tc>
          <w:tcPr>
            <w:tcW w:w="1195"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D4839EE" w14:textId="77777777" w:rsidR="6EDB0298" w:rsidRPr="00A81971" w:rsidRDefault="0032495C" w:rsidP="6EDB0298">
            <w:pPr>
              <w:spacing w:after="0"/>
              <w:jc w:val="right"/>
              <w:rPr>
                <w:rFonts w:eastAsia="Times New Roman"/>
                <w:color w:val="202020"/>
              </w:rPr>
            </w:pPr>
            <w:r w:rsidRPr="00A81971">
              <w:rPr>
                <w:rFonts w:eastAsia="Times New Roman"/>
                <w:color w:val="202020"/>
              </w:rPr>
              <w:t>100%</w:t>
            </w:r>
          </w:p>
        </w:tc>
        <w:tc>
          <w:tcPr>
            <w:tcW w:w="149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6E322E5" w14:textId="77777777" w:rsidR="6EDB0298" w:rsidRPr="00A81971" w:rsidRDefault="0032495C" w:rsidP="6EDB0298">
            <w:pPr>
              <w:spacing w:after="0"/>
              <w:jc w:val="right"/>
              <w:rPr>
                <w:rFonts w:eastAsia="Times New Roman"/>
                <w:color w:val="202020"/>
              </w:rPr>
            </w:pPr>
            <w:r w:rsidRPr="00A81971">
              <w:rPr>
                <w:rFonts w:eastAsia="Times New Roman"/>
                <w:color w:val="202020"/>
              </w:rPr>
              <w:t>US$32,727</w:t>
            </w:r>
          </w:p>
        </w:tc>
      </w:tr>
    </w:tbl>
    <w:p w14:paraId="64BFB618"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29B9B55A" w14:textId="709CA271" w:rsidR="002E3156" w:rsidRDefault="0032495C" w:rsidP="6EDB0298">
      <w:pPr>
        <w:spacing w:after="140" w:line="257" w:lineRule="auto"/>
        <w:rPr>
          <w:rFonts w:eastAsia="Times New Roman"/>
          <w:color w:val="202020"/>
        </w:rPr>
      </w:pPr>
      <w:r w:rsidRPr="00A81971">
        <w:rPr>
          <w:rFonts w:eastAsia="Times New Roman"/>
          <w:b/>
          <w:bCs/>
          <w:color w:val="202020"/>
        </w:rPr>
        <w:t xml:space="preserve">Outcome. </w:t>
      </w:r>
      <w:r w:rsidRPr="00A81971">
        <w:rPr>
          <w:rFonts w:eastAsia="Times New Roman"/>
          <w:color w:val="202020"/>
        </w:rPr>
        <w:t>Under the 50% lower-case scenario, the additional allowance is US$196,364 and the resulting Stage II envelope is US$916,364 (27.3% above linear doubling). Under the 75% stress test, the additional allowance is US$278,182 and the resulting Stage II envelope is US$998,182 (38.6% above linear doubling).</w:t>
      </w:r>
    </w:p>
    <w:p w14:paraId="4410BDE7" w14:textId="77777777" w:rsidR="002E3156" w:rsidRDefault="002E3156">
      <w:pPr>
        <w:spacing w:after="0"/>
        <w:rPr>
          <w:rFonts w:eastAsia="Times New Roman"/>
          <w:color w:val="202020"/>
        </w:rPr>
      </w:pPr>
      <w:r>
        <w:rPr>
          <w:rFonts w:eastAsia="Times New Roman"/>
          <w:color w:val="202020"/>
        </w:rPr>
        <w:br w:type="page"/>
      </w:r>
    </w:p>
    <w:p w14:paraId="27E75460" w14:textId="77777777" w:rsidR="6EDB0298" w:rsidRPr="00A81971" w:rsidRDefault="6EDB0298" w:rsidP="6EDB0298">
      <w:pPr>
        <w:spacing w:after="140" w:line="257" w:lineRule="auto"/>
        <w:rPr>
          <w:rFonts w:eastAsia="Times New Roman"/>
          <w:color w:val="202020"/>
        </w:rPr>
      </w:pPr>
    </w:p>
    <w:p w14:paraId="546F0720" w14:textId="1473EACC" w:rsidR="6EDB0298" w:rsidRPr="00F004D5" w:rsidRDefault="0032495C" w:rsidP="00201CFA">
      <w:pPr>
        <w:pStyle w:val="Heading2"/>
      </w:pPr>
      <w:bookmarkStart w:id="258" w:name="_Toc240987363"/>
      <w:r w:rsidRPr="00F004D5">
        <w:t>A</w:t>
      </w:r>
      <w:r w:rsidR="00DF2701" w:rsidRPr="00F004D5">
        <w:t>5</w:t>
      </w:r>
      <w:r w:rsidRPr="00F004D5">
        <w:t xml:space="preserve">.4 </w:t>
      </w:r>
      <w:r w:rsidR="002E3156">
        <w:tab/>
      </w:r>
      <w:r w:rsidRPr="00F004D5">
        <w:t>Aggregate results and interpretation</w:t>
      </w:r>
      <w:bookmarkEnd w:id="258"/>
    </w:p>
    <w:tbl>
      <w:tblPr>
        <w:tblStyle w:val="TableGrid"/>
        <w:tblW w:w="0" w:type="auto"/>
        <w:tblLook w:val="04A0" w:firstRow="1" w:lastRow="0" w:firstColumn="1" w:lastColumn="0" w:noHBand="0" w:noVBand="1"/>
      </w:tblPr>
      <w:tblGrid>
        <w:gridCol w:w="994"/>
        <w:gridCol w:w="1351"/>
        <w:gridCol w:w="1351"/>
        <w:gridCol w:w="1233"/>
        <w:gridCol w:w="1394"/>
        <w:gridCol w:w="1360"/>
        <w:gridCol w:w="1381"/>
      </w:tblGrid>
      <w:tr w:rsidR="00F90461" w14:paraId="31F2539A"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27130C4"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Bracket</w:t>
            </w:r>
          </w:p>
        </w:tc>
        <w:tc>
          <w:tcPr>
            <w:tcW w:w="138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B689663"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Stage I</w:t>
            </w:r>
          </w:p>
        </w:tc>
        <w:tc>
          <w:tcPr>
            <w:tcW w:w="138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65E1CDF"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2 x Stage I</w:t>
            </w:r>
          </w:p>
        </w:tc>
        <w:tc>
          <w:tcPr>
            <w:tcW w:w="126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238666BD"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Lower increment</w:t>
            </w:r>
          </w:p>
        </w:tc>
        <w:tc>
          <w:tcPr>
            <w:tcW w:w="151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76201E53"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Lower outcome</w:t>
            </w:r>
          </w:p>
        </w:tc>
        <w:tc>
          <w:tcPr>
            <w:tcW w:w="1410"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93842CC"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Stress increment</w:t>
            </w:r>
          </w:p>
        </w:tc>
        <w:tc>
          <w:tcPr>
            <w:tcW w:w="1472"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0E6774A3" w14:textId="77777777" w:rsidR="6EDB0298" w:rsidRPr="00F004D5" w:rsidRDefault="0032495C" w:rsidP="6EDB0298">
            <w:pPr>
              <w:spacing w:after="0"/>
              <w:jc w:val="center"/>
              <w:rPr>
                <w:rFonts w:eastAsia="Times New Roman"/>
                <w:b/>
                <w:color w:val="FFFFFF" w:themeColor="background1"/>
                <w:sz w:val="24"/>
                <w:szCs w:val="24"/>
              </w:rPr>
            </w:pPr>
            <w:r w:rsidRPr="00F004D5">
              <w:rPr>
                <w:rFonts w:eastAsia="Times New Roman"/>
                <w:b/>
                <w:color w:val="FFFFFF" w:themeColor="background1"/>
                <w:sz w:val="24"/>
                <w:szCs w:val="24"/>
              </w:rPr>
              <w:t>Stress outcome</w:t>
            </w:r>
          </w:p>
        </w:tc>
      </w:tr>
      <w:tr w:rsidR="00F90461" w14:paraId="021CF183"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87E123D" w14:textId="77777777" w:rsidR="6EDB0298" w:rsidRPr="00A81971" w:rsidRDefault="0032495C" w:rsidP="6EDB0298">
            <w:pPr>
              <w:spacing w:after="0"/>
              <w:jc w:val="right"/>
              <w:rPr>
                <w:rFonts w:eastAsia="Times New Roman"/>
                <w:color w:val="202020"/>
              </w:rPr>
            </w:pPr>
            <w:r w:rsidRPr="00A81971">
              <w:rPr>
                <w:rFonts w:eastAsia="Times New Roman"/>
                <w:color w:val="202020"/>
              </w:rPr>
              <w:t>1</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78E7916"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US$135,000</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FC83369"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US$270,000</w:t>
            </w:r>
          </w:p>
        </w:tc>
        <w:tc>
          <w:tcPr>
            <w:tcW w:w="12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E6904A3"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US$75,000</w:t>
            </w:r>
          </w:p>
        </w:tc>
        <w:tc>
          <w:tcPr>
            <w:tcW w:w="151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DE38B3F"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US$345,000</w:t>
            </w:r>
          </w:p>
        </w:tc>
        <w:tc>
          <w:tcPr>
            <w:tcW w:w="141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D61EC4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US$105,000</w:t>
            </w:r>
          </w:p>
        </w:tc>
        <w:tc>
          <w:tcPr>
            <w:tcW w:w="147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0B1DAA0"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US$375,000</w:t>
            </w:r>
          </w:p>
        </w:tc>
      </w:tr>
      <w:tr w:rsidR="00F90461" w14:paraId="12C6FA1C"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B69E9B6" w14:textId="77777777" w:rsidR="6EDB0298" w:rsidRPr="00A81971" w:rsidRDefault="0032495C" w:rsidP="6EDB0298">
            <w:pPr>
              <w:spacing w:after="0"/>
              <w:jc w:val="right"/>
              <w:rPr>
                <w:rFonts w:eastAsia="Times New Roman"/>
                <w:color w:val="202020"/>
              </w:rPr>
            </w:pPr>
            <w:r w:rsidRPr="00A81971">
              <w:rPr>
                <w:rFonts w:eastAsia="Times New Roman"/>
                <w:color w:val="202020"/>
              </w:rPr>
              <w:t>2</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937AAA9"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US$145,000</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079AE113"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US$290,000</w:t>
            </w:r>
          </w:p>
        </w:tc>
        <w:tc>
          <w:tcPr>
            <w:tcW w:w="12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BB95AE9"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US$74,500</w:t>
            </w:r>
          </w:p>
        </w:tc>
        <w:tc>
          <w:tcPr>
            <w:tcW w:w="151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0E181A5"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US$364,500</w:t>
            </w:r>
          </w:p>
        </w:tc>
        <w:tc>
          <w:tcPr>
            <w:tcW w:w="141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637917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US$109,750</w:t>
            </w:r>
          </w:p>
        </w:tc>
        <w:tc>
          <w:tcPr>
            <w:tcW w:w="147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CD3C20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US$399,750</w:t>
            </w:r>
          </w:p>
        </w:tc>
      </w:tr>
      <w:tr w:rsidR="00F90461" w14:paraId="1669A7C2"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675B1F3" w14:textId="77777777" w:rsidR="6EDB0298" w:rsidRPr="00A81971" w:rsidRDefault="0032495C" w:rsidP="6EDB0298">
            <w:pPr>
              <w:spacing w:after="0"/>
              <w:jc w:val="right"/>
              <w:rPr>
                <w:rFonts w:eastAsia="Times New Roman"/>
                <w:color w:val="202020"/>
              </w:rPr>
            </w:pPr>
            <w:r w:rsidRPr="00A81971">
              <w:rPr>
                <w:rFonts w:eastAsia="Times New Roman"/>
                <w:color w:val="202020"/>
              </w:rPr>
              <w:t>3</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C38B6CF"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US$158,000</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6C9DCAB"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US$316,000</w:t>
            </w:r>
          </w:p>
        </w:tc>
        <w:tc>
          <w:tcPr>
            <w:tcW w:w="12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923722C"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US$86,900</w:t>
            </w:r>
          </w:p>
        </w:tc>
        <w:tc>
          <w:tcPr>
            <w:tcW w:w="151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FDFEAF5"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US$402,900</w:t>
            </w:r>
          </w:p>
        </w:tc>
        <w:tc>
          <w:tcPr>
            <w:tcW w:w="141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C45A532"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US$122,450</w:t>
            </w:r>
          </w:p>
        </w:tc>
        <w:tc>
          <w:tcPr>
            <w:tcW w:w="147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6DF7A75"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US$438,450</w:t>
            </w:r>
          </w:p>
        </w:tc>
      </w:tr>
      <w:tr w:rsidR="00F90461" w14:paraId="5CB6E4A3"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E557B5D" w14:textId="77777777" w:rsidR="6EDB0298" w:rsidRPr="00A81971" w:rsidRDefault="0032495C" w:rsidP="6EDB0298">
            <w:pPr>
              <w:spacing w:after="0"/>
              <w:jc w:val="right"/>
              <w:rPr>
                <w:rFonts w:eastAsia="Times New Roman"/>
                <w:color w:val="202020"/>
              </w:rPr>
            </w:pPr>
            <w:r w:rsidRPr="00A81971">
              <w:rPr>
                <w:rFonts w:eastAsia="Times New Roman"/>
                <w:color w:val="202020"/>
              </w:rPr>
              <w:t>4</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06AA056"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US$170,000</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595DF53"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US$340,000</w:t>
            </w:r>
          </w:p>
        </w:tc>
        <w:tc>
          <w:tcPr>
            <w:tcW w:w="12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1A57C6D"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US$85,690</w:t>
            </w:r>
          </w:p>
        </w:tc>
        <w:tc>
          <w:tcPr>
            <w:tcW w:w="151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4A30C16"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US$425,690</w:t>
            </w:r>
          </w:p>
        </w:tc>
        <w:tc>
          <w:tcPr>
            <w:tcW w:w="141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E135B18"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US$127,845</w:t>
            </w:r>
          </w:p>
        </w:tc>
        <w:tc>
          <w:tcPr>
            <w:tcW w:w="147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79A7CE9"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US$467,845</w:t>
            </w:r>
          </w:p>
        </w:tc>
      </w:tr>
      <w:tr w:rsidR="00F90461" w14:paraId="2D135735"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F6E33ED" w14:textId="77777777" w:rsidR="6EDB0298" w:rsidRPr="00A81971" w:rsidRDefault="0032495C" w:rsidP="6EDB0298">
            <w:pPr>
              <w:spacing w:after="0"/>
              <w:jc w:val="right"/>
              <w:rPr>
                <w:rFonts w:eastAsia="Times New Roman"/>
                <w:color w:val="202020"/>
              </w:rPr>
            </w:pPr>
            <w:r w:rsidRPr="00A81971">
              <w:rPr>
                <w:rFonts w:eastAsia="Times New Roman"/>
                <w:color w:val="202020"/>
              </w:rPr>
              <w:t>5</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1CB0ED2"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US$180,000</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60474B8"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US$360,000</w:t>
            </w:r>
          </w:p>
        </w:tc>
        <w:tc>
          <w:tcPr>
            <w:tcW w:w="12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43FE7602"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US$99,000</w:t>
            </w:r>
          </w:p>
        </w:tc>
        <w:tc>
          <w:tcPr>
            <w:tcW w:w="151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402094A"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US$459,000</w:t>
            </w:r>
          </w:p>
        </w:tc>
        <w:tc>
          <w:tcPr>
            <w:tcW w:w="141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D2B183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US$139,500</w:t>
            </w:r>
          </w:p>
        </w:tc>
        <w:tc>
          <w:tcPr>
            <w:tcW w:w="147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694C3ED5"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US$499,500</w:t>
            </w:r>
          </w:p>
        </w:tc>
      </w:tr>
      <w:tr w:rsidR="00F90461" w14:paraId="3A784280"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A056052" w14:textId="77777777" w:rsidR="6EDB0298" w:rsidRPr="00A81971" w:rsidRDefault="0032495C" w:rsidP="6EDB0298">
            <w:pPr>
              <w:spacing w:after="0"/>
              <w:jc w:val="right"/>
              <w:rPr>
                <w:rFonts w:eastAsia="Times New Roman"/>
                <w:color w:val="202020"/>
              </w:rPr>
            </w:pPr>
            <w:r w:rsidRPr="00A81971">
              <w:rPr>
                <w:rFonts w:eastAsia="Times New Roman"/>
                <w:color w:val="202020"/>
              </w:rPr>
              <w:t>6</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B4D225A"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US$190,000</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92B9422"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US$380,000</w:t>
            </w:r>
          </w:p>
        </w:tc>
        <w:tc>
          <w:tcPr>
            <w:tcW w:w="12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7DEDA75"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US$102,500</w:t>
            </w:r>
          </w:p>
        </w:tc>
        <w:tc>
          <w:tcPr>
            <w:tcW w:w="151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B6F88F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US$482,500</w:t>
            </w:r>
          </w:p>
        </w:tc>
        <w:tc>
          <w:tcPr>
            <w:tcW w:w="141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0E5D94C"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US$146,250</w:t>
            </w:r>
          </w:p>
        </w:tc>
        <w:tc>
          <w:tcPr>
            <w:tcW w:w="147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6CCE1E96"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US$526,250</w:t>
            </w:r>
          </w:p>
        </w:tc>
      </w:tr>
      <w:tr w:rsidR="00F90461" w14:paraId="05406DBE"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29BF275" w14:textId="77777777" w:rsidR="6EDB0298" w:rsidRPr="00A81971" w:rsidRDefault="0032495C" w:rsidP="6EDB0298">
            <w:pPr>
              <w:spacing w:after="0"/>
              <w:jc w:val="right"/>
              <w:rPr>
                <w:rFonts w:eastAsia="Times New Roman"/>
                <w:color w:val="202020"/>
              </w:rPr>
            </w:pPr>
            <w:r w:rsidRPr="00A81971">
              <w:rPr>
                <w:rFonts w:eastAsia="Times New Roman"/>
                <w:color w:val="202020"/>
              </w:rPr>
              <w:t>7</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23B130B2"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US$325,000</w:t>
            </w:r>
          </w:p>
        </w:tc>
        <w:tc>
          <w:tcPr>
            <w:tcW w:w="138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FA5ED5C"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US$650,000</w:t>
            </w:r>
          </w:p>
        </w:tc>
        <w:tc>
          <w:tcPr>
            <w:tcW w:w="126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B8FD44F"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US$168,425</w:t>
            </w:r>
          </w:p>
        </w:tc>
        <w:tc>
          <w:tcPr>
            <w:tcW w:w="151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7D0DE7F"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US$818,425</w:t>
            </w:r>
          </w:p>
        </w:tc>
        <w:tc>
          <w:tcPr>
            <w:tcW w:w="1410"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2F49B76"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US$246,713</w:t>
            </w:r>
          </w:p>
        </w:tc>
        <w:tc>
          <w:tcPr>
            <w:tcW w:w="1472"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CFCB1DD"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US$896,713</w:t>
            </w:r>
          </w:p>
        </w:tc>
      </w:tr>
      <w:tr w:rsidR="00F90461" w14:paraId="64AA8D41"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3BEBF35" w14:textId="77777777" w:rsidR="6EDB0298" w:rsidRPr="00A81971" w:rsidRDefault="0032495C" w:rsidP="6EDB0298">
            <w:pPr>
              <w:spacing w:after="0"/>
              <w:jc w:val="right"/>
              <w:rPr>
                <w:rFonts w:eastAsia="Times New Roman"/>
                <w:color w:val="202020"/>
              </w:rPr>
            </w:pPr>
            <w:r w:rsidRPr="00A81971">
              <w:rPr>
                <w:rFonts w:eastAsia="Times New Roman"/>
                <w:color w:val="202020"/>
              </w:rPr>
              <w:t>8</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17BA1C0A"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US$360,000</w:t>
            </w:r>
          </w:p>
        </w:tc>
        <w:tc>
          <w:tcPr>
            <w:tcW w:w="138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9D25F8F"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US$720,000</w:t>
            </w:r>
          </w:p>
        </w:tc>
        <w:tc>
          <w:tcPr>
            <w:tcW w:w="126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6A8C611"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US$196,364</w:t>
            </w:r>
          </w:p>
        </w:tc>
        <w:tc>
          <w:tcPr>
            <w:tcW w:w="151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3C3613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US$916,364</w:t>
            </w:r>
          </w:p>
        </w:tc>
        <w:tc>
          <w:tcPr>
            <w:tcW w:w="1410"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974D870"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US$278,182</w:t>
            </w:r>
          </w:p>
        </w:tc>
        <w:tc>
          <w:tcPr>
            <w:tcW w:w="1472"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2A024A4"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US$998,182</w:t>
            </w:r>
          </w:p>
        </w:tc>
      </w:tr>
      <w:tr w:rsidR="00F90461" w14:paraId="429532FB" w14:textId="77777777" w:rsidTr="6EDB0298">
        <w:trPr>
          <w:trHeight w:val="300"/>
        </w:trPr>
        <w:tc>
          <w:tcPr>
            <w:tcW w:w="660"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7DF9E31B" w14:textId="77777777" w:rsidR="6EDB0298" w:rsidRPr="00A81971" w:rsidRDefault="0032495C" w:rsidP="6EDB0298">
            <w:pPr>
              <w:spacing w:after="0"/>
              <w:jc w:val="right"/>
              <w:rPr>
                <w:rFonts w:eastAsia="Times New Roman"/>
                <w:color w:val="202020"/>
              </w:rPr>
            </w:pPr>
            <w:r w:rsidRPr="00A81971">
              <w:rPr>
                <w:rFonts w:eastAsia="Times New Roman"/>
                <w:color w:val="202020"/>
              </w:rPr>
              <w:t>Total</w:t>
            </w:r>
          </w:p>
        </w:tc>
        <w:tc>
          <w:tcPr>
            <w:tcW w:w="1380"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768A839B"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US$1,663,000</w:t>
            </w:r>
          </w:p>
        </w:tc>
        <w:tc>
          <w:tcPr>
            <w:tcW w:w="1380"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3AE7DACD"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US$3,326,000</w:t>
            </w:r>
          </w:p>
        </w:tc>
        <w:tc>
          <w:tcPr>
            <w:tcW w:w="1260"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6BC1D04C"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US$888,379</w:t>
            </w:r>
          </w:p>
        </w:tc>
        <w:tc>
          <w:tcPr>
            <w:tcW w:w="1513"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0560EE0C"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US$4,214,379</w:t>
            </w:r>
          </w:p>
        </w:tc>
        <w:tc>
          <w:tcPr>
            <w:tcW w:w="1410"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7298EE57"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US$1,275,690</w:t>
            </w:r>
          </w:p>
        </w:tc>
        <w:tc>
          <w:tcPr>
            <w:tcW w:w="1472" w:type="dxa"/>
            <w:tcBorders>
              <w:top w:val="single" w:sz="8" w:space="0" w:color="auto"/>
              <w:left w:val="single" w:sz="8" w:space="0" w:color="auto"/>
              <w:bottom w:val="single" w:sz="8" w:space="0" w:color="auto"/>
              <w:right w:val="single" w:sz="8" w:space="0" w:color="auto"/>
            </w:tcBorders>
            <w:shd w:val="clear" w:color="auto" w:fill="B8CCE4"/>
            <w:tcMar>
              <w:top w:w="70" w:type="dxa"/>
              <w:left w:w="90" w:type="dxa"/>
              <w:bottom w:w="70" w:type="dxa"/>
              <w:right w:w="90" w:type="dxa"/>
            </w:tcMar>
            <w:vAlign w:val="center"/>
          </w:tcPr>
          <w:p w14:paraId="6FFC7158" w14:textId="77777777" w:rsidR="6EDB0298" w:rsidRPr="00A81971" w:rsidRDefault="0032495C" w:rsidP="6EDB0298">
            <w:pPr>
              <w:spacing w:after="0"/>
              <w:jc w:val="right"/>
              <w:rPr>
                <w:rFonts w:eastAsia="Times New Roman"/>
                <w:color w:val="202020"/>
                <w:sz w:val="20"/>
                <w:szCs w:val="20"/>
              </w:rPr>
            </w:pPr>
            <w:r w:rsidRPr="00A81971">
              <w:rPr>
                <w:rFonts w:eastAsia="Times New Roman"/>
                <w:color w:val="202020"/>
                <w:sz w:val="20"/>
                <w:szCs w:val="20"/>
              </w:rPr>
              <w:t>US$4,601,690</w:t>
            </w:r>
          </w:p>
        </w:tc>
      </w:tr>
    </w:tbl>
    <w:p w14:paraId="70D1A451"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tbl>
      <w:tblPr>
        <w:tblStyle w:val="TableGrid"/>
        <w:tblW w:w="0" w:type="auto"/>
        <w:tblLook w:val="04A0" w:firstRow="1" w:lastRow="0" w:firstColumn="1" w:lastColumn="0" w:noHBand="0" w:noVBand="1"/>
      </w:tblPr>
      <w:tblGrid>
        <w:gridCol w:w="2283"/>
        <w:gridCol w:w="1690"/>
        <w:gridCol w:w="1692"/>
        <w:gridCol w:w="1791"/>
        <w:gridCol w:w="1608"/>
      </w:tblGrid>
      <w:tr w:rsidR="00F90461" w14:paraId="2811575E" w14:textId="77777777" w:rsidTr="6EDB0298">
        <w:trPr>
          <w:trHeight w:val="300"/>
        </w:trPr>
        <w:tc>
          <w:tcPr>
            <w:tcW w:w="2291"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599AF2A"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Scenario</w:t>
            </w:r>
          </w:p>
        </w:tc>
        <w:tc>
          <w:tcPr>
            <w:tcW w:w="169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3E19BEC"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Substantive expansion</w:t>
            </w:r>
          </w:p>
        </w:tc>
        <w:tc>
          <w:tcPr>
            <w:tcW w:w="169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61279961"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Total increment</w:t>
            </w:r>
          </w:p>
        </w:tc>
        <w:tc>
          <w:tcPr>
            <w:tcW w:w="179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4734069D"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Stage II outcome</w:t>
            </w:r>
          </w:p>
        </w:tc>
        <w:tc>
          <w:tcPr>
            <w:tcW w:w="1613" w:type="dxa"/>
            <w:tcBorders>
              <w:top w:val="single" w:sz="8" w:space="0" w:color="auto"/>
              <w:left w:val="single" w:sz="8" w:space="0" w:color="auto"/>
              <w:bottom w:val="single" w:sz="8" w:space="0" w:color="auto"/>
              <w:right w:val="single" w:sz="8" w:space="0" w:color="auto"/>
            </w:tcBorders>
            <w:shd w:val="clear" w:color="auto" w:fill="1F4E78"/>
            <w:tcMar>
              <w:top w:w="70" w:type="dxa"/>
              <w:left w:w="90" w:type="dxa"/>
              <w:bottom w:w="70" w:type="dxa"/>
              <w:right w:w="90" w:type="dxa"/>
            </w:tcMar>
            <w:vAlign w:val="center"/>
          </w:tcPr>
          <w:p w14:paraId="31EE8FD9" w14:textId="77777777" w:rsidR="6EDB0298" w:rsidRPr="00A81971" w:rsidRDefault="0032495C" w:rsidP="6EDB0298">
            <w:pPr>
              <w:spacing w:after="0"/>
              <w:jc w:val="center"/>
              <w:rPr>
                <w:rFonts w:eastAsia="Times New Roman"/>
                <w:b/>
                <w:bCs/>
                <w:color w:val="FFFFFF" w:themeColor="background1"/>
              </w:rPr>
            </w:pPr>
            <w:r w:rsidRPr="00A81971">
              <w:rPr>
                <w:rFonts w:eastAsia="Times New Roman"/>
                <w:b/>
                <w:bCs/>
                <w:color w:val="FFFFFF" w:themeColor="background1"/>
              </w:rPr>
              <w:t>Above linear</w:t>
            </w:r>
          </w:p>
        </w:tc>
      </w:tr>
      <w:tr w:rsidR="00F90461" w14:paraId="3064E4DC" w14:textId="77777777" w:rsidTr="6EDB0298">
        <w:trPr>
          <w:trHeight w:val="300"/>
        </w:trPr>
        <w:tc>
          <w:tcPr>
            <w:tcW w:w="2291"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3C517B54" w14:textId="77777777" w:rsidR="6EDB0298" w:rsidRPr="00A81971" w:rsidRDefault="0032495C" w:rsidP="6EDB0298">
            <w:pPr>
              <w:spacing w:after="0"/>
              <w:rPr>
                <w:rFonts w:eastAsia="Times New Roman"/>
                <w:color w:val="202020"/>
              </w:rPr>
            </w:pPr>
            <w:r w:rsidRPr="00A81971">
              <w:rPr>
                <w:rFonts w:eastAsia="Times New Roman"/>
                <w:color w:val="202020"/>
              </w:rPr>
              <w:t>Lower-case</w:t>
            </w:r>
          </w:p>
        </w:tc>
        <w:tc>
          <w:tcPr>
            <w:tcW w:w="16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1CF5189D" w14:textId="77777777" w:rsidR="6EDB0298" w:rsidRPr="00A81971" w:rsidRDefault="0032495C" w:rsidP="6EDB0298">
            <w:pPr>
              <w:spacing w:after="0"/>
              <w:jc w:val="right"/>
              <w:rPr>
                <w:rFonts w:eastAsia="Times New Roman"/>
                <w:color w:val="202020"/>
              </w:rPr>
            </w:pPr>
            <w:r w:rsidRPr="00A81971">
              <w:rPr>
                <w:rFonts w:eastAsia="Times New Roman"/>
                <w:color w:val="202020"/>
              </w:rPr>
              <w:t>50%</w:t>
            </w:r>
          </w:p>
        </w:tc>
        <w:tc>
          <w:tcPr>
            <w:tcW w:w="16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01BE0360" w14:textId="77777777" w:rsidR="6EDB0298" w:rsidRPr="00A81971" w:rsidRDefault="0032495C" w:rsidP="6EDB0298">
            <w:pPr>
              <w:spacing w:after="0"/>
              <w:jc w:val="right"/>
              <w:rPr>
                <w:rFonts w:eastAsia="Times New Roman"/>
                <w:color w:val="202020"/>
              </w:rPr>
            </w:pPr>
            <w:r w:rsidRPr="00A81971">
              <w:rPr>
                <w:rFonts w:eastAsia="Times New Roman"/>
                <w:color w:val="202020"/>
              </w:rPr>
              <w:t>US$888,379</w:t>
            </w:r>
          </w:p>
        </w:tc>
        <w:tc>
          <w:tcPr>
            <w:tcW w:w="179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71942029" w14:textId="77777777" w:rsidR="6EDB0298" w:rsidRPr="00A81971" w:rsidRDefault="0032495C" w:rsidP="6EDB0298">
            <w:pPr>
              <w:spacing w:after="0"/>
              <w:jc w:val="right"/>
              <w:rPr>
                <w:rFonts w:eastAsia="Times New Roman"/>
                <w:color w:val="202020"/>
              </w:rPr>
            </w:pPr>
            <w:r w:rsidRPr="00A81971">
              <w:rPr>
                <w:rFonts w:eastAsia="Times New Roman"/>
                <w:color w:val="202020"/>
              </w:rPr>
              <w:t>US$4,214,379</w:t>
            </w:r>
          </w:p>
        </w:tc>
        <w:tc>
          <w:tcPr>
            <w:tcW w:w="1613" w:type="dxa"/>
            <w:tcBorders>
              <w:top w:val="single" w:sz="8" w:space="0" w:color="auto"/>
              <w:left w:val="single" w:sz="8" w:space="0" w:color="auto"/>
              <w:bottom w:val="single" w:sz="8" w:space="0" w:color="auto"/>
              <w:right w:val="single" w:sz="8" w:space="0" w:color="auto"/>
            </w:tcBorders>
            <w:tcMar>
              <w:top w:w="70" w:type="dxa"/>
              <w:left w:w="90" w:type="dxa"/>
              <w:bottom w:w="70" w:type="dxa"/>
              <w:right w:w="90" w:type="dxa"/>
            </w:tcMar>
            <w:vAlign w:val="center"/>
          </w:tcPr>
          <w:p w14:paraId="5AA2BE21" w14:textId="77777777" w:rsidR="6EDB0298" w:rsidRPr="00A81971" w:rsidRDefault="0032495C" w:rsidP="6EDB0298">
            <w:pPr>
              <w:spacing w:after="0"/>
              <w:jc w:val="right"/>
              <w:rPr>
                <w:rFonts w:eastAsia="Times New Roman"/>
                <w:color w:val="202020"/>
              </w:rPr>
            </w:pPr>
            <w:r w:rsidRPr="00A81971">
              <w:rPr>
                <w:rFonts w:eastAsia="Times New Roman"/>
                <w:color w:val="202020"/>
              </w:rPr>
              <w:t>26.7%</w:t>
            </w:r>
          </w:p>
        </w:tc>
      </w:tr>
      <w:tr w:rsidR="00F90461" w14:paraId="61E26D2E" w14:textId="77777777" w:rsidTr="6EDB0298">
        <w:trPr>
          <w:trHeight w:val="300"/>
        </w:trPr>
        <w:tc>
          <w:tcPr>
            <w:tcW w:w="2291"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29ACA2D7" w14:textId="77777777" w:rsidR="6EDB0298" w:rsidRPr="00A81971" w:rsidRDefault="0032495C" w:rsidP="6EDB0298">
            <w:pPr>
              <w:spacing w:after="0"/>
              <w:rPr>
                <w:rFonts w:eastAsia="Times New Roman"/>
                <w:color w:val="202020"/>
              </w:rPr>
            </w:pPr>
            <w:r w:rsidRPr="00A81971">
              <w:rPr>
                <w:rFonts w:eastAsia="Times New Roman"/>
                <w:color w:val="202020"/>
              </w:rPr>
              <w:t>Stress-test</w:t>
            </w:r>
          </w:p>
        </w:tc>
        <w:tc>
          <w:tcPr>
            <w:tcW w:w="16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5EEFE08E" w14:textId="77777777" w:rsidR="6EDB0298" w:rsidRPr="00A81971" w:rsidRDefault="0032495C" w:rsidP="6EDB0298">
            <w:pPr>
              <w:spacing w:after="0"/>
              <w:jc w:val="right"/>
              <w:rPr>
                <w:rFonts w:eastAsia="Times New Roman"/>
                <w:color w:val="202020"/>
              </w:rPr>
            </w:pPr>
            <w:r w:rsidRPr="00A81971">
              <w:rPr>
                <w:rFonts w:eastAsia="Times New Roman"/>
                <w:color w:val="202020"/>
              </w:rPr>
              <w:t>75%</w:t>
            </w:r>
          </w:p>
        </w:tc>
        <w:tc>
          <w:tcPr>
            <w:tcW w:w="16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3386883F" w14:textId="77777777" w:rsidR="6EDB0298" w:rsidRPr="00A81971" w:rsidRDefault="0032495C" w:rsidP="6EDB0298">
            <w:pPr>
              <w:spacing w:after="0"/>
              <w:jc w:val="right"/>
              <w:rPr>
                <w:rFonts w:eastAsia="Times New Roman"/>
                <w:color w:val="202020"/>
              </w:rPr>
            </w:pPr>
            <w:r w:rsidRPr="00A81971">
              <w:rPr>
                <w:rFonts w:eastAsia="Times New Roman"/>
                <w:color w:val="202020"/>
              </w:rPr>
              <w:t>US$1,275,690</w:t>
            </w:r>
          </w:p>
        </w:tc>
        <w:tc>
          <w:tcPr>
            <w:tcW w:w="179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4B259880" w14:textId="77777777" w:rsidR="6EDB0298" w:rsidRPr="00A81971" w:rsidRDefault="0032495C" w:rsidP="6EDB0298">
            <w:pPr>
              <w:spacing w:after="0"/>
              <w:jc w:val="right"/>
              <w:rPr>
                <w:rFonts w:eastAsia="Times New Roman"/>
                <w:color w:val="202020"/>
              </w:rPr>
            </w:pPr>
            <w:r w:rsidRPr="00A81971">
              <w:rPr>
                <w:rFonts w:eastAsia="Times New Roman"/>
                <w:color w:val="202020"/>
              </w:rPr>
              <w:t>US$4,601,690</w:t>
            </w:r>
          </w:p>
        </w:tc>
        <w:tc>
          <w:tcPr>
            <w:tcW w:w="1613" w:type="dxa"/>
            <w:tcBorders>
              <w:top w:val="single" w:sz="8" w:space="0" w:color="auto"/>
              <w:left w:val="single" w:sz="8" w:space="0" w:color="auto"/>
              <w:bottom w:val="single" w:sz="8" w:space="0" w:color="auto"/>
              <w:right w:val="single" w:sz="8" w:space="0" w:color="auto"/>
            </w:tcBorders>
            <w:shd w:val="clear" w:color="auto" w:fill="F2F4F7"/>
            <w:tcMar>
              <w:top w:w="70" w:type="dxa"/>
              <w:left w:w="90" w:type="dxa"/>
              <w:bottom w:w="70" w:type="dxa"/>
              <w:right w:w="90" w:type="dxa"/>
            </w:tcMar>
            <w:vAlign w:val="center"/>
          </w:tcPr>
          <w:p w14:paraId="7C584881" w14:textId="77777777" w:rsidR="6EDB0298" w:rsidRPr="00A81971" w:rsidRDefault="0032495C" w:rsidP="6EDB0298">
            <w:pPr>
              <w:spacing w:after="0"/>
              <w:jc w:val="right"/>
              <w:rPr>
                <w:rFonts w:eastAsia="Times New Roman"/>
                <w:color w:val="202020"/>
              </w:rPr>
            </w:pPr>
            <w:r w:rsidRPr="00A81971">
              <w:rPr>
                <w:rFonts w:eastAsia="Times New Roman"/>
                <w:color w:val="202020"/>
              </w:rPr>
              <w:t>38.4%</w:t>
            </w:r>
          </w:p>
        </w:tc>
      </w:tr>
    </w:tbl>
    <w:p w14:paraId="46836257" w14:textId="77777777" w:rsidR="6EDB0298" w:rsidRPr="00A81971" w:rsidRDefault="0032495C" w:rsidP="6EDB0298">
      <w:pPr>
        <w:spacing w:after="40" w:line="257" w:lineRule="auto"/>
        <w:rPr>
          <w:rFonts w:eastAsia="Times New Roman"/>
          <w:color w:val="202020"/>
        </w:rPr>
      </w:pPr>
      <w:r w:rsidRPr="00A81971">
        <w:rPr>
          <w:rFonts w:eastAsia="Times New Roman"/>
          <w:color w:val="202020"/>
        </w:rPr>
        <w:t xml:space="preserve"> </w:t>
      </w:r>
    </w:p>
    <w:p w14:paraId="39607B46"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Across the eight illustrative brackets, the 50% lower-case scenario adds US$888,379 to the linear Stage II baseline of US$3,326,000, producing a total of US$4,214,379, or 26.7% above linear doubling. The 75% stress test adds US$1,275,690 and produces US$4,601,690, or 38.4% above linear doubling.</w:t>
      </w:r>
    </w:p>
    <w:p w14:paraId="4565F3D6" w14:textId="77777777" w:rsidR="6EDB0298" w:rsidRPr="00A81971" w:rsidRDefault="0032495C" w:rsidP="6EDB0298">
      <w:pPr>
        <w:spacing w:after="100" w:line="257" w:lineRule="auto"/>
        <w:rPr>
          <w:rFonts w:eastAsia="Times New Roman"/>
          <w:color w:val="202020"/>
        </w:rPr>
      </w:pPr>
      <w:r w:rsidRPr="00A81971">
        <w:rPr>
          <w:rFonts w:eastAsia="Times New Roman"/>
          <w:color w:val="202020"/>
        </w:rPr>
        <w:t>The difference between the fixed-cost-only assessment and these activity-based outcomes represents the additional provision for scalable implementation activities, including technician training, equipment, demonstrations, awareness and sector engagement. The results are illustrative bracket-level scenarios based on one representative Stage I budget per bracket. They are not uniform country entitlements and would require refinement through Stage II country proposals.</w:t>
      </w:r>
    </w:p>
    <w:p w14:paraId="7348368D" w14:textId="77777777" w:rsidR="6EDB0298" w:rsidRPr="00A81971" w:rsidRDefault="6EDB0298" w:rsidP="6EDB0298">
      <w:pPr>
        <w:spacing w:after="100" w:line="257" w:lineRule="auto"/>
        <w:rPr>
          <w:rFonts w:eastAsia="Times New Roman"/>
          <w:color w:val="202020"/>
        </w:rPr>
      </w:pPr>
    </w:p>
    <w:p w14:paraId="62AC3AD3" w14:textId="77777777" w:rsidR="00924C53" w:rsidRDefault="0032495C" w:rsidP="457BD43E">
      <w:pPr>
        <w:sectPr w:rsidR="00924C53" w:rsidSect="005F6D97">
          <w:pgSz w:w="11906" w:h="16838" w:code="9"/>
          <w:pgMar w:top="1411" w:right="1411" w:bottom="1411" w:left="1411" w:header="706" w:footer="706" w:gutter="0"/>
          <w:cols w:space="708"/>
          <w:titlePg/>
          <w:docGrid w:linePitch="360"/>
        </w:sectPr>
      </w:pPr>
      <w:r w:rsidRPr="00A81971">
        <w:br w:type="page"/>
      </w:r>
    </w:p>
    <w:p w14:paraId="59B91B20" w14:textId="659F4AEB" w:rsidR="0077230C" w:rsidRPr="00A81971" w:rsidRDefault="0032495C" w:rsidP="00696E14">
      <w:pPr>
        <w:pStyle w:val="Heading1"/>
      </w:pPr>
      <w:bookmarkStart w:id="259" w:name="_Toc240987364"/>
      <w:bookmarkStart w:id="260" w:name="_Toc145692886"/>
      <w:bookmarkStart w:id="261" w:name="_Toc40367109"/>
      <w:bookmarkStart w:id="262" w:name="_Toc40367403"/>
      <w:bookmarkStart w:id="263" w:name="_Hlk40719901"/>
      <w:bookmarkStart w:id="264" w:name="_Toc41495072"/>
      <w:bookmarkStart w:id="265" w:name="_Toc41840043"/>
      <w:bookmarkStart w:id="266" w:name="_Toc41841133"/>
      <w:bookmarkStart w:id="267" w:name="_Hlk40724275"/>
      <w:r w:rsidRPr="00A81971">
        <w:lastRenderedPageBreak/>
        <w:t>ANNEX 6: Description of LRM calculation model</w:t>
      </w:r>
      <w:bookmarkEnd w:id="259"/>
    </w:p>
    <w:p w14:paraId="2D528DCB" w14:textId="77777777" w:rsidR="0077230C" w:rsidRPr="002E3156" w:rsidRDefault="0032495C" w:rsidP="00201CFA">
      <w:pPr>
        <w:pStyle w:val="Heading2"/>
      </w:pPr>
      <w:bookmarkStart w:id="268" w:name="_Toc240987365"/>
      <w:r w:rsidRPr="002E3156">
        <w:t>A6.1</w:t>
      </w:r>
      <w:r w:rsidRPr="002E3156">
        <w:tab/>
        <w:t>Module 1 – Recovery</w:t>
      </w:r>
      <w:bookmarkEnd w:id="268"/>
      <w:r w:rsidRPr="002E3156">
        <w:t xml:space="preserve"> </w:t>
      </w:r>
    </w:p>
    <w:p w14:paraId="53165F30" w14:textId="77777777" w:rsidR="00C64C8B" w:rsidRPr="001F2F9B" w:rsidRDefault="0032495C" w:rsidP="001F2F9B">
      <w:pPr>
        <w:rPr>
          <w:rFonts w:eastAsia="Calibri"/>
          <w:lang w:eastAsia="ja-JP"/>
        </w:rPr>
      </w:pPr>
      <w:r w:rsidRPr="00A81971">
        <w:rPr>
          <w:lang w:eastAsia="ja-JP"/>
        </w:rPr>
        <w:t>Module 1 addresses the first stage of lifecycle refrigerant management: increasing the quantity of refrigerant recovered from equipment and ensuring that recovered refrigerant enters a documented collection chain. For the purposes of the model, recovery refers to the removal of refrigerant from equipment into a suitable recovery cylinder during servicing or end-of-life (EOL) processing; collection refers to the subsequent transfer and aggregation of recovered refrigerant at a designated collection point or facility; reclamation refers to the processing of recovered refrigerant to restore it to a quality suitable for reuse; and destruction refers to the treatment of refrigerant that is not intended or suitable for reuse or reclamation. These distinctions are important for the calculation framework because recovery does not necessarily result in the refrigerant entering a formal collection chain, and collected refrigerant may not always be suitable for reclamation.</w:t>
      </w:r>
    </w:p>
    <w:p w14:paraId="1C4EA85B" w14:textId="77777777" w:rsidR="0077230C" w:rsidRPr="00FE5C31" w:rsidRDefault="0032495C" w:rsidP="002E3156">
      <w:pPr>
        <w:pStyle w:val="Heading3"/>
      </w:pPr>
      <w:r w:rsidRPr="00FE5C31">
        <w:t>A6.1.1</w:t>
      </w:r>
      <w:r w:rsidRPr="00FE5C31">
        <w:tab/>
        <w:t>Module 1a.  Improved recovery at servicing</w:t>
      </w:r>
    </w:p>
    <w:p w14:paraId="109D5E76" w14:textId="77777777" w:rsidR="0077230C" w:rsidRPr="00A81971" w:rsidRDefault="0032495C" w:rsidP="001F2F9B">
      <w:pPr>
        <w:widowControl w:val="0"/>
        <w:autoSpaceDE w:val="0"/>
        <w:autoSpaceDN w:val="0"/>
        <w:spacing w:after="0"/>
        <w:jc w:val="both"/>
        <w:rPr>
          <w:rFonts w:eastAsia="Times New Roman"/>
        </w:rPr>
      </w:pPr>
      <w:r w:rsidRPr="00A81971">
        <w:rPr>
          <w:rFonts w:eastAsia="Times New Roman"/>
        </w:rPr>
        <w:t xml:space="preserve">The first and most foundational activity </w:t>
      </w:r>
      <w:r w:rsidR="00351727" w:rsidRPr="00A81971">
        <w:rPr>
          <w:rFonts w:eastAsia="Times New Roman"/>
        </w:rPr>
        <w:t>under</w:t>
      </w:r>
      <w:r w:rsidRPr="00A81971">
        <w:rPr>
          <w:rFonts w:eastAsia="Times New Roman"/>
        </w:rPr>
        <w:t xml:space="preserve"> LRM is improving the collection rate of waste refrigerant recovery during servicing. </w:t>
      </w:r>
    </w:p>
    <w:p w14:paraId="003D9F93" w14:textId="77777777" w:rsidR="0077230C" w:rsidRPr="00A81971" w:rsidRDefault="0077230C" w:rsidP="0077230C">
      <w:pPr>
        <w:spacing w:after="0"/>
        <w:rPr>
          <w:rFonts w:eastAsia="Calibri"/>
          <w:lang w:eastAsia="ja-JP"/>
        </w:rPr>
      </w:pPr>
    </w:p>
    <w:p w14:paraId="571F818C" w14:textId="71EAC79E" w:rsidR="0077230C" w:rsidRPr="00A81971" w:rsidRDefault="0032495C" w:rsidP="0077230C">
      <w:pPr>
        <w:spacing w:after="0"/>
        <w:rPr>
          <w:rFonts w:eastAsia="Calibri"/>
          <w:lang w:eastAsia="ja-JP"/>
        </w:rPr>
      </w:pPr>
      <w:r w:rsidRPr="00A81971">
        <w:rPr>
          <w:rFonts w:eastAsia="Calibri"/>
          <w:lang w:eastAsia="ja-JP"/>
        </w:rPr>
        <w:t>Currently HPMPs/KIPS fund the recovery through the servicing sector efforts, yet the ratio of recovery achieved is about 5-10% of the available volume that could be obtained.</w:t>
      </w:r>
      <w:r>
        <w:rPr>
          <w:rFonts w:eastAsia="Calibri"/>
          <w:vertAlign w:val="superscript"/>
          <w:lang w:eastAsia="ja-JP"/>
        </w:rPr>
        <w:footnoteReference w:id="37"/>
      </w:r>
      <w:r w:rsidRPr="00A81971">
        <w:rPr>
          <w:rFonts w:eastAsia="Calibri"/>
          <w:lang w:eastAsia="ja-JP"/>
        </w:rPr>
        <w:t xml:space="preserve"> The low collection volumes do not justify the investment in reclamation or destruction services. Thus, </w:t>
      </w:r>
      <w:r w:rsidR="348B8ACE" w:rsidRPr="00A81971">
        <w:rPr>
          <w:rFonts w:eastAsia="Calibri"/>
          <w:lang w:eastAsia="ja-JP"/>
        </w:rPr>
        <w:t>t</w:t>
      </w:r>
      <w:r w:rsidRPr="00A81971">
        <w:rPr>
          <w:rFonts w:eastAsia="Calibri"/>
          <w:lang w:eastAsia="ja-JP"/>
        </w:rPr>
        <w:t xml:space="preserve">his module addresses the gap between current servicing-sector activities in HPMP/KIPS to create conditions to increase collection of used and unwanted gases to a level that justifies the creation of EOL services. </w:t>
      </w:r>
    </w:p>
    <w:p w14:paraId="6EB9CC12" w14:textId="77777777" w:rsidR="0077230C" w:rsidRPr="00A81971" w:rsidRDefault="0077230C" w:rsidP="0077230C">
      <w:pPr>
        <w:spacing w:after="0"/>
        <w:rPr>
          <w:rFonts w:eastAsia="Calibri"/>
          <w:lang w:eastAsia="ja-JP"/>
        </w:rPr>
      </w:pPr>
    </w:p>
    <w:p w14:paraId="68D6D290" w14:textId="77777777" w:rsidR="0077230C" w:rsidRPr="00A81971" w:rsidRDefault="0032495C" w:rsidP="0077230C">
      <w:pPr>
        <w:spacing w:after="0"/>
        <w:rPr>
          <w:rFonts w:eastAsia="Times New Roman"/>
        </w:rPr>
      </w:pPr>
      <w:r w:rsidRPr="00A81971">
        <w:rPr>
          <w:rFonts w:eastAsia="Calibri"/>
          <w:lang w:eastAsia="ja-JP"/>
        </w:rPr>
        <w:t>The constraint addressed in this module is not the lack of technical knowledge, but the absence of conditions for routine recovery. While training has been widely delivered, access to recovery equipment remains uneven, and in many cases, equipment is not available at the point of servicing.</w:t>
      </w:r>
      <w:r w:rsidRPr="00A81971">
        <w:rPr>
          <w:rFonts w:eastAsia="Times New Roman"/>
        </w:rPr>
        <w:t xml:space="preserve"> This requires equipping technicians with appropriate tools, including recovery machines and cylinders, digital charging gauges, and related equipment. The estimated cost of equipping one technician is US$ 1,500 (UNEP, 2024).</w:t>
      </w:r>
    </w:p>
    <w:p w14:paraId="1458BA41" w14:textId="77777777" w:rsidR="0077230C" w:rsidRPr="00A81971" w:rsidRDefault="0077230C" w:rsidP="0077230C">
      <w:pPr>
        <w:widowControl w:val="0"/>
        <w:autoSpaceDE w:val="0"/>
        <w:autoSpaceDN w:val="0"/>
        <w:spacing w:after="0"/>
        <w:rPr>
          <w:rFonts w:eastAsia="Times New Roman"/>
        </w:rPr>
      </w:pPr>
    </w:p>
    <w:p w14:paraId="2AEDFE38"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In addition to equipment provision, it is important to incentivise recovery behaviour through a structured framework for refrigerant collection and profit sharing. Establishing a chain of custody and recovered refrigerant trading platform is estimated at a one-time cost of US$ 10,000 per party, plus an annual technician subscription fee of US$ 250.</w:t>
      </w:r>
    </w:p>
    <w:p w14:paraId="073E8370" w14:textId="77777777" w:rsidR="0077230C" w:rsidRPr="00A81971" w:rsidRDefault="0077230C" w:rsidP="0077230C">
      <w:pPr>
        <w:spacing w:after="0"/>
        <w:rPr>
          <w:rFonts w:eastAsia="Calibri"/>
          <w:lang w:eastAsia="ja-JP"/>
        </w:rPr>
      </w:pPr>
    </w:p>
    <w:p w14:paraId="0445120B" w14:textId="77777777" w:rsidR="0077230C" w:rsidRPr="00A81971" w:rsidRDefault="0032495C" w:rsidP="0077230C">
      <w:pPr>
        <w:spacing w:after="0"/>
        <w:rPr>
          <w:rFonts w:eastAsia="Calibri"/>
          <w:lang w:eastAsia="ja-JP"/>
        </w:rPr>
      </w:pPr>
      <w:r w:rsidRPr="00A81971">
        <w:rPr>
          <w:rFonts w:eastAsia="Calibri"/>
          <w:lang w:eastAsia="ja-JP"/>
        </w:rPr>
        <w:t>The adoption threshold of approximately 40–60%</w:t>
      </w:r>
      <w:r>
        <w:rPr>
          <w:rFonts w:eastAsia="Calibri"/>
          <w:vertAlign w:val="superscript"/>
          <w:lang w:eastAsia="ja-JP"/>
        </w:rPr>
        <w:footnoteReference w:id="38"/>
      </w:r>
      <w:r w:rsidRPr="00A81971">
        <w:rPr>
          <w:rFonts w:eastAsia="Calibri"/>
          <w:lang w:eastAsia="ja-JP"/>
        </w:rPr>
        <w:t xml:space="preserve"> of technicians equipped reflects the point at which recovery transitions from an occasional practice to a routine activity. Below this level, recovery remains fragmented and dependent on specific programmes or facilities.</w:t>
      </w:r>
    </w:p>
    <w:p w14:paraId="68D1E5DE" w14:textId="58372949" w:rsidR="002E3156" w:rsidRDefault="002E3156">
      <w:pPr>
        <w:spacing w:after="0"/>
        <w:rPr>
          <w:rFonts w:eastAsia="Calibri"/>
          <w:lang w:eastAsia="ja-JP"/>
        </w:rPr>
      </w:pPr>
      <w:r>
        <w:rPr>
          <w:rFonts w:eastAsia="Calibri"/>
          <w:lang w:eastAsia="ja-JP"/>
        </w:rPr>
        <w:br w:type="page"/>
      </w:r>
    </w:p>
    <w:p w14:paraId="5737BF51" w14:textId="77777777" w:rsidR="0077230C" w:rsidRPr="00A81971" w:rsidRDefault="0077230C" w:rsidP="0077230C">
      <w:pPr>
        <w:spacing w:after="0"/>
        <w:rPr>
          <w:rFonts w:eastAsia="Calibri"/>
          <w:lang w:eastAsia="ja-JP"/>
        </w:rPr>
      </w:pPr>
    </w:p>
    <w:p w14:paraId="576C667D" w14:textId="77777777" w:rsidR="0077230C" w:rsidRPr="00A81971" w:rsidRDefault="0032495C" w:rsidP="0077230C">
      <w:pPr>
        <w:spacing w:after="0"/>
        <w:rPr>
          <w:rFonts w:eastAsia="Calibri"/>
          <w:lang w:eastAsia="ja-JP"/>
        </w:rPr>
      </w:pPr>
      <w:r w:rsidRPr="00A81971">
        <w:rPr>
          <w:rFonts w:eastAsia="Calibri"/>
          <w:lang w:eastAsia="ja-JP"/>
        </w:rPr>
        <w:t>Assumptions are that:</w:t>
      </w:r>
    </w:p>
    <w:p w14:paraId="74A4B860"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There is lack of availability of recovery cylinder and recovery machines in LVCs</w:t>
      </w:r>
      <w:r>
        <w:rPr>
          <w:rFonts w:eastAsia="Calibri"/>
          <w:vertAlign w:val="superscript"/>
          <w:lang w:eastAsia="ja-JP"/>
        </w:rPr>
        <w:footnoteReference w:id="39"/>
      </w:r>
      <w:r w:rsidRPr="00A81971">
        <w:rPr>
          <w:rFonts w:eastAsia="Calibri"/>
          <w:lang w:eastAsia="ja-JP"/>
        </w:rPr>
        <w:t xml:space="preserve"> and that LVCs would not have equipped technicians. </w:t>
      </w:r>
    </w:p>
    <w:p w14:paraId="6E423B73"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The adoption or the technology would need at least 40% of technicians are equipped (inflection zone in the technology S-curve would be 40-60%)</w:t>
      </w:r>
      <w:r>
        <w:rPr>
          <w:rFonts w:eastAsia="Calibri"/>
          <w:vertAlign w:val="superscript"/>
          <w:lang w:eastAsia="ja-JP"/>
        </w:rPr>
        <w:footnoteReference w:id="40"/>
      </w:r>
      <w:r w:rsidRPr="00A81971">
        <w:rPr>
          <w:rFonts w:eastAsia="Calibri"/>
          <w:lang w:eastAsia="ja-JP"/>
        </w:rPr>
        <w:t>.In modelling three cases were considered, a low end in which 20% of technicians are equipped, a central-case in which 40% are equipped and a high end in which 60% are equipped</w:t>
      </w:r>
    </w:p>
    <w:p w14:paraId="7DEF9F4A"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This four- to eight-fold increase from 5-10% to 40% in recovery depends not only on supplying equipment, but equipment and training are pre-conditions to an effective recovery system. </w:t>
      </w:r>
    </w:p>
    <w:p w14:paraId="6CBEC51A"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For countries that have supplied tools under the HPMP/KIP, this model sets different levels of support for increasing the access: this is the gap to be bridged. For example, if a party already equipped 10-20% of their technicians, this component seeks to equip 20-30% more, in order to reach minimum 40%. </w:t>
      </w:r>
    </w:p>
    <w:p w14:paraId="6D9C73F3"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Servicing training is sufficiently covered by HPMP/KIP so no additional technician training would be covered in the LRM component.  </w:t>
      </w:r>
    </w:p>
    <w:p w14:paraId="261914B6"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The model is based on small AC units, simplifying the calculation to units with 1 kg refrigerant charge.</w:t>
      </w:r>
    </w:p>
    <w:p w14:paraId="2B3C3F18" w14:textId="77777777" w:rsidR="0077230C" w:rsidRPr="00A81971" w:rsidRDefault="0077230C" w:rsidP="0077230C">
      <w:pPr>
        <w:spacing w:after="0"/>
        <w:rPr>
          <w:rFonts w:eastAsia="Calibri"/>
          <w:lang w:eastAsia="ja-JP"/>
        </w:rPr>
      </w:pPr>
    </w:p>
    <w:p w14:paraId="414D3F4E" w14:textId="77777777" w:rsidR="0077230C" w:rsidRPr="00A81971" w:rsidRDefault="0032495C" w:rsidP="0077230C">
      <w:pPr>
        <w:spacing w:after="0"/>
        <w:rPr>
          <w:rFonts w:eastAsia="Calibri"/>
          <w:b/>
          <w:bCs/>
          <w:lang w:eastAsia="ja-JP"/>
        </w:rPr>
      </w:pPr>
      <w:r w:rsidRPr="00A81971">
        <w:rPr>
          <w:rFonts w:eastAsia="Calibri"/>
          <w:b/>
          <w:bCs/>
          <w:lang w:eastAsia="ja-JP"/>
        </w:rPr>
        <w:t xml:space="preserve">The objectives that can </w:t>
      </w:r>
      <w:r w:rsidR="009E3D63" w:rsidRPr="00A81971">
        <w:rPr>
          <w:rFonts w:eastAsia="Calibri"/>
          <w:b/>
          <w:bCs/>
          <w:lang w:eastAsia="ja-JP"/>
        </w:rPr>
        <w:t xml:space="preserve">be </w:t>
      </w:r>
      <w:r w:rsidRPr="00A81971">
        <w:rPr>
          <w:rFonts w:eastAsia="Calibri"/>
          <w:b/>
          <w:bCs/>
          <w:lang w:eastAsia="ja-JP"/>
        </w:rPr>
        <w:t>achieved by Module 1a are:</w:t>
      </w:r>
    </w:p>
    <w:p w14:paraId="4B826708" w14:textId="22EDC722"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To provide recovery equipment (machines and cylinders) to sufficient technicians to </w:t>
      </w:r>
      <w:r w:rsidR="00BF1A8E">
        <w:rPr>
          <w:rFonts w:eastAsia="Calibri"/>
          <w:lang w:eastAsia="ja-JP"/>
        </w:rPr>
        <w:t>r</w:t>
      </w:r>
      <w:r w:rsidRPr="00A81971">
        <w:rPr>
          <w:rFonts w:eastAsia="Calibri"/>
          <w:lang w:eastAsia="ja-JP"/>
        </w:rPr>
        <w:t xml:space="preserve">each a tipping point that shifts common practice from venting to recovery; </w:t>
      </w:r>
    </w:p>
    <w:p w14:paraId="64B7739F"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 To provide a direct incentive (payment) to technicians to recover refrigerants during servicing through recovered refrigerants trading platforms;</w:t>
      </w:r>
    </w:p>
    <w:p w14:paraId="6CDB932B" w14:textId="28CD790A"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To create a digitised tool or</w:t>
      </w:r>
      <w:r w:rsidR="00014403">
        <w:rPr>
          <w:rFonts w:eastAsia="Calibri"/>
          <w:lang w:eastAsia="ja-JP"/>
        </w:rPr>
        <w:t xml:space="preserve"> “</w:t>
      </w:r>
      <w:r w:rsidRPr="00A81971">
        <w:rPr>
          <w:rFonts w:eastAsia="Calibri"/>
          <w:lang w:eastAsia="ja-JP"/>
        </w:rPr>
        <w:t>app” to support the process of refrigerant recovery and reverse supply chain, establishing a chain of custody and payment mechanism for technicians which bring gas to collection centres, to incentivise recovery; and</w:t>
      </w:r>
    </w:p>
    <w:p w14:paraId="3EA9D4DA"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To create collection points or support value chain stakeholders, such as refrigerant distributors, in collecting recovered refrigerant.</w:t>
      </w:r>
    </w:p>
    <w:p w14:paraId="14578F55" w14:textId="77777777" w:rsidR="0077230C" w:rsidRPr="00A81971" w:rsidRDefault="0077230C" w:rsidP="0077230C">
      <w:pPr>
        <w:spacing w:after="0"/>
        <w:rPr>
          <w:rFonts w:eastAsia="Calibri"/>
          <w:b/>
          <w:bCs/>
          <w:lang w:eastAsia="ja-JP"/>
        </w:rPr>
      </w:pPr>
    </w:p>
    <w:p w14:paraId="7E226513" w14:textId="77777777" w:rsidR="0077230C" w:rsidRPr="00A81971" w:rsidRDefault="0032495C" w:rsidP="0077230C">
      <w:pPr>
        <w:spacing w:after="0"/>
        <w:rPr>
          <w:rFonts w:eastAsia="Calibri"/>
          <w:b/>
          <w:bCs/>
          <w:lang w:eastAsia="ja-JP"/>
        </w:rPr>
      </w:pPr>
      <w:r w:rsidRPr="00A81971">
        <w:rPr>
          <w:rFonts w:eastAsia="Calibri"/>
          <w:b/>
          <w:bCs/>
          <w:lang w:eastAsia="ja-JP"/>
        </w:rPr>
        <w:t>Modelling assumptions</w:t>
      </w:r>
    </w:p>
    <w:p w14:paraId="088C88C2" w14:textId="77777777" w:rsidR="0077230C" w:rsidRPr="00A81971" w:rsidRDefault="0077230C" w:rsidP="00385D99">
      <w:pPr>
        <w:spacing w:after="0"/>
        <w:rPr>
          <w:rFonts w:eastAsia="Calibri"/>
          <w:lang w:eastAsia="ja-JP"/>
        </w:rPr>
      </w:pPr>
    </w:p>
    <w:p w14:paraId="126741E3" w14:textId="77777777" w:rsidR="0077230C" w:rsidRPr="00A81971" w:rsidRDefault="0032495C" w:rsidP="00385D99">
      <w:pPr>
        <w:spacing w:after="0"/>
        <w:rPr>
          <w:rFonts w:eastAsia="Calibri"/>
          <w:lang w:eastAsia="ja-JP"/>
        </w:rPr>
      </w:pPr>
      <w:r w:rsidRPr="00A81971">
        <w:rPr>
          <w:rFonts w:eastAsia="Calibri"/>
          <w:lang w:eastAsia="ja-JP"/>
        </w:rPr>
        <w:t xml:space="preserve">A bottom-up model </w:t>
      </w:r>
      <w:r w:rsidR="00712DFE" w:rsidRPr="00A81971">
        <w:rPr>
          <w:rFonts w:eastAsia="Calibri"/>
          <w:lang w:eastAsia="ja-JP"/>
        </w:rPr>
        <w:t xml:space="preserve">is used to </w:t>
      </w:r>
      <w:r w:rsidRPr="00A81971">
        <w:rPr>
          <w:rFonts w:eastAsia="Calibri"/>
          <w:lang w:eastAsia="ja-JP"/>
        </w:rPr>
        <w:t xml:space="preserve">estimate the costs of recovery activities. Starting </w:t>
      </w:r>
      <w:r w:rsidR="00355AFA" w:rsidRPr="00A81971">
        <w:rPr>
          <w:rFonts w:eastAsia="Calibri"/>
          <w:lang w:eastAsia="ja-JP"/>
        </w:rPr>
        <w:t xml:space="preserve">with a </w:t>
      </w:r>
      <w:r w:rsidRPr="00A81971">
        <w:rPr>
          <w:rFonts w:eastAsia="Calibri"/>
          <w:lang w:eastAsia="ja-JP"/>
        </w:rPr>
        <w:t>part</w:t>
      </w:r>
      <w:r w:rsidR="00412C33" w:rsidRPr="00A81971">
        <w:rPr>
          <w:rFonts w:eastAsia="Calibri"/>
          <w:lang w:eastAsia="ja-JP"/>
        </w:rPr>
        <w:t>y’s</w:t>
      </w:r>
      <w:r w:rsidRPr="00A81971">
        <w:rPr>
          <w:rFonts w:eastAsia="Calibri"/>
          <w:lang w:eastAsia="ja-JP"/>
        </w:rPr>
        <w:t xml:space="preserve"> HFC consumption in the servicing sector, </w:t>
      </w:r>
      <w:r w:rsidR="0080601F" w:rsidRPr="00A81971">
        <w:rPr>
          <w:rFonts w:eastAsia="Calibri"/>
          <w:lang w:eastAsia="ja-JP"/>
        </w:rPr>
        <w:t xml:space="preserve">the model uses </w:t>
      </w:r>
      <w:r w:rsidR="00F4110E" w:rsidRPr="00A81971">
        <w:rPr>
          <w:rFonts w:eastAsia="Calibri"/>
          <w:lang w:eastAsia="ja-JP"/>
        </w:rPr>
        <w:t xml:space="preserve">the information </w:t>
      </w:r>
      <w:r w:rsidRPr="00A81971">
        <w:rPr>
          <w:rFonts w:eastAsia="Calibri"/>
          <w:lang w:eastAsia="ja-JP"/>
        </w:rPr>
        <w:t xml:space="preserve">to approximate the stock of </w:t>
      </w:r>
      <w:r w:rsidR="00F4110E" w:rsidRPr="00A81971">
        <w:rPr>
          <w:rFonts w:eastAsia="Calibri"/>
          <w:lang w:eastAsia="ja-JP"/>
        </w:rPr>
        <w:t xml:space="preserve">relevant </w:t>
      </w:r>
      <w:r w:rsidRPr="00A81971">
        <w:rPr>
          <w:rFonts w:eastAsia="Calibri"/>
          <w:lang w:eastAsia="ja-JP"/>
        </w:rPr>
        <w:t xml:space="preserve">equipment, the number of servicing events, and the number of technicians involved. The model then estimates the additional equipment and support needed </w:t>
      </w:r>
      <w:r w:rsidR="00333238" w:rsidRPr="00A81971">
        <w:rPr>
          <w:rFonts w:eastAsia="Calibri"/>
          <w:lang w:eastAsia="ja-JP"/>
        </w:rPr>
        <w:t xml:space="preserve">to enable </w:t>
      </w:r>
      <w:r w:rsidRPr="00A81971">
        <w:rPr>
          <w:rFonts w:eastAsia="Calibri"/>
          <w:lang w:eastAsia="ja-JP"/>
        </w:rPr>
        <w:t xml:space="preserve">a sufficient share of technicians to </w:t>
      </w:r>
      <w:r w:rsidR="00FC5E1B" w:rsidRPr="00A81971">
        <w:rPr>
          <w:rFonts w:eastAsia="Calibri"/>
          <w:lang w:eastAsia="ja-JP"/>
        </w:rPr>
        <w:t xml:space="preserve">undertake </w:t>
      </w:r>
      <w:r w:rsidRPr="00A81971">
        <w:rPr>
          <w:rFonts w:eastAsia="Calibri"/>
          <w:lang w:eastAsia="ja-JP"/>
        </w:rPr>
        <w:t>refrigerant</w:t>
      </w:r>
      <w:r w:rsidR="00FC5E1B" w:rsidRPr="00A81971">
        <w:rPr>
          <w:rFonts w:eastAsia="Calibri"/>
          <w:lang w:eastAsia="ja-JP"/>
        </w:rPr>
        <w:t xml:space="preserve"> recovery</w:t>
      </w:r>
      <w:r w:rsidRPr="00A81971">
        <w:rPr>
          <w:rFonts w:eastAsia="Calibri"/>
          <w:lang w:eastAsia="ja-JP"/>
        </w:rPr>
        <w:t xml:space="preserve">. This is referred to as reaching </w:t>
      </w:r>
      <w:r w:rsidR="00FB5825" w:rsidRPr="00A81971">
        <w:rPr>
          <w:rFonts w:eastAsia="Calibri"/>
          <w:lang w:eastAsia="ja-JP"/>
        </w:rPr>
        <w:t>the</w:t>
      </w:r>
      <w:r w:rsidRPr="00A81971">
        <w:rPr>
          <w:rFonts w:eastAsia="Calibri"/>
          <w:lang w:eastAsia="ja-JP"/>
        </w:rPr>
        <w:t xml:space="preserve"> recovery “tipping point”, the point at which enough </w:t>
      </w:r>
      <w:r w:rsidR="00904E8A" w:rsidRPr="00A81971">
        <w:rPr>
          <w:rFonts w:eastAsia="Calibri"/>
          <w:lang w:eastAsia="ja-JP"/>
        </w:rPr>
        <w:t xml:space="preserve">trained and equipped </w:t>
      </w:r>
      <w:r w:rsidRPr="00A81971">
        <w:rPr>
          <w:rFonts w:eastAsia="Calibri"/>
          <w:lang w:eastAsia="ja-JP"/>
        </w:rPr>
        <w:t>technicians and collection points are in place for recovery to become feasible beyond isolated or pilot activities.</w:t>
      </w:r>
    </w:p>
    <w:p w14:paraId="1E5758EA" w14:textId="77777777" w:rsidR="0077230C" w:rsidRPr="00A81971" w:rsidRDefault="0077230C" w:rsidP="00385D99">
      <w:pPr>
        <w:spacing w:after="0"/>
        <w:rPr>
          <w:rFonts w:eastAsia="Calibri"/>
          <w:lang w:eastAsia="ja-JP"/>
        </w:rPr>
      </w:pPr>
    </w:p>
    <w:p w14:paraId="17FACC5F" w14:textId="77777777" w:rsidR="0077230C" w:rsidRPr="00A81971" w:rsidRDefault="0032495C" w:rsidP="00385D99">
      <w:pPr>
        <w:spacing w:after="0"/>
        <w:rPr>
          <w:rFonts w:eastAsia="Calibri"/>
          <w:lang w:eastAsia="ja-JP"/>
        </w:rPr>
      </w:pPr>
      <w:r w:rsidRPr="00A81971">
        <w:rPr>
          <w:rFonts w:eastAsia="Calibri"/>
          <w:lang w:eastAsia="ja-JP"/>
        </w:rPr>
        <w:t xml:space="preserve">The model applies a </w:t>
      </w:r>
      <w:r w:rsidR="00513882" w:rsidRPr="00A81971">
        <w:rPr>
          <w:rFonts w:eastAsia="Calibri"/>
          <w:lang w:eastAsia="ja-JP"/>
        </w:rPr>
        <w:t xml:space="preserve">non-linear </w:t>
      </w:r>
      <w:r w:rsidRPr="00A81971">
        <w:rPr>
          <w:rFonts w:eastAsia="Calibri"/>
          <w:lang w:eastAsia="ja-JP"/>
        </w:rPr>
        <w:t>S-curve</w:t>
      </w:r>
      <w:r w:rsidR="00222B9D" w:rsidRPr="00A81971">
        <w:rPr>
          <w:rFonts w:eastAsia="Calibri"/>
          <w:lang w:eastAsia="ja-JP"/>
        </w:rPr>
        <w:t>-inspired</w:t>
      </w:r>
      <w:r w:rsidRPr="00A81971">
        <w:rPr>
          <w:rFonts w:eastAsia="Calibri"/>
          <w:lang w:eastAsia="ja-JP"/>
        </w:rPr>
        <w:t xml:space="preserve"> tipping</w:t>
      </w:r>
      <w:r w:rsidR="00222B9D" w:rsidRPr="00A81971">
        <w:rPr>
          <w:rFonts w:eastAsia="Calibri"/>
          <w:lang w:eastAsia="ja-JP"/>
        </w:rPr>
        <w:t>-</w:t>
      </w:r>
      <w:r w:rsidRPr="00A81971">
        <w:rPr>
          <w:rFonts w:eastAsia="Calibri"/>
          <w:lang w:eastAsia="ja-JP"/>
        </w:rPr>
        <w:t xml:space="preserve">point logic to estimate </w:t>
      </w:r>
      <w:r w:rsidR="003D4190" w:rsidRPr="00A81971">
        <w:rPr>
          <w:rFonts w:eastAsia="Calibri"/>
          <w:lang w:eastAsia="ja-JP"/>
        </w:rPr>
        <w:t xml:space="preserve">the number of </w:t>
      </w:r>
      <w:r w:rsidRPr="00A81971">
        <w:rPr>
          <w:rFonts w:eastAsia="Calibri"/>
          <w:lang w:eastAsia="ja-JP"/>
        </w:rPr>
        <w:t xml:space="preserve">technicians </w:t>
      </w:r>
      <w:r w:rsidR="004C4994" w:rsidRPr="00A81971">
        <w:rPr>
          <w:rFonts w:eastAsia="Calibri"/>
          <w:lang w:eastAsia="ja-JP"/>
        </w:rPr>
        <w:t xml:space="preserve">that </w:t>
      </w:r>
      <w:r w:rsidRPr="00A81971">
        <w:rPr>
          <w:rFonts w:eastAsia="Calibri"/>
          <w:lang w:eastAsia="ja-JP"/>
        </w:rPr>
        <w:t xml:space="preserve">would need to be equipped for </w:t>
      </w:r>
      <w:r w:rsidR="00D360BE" w:rsidRPr="00A81971">
        <w:rPr>
          <w:rFonts w:eastAsia="Calibri"/>
          <w:lang w:eastAsia="ja-JP"/>
        </w:rPr>
        <w:t xml:space="preserve">refrigerant </w:t>
      </w:r>
      <w:r w:rsidRPr="00A81971">
        <w:rPr>
          <w:rFonts w:eastAsia="Calibri"/>
          <w:lang w:eastAsia="ja-JP"/>
        </w:rPr>
        <w:t>recovery to become operational</w:t>
      </w:r>
      <w:r w:rsidR="00D360BE" w:rsidRPr="00A81971">
        <w:rPr>
          <w:rFonts w:eastAsia="Calibri"/>
          <w:lang w:eastAsia="ja-JP"/>
        </w:rPr>
        <w:t xml:space="preserve"> at scale</w:t>
      </w:r>
      <w:r w:rsidRPr="00A81971">
        <w:rPr>
          <w:rFonts w:eastAsia="Calibri"/>
          <w:lang w:eastAsia="ja-JP"/>
        </w:rPr>
        <w:t>. The underlying assumption is that recovery does not increase linear</w:t>
      </w:r>
      <w:r w:rsidR="004830A1" w:rsidRPr="00A81971">
        <w:rPr>
          <w:rFonts w:eastAsia="Calibri"/>
          <w:lang w:eastAsia="ja-JP"/>
        </w:rPr>
        <w:t>ly</w:t>
      </w:r>
      <w:r w:rsidRPr="00A81971">
        <w:rPr>
          <w:rFonts w:eastAsia="Calibri"/>
          <w:lang w:eastAsia="ja-JP"/>
        </w:rPr>
        <w:t xml:space="preserve"> with each additional </w:t>
      </w:r>
      <w:r w:rsidR="008375CE" w:rsidRPr="00A81971">
        <w:rPr>
          <w:rFonts w:eastAsia="Calibri"/>
          <w:lang w:eastAsia="ja-JP"/>
        </w:rPr>
        <w:t xml:space="preserve">equipped </w:t>
      </w:r>
      <w:r w:rsidRPr="00A81971">
        <w:rPr>
          <w:rFonts w:eastAsia="Calibri"/>
          <w:lang w:eastAsia="ja-JP"/>
        </w:rPr>
        <w:t xml:space="preserve">technician. </w:t>
      </w:r>
      <w:r w:rsidR="0011772B" w:rsidRPr="00A81971">
        <w:rPr>
          <w:rFonts w:eastAsia="Calibri"/>
          <w:lang w:eastAsia="ja-JP"/>
        </w:rPr>
        <w:t xml:space="preserve">When </w:t>
      </w:r>
      <w:r w:rsidRPr="00A81971">
        <w:rPr>
          <w:rFonts w:eastAsia="Calibri"/>
          <w:lang w:eastAsia="ja-JP"/>
        </w:rPr>
        <w:t xml:space="preserve">only a small </w:t>
      </w:r>
      <w:r w:rsidR="00006CDB" w:rsidRPr="00A81971">
        <w:rPr>
          <w:rFonts w:eastAsia="Calibri"/>
          <w:lang w:eastAsia="ja-JP"/>
        </w:rPr>
        <w:t xml:space="preserve">share </w:t>
      </w:r>
      <w:r w:rsidRPr="00A81971">
        <w:rPr>
          <w:rFonts w:eastAsia="Calibri"/>
          <w:lang w:eastAsia="ja-JP"/>
        </w:rPr>
        <w:t xml:space="preserve">of technicians have </w:t>
      </w:r>
      <w:r w:rsidR="00A96199" w:rsidRPr="00A81971">
        <w:rPr>
          <w:rFonts w:eastAsia="Calibri"/>
          <w:lang w:eastAsia="ja-JP"/>
        </w:rPr>
        <w:t xml:space="preserve">the necessary </w:t>
      </w:r>
      <w:r w:rsidRPr="00A81971">
        <w:rPr>
          <w:rFonts w:eastAsia="Calibri"/>
          <w:lang w:eastAsia="ja-JP"/>
        </w:rPr>
        <w:t>recovery equipment</w:t>
      </w:r>
      <w:r w:rsidR="00987672" w:rsidRPr="00A81971">
        <w:rPr>
          <w:rFonts w:eastAsia="Calibri"/>
          <w:lang w:eastAsia="ja-JP"/>
        </w:rPr>
        <w:t xml:space="preserve"> and cylinders</w:t>
      </w:r>
      <w:r w:rsidRPr="00A81971">
        <w:rPr>
          <w:rFonts w:eastAsia="Calibri"/>
          <w:lang w:eastAsia="ja-JP"/>
        </w:rPr>
        <w:t xml:space="preserve">, recovery </w:t>
      </w:r>
      <w:r w:rsidR="00980F61" w:rsidRPr="00A81971">
        <w:rPr>
          <w:rFonts w:eastAsia="Calibri"/>
          <w:lang w:eastAsia="ja-JP"/>
        </w:rPr>
        <w:t xml:space="preserve">is assumed to </w:t>
      </w:r>
      <w:r w:rsidRPr="00A81971">
        <w:rPr>
          <w:rFonts w:eastAsia="Calibri"/>
          <w:lang w:eastAsia="ja-JP"/>
        </w:rPr>
        <w:t xml:space="preserve">remain fragmented and limited. </w:t>
      </w:r>
      <w:r w:rsidR="007B2125" w:rsidRPr="00A81971">
        <w:rPr>
          <w:rFonts w:eastAsia="Calibri"/>
          <w:lang w:eastAsia="ja-JP"/>
        </w:rPr>
        <w:t xml:space="preserve">As coverage increases and </w:t>
      </w:r>
      <w:r w:rsidRPr="00A81971">
        <w:rPr>
          <w:rFonts w:eastAsia="Calibri"/>
          <w:lang w:eastAsia="ja-JP"/>
        </w:rPr>
        <w:t xml:space="preserve">a sufficient share of technicians has </w:t>
      </w:r>
      <w:r w:rsidR="00BD4482" w:rsidRPr="00A81971">
        <w:rPr>
          <w:rFonts w:eastAsia="Calibri"/>
          <w:lang w:eastAsia="ja-JP"/>
        </w:rPr>
        <w:t xml:space="preserve">the necessary </w:t>
      </w:r>
      <w:r w:rsidRPr="00A81971">
        <w:rPr>
          <w:rFonts w:eastAsia="Calibri"/>
          <w:lang w:eastAsia="ja-JP"/>
        </w:rPr>
        <w:t xml:space="preserve">equipment, </w:t>
      </w:r>
      <w:r w:rsidR="00071C40" w:rsidRPr="00A81971">
        <w:rPr>
          <w:rFonts w:eastAsia="Calibri"/>
          <w:lang w:eastAsia="ja-JP"/>
        </w:rPr>
        <w:t xml:space="preserve">together with </w:t>
      </w:r>
      <w:r w:rsidRPr="00A81971">
        <w:rPr>
          <w:rFonts w:eastAsia="Calibri"/>
          <w:lang w:eastAsia="ja-JP"/>
        </w:rPr>
        <w:t>access to collection points</w:t>
      </w:r>
      <w:r w:rsidR="00DC5266" w:rsidRPr="00A81971">
        <w:rPr>
          <w:rFonts w:eastAsia="Calibri"/>
          <w:lang w:eastAsia="ja-JP"/>
        </w:rPr>
        <w:t xml:space="preserve"> and other supporting infrastructure</w:t>
      </w:r>
      <w:r w:rsidRPr="00A81971">
        <w:rPr>
          <w:rFonts w:eastAsia="Calibri"/>
          <w:lang w:eastAsia="ja-JP"/>
        </w:rPr>
        <w:t xml:space="preserve">, </w:t>
      </w:r>
      <w:r w:rsidR="00B764B4" w:rsidRPr="00A81971">
        <w:rPr>
          <w:rFonts w:eastAsia="Calibri"/>
          <w:lang w:eastAsia="ja-JP"/>
        </w:rPr>
        <w:t xml:space="preserve">recovery </w:t>
      </w:r>
      <w:r w:rsidRPr="00A81971">
        <w:rPr>
          <w:rFonts w:eastAsia="Calibri"/>
          <w:lang w:eastAsia="ja-JP"/>
        </w:rPr>
        <w:t xml:space="preserve">can begin to function as a </w:t>
      </w:r>
      <w:r w:rsidR="00A26E5F" w:rsidRPr="00A81971">
        <w:rPr>
          <w:rFonts w:eastAsia="Calibri"/>
          <w:lang w:eastAsia="ja-JP"/>
        </w:rPr>
        <w:t>broader</w:t>
      </w:r>
      <w:r w:rsidRPr="00A81971">
        <w:rPr>
          <w:rFonts w:eastAsia="Calibri"/>
          <w:lang w:eastAsia="ja-JP"/>
        </w:rPr>
        <w:t xml:space="preserve"> network</w:t>
      </w:r>
      <w:r w:rsidR="00A26E5F" w:rsidRPr="00A81971">
        <w:rPr>
          <w:rFonts w:eastAsia="Calibri"/>
          <w:lang w:eastAsia="ja-JP"/>
        </w:rPr>
        <w:t xml:space="preserve"> rather than as </w:t>
      </w:r>
      <w:r w:rsidR="00A26E5F" w:rsidRPr="00A81971">
        <w:rPr>
          <w:rFonts w:eastAsia="Calibri"/>
          <w:lang w:eastAsia="ja-JP"/>
        </w:rPr>
        <w:lastRenderedPageBreak/>
        <w:t>isolated or pilot activities</w:t>
      </w:r>
      <w:r w:rsidRPr="00A81971">
        <w:rPr>
          <w:rFonts w:eastAsia="Calibri"/>
          <w:lang w:eastAsia="ja-JP"/>
        </w:rPr>
        <w:t>. To reflect this</w:t>
      </w:r>
      <w:r w:rsidR="00D96F7B" w:rsidRPr="00A81971">
        <w:rPr>
          <w:rFonts w:eastAsia="Calibri"/>
          <w:lang w:eastAsia="ja-JP"/>
        </w:rPr>
        <w:t xml:space="preserve"> non-linear relationship</w:t>
      </w:r>
      <w:r w:rsidRPr="00A81971">
        <w:rPr>
          <w:rFonts w:eastAsia="Calibri"/>
          <w:lang w:eastAsia="ja-JP"/>
        </w:rPr>
        <w:t xml:space="preserve">, the model </w:t>
      </w:r>
      <w:r w:rsidR="00997384" w:rsidRPr="00A81971">
        <w:rPr>
          <w:rFonts w:eastAsia="Calibri"/>
          <w:lang w:eastAsia="ja-JP"/>
        </w:rPr>
        <w:t xml:space="preserve">considers </w:t>
      </w:r>
      <w:r w:rsidRPr="00A81971">
        <w:rPr>
          <w:rFonts w:eastAsia="Calibri"/>
          <w:lang w:eastAsia="ja-JP"/>
        </w:rPr>
        <w:t>three technician-equipment coverage scenarios</w:t>
      </w:r>
      <w:r w:rsidR="007B5FBB" w:rsidRPr="00A81971">
        <w:rPr>
          <w:rFonts w:eastAsia="Calibri"/>
          <w:lang w:eastAsia="ja-JP"/>
        </w:rPr>
        <w:t>,</w:t>
      </w:r>
      <w:r w:rsidR="0072677E" w:rsidRPr="00A81971">
        <w:rPr>
          <w:rFonts w:eastAsia="Calibri"/>
          <w:lang w:eastAsia="ja-JP"/>
        </w:rPr>
        <w:t xml:space="preserve"> as shown in Table A6.1.</w:t>
      </w:r>
      <w:r w:rsidR="00B74EA7" w:rsidRPr="00A81971">
        <w:rPr>
          <w:rFonts w:eastAsia="Calibri"/>
          <w:lang w:eastAsia="ja-JP"/>
        </w:rPr>
        <w:t xml:space="preserve"> These coverage levels are modelling assumptions used for sensitivity analysis and should not be interpreted as empirically established thresholds for achieving operational recovery.</w:t>
      </w:r>
    </w:p>
    <w:p w14:paraId="0B7F174E" w14:textId="77777777" w:rsidR="0072677E" w:rsidRPr="00A81971" w:rsidRDefault="0072677E" w:rsidP="00385D99">
      <w:pPr>
        <w:spacing w:after="0"/>
        <w:rPr>
          <w:rFonts w:eastAsia="Calibri"/>
          <w:lang w:eastAsia="ja-JP"/>
        </w:rPr>
      </w:pPr>
    </w:p>
    <w:p w14:paraId="25ADC70E" w14:textId="77777777" w:rsidR="0077230C" w:rsidRPr="00A81971" w:rsidRDefault="0032495C" w:rsidP="009560B3">
      <w:pPr>
        <w:tabs>
          <w:tab w:val="left" w:pos="0"/>
          <w:tab w:val="left" w:pos="1276"/>
        </w:tabs>
        <w:spacing w:after="120"/>
        <w:ind w:left="1282" w:hanging="1282"/>
        <w:rPr>
          <w:rFonts w:eastAsia="Calibri"/>
          <w:lang w:eastAsia="ja-JP"/>
        </w:rPr>
      </w:pPr>
      <w:r w:rsidRPr="0006445E">
        <w:rPr>
          <w:rFonts w:eastAsia="Yu Mincho"/>
          <w:b/>
          <w:bCs/>
          <w:color w:val="000000"/>
          <w:lang w:val="en-CA"/>
        </w:rPr>
        <w:t xml:space="preserve">Table </w:t>
      </w:r>
      <w:r>
        <w:rPr>
          <w:rFonts w:eastAsia="Yu Mincho"/>
          <w:b/>
          <w:bCs/>
          <w:color w:val="000000"/>
          <w:lang w:val="en-CA"/>
        </w:rPr>
        <w:t>A6.1:</w:t>
      </w:r>
      <w:r w:rsidRPr="0006445E">
        <w:rPr>
          <w:rFonts w:eastAsia="Times New Roman"/>
          <w:color w:val="000000"/>
          <w:lang w:val="en-CA"/>
        </w:rPr>
        <w:tab/>
      </w:r>
      <w:r w:rsidRPr="00A81971">
        <w:rPr>
          <w:rFonts w:eastAsia="Calibri"/>
          <w:b/>
          <w:bCs/>
          <w:lang w:eastAsia="ja-JP"/>
        </w:rPr>
        <w:t>Technician-equipment coverage scenarios</w:t>
      </w:r>
    </w:p>
    <w:tbl>
      <w:tblPr>
        <w:tblStyle w:val="TableGrid16"/>
        <w:tblW w:w="5000" w:type="pct"/>
        <w:jc w:val="center"/>
        <w:tblLook w:val="04A0" w:firstRow="1" w:lastRow="0" w:firstColumn="1" w:lastColumn="0" w:noHBand="0" w:noVBand="1"/>
      </w:tblPr>
      <w:tblGrid>
        <w:gridCol w:w="1660"/>
        <w:gridCol w:w="2726"/>
        <w:gridCol w:w="4688"/>
      </w:tblGrid>
      <w:tr w:rsidR="00F90461" w14:paraId="4B8607C3" w14:textId="77777777" w:rsidTr="0062151D">
        <w:trPr>
          <w:jc w:val="center"/>
        </w:trPr>
        <w:tc>
          <w:tcPr>
            <w:tcW w:w="915" w:type="pct"/>
            <w:shd w:val="clear" w:color="auto" w:fill="D9E2F3" w:themeFill="accent1" w:themeFillTint="33"/>
            <w:vAlign w:val="center"/>
          </w:tcPr>
          <w:p w14:paraId="16BA3503" w14:textId="77777777" w:rsidR="0077230C" w:rsidRPr="00A81971" w:rsidRDefault="0077230C" w:rsidP="00385D99">
            <w:pPr>
              <w:spacing w:after="0"/>
              <w:rPr>
                <w:rFonts w:eastAsia="Calibri"/>
                <w:b/>
                <w:bCs/>
                <w:lang w:eastAsia="ja-JP"/>
              </w:rPr>
            </w:pPr>
          </w:p>
          <w:p w14:paraId="00906E2A" w14:textId="77777777" w:rsidR="0077230C" w:rsidRPr="00A81971" w:rsidRDefault="0032495C" w:rsidP="00385D99">
            <w:pPr>
              <w:spacing w:after="0"/>
              <w:rPr>
                <w:rFonts w:eastAsia="Times New Roman"/>
                <w:b/>
                <w:bCs/>
              </w:rPr>
            </w:pPr>
            <w:r w:rsidRPr="00A81971">
              <w:rPr>
                <w:rFonts w:eastAsia="Times New Roman"/>
                <w:b/>
                <w:bCs/>
              </w:rPr>
              <w:t>Scenario</w:t>
            </w:r>
          </w:p>
          <w:p w14:paraId="3FDEEBF8" w14:textId="77777777" w:rsidR="0077230C" w:rsidRPr="00A81971" w:rsidRDefault="0077230C" w:rsidP="00385D99">
            <w:pPr>
              <w:spacing w:after="0"/>
              <w:rPr>
                <w:rFonts w:eastAsia="Calibri"/>
                <w:b/>
                <w:bCs/>
                <w:lang w:eastAsia="ja-JP"/>
              </w:rPr>
            </w:pPr>
          </w:p>
        </w:tc>
        <w:tc>
          <w:tcPr>
            <w:tcW w:w="1502" w:type="pct"/>
            <w:shd w:val="clear" w:color="auto" w:fill="D9E2F3" w:themeFill="accent1" w:themeFillTint="33"/>
            <w:vAlign w:val="center"/>
          </w:tcPr>
          <w:p w14:paraId="660F5119" w14:textId="77777777" w:rsidR="0077230C" w:rsidRPr="00A81971" w:rsidRDefault="0032495C" w:rsidP="00385D99">
            <w:pPr>
              <w:spacing w:after="0"/>
              <w:rPr>
                <w:rFonts w:eastAsia="Calibri"/>
                <w:b/>
                <w:bCs/>
                <w:lang w:eastAsia="ja-JP"/>
              </w:rPr>
            </w:pPr>
            <w:r w:rsidRPr="00A81971">
              <w:rPr>
                <w:rFonts w:eastAsia="Times New Roman"/>
                <w:b/>
                <w:bCs/>
              </w:rPr>
              <w:t>Share of technicians equipped</w:t>
            </w:r>
          </w:p>
        </w:tc>
        <w:tc>
          <w:tcPr>
            <w:tcW w:w="2583" w:type="pct"/>
            <w:shd w:val="clear" w:color="auto" w:fill="D9E2F3" w:themeFill="accent1" w:themeFillTint="33"/>
            <w:vAlign w:val="center"/>
          </w:tcPr>
          <w:p w14:paraId="74A726BD" w14:textId="77777777" w:rsidR="0077230C" w:rsidRPr="00A81971" w:rsidRDefault="0032495C" w:rsidP="00385D99">
            <w:pPr>
              <w:spacing w:after="0"/>
              <w:rPr>
                <w:rFonts w:eastAsia="Calibri"/>
                <w:b/>
                <w:bCs/>
                <w:lang w:eastAsia="ja-JP"/>
              </w:rPr>
            </w:pPr>
            <w:r w:rsidRPr="00A81971">
              <w:rPr>
                <w:rFonts w:eastAsia="Times New Roman"/>
                <w:b/>
                <w:bCs/>
              </w:rPr>
              <w:t>Interpretation</w:t>
            </w:r>
          </w:p>
        </w:tc>
      </w:tr>
      <w:tr w:rsidR="00F90461" w14:paraId="55B9F940" w14:textId="77777777" w:rsidTr="00A04930">
        <w:trPr>
          <w:jc w:val="center"/>
        </w:trPr>
        <w:tc>
          <w:tcPr>
            <w:tcW w:w="915" w:type="pct"/>
          </w:tcPr>
          <w:p w14:paraId="6FE49B47" w14:textId="77777777" w:rsidR="0077230C" w:rsidRPr="00A81971" w:rsidRDefault="0032495C" w:rsidP="00385D99">
            <w:pPr>
              <w:spacing w:after="0"/>
              <w:rPr>
                <w:rFonts w:eastAsia="Calibri"/>
                <w:b/>
                <w:bCs/>
                <w:lang w:eastAsia="ja-JP"/>
              </w:rPr>
            </w:pPr>
            <w:r w:rsidRPr="00A81971">
              <w:rPr>
                <w:rFonts w:eastAsia="Times New Roman"/>
                <w:b/>
                <w:bCs/>
              </w:rPr>
              <w:t>Low case</w:t>
            </w:r>
          </w:p>
        </w:tc>
        <w:tc>
          <w:tcPr>
            <w:tcW w:w="1502" w:type="pct"/>
            <w:vAlign w:val="center"/>
          </w:tcPr>
          <w:p w14:paraId="3025F206" w14:textId="77777777" w:rsidR="0077230C" w:rsidRPr="00A81971" w:rsidRDefault="0032495C" w:rsidP="00A04930">
            <w:pPr>
              <w:spacing w:after="0"/>
              <w:rPr>
                <w:rFonts w:eastAsia="Calibri"/>
                <w:lang w:eastAsia="ja-JP"/>
              </w:rPr>
            </w:pPr>
            <w:r w:rsidRPr="00A81971">
              <w:rPr>
                <w:rFonts w:eastAsia="Times New Roman"/>
              </w:rPr>
              <w:t>20%</w:t>
            </w:r>
          </w:p>
        </w:tc>
        <w:tc>
          <w:tcPr>
            <w:tcW w:w="2583" w:type="pct"/>
            <w:vAlign w:val="center"/>
          </w:tcPr>
          <w:p w14:paraId="3AC29424" w14:textId="77777777" w:rsidR="0077230C" w:rsidRPr="00A81971" w:rsidRDefault="0032495C" w:rsidP="00A04930">
            <w:pPr>
              <w:spacing w:after="0"/>
              <w:rPr>
                <w:rFonts w:eastAsia="Calibri"/>
                <w:lang w:eastAsia="ja-JP"/>
              </w:rPr>
            </w:pPr>
            <w:r w:rsidRPr="00A81971">
              <w:rPr>
                <w:rFonts w:eastAsia="Times New Roman"/>
              </w:rPr>
              <w:t>Minimum level of coverage; recovery remains limited, but some activity becomes possible</w:t>
            </w:r>
          </w:p>
        </w:tc>
      </w:tr>
      <w:tr w:rsidR="00F90461" w14:paraId="7830B6F3" w14:textId="77777777" w:rsidTr="00A04930">
        <w:trPr>
          <w:jc w:val="center"/>
        </w:trPr>
        <w:tc>
          <w:tcPr>
            <w:tcW w:w="915" w:type="pct"/>
          </w:tcPr>
          <w:p w14:paraId="5A9BF3BA" w14:textId="77777777" w:rsidR="0077230C" w:rsidRPr="00A81971" w:rsidRDefault="0032495C" w:rsidP="00385D99">
            <w:pPr>
              <w:spacing w:after="0"/>
              <w:rPr>
                <w:rFonts w:eastAsia="Calibri"/>
                <w:b/>
                <w:bCs/>
                <w:lang w:eastAsia="ja-JP"/>
              </w:rPr>
            </w:pPr>
            <w:r w:rsidRPr="00A81971">
              <w:rPr>
                <w:rFonts w:eastAsia="Times New Roman"/>
                <w:b/>
                <w:bCs/>
              </w:rPr>
              <w:t>Central case</w:t>
            </w:r>
          </w:p>
        </w:tc>
        <w:tc>
          <w:tcPr>
            <w:tcW w:w="1502" w:type="pct"/>
            <w:vAlign w:val="center"/>
          </w:tcPr>
          <w:p w14:paraId="2BE1FA7E" w14:textId="77777777" w:rsidR="0077230C" w:rsidRPr="00A81971" w:rsidRDefault="0032495C" w:rsidP="00A04930">
            <w:pPr>
              <w:spacing w:after="0"/>
              <w:rPr>
                <w:rFonts w:eastAsia="Calibri"/>
                <w:lang w:eastAsia="ja-JP"/>
              </w:rPr>
            </w:pPr>
            <w:r w:rsidRPr="00A81971">
              <w:rPr>
                <w:rFonts w:eastAsia="Times New Roman"/>
              </w:rPr>
              <w:t>40%</w:t>
            </w:r>
          </w:p>
        </w:tc>
        <w:tc>
          <w:tcPr>
            <w:tcW w:w="2583" w:type="pct"/>
            <w:vAlign w:val="center"/>
          </w:tcPr>
          <w:p w14:paraId="17537809" w14:textId="77777777" w:rsidR="0077230C" w:rsidRPr="00A81971" w:rsidRDefault="0032495C" w:rsidP="00A04930">
            <w:pPr>
              <w:spacing w:after="0"/>
              <w:rPr>
                <w:rFonts w:eastAsia="Calibri"/>
                <w:lang w:eastAsia="ja-JP"/>
              </w:rPr>
            </w:pPr>
            <w:r w:rsidRPr="00A81971">
              <w:rPr>
                <w:rFonts w:eastAsia="Times New Roman"/>
              </w:rPr>
              <w:t>Approximate tipping point; enough technicians are equipped for recovery to become more systematic</w:t>
            </w:r>
          </w:p>
        </w:tc>
      </w:tr>
      <w:tr w:rsidR="00F90461" w14:paraId="6AA96022" w14:textId="77777777" w:rsidTr="00A04930">
        <w:trPr>
          <w:jc w:val="center"/>
        </w:trPr>
        <w:tc>
          <w:tcPr>
            <w:tcW w:w="915" w:type="pct"/>
          </w:tcPr>
          <w:p w14:paraId="7FE785A1" w14:textId="77777777" w:rsidR="0077230C" w:rsidRPr="00A81971" w:rsidRDefault="0032495C" w:rsidP="00385D99">
            <w:pPr>
              <w:spacing w:after="0"/>
              <w:rPr>
                <w:rFonts w:eastAsia="Calibri"/>
                <w:b/>
                <w:bCs/>
                <w:lang w:eastAsia="ja-JP"/>
              </w:rPr>
            </w:pPr>
            <w:r w:rsidRPr="00A81971">
              <w:rPr>
                <w:rFonts w:eastAsia="Times New Roman"/>
                <w:b/>
                <w:bCs/>
              </w:rPr>
              <w:t>High-end case</w:t>
            </w:r>
          </w:p>
        </w:tc>
        <w:tc>
          <w:tcPr>
            <w:tcW w:w="1502" w:type="pct"/>
            <w:vAlign w:val="center"/>
          </w:tcPr>
          <w:p w14:paraId="6FFE6D58" w14:textId="77777777" w:rsidR="0077230C" w:rsidRPr="00A81971" w:rsidRDefault="0032495C" w:rsidP="00A04930">
            <w:pPr>
              <w:spacing w:after="0"/>
              <w:rPr>
                <w:rFonts w:eastAsia="Calibri"/>
                <w:lang w:eastAsia="ja-JP"/>
              </w:rPr>
            </w:pPr>
            <w:r w:rsidRPr="00A81971">
              <w:rPr>
                <w:rFonts w:eastAsia="Times New Roman"/>
              </w:rPr>
              <w:t>60%</w:t>
            </w:r>
          </w:p>
        </w:tc>
        <w:tc>
          <w:tcPr>
            <w:tcW w:w="2583" w:type="pct"/>
            <w:vAlign w:val="center"/>
          </w:tcPr>
          <w:p w14:paraId="0EB5AC8D" w14:textId="77777777" w:rsidR="0077230C" w:rsidRPr="00A81971" w:rsidRDefault="0032495C" w:rsidP="00A04930">
            <w:pPr>
              <w:spacing w:after="0"/>
              <w:rPr>
                <w:rFonts w:eastAsia="Calibri"/>
                <w:lang w:eastAsia="ja-JP"/>
              </w:rPr>
            </w:pPr>
            <w:r w:rsidRPr="00A81971">
              <w:rPr>
                <w:rFonts w:eastAsia="Times New Roman"/>
              </w:rPr>
              <w:t>Stronger coverage; recovery is more likely to operate at scale</w:t>
            </w:r>
          </w:p>
        </w:tc>
      </w:tr>
    </w:tbl>
    <w:p w14:paraId="7ED9DA0E" w14:textId="77777777" w:rsidR="0077230C" w:rsidRPr="00A81971" w:rsidRDefault="0077230C" w:rsidP="00385D99">
      <w:pPr>
        <w:spacing w:after="0"/>
        <w:rPr>
          <w:rFonts w:eastAsia="Calibri"/>
          <w:lang w:eastAsia="ja-JP"/>
        </w:rPr>
      </w:pPr>
    </w:p>
    <w:p w14:paraId="068F45E6" w14:textId="77777777" w:rsidR="0077230C" w:rsidRPr="00A81971" w:rsidRDefault="0032495C" w:rsidP="00385D99">
      <w:pPr>
        <w:spacing w:after="0"/>
        <w:rPr>
          <w:rFonts w:eastAsia="Calibri"/>
          <w:lang w:eastAsia="ja-JP"/>
        </w:rPr>
      </w:pPr>
      <w:r w:rsidRPr="00A81971">
        <w:rPr>
          <w:rFonts w:eastAsia="Calibri"/>
          <w:lang w:eastAsia="ja-JP"/>
        </w:rPr>
        <w:t>The model also considered the bottom up for three illustrative country sizes: a VLV, an LVC-type country, and a non LVC. For each case, it estimates the number of technicians implied by the servicing demand, then calculates how many technicians would need to be equipped to reach a recovery “tipping point” for the 3 scenarios</w:t>
      </w:r>
    </w:p>
    <w:p w14:paraId="417930F1" w14:textId="77777777" w:rsidR="0077230C" w:rsidRPr="00A81971" w:rsidRDefault="0077230C" w:rsidP="0077230C">
      <w:pPr>
        <w:spacing w:after="0"/>
        <w:rPr>
          <w:rFonts w:eastAsia="Calibri"/>
          <w:lang w:eastAsia="ja-JP"/>
        </w:rPr>
      </w:pPr>
    </w:p>
    <w:p w14:paraId="615763B7" w14:textId="77777777" w:rsidR="0077230C" w:rsidRPr="00FE5C31" w:rsidRDefault="0032495C" w:rsidP="002E3156">
      <w:pPr>
        <w:pStyle w:val="Heading3"/>
      </w:pPr>
      <w:r w:rsidRPr="00FE5C31">
        <w:t>A6.1.2</w:t>
      </w:r>
      <w:r w:rsidRPr="00FE5C31">
        <w:tab/>
        <w:t xml:space="preserve">Module 1b - Recovery at EOL  </w:t>
      </w:r>
    </w:p>
    <w:p w14:paraId="70995F56" w14:textId="77777777" w:rsidR="0077230C" w:rsidRPr="00A81971" w:rsidRDefault="0032495C" w:rsidP="00385D99">
      <w:pPr>
        <w:spacing w:after="0"/>
        <w:rPr>
          <w:rFonts w:eastAsia="Calibri"/>
          <w:lang w:eastAsia="ja-JP"/>
        </w:rPr>
      </w:pPr>
      <w:r w:rsidRPr="00A81971">
        <w:rPr>
          <w:rFonts w:eastAsia="Calibri"/>
          <w:lang w:eastAsia="ja-JP"/>
        </w:rPr>
        <w:t xml:space="preserve">There are limited efforts being made to improve recovery at EOL. This scope considers the creation of collection centres </w:t>
      </w:r>
    </w:p>
    <w:p w14:paraId="46EB49BF" w14:textId="77777777" w:rsidR="0077230C" w:rsidRPr="00A81971" w:rsidRDefault="0077230C" w:rsidP="00385D99">
      <w:pPr>
        <w:spacing w:after="0"/>
        <w:rPr>
          <w:rFonts w:eastAsia="Calibri"/>
          <w:lang w:eastAsia="ja-JP"/>
        </w:rPr>
      </w:pPr>
    </w:p>
    <w:p w14:paraId="4B79069E" w14:textId="77777777" w:rsidR="0077230C" w:rsidRPr="00A81971" w:rsidRDefault="0032495C" w:rsidP="00385D99">
      <w:pPr>
        <w:spacing w:after="0"/>
        <w:rPr>
          <w:rFonts w:eastAsia="Calibri"/>
          <w:lang w:eastAsia="ja-JP"/>
        </w:rPr>
      </w:pPr>
      <w:r w:rsidRPr="00A81971">
        <w:rPr>
          <w:rFonts w:eastAsia="Calibri"/>
          <w:lang w:eastAsia="ja-JP"/>
        </w:rPr>
        <w:t xml:space="preserve">This module addresses recovery at end of life, where the main constraint is not technical capacity but system organization. Unlike servicing, where recovery is linked to a defined intervention, EOL recovery depends on the existence of accessible collection points, adequate transport conditions, and clear responsibilities across actors. The module assumes that collection centres are needed to improve access and reduce the distance between equipment retirement points and locations where recovered refrigerant can be received. </w:t>
      </w:r>
    </w:p>
    <w:p w14:paraId="7CFFBA41" w14:textId="77777777" w:rsidR="0077230C" w:rsidRPr="00A81971" w:rsidRDefault="0077230C" w:rsidP="0077230C">
      <w:pPr>
        <w:spacing w:after="0"/>
        <w:rPr>
          <w:rFonts w:eastAsia="Calibri"/>
          <w:lang w:eastAsia="ja-JP"/>
        </w:rPr>
      </w:pPr>
    </w:p>
    <w:p w14:paraId="79994E2A" w14:textId="77777777" w:rsidR="0077230C" w:rsidRPr="00A81971" w:rsidRDefault="0032495C" w:rsidP="0077230C">
      <w:pPr>
        <w:spacing w:after="0"/>
        <w:rPr>
          <w:rFonts w:eastAsia="Calibri"/>
          <w:lang w:eastAsia="ja-JP"/>
        </w:rPr>
      </w:pPr>
      <w:r w:rsidRPr="00A81971">
        <w:rPr>
          <w:rFonts w:eastAsia="Calibri"/>
          <w:lang w:eastAsia="ja-JP"/>
        </w:rPr>
        <w:t xml:space="preserve">Assumptions are that the activity includes: </w:t>
      </w:r>
    </w:p>
    <w:p w14:paraId="09589985"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Economic incentives to technicians: payments or rebates</w:t>
      </w:r>
    </w:p>
    <w:p w14:paraId="27064B53"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Transport conditions: classification of used gas as special and/or hazardous waste requires transportation with special licensing </w:t>
      </w:r>
    </w:p>
    <w:p w14:paraId="378477FC" w14:textId="77777777" w:rsidR="0077230C" w:rsidRPr="00A81971" w:rsidRDefault="0032495C" w:rsidP="007A20BD">
      <w:pPr>
        <w:widowControl w:val="0"/>
        <w:numPr>
          <w:ilvl w:val="0"/>
          <w:numId w:val="54"/>
        </w:numPr>
        <w:autoSpaceDE w:val="0"/>
        <w:autoSpaceDN w:val="0"/>
        <w:spacing w:after="0"/>
        <w:contextualSpacing/>
        <w:rPr>
          <w:rFonts w:eastAsia="Calibri"/>
          <w:lang w:eastAsia="ja-JP"/>
        </w:rPr>
      </w:pPr>
      <w:r w:rsidRPr="00A81971">
        <w:rPr>
          <w:rFonts w:eastAsia="Calibri"/>
          <w:lang w:eastAsia="ja-JP"/>
        </w:rPr>
        <w:t xml:space="preserve">Sufficient equipment: larger cylinder to collect, identification equipment, recovery units in all collection centres </w:t>
      </w:r>
    </w:p>
    <w:p w14:paraId="6FFBC74D" w14:textId="77777777" w:rsidR="0077230C" w:rsidRPr="00A81971" w:rsidRDefault="0077230C" w:rsidP="0077230C">
      <w:pPr>
        <w:spacing w:after="0"/>
        <w:rPr>
          <w:rFonts w:eastAsia="Calibri"/>
          <w:lang w:eastAsia="ja-JP"/>
        </w:rPr>
      </w:pPr>
    </w:p>
    <w:p w14:paraId="2919BD20" w14:textId="77777777" w:rsidR="0077230C" w:rsidRPr="00A81971" w:rsidRDefault="0032495C" w:rsidP="0077230C">
      <w:pPr>
        <w:spacing w:after="0"/>
        <w:rPr>
          <w:rFonts w:eastAsia="Calibri"/>
          <w:lang w:eastAsia="ja-JP"/>
        </w:rPr>
      </w:pPr>
      <w:r w:rsidRPr="00A81971">
        <w:rPr>
          <w:rFonts w:eastAsia="Calibri"/>
          <w:lang w:eastAsia="ja-JP"/>
        </w:rPr>
        <w:t>The focus on system/recovered refrigerant collection centres reflect the need to reduce logistical barriers and enable aggregation of volumes that would otherwise remain dispersed. This module is complementary to improving servicing recovery and captures additional refrigerant flows that are not recovered during maintenance activities, for example, gas that is confiscated at customs</w:t>
      </w:r>
    </w:p>
    <w:p w14:paraId="5B793AAE" w14:textId="77777777" w:rsidR="0077230C" w:rsidRPr="00A81971" w:rsidRDefault="0077230C" w:rsidP="0077230C">
      <w:pPr>
        <w:widowControl w:val="0"/>
        <w:autoSpaceDE w:val="0"/>
        <w:autoSpaceDN w:val="0"/>
        <w:spacing w:after="0"/>
        <w:rPr>
          <w:rFonts w:eastAsia="Times New Roman"/>
        </w:rPr>
      </w:pPr>
    </w:p>
    <w:p w14:paraId="54CD1F0B" w14:textId="77777777" w:rsidR="0077230C" w:rsidRPr="00A81971" w:rsidRDefault="0032495C" w:rsidP="0077230C">
      <w:pPr>
        <w:widowControl w:val="0"/>
        <w:autoSpaceDE w:val="0"/>
        <w:autoSpaceDN w:val="0"/>
        <w:spacing w:after="0"/>
        <w:rPr>
          <w:rFonts w:eastAsia="Times New Roman"/>
          <w:b/>
          <w:bCs/>
        </w:rPr>
      </w:pPr>
      <w:r w:rsidRPr="00A81971">
        <w:rPr>
          <w:rFonts w:eastAsia="Times New Roman"/>
          <w:b/>
          <w:bCs/>
        </w:rPr>
        <w:t xml:space="preserve">Allocation mechanism </w:t>
      </w:r>
    </w:p>
    <w:p w14:paraId="5C2CD02C" w14:textId="77777777" w:rsidR="0077230C" w:rsidRPr="00A81971" w:rsidRDefault="0077230C" w:rsidP="0077230C">
      <w:pPr>
        <w:widowControl w:val="0"/>
        <w:autoSpaceDE w:val="0"/>
        <w:autoSpaceDN w:val="0"/>
        <w:spacing w:after="0"/>
        <w:rPr>
          <w:rFonts w:eastAsia="Times New Roman"/>
        </w:rPr>
      </w:pPr>
    </w:p>
    <w:p w14:paraId="3E3B0665" w14:textId="77777777" w:rsidR="0077230C" w:rsidRDefault="0032495C" w:rsidP="0077230C">
      <w:pPr>
        <w:widowControl w:val="0"/>
        <w:autoSpaceDE w:val="0"/>
        <w:autoSpaceDN w:val="0"/>
        <w:spacing w:after="0"/>
        <w:rPr>
          <w:rFonts w:eastAsia="Times New Roman"/>
        </w:rPr>
      </w:pPr>
      <w:r w:rsidRPr="00A81971">
        <w:rPr>
          <w:rFonts w:eastAsia="Times New Roman"/>
        </w:rPr>
        <w:t>The modelled estimates produced an indicative range of costs for each country group rather than a single cost.</w:t>
      </w:r>
    </w:p>
    <w:p w14:paraId="7971256F" w14:textId="77777777" w:rsidR="00385D99" w:rsidRPr="00A81971" w:rsidRDefault="00385D99" w:rsidP="0077230C">
      <w:pPr>
        <w:widowControl w:val="0"/>
        <w:autoSpaceDE w:val="0"/>
        <w:autoSpaceDN w:val="0"/>
        <w:spacing w:after="0"/>
        <w:rPr>
          <w:rFonts w:eastAsia="Times New Roman"/>
        </w:rPr>
      </w:pPr>
    </w:p>
    <w:p w14:paraId="04B5FDE0"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 xml:space="preserve">A second step of the model was to compare these modeled costs with the fixed funding amounts currently available under the KIP Stage I servicing-sector cost guidelines. The comparison showed that </w:t>
      </w:r>
      <w:r w:rsidRPr="00A81971">
        <w:rPr>
          <w:rFonts w:eastAsia="Times New Roman"/>
        </w:rPr>
        <w:lastRenderedPageBreak/>
        <w:t>the modelled estimates were in a similar order of magnitude</w:t>
      </w:r>
      <w:r w:rsidR="00F447CB" w:rsidRPr="00A81971">
        <w:rPr>
          <w:rFonts w:eastAsia="Times New Roman"/>
        </w:rPr>
        <w:t>,</w:t>
      </w:r>
      <w:r w:rsidRPr="00A81971">
        <w:rPr>
          <w:rFonts w:eastAsia="Times New Roman"/>
        </w:rPr>
        <w:t xml:space="preserve"> that 50 per cent of the existing KIP Stage I servicing-sector fixed-cost allocation. On that basis, the RTF considered that a simplified allocation rule would be preferable to applying the detailed bottom-up model separately to each country.</w:t>
      </w:r>
    </w:p>
    <w:p w14:paraId="54D9393D" w14:textId="77777777" w:rsidR="0077230C" w:rsidRPr="00A81971" w:rsidRDefault="0077230C" w:rsidP="0077230C">
      <w:pPr>
        <w:widowControl w:val="0"/>
        <w:autoSpaceDE w:val="0"/>
        <w:autoSpaceDN w:val="0"/>
        <w:spacing w:after="0"/>
        <w:rPr>
          <w:rFonts w:eastAsia="Times New Roman"/>
        </w:rPr>
      </w:pPr>
    </w:p>
    <w:p w14:paraId="2C75C236" w14:textId="6523EBDB" w:rsidR="0077230C" w:rsidRPr="00A81971" w:rsidRDefault="0032495C" w:rsidP="0077230C">
      <w:pPr>
        <w:widowControl w:val="0"/>
        <w:autoSpaceDE w:val="0"/>
        <w:autoSpaceDN w:val="0"/>
        <w:spacing w:after="0"/>
        <w:rPr>
          <w:rFonts w:eastAsia="Times New Roman"/>
        </w:rPr>
      </w:pPr>
      <w:r w:rsidRPr="00A81971">
        <w:rPr>
          <w:rFonts w:eastAsia="Times New Roman"/>
        </w:rPr>
        <w:t>Table A</w:t>
      </w:r>
      <w:r w:rsidR="00B531B9" w:rsidRPr="00A81971">
        <w:rPr>
          <w:rFonts w:eastAsia="Times New Roman"/>
        </w:rPr>
        <w:t>6.2</w:t>
      </w:r>
      <w:r w:rsidRPr="00A81971">
        <w:rPr>
          <w:rFonts w:eastAsia="Times New Roman"/>
        </w:rPr>
        <w:t xml:space="preserve"> </w:t>
      </w:r>
      <w:r w:rsidR="00BF1A8E">
        <w:rPr>
          <w:rFonts w:eastAsia="Times New Roman"/>
        </w:rPr>
        <w:t xml:space="preserve">presents </w:t>
      </w:r>
      <w:r w:rsidRPr="00A81971">
        <w:rPr>
          <w:rFonts w:eastAsia="Times New Roman"/>
        </w:rPr>
        <w:t>the modelled costs</w:t>
      </w:r>
      <w:r w:rsidR="00BF1A8E">
        <w:rPr>
          <w:rFonts w:eastAsia="Times New Roman"/>
        </w:rPr>
        <w:t>,</w:t>
      </w:r>
      <w:r w:rsidRPr="00A81971">
        <w:rPr>
          <w:rFonts w:eastAsia="Times New Roman"/>
        </w:rPr>
        <w:t xml:space="preserve"> </w:t>
      </w:r>
      <w:r w:rsidR="00BF1A8E">
        <w:rPr>
          <w:rFonts w:eastAsia="Times New Roman"/>
        </w:rPr>
        <w:t>while T</w:t>
      </w:r>
      <w:r w:rsidRPr="00A81971">
        <w:rPr>
          <w:rFonts w:eastAsia="Times New Roman"/>
        </w:rPr>
        <w:t>able A</w:t>
      </w:r>
      <w:r w:rsidR="00BF1A8E">
        <w:rPr>
          <w:rFonts w:eastAsia="Times New Roman"/>
        </w:rPr>
        <w:t>6</w:t>
      </w:r>
      <w:r w:rsidRPr="00A81971">
        <w:rPr>
          <w:rFonts w:eastAsia="Times New Roman"/>
        </w:rPr>
        <w:t>.</w:t>
      </w:r>
      <w:r w:rsidR="00BF1A8E">
        <w:rPr>
          <w:rFonts w:eastAsia="Times New Roman"/>
        </w:rPr>
        <w:t>3</w:t>
      </w:r>
      <w:r w:rsidRPr="00A81971">
        <w:rPr>
          <w:rFonts w:eastAsia="Times New Roman"/>
        </w:rPr>
        <w:t xml:space="preserve"> below</w:t>
      </w:r>
      <w:r w:rsidR="00BF1A8E">
        <w:rPr>
          <w:rFonts w:eastAsia="Times New Roman"/>
        </w:rPr>
        <w:t xml:space="preserve"> presents </w:t>
      </w:r>
      <w:r w:rsidRPr="00A81971">
        <w:rPr>
          <w:rFonts w:eastAsia="Times New Roman"/>
        </w:rPr>
        <w:t xml:space="preserve">the </w:t>
      </w:r>
      <w:r w:rsidR="00BF1A8E">
        <w:rPr>
          <w:rFonts w:eastAsia="Times New Roman"/>
        </w:rPr>
        <w:t xml:space="preserve">allocated funding for </w:t>
      </w:r>
      <w:r w:rsidRPr="00A81971">
        <w:rPr>
          <w:rFonts w:eastAsia="Times New Roman"/>
        </w:rPr>
        <w:t>fixed cost</w:t>
      </w:r>
      <w:r w:rsidR="00BF1A8E">
        <w:rPr>
          <w:rFonts w:eastAsia="Times New Roman"/>
        </w:rPr>
        <w:t>s</w:t>
      </w:r>
      <w:r w:rsidRPr="00A81971">
        <w:rPr>
          <w:rFonts w:eastAsia="Times New Roman"/>
        </w:rPr>
        <w:t xml:space="preserve"> </w:t>
      </w:r>
      <w:r w:rsidR="00BF1A8E">
        <w:rPr>
          <w:rFonts w:eastAsia="Times New Roman"/>
        </w:rPr>
        <w:t xml:space="preserve">in </w:t>
      </w:r>
      <w:r w:rsidRPr="00A81971">
        <w:rPr>
          <w:rFonts w:eastAsia="Times New Roman"/>
        </w:rPr>
        <w:t xml:space="preserve">servicing sector </w:t>
      </w:r>
      <w:r w:rsidR="00BF1A8E">
        <w:rPr>
          <w:rFonts w:eastAsia="Times New Roman"/>
        </w:rPr>
        <w:t>under</w:t>
      </w:r>
      <w:r w:rsidRPr="00A81971">
        <w:rPr>
          <w:rFonts w:eastAsia="Times New Roman"/>
        </w:rPr>
        <w:t xml:space="preserve"> Stage I </w:t>
      </w:r>
      <w:r w:rsidR="00BF1A8E">
        <w:rPr>
          <w:rFonts w:eastAsia="Times New Roman"/>
        </w:rPr>
        <w:t xml:space="preserve">of the </w:t>
      </w:r>
      <w:r w:rsidRPr="00A81971">
        <w:rPr>
          <w:rFonts w:eastAsia="Times New Roman"/>
        </w:rPr>
        <w:t xml:space="preserve">KIPs. </w:t>
      </w:r>
    </w:p>
    <w:p w14:paraId="3CA85E6B" w14:textId="77777777" w:rsidR="0077230C" w:rsidRPr="00A81971" w:rsidRDefault="0077230C" w:rsidP="0077230C">
      <w:pPr>
        <w:widowControl w:val="0"/>
        <w:autoSpaceDE w:val="0"/>
        <w:autoSpaceDN w:val="0"/>
        <w:spacing w:after="0"/>
        <w:rPr>
          <w:rFonts w:eastAsia="Times New Roman"/>
        </w:rPr>
      </w:pPr>
    </w:p>
    <w:p w14:paraId="223B0FAE" w14:textId="77777777" w:rsidR="0077230C" w:rsidRPr="00A81971" w:rsidRDefault="0032495C" w:rsidP="0062151D">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A6.2:</w:t>
      </w:r>
      <w:r w:rsidRPr="0006445E">
        <w:rPr>
          <w:rFonts w:eastAsia="Times New Roman"/>
          <w:color w:val="000000"/>
          <w:lang w:val="en-CA"/>
        </w:rPr>
        <w:tab/>
      </w:r>
      <w:r w:rsidRPr="00A81971">
        <w:rPr>
          <w:rFonts w:eastAsia="Times New Roman"/>
          <w:b/>
          <w:bCs/>
        </w:rPr>
        <w:t>Modelled costs – bottom-up calculation</w:t>
      </w:r>
    </w:p>
    <w:tbl>
      <w:tblPr>
        <w:tblStyle w:val="TableGrid16"/>
        <w:tblW w:w="5000" w:type="pct"/>
        <w:jc w:val="center"/>
        <w:tblLook w:val="04A0" w:firstRow="1" w:lastRow="0" w:firstColumn="1" w:lastColumn="0" w:noHBand="0" w:noVBand="1"/>
      </w:tblPr>
      <w:tblGrid>
        <w:gridCol w:w="2384"/>
        <w:gridCol w:w="2229"/>
        <w:gridCol w:w="2229"/>
        <w:gridCol w:w="2232"/>
      </w:tblGrid>
      <w:tr w:rsidR="00F90461" w14:paraId="5742FBCB" w14:textId="77777777" w:rsidTr="0062151D">
        <w:trPr>
          <w:jc w:val="center"/>
        </w:trPr>
        <w:tc>
          <w:tcPr>
            <w:tcW w:w="1314" w:type="pct"/>
            <w:shd w:val="clear" w:color="auto" w:fill="DEEAF6" w:themeFill="accent5" w:themeFillTint="33"/>
          </w:tcPr>
          <w:p w14:paraId="4ED553C3" w14:textId="77777777" w:rsidR="0077230C" w:rsidRPr="00A81971" w:rsidRDefault="0077230C" w:rsidP="0077230C">
            <w:pPr>
              <w:widowControl w:val="0"/>
              <w:autoSpaceDE w:val="0"/>
              <w:autoSpaceDN w:val="0"/>
              <w:spacing w:after="0"/>
              <w:rPr>
                <w:rFonts w:eastAsia="Times New Roman"/>
              </w:rPr>
            </w:pPr>
          </w:p>
        </w:tc>
        <w:tc>
          <w:tcPr>
            <w:tcW w:w="1228" w:type="pct"/>
            <w:shd w:val="clear" w:color="auto" w:fill="DEEAF6" w:themeFill="accent5" w:themeFillTint="33"/>
          </w:tcPr>
          <w:p w14:paraId="68FB399A"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Case 1 VLVC</w:t>
            </w:r>
          </w:p>
        </w:tc>
        <w:tc>
          <w:tcPr>
            <w:tcW w:w="1228" w:type="pct"/>
            <w:shd w:val="clear" w:color="auto" w:fill="DEEAF6" w:themeFill="accent5" w:themeFillTint="33"/>
          </w:tcPr>
          <w:p w14:paraId="08DDBA04"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Case 2 LVC</w:t>
            </w:r>
          </w:p>
        </w:tc>
        <w:tc>
          <w:tcPr>
            <w:tcW w:w="1229" w:type="pct"/>
            <w:shd w:val="clear" w:color="auto" w:fill="DEEAF6" w:themeFill="accent5" w:themeFillTint="33"/>
          </w:tcPr>
          <w:p w14:paraId="3D35E29A"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 xml:space="preserve">Case 3 non LVC  </w:t>
            </w:r>
          </w:p>
        </w:tc>
      </w:tr>
      <w:tr w:rsidR="00F90461" w14:paraId="2629E030" w14:textId="77777777" w:rsidTr="0062151D">
        <w:trPr>
          <w:jc w:val="center"/>
        </w:trPr>
        <w:tc>
          <w:tcPr>
            <w:tcW w:w="5000" w:type="pct"/>
            <w:gridSpan w:val="4"/>
            <w:shd w:val="clear" w:color="auto" w:fill="DEEAF6" w:themeFill="accent5" w:themeFillTint="33"/>
          </w:tcPr>
          <w:p w14:paraId="3FC29062" w14:textId="77777777" w:rsidR="0077230C" w:rsidRPr="00A81971" w:rsidRDefault="0032495C" w:rsidP="0077230C">
            <w:pPr>
              <w:widowControl w:val="0"/>
              <w:autoSpaceDE w:val="0"/>
              <w:autoSpaceDN w:val="0"/>
              <w:spacing w:after="0"/>
              <w:jc w:val="center"/>
              <w:rPr>
                <w:rFonts w:eastAsia="Times New Roman"/>
              </w:rPr>
            </w:pPr>
            <w:r w:rsidRPr="00A81971">
              <w:rPr>
                <w:rFonts w:eastAsia="Times New Roman"/>
              </w:rPr>
              <w:t xml:space="preserve">Module 1a – cases – increased recovery at servicing </w:t>
            </w:r>
          </w:p>
        </w:tc>
      </w:tr>
      <w:tr w:rsidR="00F90461" w14:paraId="5D8AC445" w14:textId="77777777" w:rsidTr="00A04930">
        <w:trPr>
          <w:jc w:val="center"/>
        </w:trPr>
        <w:tc>
          <w:tcPr>
            <w:tcW w:w="1314" w:type="pct"/>
            <w:shd w:val="clear" w:color="auto" w:fill="E2EFD9" w:themeFill="accent6" w:themeFillTint="33"/>
            <w:vAlign w:val="center"/>
          </w:tcPr>
          <w:p w14:paraId="2F8A4A16"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Supplying toolkits to 20% technicians (low end)</w:t>
            </w:r>
          </w:p>
        </w:tc>
        <w:tc>
          <w:tcPr>
            <w:tcW w:w="1228" w:type="pct"/>
            <w:vAlign w:val="center"/>
          </w:tcPr>
          <w:p w14:paraId="6748EDC1"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5,750 </w:t>
            </w:r>
          </w:p>
        </w:tc>
        <w:tc>
          <w:tcPr>
            <w:tcW w:w="1228" w:type="pct"/>
            <w:vAlign w:val="center"/>
          </w:tcPr>
          <w:p w14:paraId="73D5F50E"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24,545 </w:t>
            </w:r>
          </w:p>
        </w:tc>
        <w:tc>
          <w:tcPr>
            <w:tcW w:w="1229" w:type="pct"/>
            <w:vAlign w:val="center"/>
          </w:tcPr>
          <w:p w14:paraId="72270229"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   </w:t>
            </w:r>
          </w:p>
        </w:tc>
      </w:tr>
      <w:tr w:rsidR="00F90461" w14:paraId="36602203" w14:textId="77777777" w:rsidTr="00A04930">
        <w:trPr>
          <w:jc w:val="center"/>
        </w:trPr>
        <w:tc>
          <w:tcPr>
            <w:tcW w:w="1314" w:type="pct"/>
            <w:shd w:val="clear" w:color="auto" w:fill="E2EFD9" w:themeFill="accent6" w:themeFillTint="33"/>
            <w:vAlign w:val="center"/>
          </w:tcPr>
          <w:p w14:paraId="2F988221"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Supplying toolkits to 40% technicians (central case)</w:t>
            </w:r>
          </w:p>
        </w:tc>
        <w:tc>
          <w:tcPr>
            <w:tcW w:w="1228" w:type="pct"/>
            <w:vAlign w:val="center"/>
          </w:tcPr>
          <w:p w14:paraId="08C4F785"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10,000 </w:t>
            </w:r>
          </w:p>
        </w:tc>
        <w:tc>
          <w:tcPr>
            <w:tcW w:w="1228" w:type="pct"/>
            <w:vAlign w:val="center"/>
          </w:tcPr>
          <w:p w14:paraId="07586064"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49,091 </w:t>
            </w:r>
          </w:p>
        </w:tc>
        <w:tc>
          <w:tcPr>
            <w:tcW w:w="1229" w:type="pct"/>
            <w:vAlign w:val="center"/>
          </w:tcPr>
          <w:p w14:paraId="6476A335"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98,455 </w:t>
            </w:r>
          </w:p>
        </w:tc>
      </w:tr>
      <w:tr w:rsidR="00F90461" w14:paraId="34489B1C" w14:textId="77777777" w:rsidTr="00A04930">
        <w:trPr>
          <w:jc w:val="center"/>
        </w:trPr>
        <w:tc>
          <w:tcPr>
            <w:tcW w:w="1314" w:type="pct"/>
            <w:shd w:val="clear" w:color="auto" w:fill="E2EFD9" w:themeFill="accent6" w:themeFillTint="33"/>
            <w:vAlign w:val="center"/>
          </w:tcPr>
          <w:p w14:paraId="2105AD4D"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Supplying toolkits to 60% technicians (high end)</w:t>
            </w:r>
          </w:p>
        </w:tc>
        <w:tc>
          <w:tcPr>
            <w:tcW w:w="1228" w:type="pct"/>
            <w:vAlign w:val="center"/>
          </w:tcPr>
          <w:p w14:paraId="71D61F23"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15,750 </w:t>
            </w:r>
          </w:p>
        </w:tc>
        <w:tc>
          <w:tcPr>
            <w:tcW w:w="1228" w:type="pct"/>
            <w:vAlign w:val="center"/>
          </w:tcPr>
          <w:p w14:paraId="3E757C73"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73,636 </w:t>
            </w:r>
          </w:p>
        </w:tc>
        <w:tc>
          <w:tcPr>
            <w:tcW w:w="1229" w:type="pct"/>
            <w:vAlign w:val="center"/>
          </w:tcPr>
          <w:p w14:paraId="3C340FA2"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147,682 </w:t>
            </w:r>
          </w:p>
        </w:tc>
      </w:tr>
      <w:tr w:rsidR="00F90461" w14:paraId="43242306" w14:textId="77777777" w:rsidTr="0062151D">
        <w:trPr>
          <w:jc w:val="center"/>
        </w:trPr>
        <w:tc>
          <w:tcPr>
            <w:tcW w:w="5000" w:type="pct"/>
            <w:gridSpan w:val="4"/>
            <w:shd w:val="clear" w:color="auto" w:fill="DEEAF6" w:themeFill="accent5" w:themeFillTint="33"/>
          </w:tcPr>
          <w:p w14:paraId="6073522B" w14:textId="77777777" w:rsidR="0077230C" w:rsidRPr="00A81971" w:rsidRDefault="0032495C" w:rsidP="0077230C">
            <w:pPr>
              <w:widowControl w:val="0"/>
              <w:autoSpaceDE w:val="0"/>
              <w:autoSpaceDN w:val="0"/>
              <w:spacing w:after="0"/>
              <w:jc w:val="center"/>
              <w:rPr>
                <w:rFonts w:eastAsia="Times New Roman"/>
              </w:rPr>
            </w:pPr>
            <w:r w:rsidRPr="00A81971">
              <w:rPr>
                <w:rFonts w:eastAsia="Times New Roman"/>
              </w:rPr>
              <w:t>Module 1a – high end</w:t>
            </w:r>
          </w:p>
        </w:tc>
      </w:tr>
      <w:tr w:rsidR="00F90461" w14:paraId="420AA92F" w14:textId="77777777" w:rsidTr="00A04930">
        <w:trPr>
          <w:jc w:val="center"/>
        </w:trPr>
        <w:tc>
          <w:tcPr>
            <w:tcW w:w="1314" w:type="pct"/>
            <w:shd w:val="clear" w:color="auto" w:fill="E2EFD9" w:themeFill="accent6" w:themeFillTint="33"/>
            <w:vAlign w:val="center"/>
          </w:tcPr>
          <w:p w14:paraId="5C606A21"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High end estimate for toolkit supply</w:t>
            </w:r>
          </w:p>
        </w:tc>
        <w:tc>
          <w:tcPr>
            <w:tcW w:w="1228" w:type="pct"/>
            <w:vAlign w:val="center"/>
          </w:tcPr>
          <w:p w14:paraId="79D462BB"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15,750 </w:t>
            </w:r>
          </w:p>
        </w:tc>
        <w:tc>
          <w:tcPr>
            <w:tcW w:w="1228" w:type="pct"/>
            <w:vAlign w:val="center"/>
          </w:tcPr>
          <w:p w14:paraId="63DC8B9B"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73,636 </w:t>
            </w:r>
          </w:p>
        </w:tc>
        <w:tc>
          <w:tcPr>
            <w:tcW w:w="1229" w:type="pct"/>
            <w:vAlign w:val="center"/>
          </w:tcPr>
          <w:p w14:paraId="1EE493E6"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147,682 </w:t>
            </w:r>
          </w:p>
        </w:tc>
      </w:tr>
      <w:tr w:rsidR="00F90461" w14:paraId="7141C880" w14:textId="77777777" w:rsidTr="00A04930">
        <w:trPr>
          <w:jc w:val="center"/>
        </w:trPr>
        <w:tc>
          <w:tcPr>
            <w:tcW w:w="1314" w:type="pct"/>
            <w:shd w:val="clear" w:color="auto" w:fill="E2EFD9" w:themeFill="accent6" w:themeFillTint="33"/>
            <w:vAlign w:val="center"/>
          </w:tcPr>
          <w:p w14:paraId="2E09469E"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Marketplace costs</w:t>
            </w:r>
          </w:p>
        </w:tc>
        <w:tc>
          <w:tcPr>
            <w:tcW w:w="1228" w:type="pct"/>
            <w:vAlign w:val="center"/>
          </w:tcPr>
          <w:p w14:paraId="34E6ED5F"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20,000 </w:t>
            </w:r>
          </w:p>
        </w:tc>
        <w:tc>
          <w:tcPr>
            <w:tcW w:w="1228" w:type="pct"/>
            <w:vAlign w:val="center"/>
          </w:tcPr>
          <w:p w14:paraId="1A2D246A"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30,455 </w:t>
            </w:r>
          </w:p>
        </w:tc>
        <w:tc>
          <w:tcPr>
            <w:tcW w:w="1229" w:type="pct"/>
            <w:vAlign w:val="center"/>
          </w:tcPr>
          <w:p w14:paraId="50DAB43F"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51,250 </w:t>
            </w:r>
          </w:p>
        </w:tc>
      </w:tr>
      <w:tr w:rsidR="00F90461" w14:paraId="3FEF972A" w14:textId="77777777" w:rsidTr="00A04930">
        <w:trPr>
          <w:jc w:val="center"/>
        </w:trPr>
        <w:tc>
          <w:tcPr>
            <w:tcW w:w="1314" w:type="pct"/>
            <w:shd w:val="clear" w:color="auto" w:fill="E2EFD9" w:themeFill="accent6" w:themeFillTint="33"/>
            <w:vAlign w:val="center"/>
          </w:tcPr>
          <w:p w14:paraId="03B5BAC2"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 xml:space="preserve">Creation of Collection Centers </w:t>
            </w:r>
          </w:p>
        </w:tc>
        <w:tc>
          <w:tcPr>
            <w:tcW w:w="1228" w:type="pct"/>
            <w:vAlign w:val="center"/>
          </w:tcPr>
          <w:p w14:paraId="6DCA5973"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8.000 </w:t>
            </w:r>
          </w:p>
        </w:tc>
        <w:tc>
          <w:tcPr>
            <w:tcW w:w="1228" w:type="pct"/>
            <w:vAlign w:val="center"/>
          </w:tcPr>
          <w:p w14:paraId="06D67ABB"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16,000 </w:t>
            </w:r>
          </w:p>
        </w:tc>
        <w:tc>
          <w:tcPr>
            <w:tcW w:w="1229" w:type="pct"/>
            <w:vAlign w:val="center"/>
          </w:tcPr>
          <w:p w14:paraId="6D2F056A"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 xml:space="preserve"> 32,000 </w:t>
            </w:r>
          </w:p>
        </w:tc>
      </w:tr>
      <w:tr w:rsidR="00F90461" w14:paraId="3F0317E2" w14:textId="77777777" w:rsidTr="00A04930">
        <w:trPr>
          <w:jc w:val="center"/>
        </w:trPr>
        <w:tc>
          <w:tcPr>
            <w:tcW w:w="1314" w:type="pct"/>
            <w:shd w:val="clear" w:color="auto" w:fill="B4C6E7" w:themeFill="accent1" w:themeFillTint="66"/>
            <w:vAlign w:val="center"/>
          </w:tcPr>
          <w:p w14:paraId="6586F036" w14:textId="77777777" w:rsidR="0077230C" w:rsidRPr="00A81971" w:rsidRDefault="0032495C" w:rsidP="00A04930">
            <w:pPr>
              <w:widowControl w:val="0"/>
              <w:autoSpaceDE w:val="0"/>
              <w:autoSpaceDN w:val="0"/>
              <w:spacing w:after="0"/>
              <w:rPr>
                <w:rFonts w:eastAsia="Times New Roman"/>
              </w:rPr>
            </w:pPr>
            <w:r w:rsidRPr="00A81971">
              <w:rPr>
                <w:rFonts w:eastAsia="Times New Roman"/>
              </w:rPr>
              <w:t xml:space="preserve">subtotal 1a </w:t>
            </w:r>
          </w:p>
        </w:tc>
        <w:tc>
          <w:tcPr>
            <w:tcW w:w="1228" w:type="pct"/>
            <w:shd w:val="clear" w:color="auto" w:fill="B4C6E7" w:themeFill="accent1" w:themeFillTint="66"/>
          </w:tcPr>
          <w:p w14:paraId="04BA2C2D" w14:textId="77777777" w:rsidR="0077230C" w:rsidRPr="00A81971" w:rsidRDefault="0032495C" w:rsidP="003824AF">
            <w:pPr>
              <w:widowControl w:val="0"/>
              <w:autoSpaceDE w:val="0"/>
              <w:autoSpaceDN w:val="0"/>
              <w:spacing w:after="0"/>
              <w:jc w:val="right"/>
              <w:rPr>
                <w:rFonts w:eastAsia="Times New Roman"/>
              </w:rPr>
            </w:pPr>
            <w:r w:rsidRPr="00A81971">
              <w:rPr>
                <w:rFonts w:eastAsia="Times New Roman"/>
              </w:rPr>
              <w:t xml:space="preserve"> 43,750 </w:t>
            </w:r>
          </w:p>
        </w:tc>
        <w:tc>
          <w:tcPr>
            <w:tcW w:w="1228" w:type="pct"/>
            <w:shd w:val="clear" w:color="auto" w:fill="B4C6E7" w:themeFill="accent1" w:themeFillTint="66"/>
          </w:tcPr>
          <w:p w14:paraId="753D64AE" w14:textId="77777777" w:rsidR="0077230C" w:rsidRPr="00A81971" w:rsidRDefault="0032495C" w:rsidP="003824AF">
            <w:pPr>
              <w:widowControl w:val="0"/>
              <w:autoSpaceDE w:val="0"/>
              <w:autoSpaceDN w:val="0"/>
              <w:spacing w:after="0"/>
              <w:jc w:val="right"/>
              <w:rPr>
                <w:rFonts w:eastAsia="Times New Roman"/>
              </w:rPr>
            </w:pPr>
            <w:r w:rsidRPr="00A81971">
              <w:rPr>
                <w:rFonts w:eastAsia="Times New Roman"/>
              </w:rPr>
              <w:t xml:space="preserve"> 120,091 </w:t>
            </w:r>
          </w:p>
        </w:tc>
        <w:tc>
          <w:tcPr>
            <w:tcW w:w="1229" w:type="pct"/>
            <w:shd w:val="clear" w:color="auto" w:fill="B4C6E7" w:themeFill="accent1" w:themeFillTint="66"/>
          </w:tcPr>
          <w:p w14:paraId="4F4C591A" w14:textId="77777777" w:rsidR="0077230C" w:rsidRPr="00A81971" w:rsidRDefault="0032495C" w:rsidP="003824AF">
            <w:pPr>
              <w:widowControl w:val="0"/>
              <w:autoSpaceDE w:val="0"/>
              <w:autoSpaceDN w:val="0"/>
              <w:spacing w:after="0"/>
              <w:jc w:val="right"/>
              <w:rPr>
                <w:rFonts w:eastAsia="Times New Roman"/>
              </w:rPr>
            </w:pPr>
            <w:r w:rsidRPr="00A81971">
              <w:rPr>
                <w:rFonts w:eastAsia="Times New Roman"/>
              </w:rPr>
              <w:t xml:space="preserve"> 230,932 </w:t>
            </w:r>
          </w:p>
        </w:tc>
      </w:tr>
      <w:tr w:rsidR="00F90461" w14:paraId="51E439F1" w14:textId="77777777" w:rsidTr="0062151D">
        <w:trPr>
          <w:jc w:val="center"/>
        </w:trPr>
        <w:tc>
          <w:tcPr>
            <w:tcW w:w="5000" w:type="pct"/>
            <w:gridSpan w:val="4"/>
            <w:shd w:val="clear" w:color="auto" w:fill="DEEAF6" w:themeFill="accent5" w:themeFillTint="33"/>
          </w:tcPr>
          <w:p w14:paraId="74B7FFFB" w14:textId="77777777" w:rsidR="0077230C" w:rsidRPr="00A81971" w:rsidRDefault="0032495C" w:rsidP="0077230C">
            <w:pPr>
              <w:widowControl w:val="0"/>
              <w:autoSpaceDE w:val="0"/>
              <w:autoSpaceDN w:val="0"/>
              <w:spacing w:after="0"/>
              <w:jc w:val="center"/>
              <w:rPr>
                <w:rFonts w:eastAsia="Times New Roman"/>
              </w:rPr>
            </w:pPr>
            <w:r w:rsidRPr="00A81971">
              <w:rPr>
                <w:rFonts w:eastAsia="Times New Roman"/>
              </w:rPr>
              <w:t>Module 1b – cases – increased recovery at EOL</w:t>
            </w:r>
          </w:p>
        </w:tc>
      </w:tr>
      <w:tr w:rsidR="00F90461" w14:paraId="6784A212" w14:textId="77777777" w:rsidTr="00A04930">
        <w:trPr>
          <w:jc w:val="center"/>
        </w:trPr>
        <w:tc>
          <w:tcPr>
            <w:tcW w:w="1314" w:type="pct"/>
            <w:shd w:val="clear" w:color="auto" w:fill="E2EFD9" w:themeFill="accent6" w:themeFillTint="33"/>
            <w:vAlign w:val="center"/>
          </w:tcPr>
          <w:p w14:paraId="3B8FB2D6" w14:textId="77777777" w:rsidR="0077230C" w:rsidRPr="00A81971" w:rsidRDefault="0032495C" w:rsidP="00A04930">
            <w:pPr>
              <w:widowControl w:val="0"/>
              <w:autoSpaceDE w:val="0"/>
              <w:autoSpaceDN w:val="0"/>
              <w:spacing w:after="0"/>
              <w:rPr>
                <w:rFonts w:eastAsia="Times New Roman"/>
              </w:rPr>
            </w:pPr>
            <w:r w:rsidRPr="00A81971">
              <w:rPr>
                <w:rFonts w:eastAsia="Times New Roman"/>
                <w:color w:val="000000"/>
              </w:rPr>
              <w:t>Stakeholders’ capacity building workshop</w:t>
            </w:r>
          </w:p>
        </w:tc>
        <w:tc>
          <w:tcPr>
            <w:tcW w:w="1228" w:type="pct"/>
            <w:vAlign w:val="center"/>
          </w:tcPr>
          <w:p w14:paraId="12CC7EE2"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c>
          <w:tcPr>
            <w:tcW w:w="1228" w:type="pct"/>
            <w:vAlign w:val="center"/>
          </w:tcPr>
          <w:p w14:paraId="4A2C4DFC"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c>
          <w:tcPr>
            <w:tcW w:w="1229" w:type="pct"/>
            <w:vAlign w:val="center"/>
          </w:tcPr>
          <w:p w14:paraId="20B8AAFE"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r>
      <w:tr w:rsidR="00F90461" w14:paraId="14C39265" w14:textId="77777777" w:rsidTr="00A04930">
        <w:trPr>
          <w:jc w:val="center"/>
        </w:trPr>
        <w:tc>
          <w:tcPr>
            <w:tcW w:w="1314" w:type="pct"/>
            <w:shd w:val="clear" w:color="auto" w:fill="E2EFD9" w:themeFill="accent6" w:themeFillTint="33"/>
            <w:vAlign w:val="center"/>
          </w:tcPr>
          <w:p w14:paraId="664A7789" w14:textId="77777777" w:rsidR="0077230C" w:rsidRPr="00A81971" w:rsidRDefault="0032495C" w:rsidP="00A04930">
            <w:pPr>
              <w:widowControl w:val="0"/>
              <w:autoSpaceDE w:val="0"/>
              <w:autoSpaceDN w:val="0"/>
              <w:spacing w:after="0"/>
              <w:rPr>
                <w:rFonts w:eastAsia="Times New Roman"/>
              </w:rPr>
            </w:pPr>
            <w:r w:rsidRPr="00A81971">
              <w:rPr>
                <w:rFonts w:eastAsia="Times New Roman"/>
                <w:color w:val="000000"/>
              </w:rPr>
              <w:t>Market price assessment</w:t>
            </w:r>
          </w:p>
        </w:tc>
        <w:tc>
          <w:tcPr>
            <w:tcW w:w="1228" w:type="pct"/>
            <w:vAlign w:val="center"/>
          </w:tcPr>
          <w:p w14:paraId="51D8AB4B"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c>
          <w:tcPr>
            <w:tcW w:w="1228" w:type="pct"/>
            <w:vAlign w:val="center"/>
          </w:tcPr>
          <w:p w14:paraId="00304500"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c>
          <w:tcPr>
            <w:tcW w:w="1229" w:type="pct"/>
            <w:vAlign w:val="center"/>
          </w:tcPr>
          <w:p w14:paraId="56D3C1ED"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15,000</w:t>
            </w:r>
          </w:p>
        </w:tc>
      </w:tr>
      <w:tr w:rsidR="00F90461" w14:paraId="216659C2" w14:textId="77777777" w:rsidTr="00A04930">
        <w:trPr>
          <w:jc w:val="center"/>
        </w:trPr>
        <w:tc>
          <w:tcPr>
            <w:tcW w:w="1314" w:type="pct"/>
            <w:shd w:val="clear" w:color="auto" w:fill="B4C6E7" w:themeFill="accent1" w:themeFillTint="66"/>
            <w:vAlign w:val="center"/>
          </w:tcPr>
          <w:p w14:paraId="2DD3E0C5" w14:textId="77777777" w:rsidR="0077230C" w:rsidRPr="00A81971" w:rsidRDefault="0032495C" w:rsidP="00A04930">
            <w:pPr>
              <w:widowControl w:val="0"/>
              <w:autoSpaceDE w:val="0"/>
              <w:autoSpaceDN w:val="0"/>
              <w:spacing w:after="0"/>
              <w:rPr>
                <w:rFonts w:eastAsia="Times New Roman"/>
              </w:rPr>
            </w:pPr>
            <w:r w:rsidRPr="00A81971">
              <w:rPr>
                <w:rFonts w:eastAsia="Times New Roman"/>
                <w:color w:val="000000"/>
              </w:rPr>
              <w:t>subtotal 1b</w:t>
            </w:r>
          </w:p>
        </w:tc>
        <w:tc>
          <w:tcPr>
            <w:tcW w:w="1228" w:type="pct"/>
            <w:shd w:val="clear" w:color="auto" w:fill="B4C6E7" w:themeFill="accent1" w:themeFillTint="66"/>
            <w:vAlign w:val="center"/>
          </w:tcPr>
          <w:p w14:paraId="3462A242"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10,000</w:t>
            </w:r>
          </w:p>
        </w:tc>
        <w:tc>
          <w:tcPr>
            <w:tcW w:w="1228" w:type="pct"/>
            <w:shd w:val="clear" w:color="auto" w:fill="B4C6E7" w:themeFill="accent1" w:themeFillTint="66"/>
            <w:vAlign w:val="center"/>
          </w:tcPr>
          <w:p w14:paraId="46F79CC3"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20,000</w:t>
            </w:r>
          </w:p>
        </w:tc>
        <w:tc>
          <w:tcPr>
            <w:tcW w:w="1229" w:type="pct"/>
            <w:shd w:val="clear" w:color="auto" w:fill="B4C6E7" w:themeFill="accent1" w:themeFillTint="66"/>
            <w:vAlign w:val="center"/>
          </w:tcPr>
          <w:p w14:paraId="2445B610"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25,000</w:t>
            </w:r>
          </w:p>
        </w:tc>
      </w:tr>
      <w:tr w:rsidR="00F90461" w14:paraId="3DEA1F5E" w14:textId="77777777" w:rsidTr="00A04930">
        <w:trPr>
          <w:jc w:val="center"/>
        </w:trPr>
        <w:tc>
          <w:tcPr>
            <w:tcW w:w="1314" w:type="pct"/>
            <w:shd w:val="clear" w:color="auto" w:fill="B4C6E7" w:themeFill="accent1" w:themeFillTint="66"/>
            <w:vAlign w:val="center"/>
          </w:tcPr>
          <w:p w14:paraId="6E8E2810" w14:textId="77777777" w:rsidR="0077230C" w:rsidRPr="00A81971" w:rsidRDefault="0032495C" w:rsidP="00A04930">
            <w:pPr>
              <w:widowControl w:val="0"/>
              <w:autoSpaceDE w:val="0"/>
              <w:autoSpaceDN w:val="0"/>
              <w:spacing w:after="0"/>
              <w:rPr>
                <w:rFonts w:eastAsia="Times New Roman"/>
              </w:rPr>
            </w:pPr>
            <w:r w:rsidRPr="00A81971">
              <w:rPr>
                <w:rFonts w:eastAsia="Times New Roman"/>
                <w:b/>
                <w:bCs/>
                <w:color w:val="000000"/>
              </w:rPr>
              <w:t>Total (1a +1b)</w:t>
            </w:r>
          </w:p>
        </w:tc>
        <w:tc>
          <w:tcPr>
            <w:tcW w:w="1228" w:type="pct"/>
            <w:shd w:val="clear" w:color="auto" w:fill="B4C6E7" w:themeFill="accent1" w:themeFillTint="66"/>
            <w:vAlign w:val="center"/>
          </w:tcPr>
          <w:p w14:paraId="5EA3DDAE"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b/>
                <w:bCs/>
                <w:color w:val="000000"/>
              </w:rPr>
              <w:t xml:space="preserve">63,750 </w:t>
            </w:r>
          </w:p>
        </w:tc>
        <w:tc>
          <w:tcPr>
            <w:tcW w:w="1228" w:type="pct"/>
            <w:shd w:val="clear" w:color="auto" w:fill="B4C6E7" w:themeFill="accent1" w:themeFillTint="66"/>
            <w:vAlign w:val="center"/>
          </w:tcPr>
          <w:p w14:paraId="4F7C3D64"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b/>
                <w:bCs/>
                <w:color w:val="000000"/>
              </w:rPr>
              <w:t xml:space="preserve">140,091 </w:t>
            </w:r>
          </w:p>
        </w:tc>
        <w:tc>
          <w:tcPr>
            <w:tcW w:w="1229" w:type="pct"/>
            <w:shd w:val="clear" w:color="auto" w:fill="B4C6E7" w:themeFill="accent1" w:themeFillTint="66"/>
            <w:vAlign w:val="center"/>
          </w:tcPr>
          <w:p w14:paraId="6C4C15B8"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b/>
                <w:bCs/>
                <w:color w:val="000000"/>
              </w:rPr>
              <w:t xml:space="preserve">255,932 </w:t>
            </w:r>
          </w:p>
        </w:tc>
      </w:tr>
    </w:tbl>
    <w:p w14:paraId="59C225CD" w14:textId="77777777" w:rsidR="0077230C" w:rsidRPr="00A81971" w:rsidRDefault="0077230C" w:rsidP="0077230C">
      <w:pPr>
        <w:widowControl w:val="0"/>
        <w:autoSpaceDE w:val="0"/>
        <w:autoSpaceDN w:val="0"/>
        <w:spacing w:after="0"/>
        <w:rPr>
          <w:rFonts w:eastAsia="Times New Roman"/>
        </w:rPr>
      </w:pPr>
    </w:p>
    <w:p w14:paraId="0830FC59" w14:textId="77777777" w:rsidR="0077230C" w:rsidRPr="00A81971" w:rsidRDefault="0077230C" w:rsidP="0077230C">
      <w:pPr>
        <w:widowControl w:val="0"/>
        <w:autoSpaceDE w:val="0"/>
        <w:autoSpaceDN w:val="0"/>
        <w:spacing w:after="0"/>
        <w:rPr>
          <w:rFonts w:eastAsia="Times New Roman"/>
        </w:rPr>
      </w:pPr>
    </w:p>
    <w:p w14:paraId="5A4D91C3" w14:textId="77777777" w:rsidR="0077230C" w:rsidRPr="00A81971" w:rsidRDefault="0032495C" w:rsidP="0062151D">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A6.3:</w:t>
      </w:r>
      <w:r w:rsidRPr="0006445E">
        <w:rPr>
          <w:rFonts w:eastAsia="Times New Roman"/>
          <w:color w:val="000000"/>
          <w:lang w:val="en-CA"/>
        </w:rPr>
        <w:tab/>
      </w:r>
      <w:r w:rsidRPr="00A81971">
        <w:rPr>
          <w:rFonts w:eastAsia="Times New Roman"/>
          <w:b/>
          <w:bCs/>
        </w:rPr>
        <w:t>Fixed cost estimate for increased recovery – allocation</w:t>
      </w:r>
    </w:p>
    <w:tbl>
      <w:tblPr>
        <w:tblW w:w="5000" w:type="pct"/>
        <w:jc w:val="center"/>
        <w:tblLook w:val="04A0" w:firstRow="1" w:lastRow="0" w:firstColumn="1" w:lastColumn="0" w:noHBand="0" w:noVBand="1"/>
      </w:tblPr>
      <w:tblGrid>
        <w:gridCol w:w="1705"/>
        <w:gridCol w:w="1856"/>
        <w:gridCol w:w="1357"/>
        <w:gridCol w:w="4156"/>
      </w:tblGrid>
      <w:tr w:rsidR="00F90461" w14:paraId="7B99F695" w14:textId="77777777" w:rsidTr="00A04930">
        <w:trPr>
          <w:trHeight w:val="900"/>
          <w:jc w:val="center"/>
        </w:trPr>
        <w:tc>
          <w:tcPr>
            <w:tcW w:w="130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CDDBEDA"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Average HFC consumption in servicing in baseline years (MT)</w:t>
            </w:r>
          </w:p>
        </w:tc>
        <w:tc>
          <w:tcPr>
            <w:tcW w:w="1523"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1EFA94F"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Funding for meeting the 10 % Montreal Protocol HFC reduction target (US $)</w:t>
            </w:r>
            <w:r w:rsidR="00950CE6">
              <w:rPr>
                <w:rFonts w:eastAsia="Times New Roman"/>
                <w:color w:val="000000"/>
              </w:rPr>
              <w:t xml:space="preserve"> </w:t>
            </w:r>
            <w:r w:rsidRPr="00A81971">
              <w:rPr>
                <w:rFonts w:eastAsia="Times New Roman"/>
                <w:color w:val="000000"/>
              </w:rPr>
              <w:t>*</w:t>
            </w:r>
          </w:p>
        </w:tc>
        <w:tc>
          <w:tcPr>
            <w:tcW w:w="944"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23EF5C5"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 xml:space="preserve">Module 1 - increased recovery </w:t>
            </w:r>
          </w:p>
        </w:tc>
        <w:tc>
          <w:tcPr>
            <w:tcW w:w="1227"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46757A4"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Funding for Module 1 – Recovery (US $)</w:t>
            </w:r>
            <w:r w:rsidR="00950CE6">
              <w:rPr>
                <w:rFonts w:eastAsia="Times New Roman"/>
                <w:color w:val="000000"/>
              </w:rPr>
              <w:t xml:space="preserve"> </w:t>
            </w:r>
            <w:r w:rsidRPr="00A81971">
              <w:rPr>
                <w:rFonts w:eastAsia="Times New Roman"/>
                <w:color w:val="000000"/>
              </w:rPr>
              <w:t>*</w:t>
            </w:r>
          </w:p>
        </w:tc>
      </w:tr>
      <w:tr w:rsidR="00F90461" w14:paraId="7DD1E025" w14:textId="77777777" w:rsidTr="0062151D">
        <w:trPr>
          <w:trHeight w:val="300"/>
          <w:jc w:val="center"/>
        </w:trPr>
        <w:tc>
          <w:tcPr>
            <w:tcW w:w="1306" w:type="pct"/>
            <w:tcBorders>
              <w:top w:val="nil"/>
              <w:left w:val="single" w:sz="4" w:space="0" w:color="auto"/>
              <w:bottom w:val="single" w:sz="4" w:space="0" w:color="auto"/>
              <w:right w:val="single" w:sz="4" w:space="0" w:color="auto"/>
            </w:tcBorders>
            <w:noWrap/>
            <w:vAlign w:val="bottom"/>
          </w:tcPr>
          <w:p w14:paraId="5C95A152" w14:textId="77777777" w:rsidR="0077230C" w:rsidRPr="00A81971" w:rsidRDefault="0077230C" w:rsidP="0077230C">
            <w:pPr>
              <w:spacing w:after="0"/>
              <w:ind w:left="57" w:right="57"/>
              <w:rPr>
                <w:rFonts w:eastAsia="Times New Roman"/>
                <w:color w:val="000000"/>
              </w:rPr>
            </w:pPr>
          </w:p>
        </w:tc>
        <w:tc>
          <w:tcPr>
            <w:tcW w:w="1523" w:type="pct"/>
            <w:tcBorders>
              <w:top w:val="nil"/>
              <w:left w:val="nil"/>
              <w:bottom w:val="single" w:sz="4" w:space="0" w:color="auto"/>
              <w:right w:val="single" w:sz="4" w:space="0" w:color="auto"/>
            </w:tcBorders>
            <w:noWrap/>
            <w:vAlign w:val="bottom"/>
          </w:tcPr>
          <w:p w14:paraId="735AB5E8" w14:textId="77777777" w:rsidR="0077230C" w:rsidRPr="00A81971" w:rsidRDefault="0077230C" w:rsidP="0077230C">
            <w:pPr>
              <w:spacing w:after="0"/>
              <w:ind w:left="57" w:right="57"/>
              <w:rPr>
                <w:rFonts w:eastAsia="Times New Roman"/>
                <w:color w:val="000000"/>
              </w:rPr>
            </w:pPr>
          </w:p>
        </w:tc>
        <w:tc>
          <w:tcPr>
            <w:tcW w:w="944" w:type="pct"/>
            <w:tcBorders>
              <w:top w:val="nil"/>
              <w:left w:val="nil"/>
              <w:bottom w:val="single" w:sz="4" w:space="0" w:color="auto"/>
              <w:right w:val="single" w:sz="4" w:space="0" w:color="auto"/>
            </w:tcBorders>
            <w:noWrap/>
            <w:vAlign w:val="bottom"/>
            <w:hideMark/>
          </w:tcPr>
          <w:p w14:paraId="7A016D6E" w14:textId="77777777" w:rsidR="0077230C" w:rsidRPr="00A81971" w:rsidRDefault="0032495C" w:rsidP="0077230C">
            <w:pPr>
              <w:spacing w:after="0"/>
              <w:ind w:left="57" w:right="57"/>
              <w:rPr>
                <w:rFonts w:eastAsia="Times New Roman"/>
                <w:color w:val="000000"/>
              </w:rPr>
            </w:pPr>
            <w:r w:rsidRPr="00A81971">
              <w:rPr>
                <w:rFonts w:eastAsia="Times New Roman"/>
                <w:color w:val="000000"/>
              </w:rPr>
              <w:t>Description</w:t>
            </w:r>
          </w:p>
        </w:tc>
        <w:tc>
          <w:tcPr>
            <w:tcW w:w="1227" w:type="pct"/>
            <w:tcBorders>
              <w:top w:val="nil"/>
              <w:left w:val="nil"/>
              <w:bottom w:val="single" w:sz="4" w:space="0" w:color="auto"/>
              <w:right w:val="single" w:sz="4" w:space="0" w:color="auto"/>
            </w:tcBorders>
            <w:noWrap/>
            <w:vAlign w:val="bottom"/>
            <w:hideMark/>
          </w:tcPr>
          <w:p w14:paraId="23D00162" w14:textId="77777777" w:rsidR="0077230C" w:rsidRPr="00A81971" w:rsidRDefault="0077230C" w:rsidP="0077230C">
            <w:pPr>
              <w:spacing w:after="0"/>
              <w:ind w:left="57" w:right="57"/>
              <w:rPr>
                <w:rFonts w:eastAsia="Times New Roman"/>
                <w:color w:val="000000"/>
              </w:rPr>
            </w:pPr>
          </w:p>
        </w:tc>
      </w:tr>
      <w:tr w:rsidR="00F90461" w14:paraId="03085DED"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7790D995"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&gt;0 &lt;15</w:t>
            </w:r>
          </w:p>
        </w:tc>
        <w:tc>
          <w:tcPr>
            <w:tcW w:w="1523" w:type="pct"/>
            <w:tcBorders>
              <w:top w:val="nil"/>
              <w:left w:val="nil"/>
              <w:bottom w:val="single" w:sz="4" w:space="0" w:color="auto"/>
              <w:right w:val="single" w:sz="4" w:space="0" w:color="auto"/>
            </w:tcBorders>
            <w:noWrap/>
            <w:vAlign w:val="center"/>
            <w:hideMark/>
          </w:tcPr>
          <w:p w14:paraId="0AF829EF"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135,000</w:t>
            </w:r>
          </w:p>
        </w:tc>
        <w:tc>
          <w:tcPr>
            <w:tcW w:w="944" w:type="pct"/>
            <w:vMerge w:val="restart"/>
            <w:tcBorders>
              <w:top w:val="nil"/>
              <w:left w:val="single" w:sz="4" w:space="0" w:color="auto"/>
              <w:bottom w:val="single" w:sz="4" w:space="0" w:color="000000"/>
              <w:right w:val="single" w:sz="4" w:space="0" w:color="auto"/>
            </w:tcBorders>
            <w:vAlign w:val="center"/>
            <w:hideMark/>
          </w:tcPr>
          <w:p w14:paraId="6D6D7297"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 xml:space="preserve">a 50% increase </w:t>
            </w:r>
            <w:r w:rsidR="008F5E70" w:rsidRPr="00A81971">
              <w:rPr>
                <w:rFonts w:eastAsia="Times New Roman"/>
                <w:color w:val="000000"/>
              </w:rPr>
              <w:t>i</w:t>
            </w:r>
            <w:r w:rsidRPr="00A81971">
              <w:rPr>
                <w:rFonts w:eastAsia="Times New Roman"/>
                <w:color w:val="000000"/>
              </w:rPr>
              <w:t xml:space="preserve">n the Servicing sector allocation </w:t>
            </w:r>
            <w:r w:rsidR="00FE14E5" w:rsidRPr="00A81971">
              <w:rPr>
                <w:rFonts w:eastAsia="Times New Roman"/>
                <w:color w:val="000000"/>
              </w:rPr>
              <w:t>under</w:t>
            </w:r>
            <w:r w:rsidRPr="00A81971">
              <w:rPr>
                <w:rFonts w:eastAsia="Times New Roman"/>
                <w:color w:val="000000"/>
              </w:rPr>
              <w:t xml:space="preserve"> KIP Stage I</w:t>
            </w:r>
          </w:p>
        </w:tc>
        <w:tc>
          <w:tcPr>
            <w:tcW w:w="1227" w:type="pct"/>
            <w:tcBorders>
              <w:top w:val="nil"/>
              <w:left w:val="nil"/>
              <w:bottom w:val="single" w:sz="4" w:space="0" w:color="auto"/>
              <w:right w:val="single" w:sz="4" w:space="0" w:color="auto"/>
            </w:tcBorders>
            <w:noWrap/>
            <w:vAlign w:val="center"/>
            <w:hideMark/>
          </w:tcPr>
          <w:p w14:paraId="1AD1F09C"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67,500</w:t>
            </w:r>
          </w:p>
        </w:tc>
      </w:tr>
      <w:tr w:rsidR="00F90461" w14:paraId="3DBDD86F"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73080AFC"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15 &lt;40</w:t>
            </w:r>
          </w:p>
        </w:tc>
        <w:tc>
          <w:tcPr>
            <w:tcW w:w="1523" w:type="pct"/>
            <w:tcBorders>
              <w:top w:val="nil"/>
              <w:left w:val="nil"/>
              <w:bottom w:val="single" w:sz="4" w:space="0" w:color="auto"/>
              <w:right w:val="single" w:sz="4" w:space="0" w:color="auto"/>
            </w:tcBorders>
            <w:noWrap/>
            <w:vAlign w:val="center"/>
            <w:hideMark/>
          </w:tcPr>
          <w:p w14:paraId="169A671A"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145,000</w:t>
            </w:r>
          </w:p>
        </w:tc>
        <w:tc>
          <w:tcPr>
            <w:tcW w:w="944" w:type="pct"/>
            <w:vMerge/>
            <w:tcBorders>
              <w:top w:val="nil"/>
              <w:left w:val="single" w:sz="4" w:space="0" w:color="auto"/>
              <w:bottom w:val="single" w:sz="4" w:space="0" w:color="000000"/>
              <w:right w:val="single" w:sz="4" w:space="0" w:color="auto"/>
            </w:tcBorders>
            <w:vAlign w:val="center"/>
            <w:hideMark/>
          </w:tcPr>
          <w:p w14:paraId="3C721D19"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00D31AF5"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72,500</w:t>
            </w:r>
          </w:p>
        </w:tc>
      </w:tr>
      <w:tr w:rsidR="00F90461" w14:paraId="3DAF38F4"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3724F357"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40 &lt;80</w:t>
            </w:r>
          </w:p>
        </w:tc>
        <w:tc>
          <w:tcPr>
            <w:tcW w:w="1523" w:type="pct"/>
            <w:tcBorders>
              <w:top w:val="nil"/>
              <w:left w:val="nil"/>
              <w:bottom w:val="single" w:sz="4" w:space="0" w:color="auto"/>
              <w:right w:val="single" w:sz="4" w:space="0" w:color="auto"/>
            </w:tcBorders>
            <w:noWrap/>
            <w:vAlign w:val="center"/>
            <w:hideMark/>
          </w:tcPr>
          <w:p w14:paraId="1F982DD2"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158,000</w:t>
            </w:r>
          </w:p>
        </w:tc>
        <w:tc>
          <w:tcPr>
            <w:tcW w:w="944" w:type="pct"/>
            <w:vMerge/>
            <w:tcBorders>
              <w:top w:val="nil"/>
              <w:left w:val="single" w:sz="4" w:space="0" w:color="auto"/>
              <w:bottom w:val="single" w:sz="4" w:space="0" w:color="000000"/>
              <w:right w:val="single" w:sz="4" w:space="0" w:color="auto"/>
            </w:tcBorders>
            <w:vAlign w:val="center"/>
            <w:hideMark/>
          </w:tcPr>
          <w:p w14:paraId="2C228345"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4312A776"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79,000</w:t>
            </w:r>
          </w:p>
        </w:tc>
      </w:tr>
      <w:tr w:rsidR="00F90461" w14:paraId="08840B1A"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0628AF60"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80 &lt;120</w:t>
            </w:r>
          </w:p>
        </w:tc>
        <w:tc>
          <w:tcPr>
            <w:tcW w:w="1523" w:type="pct"/>
            <w:tcBorders>
              <w:top w:val="nil"/>
              <w:left w:val="nil"/>
              <w:bottom w:val="single" w:sz="4" w:space="0" w:color="auto"/>
              <w:right w:val="single" w:sz="4" w:space="0" w:color="auto"/>
            </w:tcBorders>
            <w:noWrap/>
            <w:vAlign w:val="center"/>
            <w:hideMark/>
          </w:tcPr>
          <w:p w14:paraId="61DCBB55"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170,000</w:t>
            </w:r>
          </w:p>
        </w:tc>
        <w:tc>
          <w:tcPr>
            <w:tcW w:w="944" w:type="pct"/>
            <w:vMerge/>
            <w:tcBorders>
              <w:top w:val="nil"/>
              <w:left w:val="single" w:sz="4" w:space="0" w:color="auto"/>
              <w:bottom w:val="single" w:sz="4" w:space="0" w:color="000000"/>
              <w:right w:val="single" w:sz="4" w:space="0" w:color="auto"/>
            </w:tcBorders>
            <w:vAlign w:val="center"/>
            <w:hideMark/>
          </w:tcPr>
          <w:p w14:paraId="6C0B9454"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13463C4D"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85,000</w:t>
            </w:r>
          </w:p>
        </w:tc>
      </w:tr>
      <w:tr w:rsidR="00F90461" w14:paraId="0E7CE86A"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4CAA8F9B"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120 &lt;160</w:t>
            </w:r>
          </w:p>
        </w:tc>
        <w:tc>
          <w:tcPr>
            <w:tcW w:w="1523" w:type="pct"/>
            <w:tcBorders>
              <w:top w:val="nil"/>
              <w:left w:val="nil"/>
              <w:bottom w:val="single" w:sz="4" w:space="0" w:color="auto"/>
              <w:right w:val="single" w:sz="4" w:space="0" w:color="auto"/>
            </w:tcBorders>
            <w:noWrap/>
            <w:vAlign w:val="center"/>
            <w:hideMark/>
          </w:tcPr>
          <w:p w14:paraId="4653F8C3"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180,000</w:t>
            </w:r>
          </w:p>
        </w:tc>
        <w:tc>
          <w:tcPr>
            <w:tcW w:w="944" w:type="pct"/>
            <w:vMerge/>
            <w:tcBorders>
              <w:top w:val="nil"/>
              <w:left w:val="single" w:sz="4" w:space="0" w:color="auto"/>
              <w:bottom w:val="single" w:sz="4" w:space="0" w:color="000000"/>
              <w:right w:val="single" w:sz="4" w:space="0" w:color="auto"/>
            </w:tcBorders>
            <w:vAlign w:val="center"/>
            <w:hideMark/>
          </w:tcPr>
          <w:p w14:paraId="1E7B274F"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759FCCB3"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90,000</w:t>
            </w:r>
          </w:p>
        </w:tc>
      </w:tr>
      <w:tr w:rsidR="00F90461" w14:paraId="5F74FA23"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68ECE7DF"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160 &lt;200</w:t>
            </w:r>
          </w:p>
        </w:tc>
        <w:tc>
          <w:tcPr>
            <w:tcW w:w="1523" w:type="pct"/>
            <w:tcBorders>
              <w:top w:val="nil"/>
              <w:left w:val="nil"/>
              <w:bottom w:val="single" w:sz="4" w:space="0" w:color="auto"/>
              <w:right w:val="single" w:sz="4" w:space="0" w:color="auto"/>
            </w:tcBorders>
            <w:noWrap/>
            <w:vAlign w:val="center"/>
            <w:hideMark/>
          </w:tcPr>
          <w:p w14:paraId="63884D25"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190,000</w:t>
            </w:r>
          </w:p>
        </w:tc>
        <w:tc>
          <w:tcPr>
            <w:tcW w:w="944" w:type="pct"/>
            <w:vMerge/>
            <w:tcBorders>
              <w:top w:val="nil"/>
              <w:left w:val="single" w:sz="4" w:space="0" w:color="auto"/>
              <w:bottom w:val="single" w:sz="4" w:space="0" w:color="000000"/>
              <w:right w:val="single" w:sz="4" w:space="0" w:color="auto"/>
            </w:tcBorders>
            <w:vAlign w:val="center"/>
            <w:hideMark/>
          </w:tcPr>
          <w:p w14:paraId="7F047D4C"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6A47CC49"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95,000</w:t>
            </w:r>
          </w:p>
        </w:tc>
      </w:tr>
      <w:tr w:rsidR="00F90461" w14:paraId="2DBDC77A"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25AD06F4"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200 &lt;300</w:t>
            </w:r>
          </w:p>
        </w:tc>
        <w:tc>
          <w:tcPr>
            <w:tcW w:w="1523" w:type="pct"/>
            <w:tcBorders>
              <w:top w:val="nil"/>
              <w:left w:val="nil"/>
              <w:bottom w:val="single" w:sz="4" w:space="0" w:color="auto"/>
              <w:right w:val="single" w:sz="4" w:space="0" w:color="auto"/>
            </w:tcBorders>
            <w:noWrap/>
            <w:vAlign w:val="center"/>
            <w:hideMark/>
          </w:tcPr>
          <w:p w14:paraId="79F08A3D"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325,000</w:t>
            </w:r>
          </w:p>
        </w:tc>
        <w:tc>
          <w:tcPr>
            <w:tcW w:w="944" w:type="pct"/>
            <w:vMerge/>
            <w:tcBorders>
              <w:top w:val="nil"/>
              <w:left w:val="single" w:sz="4" w:space="0" w:color="auto"/>
              <w:bottom w:val="single" w:sz="4" w:space="0" w:color="000000"/>
              <w:right w:val="single" w:sz="4" w:space="0" w:color="auto"/>
            </w:tcBorders>
            <w:vAlign w:val="center"/>
            <w:hideMark/>
          </w:tcPr>
          <w:p w14:paraId="1BF450EE"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06D17D3A"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162,500</w:t>
            </w:r>
          </w:p>
        </w:tc>
      </w:tr>
      <w:tr w:rsidR="00F90461" w14:paraId="71D2E457" w14:textId="77777777" w:rsidTr="00A04930">
        <w:trPr>
          <w:trHeight w:val="300"/>
          <w:jc w:val="center"/>
        </w:trPr>
        <w:tc>
          <w:tcPr>
            <w:tcW w:w="1306" w:type="pct"/>
            <w:tcBorders>
              <w:top w:val="nil"/>
              <w:left w:val="single" w:sz="4" w:space="0" w:color="auto"/>
              <w:bottom w:val="single" w:sz="4" w:space="0" w:color="auto"/>
              <w:right w:val="single" w:sz="4" w:space="0" w:color="auto"/>
            </w:tcBorders>
            <w:noWrap/>
            <w:vAlign w:val="center"/>
            <w:hideMark/>
          </w:tcPr>
          <w:p w14:paraId="649A7001"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300 &lt;360</w:t>
            </w:r>
          </w:p>
        </w:tc>
        <w:tc>
          <w:tcPr>
            <w:tcW w:w="1523" w:type="pct"/>
            <w:tcBorders>
              <w:top w:val="nil"/>
              <w:left w:val="nil"/>
              <w:bottom w:val="single" w:sz="4" w:space="0" w:color="auto"/>
              <w:right w:val="single" w:sz="4" w:space="0" w:color="auto"/>
            </w:tcBorders>
            <w:noWrap/>
            <w:vAlign w:val="center"/>
            <w:hideMark/>
          </w:tcPr>
          <w:p w14:paraId="13C7CAA8"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360,000</w:t>
            </w:r>
          </w:p>
        </w:tc>
        <w:tc>
          <w:tcPr>
            <w:tcW w:w="944" w:type="pct"/>
            <w:vMerge/>
            <w:tcBorders>
              <w:top w:val="nil"/>
              <w:left w:val="single" w:sz="4" w:space="0" w:color="auto"/>
              <w:bottom w:val="single" w:sz="4" w:space="0" w:color="000000"/>
              <w:right w:val="single" w:sz="4" w:space="0" w:color="auto"/>
            </w:tcBorders>
            <w:vAlign w:val="center"/>
            <w:hideMark/>
          </w:tcPr>
          <w:p w14:paraId="72B63EE8" w14:textId="77777777" w:rsidR="0077230C" w:rsidRPr="00A81971" w:rsidRDefault="0077230C" w:rsidP="00A04930">
            <w:pPr>
              <w:spacing w:after="0"/>
              <w:ind w:left="57" w:right="57"/>
              <w:jc w:val="center"/>
              <w:rPr>
                <w:rFonts w:eastAsia="Times New Roman"/>
                <w:color w:val="000000"/>
              </w:rPr>
            </w:pPr>
          </w:p>
        </w:tc>
        <w:tc>
          <w:tcPr>
            <w:tcW w:w="1227" w:type="pct"/>
            <w:tcBorders>
              <w:top w:val="nil"/>
              <w:left w:val="nil"/>
              <w:bottom w:val="single" w:sz="4" w:space="0" w:color="auto"/>
              <w:right w:val="single" w:sz="4" w:space="0" w:color="auto"/>
            </w:tcBorders>
            <w:noWrap/>
            <w:vAlign w:val="center"/>
            <w:hideMark/>
          </w:tcPr>
          <w:p w14:paraId="54984D1B"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180,000</w:t>
            </w:r>
          </w:p>
        </w:tc>
      </w:tr>
      <w:tr w:rsidR="00F90461" w14:paraId="18E439B9" w14:textId="77777777" w:rsidTr="00A04930">
        <w:trPr>
          <w:trHeight w:val="70"/>
          <w:jc w:val="center"/>
        </w:trPr>
        <w:tc>
          <w:tcPr>
            <w:tcW w:w="1306" w:type="pct"/>
            <w:tcBorders>
              <w:top w:val="nil"/>
              <w:left w:val="single" w:sz="4" w:space="0" w:color="auto"/>
              <w:bottom w:val="single" w:sz="4" w:space="0" w:color="auto"/>
              <w:right w:val="single" w:sz="4" w:space="0" w:color="auto"/>
            </w:tcBorders>
            <w:noWrap/>
            <w:vAlign w:val="center"/>
            <w:hideMark/>
          </w:tcPr>
          <w:p w14:paraId="428ECE26" w14:textId="77777777" w:rsidR="0077230C" w:rsidRPr="00A81971" w:rsidRDefault="0032495C" w:rsidP="00A04930">
            <w:pPr>
              <w:spacing w:after="0"/>
              <w:ind w:left="57" w:right="57"/>
              <w:rPr>
                <w:rFonts w:eastAsia="Times New Roman"/>
                <w:color w:val="000000"/>
              </w:rPr>
            </w:pPr>
            <w:r w:rsidRPr="00A81971">
              <w:rPr>
                <w:rFonts w:eastAsia="Times New Roman"/>
                <w:color w:val="000000"/>
              </w:rPr>
              <w:t>larger countries</w:t>
            </w:r>
          </w:p>
        </w:tc>
        <w:tc>
          <w:tcPr>
            <w:tcW w:w="1523" w:type="pct"/>
            <w:tcBorders>
              <w:top w:val="nil"/>
              <w:left w:val="nil"/>
              <w:bottom w:val="single" w:sz="4" w:space="0" w:color="auto"/>
              <w:right w:val="single" w:sz="4" w:space="0" w:color="auto"/>
            </w:tcBorders>
            <w:noWrap/>
            <w:vAlign w:val="center"/>
            <w:hideMark/>
          </w:tcPr>
          <w:p w14:paraId="7B875B0C"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&gt;360 000</w:t>
            </w:r>
          </w:p>
        </w:tc>
        <w:tc>
          <w:tcPr>
            <w:tcW w:w="944" w:type="pct"/>
            <w:tcBorders>
              <w:top w:val="nil"/>
              <w:left w:val="nil"/>
              <w:bottom w:val="single" w:sz="4" w:space="0" w:color="auto"/>
              <w:right w:val="single" w:sz="4" w:space="0" w:color="auto"/>
            </w:tcBorders>
            <w:noWrap/>
            <w:vAlign w:val="center"/>
            <w:hideMark/>
          </w:tcPr>
          <w:p w14:paraId="12BCD3FF" w14:textId="6D4FBACC" w:rsidR="0077230C" w:rsidRPr="00A81971" w:rsidRDefault="0032495C" w:rsidP="00A04930">
            <w:pPr>
              <w:spacing w:after="0"/>
              <w:ind w:left="57" w:right="57"/>
              <w:jc w:val="center"/>
              <w:rPr>
                <w:rFonts w:eastAsia="Times New Roman"/>
                <w:color w:val="000000"/>
              </w:rPr>
            </w:pPr>
            <w:r w:rsidRPr="00A81971">
              <w:rPr>
                <w:rFonts w:eastAsia="Times New Roman"/>
                <w:color w:val="000000"/>
              </w:rPr>
              <w:t>Capped</w:t>
            </w:r>
          </w:p>
        </w:tc>
        <w:tc>
          <w:tcPr>
            <w:tcW w:w="1227" w:type="pct"/>
            <w:tcBorders>
              <w:top w:val="nil"/>
              <w:left w:val="nil"/>
              <w:bottom w:val="single" w:sz="4" w:space="0" w:color="auto"/>
              <w:right w:val="single" w:sz="4" w:space="0" w:color="auto"/>
            </w:tcBorders>
            <w:noWrap/>
            <w:vAlign w:val="center"/>
            <w:hideMark/>
          </w:tcPr>
          <w:p w14:paraId="711DA232" w14:textId="77777777" w:rsidR="0077230C" w:rsidRPr="00A81971" w:rsidRDefault="0032495C" w:rsidP="00A04930">
            <w:pPr>
              <w:spacing w:after="0"/>
              <w:ind w:left="57" w:right="57"/>
              <w:jc w:val="center"/>
              <w:rPr>
                <w:rFonts w:eastAsia="Times New Roman"/>
                <w:color w:val="000000"/>
              </w:rPr>
            </w:pPr>
            <w:r w:rsidRPr="00A81971">
              <w:rPr>
                <w:rFonts w:eastAsia="Times New Roman"/>
                <w:color w:val="000000"/>
              </w:rPr>
              <w:t>180,000</w:t>
            </w:r>
          </w:p>
        </w:tc>
      </w:tr>
    </w:tbl>
    <w:p w14:paraId="068734DE" w14:textId="77777777" w:rsidR="0077230C" w:rsidRPr="00A81971" w:rsidRDefault="0077230C" w:rsidP="0077230C">
      <w:pPr>
        <w:widowControl w:val="0"/>
        <w:autoSpaceDE w:val="0"/>
        <w:autoSpaceDN w:val="0"/>
        <w:spacing w:after="0"/>
        <w:rPr>
          <w:rFonts w:eastAsia="Times New Roman"/>
        </w:rPr>
      </w:pPr>
    </w:p>
    <w:p w14:paraId="0C03E724" w14:textId="77777777" w:rsidR="008A4AB0" w:rsidRPr="00A81971" w:rsidRDefault="0032495C" w:rsidP="0077230C">
      <w:pPr>
        <w:widowControl w:val="0"/>
        <w:autoSpaceDE w:val="0"/>
        <w:autoSpaceDN w:val="0"/>
        <w:spacing w:after="0"/>
        <w:rPr>
          <w:rFonts w:eastAsia="Times New Roman"/>
        </w:rPr>
      </w:pPr>
      <w:r w:rsidRPr="00A81971">
        <w:rPr>
          <w:rFonts w:eastAsia="Times New Roman"/>
        </w:rPr>
        <w:t>Using the allocation method rather than the bottom-up costs, the high-end estimate is calculated in Table A6.4 as follows:</w:t>
      </w:r>
    </w:p>
    <w:p w14:paraId="0CC7164A" w14:textId="77777777" w:rsidR="008A4AB0" w:rsidRPr="00A81971" w:rsidRDefault="008A4AB0" w:rsidP="0077230C">
      <w:pPr>
        <w:widowControl w:val="0"/>
        <w:autoSpaceDE w:val="0"/>
        <w:autoSpaceDN w:val="0"/>
        <w:spacing w:after="0"/>
        <w:rPr>
          <w:rFonts w:eastAsia="Times New Roman"/>
        </w:rPr>
      </w:pPr>
    </w:p>
    <w:p w14:paraId="4CAECFED" w14:textId="77777777" w:rsidR="0077230C" w:rsidRPr="00A81971" w:rsidRDefault="0032495C" w:rsidP="00590F94">
      <w:pPr>
        <w:tabs>
          <w:tab w:val="left" w:pos="0"/>
          <w:tab w:val="left" w:pos="1276"/>
        </w:tabs>
        <w:spacing w:after="120"/>
        <w:ind w:left="1282" w:hanging="1282"/>
        <w:rPr>
          <w:rFonts w:eastAsia="Times New Roman"/>
        </w:rPr>
      </w:pPr>
      <w:r w:rsidRPr="0006445E">
        <w:rPr>
          <w:rFonts w:eastAsia="Yu Mincho"/>
          <w:b/>
          <w:bCs/>
          <w:color w:val="000000"/>
          <w:lang w:val="en-CA"/>
        </w:rPr>
        <w:t xml:space="preserve">Table </w:t>
      </w:r>
      <w:r>
        <w:rPr>
          <w:rFonts w:eastAsia="Yu Mincho"/>
          <w:b/>
          <w:bCs/>
          <w:color w:val="000000"/>
          <w:lang w:val="en-CA"/>
        </w:rPr>
        <w:t>A6.4:</w:t>
      </w:r>
      <w:r w:rsidRPr="0006445E">
        <w:rPr>
          <w:rFonts w:eastAsia="Times New Roman"/>
          <w:color w:val="000000"/>
          <w:lang w:val="en-CA"/>
        </w:rPr>
        <w:tab/>
      </w:r>
      <w:r w:rsidRPr="00A81971">
        <w:rPr>
          <w:rFonts w:eastAsia="Times New Roman"/>
          <w:b/>
          <w:bCs/>
        </w:rPr>
        <w:t>Modelled cost – high-end estimate calculation</w:t>
      </w:r>
      <w:r w:rsidRPr="00A81971">
        <w:rPr>
          <w:rFonts w:eastAsia="Times New Roman"/>
        </w:rPr>
        <w:t xml:space="preserve"> </w:t>
      </w:r>
    </w:p>
    <w:tbl>
      <w:tblPr>
        <w:tblStyle w:val="TableGrid16"/>
        <w:tblW w:w="5000" w:type="pct"/>
        <w:jc w:val="center"/>
        <w:tblLook w:val="04A0" w:firstRow="1" w:lastRow="0" w:firstColumn="1" w:lastColumn="0" w:noHBand="0" w:noVBand="1"/>
      </w:tblPr>
      <w:tblGrid>
        <w:gridCol w:w="1811"/>
        <w:gridCol w:w="2724"/>
        <w:gridCol w:w="1971"/>
        <w:gridCol w:w="2568"/>
      </w:tblGrid>
      <w:tr w:rsidR="00F90461" w14:paraId="5F679010" w14:textId="77777777" w:rsidTr="00590F94">
        <w:trPr>
          <w:jc w:val="center"/>
        </w:trPr>
        <w:tc>
          <w:tcPr>
            <w:tcW w:w="5000" w:type="pct"/>
            <w:gridSpan w:val="4"/>
            <w:shd w:val="clear" w:color="auto" w:fill="D9E2F3" w:themeFill="accent1" w:themeFillTint="33"/>
          </w:tcPr>
          <w:p w14:paraId="696B9608" w14:textId="77777777" w:rsidR="0077230C" w:rsidRPr="00A81971" w:rsidRDefault="0032495C" w:rsidP="0077230C">
            <w:pPr>
              <w:spacing w:after="0"/>
              <w:rPr>
                <w:rFonts w:eastAsia="Calibri"/>
                <w:lang w:eastAsia="ja-JP"/>
              </w:rPr>
            </w:pPr>
            <w:r w:rsidRPr="00A81971">
              <w:rPr>
                <w:rFonts w:eastAsia="Calibri"/>
                <w:lang w:eastAsia="ja-JP"/>
              </w:rPr>
              <w:t xml:space="preserve">Module 1a increased recovery + module 1b capacity building for increased collection </w:t>
            </w:r>
          </w:p>
        </w:tc>
      </w:tr>
      <w:tr w:rsidR="00F90461" w14:paraId="1B4A3A30" w14:textId="77777777" w:rsidTr="00924C53">
        <w:trPr>
          <w:jc w:val="center"/>
        </w:trPr>
        <w:tc>
          <w:tcPr>
            <w:tcW w:w="998" w:type="pct"/>
            <w:shd w:val="clear" w:color="auto" w:fill="D9E2F3" w:themeFill="accent1" w:themeFillTint="33"/>
            <w:vAlign w:val="center"/>
          </w:tcPr>
          <w:p w14:paraId="230EA9E1" w14:textId="77777777" w:rsidR="0077230C" w:rsidRPr="00A81971" w:rsidRDefault="0032495C" w:rsidP="00924C53">
            <w:pPr>
              <w:spacing w:after="0"/>
              <w:rPr>
                <w:rFonts w:eastAsia="Calibri"/>
                <w:lang w:eastAsia="ja-JP"/>
              </w:rPr>
            </w:pPr>
            <w:r w:rsidRPr="00A81971">
              <w:rPr>
                <w:rFonts w:eastAsia="Calibri"/>
                <w:lang w:eastAsia="ja-JP"/>
              </w:rPr>
              <w:t>Average HFC consumption in servicing in baseline years (Mt)</w:t>
            </w:r>
          </w:p>
        </w:tc>
        <w:tc>
          <w:tcPr>
            <w:tcW w:w="1501" w:type="pct"/>
            <w:shd w:val="clear" w:color="auto" w:fill="D9E2F3" w:themeFill="accent1" w:themeFillTint="33"/>
            <w:vAlign w:val="center"/>
          </w:tcPr>
          <w:p w14:paraId="0497DE14" w14:textId="77777777" w:rsidR="0077230C" w:rsidRPr="00A81971" w:rsidRDefault="0032495C" w:rsidP="00924C53">
            <w:pPr>
              <w:spacing w:after="0"/>
              <w:rPr>
                <w:rFonts w:eastAsia="Calibri"/>
                <w:lang w:eastAsia="ja-JP"/>
              </w:rPr>
            </w:pPr>
            <w:r w:rsidRPr="00A81971">
              <w:rPr>
                <w:rFonts w:eastAsia="Calibri"/>
                <w:lang w:eastAsia="ja-JP"/>
              </w:rPr>
              <w:t>Cost per country in US-$</w:t>
            </w:r>
          </w:p>
        </w:tc>
        <w:tc>
          <w:tcPr>
            <w:tcW w:w="1086" w:type="pct"/>
            <w:shd w:val="clear" w:color="auto" w:fill="D9E2F3" w:themeFill="accent1" w:themeFillTint="33"/>
            <w:vAlign w:val="center"/>
          </w:tcPr>
          <w:p w14:paraId="512F67BA" w14:textId="77777777" w:rsidR="0077230C" w:rsidRPr="00A81971" w:rsidRDefault="0032495C" w:rsidP="00924C53">
            <w:pPr>
              <w:spacing w:after="0"/>
              <w:rPr>
                <w:rFonts w:eastAsia="Calibri"/>
                <w:lang w:eastAsia="ja-JP"/>
              </w:rPr>
            </w:pPr>
            <w:r w:rsidRPr="00A81971">
              <w:rPr>
                <w:rFonts w:eastAsia="Calibri"/>
                <w:lang w:eastAsia="ja-JP"/>
              </w:rPr>
              <w:t>Number of countries</w:t>
            </w:r>
          </w:p>
        </w:tc>
        <w:tc>
          <w:tcPr>
            <w:tcW w:w="1415" w:type="pct"/>
            <w:shd w:val="clear" w:color="auto" w:fill="D9E2F3" w:themeFill="accent1" w:themeFillTint="33"/>
            <w:vAlign w:val="center"/>
          </w:tcPr>
          <w:p w14:paraId="22AB28D5" w14:textId="77777777" w:rsidR="0077230C" w:rsidRPr="00A81971" w:rsidRDefault="0032495C" w:rsidP="00924C53">
            <w:pPr>
              <w:spacing w:after="0"/>
              <w:rPr>
                <w:rFonts w:eastAsia="Calibri"/>
                <w:lang w:eastAsia="ja-JP"/>
              </w:rPr>
            </w:pPr>
            <w:r w:rsidRPr="00A81971">
              <w:rPr>
                <w:rFonts w:eastAsia="Calibri"/>
                <w:lang w:eastAsia="ja-JP"/>
              </w:rPr>
              <w:t>Total funding in US-$</w:t>
            </w:r>
          </w:p>
        </w:tc>
      </w:tr>
      <w:tr w:rsidR="00F90461" w14:paraId="10742F9E" w14:textId="77777777" w:rsidTr="00924C53">
        <w:trPr>
          <w:jc w:val="center"/>
        </w:trPr>
        <w:tc>
          <w:tcPr>
            <w:tcW w:w="998" w:type="pct"/>
            <w:vAlign w:val="center"/>
          </w:tcPr>
          <w:p w14:paraId="09A70FDE" w14:textId="77777777" w:rsidR="0077230C" w:rsidRPr="00A81971" w:rsidRDefault="0032495C" w:rsidP="00924C53">
            <w:pPr>
              <w:spacing w:after="0"/>
              <w:rPr>
                <w:rFonts w:eastAsia="Calibri"/>
                <w:lang w:eastAsia="ja-JP"/>
              </w:rPr>
            </w:pPr>
            <w:r w:rsidRPr="00A81971">
              <w:rPr>
                <w:rFonts w:eastAsia="Times New Roman"/>
              </w:rPr>
              <w:t>&gt;0 &lt;15</w:t>
            </w:r>
          </w:p>
        </w:tc>
        <w:tc>
          <w:tcPr>
            <w:tcW w:w="1501" w:type="pct"/>
            <w:vAlign w:val="center"/>
          </w:tcPr>
          <w:p w14:paraId="6918759D"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67,500.00 </w:t>
            </w:r>
          </w:p>
        </w:tc>
        <w:tc>
          <w:tcPr>
            <w:tcW w:w="1086" w:type="pct"/>
            <w:vAlign w:val="center"/>
          </w:tcPr>
          <w:p w14:paraId="6A64EA30" w14:textId="77777777" w:rsidR="0077230C" w:rsidRPr="00A81971" w:rsidRDefault="0032495C" w:rsidP="00924C53">
            <w:pPr>
              <w:spacing w:after="0"/>
              <w:jc w:val="right"/>
              <w:rPr>
                <w:rFonts w:eastAsia="Calibri"/>
                <w:lang w:eastAsia="ja-JP"/>
              </w:rPr>
            </w:pPr>
            <w:r w:rsidRPr="00A81971">
              <w:rPr>
                <w:rFonts w:eastAsia="Times New Roman"/>
              </w:rPr>
              <w:t>23</w:t>
            </w:r>
          </w:p>
        </w:tc>
        <w:tc>
          <w:tcPr>
            <w:tcW w:w="1415" w:type="pct"/>
            <w:vAlign w:val="center"/>
          </w:tcPr>
          <w:p w14:paraId="3C7931B1"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1,552,500 </w:t>
            </w:r>
          </w:p>
        </w:tc>
      </w:tr>
      <w:tr w:rsidR="00F90461" w14:paraId="11B6CF40" w14:textId="77777777" w:rsidTr="00924C53">
        <w:trPr>
          <w:jc w:val="center"/>
        </w:trPr>
        <w:tc>
          <w:tcPr>
            <w:tcW w:w="998" w:type="pct"/>
            <w:vAlign w:val="center"/>
          </w:tcPr>
          <w:p w14:paraId="54536B7B" w14:textId="77777777" w:rsidR="0077230C" w:rsidRPr="00A81971" w:rsidRDefault="0032495C" w:rsidP="00924C53">
            <w:pPr>
              <w:spacing w:after="0"/>
              <w:rPr>
                <w:rFonts w:eastAsia="Calibri"/>
                <w:lang w:eastAsia="ja-JP"/>
              </w:rPr>
            </w:pPr>
            <w:r w:rsidRPr="00A81971">
              <w:rPr>
                <w:rFonts w:eastAsia="Times New Roman"/>
              </w:rPr>
              <w:t>15 &lt;40</w:t>
            </w:r>
          </w:p>
        </w:tc>
        <w:tc>
          <w:tcPr>
            <w:tcW w:w="1501" w:type="pct"/>
            <w:vAlign w:val="center"/>
          </w:tcPr>
          <w:p w14:paraId="1F4F3889"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72,500.00 </w:t>
            </w:r>
          </w:p>
        </w:tc>
        <w:tc>
          <w:tcPr>
            <w:tcW w:w="1086" w:type="pct"/>
            <w:vAlign w:val="center"/>
          </w:tcPr>
          <w:p w14:paraId="3D3893FF" w14:textId="77777777" w:rsidR="0077230C" w:rsidRPr="00A81971" w:rsidRDefault="0032495C" w:rsidP="00924C53">
            <w:pPr>
              <w:spacing w:after="0"/>
              <w:jc w:val="right"/>
              <w:rPr>
                <w:rFonts w:eastAsia="Calibri"/>
                <w:lang w:eastAsia="ja-JP"/>
              </w:rPr>
            </w:pPr>
            <w:r w:rsidRPr="00A81971">
              <w:rPr>
                <w:rFonts w:eastAsia="Times New Roman"/>
              </w:rPr>
              <w:t>14</w:t>
            </w:r>
          </w:p>
        </w:tc>
        <w:tc>
          <w:tcPr>
            <w:tcW w:w="1415" w:type="pct"/>
            <w:vAlign w:val="center"/>
          </w:tcPr>
          <w:p w14:paraId="3E926844"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1,015,000 </w:t>
            </w:r>
          </w:p>
        </w:tc>
      </w:tr>
      <w:tr w:rsidR="00F90461" w14:paraId="7A2173E0" w14:textId="77777777" w:rsidTr="00924C53">
        <w:trPr>
          <w:jc w:val="center"/>
        </w:trPr>
        <w:tc>
          <w:tcPr>
            <w:tcW w:w="998" w:type="pct"/>
            <w:vAlign w:val="center"/>
          </w:tcPr>
          <w:p w14:paraId="2D3975DC" w14:textId="77777777" w:rsidR="0077230C" w:rsidRPr="00A81971" w:rsidRDefault="0032495C" w:rsidP="00924C53">
            <w:pPr>
              <w:spacing w:after="0"/>
              <w:rPr>
                <w:rFonts w:eastAsia="Calibri"/>
                <w:lang w:eastAsia="ja-JP"/>
              </w:rPr>
            </w:pPr>
            <w:r w:rsidRPr="00A81971">
              <w:rPr>
                <w:rFonts w:eastAsia="Times New Roman"/>
              </w:rPr>
              <w:t>40 &lt;80</w:t>
            </w:r>
          </w:p>
        </w:tc>
        <w:tc>
          <w:tcPr>
            <w:tcW w:w="1501" w:type="pct"/>
            <w:vAlign w:val="center"/>
          </w:tcPr>
          <w:p w14:paraId="106B47D3"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79,000.00 </w:t>
            </w:r>
          </w:p>
        </w:tc>
        <w:tc>
          <w:tcPr>
            <w:tcW w:w="1086" w:type="pct"/>
            <w:vAlign w:val="center"/>
          </w:tcPr>
          <w:p w14:paraId="7EAF2764" w14:textId="77777777" w:rsidR="0077230C" w:rsidRPr="00A81971" w:rsidRDefault="0032495C" w:rsidP="00924C53">
            <w:pPr>
              <w:spacing w:after="0"/>
              <w:jc w:val="right"/>
              <w:rPr>
                <w:rFonts w:eastAsia="Calibri"/>
                <w:lang w:eastAsia="ja-JP"/>
              </w:rPr>
            </w:pPr>
            <w:r w:rsidRPr="00A81971">
              <w:rPr>
                <w:rFonts w:eastAsia="Times New Roman"/>
              </w:rPr>
              <w:t>13</w:t>
            </w:r>
          </w:p>
        </w:tc>
        <w:tc>
          <w:tcPr>
            <w:tcW w:w="1415" w:type="pct"/>
            <w:vAlign w:val="center"/>
          </w:tcPr>
          <w:p w14:paraId="20871AF2"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1,027,000   </w:t>
            </w:r>
          </w:p>
        </w:tc>
      </w:tr>
      <w:tr w:rsidR="00F90461" w14:paraId="0A7397C9" w14:textId="77777777" w:rsidTr="00924C53">
        <w:trPr>
          <w:jc w:val="center"/>
        </w:trPr>
        <w:tc>
          <w:tcPr>
            <w:tcW w:w="998" w:type="pct"/>
            <w:vAlign w:val="center"/>
          </w:tcPr>
          <w:p w14:paraId="706760E4" w14:textId="77777777" w:rsidR="0077230C" w:rsidRPr="00A81971" w:rsidRDefault="0032495C" w:rsidP="00924C53">
            <w:pPr>
              <w:spacing w:after="0"/>
              <w:rPr>
                <w:rFonts w:eastAsia="Calibri"/>
                <w:lang w:eastAsia="ja-JP"/>
              </w:rPr>
            </w:pPr>
            <w:r w:rsidRPr="00A81971">
              <w:rPr>
                <w:rFonts w:eastAsia="Times New Roman"/>
              </w:rPr>
              <w:t>80 &lt;120</w:t>
            </w:r>
          </w:p>
        </w:tc>
        <w:tc>
          <w:tcPr>
            <w:tcW w:w="1501" w:type="pct"/>
            <w:vAlign w:val="center"/>
          </w:tcPr>
          <w:p w14:paraId="48FD093B"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85,000.00 </w:t>
            </w:r>
          </w:p>
        </w:tc>
        <w:tc>
          <w:tcPr>
            <w:tcW w:w="1086" w:type="pct"/>
            <w:vAlign w:val="center"/>
          </w:tcPr>
          <w:p w14:paraId="2E5806C2" w14:textId="77777777" w:rsidR="0077230C" w:rsidRPr="00A81971" w:rsidRDefault="0032495C" w:rsidP="00924C53">
            <w:pPr>
              <w:spacing w:after="0"/>
              <w:jc w:val="right"/>
              <w:rPr>
                <w:rFonts w:eastAsia="Calibri"/>
                <w:lang w:eastAsia="ja-JP"/>
              </w:rPr>
            </w:pPr>
            <w:r w:rsidRPr="00A81971">
              <w:rPr>
                <w:rFonts w:eastAsia="Times New Roman"/>
              </w:rPr>
              <w:t>11</w:t>
            </w:r>
          </w:p>
        </w:tc>
        <w:tc>
          <w:tcPr>
            <w:tcW w:w="1415" w:type="pct"/>
            <w:vAlign w:val="center"/>
          </w:tcPr>
          <w:p w14:paraId="020810A7"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935,000</w:t>
            </w:r>
          </w:p>
        </w:tc>
      </w:tr>
      <w:tr w:rsidR="00F90461" w14:paraId="588307BA" w14:textId="77777777" w:rsidTr="00924C53">
        <w:trPr>
          <w:jc w:val="center"/>
        </w:trPr>
        <w:tc>
          <w:tcPr>
            <w:tcW w:w="998" w:type="pct"/>
            <w:vAlign w:val="center"/>
          </w:tcPr>
          <w:p w14:paraId="0F92A795" w14:textId="77777777" w:rsidR="0077230C" w:rsidRPr="00A81971" w:rsidRDefault="0032495C" w:rsidP="00924C53">
            <w:pPr>
              <w:spacing w:after="0"/>
              <w:rPr>
                <w:rFonts w:eastAsia="Calibri"/>
                <w:lang w:eastAsia="ja-JP"/>
              </w:rPr>
            </w:pPr>
            <w:r w:rsidRPr="00A81971">
              <w:rPr>
                <w:rFonts w:eastAsia="Times New Roman"/>
              </w:rPr>
              <w:t>120 &lt;160</w:t>
            </w:r>
          </w:p>
        </w:tc>
        <w:tc>
          <w:tcPr>
            <w:tcW w:w="1501" w:type="pct"/>
            <w:vAlign w:val="center"/>
          </w:tcPr>
          <w:p w14:paraId="0833B406"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90,000.00 </w:t>
            </w:r>
          </w:p>
        </w:tc>
        <w:tc>
          <w:tcPr>
            <w:tcW w:w="1086" w:type="pct"/>
            <w:vAlign w:val="center"/>
          </w:tcPr>
          <w:p w14:paraId="428DF78D" w14:textId="77777777" w:rsidR="0077230C" w:rsidRPr="00A81971" w:rsidRDefault="0032495C" w:rsidP="00924C53">
            <w:pPr>
              <w:spacing w:after="0"/>
              <w:jc w:val="right"/>
              <w:rPr>
                <w:rFonts w:eastAsia="Calibri"/>
                <w:lang w:eastAsia="ja-JP"/>
              </w:rPr>
            </w:pPr>
            <w:r w:rsidRPr="00A81971">
              <w:rPr>
                <w:rFonts w:eastAsia="Times New Roman"/>
              </w:rPr>
              <w:t>9</w:t>
            </w:r>
          </w:p>
        </w:tc>
        <w:tc>
          <w:tcPr>
            <w:tcW w:w="1415" w:type="pct"/>
            <w:vAlign w:val="center"/>
          </w:tcPr>
          <w:p w14:paraId="5B5EA23E"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810,000</w:t>
            </w:r>
          </w:p>
        </w:tc>
      </w:tr>
      <w:tr w:rsidR="00F90461" w14:paraId="5B954847" w14:textId="77777777" w:rsidTr="00924C53">
        <w:trPr>
          <w:jc w:val="center"/>
        </w:trPr>
        <w:tc>
          <w:tcPr>
            <w:tcW w:w="998" w:type="pct"/>
            <w:vAlign w:val="center"/>
          </w:tcPr>
          <w:p w14:paraId="35CC574B" w14:textId="77777777" w:rsidR="0077230C" w:rsidRPr="00A81971" w:rsidRDefault="0032495C" w:rsidP="00924C53">
            <w:pPr>
              <w:spacing w:after="0"/>
              <w:rPr>
                <w:rFonts w:eastAsia="Calibri"/>
                <w:lang w:eastAsia="ja-JP"/>
              </w:rPr>
            </w:pPr>
            <w:r w:rsidRPr="00A81971">
              <w:rPr>
                <w:rFonts w:eastAsia="Times New Roman"/>
              </w:rPr>
              <w:t>160 &lt;200</w:t>
            </w:r>
          </w:p>
        </w:tc>
        <w:tc>
          <w:tcPr>
            <w:tcW w:w="1501" w:type="pct"/>
            <w:vAlign w:val="center"/>
          </w:tcPr>
          <w:p w14:paraId="7B3DA139"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95,000.00 </w:t>
            </w:r>
          </w:p>
        </w:tc>
        <w:tc>
          <w:tcPr>
            <w:tcW w:w="1086" w:type="pct"/>
            <w:vAlign w:val="center"/>
          </w:tcPr>
          <w:p w14:paraId="065F04C4" w14:textId="77777777" w:rsidR="0077230C" w:rsidRPr="00A81971" w:rsidRDefault="0032495C" w:rsidP="00924C53">
            <w:pPr>
              <w:spacing w:after="0"/>
              <w:jc w:val="right"/>
              <w:rPr>
                <w:rFonts w:eastAsia="Calibri"/>
                <w:lang w:eastAsia="ja-JP"/>
              </w:rPr>
            </w:pPr>
            <w:r w:rsidRPr="00A81971">
              <w:rPr>
                <w:rFonts w:eastAsia="Times New Roman"/>
              </w:rPr>
              <w:t>3</w:t>
            </w:r>
          </w:p>
        </w:tc>
        <w:tc>
          <w:tcPr>
            <w:tcW w:w="1415" w:type="pct"/>
            <w:vAlign w:val="center"/>
          </w:tcPr>
          <w:p w14:paraId="06468CD4"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285,000</w:t>
            </w:r>
          </w:p>
        </w:tc>
      </w:tr>
      <w:tr w:rsidR="00F90461" w14:paraId="232F1BE8" w14:textId="77777777" w:rsidTr="00924C53">
        <w:trPr>
          <w:jc w:val="center"/>
        </w:trPr>
        <w:tc>
          <w:tcPr>
            <w:tcW w:w="998" w:type="pct"/>
            <w:vAlign w:val="center"/>
          </w:tcPr>
          <w:p w14:paraId="0902AC87" w14:textId="77777777" w:rsidR="0077230C" w:rsidRPr="00A81971" w:rsidRDefault="0032495C" w:rsidP="00924C53">
            <w:pPr>
              <w:spacing w:after="0"/>
              <w:rPr>
                <w:rFonts w:eastAsia="Calibri"/>
                <w:lang w:eastAsia="ja-JP"/>
              </w:rPr>
            </w:pPr>
            <w:r w:rsidRPr="00A81971">
              <w:rPr>
                <w:rFonts w:eastAsia="Times New Roman"/>
              </w:rPr>
              <w:t>200 &lt;300</w:t>
            </w:r>
          </w:p>
        </w:tc>
        <w:tc>
          <w:tcPr>
            <w:tcW w:w="1501" w:type="pct"/>
            <w:vAlign w:val="center"/>
          </w:tcPr>
          <w:p w14:paraId="46A17DA0"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162,500.00 </w:t>
            </w:r>
          </w:p>
        </w:tc>
        <w:tc>
          <w:tcPr>
            <w:tcW w:w="1086" w:type="pct"/>
            <w:vAlign w:val="center"/>
          </w:tcPr>
          <w:p w14:paraId="3C5D4103" w14:textId="77777777" w:rsidR="0077230C" w:rsidRPr="00A81971" w:rsidRDefault="0032495C" w:rsidP="00924C53">
            <w:pPr>
              <w:spacing w:after="0"/>
              <w:jc w:val="right"/>
              <w:rPr>
                <w:rFonts w:eastAsia="Calibri"/>
                <w:lang w:eastAsia="ja-JP"/>
              </w:rPr>
            </w:pPr>
            <w:r w:rsidRPr="00A81971">
              <w:rPr>
                <w:rFonts w:eastAsia="Times New Roman"/>
              </w:rPr>
              <w:t>11</w:t>
            </w:r>
          </w:p>
        </w:tc>
        <w:tc>
          <w:tcPr>
            <w:tcW w:w="1415" w:type="pct"/>
            <w:vAlign w:val="center"/>
          </w:tcPr>
          <w:p w14:paraId="6093DA6B"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1,787,500</w:t>
            </w:r>
          </w:p>
        </w:tc>
      </w:tr>
      <w:tr w:rsidR="00F90461" w14:paraId="7334E083" w14:textId="77777777" w:rsidTr="00924C53">
        <w:trPr>
          <w:jc w:val="center"/>
        </w:trPr>
        <w:tc>
          <w:tcPr>
            <w:tcW w:w="998" w:type="pct"/>
            <w:vAlign w:val="center"/>
          </w:tcPr>
          <w:p w14:paraId="614E4F5F" w14:textId="77777777" w:rsidR="0077230C" w:rsidRPr="00A81971" w:rsidRDefault="0032495C" w:rsidP="00924C53">
            <w:pPr>
              <w:spacing w:after="0"/>
              <w:rPr>
                <w:rFonts w:eastAsia="Calibri"/>
                <w:lang w:eastAsia="ja-JP"/>
              </w:rPr>
            </w:pPr>
            <w:r w:rsidRPr="00A81971">
              <w:rPr>
                <w:rFonts w:eastAsia="Times New Roman"/>
              </w:rPr>
              <w:t>300 &lt;360</w:t>
            </w:r>
          </w:p>
        </w:tc>
        <w:tc>
          <w:tcPr>
            <w:tcW w:w="1501" w:type="pct"/>
            <w:vAlign w:val="center"/>
          </w:tcPr>
          <w:p w14:paraId="1447E347"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180,000.00 </w:t>
            </w:r>
          </w:p>
        </w:tc>
        <w:tc>
          <w:tcPr>
            <w:tcW w:w="1086" w:type="pct"/>
            <w:vAlign w:val="center"/>
          </w:tcPr>
          <w:p w14:paraId="24E6E69F" w14:textId="77777777" w:rsidR="0077230C" w:rsidRPr="00A81971" w:rsidRDefault="0032495C" w:rsidP="00924C53">
            <w:pPr>
              <w:spacing w:after="0"/>
              <w:jc w:val="right"/>
              <w:rPr>
                <w:rFonts w:eastAsia="Calibri"/>
                <w:lang w:eastAsia="ja-JP"/>
              </w:rPr>
            </w:pPr>
            <w:r w:rsidRPr="00A81971">
              <w:rPr>
                <w:rFonts w:eastAsia="Times New Roman"/>
              </w:rPr>
              <w:t>10</w:t>
            </w:r>
          </w:p>
        </w:tc>
        <w:tc>
          <w:tcPr>
            <w:tcW w:w="1415" w:type="pct"/>
            <w:vAlign w:val="center"/>
          </w:tcPr>
          <w:p w14:paraId="492A34B5"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1,800,000</w:t>
            </w:r>
          </w:p>
        </w:tc>
      </w:tr>
      <w:tr w:rsidR="00F90461" w14:paraId="18393C48" w14:textId="77777777" w:rsidTr="00924C53">
        <w:trPr>
          <w:jc w:val="center"/>
        </w:trPr>
        <w:tc>
          <w:tcPr>
            <w:tcW w:w="998" w:type="pct"/>
            <w:vAlign w:val="center"/>
          </w:tcPr>
          <w:p w14:paraId="4E95FCD9" w14:textId="77777777" w:rsidR="0077230C" w:rsidRPr="00A81971" w:rsidRDefault="0032495C" w:rsidP="00924C53">
            <w:pPr>
              <w:spacing w:after="0"/>
              <w:rPr>
                <w:rFonts w:eastAsia="Calibri"/>
                <w:lang w:eastAsia="ja-JP"/>
              </w:rPr>
            </w:pPr>
            <w:r w:rsidRPr="00A81971">
              <w:rPr>
                <w:rFonts w:eastAsia="Times New Roman"/>
              </w:rPr>
              <w:t>larger countries</w:t>
            </w:r>
          </w:p>
        </w:tc>
        <w:tc>
          <w:tcPr>
            <w:tcW w:w="1501" w:type="pct"/>
            <w:vAlign w:val="center"/>
          </w:tcPr>
          <w:p w14:paraId="6B11E307"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 xml:space="preserve">180,000.00 </w:t>
            </w:r>
          </w:p>
        </w:tc>
        <w:tc>
          <w:tcPr>
            <w:tcW w:w="1086" w:type="pct"/>
            <w:vAlign w:val="center"/>
          </w:tcPr>
          <w:p w14:paraId="283F6759" w14:textId="77777777" w:rsidR="0077230C" w:rsidRPr="00A81971" w:rsidRDefault="0032495C" w:rsidP="00924C53">
            <w:pPr>
              <w:spacing w:after="0"/>
              <w:jc w:val="right"/>
              <w:rPr>
                <w:rFonts w:eastAsia="Calibri"/>
                <w:lang w:eastAsia="ja-JP"/>
              </w:rPr>
            </w:pPr>
            <w:r w:rsidRPr="00A81971">
              <w:rPr>
                <w:rFonts w:eastAsia="Times New Roman"/>
              </w:rPr>
              <w:t>50</w:t>
            </w:r>
          </w:p>
        </w:tc>
        <w:tc>
          <w:tcPr>
            <w:tcW w:w="1415" w:type="pct"/>
            <w:vAlign w:val="center"/>
          </w:tcPr>
          <w:p w14:paraId="236C9913" w14:textId="77777777" w:rsidR="0077230C" w:rsidRPr="00A81971" w:rsidRDefault="0032495C" w:rsidP="00924C53">
            <w:pPr>
              <w:widowControl w:val="0"/>
              <w:autoSpaceDE w:val="0"/>
              <w:autoSpaceDN w:val="0"/>
              <w:spacing w:after="0"/>
              <w:jc w:val="right"/>
              <w:rPr>
                <w:rFonts w:eastAsia="Calibri"/>
                <w:lang w:eastAsia="ja-JP"/>
              </w:rPr>
            </w:pPr>
            <w:r w:rsidRPr="00A81971">
              <w:rPr>
                <w:rFonts w:eastAsia="Times New Roman"/>
              </w:rPr>
              <w:t>9,000,000</w:t>
            </w:r>
          </w:p>
        </w:tc>
      </w:tr>
      <w:tr w:rsidR="00F90461" w14:paraId="2056234A" w14:textId="77777777" w:rsidTr="00924C53">
        <w:trPr>
          <w:jc w:val="center"/>
        </w:trPr>
        <w:tc>
          <w:tcPr>
            <w:tcW w:w="3585" w:type="pct"/>
            <w:gridSpan w:val="3"/>
            <w:shd w:val="clear" w:color="auto" w:fill="FFFF00"/>
            <w:vAlign w:val="center"/>
          </w:tcPr>
          <w:p w14:paraId="66CA497B" w14:textId="77777777" w:rsidR="0077230C" w:rsidRPr="00A81971" w:rsidRDefault="0032495C" w:rsidP="00924C53">
            <w:pPr>
              <w:spacing w:after="0"/>
              <w:jc w:val="right"/>
              <w:rPr>
                <w:rFonts w:eastAsia="Times New Roman"/>
              </w:rPr>
            </w:pPr>
            <w:r w:rsidRPr="00A81971">
              <w:rPr>
                <w:rFonts w:eastAsia="Times New Roman"/>
              </w:rPr>
              <w:t>Total</w:t>
            </w:r>
          </w:p>
        </w:tc>
        <w:tc>
          <w:tcPr>
            <w:tcW w:w="1415" w:type="pct"/>
            <w:shd w:val="clear" w:color="auto" w:fill="FFFF00"/>
            <w:vAlign w:val="center"/>
          </w:tcPr>
          <w:p w14:paraId="7971DDC7" w14:textId="77777777" w:rsidR="0077230C" w:rsidRPr="00A81971" w:rsidRDefault="0032495C" w:rsidP="00924C53">
            <w:pPr>
              <w:widowControl w:val="0"/>
              <w:autoSpaceDE w:val="0"/>
              <w:autoSpaceDN w:val="0"/>
              <w:spacing w:after="0"/>
              <w:jc w:val="right"/>
              <w:rPr>
                <w:rFonts w:eastAsia="Times New Roman"/>
              </w:rPr>
            </w:pPr>
            <w:r w:rsidRPr="00A81971">
              <w:rPr>
                <w:rFonts w:eastAsia="Times New Roman"/>
              </w:rPr>
              <w:t>18,</w:t>
            </w:r>
            <w:r w:rsidR="00D15CA4" w:rsidRPr="00A81971">
              <w:rPr>
                <w:rFonts w:eastAsia="Times New Roman"/>
              </w:rPr>
              <w:t>212</w:t>
            </w:r>
            <w:r w:rsidRPr="00A81971">
              <w:rPr>
                <w:rFonts w:eastAsia="Times New Roman"/>
              </w:rPr>
              <w:t>,000</w:t>
            </w:r>
          </w:p>
        </w:tc>
      </w:tr>
    </w:tbl>
    <w:p w14:paraId="23949B70" w14:textId="77777777" w:rsidR="0077230C" w:rsidRPr="00A81971" w:rsidRDefault="0077230C" w:rsidP="0077230C">
      <w:pPr>
        <w:widowControl w:val="0"/>
        <w:autoSpaceDE w:val="0"/>
        <w:autoSpaceDN w:val="0"/>
        <w:spacing w:after="0"/>
        <w:rPr>
          <w:rFonts w:eastAsia="Times New Roman"/>
        </w:rPr>
      </w:pPr>
    </w:p>
    <w:p w14:paraId="171BCB17" w14:textId="77777777" w:rsidR="0077230C" w:rsidRPr="00A81971" w:rsidRDefault="0032495C" w:rsidP="0077230C">
      <w:pPr>
        <w:widowControl w:val="0"/>
        <w:autoSpaceDE w:val="0"/>
        <w:autoSpaceDN w:val="0"/>
        <w:spacing w:after="0"/>
        <w:rPr>
          <w:rFonts w:eastAsia="Times New Roman"/>
        </w:rPr>
      </w:pPr>
      <w:r w:rsidRPr="00A81971">
        <w:rPr>
          <w:rFonts w:eastAsia="Times New Roman"/>
        </w:rPr>
        <w:t xml:space="preserve">In total, the RTF estimates that this recovery activity would require an additional funding of </w:t>
      </w:r>
      <w:r w:rsidRPr="00A81971">
        <w:rPr>
          <w:rFonts w:eastAsia="Times New Roman"/>
          <w:b/>
          <w:bCs/>
        </w:rPr>
        <w:t>US$ 18,212,000</w:t>
      </w:r>
      <w:r w:rsidR="00263FDF" w:rsidRPr="00A81971">
        <w:rPr>
          <w:rFonts w:eastAsia="Times New Roman"/>
          <w:b/>
          <w:bCs/>
        </w:rPr>
        <w:t>.</w:t>
      </w:r>
    </w:p>
    <w:p w14:paraId="204AFC10" w14:textId="77777777" w:rsidR="0077230C" w:rsidRPr="00A81971" w:rsidRDefault="0077230C" w:rsidP="0077230C">
      <w:pPr>
        <w:widowControl w:val="0"/>
        <w:autoSpaceDE w:val="0"/>
        <w:autoSpaceDN w:val="0"/>
        <w:spacing w:after="0"/>
        <w:rPr>
          <w:rFonts w:eastAsia="Times New Roman"/>
        </w:rPr>
      </w:pPr>
    </w:p>
    <w:p w14:paraId="77B4A8F5" w14:textId="77777777" w:rsidR="0077230C" w:rsidRPr="00A81971" w:rsidRDefault="0032495C" w:rsidP="00201CFA">
      <w:pPr>
        <w:pStyle w:val="Heading2"/>
      </w:pPr>
      <w:bookmarkStart w:id="269" w:name="_Toc240987366"/>
      <w:r w:rsidRPr="00A81971">
        <w:t>A6.2</w:t>
      </w:r>
      <w:r w:rsidRPr="00A81971">
        <w:tab/>
        <w:t>Module 2–Reclamation</w:t>
      </w:r>
      <w:bookmarkEnd w:id="269"/>
      <w:r w:rsidRPr="00A81971">
        <w:t xml:space="preserve"> </w:t>
      </w:r>
    </w:p>
    <w:p w14:paraId="68C2B337" w14:textId="77777777" w:rsidR="00E7555A" w:rsidRPr="003644F5" w:rsidRDefault="0032495C" w:rsidP="00C65590">
      <w:pPr>
        <w:spacing w:after="0"/>
      </w:pPr>
      <w:r w:rsidRPr="003644F5">
        <w:rPr>
          <w:rFonts w:eastAsia="Calibri"/>
          <w:lang w:eastAsia="ja-JP"/>
        </w:rPr>
        <w:t>Module 2 addresses the downstream management of refrigerant that has been recovered and collected under Module 1.</w:t>
      </w:r>
      <w:r w:rsidRPr="00A81971">
        <w:rPr>
          <w:rFonts w:eastAsia="Calibri"/>
          <w:lang w:eastAsia="ja-JP"/>
        </w:rPr>
        <w:t xml:space="preserve"> </w:t>
      </w:r>
      <w:r w:rsidRPr="003644F5">
        <w:t>The objective is to increase the proportion of recovered refrigerant that can be safely returned to the market through reclamation or, where domestic reclamation is not viable, through export to an appropriate reclamation facility.</w:t>
      </w:r>
    </w:p>
    <w:p w14:paraId="10623AB2" w14:textId="77777777" w:rsidR="0077230C" w:rsidRPr="00A81971" w:rsidRDefault="0077230C" w:rsidP="0077230C">
      <w:pPr>
        <w:spacing w:after="0"/>
        <w:rPr>
          <w:rFonts w:eastAsia="Calibri"/>
          <w:b/>
          <w:bCs/>
          <w:lang w:eastAsia="ja-JP"/>
        </w:rPr>
      </w:pPr>
    </w:p>
    <w:p w14:paraId="23727FDB" w14:textId="77777777" w:rsidR="0077230C" w:rsidRPr="00FE5C31" w:rsidRDefault="0032495C" w:rsidP="002E3156">
      <w:pPr>
        <w:pStyle w:val="Heading3"/>
      </w:pPr>
      <w:r w:rsidRPr="00FE5C31">
        <w:t>A6.2.1</w:t>
      </w:r>
      <w:r w:rsidRPr="00FE5C31">
        <w:tab/>
        <w:t>Module 2a - RRR centres have been created in countries during the HPMP and further improved at KIPs but not in many LVCs</w:t>
      </w:r>
    </w:p>
    <w:p w14:paraId="7A9FA915" w14:textId="77777777" w:rsidR="0077230C" w:rsidRPr="00A81971" w:rsidRDefault="0077230C" w:rsidP="0077230C">
      <w:pPr>
        <w:spacing w:after="0"/>
        <w:jc w:val="both"/>
        <w:rPr>
          <w:rFonts w:eastAsia="Calibri"/>
          <w:lang w:eastAsia="ja-JP"/>
        </w:rPr>
      </w:pPr>
    </w:p>
    <w:p w14:paraId="5A267121" w14:textId="77777777" w:rsidR="0077230C" w:rsidRPr="00A81971" w:rsidRDefault="0032495C" w:rsidP="0077230C">
      <w:pPr>
        <w:spacing w:after="0"/>
        <w:jc w:val="both"/>
        <w:rPr>
          <w:rFonts w:eastAsia="Calibri"/>
          <w:lang w:eastAsia="ja-JP"/>
        </w:rPr>
      </w:pPr>
      <w:r w:rsidRPr="00A81971">
        <w:rPr>
          <w:rFonts w:eastAsia="Calibri"/>
          <w:lang w:eastAsia="ja-JP"/>
        </w:rPr>
        <w:t>This module provides for parties the opportunity to establish national business models for reclamation. Depending on market size, geography, and existing distribution networks, the optimal structure may differ from one party to another. The model does not prescribe a single institutional form, but it does assume that better refrigerant identification, laboratory support, and verification systems increase the share of recovered refrigerant that can be safely returned to the market. The institutional form might be identified in the action plans funded under 91/66</w:t>
      </w:r>
    </w:p>
    <w:p w14:paraId="0FCEEB6A" w14:textId="77777777" w:rsidR="0077230C" w:rsidRPr="00A81971" w:rsidRDefault="0077230C" w:rsidP="0077230C">
      <w:pPr>
        <w:spacing w:after="0"/>
        <w:jc w:val="both"/>
        <w:rPr>
          <w:rFonts w:eastAsia="Calibri"/>
          <w:lang w:eastAsia="ja-JP"/>
        </w:rPr>
      </w:pPr>
    </w:p>
    <w:p w14:paraId="1029EE9E" w14:textId="77777777" w:rsidR="0077230C" w:rsidRPr="00A81971" w:rsidRDefault="0032495C" w:rsidP="0077230C">
      <w:pPr>
        <w:spacing w:after="0"/>
        <w:rPr>
          <w:rFonts w:eastAsia="Calibri"/>
          <w:lang w:eastAsia="ja-JP"/>
        </w:rPr>
      </w:pPr>
      <w:r w:rsidRPr="00A81971">
        <w:rPr>
          <w:rFonts w:eastAsia="Calibri"/>
          <w:lang w:eastAsia="ja-JP"/>
        </w:rPr>
        <w:t>Assumptions are that:</w:t>
      </w:r>
    </w:p>
    <w:p w14:paraId="33B3E436" w14:textId="77777777" w:rsidR="0077230C" w:rsidRPr="00A81971" w:rsidRDefault="0032495C" w:rsidP="007A20BD">
      <w:pPr>
        <w:widowControl w:val="0"/>
        <w:numPr>
          <w:ilvl w:val="0"/>
          <w:numId w:val="55"/>
        </w:numPr>
        <w:autoSpaceDE w:val="0"/>
        <w:autoSpaceDN w:val="0"/>
        <w:spacing w:after="0"/>
        <w:contextualSpacing/>
        <w:rPr>
          <w:rFonts w:eastAsia="Calibri"/>
          <w:lang w:eastAsia="ja-JP"/>
        </w:rPr>
      </w:pPr>
      <w:r w:rsidRPr="00A81971">
        <w:rPr>
          <w:rFonts w:eastAsia="Calibri"/>
          <w:lang w:eastAsia="ja-JP"/>
        </w:rPr>
        <w:t>Basic reclamation infrastructure (RRR centres) already exists in some LVCs;</w:t>
      </w:r>
    </w:p>
    <w:p w14:paraId="1746CA08" w14:textId="77777777" w:rsidR="0077230C" w:rsidRPr="00A81971" w:rsidRDefault="0032495C" w:rsidP="007A20BD">
      <w:pPr>
        <w:widowControl w:val="0"/>
        <w:numPr>
          <w:ilvl w:val="0"/>
          <w:numId w:val="55"/>
        </w:numPr>
        <w:autoSpaceDE w:val="0"/>
        <w:autoSpaceDN w:val="0"/>
        <w:spacing w:after="0"/>
        <w:contextualSpacing/>
        <w:rPr>
          <w:rFonts w:eastAsia="Calibri"/>
          <w:lang w:eastAsia="ja-JP"/>
        </w:rPr>
      </w:pPr>
      <w:r w:rsidRPr="00A81971">
        <w:rPr>
          <w:rFonts w:eastAsia="Calibri"/>
          <w:lang w:eastAsia="ja-JP"/>
        </w:rPr>
        <w:t>A gap is identification and testing capacity;</w:t>
      </w:r>
    </w:p>
    <w:p w14:paraId="11C1434A" w14:textId="77777777" w:rsidR="0077230C" w:rsidRPr="00A81971" w:rsidRDefault="0032495C" w:rsidP="007A20BD">
      <w:pPr>
        <w:widowControl w:val="0"/>
        <w:numPr>
          <w:ilvl w:val="0"/>
          <w:numId w:val="55"/>
        </w:numPr>
        <w:autoSpaceDE w:val="0"/>
        <w:autoSpaceDN w:val="0"/>
        <w:spacing w:after="0"/>
        <w:contextualSpacing/>
        <w:rPr>
          <w:rFonts w:eastAsia="Calibri"/>
          <w:lang w:eastAsia="ja-JP"/>
        </w:rPr>
      </w:pPr>
      <w:r w:rsidRPr="00A81971">
        <w:rPr>
          <w:rFonts w:eastAsia="Calibri"/>
          <w:lang w:eastAsia="ja-JP"/>
        </w:rPr>
        <w:t>Market uptake of reclaimed refrigerant depends on confidence in quality;</w:t>
      </w:r>
    </w:p>
    <w:p w14:paraId="3E3F3211" w14:textId="77777777" w:rsidR="0077230C" w:rsidRPr="00A81971" w:rsidRDefault="0032495C" w:rsidP="007A20BD">
      <w:pPr>
        <w:widowControl w:val="0"/>
        <w:numPr>
          <w:ilvl w:val="0"/>
          <w:numId w:val="55"/>
        </w:numPr>
        <w:autoSpaceDE w:val="0"/>
        <w:autoSpaceDN w:val="0"/>
        <w:spacing w:after="0"/>
        <w:contextualSpacing/>
        <w:rPr>
          <w:rFonts w:eastAsia="Calibri"/>
          <w:lang w:eastAsia="ja-JP"/>
        </w:rPr>
      </w:pPr>
      <w:r w:rsidRPr="00A81971">
        <w:rPr>
          <w:rFonts w:eastAsia="Calibri"/>
          <w:lang w:eastAsia="ja-JP"/>
        </w:rPr>
        <w:t>Without testing and certification, recovered refrigerant has limited value.</w:t>
      </w:r>
    </w:p>
    <w:p w14:paraId="19709B42" w14:textId="77777777" w:rsidR="0077230C" w:rsidRPr="00A81971" w:rsidRDefault="0077230C" w:rsidP="0077230C">
      <w:pPr>
        <w:spacing w:after="0"/>
        <w:rPr>
          <w:rFonts w:eastAsia="Calibri"/>
          <w:lang w:eastAsia="ja-JP"/>
        </w:rPr>
      </w:pPr>
    </w:p>
    <w:p w14:paraId="1000E7BB" w14:textId="77777777" w:rsidR="0077230C" w:rsidRPr="00A81971" w:rsidRDefault="0032495C" w:rsidP="0077230C">
      <w:pPr>
        <w:spacing w:after="0"/>
        <w:rPr>
          <w:rFonts w:eastAsia="Calibri"/>
          <w:lang w:eastAsia="ja-JP"/>
        </w:rPr>
      </w:pPr>
      <w:r w:rsidRPr="00A81971">
        <w:rPr>
          <w:rFonts w:eastAsia="Calibri"/>
          <w:lang w:eastAsia="ja-JP"/>
        </w:rPr>
        <w:t>The presence of reclamation infrastructure does not necessarily result in effective reclamation. In many cases, RRR centres are underutilized due to both limited gas recovery reaching the Centre (demand) and limited confidence in the quality of recovered refrigerant (supply).</w:t>
      </w:r>
    </w:p>
    <w:p w14:paraId="0DC69F9E" w14:textId="77777777" w:rsidR="0077230C" w:rsidRPr="00A81971" w:rsidRDefault="0077230C" w:rsidP="0077230C">
      <w:pPr>
        <w:autoSpaceDE w:val="0"/>
        <w:autoSpaceDN w:val="0"/>
        <w:spacing w:after="0"/>
        <w:rPr>
          <w:rFonts w:eastAsia="Calibri"/>
          <w:lang w:eastAsia="ja-JP"/>
        </w:rPr>
      </w:pPr>
    </w:p>
    <w:p w14:paraId="17E62A19" w14:textId="77777777" w:rsidR="0077230C" w:rsidRPr="00A81971" w:rsidRDefault="0077230C" w:rsidP="0077230C">
      <w:pPr>
        <w:spacing w:after="0"/>
        <w:rPr>
          <w:rFonts w:eastAsia="Calibri"/>
          <w:lang w:eastAsia="ja-JP"/>
        </w:rPr>
      </w:pPr>
    </w:p>
    <w:p w14:paraId="73E9AF4F" w14:textId="77777777" w:rsidR="0077230C" w:rsidRPr="00A81971" w:rsidRDefault="0032495C" w:rsidP="0077230C">
      <w:pPr>
        <w:spacing w:after="0"/>
        <w:rPr>
          <w:rFonts w:eastAsia="Calibri"/>
          <w:lang w:eastAsia="ja-JP"/>
        </w:rPr>
      </w:pPr>
      <w:r w:rsidRPr="00A81971">
        <w:rPr>
          <w:rFonts w:eastAsia="Calibri"/>
          <w:lang w:eastAsia="ja-JP"/>
        </w:rPr>
        <w:t xml:space="preserve">Parties have had set-up RRR centres, but these might not be sufficient to cover the entire region or </w:t>
      </w:r>
      <w:r w:rsidR="000A126F" w:rsidRPr="00A81971">
        <w:rPr>
          <w:rFonts w:eastAsia="Calibri"/>
          <w:lang w:eastAsia="ja-JP"/>
        </w:rPr>
        <w:t>a</w:t>
      </w:r>
      <w:r w:rsidR="001C17FA" w:rsidRPr="00A81971">
        <w:rPr>
          <w:rFonts w:eastAsia="Calibri"/>
          <w:lang w:eastAsia="ja-JP"/>
        </w:rPr>
        <w:t>rea</w:t>
      </w:r>
      <w:r w:rsidRPr="00A81971">
        <w:rPr>
          <w:rFonts w:eastAsia="Calibri"/>
          <w:lang w:eastAsia="ja-JP"/>
        </w:rPr>
        <w:t xml:space="preserve"> within a country, and this module could provide funding, particularly for LVCs and VLVCs, for their set-up.</w:t>
      </w:r>
    </w:p>
    <w:p w14:paraId="66F76CAC" w14:textId="77777777" w:rsidR="0077230C" w:rsidRPr="00A81971" w:rsidRDefault="0077230C" w:rsidP="0077230C">
      <w:pPr>
        <w:spacing w:after="0"/>
        <w:rPr>
          <w:rFonts w:eastAsia="Calibri"/>
          <w:lang w:eastAsia="ja-JP"/>
        </w:rPr>
      </w:pPr>
    </w:p>
    <w:p w14:paraId="3D10EFCE" w14:textId="77777777" w:rsidR="0077230C" w:rsidRPr="00A81971" w:rsidRDefault="0032495C" w:rsidP="0077230C">
      <w:pPr>
        <w:spacing w:after="0"/>
        <w:rPr>
          <w:rFonts w:eastAsia="Calibri"/>
          <w:lang w:eastAsia="ja-JP"/>
        </w:rPr>
      </w:pPr>
      <w:r w:rsidRPr="00A81971">
        <w:rPr>
          <w:rFonts w:eastAsia="Calibri"/>
          <w:lang w:eastAsia="ja-JP"/>
        </w:rPr>
        <w:t xml:space="preserve">Among the activities and resources considered in the module is testing and verification. First, centres should have the ability to identify, test, and verify refrigerant streams. Without these functions, recovered refrigerant cannot reliably enter the market, regardless of available infrastructure.  </w:t>
      </w:r>
    </w:p>
    <w:p w14:paraId="4DCC8C33" w14:textId="77777777" w:rsidR="0077230C" w:rsidRPr="00A81971" w:rsidRDefault="0077230C" w:rsidP="0077230C">
      <w:pPr>
        <w:spacing w:after="0"/>
        <w:rPr>
          <w:rFonts w:eastAsia="Calibri"/>
          <w:lang w:eastAsia="ja-JP"/>
        </w:rPr>
      </w:pPr>
    </w:p>
    <w:p w14:paraId="3B2B5C9D" w14:textId="77777777" w:rsidR="0077230C" w:rsidRPr="00A81971" w:rsidRDefault="0032495C" w:rsidP="003644F5">
      <w:pPr>
        <w:tabs>
          <w:tab w:val="left" w:pos="0"/>
          <w:tab w:val="left" w:pos="1276"/>
        </w:tabs>
        <w:spacing w:after="120"/>
        <w:ind w:left="1282" w:hanging="1282"/>
        <w:rPr>
          <w:rFonts w:eastAsia="Calibri"/>
          <w:lang w:eastAsia="ja-JP"/>
        </w:rPr>
      </w:pPr>
      <w:r w:rsidRPr="0006445E">
        <w:rPr>
          <w:rFonts w:eastAsia="Yu Mincho"/>
          <w:b/>
          <w:bCs/>
          <w:color w:val="000000"/>
          <w:lang w:val="en-CA"/>
        </w:rPr>
        <w:t xml:space="preserve">Table </w:t>
      </w:r>
      <w:r>
        <w:rPr>
          <w:rFonts w:eastAsia="Yu Mincho"/>
          <w:b/>
          <w:bCs/>
          <w:color w:val="000000"/>
          <w:lang w:val="en-CA"/>
        </w:rPr>
        <w:t>A6.5:</w:t>
      </w:r>
      <w:r w:rsidRPr="0006445E">
        <w:rPr>
          <w:rFonts w:eastAsia="Times New Roman"/>
          <w:color w:val="000000"/>
          <w:lang w:val="en-CA"/>
        </w:rPr>
        <w:tab/>
      </w:r>
      <w:r w:rsidRPr="00A04930">
        <w:rPr>
          <w:rFonts w:eastAsia="Times New Roman"/>
          <w:b/>
          <w:bCs/>
          <w:color w:val="000000"/>
          <w:lang w:val="en-CA"/>
        </w:rPr>
        <w:t>C</w:t>
      </w:r>
      <w:r w:rsidRPr="00A81971">
        <w:rPr>
          <w:rFonts w:eastAsia="Times New Roman"/>
          <w:b/>
          <w:bCs/>
        </w:rPr>
        <w:t>ost estimate for reclamation centre (2a)</w:t>
      </w: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5289"/>
      </w:tblGrid>
      <w:tr w:rsidR="00F90461" w14:paraId="71AE24A8" w14:textId="77777777" w:rsidTr="00184701">
        <w:trPr>
          <w:trHeight w:val="300"/>
        </w:trPr>
        <w:tc>
          <w:tcPr>
            <w:tcW w:w="1555" w:type="dxa"/>
            <w:shd w:val="clear" w:color="auto" w:fill="D9E2F3" w:themeFill="accent1" w:themeFillTint="33"/>
            <w:noWrap/>
            <w:vAlign w:val="bottom"/>
            <w:hideMark/>
          </w:tcPr>
          <w:p w14:paraId="098CD5F2" w14:textId="77777777" w:rsidR="0077230C" w:rsidRPr="00A81971" w:rsidRDefault="0032495C" w:rsidP="0077230C">
            <w:pPr>
              <w:spacing w:after="0"/>
              <w:rPr>
                <w:rFonts w:eastAsia="Times New Roman"/>
                <w:b/>
                <w:bCs/>
                <w:sz w:val="24"/>
                <w:szCs w:val="24"/>
              </w:rPr>
            </w:pPr>
            <w:r w:rsidRPr="00A81971">
              <w:rPr>
                <w:rFonts w:eastAsia="Times New Roman"/>
                <w:b/>
                <w:bCs/>
                <w:color w:val="000000"/>
              </w:rPr>
              <w:t>Activity</w:t>
            </w:r>
          </w:p>
        </w:tc>
        <w:tc>
          <w:tcPr>
            <w:tcW w:w="1701" w:type="dxa"/>
            <w:shd w:val="clear" w:color="auto" w:fill="D9E2F3" w:themeFill="accent1" w:themeFillTint="33"/>
            <w:noWrap/>
            <w:vAlign w:val="bottom"/>
            <w:hideMark/>
          </w:tcPr>
          <w:p w14:paraId="7AF84F65"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Cost in US$</w:t>
            </w:r>
          </w:p>
        </w:tc>
        <w:tc>
          <w:tcPr>
            <w:tcW w:w="5289" w:type="dxa"/>
            <w:shd w:val="clear" w:color="auto" w:fill="D9E2F3" w:themeFill="accent1" w:themeFillTint="33"/>
            <w:noWrap/>
            <w:vAlign w:val="bottom"/>
            <w:hideMark/>
          </w:tcPr>
          <w:p w14:paraId="230AD585"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Description</w:t>
            </w:r>
          </w:p>
        </w:tc>
      </w:tr>
      <w:tr w:rsidR="00F90461" w14:paraId="49ED59FF" w14:textId="77777777" w:rsidTr="00A04930">
        <w:trPr>
          <w:trHeight w:val="1074"/>
        </w:trPr>
        <w:tc>
          <w:tcPr>
            <w:tcW w:w="1555" w:type="dxa"/>
            <w:noWrap/>
            <w:vAlign w:val="center"/>
            <w:hideMark/>
          </w:tcPr>
          <w:p w14:paraId="40C13CF7" w14:textId="77777777" w:rsidR="0077230C" w:rsidRPr="00A81971" w:rsidRDefault="0032495C" w:rsidP="00A04930">
            <w:pPr>
              <w:spacing w:after="0"/>
              <w:rPr>
                <w:rFonts w:eastAsia="Times New Roman"/>
                <w:color w:val="000000"/>
              </w:rPr>
            </w:pPr>
            <w:r w:rsidRPr="00A81971">
              <w:rPr>
                <w:rFonts w:eastAsia="Times New Roman"/>
                <w:color w:val="000000"/>
              </w:rPr>
              <w:t>Feasibility study to define business model</w:t>
            </w:r>
          </w:p>
        </w:tc>
        <w:tc>
          <w:tcPr>
            <w:tcW w:w="1701" w:type="dxa"/>
            <w:noWrap/>
            <w:vAlign w:val="center"/>
            <w:hideMark/>
          </w:tcPr>
          <w:p w14:paraId="504C93FD" w14:textId="77777777" w:rsidR="0077230C" w:rsidRPr="00A81971" w:rsidRDefault="0032495C" w:rsidP="00A04930">
            <w:pPr>
              <w:spacing w:after="0"/>
              <w:jc w:val="right"/>
              <w:rPr>
                <w:rFonts w:eastAsia="Times New Roman"/>
                <w:color w:val="000000"/>
              </w:rPr>
            </w:pPr>
            <w:r w:rsidRPr="00A81971">
              <w:rPr>
                <w:rFonts w:eastAsia="Times New Roman"/>
                <w:color w:val="000000"/>
              </w:rPr>
              <w:t>30,000</w:t>
            </w:r>
          </w:p>
        </w:tc>
        <w:tc>
          <w:tcPr>
            <w:tcW w:w="5289" w:type="dxa"/>
            <w:vAlign w:val="center"/>
            <w:hideMark/>
          </w:tcPr>
          <w:p w14:paraId="24D63CF5" w14:textId="77777777" w:rsidR="0077230C" w:rsidRPr="00A81971" w:rsidRDefault="0032495C" w:rsidP="00A04930">
            <w:pPr>
              <w:spacing w:after="0"/>
              <w:rPr>
                <w:rFonts w:eastAsia="Times New Roman"/>
                <w:color w:val="000000"/>
              </w:rPr>
            </w:pPr>
            <w:r w:rsidRPr="00A81971">
              <w:rPr>
                <w:rFonts w:eastAsia="Times New Roman"/>
                <w:color w:val="000000"/>
              </w:rPr>
              <w:t>Technoeconomic assessment to determine operational conditions, business model, gas price</w:t>
            </w:r>
          </w:p>
        </w:tc>
      </w:tr>
      <w:tr w:rsidR="00F90461" w14:paraId="46980B05" w14:textId="77777777" w:rsidTr="00A04930">
        <w:trPr>
          <w:trHeight w:val="300"/>
        </w:trPr>
        <w:tc>
          <w:tcPr>
            <w:tcW w:w="1555" w:type="dxa"/>
            <w:noWrap/>
            <w:vAlign w:val="center"/>
            <w:hideMark/>
          </w:tcPr>
          <w:p w14:paraId="31A2610E" w14:textId="77777777" w:rsidR="0077230C" w:rsidRPr="00A81971" w:rsidRDefault="0032495C" w:rsidP="00A04930">
            <w:pPr>
              <w:spacing w:after="0"/>
              <w:rPr>
                <w:rFonts w:eastAsia="Times New Roman"/>
                <w:color w:val="000000"/>
              </w:rPr>
            </w:pPr>
            <w:r w:rsidRPr="00A81971">
              <w:rPr>
                <w:rFonts w:eastAsia="Times New Roman"/>
                <w:color w:val="000000"/>
              </w:rPr>
              <w:t>Equipment to set-up 1 Center (CapEX)</w:t>
            </w:r>
          </w:p>
        </w:tc>
        <w:tc>
          <w:tcPr>
            <w:tcW w:w="1701" w:type="dxa"/>
            <w:noWrap/>
            <w:vAlign w:val="center"/>
            <w:hideMark/>
          </w:tcPr>
          <w:p w14:paraId="3D72329F" w14:textId="77777777" w:rsidR="0077230C" w:rsidRPr="00A81971" w:rsidRDefault="0032495C" w:rsidP="00A04930">
            <w:pPr>
              <w:spacing w:after="0"/>
              <w:jc w:val="right"/>
              <w:rPr>
                <w:rFonts w:eastAsia="Times New Roman"/>
                <w:color w:val="000000"/>
              </w:rPr>
            </w:pPr>
            <w:r w:rsidRPr="00A81971">
              <w:rPr>
                <w:rFonts w:eastAsia="Times New Roman"/>
                <w:color w:val="000000"/>
              </w:rPr>
              <w:t xml:space="preserve">                                                                                             120,000 </w:t>
            </w:r>
          </w:p>
        </w:tc>
        <w:tc>
          <w:tcPr>
            <w:tcW w:w="5289" w:type="dxa"/>
            <w:vAlign w:val="center"/>
            <w:hideMark/>
          </w:tcPr>
          <w:p w14:paraId="610CE41D" w14:textId="77777777" w:rsidR="0077230C" w:rsidRPr="00A81971" w:rsidRDefault="0032495C" w:rsidP="00A04930">
            <w:pPr>
              <w:spacing w:after="0"/>
              <w:rPr>
                <w:rFonts w:eastAsia="Times New Roman"/>
                <w:color w:val="000000"/>
              </w:rPr>
            </w:pPr>
            <w:r w:rsidRPr="00A81971">
              <w:rPr>
                <w:rFonts w:eastAsia="Times New Roman"/>
                <w:color w:val="000000"/>
              </w:rPr>
              <w:t>Includes reclamation machine, cylinders, recovery machines, scale, fire safety equipment, and gas quality testing equipment (sampling or laboratory set-up)</w:t>
            </w:r>
          </w:p>
        </w:tc>
      </w:tr>
      <w:tr w:rsidR="00F90461" w14:paraId="03F64BF4" w14:textId="77777777" w:rsidTr="00A04930">
        <w:trPr>
          <w:trHeight w:val="535"/>
        </w:trPr>
        <w:tc>
          <w:tcPr>
            <w:tcW w:w="1555" w:type="dxa"/>
            <w:noWrap/>
            <w:vAlign w:val="center"/>
            <w:hideMark/>
          </w:tcPr>
          <w:p w14:paraId="51EB9A87" w14:textId="77777777" w:rsidR="0077230C" w:rsidRPr="00A81971" w:rsidRDefault="0032495C" w:rsidP="00A04930">
            <w:pPr>
              <w:spacing w:after="0"/>
              <w:rPr>
                <w:rFonts w:eastAsia="Times New Roman"/>
                <w:color w:val="000000"/>
              </w:rPr>
            </w:pPr>
            <w:r w:rsidRPr="00A81971">
              <w:rPr>
                <w:rFonts w:eastAsia="Times New Roman"/>
                <w:color w:val="000000"/>
              </w:rPr>
              <w:t>Start-up operation support cost (OPEX)</w:t>
            </w:r>
          </w:p>
        </w:tc>
        <w:tc>
          <w:tcPr>
            <w:tcW w:w="1701" w:type="dxa"/>
            <w:noWrap/>
            <w:vAlign w:val="center"/>
            <w:hideMark/>
          </w:tcPr>
          <w:p w14:paraId="56941378" w14:textId="77777777" w:rsidR="0077230C" w:rsidRPr="00A81971" w:rsidRDefault="0032495C" w:rsidP="00A04930">
            <w:pPr>
              <w:spacing w:after="0"/>
              <w:jc w:val="right"/>
              <w:rPr>
                <w:rFonts w:eastAsia="Times New Roman"/>
                <w:color w:val="000000"/>
              </w:rPr>
            </w:pPr>
            <w:r w:rsidRPr="00A81971">
              <w:rPr>
                <w:rFonts w:eastAsia="Times New Roman"/>
                <w:color w:val="000000"/>
              </w:rPr>
              <w:t xml:space="preserve">30,000 </w:t>
            </w:r>
          </w:p>
        </w:tc>
        <w:tc>
          <w:tcPr>
            <w:tcW w:w="5289" w:type="dxa"/>
            <w:vAlign w:val="center"/>
            <w:hideMark/>
          </w:tcPr>
          <w:p w14:paraId="09BBC80D" w14:textId="77777777" w:rsidR="0077230C" w:rsidRPr="00A81971" w:rsidRDefault="0032495C" w:rsidP="00A04930">
            <w:pPr>
              <w:spacing w:after="0"/>
              <w:rPr>
                <w:rFonts w:eastAsia="Times New Roman"/>
                <w:color w:val="000000"/>
              </w:rPr>
            </w:pPr>
            <w:r w:rsidRPr="00A81971">
              <w:rPr>
                <w:rFonts w:eastAsia="Times New Roman"/>
                <w:color w:val="000000"/>
              </w:rPr>
              <w:t>Funding to start operation while the centre creates network to collect sufficient gas for profitable operation (business has to be profitable to avoid closures after MLF support is over)</w:t>
            </w:r>
          </w:p>
        </w:tc>
      </w:tr>
      <w:tr w:rsidR="00F90461" w14:paraId="56E76E43" w14:textId="77777777" w:rsidTr="00A04930">
        <w:trPr>
          <w:trHeight w:val="315"/>
        </w:trPr>
        <w:tc>
          <w:tcPr>
            <w:tcW w:w="1555" w:type="dxa"/>
            <w:noWrap/>
            <w:vAlign w:val="center"/>
            <w:hideMark/>
          </w:tcPr>
          <w:p w14:paraId="1ACC9015" w14:textId="77777777" w:rsidR="0077230C" w:rsidRPr="00A81971" w:rsidRDefault="0032495C" w:rsidP="00A04930">
            <w:pPr>
              <w:spacing w:after="0"/>
              <w:rPr>
                <w:rFonts w:eastAsia="Times New Roman"/>
                <w:b/>
                <w:bCs/>
                <w:color w:val="000000"/>
              </w:rPr>
            </w:pPr>
            <w:r w:rsidRPr="00A81971">
              <w:rPr>
                <w:rFonts w:eastAsia="Times New Roman"/>
                <w:b/>
                <w:bCs/>
                <w:color w:val="000000"/>
              </w:rPr>
              <w:t xml:space="preserve">Total </w:t>
            </w:r>
          </w:p>
        </w:tc>
        <w:tc>
          <w:tcPr>
            <w:tcW w:w="1701" w:type="dxa"/>
            <w:noWrap/>
            <w:vAlign w:val="center"/>
            <w:hideMark/>
          </w:tcPr>
          <w:p w14:paraId="34C03133" w14:textId="77777777" w:rsidR="0077230C" w:rsidRPr="00A81971" w:rsidRDefault="0032495C" w:rsidP="00A04930">
            <w:pPr>
              <w:spacing w:after="0"/>
              <w:jc w:val="right"/>
              <w:rPr>
                <w:rFonts w:eastAsia="Times New Roman"/>
                <w:b/>
                <w:bCs/>
                <w:color w:val="000000"/>
              </w:rPr>
            </w:pPr>
            <w:r w:rsidRPr="00A81971">
              <w:rPr>
                <w:rFonts w:eastAsia="Times New Roman"/>
                <w:b/>
                <w:bCs/>
                <w:color w:val="000000"/>
              </w:rPr>
              <w:t>180</w:t>
            </w:r>
            <w:r w:rsidR="00276A7F" w:rsidRPr="00A81971">
              <w:rPr>
                <w:rFonts w:eastAsia="Times New Roman"/>
                <w:b/>
                <w:bCs/>
                <w:color w:val="000000"/>
              </w:rPr>
              <w:t>,</w:t>
            </w:r>
            <w:r w:rsidRPr="00A81971">
              <w:rPr>
                <w:rFonts w:eastAsia="Times New Roman"/>
                <w:b/>
                <w:bCs/>
                <w:color w:val="000000"/>
              </w:rPr>
              <w:t>000</w:t>
            </w:r>
          </w:p>
        </w:tc>
        <w:tc>
          <w:tcPr>
            <w:tcW w:w="5289" w:type="dxa"/>
            <w:noWrap/>
            <w:vAlign w:val="bottom"/>
            <w:hideMark/>
          </w:tcPr>
          <w:p w14:paraId="4C2C3483" w14:textId="77777777" w:rsidR="0077230C" w:rsidRPr="00A81971" w:rsidRDefault="0077230C" w:rsidP="0077230C">
            <w:pPr>
              <w:spacing w:after="0"/>
              <w:rPr>
                <w:rFonts w:eastAsia="Times New Roman"/>
                <w:b/>
                <w:bCs/>
                <w:sz w:val="20"/>
                <w:szCs w:val="20"/>
              </w:rPr>
            </w:pPr>
          </w:p>
        </w:tc>
      </w:tr>
    </w:tbl>
    <w:p w14:paraId="077DF708" w14:textId="77777777" w:rsidR="0077230C" w:rsidRPr="00A81971" w:rsidRDefault="0077230C" w:rsidP="0077230C">
      <w:pPr>
        <w:spacing w:after="0"/>
        <w:rPr>
          <w:rFonts w:eastAsia="Calibri"/>
          <w:lang w:eastAsia="ja-JP"/>
        </w:rPr>
      </w:pPr>
    </w:p>
    <w:p w14:paraId="067A9699" w14:textId="77777777" w:rsidR="0077230C" w:rsidRPr="00A81971" w:rsidRDefault="0032495C" w:rsidP="0077230C">
      <w:pPr>
        <w:spacing w:after="0"/>
        <w:rPr>
          <w:rFonts w:eastAsia="Calibri"/>
          <w:lang w:eastAsia="ja-JP"/>
        </w:rPr>
      </w:pPr>
      <w:r w:rsidRPr="00A81971">
        <w:rPr>
          <w:rFonts w:eastAsia="Calibri"/>
          <w:lang w:eastAsia="ja-JP"/>
        </w:rPr>
        <w:t xml:space="preserve">As summarised in table A6.6, the model assumes that a low-end cost estimate would allow every one of the 94 LVCs to establish 1 reclamation centre and a high-end cost estimate that every one of the 144 </w:t>
      </w:r>
      <w:r w:rsidR="00BD05B0" w:rsidRPr="00A81971">
        <w:rPr>
          <w:rFonts w:eastAsia="Calibri"/>
          <w:lang w:eastAsia="ja-JP"/>
        </w:rPr>
        <w:t xml:space="preserve">A5 </w:t>
      </w:r>
      <w:r w:rsidRPr="00A81971">
        <w:rPr>
          <w:rFonts w:eastAsia="Calibri"/>
          <w:lang w:eastAsia="ja-JP"/>
        </w:rPr>
        <w:t xml:space="preserve">parties creates one reclamation centre. </w:t>
      </w:r>
    </w:p>
    <w:p w14:paraId="27F010E6" w14:textId="77777777" w:rsidR="00FE3BF5" w:rsidRPr="00A81971" w:rsidRDefault="00FE3BF5" w:rsidP="0077230C">
      <w:pPr>
        <w:spacing w:after="0"/>
        <w:rPr>
          <w:rFonts w:eastAsia="Calibri"/>
          <w:lang w:eastAsia="ja-JP"/>
        </w:rPr>
      </w:pPr>
    </w:p>
    <w:p w14:paraId="3FC50C90" w14:textId="77777777" w:rsidR="0077230C" w:rsidRPr="00A81971" w:rsidRDefault="0032495C" w:rsidP="00184701">
      <w:pPr>
        <w:tabs>
          <w:tab w:val="left" w:pos="0"/>
          <w:tab w:val="left" w:pos="1276"/>
        </w:tabs>
        <w:spacing w:after="120"/>
        <w:ind w:left="1282" w:hanging="1282"/>
        <w:rPr>
          <w:rFonts w:eastAsia="Calibri"/>
          <w:lang w:eastAsia="ja-JP"/>
        </w:rPr>
      </w:pPr>
      <w:r w:rsidRPr="0006445E">
        <w:rPr>
          <w:rFonts w:eastAsia="Yu Mincho"/>
          <w:b/>
          <w:bCs/>
          <w:color w:val="000000"/>
          <w:lang w:val="en-CA"/>
        </w:rPr>
        <w:t xml:space="preserve">Table </w:t>
      </w:r>
      <w:r>
        <w:rPr>
          <w:rFonts w:eastAsia="Yu Mincho"/>
          <w:b/>
          <w:bCs/>
          <w:color w:val="000000"/>
          <w:lang w:val="en-CA"/>
        </w:rPr>
        <w:t>A6.6:</w:t>
      </w:r>
      <w:r w:rsidRPr="0006445E">
        <w:rPr>
          <w:rFonts w:eastAsia="Times New Roman"/>
          <w:color w:val="000000"/>
          <w:lang w:val="en-CA"/>
        </w:rPr>
        <w:tab/>
      </w:r>
      <w:r w:rsidRPr="00A81971">
        <w:rPr>
          <w:rFonts w:eastAsia="Calibri"/>
          <w:b/>
          <w:bCs/>
          <w:lang w:eastAsia="ja-JP"/>
        </w:rPr>
        <w:t>Summary of low-end and high-end estimated for reclamation centre</w:t>
      </w:r>
    </w:p>
    <w:tbl>
      <w:tblPr>
        <w:tblStyle w:val="TableGrid16"/>
        <w:tblW w:w="0" w:type="auto"/>
        <w:tblLook w:val="04A0" w:firstRow="1" w:lastRow="0" w:firstColumn="1" w:lastColumn="0" w:noHBand="0" w:noVBand="1"/>
      </w:tblPr>
      <w:tblGrid>
        <w:gridCol w:w="1696"/>
        <w:gridCol w:w="2550"/>
        <w:gridCol w:w="1845"/>
        <w:gridCol w:w="2403"/>
      </w:tblGrid>
      <w:tr w:rsidR="00F90461" w14:paraId="63FB6384" w14:textId="77777777" w:rsidTr="00184701">
        <w:tc>
          <w:tcPr>
            <w:tcW w:w="1696" w:type="dxa"/>
            <w:shd w:val="clear" w:color="auto" w:fill="D9E2F3" w:themeFill="accent1" w:themeFillTint="33"/>
          </w:tcPr>
          <w:p w14:paraId="057FD552" w14:textId="77777777" w:rsidR="0077230C" w:rsidRPr="00A81971" w:rsidRDefault="0032495C" w:rsidP="0077230C">
            <w:pPr>
              <w:spacing w:after="0"/>
              <w:rPr>
                <w:rFonts w:eastAsia="Calibri"/>
                <w:lang w:eastAsia="ja-JP"/>
              </w:rPr>
            </w:pPr>
            <w:r w:rsidRPr="00A81971">
              <w:rPr>
                <w:rFonts w:eastAsia="Calibri"/>
                <w:lang w:eastAsia="ja-JP"/>
              </w:rPr>
              <w:t>Module 2a</w:t>
            </w:r>
          </w:p>
        </w:tc>
        <w:tc>
          <w:tcPr>
            <w:tcW w:w="2550" w:type="dxa"/>
            <w:shd w:val="clear" w:color="auto" w:fill="D9E2F3" w:themeFill="accent1" w:themeFillTint="33"/>
          </w:tcPr>
          <w:p w14:paraId="14275893" w14:textId="77777777" w:rsidR="0077230C" w:rsidRPr="00A81971" w:rsidRDefault="0032495C" w:rsidP="0077230C">
            <w:pPr>
              <w:spacing w:after="0"/>
              <w:rPr>
                <w:rFonts w:eastAsia="Calibri"/>
                <w:lang w:eastAsia="ja-JP"/>
              </w:rPr>
            </w:pPr>
            <w:r w:rsidRPr="00A81971">
              <w:rPr>
                <w:rFonts w:eastAsia="Calibri"/>
                <w:lang w:eastAsia="ja-JP"/>
              </w:rPr>
              <w:t xml:space="preserve">Cost per country </w:t>
            </w:r>
            <w:r w:rsidR="00015CA7" w:rsidRPr="00A81971">
              <w:rPr>
                <w:rFonts w:eastAsia="Calibri"/>
                <w:lang w:eastAsia="ja-JP"/>
              </w:rPr>
              <w:t>(</w:t>
            </w:r>
            <w:r w:rsidRPr="00A81971">
              <w:rPr>
                <w:rFonts w:eastAsia="Calibri"/>
                <w:lang w:eastAsia="ja-JP"/>
              </w:rPr>
              <w:t>US$</w:t>
            </w:r>
            <w:r w:rsidR="00015CA7" w:rsidRPr="00A81971">
              <w:rPr>
                <w:rFonts w:eastAsia="Calibri"/>
                <w:lang w:eastAsia="ja-JP"/>
              </w:rPr>
              <w:t>)</w:t>
            </w:r>
          </w:p>
        </w:tc>
        <w:tc>
          <w:tcPr>
            <w:tcW w:w="1845" w:type="dxa"/>
            <w:shd w:val="clear" w:color="auto" w:fill="D9E2F3" w:themeFill="accent1" w:themeFillTint="33"/>
          </w:tcPr>
          <w:p w14:paraId="447DB234" w14:textId="77777777" w:rsidR="0077230C" w:rsidRPr="00A81971" w:rsidRDefault="0032495C" w:rsidP="0077230C">
            <w:pPr>
              <w:spacing w:after="0"/>
              <w:rPr>
                <w:rFonts w:eastAsia="Calibri"/>
                <w:lang w:eastAsia="ja-JP"/>
              </w:rPr>
            </w:pPr>
            <w:r w:rsidRPr="00A81971">
              <w:rPr>
                <w:rFonts w:eastAsia="Calibri"/>
                <w:lang w:eastAsia="ja-JP"/>
              </w:rPr>
              <w:t>Number of LVCs</w:t>
            </w:r>
          </w:p>
        </w:tc>
        <w:tc>
          <w:tcPr>
            <w:tcW w:w="2403" w:type="dxa"/>
            <w:shd w:val="clear" w:color="auto" w:fill="D9E2F3" w:themeFill="accent1" w:themeFillTint="33"/>
          </w:tcPr>
          <w:p w14:paraId="252A5493" w14:textId="77777777" w:rsidR="0077230C" w:rsidRPr="00A81971" w:rsidRDefault="0032495C" w:rsidP="0077230C">
            <w:pPr>
              <w:spacing w:after="0"/>
              <w:rPr>
                <w:rFonts w:eastAsia="Calibri"/>
                <w:lang w:eastAsia="ja-JP"/>
              </w:rPr>
            </w:pPr>
            <w:r w:rsidRPr="00A81971">
              <w:rPr>
                <w:rFonts w:eastAsia="Calibri"/>
                <w:lang w:eastAsia="ja-JP"/>
              </w:rPr>
              <w:t xml:space="preserve">Total funding in </w:t>
            </w:r>
            <w:r w:rsidR="00015CA7" w:rsidRPr="00A81971">
              <w:rPr>
                <w:rFonts w:eastAsia="Calibri"/>
                <w:lang w:eastAsia="ja-JP"/>
              </w:rPr>
              <w:t>(</w:t>
            </w:r>
            <w:r w:rsidRPr="00A81971">
              <w:rPr>
                <w:rFonts w:eastAsia="Calibri"/>
                <w:lang w:eastAsia="ja-JP"/>
              </w:rPr>
              <w:t>US$</w:t>
            </w:r>
            <w:r w:rsidR="00015CA7" w:rsidRPr="00A81971">
              <w:rPr>
                <w:rFonts w:eastAsia="Calibri"/>
                <w:lang w:eastAsia="ja-JP"/>
              </w:rPr>
              <w:t>)</w:t>
            </w:r>
          </w:p>
        </w:tc>
      </w:tr>
      <w:tr w:rsidR="00F90461" w14:paraId="1866348F" w14:textId="77777777" w:rsidTr="00A04930">
        <w:tc>
          <w:tcPr>
            <w:tcW w:w="1696" w:type="dxa"/>
          </w:tcPr>
          <w:p w14:paraId="3E25B02C" w14:textId="77777777" w:rsidR="0077230C" w:rsidRPr="00A81971" w:rsidRDefault="0032495C" w:rsidP="0077230C">
            <w:pPr>
              <w:spacing w:after="0"/>
              <w:rPr>
                <w:rFonts w:eastAsia="Calibri"/>
                <w:lang w:eastAsia="ja-JP"/>
              </w:rPr>
            </w:pPr>
            <w:r w:rsidRPr="00A81971">
              <w:rPr>
                <w:rFonts w:eastAsia="Calibri"/>
                <w:lang w:eastAsia="ja-JP"/>
              </w:rPr>
              <w:t>Low</w:t>
            </w:r>
            <w:r w:rsidR="003B6115" w:rsidRPr="00A81971">
              <w:rPr>
                <w:rFonts w:eastAsia="Calibri"/>
                <w:lang w:eastAsia="ja-JP"/>
              </w:rPr>
              <w:t>-</w:t>
            </w:r>
            <w:r w:rsidRPr="00A81971">
              <w:rPr>
                <w:rFonts w:eastAsia="Calibri"/>
                <w:lang w:eastAsia="ja-JP"/>
              </w:rPr>
              <w:t>end</w:t>
            </w:r>
          </w:p>
        </w:tc>
        <w:tc>
          <w:tcPr>
            <w:tcW w:w="2550" w:type="dxa"/>
            <w:vAlign w:val="center"/>
          </w:tcPr>
          <w:p w14:paraId="46E44D11" w14:textId="77777777" w:rsidR="0077230C" w:rsidRPr="00A81971" w:rsidRDefault="0032495C" w:rsidP="00A04930">
            <w:pPr>
              <w:spacing w:after="0"/>
              <w:rPr>
                <w:rFonts w:eastAsia="Calibri"/>
                <w:lang w:eastAsia="ja-JP"/>
              </w:rPr>
            </w:pPr>
            <w:r w:rsidRPr="00A81971">
              <w:rPr>
                <w:rFonts w:eastAsia="Calibri"/>
                <w:lang w:eastAsia="ja-JP"/>
              </w:rPr>
              <w:t>180.000</w:t>
            </w:r>
          </w:p>
        </w:tc>
        <w:tc>
          <w:tcPr>
            <w:tcW w:w="1845" w:type="dxa"/>
            <w:vAlign w:val="center"/>
          </w:tcPr>
          <w:p w14:paraId="3F6D7126" w14:textId="77777777" w:rsidR="0077230C" w:rsidRPr="00A81971" w:rsidRDefault="0032495C" w:rsidP="00A04930">
            <w:pPr>
              <w:spacing w:after="0"/>
              <w:rPr>
                <w:rFonts w:eastAsia="Calibri"/>
                <w:lang w:eastAsia="ja-JP"/>
              </w:rPr>
            </w:pPr>
            <w:r w:rsidRPr="00A81971">
              <w:rPr>
                <w:rFonts w:eastAsia="Calibri"/>
                <w:lang w:eastAsia="ja-JP"/>
              </w:rPr>
              <w:t>94</w:t>
            </w:r>
          </w:p>
        </w:tc>
        <w:tc>
          <w:tcPr>
            <w:tcW w:w="2403" w:type="dxa"/>
            <w:vAlign w:val="center"/>
          </w:tcPr>
          <w:p w14:paraId="649A8ED4" w14:textId="77777777" w:rsidR="0077230C" w:rsidRPr="00A81971" w:rsidRDefault="0032495C" w:rsidP="00A04930">
            <w:pPr>
              <w:spacing w:after="0"/>
              <w:rPr>
                <w:rFonts w:eastAsia="Calibri"/>
                <w:lang w:eastAsia="ja-JP"/>
              </w:rPr>
            </w:pPr>
            <w:r w:rsidRPr="00A81971">
              <w:rPr>
                <w:rFonts w:eastAsia="Calibri"/>
                <w:lang w:eastAsia="ja-JP"/>
              </w:rPr>
              <w:t>16.920.000</w:t>
            </w:r>
          </w:p>
        </w:tc>
      </w:tr>
      <w:tr w:rsidR="00F90461" w14:paraId="690CAC33" w14:textId="77777777" w:rsidTr="00A04930">
        <w:tc>
          <w:tcPr>
            <w:tcW w:w="1696" w:type="dxa"/>
          </w:tcPr>
          <w:p w14:paraId="23FB07C0" w14:textId="77777777" w:rsidR="0077230C" w:rsidRPr="00A81971" w:rsidRDefault="0032495C" w:rsidP="0077230C">
            <w:pPr>
              <w:spacing w:after="0"/>
              <w:rPr>
                <w:rFonts w:eastAsia="Calibri"/>
                <w:lang w:eastAsia="ja-JP"/>
              </w:rPr>
            </w:pPr>
            <w:r w:rsidRPr="00A81971">
              <w:rPr>
                <w:rFonts w:eastAsia="Calibri"/>
                <w:lang w:eastAsia="ja-JP"/>
              </w:rPr>
              <w:t>High</w:t>
            </w:r>
            <w:r w:rsidR="003B6115" w:rsidRPr="00A81971">
              <w:rPr>
                <w:rFonts w:eastAsia="Calibri"/>
                <w:lang w:eastAsia="ja-JP"/>
              </w:rPr>
              <w:t>-</w:t>
            </w:r>
            <w:r w:rsidRPr="00A81971">
              <w:rPr>
                <w:rFonts w:eastAsia="Calibri"/>
                <w:lang w:eastAsia="ja-JP"/>
              </w:rPr>
              <w:t>end</w:t>
            </w:r>
          </w:p>
        </w:tc>
        <w:tc>
          <w:tcPr>
            <w:tcW w:w="2550" w:type="dxa"/>
            <w:vAlign w:val="center"/>
          </w:tcPr>
          <w:p w14:paraId="70651442" w14:textId="77777777" w:rsidR="0077230C" w:rsidRPr="00A81971" w:rsidRDefault="0032495C" w:rsidP="00A04930">
            <w:pPr>
              <w:spacing w:after="0"/>
              <w:rPr>
                <w:rFonts w:eastAsia="Calibri"/>
                <w:lang w:eastAsia="ja-JP"/>
              </w:rPr>
            </w:pPr>
            <w:r w:rsidRPr="00A81971">
              <w:rPr>
                <w:rFonts w:eastAsia="Calibri"/>
                <w:lang w:eastAsia="ja-JP"/>
              </w:rPr>
              <w:t>180.000</w:t>
            </w:r>
          </w:p>
        </w:tc>
        <w:tc>
          <w:tcPr>
            <w:tcW w:w="1845" w:type="dxa"/>
            <w:vAlign w:val="center"/>
          </w:tcPr>
          <w:p w14:paraId="70C71B10" w14:textId="77777777" w:rsidR="0077230C" w:rsidRPr="00A81971" w:rsidRDefault="0032495C" w:rsidP="00A04930">
            <w:pPr>
              <w:spacing w:after="0"/>
              <w:rPr>
                <w:rFonts w:eastAsia="Calibri"/>
                <w:lang w:eastAsia="ja-JP"/>
              </w:rPr>
            </w:pPr>
            <w:r w:rsidRPr="00A81971">
              <w:rPr>
                <w:rFonts w:eastAsia="Calibri"/>
                <w:lang w:eastAsia="ja-JP"/>
              </w:rPr>
              <w:t>144</w:t>
            </w:r>
          </w:p>
        </w:tc>
        <w:tc>
          <w:tcPr>
            <w:tcW w:w="2403" w:type="dxa"/>
            <w:vAlign w:val="center"/>
          </w:tcPr>
          <w:p w14:paraId="21663504" w14:textId="77777777" w:rsidR="0077230C" w:rsidRPr="00A81971" w:rsidRDefault="0032495C" w:rsidP="00A04930">
            <w:pPr>
              <w:spacing w:after="0"/>
              <w:rPr>
                <w:rFonts w:eastAsia="Calibri"/>
                <w:lang w:eastAsia="ja-JP"/>
              </w:rPr>
            </w:pPr>
            <w:r w:rsidRPr="00A81971">
              <w:rPr>
                <w:rFonts w:eastAsia="Calibri"/>
                <w:lang w:eastAsia="ja-JP"/>
              </w:rPr>
              <w:t>25,920,000</w:t>
            </w:r>
          </w:p>
        </w:tc>
      </w:tr>
    </w:tbl>
    <w:p w14:paraId="263700E3" w14:textId="77777777" w:rsidR="0077230C" w:rsidRPr="00A81971" w:rsidRDefault="0077230C" w:rsidP="0077230C">
      <w:pPr>
        <w:spacing w:after="0"/>
        <w:ind w:left="720"/>
        <w:contextualSpacing/>
        <w:jc w:val="both"/>
        <w:rPr>
          <w:rFonts w:eastAsia="Calibri"/>
          <w:lang w:eastAsia="ja-JP"/>
        </w:rPr>
      </w:pPr>
    </w:p>
    <w:p w14:paraId="2729CE92" w14:textId="77777777" w:rsidR="0077230C" w:rsidRPr="00FE5C31" w:rsidRDefault="0032495C" w:rsidP="002E3156">
      <w:pPr>
        <w:pStyle w:val="Heading3"/>
      </w:pPr>
      <w:r w:rsidRPr="00FE5C31">
        <w:t>A6.2.2</w:t>
      </w:r>
      <w:r w:rsidRPr="00FE5C31">
        <w:tab/>
        <w:t>Module 2b –</w:t>
      </w:r>
      <w:r w:rsidR="001F28FA" w:rsidRPr="00FE5C31">
        <w:t xml:space="preserve"> </w:t>
      </w:r>
      <w:r w:rsidRPr="00FE5C31">
        <w:t xml:space="preserve">Exports of used gas </w:t>
      </w:r>
    </w:p>
    <w:p w14:paraId="09E6832B" w14:textId="77777777" w:rsidR="0077230C" w:rsidRPr="00A81971" w:rsidRDefault="0032495C" w:rsidP="0077230C">
      <w:pPr>
        <w:spacing w:after="0"/>
        <w:rPr>
          <w:rFonts w:eastAsia="Calibri"/>
          <w:lang w:eastAsia="ja-JP"/>
        </w:rPr>
      </w:pPr>
      <w:r w:rsidRPr="00A81971">
        <w:rPr>
          <w:rFonts w:eastAsia="Calibri"/>
          <w:lang w:eastAsia="ja-JP"/>
        </w:rPr>
        <w:t xml:space="preserve">Module 2b considers that a party might not have access nor refrigerant recovery volumes to justify cost-effective domestic reclamation or destruction capacity. In this case, parties must rely on exporting recovered refrigerants to facilities in other parties. </w:t>
      </w:r>
    </w:p>
    <w:p w14:paraId="6B42D113" w14:textId="77777777" w:rsidR="0077230C" w:rsidRPr="00A81971" w:rsidRDefault="0077230C" w:rsidP="0077230C">
      <w:pPr>
        <w:spacing w:after="0"/>
        <w:rPr>
          <w:rFonts w:eastAsia="Calibri"/>
          <w:lang w:eastAsia="ja-JP"/>
        </w:rPr>
      </w:pPr>
    </w:p>
    <w:p w14:paraId="7D5BB88A" w14:textId="77777777" w:rsidR="0077230C" w:rsidRPr="00A81971" w:rsidRDefault="0032495C" w:rsidP="0077230C">
      <w:pPr>
        <w:spacing w:after="0"/>
        <w:rPr>
          <w:rFonts w:eastAsia="Calibri"/>
          <w:lang w:eastAsia="ja-JP"/>
        </w:rPr>
      </w:pPr>
      <w:r w:rsidRPr="00A81971">
        <w:rPr>
          <w:rFonts w:eastAsia="Calibri"/>
          <w:lang w:eastAsia="ja-JP"/>
        </w:rPr>
        <w:t xml:space="preserve">The purpose of this module is therefore not to finance reclamation itself, but to enable the full export chain, from the point where refrigerant is classified to its final delivery to an approved reclamation facility abroad, as per </w:t>
      </w:r>
      <w:r w:rsidR="00510FAD" w:rsidRPr="00A81971">
        <w:rPr>
          <w:rFonts w:eastAsia="Calibri"/>
          <w:lang w:eastAsia="ja-JP"/>
        </w:rPr>
        <w:t xml:space="preserve">applicable </w:t>
      </w:r>
      <w:r w:rsidRPr="00A81971">
        <w:rPr>
          <w:rFonts w:eastAsia="Calibri"/>
          <w:lang w:eastAsia="ja-JP"/>
        </w:rPr>
        <w:t xml:space="preserve">Basel Convention </w:t>
      </w:r>
      <w:r w:rsidR="00343AB7" w:rsidRPr="00A81971">
        <w:rPr>
          <w:rFonts w:eastAsia="Calibri"/>
          <w:lang w:eastAsia="ja-JP"/>
        </w:rPr>
        <w:t>procedures and national requirements</w:t>
      </w:r>
      <w:r w:rsidRPr="00A81971">
        <w:rPr>
          <w:rFonts w:eastAsia="Calibri"/>
          <w:lang w:eastAsia="ja-JP"/>
        </w:rPr>
        <w:t>.</w:t>
      </w:r>
    </w:p>
    <w:p w14:paraId="42C3830A" w14:textId="77777777" w:rsidR="0077230C" w:rsidRPr="00A81971" w:rsidRDefault="0077230C" w:rsidP="0077230C">
      <w:pPr>
        <w:spacing w:after="0"/>
        <w:rPr>
          <w:rFonts w:eastAsia="Calibri"/>
          <w:lang w:eastAsia="ja-JP"/>
        </w:rPr>
      </w:pPr>
    </w:p>
    <w:p w14:paraId="6186E8AD" w14:textId="77777777" w:rsidR="0077230C" w:rsidRPr="00A81971" w:rsidRDefault="0032495C" w:rsidP="0077230C">
      <w:pPr>
        <w:spacing w:after="0"/>
        <w:rPr>
          <w:rFonts w:eastAsia="Calibri"/>
          <w:lang w:eastAsia="ja-JP"/>
        </w:rPr>
      </w:pPr>
      <w:r w:rsidRPr="00A81971">
        <w:rPr>
          <w:rFonts w:eastAsia="Calibri"/>
          <w:lang w:eastAsia="ja-JP"/>
        </w:rPr>
        <w:t xml:space="preserve">This module does not include destruction. Refrigerant that is not suitable for reclamation is addressed under Module 3. </w:t>
      </w:r>
    </w:p>
    <w:p w14:paraId="0F993115" w14:textId="77777777" w:rsidR="0077230C" w:rsidRPr="00A81971" w:rsidRDefault="0077230C" w:rsidP="0077230C">
      <w:pPr>
        <w:spacing w:after="0"/>
        <w:rPr>
          <w:rFonts w:eastAsia="Calibri"/>
          <w:lang w:eastAsia="ja-JP"/>
        </w:rPr>
      </w:pPr>
    </w:p>
    <w:p w14:paraId="02FCAC41" w14:textId="77777777" w:rsidR="0077230C" w:rsidRPr="00A81971" w:rsidRDefault="0032495C" w:rsidP="0077230C">
      <w:pPr>
        <w:spacing w:after="0"/>
        <w:rPr>
          <w:rFonts w:eastAsia="Calibri"/>
          <w:lang w:eastAsia="ja-JP"/>
        </w:rPr>
      </w:pPr>
      <w:r w:rsidRPr="00A81971">
        <w:rPr>
          <w:rFonts w:eastAsia="Calibri"/>
          <w:lang w:eastAsia="ja-JP"/>
        </w:rPr>
        <w:t>Goals:</w:t>
      </w:r>
    </w:p>
    <w:p w14:paraId="3268E0E0" w14:textId="77777777" w:rsidR="0077230C" w:rsidRPr="00A81971" w:rsidRDefault="0032495C" w:rsidP="007A20BD">
      <w:pPr>
        <w:widowControl w:val="0"/>
        <w:numPr>
          <w:ilvl w:val="0"/>
          <w:numId w:val="53"/>
        </w:numPr>
        <w:autoSpaceDE w:val="0"/>
        <w:autoSpaceDN w:val="0"/>
        <w:spacing w:after="0"/>
        <w:contextualSpacing/>
        <w:rPr>
          <w:rFonts w:eastAsia="Calibri"/>
          <w:lang w:eastAsia="ja-JP"/>
        </w:rPr>
      </w:pPr>
      <w:r w:rsidRPr="00A81971">
        <w:rPr>
          <w:rFonts w:eastAsia="Calibri"/>
          <w:lang w:eastAsia="ja-JP"/>
        </w:rPr>
        <w:t>Enable regulatory readiness, i.e., that the party has the capacity to classify refrigerant as waste where appropriate and to implement the procedures required under the Basel Convention, including prior informed consent and documentation for transboundary movements;</w:t>
      </w:r>
    </w:p>
    <w:p w14:paraId="7C87D21B" w14:textId="77777777" w:rsidR="0077230C" w:rsidRPr="00A81971" w:rsidRDefault="0032495C" w:rsidP="007A20BD">
      <w:pPr>
        <w:widowControl w:val="0"/>
        <w:numPr>
          <w:ilvl w:val="0"/>
          <w:numId w:val="53"/>
        </w:numPr>
        <w:autoSpaceDE w:val="0"/>
        <w:autoSpaceDN w:val="0"/>
        <w:spacing w:after="0"/>
        <w:contextualSpacing/>
        <w:rPr>
          <w:rFonts w:eastAsia="Calibri"/>
          <w:lang w:eastAsia="ja-JP"/>
        </w:rPr>
      </w:pPr>
      <w:r w:rsidRPr="00A81971">
        <w:rPr>
          <w:rFonts w:eastAsia="Calibri"/>
          <w:lang w:eastAsia="ja-JP"/>
        </w:rPr>
        <w:lastRenderedPageBreak/>
        <w:t>Establish the logistical conditions for export, including the aggregation of sufficient volumes, temporary storage, and preparation of shipments; and</w:t>
      </w:r>
    </w:p>
    <w:p w14:paraId="019459C3" w14:textId="77777777" w:rsidR="0077230C" w:rsidRPr="00A81971" w:rsidRDefault="0032495C" w:rsidP="007A20BD">
      <w:pPr>
        <w:widowControl w:val="0"/>
        <w:numPr>
          <w:ilvl w:val="0"/>
          <w:numId w:val="53"/>
        </w:numPr>
        <w:autoSpaceDE w:val="0"/>
        <w:autoSpaceDN w:val="0"/>
        <w:spacing w:after="0"/>
        <w:contextualSpacing/>
        <w:rPr>
          <w:rFonts w:eastAsia="Calibri"/>
          <w:lang w:eastAsia="ja-JP"/>
        </w:rPr>
      </w:pPr>
      <w:r w:rsidRPr="00A81971">
        <w:rPr>
          <w:rFonts w:eastAsia="Calibri"/>
          <w:lang w:eastAsia="ja-JP"/>
        </w:rPr>
        <w:t>Facilitate access to reclamation facilities, either by supporting agreements with receiving countries or by creating predictable frameworks for shipment and acceptance; this reduces uncertainty and allows the export pathway to function as a routine component of the lifecycle chain rather than as an ad hoc solution.</w:t>
      </w:r>
    </w:p>
    <w:p w14:paraId="33443C5F" w14:textId="77777777" w:rsidR="0077230C" w:rsidRPr="00A81971" w:rsidRDefault="0077230C" w:rsidP="003824AF">
      <w:pPr>
        <w:spacing w:after="160" w:line="279" w:lineRule="auto"/>
        <w:contextualSpacing/>
        <w:jc w:val="center"/>
        <w:rPr>
          <w:rFonts w:eastAsia="Calibri"/>
          <w:lang w:eastAsia="ja-JP"/>
        </w:rPr>
      </w:pPr>
    </w:p>
    <w:p w14:paraId="5BCCDAA2" w14:textId="77777777" w:rsidR="0077230C" w:rsidRPr="00184701" w:rsidRDefault="0032495C" w:rsidP="00184701">
      <w:pPr>
        <w:tabs>
          <w:tab w:val="left" w:pos="0"/>
          <w:tab w:val="left" w:pos="1276"/>
        </w:tabs>
        <w:spacing w:after="120"/>
        <w:ind w:left="1282" w:hanging="1282"/>
        <w:rPr>
          <w:rFonts w:eastAsia="Times New Roman"/>
          <w:b/>
          <w:bCs/>
        </w:rPr>
      </w:pPr>
      <w:r w:rsidRPr="0006445E">
        <w:rPr>
          <w:rFonts w:eastAsia="Yu Mincho"/>
          <w:b/>
          <w:bCs/>
          <w:color w:val="000000"/>
          <w:lang w:val="en-CA"/>
        </w:rPr>
        <w:t xml:space="preserve">Table </w:t>
      </w:r>
      <w:r>
        <w:rPr>
          <w:rFonts w:eastAsia="Yu Mincho"/>
          <w:b/>
          <w:bCs/>
          <w:color w:val="000000"/>
          <w:lang w:val="en-CA"/>
        </w:rPr>
        <w:t>A6.7:</w:t>
      </w:r>
      <w:r w:rsidRPr="0006445E">
        <w:rPr>
          <w:rFonts w:eastAsia="Times New Roman"/>
          <w:color w:val="000000"/>
          <w:lang w:val="en-CA"/>
        </w:rPr>
        <w:tab/>
      </w:r>
      <w:r w:rsidRPr="00A81971">
        <w:rPr>
          <w:rFonts w:eastAsia="Times New Roman"/>
          <w:b/>
          <w:bCs/>
        </w:rPr>
        <w:t xml:space="preserve">Cost estimate for export of used gas (2b)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26"/>
        <w:gridCol w:w="3821"/>
      </w:tblGrid>
      <w:tr w:rsidR="00F90461" w14:paraId="3099F550" w14:textId="77777777" w:rsidTr="00184701">
        <w:trPr>
          <w:trHeight w:val="300"/>
        </w:trPr>
        <w:tc>
          <w:tcPr>
            <w:tcW w:w="2547" w:type="dxa"/>
            <w:shd w:val="clear" w:color="auto" w:fill="D9E2F3" w:themeFill="accent1" w:themeFillTint="33"/>
            <w:noWrap/>
            <w:vAlign w:val="bottom"/>
            <w:hideMark/>
          </w:tcPr>
          <w:p w14:paraId="5CEC6130" w14:textId="77777777" w:rsidR="0077230C" w:rsidRPr="00A81971" w:rsidRDefault="0032495C" w:rsidP="0077230C">
            <w:pPr>
              <w:spacing w:after="0"/>
              <w:rPr>
                <w:rFonts w:eastAsia="Times New Roman"/>
                <w:sz w:val="24"/>
                <w:szCs w:val="24"/>
              </w:rPr>
            </w:pPr>
            <w:r w:rsidRPr="00A81971">
              <w:rPr>
                <w:rFonts w:eastAsia="Times New Roman"/>
                <w:b/>
                <w:bCs/>
                <w:color w:val="000000"/>
              </w:rPr>
              <w:t>Activity</w:t>
            </w:r>
          </w:p>
        </w:tc>
        <w:tc>
          <w:tcPr>
            <w:tcW w:w="2126" w:type="dxa"/>
            <w:shd w:val="clear" w:color="auto" w:fill="D9E2F3" w:themeFill="accent1" w:themeFillTint="33"/>
            <w:noWrap/>
            <w:vAlign w:val="bottom"/>
            <w:hideMark/>
          </w:tcPr>
          <w:p w14:paraId="735958FC"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 xml:space="preserve">Cost </w:t>
            </w:r>
            <w:r w:rsidR="008D1C77" w:rsidRPr="00A81971">
              <w:rPr>
                <w:rFonts w:eastAsia="Times New Roman"/>
                <w:b/>
                <w:bCs/>
                <w:color w:val="000000"/>
              </w:rPr>
              <w:t>(</w:t>
            </w:r>
            <w:r w:rsidRPr="00A81971">
              <w:rPr>
                <w:rFonts w:eastAsia="Times New Roman"/>
                <w:b/>
                <w:bCs/>
                <w:color w:val="000000"/>
              </w:rPr>
              <w:t>US$</w:t>
            </w:r>
            <w:r w:rsidR="008D1C77" w:rsidRPr="00A81971">
              <w:rPr>
                <w:rFonts w:eastAsia="Times New Roman"/>
                <w:b/>
                <w:bCs/>
                <w:color w:val="000000"/>
              </w:rPr>
              <w:t>)</w:t>
            </w:r>
          </w:p>
        </w:tc>
        <w:tc>
          <w:tcPr>
            <w:tcW w:w="3821" w:type="dxa"/>
            <w:shd w:val="clear" w:color="auto" w:fill="D9E2F3" w:themeFill="accent1" w:themeFillTint="33"/>
            <w:noWrap/>
            <w:vAlign w:val="bottom"/>
            <w:hideMark/>
          </w:tcPr>
          <w:p w14:paraId="45B7A0A0"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Description</w:t>
            </w:r>
          </w:p>
        </w:tc>
      </w:tr>
      <w:tr w:rsidR="00F90461" w14:paraId="58DC00FE" w14:textId="77777777" w:rsidTr="00A04930">
        <w:trPr>
          <w:trHeight w:val="969"/>
        </w:trPr>
        <w:tc>
          <w:tcPr>
            <w:tcW w:w="2547" w:type="dxa"/>
            <w:vAlign w:val="center"/>
            <w:hideMark/>
          </w:tcPr>
          <w:p w14:paraId="1D64DA14" w14:textId="77777777" w:rsidR="0077230C" w:rsidRPr="00A81971" w:rsidRDefault="0032495C" w:rsidP="00A04930">
            <w:pPr>
              <w:spacing w:after="0"/>
              <w:rPr>
                <w:rFonts w:eastAsia="Times New Roman"/>
                <w:color w:val="000000"/>
              </w:rPr>
            </w:pPr>
            <w:r w:rsidRPr="00A81971">
              <w:rPr>
                <w:rFonts w:eastAsia="Times New Roman"/>
                <w:color w:val="000000"/>
              </w:rPr>
              <w:t>Capacity building to customs and relevant stakeholders</w:t>
            </w:r>
          </w:p>
        </w:tc>
        <w:tc>
          <w:tcPr>
            <w:tcW w:w="2126" w:type="dxa"/>
            <w:noWrap/>
            <w:vAlign w:val="center"/>
          </w:tcPr>
          <w:p w14:paraId="410EE6D7" w14:textId="77777777" w:rsidR="0077230C" w:rsidRPr="00A81971" w:rsidRDefault="0032495C" w:rsidP="00A04930">
            <w:pPr>
              <w:spacing w:after="0"/>
              <w:ind w:right="57"/>
              <w:jc w:val="right"/>
              <w:rPr>
                <w:rFonts w:eastAsia="Times New Roman"/>
              </w:rPr>
            </w:pPr>
            <w:r w:rsidRPr="00A81971">
              <w:rPr>
                <w:rFonts w:eastAsia="Times New Roman"/>
              </w:rPr>
              <w:t>10,000</w:t>
            </w:r>
          </w:p>
        </w:tc>
        <w:tc>
          <w:tcPr>
            <w:tcW w:w="3821" w:type="dxa"/>
            <w:vAlign w:val="center"/>
            <w:hideMark/>
          </w:tcPr>
          <w:p w14:paraId="73BA9B12" w14:textId="77777777" w:rsidR="0077230C" w:rsidRPr="00A81971" w:rsidRDefault="0032495C" w:rsidP="00A04930">
            <w:pPr>
              <w:spacing w:after="0"/>
              <w:rPr>
                <w:rFonts w:eastAsia="Times New Roman"/>
                <w:color w:val="000000"/>
              </w:rPr>
            </w:pPr>
            <w:r w:rsidRPr="00A81971">
              <w:rPr>
                <w:rFonts w:eastAsia="Times New Roman"/>
                <w:color w:val="000000"/>
              </w:rPr>
              <w:t>Training to environmental management units dealing with Basel convention + port staff to handle and test refrigerants</w:t>
            </w:r>
          </w:p>
        </w:tc>
      </w:tr>
      <w:tr w:rsidR="00F90461" w14:paraId="58691354" w14:textId="77777777" w:rsidTr="00A04930">
        <w:trPr>
          <w:trHeight w:val="600"/>
        </w:trPr>
        <w:tc>
          <w:tcPr>
            <w:tcW w:w="2547" w:type="dxa"/>
            <w:vAlign w:val="center"/>
            <w:hideMark/>
          </w:tcPr>
          <w:p w14:paraId="0B1EE911" w14:textId="77777777" w:rsidR="0077230C" w:rsidRPr="00A81971" w:rsidRDefault="0032495C" w:rsidP="00A04930">
            <w:pPr>
              <w:spacing w:after="0"/>
              <w:rPr>
                <w:rFonts w:eastAsia="Times New Roman"/>
                <w:color w:val="000000"/>
              </w:rPr>
            </w:pPr>
            <w:r w:rsidRPr="00A81971">
              <w:rPr>
                <w:rFonts w:eastAsia="Times New Roman"/>
                <w:color w:val="000000"/>
              </w:rPr>
              <w:t xml:space="preserve">Refrigerant gas identifier </w:t>
            </w:r>
          </w:p>
        </w:tc>
        <w:tc>
          <w:tcPr>
            <w:tcW w:w="2126" w:type="dxa"/>
            <w:noWrap/>
            <w:vAlign w:val="center"/>
          </w:tcPr>
          <w:p w14:paraId="3BDFEE05" w14:textId="77777777" w:rsidR="0077230C" w:rsidRPr="00A81971" w:rsidRDefault="0032495C" w:rsidP="00A04930">
            <w:pPr>
              <w:spacing w:after="0"/>
              <w:ind w:right="57"/>
              <w:jc w:val="right"/>
              <w:rPr>
                <w:rFonts w:eastAsia="Times New Roman"/>
              </w:rPr>
            </w:pPr>
            <w:r w:rsidRPr="00A81971">
              <w:rPr>
                <w:rFonts w:eastAsia="Times New Roman"/>
              </w:rPr>
              <w:t>6,000</w:t>
            </w:r>
          </w:p>
        </w:tc>
        <w:tc>
          <w:tcPr>
            <w:tcW w:w="3821" w:type="dxa"/>
            <w:vAlign w:val="center"/>
            <w:hideMark/>
          </w:tcPr>
          <w:p w14:paraId="18BAFC2D" w14:textId="77777777" w:rsidR="0077230C" w:rsidRPr="00A81971" w:rsidRDefault="0032495C" w:rsidP="00A04930">
            <w:pPr>
              <w:spacing w:after="0"/>
              <w:rPr>
                <w:rFonts w:eastAsia="Times New Roman"/>
                <w:color w:val="000000"/>
              </w:rPr>
            </w:pPr>
            <w:r w:rsidRPr="00A81971">
              <w:rPr>
                <w:rFonts w:eastAsia="Times New Roman"/>
                <w:color w:val="000000"/>
              </w:rPr>
              <w:t>Verify that product contained is what is declared</w:t>
            </w:r>
          </w:p>
        </w:tc>
      </w:tr>
      <w:tr w:rsidR="00F90461" w14:paraId="665CDFDC" w14:textId="77777777" w:rsidTr="00A04930">
        <w:trPr>
          <w:trHeight w:val="600"/>
        </w:trPr>
        <w:tc>
          <w:tcPr>
            <w:tcW w:w="2547" w:type="dxa"/>
            <w:vAlign w:val="center"/>
            <w:hideMark/>
          </w:tcPr>
          <w:p w14:paraId="52175435" w14:textId="77777777" w:rsidR="0077230C" w:rsidRPr="00A81971" w:rsidRDefault="0032495C" w:rsidP="00A04930">
            <w:pPr>
              <w:spacing w:after="0"/>
              <w:rPr>
                <w:rFonts w:eastAsia="Times New Roman"/>
                <w:color w:val="000000"/>
              </w:rPr>
            </w:pPr>
            <w:r w:rsidRPr="00A81971">
              <w:rPr>
                <w:rFonts w:eastAsia="Times New Roman"/>
                <w:color w:val="000000"/>
              </w:rPr>
              <w:t>Hanging scales and floor weight</w:t>
            </w:r>
          </w:p>
        </w:tc>
        <w:tc>
          <w:tcPr>
            <w:tcW w:w="2126" w:type="dxa"/>
            <w:noWrap/>
            <w:vAlign w:val="center"/>
          </w:tcPr>
          <w:p w14:paraId="64065529" w14:textId="77777777" w:rsidR="0077230C" w:rsidRPr="00A81971" w:rsidRDefault="0032495C" w:rsidP="00A04930">
            <w:pPr>
              <w:spacing w:after="0"/>
              <w:ind w:right="57"/>
              <w:jc w:val="right"/>
              <w:rPr>
                <w:rFonts w:eastAsia="Times New Roman"/>
              </w:rPr>
            </w:pPr>
            <w:r w:rsidRPr="00A81971">
              <w:rPr>
                <w:rFonts w:eastAsia="Times New Roman"/>
              </w:rPr>
              <w:t>500</w:t>
            </w:r>
          </w:p>
        </w:tc>
        <w:tc>
          <w:tcPr>
            <w:tcW w:w="3821" w:type="dxa"/>
            <w:vAlign w:val="center"/>
            <w:hideMark/>
          </w:tcPr>
          <w:p w14:paraId="61FDF2EA" w14:textId="77777777" w:rsidR="0077230C" w:rsidRPr="00A81971" w:rsidRDefault="0077230C" w:rsidP="00A04930">
            <w:pPr>
              <w:spacing w:after="0"/>
              <w:rPr>
                <w:rFonts w:eastAsia="Times New Roman"/>
                <w:color w:val="000000"/>
              </w:rPr>
            </w:pPr>
          </w:p>
        </w:tc>
      </w:tr>
      <w:tr w:rsidR="00F90461" w14:paraId="39BD0E1A" w14:textId="77777777" w:rsidTr="00A04930">
        <w:trPr>
          <w:trHeight w:val="705"/>
        </w:trPr>
        <w:tc>
          <w:tcPr>
            <w:tcW w:w="2547" w:type="dxa"/>
            <w:vAlign w:val="center"/>
            <w:hideMark/>
          </w:tcPr>
          <w:p w14:paraId="1404E77F" w14:textId="77777777" w:rsidR="0077230C" w:rsidRPr="00A81971" w:rsidRDefault="0032495C" w:rsidP="00A04930">
            <w:pPr>
              <w:spacing w:after="0"/>
              <w:rPr>
                <w:rFonts w:eastAsia="Times New Roman"/>
                <w:color w:val="000000"/>
              </w:rPr>
            </w:pPr>
            <w:r w:rsidRPr="00A81971">
              <w:rPr>
                <w:rFonts w:eastAsia="Times New Roman"/>
                <w:color w:val="000000"/>
              </w:rPr>
              <w:t>Basel convention compliance</w:t>
            </w:r>
          </w:p>
        </w:tc>
        <w:tc>
          <w:tcPr>
            <w:tcW w:w="2126" w:type="dxa"/>
            <w:noWrap/>
            <w:vAlign w:val="center"/>
          </w:tcPr>
          <w:p w14:paraId="1B31AE2F" w14:textId="77777777" w:rsidR="0077230C" w:rsidRPr="00A81971" w:rsidRDefault="0032495C" w:rsidP="00A04930">
            <w:pPr>
              <w:spacing w:after="0"/>
              <w:ind w:right="57"/>
              <w:jc w:val="right"/>
              <w:rPr>
                <w:rFonts w:eastAsia="Times New Roman"/>
              </w:rPr>
            </w:pPr>
            <w:r w:rsidRPr="00A81971">
              <w:rPr>
                <w:rFonts w:eastAsia="Times New Roman"/>
              </w:rPr>
              <w:t>10,000</w:t>
            </w:r>
          </w:p>
        </w:tc>
        <w:tc>
          <w:tcPr>
            <w:tcW w:w="3821" w:type="dxa"/>
            <w:vAlign w:val="center"/>
            <w:hideMark/>
          </w:tcPr>
          <w:p w14:paraId="5BF3F9A5" w14:textId="77777777" w:rsidR="0077230C" w:rsidRPr="00A81971" w:rsidRDefault="0032495C" w:rsidP="00A04930">
            <w:pPr>
              <w:spacing w:after="0"/>
              <w:rPr>
                <w:rFonts w:eastAsia="Times New Roman"/>
                <w:color w:val="000000"/>
              </w:rPr>
            </w:pPr>
            <w:r w:rsidRPr="00A81971">
              <w:rPr>
                <w:rFonts w:eastAsia="Times New Roman"/>
                <w:color w:val="000000"/>
              </w:rPr>
              <w:t>Specific training to all stakeholders on handling the Basel convention requirement sin the Party</w:t>
            </w:r>
          </w:p>
        </w:tc>
      </w:tr>
      <w:tr w:rsidR="00F90461" w14:paraId="65CCAD2D" w14:textId="77777777" w:rsidTr="00A04930">
        <w:trPr>
          <w:trHeight w:val="900"/>
        </w:trPr>
        <w:tc>
          <w:tcPr>
            <w:tcW w:w="2547" w:type="dxa"/>
            <w:vAlign w:val="center"/>
            <w:hideMark/>
          </w:tcPr>
          <w:p w14:paraId="24D2C926" w14:textId="77777777" w:rsidR="0077230C" w:rsidRPr="00A81971" w:rsidRDefault="0032495C" w:rsidP="00A04930">
            <w:pPr>
              <w:spacing w:after="0"/>
              <w:rPr>
                <w:rFonts w:eastAsia="Times New Roman"/>
                <w:color w:val="000000"/>
              </w:rPr>
            </w:pPr>
            <w:r w:rsidRPr="00A81971">
              <w:rPr>
                <w:rFonts w:eastAsia="Times New Roman"/>
                <w:color w:val="000000"/>
              </w:rPr>
              <w:t>Safety equipment for flammability for storage space at the Ports</w:t>
            </w:r>
          </w:p>
        </w:tc>
        <w:tc>
          <w:tcPr>
            <w:tcW w:w="2126" w:type="dxa"/>
            <w:noWrap/>
            <w:vAlign w:val="center"/>
          </w:tcPr>
          <w:p w14:paraId="457B7824" w14:textId="77777777" w:rsidR="0077230C" w:rsidRPr="00A81971" w:rsidRDefault="0032495C" w:rsidP="00A04930">
            <w:pPr>
              <w:spacing w:after="0"/>
              <w:ind w:right="57"/>
              <w:jc w:val="right"/>
              <w:rPr>
                <w:rFonts w:eastAsia="Times New Roman"/>
              </w:rPr>
            </w:pPr>
            <w:r w:rsidRPr="00A81971">
              <w:rPr>
                <w:rFonts w:eastAsia="Times New Roman"/>
              </w:rPr>
              <w:t>25,000</w:t>
            </w:r>
          </w:p>
        </w:tc>
        <w:tc>
          <w:tcPr>
            <w:tcW w:w="3821" w:type="dxa"/>
            <w:hideMark/>
          </w:tcPr>
          <w:p w14:paraId="2CBCE5E8" w14:textId="77777777" w:rsidR="0077230C" w:rsidRPr="00A81971" w:rsidRDefault="0077230C" w:rsidP="0077230C">
            <w:pPr>
              <w:spacing w:after="0"/>
              <w:rPr>
                <w:rFonts w:eastAsia="Times New Roman"/>
                <w:color w:val="000000"/>
              </w:rPr>
            </w:pPr>
          </w:p>
        </w:tc>
      </w:tr>
      <w:tr w:rsidR="00F90461" w14:paraId="44A1C5ED" w14:textId="77777777" w:rsidTr="00A04930">
        <w:trPr>
          <w:trHeight w:val="300"/>
        </w:trPr>
        <w:tc>
          <w:tcPr>
            <w:tcW w:w="2547" w:type="dxa"/>
            <w:noWrap/>
            <w:vAlign w:val="center"/>
            <w:hideMark/>
          </w:tcPr>
          <w:p w14:paraId="781C8484" w14:textId="77777777" w:rsidR="0077230C" w:rsidRPr="00A81971" w:rsidRDefault="0032495C" w:rsidP="00A04930">
            <w:pPr>
              <w:spacing w:after="0"/>
              <w:rPr>
                <w:rFonts w:eastAsia="Times New Roman"/>
                <w:b/>
                <w:bCs/>
                <w:color w:val="000000"/>
              </w:rPr>
            </w:pPr>
            <w:r w:rsidRPr="00A81971">
              <w:rPr>
                <w:rFonts w:eastAsia="Times New Roman"/>
                <w:b/>
                <w:bCs/>
                <w:color w:val="000000"/>
              </w:rPr>
              <w:t xml:space="preserve">Total </w:t>
            </w:r>
          </w:p>
        </w:tc>
        <w:tc>
          <w:tcPr>
            <w:tcW w:w="2126" w:type="dxa"/>
            <w:noWrap/>
            <w:vAlign w:val="center"/>
            <w:hideMark/>
          </w:tcPr>
          <w:p w14:paraId="7914AEBD" w14:textId="77777777" w:rsidR="0077230C" w:rsidRPr="00A81971" w:rsidRDefault="0032495C" w:rsidP="00A04930">
            <w:pPr>
              <w:spacing w:after="0"/>
              <w:ind w:right="57"/>
              <w:jc w:val="right"/>
              <w:rPr>
                <w:rFonts w:eastAsia="Times New Roman"/>
                <w:b/>
                <w:bCs/>
              </w:rPr>
            </w:pPr>
            <w:r w:rsidRPr="00A81971">
              <w:rPr>
                <w:rFonts w:eastAsia="Times New Roman"/>
                <w:b/>
                <w:bCs/>
              </w:rPr>
              <w:t>51,5000</w:t>
            </w:r>
          </w:p>
        </w:tc>
        <w:tc>
          <w:tcPr>
            <w:tcW w:w="3821" w:type="dxa"/>
            <w:noWrap/>
            <w:vAlign w:val="bottom"/>
            <w:hideMark/>
          </w:tcPr>
          <w:p w14:paraId="2980935B" w14:textId="77777777" w:rsidR="0077230C" w:rsidRPr="00A81971" w:rsidRDefault="0077230C" w:rsidP="0077230C">
            <w:pPr>
              <w:spacing w:after="0"/>
              <w:rPr>
                <w:rFonts w:eastAsia="Times New Roman"/>
                <w:b/>
                <w:bCs/>
                <w:color w:val="000000"/>
              </w:rPr>
            </w:pPr>
          </w:p>
        </w:tc>
      </w:tr>
    </w:tbl>
    <w:p w14:paraId="0D32F3F6" w14:textId="77777777" w:rsidR="0077230C" w:rsidRPr="00A81971" w:rsidRDefault="0077230C" w:rsidP="0077230C">
      <w:pPr>
        <w:spacing w:after="160" w:line="279" w:lineRule="auto"/>
        <w:contextualSpacing/>
        <w:jc w:val="both"/>
        <w:rPr>
          <w:rFonts w:eastAsia="Calibri"/>
          <w:lang w:eastAsia="ja-JP"/>
        </w:rPr>
      </w:pPr>
    </w:p>
    <w:p w14:paraId="76C5D631" w14:textId="77777777" w:rsidR="0077230C" w:rsidRPr="00A81971" w:rsidRDefault="0032495C" w:rsidP="0077230C">
      <w:pPr>
        <w:spacing w:after="0"/>
        <w:rPr>
          <w:rFonts w:eastAsia="Calibri"/>
          <w:lang w:eastAsia="ja-JP"/>
        </w:rPr>
      </w:pPr>
      <w:r w:rsidRPr="00A81971">
        <w:rPr>
          <w:rFonts w:eastAsia="Calibri"/>
          <w:lang w:eastAsia="ja-JP"/>
        </w:rPr>
        <w:t xml:space="preserve">As summarised in Table A6.8, the model assumes that a high-end cost estimate would allow every one of 144 A5 </w:t>
      </w:r>
      <w:r w:rsidR="00BD05B0" w:rsidRPr="00A81971">
        <w:rPr>
          <w:rFonts w:eastAsia="Calibri"/>
          <w:lang w:eastAsia="ja-JP"/>
        </w:rPr>
        <w:t>p</w:t>
      </w:r>
      <w:r w:rsidRPr="00A81971">
        <w:rPr>
          <w:rFonts w:eastAsia="Calibri"/>
          <w:lang w:eastAsia="ja-JP"/>
        </w:rPr>
        <w:t xml:space="preserve">arties to create conditions to export used or unwanted gases </w:t>
      </w:r>
    </w:p>
    <w:p w14:paraId="1EB70DFD" w14:textId="77777777" w:rsidR="0077230C" w:rsidRPr="00A81971" w:rsidRDefault="0077230C" w:rsidP="0077230C">
      <w:pPr>
        <w:spacing w:after="0"/>
        <w:rPr>
          <w:rFonts w:eastAsia="Calibri"/>
          <w:lang w:eastAsia="ja-JP"/>
        </w:rPr>
      </w:pPr>
    </w:p>
    <w:p w14:paraId="6FA063DF" w14:textId="77777777" w:rsidR="001F28FA" w:rsidRPr="00A81971" w:rsidRDefault="0032495C" w:rsidP="00184701">
      <w:pPr>
        <w:tabs>
          <w:tab w:val="left" w:pos="0"/>
          <w:tab w:val="left" w:pos="1276"/>
        </w:tabs>
        <w:spacing w:after="120"/>
        <w:ind w:left="1282" w:hanging="1282"/>
        <w:rPr>
          <w:rFonts w:eastAsia="Calibri"/>
          <w:lang w:eastAsia="ja-JP"/>
        </w:rPr>
      </w:pPr>
      <w:r w:rsidRPr="0006445E">
        <w:rPr>
          <w:rFonts w:eastAsia="Yu Mincho"/>
          <w:b/>
          <w:bCs/>
          <w:color w:val="000000"/>
          <w:lang w:val="en-CA"/>
        </w:rPr>
        <w:t xml:space="preserve">Table </w:t>
      </w:r>
      <w:r>
        <w:rPr>
          <w:rFonts w:eastAsia="Yu Mincho"/>
          <w:b/>
          <w:bCs/>
          <w:color w:val="000000"/>
          <w:lang w:val="en-CA"/>
        </w:rPr>
        <w:t>A6.8:</w:t>
      </w:r>
      <w:r w:rsidRPr="0006445E">
        <w:rPr>
          <w:rFonts w:eastAsia="Times New Roman"/>
          <w:color w:val="000000"/>
          <w:lang w:val="en-CA"/>
        </w:rPr>
        <w:tab/>
      </w:r>
      <w:r w:rsidRPr="00A81971">
        <w:rPr>
          <w:rFonts w:eastAsia="Calibri"/>
          <w:b/>
          <w:bCs/>
          <w:lang w:eastAsia="ja-JP"/>
        </w:rPr>
        <w:t>High-end cost estimate for exports of used or unwanted gases</w:t>
      </w:r>
      <w:r w:rsidRPr="00A81971">
        <w:rPr>
          <w:rFonts w:eastAsia="Times New Roman"/>
          <w:b/>
          <w:bCs/>
        </w:rPr>
        <w:t xml:space="preserve"> </w:t>
      </w:r>
    </w:p>
    <w:tbl>
      <w:tblPr>
        <w:tblStyle w:val="TableGrid16"/>
        <w:tblW w:w="0" w:type="auto"/>
        <w:tblLook w:val="04A0" w:firstRow="1" w:lastRow="0" w:firstColumn="1" w:lastColumn="0" w:noHBand="0" w:noVBand="1"/>
      </w:tblPr>
      <w:tblGrid>
        <w:gridCol w:w="1696"/>
        <w:gridCol w:w="2550"/>
        <w:gridCol w:w="1986"/>
        <w:gridCol w:w="2262"/>
      </w:tblGrid>
      <w:tr w:rsidR="00F90461" w14:paraId="2B4CB844" w14:textId="77777777" w:rsidTr="00184701">
        <w:tc>
          <w:tcPr>
            <w:tcW w:w="1696" w:type="dxa"/>
            <w:shd w:val="clear" w:color="auto" w:fill="D9E2F3" w:themeFill="accent1" w:themeFillTint="33"/>
          </w:tcPr>
          <w:p w14:paraId="77244E5B" w14:textId="77777777" w:rsidR="0077230C" w:rsidRPr="00A81971" w:rsidRDefault="0032495C" w:rsidP="0077230C">
            <w:pPr>
              <w:spacing w:after="0"/>
              <w:rPr>
                <w:rFonts w:eastAsia="Calibri"/>
                <w:lang w:eastAsia="ja-JP"/>
              </w:rPr>
            </w:pPr>
            <w:r w:rsidRPr="00A81971">
              <w:rPr>
                <w:rFonts w:eastAsia="Calibri"/>
                <w:lang w:eastAsia="ja-JP"/>
              </w:rPr>
              <w:t>Module 2b</w:t>
            </w:r>
          </w:p>
        </w:tc>
        <w:tc>
          <w:tcPr>
            <w:tcW w:w="2550" w:type="dxa"/>
            <w:shd w:val="clear" w:color="auto" w:fill="D9E2F3" w:themeFill="accent1" w:themeFillTint="33"/>
          </w:tcPr>
          <w:p w14:paraId="46DEEC13" w14:textId="77777777" w:rsidR="0077230C" w:rsidRPr="00A81971" w:rsidRDefault="0032495C" w:rsidP="0077230C">
            <w:pPr>
              <w:spacing w:after="0"/>
              <w:rPr>
                <w:rFonts w:eastAsia="Calibri"/>
                <w:lang w:eastAsia="ja-JP"/>
              </w:rPr>
            </w:pPr>
            <w:r w:rsidRPr="00A81971">
              <w:rPr>
                <w:rFonts w:eastAsia="Calibri"/>
                <w:lang w:eastAsia="ja-JP"/>
              </w:rPr>
              <w:t>Cost per country</w:t>
            </w:r>
            <w:r w:rsidR="008D1C77" w:rsidRPr="00A81971">
              <w:rPr>
                <w:rFonts w:eastAsia="Calibri"/>
                <w:lang w:eastAsia="ja-JP"/>
              </w:rPr>
              <w:t xml:space="preserve"> (US$)</w:t>
            </w:r>
          </w:p>
        </w:tc>
        <w:tc>
          <w:tcPr>
            <w:tcW w:w="1986" w:type="dxa"/>
            <w:shd w:val="clear" w:color="auto" w:fill="D9E2F3" w:themeFill="accent1" w:themeFillTint="33"/>
          </w:tcPr>
          <w:p w14:paraId="711367D8" w14:textId="77777777" w:rsidR="0077230C" w:rsidRPr="00A81971" w:rsidRDefault="0032495C" w:rsidP="0077230C">
            <w:pPr>
              <w:spacing w:after="0"/>
              <w:rPr>
                <w:rFonts w:eastAsia="Calibri"/>
                <w:lang w:eastAsia="ja-JP"/>
              </w:rPr>
            </w:pPr>
            <w:r w:rsidRPr="00A81971">
              <w:rPr>
                <w:rFonts w:eastAsia="Calibri"/>
                <w:lang w:eastAsia="ja-JP"/>
              </w:rPr>
              <w:t>Number of LVCs</w:t>
            </w:r>
          </w:p>
        </w:tc>
        <w:tc>
          <w:tcPr>
            <w:tcW w:w="2262" w:type="dxa"/>
            <w:shd w:val="clear" w:color="auto" w:fill="D9E2F3" w:themeFill="accent1" w:themeFillTint="33"/>
          </w:tcPr>
          <w:p w14:paraId="1083CC99" w14:textId="77777777" w:rsidR="0077230C" w:rsidRPr="00A81971" w:rsidRDefault="0032495C" w:rsidP="0077230C">
            <w:pPr>
              <w:spacing w:after="0"/>
              <w:rPr>
                <w:rFonts w:eastAsia="Calibri"/>
                <w:lang w:eastAsia="ja-JP"/>
              </w:rPr>
            </w:pPr>
            <w:r w:rsidRPr="00A81971">
              <w:rPr>
                <w:rFonts w:eastAsia="Calibri"/>
                <w:lang w:eastAsia="ja-JP"/>
              </w:rPr>
              <w:t xml:space="preserve">Total funding </w:t>
            </w:r>
            <w:r w:rsidR="008D1C77" w:rsidRPr="00A81971">
              <w:rPr>
                <w:rFonts w:eastAsia="Calibri"/>
                <w:lang w:eastAsia="ja-JP"/>
              </w:rPr>
              <w:t>(</w:t>
            </w:r>
            <w:r w:rsidRPr="00A81971">
              <w:rPr>
                <w:rFonts w:eastAsia="Calibri"/>
                <w:lang w:eastAsia="ja-JP"/>
              </w:rPr>
              <w:t>US$</w:t>
            </w:r>
            <w:r w:rsidR="008D1C77" w:rsidRPr="00A81971">
              <w:rPr>
                <w:rFonts w:eastAsia="Calibri"/>
                <w:lang w:eastAsia="ja-JP"/>
              </w:rPr>
              <w:t>)</w:t>
            </w:r>
          </w:p>
        </w:tc>
      </w:tr>
      <w:tr w:rsidR="00F90461" w14:paraId="03DF45E2" w14:textId="77777777" w:rsidTr="00A04930">
        <w:tc>
          <w:tcPr>
            <w:tcW w:w="1696" w:type="dxa"/>
          </w:tcPr>
          <w:p w14:paraId="3945C266" w14:textId="77777777" w:rsidR="0077230C" w:rsidRPr="00A81971" w:rsidRDefault="0077230C" w:rsidP="0077230C">
            <w:pPr>
              <w:spacing w:after="0"/>
              <w:rPr>
                <w:rFonts w:eastAsia="Calibri"/>
                <w:lang w:eastAsia="ja-JP"/>
              </w:rPr>
            </w:pPr>
          </w:p>
        </w:tc>
        <w:tc>
          <w:tcPr>
            <w:tcW w:w="2550" w:type="dxa"/>
            <w:vAlign w:val="center"/>
          </w:tcPr>
          <w:p w14:paraId="443F97A6" w14:textId="77777777" w:rsidR="0077230C" w:rsidRPr="00A81971" w:rsidRDefault="0032495C" w:rsidP="00A04930">
            <w:pPr>
              <w:spacing w:after="0"/>
              <w:rPr>
                <w:rFonts w:eastAsia="Calibri"/>
                <w:lang w:eastAsia="ja-JP"/>
              </w:rPr>
            </w:pPr>
            <w:r w:rsidRPr="00A81971">
              <w:rPr>
                <w:rFonts w:eastAsia="Calibri"/>
                <w:lang w:eastAsia="ja-JP"/>
              </w:rPr>
              <w:t>51,500</w:t>
            </w:r>
          </w:p>
        </w:tc>
        <w:tc>
          <w:tcPr>
            <w:tcW w:w="1986" w:type="dxa"/>
            <w:vAlign w:val="center"/>
          </w:tcPr>
          <w:p w14:paraId="56A997EA" w14:textId="77777777" w:rsidR="0077230C" w:rsidRPr="00A81971" w:rsidRDefault="0032495C" w:rsidP="00A04930">
            <w:pPr>
              <w:spacing w:after="0"/>
              <w:rPr>
                <w:rFonts w:eastAsia="Calibri"/>
                <w:lang w:eastAsia="ja-JP"/>
              </w:rPr>
            </w:pPr>
            <w:r w:rsidRPr="00A81971">
              <w:rPr>
                <w:rFonts w:eastAsia="Calibri"/>
                <w:lang w:eastAsia="ja-JP"/>
              </w:rPr>
              <w:t>144</w:t>
            </w:r>
          </w:p>
        </w:tc>
        <w:tc>
          <w:tcPr>
            <w:tcW w:w="2262" w:type="dxa"/>
            <w:vAlign w:val="center"/>
          </w:tcPr>
          <w:p w14:paraId="4335D954" w14:textId="77777777" w:rsidR="0077230C" w:rsidRPr="00A81971" w:rsidRDefault="0032495C" w:rsidP="00A04930">
            <w:pPr>
              <w:spacing w:after="0"/>
              <w:rPr>
                <w:rFonts w:eastAsia="Calibri"/>
                <w:lang w:eastAsia="ja-JP"/>
              </w:rPr>
            </w:pPr>
            <w:r w:rsidRPr="00A81971">
              <w:rPr>
                <w:rFonts w:eastAsia="Calibri"/>
                <w:lang w:eastAsia="ja-JP"/>
              </w:rPr>
              <w:t>7,416,000</w:t>
            </w:r>
          </w:p>
        </w:tc>
      </w:tr>
    </w:tbl>
    <w:p w14:paraId="2788A4D4" w14:textId="77777777" w:rsidR="0077230C" w:rsidRPr="00A81971" w:rsidRDefault="0077230C" w:rsidP="0077230C">
      <w:pPr>
        <w:spacing w:after="0"/>
        <w:rPr>
          <w:rFonts w:eastAsia="Calibri"/>
          <w:lang w:eastAsia="ja-JP"/>
        </w:rPr>
      </w:pPr>
    </w:p>
    <w:p w14:paraId="4028158F" w14:textId="77777777" w:rsidR="0077230C" w:rsidRPr="00A81971" w:rsidRDefault="0032495C" w:rsidP="00201CFA">
      <w:pPr>
        <w:pStyle w:val="Heading2"/>
      </w:pPr>
      <w:bookmarkStart w:id="270" w:name="_Toc240987367"/>
      <w:r w:rsidRPr="00A81971">
        <w:t>A6.3</w:t>
      </w:r>
      <w:r w:rsidRPr="00A81971">
        <w:tab/>
        <w:t>Module 3 – destruction - generates conditions for destruction, by enabling local facilities to destroy F-gases</w:t>
      </w:r>
      <w:bookmarkEnd w:id="270"/>
      <w:r w:rsidRPr="00A81971">
        <w:t xml:space="preserve"> </w:t>
      </w:r>
    </w:p>
    <w:p w14:paraId="5CCFDFCC" w14:textId="77777777" w:rsidR="0077230C" w:rsidRPr="00A81971" w:rsidRDefault="0032495C" w:rsidP="0077230C">
      <w:pPr>
        <w:spacing w:after="0"/>
        <w:rPr>
          <w:rFonts w:eastAsia="Calibri"/>
          <w:b/>
          <w:bCs/>
          <w:lang w:eastAsia="ja-JP"/>
        </w:rPr>
      </w:pPr>
      <w:r w:rsidRPr="00A81971">
        <w:rPr>
          <w:rFonts w:eastAsia="Calibri"/>
          <w:lang w:eastAsia="ja-JP"/>
        </w:rPr>
        <w:t xml:space="preserve">Module 3 addresses the final treatment of recovered refrigerant that is not suitable or intended for reuse or reclamation. </w:t>
      </w:r>
      <w:r w:rsidR="00330F74" w:rsidRPr="00A81971">
        <w:rPr>
          <w:rFonts w:eastAsia="Calibri"/>
          <w:lang w:eastAsia="ja-JP"/>
        </w:rPr>
        <w:t xml:space="preserve">It considers </w:t>
      </w:r>
      <w:r w:rsidRPr="00A81971">
        <w:rPr>
          <w:rFonts w:eastAsia="Calibri"/>
          <w:lang w:eastAsia="ja-JP"/>
        </w:rPr>
        <w:t xml:space="preserve">the </w:t>
      </w:r>
      <w:r w:rsidR="00D92EEB" w:rsidRPr="00A81971">
        <w:rPr>
          <w:rFonts w:eastAsia="Calibri"/>
          <w:lang w:eastAsia="ja-JP"/>
        </w:rPr>
        <w:t>technical, regulatory, and logistical</w:t>
      </w:r>
      <w:r w:rsidRPr="00A81971">
        <w:rPr>
          <w:rFonts w:eastAsia="Calibri"/>
          <w:lang w:eastAsia="ja-JP"/>
        </w:rPr>
        <w:t xml:space="preserve"> conditions </w:t>
      </w:r>
      <w:r w:rsidR="00D92EEB" w:rsidRPr="00A81971">
        <w:rPr>
          <w:rFonts w:eastAsia="Calibri"/>
          <w:lang w:eastAsia="ja-JP"/>
        </w:rPr>
        <w:t xml:space="preserve">necessary </w:t>
      </w:r>
      <w:r w:rsidRPr="00A81971">
        <w:rPr>
          <w:rFonts w:eastAsia="Calibri"/>
          <w:lang w:eastAsia="ja-JP"/>
        </w:rPr>
        <w:t xml:space="preserve">for the </w:t>
      </w:r>
      <w:r w:rsidR="00617A01" w:rsidRPr="00A81971">
        <w:rPr>
          <w:rFonts w:eastAsia="Calibri"/>
          <w:lang w:eastAsia="ja-JP"/>
        </w:rPr>
        <w:t xml:space="preserve">compliant </w:t>
      </w:r>
      <w:r w:rsidRPr="00A81971">
        <w:rPr>
          <w:rFonts w:eastAsia="Calibri"/>
          <w:lang w:eastAsia="ja-JP"/>
        </w:rPr>
        <w:t xml:space="preserve">destruction of </w:t>
      </w:r>
      <w:r w:rsidR="00617A01" w:rsidRPr="00A81971">
        <w:rPr>
          <w:rFonts w:eastAsia="Calibri"/>
          <w:lang w:eastAsia="ja-JP"/>
        </w:rPr>
        <w:t xml:space="preserve">this residual fraction. </w:t>
      </w:r>
      <w:r w:rsidR="00E3761F" w:rsidRPr="00A81971">
        <w:rPr>
          <w:rFonts w:eastAsia="Calibri"/>
          <w:lang w:eastAsia="ja-JP"/>
        </w:rPr>
        <w:t xml:space="preserve">As </w:t>
      </w:r>
      <w:r w:rsidRPr="00A81971">
        <w:rPr>
          <w:rFonts w:eastAsia="Calibri"/>
          <w:lang w:eastAsia="ja-JP"/>
        </w:rPr>
        <w:t xml:space="preserve">the final stage of the lifecycle </w:t>
      </w:r>
      <w:r w:rsidR="00364890" w:rsidRPr="00A81971">
        <w:rPr>
          <w:rFonts w:eastAsia="Calibri"/>
          <w:lang w:eastAsia="ja-JP"/>
        </w:rPr>
        <w:t xml:space="preserve">management </w:t>
      </w:r>
      <w:r w:rsidRPr="00A81971">
        <w:rPr>
          <w:rFonts w:eastAsia="Calibri"/>
          <w:lang w:eastAsia="ja-JP"/>
        </w:rPr>
        <w:t>chain</w:t>
      </w:r>
      <w:r w:rsidR="00364890" w:rsidRPr="00A81971">
        <w:rPr>
          <w:rFonts w:eastAsia="Calibri"/>
          <w:lang w:eastAsia="ja-JP"/>
        </w:rPr>
        <w:t xml:space="preserve">, the module </w:t>
      </w:r>
      <w:r w:rsidRPr="00A81971">
        <w:rPr>
          <w:rFonts w:eastAsia="Calibri"/>
          <w:lang w:eastAsia="ja-JP"/>
        </w:rPr>
        <w:t xml:space="preserve">applies to </w:t>
      </w:r>
      <w:r w:rsidR="001A543A" w:rsidRPr="00A81971">
        <w:rPr>
          <w:rFonts w:eastAsia="Calibri"/>
          <w:lang w:eastAsia="ja-JP"/>
        </w:rPr>
        <w:t xml:space="preserve">refrigerant </w:t>
      </w:r>
      <w:r w:rsidRPr="00A81971">
        <w:rPr>
          <w:rFonts w:eastAsia="Calibri"/>
          <w:lang w:eastAsia="ja-JP"/>
        </w:rPr>
        <w:t>remaining after recovery and</w:t>
      </w:r>
      <w:r w:rsidR="001A543A" w:rsidRPr="00A81971">
        <w:rPr>
          <w:rFonts w:eastAsia="Calibri"/>
          <w:lang w:eastAsia="ja-JP"/>
        </w:rPr>
        <w:t xml:space="preserve">, </w:t>
      </w:r>
      <w:r w:rsidR="00107CBA" w:rsidRPr="00A81971">
        <w:rPr>
          <w:rFonts w:eastAsia="Calibri"/>
          <w:lang w:eastAsia="ja-JP"/>
        </w:rPr>
        <w:t>where applicable,</w:t>
      </w:r>
      <w:r w:rsidRPr="00A81971">
        <w:rPr>
          <w:rFonts w:eastAsia="Calibri"/>
          <w:lang w:eastAsia="ja-JP"/>
        </w:rPr>
        <w:t xml:space="preserve"> reclamation</w:t>
      </w:r>
      <w:r w:rsidR="002E57BF" w:rsidRPr="00A81971">
        <w:rPr>
          <w:rFonts w:eastAsia="Calibri"/>
          <w:lang w:eastAsia="ja-JP"/>
        </w:rPr>
        <w:t xml:space="preserve"> that has been determined to require destruction</w:t>
      </w:r>
      <w:r w:rsidRPr="00A81971">
        <w:rPr>
          <w:rFonts w:eastAsia="Calibri"/>
          <w:lang w:eastAsia="ja-JP"/>
        </w:rPr>
        <w:t>.</w:t>
      </w:r>
    </w:p>
    <w:p w14:paraId="2DC96E93" w14:textId="77777777" w:rsidR="0077230C" w:rsidRPr="00FE5C31" w:rsidRDefault="0032495C" w:rsidP="002E3156">
      <w:pPr>
        <w:pStyle w:val="Heading3"/>
      </w:pPr>
      <w:r w:rsidRPr="00FE5C31">
        <w:t>A6.3.1</w:t>
      </w:r>
      <w:r w:rsidRPr="00FE5C31">
        <w:tab/>
        <w:t xml:space="preserve">Module 3 a – enabling local destruction </w:t>
      </w:r>
    </w:p>
    <w:p w14:paraId="23A3D299" w14:textId="77777777" w:rsidR="0077230C" w:rsidRPr="00A81971" w:rsidRDefault="0032495C" w:rsidP="0077230C">
      <w:pPr>
        <w:spacing w:after="0"/>
        <w:rPr>
          <w:rFonts w:eastAsia="Calibri"/>
          <w:lang w:eastAsia="ja-JP"/>
        </w:rPr>
      </w:pPr>
      <w:r w:rsidRPr="00A81971">
        <w:rPr>
          <w:rFonts w:eastAsia="Calibri"/>
          <w:lang w:eastAsia="ja-JP"/>
        </w:rPr>
        <w:t>This module establishes the conditions required for the final destruction of refrigerant that is not suitable for reclamation, either through domestic facilities or export pathways.</w:t>
      </w:r>
    </w:p>
    <w:p w14:paraId="5ED2FF36" w14:textId="77777777" w:rsidR="0077230C" w:rsidRPr="00A81971" w:rsidRDefault="0077230C" w:rsidP="0077230C">
      <w:pPr>
        <w:spacing w:after="0"/>
        <w:rPr>
          <w:rFonts w:eastAsia="Calibri"/>
          <w:lang w:eastAsia="ja-JP"/>
        </w:rPr>
      </w:pPr>
    </w:p>
    <w:p w14:paraId="5F95AD55" w14:textId="77777777" w:rsidR="0077230C" w:rsidRPr="00A81971" w:rsidRDefault="0032495C" w:rsidP="0077230C">
      <w:pPr>
        <w:spacing w:after="0"/>
        <w:rPr>
          <w:rFonts w:eastAsia="Calibri"/>
          <w:lang w:eastAsia="ja-JP"/>
        </w:rPr>
      </w:pPr>
      <w:r w:rsidRPr="00A81971">
        <w:rPr>
          <w:rFonts w:eastAsia="Calibri"/>
          <w:lang w:eastAsia="ja-JP"/>
        </w:rPr>
        <w:t>Assumptions are that:</w:t>
      </w:r>
    </w:p>
    <w:p w14:paraId="0C27733E"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The module applies only to non-reclaimable refrigerant.</w:t>
      </w:r>
    </w:p>
    <w:p w14:paraId="607CD170"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Refrigerant is treated as waste.</w:t>
      </w:r>
    </w:p>
    <w:p w14:paraId="2F7B8D35"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lastRenderedPageBreak/>
        <w:t>Two pathways are possible: domestic destruction or export for destruction.</w:t>
      </w:r>
    </w:p>
    <w:p w14:paraId="31E4E3BA"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Export for destruction requires Basel Convention compliance.</w:t>
      </w:r>
    </w:p>
    <w:p w14:paraId="35011643"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The module does not fund destruction itself, only enabling conditions.</w:t>
      </w:r>
    </w:p>
    <w:p w14:paraId="05BFCAF4"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Cement kiln owners and/or rotary kiln owners are supported in adopting licensing by environmental control authority</w:t>
      </w:r>
    </w:p>
    <w:p w14:paraId="29D9B87A" w14:textId="77777777" w:rsidR="0077230C" w:rsidRPr="00A81971" w:rsidRDefault="0032495C" w:rsidP="007A20BD">
      <w:pPr>
        <w:widowControl w:val="0"/>
        <w:numPr>
          <w:ilvl w:val="0"/>
          <w:numId w:val="52"/>
        </w:numPr>
        <w:autoSpaceDE w:val="0"/>
        <w:autoSpaceDN w:val="0"/>
        <w:spacing w:after="0" w:line="279" w:lineRule="auto"/>
        <w:contextualSpacing/>
        <w:rPr>
          <w:rFonts w:eastAsia="Calibri"/>
          <w:lang w:eastAsia="ja-JP"/>
        </w:rPr>
      </w:pPr>
      <w:r w:rsidRPr="00A81971">
        <w:rPr>
          <w:rFonts w:eastAsia="Calibri"/>
          <w:lang w:eastAsia="ja-JP"/>
        </w:rPr>
        <w:t xml:space="preserve">Local capacity is created for managing Basel Convention waste definition, PIC procedure and facilitation of transit. </w:t>
      </w:r>
    </w:p>
    <w:p w14:paraId="2086DEE3" w14:textId="77777777" w:rsidR="0077230C" w:rsidRPr="00A81971" w:rsidRDefault="0077230C" w:rsidP="0077230C">
      <w:pPr>
        <w:spacing w:after="0"/>
        <w:rPr>
          <w:rFonts w:eastAsia="Calibri"/>
          <w:lang w:eastAsia="ja-JP"/>
        </w:rPr>
      </w:pPr>
    </w:p>
    <w:p w14:paraId="712177A3" w14:textId="77777777" w:rsidR="0077230C" w:rsidRPr="00A81971" w:rsidRDefault="0032495C" w:rsidP="0077230C">
      <w:pPr>
        <w:spacing w:after="0"/>
        <w:rPr>
          <w:rFonts w:eastAsia="Calibri"/>
          <w:lang w:eastAsia="ja-JP"/>
        </w:rPr>
      </w:pPr>
      <w:r w:rsidRPr="00A81971">
        <w:rPr>
          <w:rFonts w:eastAsia="Calibri"/>
          <w:lang w:eastAsia="ja-JP"/>
        </w:rPr>
        <w:t>Goals of Module 3 are:</w:t>
      </w:r>
    </w:p>
    <w:p w14:paraId="2BF7ABDE"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To ensure a final pathway for non-reclaimable refrigerant;</w:t>
      </w:r>
    </w:p>
    <w:p w14:paraId="57891CAB"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To enable domestic destruction where feasible;</w:t>
      </w:r>
    </w:p>
    <w:p w14:paraId="421DAEBA"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To enable export for destruction where necessary; and</w:t>
      </w:r>
    </w:p>
    <w:p w14:paraId="07C4F0E9" w14:textId="77777777" w:rsidR="0077230C" w:rsidRPr="00A81971" w:rsidRDefault="0032495C" w:rsidP="007A20BD">
      <w:pPr>
        <w:widowControl w:val="0"/>
        <w:numPr>
          <w:ilvl w:val="0"/>
          <w:numId w:val="52"/>
        </w:numPr>
        <w:autoSpaceDE w:val="0"/>
        <w:autoSpaceDN w:val="0"/>
        <w:spacing w:after="0"/>
        <w:ind w:left="714" w:hanging="357"/>
        <w:contextualSpacing/>
        <w:rPr>
          <w:rFonts w:eastAsia="Calibri"/>
          <w:lang w:eastAsia="ja-JP"/>
        </w:rPr>
      </w:pPr>
      <w:r w:rsidRPr="00A81971">
        <w:rPr>
          <w:rFonts w:eastAsia="Calibri"/>
          <w:lang w:eastAsia="ja-JP"/>
        </w:rPr>
        <w:t>To ensure compliance with environmental and international regulations.</w:t>
      </w:r>
    </w:p>
    <w:p w14:paraId="295ADE3B" w14:textId="77777777" w:rsidR="0077230C" w:rsidRPr="00A81971" w:rsidRDefault="0077230C" w:rsidP="0077230C">
      <w:pPr>
        <w:spacing w:after="0"/>
        <w:rPr>
          <w:rFonts w:eastAsia="Calibri"/>
          <w:lang w:eastAsia="ja-JP"/>
        </w:rPr>
      </w:pPr>
    </w:p>
    <w:p w14:paraId="1E0C5122" w14:textId="77777777" w:rsidR="0077230C" w:rsidRPr="00A81971" w:rsidRDefault="0032495C" w:rsidP="0077230C">
      <w:pPr>
        <w:spacing w:after="0"/>
        <w:rPr>
          <w:rFonts w:eastAsia="Calibri"/>
          <w:lang w:eastAsia="ja-JP"/>
        </w:rPr>
      </w:pPr>
      <w:r w:rsidRPr="00A81971">
        <w:rPr>
          <w:rFonts w:eastAsia="Calibri"/>
          <w:lang w:eastAsia="ja-JP"/>
        </w:rPr>
        <w:t>Two pathways are considered within this module: domestic destruction, where suitable facilities can be adapted or utilized, and export for destruction, where domestic capacity is not viable. Both pathways serve the same function within the model, namely providing a compliant and operational route for final treatment of waste refrigerant.</w:t>
      </w:r>
    </w:p>
    <w:p w14:paraId="599134B4" w14:textId="77777777" w:rsidR="0077230C" w:rsidRPr="00FE5C31" w:rsidRDefault="0032495C" w:rsidP="002E3156">
      <w:pPr>
        <w:pStyle w:val="Heading3"/>
      </w:pPr>
      <w:r w:rsidRPr="00FE5C31">
        <w:t>A6.3.2</w:t>
      </w:r>
      <w:r w:rsidRPr="00FE5C31">
        <w:tab/>
        <w:t>Module 3b – destruction exports to another party</w:t>
      </w:r>
    </w:p>
    <w:p w14:paraId="329FD5CD" w14:textId="77777777" w:rsidR="0077230C" w:rsidRPr="00A81971" w:rsidRDefault="0032495C" w:rsidP="0077230C">
      <w:pPr>
        <w:spacing w:after="0"/>
        <w:rPr>
          <w:rFonts w:eastAsia="Calibri"/>
          <w:lang w:eastAsia="ja-JP"/>
        </w:rPr>
      </w:pPr>
      <w:r w:rsidRPr="00A81971">
        <w:rPr>
          <w:rFonts w:eastAsia="Calibri"/>
          <w:lang w:eastAsia="ja-JP"/>
        </w:rPr>
        <w:t>In many A5 parties, the scale of the refrigerant bank, the limited and irregular volumes of waste refrigerant, and the high capital cost of destruction technologies mean that establishing a national destruction facility is not economically viable. Even where industrial infrastructure exists, such as cement kilns or rotary kilns, technical, regulatory, or economic constraints may limit their suitability for routine destruction of fluorinated gases. As a result, export-based solutions often represent the most practical and cost-effective pathway for managing the residual fraction of refrigerant that cannot be reclaimed.</w:t>
      </w:r>
    </w:p>
    <w:p w14:paraId="38D9EF57" w14:textId="77777777" w:rsidR="0077230C" w:rsidRPr="00A81971" w:rsidRDefault="0077230C" w:rsidP="0077230C">
      <w:pPr>
        <w:spacing w:after="0"/>
        <w:jc w:val="both"/>
        <w:rPr>
          <w:rFonts w:eastAsia="Calibri"/>
          <w:lang w:eastAsia="ja-JP"/>
        </w:rPr>
      </w:pPr>
    </w:p>
    <w:p w14:paraId="1BBFBC97" w14:textId="77777777" w:rsidR="0077230C" w:rsidRPr="00A81971" w:rsidRDefault="0032495C" w:rsidP="0077230C">
      <w:pPr>
        <w:spacing w:after="0"/>
        <w:jc w:val="both"/>
        <w:rPr>
          <w:rFonts w:eastAsia="Calibri"/>
          <w:lang w:eastAsia="ja-JP"/>
        </w:rPr>
      </w:pPr>
      <w:r w:rsidRPr="00A81971">
        <w:rPr>
          <w:rFonts w:eastAsia="Calibri"/>
          <w:lang w:eastAsia="ja-JP"/>
        </w:rPr>
        <w:t>The model included the calculations of this component as in Table A</w:t>
      </w:r>
      <w:r w:rsidR="000A371A" w:rsidRPr="00A81971">
        <w:rPr>
          <w:rFonts w:eastAsia="Calibri"/>
          <w:lang w:eastAsia="ja-JP"/>
        </w:rPr>
        <w:t>6.9</w:t>
      </w:r>
    </w:p>
    <w:p w14:paraId="25B2BA7C" w14:textId="77777777" w:rsidR="0077230C" w:rsidRPr="00A81971" w:rsidRDefault="0077230C" w:rsidP="0077230C">
      <w:pPr>
        <w:spacing w:after="0"/>
        <w:jc w:val="both"/>
        <w:rPr>
          <w:rFonts w:eastAsia="Calibri"/>
          <w:lang w:eastAsia="ja-JP"/>
        </w:rPr>
      </w:pPr>
    </w:p>
    <w:p w14:paraId="54A8E16A" w14:textId="77777777" w:rsidR="0077230C" w:rsidRPr="00A81971" w:rsidRDefault="0032495C" w:rsidP="00184701">
      <w:pPr>
        <w:tabs>
          <w:tab w:val="left" w:pos="0"/>
          <w:tab w:val="left" w:pos="1276"/>
        </w:tabs>
        <w:spacing w:after="120"/>
        <w:ind w:left="1282" w:hanging="1282"/>
        <w:rPr>
          <w:rFonts w:eastAsia="Calibri"/>
          <w:lang w:eastAsia="ja-JP"/>
        </w:rPr>
      </w:pPr>
      <w:r w:rsidRPr="0006445E">
        <w:rPr>
          <w:rFonts w:eastAsia="Yu Mincho"/>
          <w:b/>
          <w:bCs/>
          <w:color w:val="000000"/>
          <w:lang w:val="en-CA"/>
        </w:rPr>
        <w:t xml:space="preserve">Table </w:t>
      </w:r>
      <w:r>
        <w:rPr>
          <w:rFonts w:eastAsia="Yu Mincho"/>
          <w:b/>
          <w:bCs/>
          <w:color w:val="000000"/>
          <w:lang w:val="en-CA"/>
        </w:rPr>
        <w:t>A6.9:</w:t>
      </w:r>
      <w:r w:rsidRPr="0006445E">
        <w:rPr>
          <w:rFonts w:eastAsia="Times New Roman"/>
          <w:color w:val="000000"/>
          <w:lang w:val="en-CA"/>
        </w:rPr>
        <w:tab/>
      </w:r>
      <w:r w:rsidRPr="00A81971">
        <w:rPr>
          <w:rFonts w:eastAsia="Times New Roman"/>
          <w:b/>
          <w:bCs/>
        </w:rPr>
        <w:t>Estimated cost for cement kiln support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1943"/>
        <w:gridCol w:w="4099"/>
      </w:tblGrid>
      <w:tr w:rsidR="00F90461" w14:paraId="33AAE5EA" w14:textId="77777777" w:rsidTr="2E7655E2">
        <w:trPr>
          <w:trHeight w:val="338"/>
        </w:trPr>
        <w:tc>
          <w:tcPr>
            <w:tcW w:w="0" w:type="auto"/>
            <w:shd w:val="clear" w:color="auto" w:fill="D9E2F3" w:themeFill="accent1" w:themeFillTint="33"/>
            <w:noWrap/>
            <w:vAlign w:val="bottom"/>
            <w:hideMark/>
          </w:tcPr>
          <w:p w14:paraId="6DDC8C73" w14:textId="77777777" w:rsidR="0077230C" w:rsidRPr="00A81971" w:rsidRDefault="0032495C" w:rsidP="0077230C">
            <w:pPr>
              <w:spacing w:after="0"/>
              <w:rPr>
                <w:rFonts w:eastAsia="Times New Roman"/>
                <w:sz w:val="24"/>
                <w:szCs w:val="24"/>
              </w:rPr>
            </w:pPr>
            <w:r w:rsidRPr="00A81971">
              <w:rPr>
                <w:rFonts w:eastAsia="Calibri"/>
                <w:lang w:eastAsia="ja-JP"/>
              </w:rPr>
              <w:br w:type="page"/>
            </w:r>
            <w:r w:rsidRPr="00A81971">
              <w:rPr>
                <w:rFonts w:eastAsia="Times New Roman"/>
                <w:b/>
                <w:bCs/>
                <w:color w:val="000000"/>
              </w:rPr>
              <w:t>Module 3a</w:t>
            </w:r>
          </w:p>
        </w:tc>
        <w:tc>
          <w:tcPr>
            <w:tcW w:w="1943" w:type="dxa"/>
            <w:shd w:val="clear" w:color="auto" w:fill="D9E2F3" w:themeFill="accent1" w:themeFillTint="33"/>
            <w:noWrap/>
            <w:vAlign w:val="bottom"/>
            <w:hideMark/>
          </w:tcPr>
          <w:p w14:paraId="41051C07"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Cost in US $</w:t>
            </w:r>
          </w:p>
        </w:tc>
        <w:tc>
          <w:tcPr>
            <w:tcW w:w="4099" w:type="dxa"/>
            <w:shd w:val="clear" w:color="auto" w:fill="D9E2F3" w:themeFill="accent1" w:themeFillTint="33"/>
            <w:noWrap/>
            <w:vAlign w:val="bottom"/>
            <w:hideMark/>
          </w:tcPr>
          <w:p w14:paraId="7C1102F2" w14:textId="77777777" w:rsidR="0077230C" w:rsidRPr="00A81971" w:rsidRDefault="0032495C" w:rsidP="0077230C">
            <w:pPr>
              <w:spacing w:after="0"/>
              <w:jc w:val="center"/>
              <w:rPr>
                <w:rFonts w:eastAsia="Times New Roman"/>
                <w:b/>
                <w:bCs/>
                <w:color w:val="000000"/>
              </w:rPr>
            </w:pPr>
            <w:r w:rsidRPr="00A81971">
              <w:rPr>
                <w:rFonts w:eastAsia="Times New Roman"/>
                <w:b/>
                <w:bCs/>
                <w:color w:val="000000"/>
              </w:rPr>
              <w:t>Description</w:t>
            </w:r>
          </w:p>
        </w:tc>
      </w:tr>
      <w:tr w:rsidR="00F90461" w14:paraId="60FC1B01" w14:textId="77777777" w:rsidTr="00A04930">
        <w:trPr>
          <w:trHeight w:val="674"/>
        </w:trPr>
        <w:tc>
          <w:tcPr>
            <w:tcW w:w="0" w:type="auto"/>
            <w:noWrap/>
            <w:vAlign w:val="center"/>
            <w:hideMark/>
          </w:tcPr>
          <w:p w14:paraId="3E432058" w14:textId="77777777" w:rsidR="0077230C" w:rsidRPr="00A81971" w:rsidRDefault="0032495C" w:rsidP="00A04930">
            <w:pPr>
              <w:spacing w:after="0"/>
              <w:rPr>
                <w:rFonts w:eastAsia="Times New Roman"/>
                <w:color w:val="000000"/>
              </w:rPr>
            </w:pPr>
            <w:r w:rsidRPr="00A81971">
              <w:rPr>
                <w:rFonts w:eastAsia="Times New Roman"/>
                <w:color w:val="000000"/>
              </w:rPr>
              <w:t xml:space="preserve">Supporting cement kiln </w:t>
            </w:r>
          </w:p>
        </w:tc>
        <w:tc>
          <w:tcPr>
            <w:tcW w:w="1943" w:type="dxa"/>
            <w:noWrap/>
            <w:vAlign w:val="center"/>
            <w:hideMark/>
          </w:tcPr>
          <w:p w14:paraId="303C9DBF" w14:textId="77777777" w:rsidR="0077230C" w:rsidRPr="00A81971" w:rsidRDefault="0032495C" w:rsidP="00A04930">
            <w:pPr>
              <w:spacing w:after="0"/>
              <w:jc w:val="center"/>
              <w:rPr>
                <w:rFonts w:eastAsia="Times New Roman"/>
                <w:color w:val="000000"/>
              </w:rPr>
            </w:pPr>
            <w:r w:rsidRPr="00A81971">
              <w:rPr>
                <w:rFonts w:eastAsia="Times New Roman"/>
                <w:color w:val="000000"/>
              </w:rPr>
              <w:t>50,000</w:t>
            </w:r>
          </w:p>
        </w:tc>
        <w:tc>
          <w:tcPr>
            <w:tcW w:w="4099" w:type="dxa"/>
            <w:vAlign w:val="center"/>
            <w:hideMark/>
          </w:tcPr>
          <w:p w14:paraId="207C70B2" w14:textId="77777777" w:rsidR="0077230C" w:rsidRPr="00A81971" w:rsidRDefault="0032495C" w:rsidP="00A04930">
            <w:pPr>
              <w:spacing w:after="0"/>
              <w:rPr>
                <w:rFonts w:eastAsia="Times New Roman"/>
                <w:color w:val="000000"/>
              </w:rPr>
            </w:pPr>
            <w:r w:rsidRPr="00A81971">
              <w:rPr>
                <w:rFonts w:eastAsia="Times New Roman"/>
                <w:color w:val="000000"/>
              </w:rPr>
              <w:t>Includes retrofits to feed gas into the kiln and flue gas monitoring to verify how the incineration occurred. Also includes support to kiln owners to obtain licensing or environmental permitting</w:t>
            </w:r>
            <w:r>
              <w:rPr>
                <w:rFonts w:eastAsia="Times New Roman"/>
                <w:color w:val="000000"/>
                <w:vertAlign w:val="superscript"/>
              </w:rPr>
              <w:footnoteReference w:id="41"/>
            </w:r>
          </w:p>
        </w:tc>
      </w:tr>
    </w:tbl>
    <w:p w14:paraId="42A4D3FF" w14:textId="77777777" w:rsidR="0077230C" w:rsidRPr="00FE5C31" w:rsidRDefault="0032495C" w:rsidP="002E3156">
      <w:pPr>
        <w:pStyle w:val="Heading3"/>
      </w:pPr>
      <w:r w:rsidRPr="00FE5C31">
        <w:t>A6.3.3</w:t>
      </w:r>
      <w:r w:rsidRPr="00FE5C31">
        <w:tab/>
        <w:t>Examples</w:t>
      </w:r>
    </w:p>
    <w:p w14:paraId="4865C749" w14:textId="77777777" w:rsidR="0077230C" w:rsidRPr="00A81971" w:rsidRDefault="0032495C" w:rsidP="0077230C">
      <w:pPr>
        <w:spacing w:after="0"/>
        <w:rPr>
          <w:rFonts w:eastAsia="Calibri"/>
          <w:lang w:eastAsia="ja-JP"/>
        </w:rPr>
      </w:pPr>
      <w:r w:rsidRPr="00A81971">
        <w:rPr>
          <w:rFonts w:eastAsia="Calibri"/>
          <w:lang w:eastAsia="ja-JP"/>
        </w:rPr>
        <w:t>Party examples are constructed as combinations of modules, reflecting different levels of system development and policy ambition. The model does not assume a single pathway but allows for alternative configurations depending on which functions are prioritized.</w:t>
      </w:r>
    </w:p>
    <w:p w14:paraId="039B19B5" w14:textId="77777777" w:rsidR="0077230C" w:rsidRPr="00A81971" w:rsidRDefault="0077230C" w:rsidP="0077230C">
      <w:pPr>
        <w:spacing w:after="0"/>
        <w:rPr>
          <w:rFonts w:eastAsia="Calibri"/>
          <w:lang w:eastAsia="ja-JP"/>
        </w:rPr>
      </w:pPr>
    </w:p>
    <w:p w14:paraId="7035F497" w14:textId="77777777" w:rsidR="0077230C" w:rsidRPr="00A81971" w:rsidRDefault="0032495C" w:rsidP="0077230C">
      <w:pPr>
        <w:spacing w:after="0"/>
        <w:rPr>
          <w:rFonts w:eastAsia="Calibri"/>
          <w:lang w:eastAsia="ja-JP"/>
        </w:rPr>
      </w:pPr>
      <w:r w:rsidRPr="00A81971">
        <w:rPr>
          <w:rFonts w:eastAsia="Calibri"/>
          <w:lang w:eastAsia="ja-JP"/>
        </w:rPr>
        <w:t>The cost estimates therefore reflect the cumulative effect of selected modules rather than a fixed sequence of interventions.</w:t>
      </w:r>
    </w:p>
    <w:p w14:paraId="60F53BC4" w14:textId="77777777" w:rsidR="0077230C" w:rsidRPr="00A81971" w:rsidRDefault="0077230C" w:rsidP="0077230C">
      <w:pPr>
        <w:spacing w:after="0"/>
        <w:rPr>
          <w:rFonts w:eastAsia="Calibri"/>
          <w:b/>
          <w:bCs/>
          <w:lang w:eastAsia="ja-JP"/>
        </w:rPr>
      </w:pPr>
    </w:p>
    <w:p w14:paraId="3B02B23C" w14:textId="77777777" w:rsidR="0077230C" w:rsidRPr="00A81971" w:rsidRDefault="0032495C" w:rsidP="0077230C">
      <w:pPr>
        <w:spacing w:after="0"/>
        <w:rPr>
          <w:rFonts w:eastAsia="Calibri"/>
          <w:b/>
          <w:bCs/>
          <w:lang w:eastAsia="ja-JP"/>
        </w:rPr>
      </w:pPr>
      <w:r w:rsidRPr="00A81971">
        <w:rPr>
          <w:rFonts w:eastAsia="Calibri"/>
          <w:b/>
          <w:bCs/>
          <w:lang w:eastAsia="ja-JP"/>
        </w:rPr>
        <w:t>Example 1 – LVC with 108 Mt HFC servicing consumption in baseline years</w:t>
      </w:r>
    </w:p>
    <w:p w14:paraId="717C6E14" w14:textId="77777777" w:rsidR="001A30B8" w:rsidRPr="00A81971" w:rsidRDefault="001A30B8" w:rsidP="0077230C">
      <w:pPr>
        <w:spacing w:after="0"/>
        <w:rPr>
          <w:rFonts w:eastAsia="Calibri"/>
          <w:lang w:eastAsia="ja-JP"/>
        </w:rPr>
      </w:pPr>
    </w:p>
    <w:p w14:paraId="4D97DDA4" w14:textId="77777777" w:rsidR="0077230C" w:rsidRPr="00A81971" w:rsidRDefault="0032495C" w:rsidP="0077230C">
      <w:pPr>
        <w:spacing w:after="0"/>
        <w:rPr>
          <w:rFonts w:eastAsia="Calibri"/>
          <w:lang w:eastAsia="ja-JP"/>
        </w:rPr>
      </w:pPr>
      <w:r w:rsidRPr="00A81971">
        <w:rPr>
          <w:rFonts w:eastAsia="Calibri"/>
          <w:lang w:eastAsia="ja-JP"/>
        </w:rPr>
        <w:t>Party A has begun adopting measure</w:t>
      </w:r>
      <w:r w:rsidR="00D80230" w:rsidRPr="00A81971">
        <w:rPr>
          <w:rFonts w:eastAsia="Calibri"/>
          <w:lang w:eastAsia="ja-JP"/>
        </w:rPr>
        <w:t>s</w:t>
      </w:r>
      <w:r w:rsidRPr="00A81971">
        <w:rPr>
          <w:rFonts w:eastAsia="Calibri"/>
          <w:lang w:eastAsia="ja-JP"/>
        </w:rPr>
        <w:t xml:space="preserve"> to improve recovery and reclamation since Stage I</w:t>
      </w:r>
      <w:r w:rsidR="00176F68" w:rsidRPr="00A81971">
        <w:rPr>
          <w:rFonts w:eastAsia="Calibri"/>
          <w:lang w:eastAsia="ja-JP"/>
        </w:rPr>
        <w:t xml:space="preserve"> of </w:t>
      </w:r>
      <w:r w:rsidRPr="00A81971">
        <w:rPr>
          <w:rFonts w:eastAsia="Calibri"/>
          <w:lang w:eastAsia="ja-JP"/>
        </w:rPr>
        <w:t>the HPMP.</w:t>
      </w:r>
      <w:r w:rsidR="00C81DB6" w:rsidRPr="00A81971">
        <w:rPr>
          <w:rFonts w:eastAsia="Calibri"/>
          <w:lang w:eastAsia="ja-JP"/>
        </w:rPr>
        <w:t xml:space="preserve"> </w:t>
      </w:r>
    </w:p>
    <w:p w14:paraId="561EB777" w14:textId="77777777" w:rsidR="0077230C" w:rsidRPr="00A81971" w:rsidRDefault="0032495C" w:rsidP="0077230C">
      <w:pPr>
        <w:spacing w:after="0"/>
        <w:rPr>
          <w:rFonts w:eastAsia="Calibri"/>
          <w:lang w:eastAsia="ja-JP"/>
        </w:rPr>
      </w:pPr>
      <w:r w:rsidRPr="00A81971">
        <w:rPr>
          <w:rFonts w:eastAsia="Calibri"/>
          <w:lang w:eastAsia="ja-JP"/>
        </w:rPr>
        <w:lastRenderedPageBreak/>
        <w:t xml:space="preserve">In Stage I they </w:t>
      </w:r>
      <w:r w:rsidR="00A7784F" w:rsidRPr="00A81971">
        <w:rPr>
          <w:rFonts w:eastAsia="Calibri"/>
          <w:lang w:eastAsia="ja-JP"/>
        </w:rPr>
        <w:t xml:space="preserve">first </w:t>
      </w:r>
      <w:r w:rsidRPr="00A81971">
        <w:rPr>
          <w:rFonts w:eastAsia="Calibri"/>
          <w:lang w:eastAsia="ja-JP"/>
        </w:rPr>
        <w:t xml:space="preserve">set-up </w:t>
      </w:r>
      <w:r w:rsidR="006954BC" w:rsidRPr="00A81971">
        <w:rPr>
          <w:rFonts w:eastAsia="Calibri"/>
          <w:lang w:eastAsia="ja-JP"/>
        </w:rPr>
        <w:t xml:space="preserve">an </w:t>
      </w:r>
      <w:r w:rsidRPr="00A81971">
        <w:rPr>
          <w:rFonts w:eastAsia="Calibri"/>
          <w:lang w:eastAsia="ja-JP"/>
        </w:rPr>
        <w:t>RRR centre which beg</w:t>
      </w:r>
      <w:r w:rsidR="00BC114E" w:rsidRPr="00A81971">
        <w:rPr>
          <w:rFonts w:eastAsia="Calibri"/>
          <w:lang w:eastAsia="ja-JP"/>
        </w:rPr>
        <w:t>a</w:t>
      </w:r>
      <w:r w:rsidRPr="00A81971">
        <w:rPr>
          <w:rFonts w:eastAsia="Calibri"/>
          <w:lang w:eastAsia="ja-JP"/>
        </w:rPr>
        <w:t>n operating successfully but could not collect sufficient gas and closed operations after 5 years</w:t>
      </w:r>
      <w:r w:rsidR="001A30B8" w:rsidRPr="00A81971">
        <w:rPr>
          <w:rFonts w:eastAsia="Calibri"/>
          <w:lang w:eastAsia="ja-JP"/>
        </w:rPr>
        <w:t xml:space="preserve">. </w:t>
      </w:r>
      <w:r w:rsidRPr="00A81971">
        <w:rPr>
          <w:rFonts w:eastAsia="Calibri"/>
          <w:lang w:eastAsia="ja-JP"/>
        </w:rPr>
        <w:t xml:space="preserve">In Stage II they did not undertake any LRM related activities In Stage III they are developing 2 RRR new centres and revitalising the </w:t>
      </w:r>
      <w:r w:rsidR="00935FFB" w:rsidRPr="00A81971">
        <w:rPr>
          <w:rFonts w:eastAsia="Calibri"/>
          <w:lang w:eastAsia="ja-JP"/>
        </w:rPr>
        <w:t>c</w:t>
      </w:r>
      <w:r w:rsidRPr="00A81971">
        <w:rPr>
          <w:rFonts w:eastAsia="Calibri"/>
          <w:lang w:eastAsia="ja-JP"/>
        </w:rPr>
        <w:t>losed RRR centre and received funding for all 3 centres equipment and capacity building. They agreed that instead of setting up a quality laboratory, they will randomise sampling and send the samples to a private laboratory to test gas quality</w:t>
      </w:r>
      <w:r w:rsidR="00935FFB" w:rsidRPr="00A81971">
        <w:rPr>
          <w:rFonts w:eastAsia="Calibri"/>
          <w:lang w:eastAsia="ja-JP"/>
        </w:rPr>
        <w:t>.</w:t>
      </w:r>
      <w:r w:rsidR="00376E4D" w:rsidRPr="00A81971">
        <w:rPr>
          <w:rFonts w:eastAsia="Calibri"/>
          <w:lang w:eastAsia="ja-JP"/>
        </w:rPr>
        <w:t xml:space="preserve"> </w:t>
      </w:r>
      <w:r w:rsidRPr="00A81971">
        <w:rPr>
          <w:rFonts w:eastAsia="Calibri"/>
          <w:lang w:eastAsia="ja-JP"/>
        </w:rPr>
        <w:t>In KIP Stage I they will equip 50 technicians</w:t>
      </w:r>
      <w:r w:rsidR="00376E4D" w:rsidRPr="00A81971">
        <w:rPr>
          <w:rFonts w:eastAsia="Calibri"/>
          <w:lang w:eastAsia="ja-JP"/>
        </w:rPr>
        <w:t>.</w:t>
      </w:r>
    </w:p>
    <w:p w14:paraId="737136BB" w14:textId="77777777" w:rsidR="0077230C" w:rsidRPr="00A81971" w:rsidRDefault="0077230C" w:rsidP="0077230C">
      <w:pPr>
        <w:spacing w:after="0"/>
        <w:rPr>
          <w:rFonts w:eastAsia="Calibri"/>
          <w:lang w:eastAsia="ja-JP"/>
        </w:rPr>
      </w:pPr>
    </w:p>
    <w:p w14:paraId="594D905B" w14:textId="77777777" w:rsidR="0077230C" w:rsidRPr="00A81971" w:rsidRDefault="0032495C" w:rsidP="0077230C">
      <w:pPr>
        <w:spacing w:after="0"/>
        <w:rPr>
          <w:rFonts w:eastAsia="Calibri"/>
          <w:lang w:eastAsia="ja-JP"/>
        </w:rPr>
      </w:pPr>
      <w:r w:rsidRPr="00A81971">
        <w:rPr>
          <w:rFonts w:eastAsia="Calibri"/>
          <w:lang w:eastAsia="ja-JP"/>
        </w:rPr>
        <w:t>What is the gap in this country?</w:t>
      </w:r>
    </w:p>
    <w:p w14:paraId="0FA7C69B" w14:textId="77777777" w:rsidR="0077230C" w:rsidRPr="00A81971" w:rsidRDefault="0032495C" w:rsidP="007A20BD">
      <w:pPr>
        <w:pStyle w:val="ListParagraph"/>
        <w:numPr>
          <w:ilvl w:val="0"/>
          <w:numId w:val="63"/>
        </w:numPr>
        <w:spacing w:after="0"/>
        <w:rPr>
          <w:rFonts w:eastAsia="Calibri"/>
          <w:lang w:eastAsia="ja-JP"/>
        </w:rPr>
      </w:pPr>
      <w:r w:rsidRPr="00A81971">
        <w:rPr>
          <w:rFonts w:eastAsia="Calibri"/>
          <w:lang w:eastAsia="ja-JP"/>
        </w:rPr>
        <w:t>For Module 1: to reach the tipping point of at least 50% of technicians equipped: the HPMP + KIP has not equipped any technicians. It would be required to equip 40 technicians. Thus, the LRM module could fund 40 technician kits + creating a virtual marketplace for chain of custody and reporting of gas recovered + creating 2 additional collection centers</w:t>
      </w:r>
      <w:r w:rsidR="00CF44FA" w:rsidRPr="00A81971">
        <w:rPr>
          <w:rFonts w:eastAsia="Calibri"/>
          <w:lang w:eastAsia="ja-JP"/>
        </w:rPr>
        <w:t>.</w:t>
      </w:r>
      <w:r w:rsidRPr="00A81971">
        <w:rPr>
          <w:rFonts w:eastAsia="Calibri"/>
          <w:lang w:eastAsia="ja-JP"/>
        </w:rPr>
        <w:t xml:space="preserve"> </w:t>
      </w:r>
    </w:p>
    <w:p w14:paraId="327AF017" w14:textId="77777777" w:rsidR="0077230C" w:rsidRPr="00A81971" w:rsidRDefault="0032495C" w:rsidP="007A20BD">
      <w:pPr>
        <w:pStyle w:val="ListParagraph"/>
        <w:numPr>
          <w:ilvl w:val="0"/>
          <w:numId w:val="63"/>
        </w:numPr>
        <w:spacing w:after="0"/>
        <w:rPr>
          <w:rFonts w:eastAsia="Calibri"/>
          <w:lang w:eastAsia="ja-JP"/>
        </w:rPr>
      </w:pPr>
      <w:r w:rsidRPr="00A81971">
        <w:rPr>
          <w:rFonts w:eastAsia="Calibri"/>
          <w:lang w:eastAsia="ja-JP"/>
        </w:rPr>
        <w:t>For module 2</w:t>
      </w:r>
      <w:r w:rsidR="00376E4D" w:rsidRPr="00A81971">
        <w:rPr>
          <w:rFonts w:eastAsia="Calibri"/>
          <w:lang w:eastAsia="ja-JP"/>
        </w:rPr>
        <w:t>:</w:t>
      </w:r>
      <w:r w:rsidRPr="00A81971">
        <w:rPr>
          <w:rFonts w:eastAsia="Calibri"/>
          <w:lang w:eastAsia="ja-JP"/>
        </w:rPr>
        <w:t xml:space="preserve"> the 3 centers created are considered sufficient and with the increased recovery they should improve their business model</w:t>
      </w:r>
      <w:r w:rsidR="00CF44FA" w:rsidRPr="00A81971">
        <w:rPr>
          <w:rFonts w:eastAsia="Calibri"/>
          <w:lang w:eastAsia="ja-JP"/>
        </w:rPr>
        <w:t>.</w:t>
      </w:r>
      <w:r w:rsidRPr="00A81971">
        <w:rPr>
          <w:rFonts w:eastAsia="Calibri"/>
          <w:lang w:eastAsia="ja-JP"/>
        </w:rPr>
        <w:t xml:space="preserve"> </w:t>
      </w:r>
    </w:p>
    <w:p w14:paraId="31597CA5" w14:textId="77777777" w:rsidR="0077230C" w:rsidRPr="00A81971" w:rsidRDefault="0032495C" w:rsidP="007A20BD">
      <w:pPr>
        <w:pStyle w:val="ListParagraph"/>
        <w:numPr>
          <w:ilvl w:val="0"/>
          <w:numId w:val="63"/>
        </w:numPr>
        <w:spacing w:after="0"/>
        <w:rPr>
          <w:rFonts w:eastAsia="Calibri"/>
          <w:lang w:eastAsia="ja-JP"/>
        </w:rPr>
      </w:pPr>
      <w:r w:rsidRPr="00A81971">
        <w:rPr>
          <w:rFonts w:eastAsia="Calibri"/>
          <w:lang w:eastAsia="ja-JP"/>
        </w:rPr>
        <w:t>For module 3</w:t>
      </w:r>
      <w:r w:rsidR="00376E4D" w:rsidRPr="00A81971">
        <w:rPr>
          <w:rFonts w:eastAsia="Calibri"/>
          <w:lang w:eastAsia="ja-JP"/>
        </w:rPr>
        <w:t>:</w:t>
      </w:r>
      <w:r w:rsidRPr="00A81971">
        <w:rPr>
          <w:rFonts w:eastAsia="Calibri"/>
          <w:lang w:eastAsia="ja-JP"/>
        </w:rPr>
        <w:t xml:space="preserve"> the country does not have destruction facilities, so enabling destruction could be considered (perhaps under a different window or through climate finance under voluntary carbon markets)</w:t>
      </w:r>
      <w:r w:rsidR="00CF44FA" w:rsidRPr="00A81971">
        <w:rPr>
          <w:rFonts w:eastAsia="Calibri"/>
          <w:lang w:eastAsia="ja-JP"/>
        </w:rPr>
        <w:t>.</w:t>
      </w:r>
      <w:r w:rsidRPr="00A81971">
        <w:rPr>
          <w:rFonts w:eastAsia="Calibri"/>
          <w:lang w:eastAsia="ja-JP"/>
        </w:rPr>
        <w:t xml:space="preserve"> </w:t>
      </w:r>
    </w:p>
    <w:p w14:paraId="510F9B0F" w14:textId="77777777" w:rsidR="0077230C" w:rsidRPr="00A81971" w:rsidRDefault="0077230C" w:rsidP="0077230C">
      <w:pPr>
        <w:spacing w:after="0"/>
        <w:rPr>
          <w:rFonts w:eastAsia="Calibri"/>
          <w:lang w:eastAsia="ja-JP"/>
        </w:rPr>
      </w:pPr>
    </w:p>
    <w:p w14:paraId="5EBC7579" w14:textId="77777777" w:rsidR="0077230C" w:rsidRPr="00A81971" w:rsidRDefault="0032495C" w:rsidP="0077230C">
      <w:pPr>
        <w:spacing w:after="0"/>
        <w:rPr>
          <w:rFonts w:eastAsia="Calibri"/>
          <w:b/>
          <w:bCs/>
          <w:lang w:eastAsia="ja-JP"/>
        </w:rPr>
      </w:pPr>
      <w:r w:rsidRPr="00A81971">
        <w:rPr>
          <w:rFonts w:eastAsia="Calibri"/>
          <w:b/>
          <w:bCs/>
          <w:lang w:eastAsia="ja-JP"/>
        </w:rPr>
        <w:t>The funding window would close the gap in country A, when they request funding for modules 1a and 1b (Recovery focused)</w:t>
      </w:r>
    </w:p>
    <w:p w14:paraId="7EF399CA" w14:textId="77777777" w:rsidR="0077230C" w:rsidRPr="00A81971" w:rsidRDefault="0077230C" w:rsidP="0077230C">
      <w:pPr>
        <w:spacing w:after="0"/>
        <w:rPr>
          <w:rFonts w:eastAsia="Calibri"/>
          <w:b/>
          <w:bCs/>
          <w:lang w:eastAsia="ja-JP"/>
        </w:rPr>
      </w:pPr>
    </w:p>
    <w:p w14:paraId="625FDDBB" w14:textId="77777777" w:rsidR="0077230C" w:rsidRPr="00A81971" w:rsidRDefault="0032495C" w:rsidP="0077230C">
      <w:pPr>
        <w:spacing w:after="0"/>
        <w:rPr>
          <w:rFonts w:eastAsia="Calibri"/>
          <w:b/>
          <w:bCs/>
          <w:lang w:eastAsia="ja-JP"/>
        </w:rPr>
      </w:pPr>
      <w:r w:rsidRPr="00A81971">
        <w:rPr>
          <w:rFonts w:eastAsia="Calibri"/>
          <w:b/>
          <w:bCs/>
          <w:lang w:eastAsia="ja-JP"/>
        </w:rPr>
        <w:t>Example 2 – VLVC with 42 Mt HFC servicing consumption in baseline years</w:t>
      </w:r>
    </w:p>
    <w:p w14:paraId="12CA38CF" w14:textId="77777777" w:rsidR="00376E4D" w:rsidRPr="00A81971" w:rsidRDefault="00376E4D" w:rsidP="0077230C">
      <w:pPr>
        <w:spacing w:after="0"/>
        <w:rPr>
          <w:rFonts w:eastAsia="Calibri"/>
          <w:lang w:eastAsia="ja-JP"/>
        </w:rPr>
      </w:pPr>
    </w:p>
    <w:p w14:paraId="72F229EC" w14:textId="77777777" w:rsidR="0077230C" w:rsidRPr="00A81971" w:rsidRDefault="0032495C" w:rsidP="0077230C">
      <w:pPr>
        <w:spacing w:after="0"/>
        <w:rPr>
          <w:rFonts w:eastAsia="Calibri"/>
          <w:lang w:eastAsia="ja-JP"/>
        </w:rPr>
      </w:pPr>
      <w:r w:rsidRPr="00A81971">
        <w:rPr>
          <w:rFonts w:eastAsia="Calibri"/>
          <w:lang w:eastAsia="ja-JP"/>
        </w:rPr>
        <w:t xml:space="preserve">Party B focused their phase down efforts in servicing activities that were related to technician training. There were no EOL activities </w:t>
      </w:r>
    </w:p>
    <w:p w14:paraId="4F3F42F0" w14:textId="77777777" w:rsidR="0077230C" w:rsidRPr="00A81971" w:rsidRDefault="0077230C" w:rsidP="0077230C">
      <w:pPr>
        <w:spacing w:after="0"/>
        <w:rPr>
          <w:rFonts w:eastAsia="Calibri"/>
          <w:lang w:eastAsia="ja-JP"/>
        </w:rPr>
      </w:pPr>
    </w:p>
    <w:p w14:paraId="48F7C2EF" w14:textId="77777777" w:rsidR="0077230C" w:rsidRPr="00A81971" w:rsidRDefault="0032495C" w:rsidP="0077230C">
      <w:pPr>
        <w:spacing w:after="0"/>
        <w:rPr>
          <w:rFonts w:eastAsia="Calibri"/>
          <w:lang w:eastAsia="ja-JP"/>
        </w:rPr>
      </w:pPr>
      <w:r w:rsidRPr="00A81971">
        <w:rPr>
          <w:rFonts w:eastAsia="Calibri"/>
          <w:lang w:eastAsia="ja-JP"/>
        </w:rPr>
        <w:t>What is the gap in this country?</w:t>
      </w:r>
    </w:p>
    <w:p w14:paraId="63FE2B2E" w14:textId="77777777" w:rsidR="0077230C" w:rsidRPr="00A81971" w:rsidRDefault="0032495C" w:rsidP="007A20BD">
      <w:pPr>
        <w:pStyle w:val="ListParagraph"/>
        <w:numPr>
          <w:ilvl w:val="0"/>
          <w:numId w:val="64"/>
        </w:numPr>
        <w:spacing w:after="0"/>
        <w:rPr>
          <w:rFonts w:eastAsia="Calibri"/>
          <w:lang w:eastAsia="ja-JP"/>
        </w:rPr>
      </w:pPr>
      <w:r w:rsidRPr="00A81971">
        <w:rPr>
          <w:rFonts w:eastAsia="Calibri"/>
          <w:lang w:eastAsia="ja-JP"/>
        </w:rPr>
        <w:t xml:space="preserve">For Module 1: to reach the tipping point of at least 50% of technicians equipped: the HPMP + KIP has not equipped any technicians. It would be required to equip 11 technicians. Thus, the LRM module could fund 14 technician kits, creating a virtual marketplace for chain of custody and reporting of recovered gas, and creating a collection center </w:t>
      </w:r>
    </w:p>
    <w:p w14:paraId="28CB742E" w14:textId="77777777" w:rsidR="0077230C" w:rsidRPr="00A81971" w:rsidRDefault="0032495C" w:rsidP="007A20BD">
      <w:pPr>
        <w:pStyle w:val="ListParagraph"/>
        <w:numPr>
          <w:ilvl w:val="0"/>
          <w:numId w:val="64"/>
        </w:numPr>
        <w:spacing w:after="0"/>
        <w:rPr>
          <w:rFonts w:eastAsia="Calibri"/>
          <w:lang w:eastAsia="ja-JP"/>
        </w:rPr>
      </w:pPr>
      <w:r w:rsidRPr="00A81971">
        <w:rPr>
          <w:rFonts w:eastAsia="Calibri"/>
          <w:lang w:eastAsia="ja-JP"/>
        </w:rPr>
        <w:t>For module 2a</w:t>
      </w:r>
      <w:r w:rsidR="00376E4D" w:rsidRPr="00A81971">
        <w:rPr>
          <w:rFonts w:eastAsia="Calibri"/>
          <w:lang w:eastAsia="ja-JP"/>
        </w:rPr>
        <w:t xml:space="preserve">: </w:t>
      </w:r>
      <w:r w:rsidRPr="00A81971">
        <w:rPr>
          <w:rFonts w:eastAsia="Calibri"/>
          <w:lang w:eastAsia="ja-JP"/>
        </w:rPr>
        <w:t>the country has decided not to create a local RRR center but export to a larger neighbo</w:t>
      </w:r>
      <w:r w:rsidR="00950CE6">
        <w:rPr>
          <w:rFonts w:eastAsia="Calibri"/>
          <w:lang w:eastAsia="ja-JP"/>
        </w:rPr>
        <w:t>u</w:t>
      </w:r>
      <w:r w:rsidRPr="00A81971">
        <w:rPr>
          <w:rFonts w:eastAsia="Calibri"/>
          <w:lang w:eastAsia="ja-JP"/>
        </w:rPr>
        <w:t xml:space="preserve">ring country that has capacity for reclamation and destruction. The 2 countries have a land border and are signatories of the Basel Convention </w:t>
      </w:r>
    </w:p>
    <w:p w14:paraId="2034D4D7" w14:textId="77777777" w:rsidR="0077230C" w:rsidRPr="00A81971" w:rsidRDefault="0032495C" w:rsidP="007A20BD">
      <w:pPr>
        <w:pStyle w:val="ListParagraph"/>
        <w:numPr>
          <w:ilvl w:val="0"/>
          <w:numId w:val="64"/>
        </w:numPr>
        <w:spacing w:after="0"/>
        <w:rPr>
          <w:rFonts w:eastAsia="Calibri"/>
          <w:lang w:eastAsia="ja-JP"/>
        </w:rPr>
      </w:pPr>
      <w:r w:rsidRPr="00A81971">
        <w:rPr>
          <w:rFonts w:eastAsia="Calibri"/>
          <w:lang w:eastAsia="ja-JP"/>
        </w:rPr>
        <w:t>For module 3</w:t>
      </w:r>
      <w:r w:rsidR="00376E4D" w:rsidRPr="00A81971">
        <w:rPr>
          <w:rFonts w:eastAsia="Calibri"/>
          <w:lang w:eastAsia="ja-JP"/>
        </w:rPr>
        <w:t>:</w:t>
      </w:r>
      <w:r w:rsidRPr="00A81971">
        <w:rPr>
          <w:rFonts w:eastAsia="Calibri"/>
          <w:lang w:eastAsia="ja-JP"/>
        </w:rPr>
        <w:t xml:space="preserve"> the country does not have destruction facilities, so enabling destruction could be considered (perhaps under a different window or through climate finance under voluntary carbon markets)</w:t>
      </w:r>
      <w:r w:rsidR="00CF44FA" w:rsidRPr="00A81971">
        <w:rPr>
          <w:rFonts w:eastAsia="Calibri"/>
          <w:lang w:eastAsia="ja-JP"/>
        </w:rPr>
        <w:t>.</w:t>
      </w:r>
      <w:r w:rsidRPr="00A81971">
        <w:rPr>
          <w:rFonts w:eastAsia="Calibri"/>
          <w:lang w:eastAsia="ja-JP"/>
        </w:rPr>
        <w:t xml:space="preserve"> </w:t>
      </w:r>
    </w:p>
    <w:p w14:paraId="25D60490" w14:textId="77777777" w:rsidR="0077230C" w:rsidRPr="00A81971" w:rsidRDefault="0077230C" w:rsidP="0077230C">
      <w:pPr>
        <w:spacing w:after="0"/>
        <w:rPr>
          <w:rFonts w:eastAsia="Calibri"/>
          <w:lang w:eastAsia="ja-JP"/>
        </w:rPr>
      </w:pPr>
    </w:p>
    <w:p w14:paraId="1E79D498" w14:textId="77777777" w:rsidR="0077230C" w:rsidRPr="00A81971" w:rsidRDefault="0032495C" w:rsidP="0077230C">
      <w:pPr>
        <w:spacing w:after="0"/>
        <w:rPr>
          <w:rFonts w:eastAsia="Calibri"/>
          <w:b/>
          <w:bCs/>
          <w:lang w:eastAsia="ja-JP"/>
        </w:rPr>
      </w:pPr>
      <w:r w:rsidRPr="00A81971">
        <w:rPr>
          <w:rFonts w:eastAsia="Calibri"/>
          <w:b/>
          <w:bCs/>
          <w:lang w:eastAsia="ja-JP"/>
        </w:rPr>
        <w:t>The LRM funding window would close the gap in country A, when they request funding for modules 1a, 1b and 2b</w:t>
      </w:r>
      <w:r w:rsidR="006B178C" w:rsidRPr="00A81971">
        <w:rPr>
          <w:rFonts w:eastAsia="Calibri"/>
          <w:b/>
          <w:bCs/>
          <w:lang w:eastAsia="ja-JP"/>
        </w:rPr>
        <w:t>.</w:t>
      </w:r>
      <w:r w:rsidRPr="00A81971">
        <w:rPr>
          <w:rFonts w:eastAsia="Calibri"/>
          <w:b/>
          <w:bCs/>
          <w:lang w:eastAsia="ja-JP"/>
        </w:rPr>
        <w:t xml:space="preserve"> </w:t>
      </w:r>
    </w:p>
    <w:p w14:paraId="42DD7B3F" w14:textId="77777777" w:rsidR="0077230C" w:rsidRPr="00A81971" w:rsidRDefault="0077230C" w:rsidP="0077230C">
      <w:pPr>
        <w:spacing w:after="0"/>
        <w:rPr>
          <w:rFonts w:eastAsia="Calibri"/>
          <w:b/>
          <w:bCs/>
          <w:lang w:eastAsia="ja-JP"/>
        </w:rPr>
      </w:pPr>
    </w:p>
    <w:p w14:paraId="45CE0A49" w14:textId="77777777" w:rsidR="0077230C" w:rsidRPr="00A81971" w:rsidRDefault="0032495C" w:rsidP="0077230C">
      <w:pPr>
        <w:spacing w:after="0"/>
        <w:rPr>
          <w:rFonts w:eastAsia="Calibri"/>
          <w:lang w:eastAsia="ja-JP"/>
        </w:rPr>
      </w:pPr>
      <w:r w:rsidRPr="00A81971">
        <w:rPr>
          <w:rFonts w:eastAsia="Calibri"/>
          <w:lang w:eastAsia="ja-JP"/>
        </w:rPr>
        <w:t>Table A6.10 shows</w:t>
      </w:r>
      <w:r w:rsidR="00EF2594" w:rsidRPr="00A81971">
        <w:rPr>
          <w:rFonts w:eastAsia="Calibri"/>
          <w:lang w:eastAsia="ja-JP"/>
        </w:rPr>
        <w:t xml:space="preserve"> examples of different combinations of scenarios.</w:t>
      </w:r>
    </w:p>
    <w:p w14:paraId="0C6D69AA" w14:textId="77777777" w:rsidR="006B178C" w:rsidRPr="00A81971" w:rsidRDefault="006B178C" w:rsidP="0077230C">
      <w:pPr>
        <w:spacing w:after="0"/>
        <w:rPr>
          <w:rFonts w:eastAsia="Calibri"/>
          <w:b/>
          <w:bCs/>
          <w:lang w:eastAsia="ja-JP"/>
        </w:rPr>
      </w:pPr>
    </w:p>
    <w:p w14:paraId="04ADB729" w14:textId="77777777" w:rsidR="00CE5EB1" w:rsidRDefault="00CE5EB1" w:rsidP="006B178C">
      <w:pPr>
        <w:spacing w:after="0"/>
        <w:jc w:val="center"/>
        <w:rPr>
          <w:rFonts w:eastAsia="Calibri"/>
          <w:b/>
          <w:bCs/>
          <w:lang w:eastAsia="ja-JP"/>
        </w:rPr>
      </w:pPr>
      <w:r>
        <w:rPr>
          <w:rFonts w:eastAsia="Calibri"/>
          <w:b/>
          <w:bCs/>
          <w:lang w:eastAsia="ja-JP"/>
        </w:rPr>
        <w:br w:type="page"/>
      </w:r>
    </w:p>
    <w:p w14:paraId="5C7B5BBF" w14:textId="415C1566" w:rsidR="0077230C" w:rsidRPr="00A81971" w:rsidRDefault="0032495C" w:rsidP="006B178C">
      <w:pPr>
        <w:spacing w:after="0"/>
        <w:jc w:val="center"/>
        <w:rPr>
          <w:rFonts w:eastAsia="Calibri"/>
          <w:b/>
          <w:bCs/>
          <w:lang w:eastAsia="ja-JP"/>
        </w:rPr>
      </w:pPr>
      <w:r w:rsidRPr="00A81971">
        <w:rPr>
          <w:rFonts w:eastAsia="Calibri"/>
          <w:b/>
          <w:bCs/>
          <w:lang w:eastAsia="ja-JP"/>
        </w:rPr>
        <w:lastRenderedPageBreak/>
        <w:t>Table A6.10 Example combinations (scenarios)</w:t>
      </w:r>
    </w:p>
    <w:p w14:paraId="037BA90C" w14:textId="77777777" w:rsidR="0077230C" w:rsidRPr="00A81971" w:rsidRDefault="0077230C" w:rsidP="0077230C">
      <w:pPr>
        <w:spacing w:after="0"/>
        <w:rPr>
          <w:rFonts w:eastAsia="Calibri"/>
          <w:b/>
          <w:bCs/>
          <w:lang w:eastAsia="ja-JP"/>
        </w:rPr>
      </w:pPr>
    </w:p>
    <w:tbl>
      <w:tblPr>
        <w:tblStyle w:val="TableGrid17"/>
        <w:tblW w:w="0" w:type="auto"/>
        <w:jc w:val="center"/>
        <w:tblLook w:val="04A0" w:firstRow="1" w:lastRow="0" w:firstColumn="1" w:lastColumn="0" w:noHBand="0" w:noVBand="1"/>
      </w:tblPr>
      <w:tblGrid>
        <w:gridCol w:w="3681"/>
        <w:gridCol w:w="1974"/>
        <w:gridCol w:w="2839"/>
      </w:tblGrid>
      <w:tr w:rsidR="00F90461" w14:paraId="176E57AC" w14:textId="77777777" w:rsidTr="00A04930">
        <w:trPr>
          <w:jc w:val="center"/>
        </w:trPr>
        <w:tc>
          <w:tcPr>
            <w:tcW w:w="3681" w:type="dxa"/>
            <w:vAlign w:val="center"/>
          </w:tcPr>
          <w:p w14:paraId="3A10F219" w14:textId="77777777" w:rsidR="0077230C" w:rsidRPr="00A81971" w:rsidRDefault="0032495C" w:rsidP="00A04930">
            <w:pPr>
              <w:spacing w:after="0"/>
              <w:jc w:val="center"/>
              <w:rPr>
                <w:rFonts w:eastAsia="Calibri"/>
                <w:b/>
                <w:bCs/>
                <w:lang w:eastAsia="ja-JP"/>
              </w:rPr>
            </w:pPr>
            <w:r w:rsidRPr="00A81971">
              <w:rPr>
                <w:b/>
                <w:bCs/>
                <w:lang w:eastAsia="ja-JP"/>
              </w:rPr>
              <w:t>Scenario</w:t>
            </w:r>
          </w:p>
        </w:tc>
        <w:tc>
          <w:tcPr>
            <w:tcW w:w="1974" w:type="dxa"/>
            <w:vAlign w:val="center"/>
          </w:tcPr>
          <w:p w14:paraId="37248086" w14:textId="77777777" w:rsidR="0077230C" w:rsidRPr="00A81971" w:rsidRDefault="0032495C" w:rsidP="00A04930">
            <w:pPr>
              <w:spacing w:after="0"/>
              <w:jc w:val="center"/>
              <w:rPr>
                <w:rFonts w:eastAsia="Calibri"/>
                <w:b/>
                <w:bCs/>
                <w:lang w:eastAsia="ja-JP"/>
              </w:rPr>
            </w:pPr>
            <w:r w:rsidRPr="00A81971">
              <w:rPr>
                <w:b/>
                <w:bCs/>
                <w:lang w:eastAsia="ja-JP"/>
              </w:rPr>
              <w:t>Modules included</w:t>
            </w:r>
          </w:p>
        </w:tc>
        <w:tc>
          <w:tcPr>
            <w:tcW w:w="2839" w:type="dxa"/>
            <w:vAlign w:val="center"/>
          </w:tcPr>
          <w:p w14:paraId="0E636D8C" w14:textId="77777777" w:rsidR="0077230C" w:rsidRPr="00A81971" w:rsidRDefault="0032495C" w:rsidP="00A04930">
            <w:pPr>
              <w:spacing w:after="0"/>
              <w:jc w:val="center"/>
              <w:rPr>
                <w:rFonts w:eastAsia="Calibri"/>
                <w:b/>
                <w:bCs/>
                <w:lang w:eastAsia="ja-JP"/>
              </w:rPr>
            </w:pPr>
            <w:r w:rsidRPr="00A81971">
              <w:rPr>
                <w:b/>
                <w:bCs/>
                <w:lang w:eastAsia="ja-JP"/>
              </w:rPr>
              <w:t>Objective</w:t>
            </w:r>
          </w:p>
        </w:tc>
      </w:tr>
      <w:tr w:rsidR="00F90461" w14:paraId="6ACA6C4B" w14:textId="77777777" w:rsidTr="00A04930">
        <w:trPr>
          <w:jc w:val="center"/>
        </w:trPr>
        <w:tc>
          <w:tcPr>
            <w:tcW w:w="3681" w:type="dxa"/>
            <w:vAlign w:val="center"/>
          </w:tcPr>
          <w:p w14:paraId="7F2623B8" w14:textId="77777777" w:rsidR="0077230C" w:rsidRPr="00A81971" w:rsidRDefault="0032495C" w:rsidP="00A04930">
            <w:pPr>
              <w:spacing w:after="0"/>
              <w:rPr>
                <w:rFonts w:eastAsia="Calibri"/>
                <w:b/>
                <w:bCs/>
                <w:lang w:eastAsia="ja-JP"/>
              </w:rPr>
            </w:pPr>
            <w:r w:rsidRPr="00A81971">
              <w:rPr>
                <w:lang w:eastAsia="ja-JP"/>
              </w:rPr>
              <w:t>Recovery focused</w:t>
            </w:r>
          </w:p>
        </w:tc>
        <w:tc>
          <w:tcPr>
            <w:tcW w:w="1974" w:type="dxa"/>
            <w:vAlign w:val="center"/>
          </w:tcPr>
          <w:p w14:paraId="7535398F" w14:textId="77777777" w:rsidR="0077230C" w:rsidRPr="00A81971" w:rsidRDefault="0032495C" w:rsidP="00A04930">
            <w:pPr>
              <w:spacing w:after="0"/>
              <w:jc w:val="center"/>
              <w:rPr>
                <w:rFonts w:eastAsia="Calibri"/>
                <w:b/>
                <w:bCs/>
                <w:lang w:eastAsia="ja-JP"/>
              </w:rPr>
            </w:pPr>
            <w:r w:rsidRPr="00A81971">
              <w:rPr>
                <w:lang w:eastAsia="ja-JP"/>
              </w:rPr>
              <w:t>1a + 1b</w:t>
            </w:r>
          </w:p>
        </w:tc>
        <w:tc>
          <w:tcPr>
            <w:tcW w:w="2839" w:type="dxa"/>
            <w:vAlign w:val="center"/>
          </w:tcPr>
          <w:p w14:paraId="15EE1C90" w14:textId="77777777" w:rsidR="0077230C" w:rsidRPr="00A81971" w:rsidRDefault="0032495C" w:rsidP="00A04930">
            <w:pPr>
              <w:spacing w:after="0"/>
              <w:jc w:val="center"/>
              <w:rPr>
                <w:rFonts w:eastAsia="Calibri"/>
                <w:b/>
                <w:bCs/>
                <w:lang w:eastAsia="ja-JP"/>
              </w:rPr>
            </w:pPr>
            <w:r w:rsidRPr="00A81971">
              <w:rPr>
                <w:lang w:eastAsia="ja-JP"/>
              </w:rPr>
              <w:t>Increase recovery volumes</w:t>
            </w:r>
          </w:p>
        </w:tc>
      </w:tr>
      <w:tr w:rsidR="00F90461" w14:paraId="120A66AB" w14:textId="77777777" w:rsidTr="00A04930">
        <w:trPr>
          <w:jc w:val="center"/>
        </w:trPr>
        <w:tc>
          <w:tcPr>
            <w:tcW w:w="3681" w:type="dxa"/>
            <w:vAlign w:val="center"/>
          </w:tcPr>
          <w:p w14:paraId="72A96AFC" w14:textId="77777777" w:rsidR="0077230C" w:rsidRPr="00A81971" w:rsidRDefault="0032495C" w:rsidP="00A04930">
            <w:pPr>
              <w:spacing w:after="0"/>
              <w:rPr>
                <w:lang w:eastAsia="ja-JP"/>
              </w:rPr>
            </w:pPr>
            <w:r w:rsidRPr="00A81971">
              <w:rPr>
                <w:lang w:eastAsia="ja-JP"/>
              </w:rPr>
              <w:t xml:space="preserve">Recovery + </w:t>
            </w:r>
          </w:p>
          <w:p w14:paraId="687A3B8F" w14:textId="77777777" w:rsidR="0077230C" w:rsidRPr="00A81971" w:rsidRDefault="0032495C" w:rsidP="00A04930">
            <w:pPr>
              <w:spacing w:after="0"/>
              <w:rPr>
                <w:rFonts w:eastAsia="Calibri"/>
                <w:b/>
                <w:bCs/>
                <w:lang w:eastAsia="ja-JP"/>
              </w:rPr>
            </w:pPr>
            <w:r w:rsidRPr="00A81971">
              <w:rPr>
                <w:lang w:eastAsia="ja-JP"/>
              </w:rPr>
              <w:t xml:space="preserve">Recovery at servicing +recovery at EOL + and reclaimed market stimulation </w:t>
            </w:r>
          </w:p>
        </w:tc>
        <w:tc>
          <w:tcPr>
            <w:tcW w:w="1974" w:type="dxa"/>
            <w:vAlign w:val="center"/>
          </w:tcPr>
          <w:p w14:paraId="344BBA16" w14:textId="77777777" w:rsidR="0077230C" w:rsidRPr="00A81971" w:rsidRDefault="0032495C" w:rsidP="00A04930">
            <w:pPr>
              <w:spacing w:after="0"/>
              <w:rPr>
                <w:rFonts w:eastAsia="Calibri"/>
                <w:b/>
                <w:bCs/>
                <w:lang w:eastAsia="ja-JP"/>
              </w:rPr>
            </w:pPr>
            <w:r w:rsidRPr="00A81971">
              <w:rPr>
                <w:lang w:eastAsia="ja-JP"/>
              </w:rPr>
              <w:t>1a + 1b + 2a</w:t>
            </w:r>
          </w:p>
        </w:tc>
        <w:tc>
          <w:tcPr>
            <w:tcW w:w="2839" w:type="dxa"/>
            <w:vAlign w:val="center"/>
          </w:tcPr>
          <w:p w14:paraId="582EAF5D" w14:textId="77777777" w:rsidR="0077230C" w:rsidRPr="00A81971" w:rsidRDefault="0032495C" w:rsidP="00A04930">
            <w:pPr>
              <w:spacing w:after="0"/>
              <w:rPr>
                <w:rFonts w:eastAsia="Calibri"/>
                <w:b/>
                <w:bCs/>
                <w:lang w:eastAsia="ja-JP"/>
              </w:rPr>
            </w:pPr>
            <w:r w:rsidRPr="00A81971">
              <w:rPr>
                <w:lang w:eastAsia="ja-JP"/>
              </w:rPr>
              <w:t>Enable reuse of refrigerant</w:t>
            </w:r>
          </w:p>
        </w:tc>
      </w:tr>
      <w:tr w:rsidR="00F90461" w14:paraId="623F08C4" w14:textId="77777777" w:rsidTr="00A04930">
        <w:trPr>
          <w:jc w:val="center"/>
        </w:trPr>
        <w:tc>
          <w:tcPr>
            <w:tcW w:w="3681" w:type="dxa"/>
            <w:vAlign w:val="center"/>
          </w:tcPr>
          <w:p w14:paraId="34116678" w14:textId="77777777" w:rsidR="0077230C" w:rsidRPr="00A81971" w:rsidRDefault="0032495C" w:rsidP="00A04930">
            <w:pPr>
              <w:spacing w:after="0"/>
              <w:rPr>
                <w:rFonts w:eastAsia="Calibri"/>
                <w:b/>
                <w:bCs/>
                <w:lang w:eastAsia="ja-JP"/>
              </w:rPr>
            </w:pPr>
            <w:r w:rsidRPr="00A81971">
              <w:rPr>
                <w:lang w:eastAsia="ja-JP"/>
              </w:rPr>
              <w:t xml:space="preserve">Full lifecycle of used gas management – recovery at servicing, recovery at EOL, creating 1 RRR centre and enabling destruction </w:t>
            </w:r>
          </w:p>
        </w:tc>
        <w:tc>
          <w:tcPr>
            <w:tcW w:w="1974" w:type="dxa"/>
            <w:vAlign w:val="center"/>
          </w:tcPr>
          <w:p w14:paraId="1A94D3DA" w14:textId="77777777" w:rsidR="0077230C" w:rsidRPr="00A81971" w:rsidRDefault="0032495C" w:rsidP="00A04930">
            <w:pPr>
              <w:spacing w:after="0"/>
              <w:rPr>
                <w:rFonts w:eastAsia="Calibri"/>
                <w:b/>
                <w:bCs/>
                <w:lang w:eastAsia="ja-JP"/>
              </w:rPr>
            </w:pPr>
            <w:r w:rsidRPr="00A81971">
              <w:rPr>
                <w:lang w:eastAsia="ja-JP"/>
              </w:rPr>
              <w:t xml:space="preserve">1a + 1b + 2a </w:t>
            </w:r>
            <w:r w:rsidRPr="00A81971">
              <w:rPr>
                <w:sz w:val="24"/>
                <w:szCs w:val="24"/>
                <w:lang w:eastAsia="ja-JP"/>
              </w:rPr>
              <w:t>+</w:t>
            </w:r>
            <w:r w:rsidRPr="00A81971">
              <w:rPr>
                <w:lang w:eastAsia="ja-JP"/>
              </w:rPr>
              <w:t xml:space="preserve"> 3 </w:t>
            </w:r>
          </w:p>
        </w:tc>
        <w:tc>
          <w:tcPr>
            <w:tcW w:w="2839" w:type="dxa"/>
            <w:vAlign w:val="center"/>
          </w:tcPr>
          <w:p w14:paraId="5A9005E5" w14:textId="77777777" w:rsidR="0077230C" w:rsidRPr="00A81971" w:rsidRDefault="0032495C" w:rsidP="00A04930">
            <w:pPr>
              <w:spacing w:after="0"/>
              <w:rPr>
                <w:rFonts w:eastAsia="Calibri"/>
                <w:b/>
                <w:bCs/>
                <w:lang w:eastAsia="ja-JP"/>
              </w:rPr>
            </w:pPr>
            <w:r w:rsidRPr="00A81971">
              <w:rPr>
                <w:lang w:eastAsia="ja-JP"/>
              </w:rPr>
              <w:t>Complete LRM chain</w:t>
            </w:r>
          </w:p>
        </w:tc>
      </w:tr>
      <w:tr w:rsidR="00F90461" w14:paraId="7C199681" w14:textId="77777777" w:rsidTr="00A04930">
        <w:trPr>
          <w:jc w:val="center"/>
        </w:trPr>
        <w:tc>
          <w:tcPr>
            <w:tcW w:w="3681" w:type="dxa"/>
            <w:vAlign w:val="center"/>
          </w:tcPr>
          <w:p w14:paraId="27403A98" w14:textId="77777777" w:rsidR="0077230C" w:rsidRPr="00A81971" w:rsidRDefault="0032495C" w:rsidP="00A04930">
            <w:pPr>
              <w:spacing w:after="0"/>
              <w:rPr>
                <w:lang w:eastAsia="ja-JP"/>
              </w:rPr>
            </w:pPr>
            <w:r w:rsidRPr="00A81971">
              <w:rPr>
                <w:lang w:eastAsia="ja-JP"/>
              </w:rPr>
              <w:t>Export-based</w:t>
            </w:r>
          </w:p>
          <w:p w14:paraId="6614A891" w14:textId="77777777" w:rsidR="0077230C" w:rsidRPr="00A81971" w:rsidRDefault="0032495C" w:rsidP="00A04930">
            <w:pPr>
              <w:spacing w:after="0"/>
              <w:rPr>
                <w:rFonts w:eastAsia="Calibri"/>
                <w:b/>
                <w:bCs/>
                <w:lang w:eastAsia="ja-JP"/>
              </w:rPr>
            </w:pPr>
            <w:r w:rsidRPr="00A81971">
              <w:rPr>
                <w:lang w:eastAsia="ja-JP"/>
              </w:rPr>
              <w:t xml:space="preserve"> recovery at servicing, recovery at EOL, and enabling export if used or unwante</w:t>
            </w:r>
            <w:r w:rsidRPr="00A81971">
              <w:rPr>
                <w:sz w:val="24"/>
                <w:szCs w:val="24"/>
                <w:lang w:eastAsia="ja-JP"/>
              </w:rPr>
              <w:t>d</w:t>
            </w:r>
            <w:r w:rsidRPr="00A81971">
              <w:rPr>
                <w:lang w:eastAsia="ja-JP"/>
              </w:rPr>
              <w:t xml:space="preserve"> gas for reclamation or destruction abroad </w:t>
            </w:r>
          </w:p>
        </w:tc>
        <w:tc>
          <w:tcPr>
            <w:tcW w:w="1974" w:type="dxa"/>
            <w:vAlign w:val="center"/>
          </w:tcPr>
          <w:p w14:paraId="4193AA3A" w14:textId="77777777" w:rsidR="0077230C" w:rsidRPr="00A81971" w:rsidRDefault="0032495C" w:rsidP="00A04930">
            <w:pPr>
              <w:spacing w:after="0"/>
              <w:rPr>
                <w:rFonts w:eastAsia="Calibri"/>
                <w:b/>
                <w:bCs/>
                <w:lang w:eastAsia="ja-JP"/>
              </w:rPr>
            </w:pPr>
            <w:r w:rsidRPr="00A81971">
              <w:rPr>
                <w:lang w:eastAsia="ja-JP"/>
              </w:rPr>
              <w:t>1a+ 1b + 2b</w:t>
            </w:r>
          </w:p>
        </w:tc>
        <w:tc>
          <w:tcPr>
            <w:tcW w:w="2839" w:type="dxa"/>
            <w:vAlign w:val="center"/>
          </w:tcPr>
          <w:p w14:paraId="58F64DF5" w14:textId="77777777" w:rsidR="0077230C" w:rsidRPr="00A81971" w:rsidRDefault="0032495C" w:rsidP="00A04930">
            <w:pPr>
              <w:spacing w:after="0"/>
              <w:rPr>
                <w:rFonts w:eastAsia="Calibri"/>
                <w:b/>
                <w:bCs/>
                <w:lang w:eastAsia="ja-JP"/>
              </w:rPr>
            </w:pPr>
            <w:r w:rsidRPr="00A81971">
              <w:rPr>
                <w:lang w:eastAsia="ja-JP"/>
              </w:rPr>
              <w:t>No domestic reclamation nor destruction needed</w:t>
            </w:r>
          </w:p>
        </w:tc>
      </w:tr>
    </w:tbl>
    <w:p w14:paraId="7CAFBF48" w14:textId="77777777" w:rsidR="0077230C" w:rsidRPr="00A81971" w:rsidRDefault="0077230C" w:rsidP="0077230C">
      <w:pPr>
        <w:spacing w:after="0"/>
        <w:rPr>
          <w:rFonts w:eastAsia="Calibri"/>
          <w:b/>
          <w:bCs/>
          <w:lang w:eastAsia="ja-JP"/>
        </w:rPr>
      </w:pPr>
    </w:p>
    <w:p w14:paraId="7D4A2710" w14:textId="77777777" w:rsidR="0077230C" w:rsidRPr="00A81971" w:rsidRDefault="0077230C" w:rsidP="0077230C">
      <w:pPr>
        <w:widowControl w:val="0"/>
        <w:autoSpaceDE w:val="0"/>
        <w:autoSpaceDN w:val="0"/>
        <w:spacing w:after="0"/>
        <w:rPr>
          <w:rFonts w:eastAsia="Times New Roman"/>
        </w:rPr>
      </w:pPr>
    </w:p>
    <w:p w14:paraId="20C97F09" w14:textId="77777777" w:rsidR="0077230C" w:rsidRPr="00A81971" w:rsidRDefault="0032495C" w:rsidP="0077230C">
      <w:pPr>
        <w:widowControl w:val="0"/>
        <w:autoSpaceDE w:val="0"/>
        <w:autoSpaceDN w:val="0"/>
        <w:spacing w:after="0"/>
        <w:rPr>
          <w:rFonts w:eastAsia="Times New Roman"/>
          <w:b/>
          <w:bCs/>
        </w:rPr>
      </w:pPr>
      <w:r w:rsidRPr="00A81971">
        <w:rPr>
          <w:rFonts w:eastAsia="Times New Roman"/>
          <w:b/>
          <w:bCs/>
        </w:rPr>
        <w:t>References</w:t>
      </w:r>
    </w:p>
    <w:p w14:paraId="6D1B373C" w14:textId="77777777" w:rsidR="0077230C" w:rsidRPr="00A81971" w:rsidRDefault="0077230C" w:rsidP="0077230C">
      <w:pPr>
        <w:widowControl w:val="0"/>
        <w:autoSpaceDE w:val="0"/>
        <w:autoSpaceDN w:val="0"/>
        <w:spacing w:after="0"/>
        <w:rPr>
          <w:rFonts w:eastAsia="Times New Roman"/>
        </w:rPr>
      </w:pPr>
    </w:p>
    <w:p w14:paraId="4822F720" w14:textId="1BC8F6CB" w:rsidR="002E6EAE"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TEAP. 2026. </w:t>
      </w:r>
      <w:r w:rsidRPr="00184701">
        <w:rPr>
          <w:rFonts w:eastAsia="Times New Roman"/>
          <w:i/>
          <w:iCs/>
        </w:rPr>
        <w:t>Volume 2: Assessment of the funding requirement for the replenishment of the Multilateral Fund for the period 2027–2029: TEAP Decision XXXVII/6 Replenishment Task Force report</w:t>
      </w:r>
      <w:r w:rsidRPr="00A81971">
        <w:rPr>
          <w:rFonts w:eastAsia="Times New Roman"/>
        </w:rPr>
        <w:t>. Technology and Economic Assessment Panel (TEAP), United Nations Environment Programme, Nairobi</w:t>
      </w:r>
      <w:r w:rsidR="00680A35" w:rsidRPr="00A81971">
        <w:rPr>
          <w:rFonts w:eastAsia="Times New Roman"/>
        </w:rPr>
        <w:t>, Kenya</w:t>
      </w:r>
      <w:r w:rsidRPr="00A81971">
        <w:rPr>
          <w:rFonts w:eastAsia="Times New Roman"/>
        </w:rPr>
        <w:t>.</w:t>
      </w:r>
      <w:r w:rsidR="0027358F" w:rsidRPr="00A81971">
        <w:rPr>
          <w:rFonts w:eastAsia="Times New Roman"/>
        </w:rPr>
        <w:t xml:space="preserve"> Available at: </w:t>
      </w:r>
      <w:hyperlink r:id="rId61" w:history="1">
        <w:r w:rsidR="00FC30E8" w:rsidRPr="007D47D6">
          <w:rPr>
            <w:rStyle w:val="Hyperlink"/>
            <w:rFonts w:eastAsia="Times New Roman"/>
          </w:rPr>
          <w:t>https://ozone.unep.org/system/files/documents/TEAP-DecisionXXXVII6-replenishment-TF-report-May2026-RTF-report.pdf</w:t>
        </w:r>
      </w:hyperlink>
      <w:r w:rsidR="00FC30E8">
        <w:rPr>
          <w:rFonts w:eastAsia="Times New Roman"/>
        </w:rPr>
        <w:t xml:space="preserve"> </w:t>
      </w:r>
    </w:p>
    <w:p w14:paraId="006F6A0F" w14:textId="412B2A3B"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COPA</w:t>
      </w:r>
      <w:r w:rsidR="006E0EE8">
        <w:rPr>
          <w:rFonts w:eastAsia="Times New Roman"/>
        </w:rPr>
        <w:t>.</w:t>
      </w:r>
      <w:r w:rsidRPr="00A81971">
        <w:rPr>
          <w:rFonts w:eastAsia="Times New Roman"/>
        </w:rPr>
        <w:t xml:space="preserve"> 2023</w:t>
      </w:r>
      <w:r w:rsidR="006E0EE8">
        <w:rPr>
          <w:rFonts w:eastAsia="Times New Roman"/>
        </w:rPr>
        <w:t>.</w:t>
      </w:r>
      <w:r w:rsidRPr="00A81971">
        <w:rPr>
          <w:rFonts w:eastAsia="Times New Roman"/>
        </w:rPr>
        <w:t xml:space="preserve"> ODS/HFC Reclamation and Destruction Technologies: A Review for Article 5 Countries, </w:t>
      </w:r>
      <w:r w:rsidR="006E0EE8" w:rsidRPr="006E0EE8">
        <w:rPr>
          <w:rFonts w:eastAsia="Times New Roman"/>
        </w:rPr>
        <w:t>Climate and Ozone Protection Alliance (COPA)</w:t>
      </w:r>
      <w:r w:rsidR="006E0EE8">
        <w:rPr>
          <w:rFonts w:eastAsia="Times New Roman"/>
        </w:rPr>
        <w:t xml:space="preserve">, </w:t>
      </w:r>
      <w:r w:rsidR="00B26B20">
        <w:rPr>
          <w:rFonts w:eastAsia="Times New Roman"/>
        </w:rPr>
        <w:t>B</w:t>
      </w:r>
      <w:r w:rsidR="006E0EE8">
        <w:rPr>
          <w:rFonts w:eastAsia="Times New Roman"/>
        </w:rPr>
        <w:t>onn, Germany.</w:t>
      </w:r>
      <w:r w:rsidR="006E0EE8" w:rsidRPr="006E0EE8">
        <w:rPr>
          <w:rFonts w:eastAsia="Times New Roman"/>
        </w:rPr>
        <w:t xml:space="preserve"> </w:t>
      </w:r>
      <w:r w:rsidR="006E0EE8">
        <w:rPr>
          <w:rFonts w:eastAsia="Times New Roman"/>
        </w:rPr>
        <w:t xml:space="preserve">Available at: </w:t>
      </w:r>
      <w:hyperlink r:id="rId62">
        <w:r w:rsidR="0077230C" w:rsidRPr="00A81971">
          <w:rPr>
            <w:rFonts w:eastAsia="Times New Roman"/>
          </w:rPr>
          <w:t>https://www.copalliance.org/imglib/publications/COPA_Publication_ODS_HFC_%20Destruction_Reclamation.pdf</w:t>
        </w:r>
      </w:hyperlink>
      <w:r w:rsidR="006E0EE8">
        <w:t xml:space="preserve">  </w:t>
      </w:r>
    </w:p>
    <w:p w14:paraId="4D447659"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13554">
        <w:rPr>
          <w:rFonts w:eastAsia="Times New Roman"/>
          <w:lang w:val="pt-BR"/>
        </w:rPr>
        <w:t xml:space="preserve">Theodoridi, C.; Hillbrand, A.; Starr, C.; Mahapatra, A.; Taddonio, K. (2022). </w:t>
      </w:r>
      <w:r w:rsidRPr="00184701">
        <w:rPr>
          <w:rFonts w:eastAsia="Times New Roman"/>
          <w:i/>
          <w:iCs/>
        </w:rPr>
        <w:t>The 90-Billion-Ton Opportunity: How Minimizing Leaks and Maximizing Reclaim Can Avoid Up to 91 Billion Tons of CO</w:t>
      </w:r>
      <w:r w:rsidRPr="00184701">
        <w:rPr>
          <w:rFonts w:eastAsia="Times New Roman"/>
          <w:i/>
          <w:iCs/>
          <w:vertAlign w:val="subscript"/>
        </w:rPr>
        <w:t>2</w:t>
      </w:r>
      <w:r w:rsidRPr="00184701">
        <w:rPr>
          <w:rFonts w:eastAsia="Times New Roman"/>
          <w:i/>
          <w:iCs/>
        </w:rPr>
        <w:t>-equivalent Emissions</w:t>
      </w:r>
      <w:r w:rsidRPr="00A81971">
        <w:rPr>
          <w:rFonts w:eastAsia="Times New Roman"/>
        </w:rPr>
        <w:t>; Environmental Investigation Agency (EIA): Washington, DC.</w:t>
      </w:r>
    </w:p>
    <w:p w14:paraId="567D1750"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TEAP, 2022. </w:t>
      </w:r>
      <w:r w:rsidRPr="00184701">
        <w:rPr>
          <w:rFonts w:eastAsia="Times New Roman"/>
          <w:i/>
          <w:iCs/>
        </w:rPr>
        <w:t>2022 Assessment Report of the Medical and Chemical Technical Options Committee</w:t>
      </w:r>
      <w:r w:rsidRPr="00A81971">
        <w:rPr>
          <w:rFonts w:eastAsia="Times New Roman"/>
        </w:rPr>
        <w:t>. Technology and Economic Assessment Panel (TEAP), Ozone Secretariat, Nairobi, Kenya.</w:t>
      </w:r>
    </w:p>
    <w:p w14:paraId="17F43B58"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UNEP, 2024. </w:t>
      </w:r>
      <w:r w:rsidRPr="00184701">
        <w:rPr>
          <w:rFonts w:eastAsia="Times New Roman"/>
          <w:i/>
          <w:iCs/>
        </w:rPr>
        <w:t>Lifecycle Refrigerant Management Task Force Report</w:t>
      </w:r>
      <w:r w:rsidRPr="00A81971">
        <w:rPr>
          <w:rFonts w:eastAsia="Times New Roman"/>
        </w:rPr>
        <w:t>. Technology and Economic Assessment Panel (TEAP). United Nations Environment Programme</w:t>
      </w:r>
      <w:r w:rsidR="002733FB" w:rsidRPr="00A81971">
        <w:rPr>
          <w:rFonts w:eastAsia="Times New Roman"/>
        </w:rPr>
        <w:t xml:space="preserve"> (UNEP), Nairobi, Kenya.</w:t>
      </w:r>
    </w:p>
    <w:p w14:paraId="0F956C4C"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UNEP. 2025. </w:t>
      </w:r>
      <w:r w:rsidRPr="00FE5C31">
        <w:rPr>
          <w:rFonts w:eastAsia="Times New Roman"/>
          <w:i/>
          <w:iCs/>
        </w:rPr>
        <w:t>Report Pursuant to Decision 93/104 on Life-Cycle Refrigerant Management with a View to Considering the Establishment of a Funding Window in Line with Decision XXXV/11 of the Thirty-Fifth Meeting of the Parties</w:t>
      </w:r>
      <w:r w:rsidRPr="00A81971">
        <w:rPr>
          <w:rFonts w:eastAsia="Times New Roman"/>
        </w:rPr>
        <w:t xml:space="preserve">. Document UNEP/OzL.Pro/ExCom/97/87, Multilateral Fund Executive Committee. </w:t>
      </w:r>
      <w:hyperlink w:history="1">
        <w:r w:rsidR="0077230C" w:rsidRPr="00A81971">
          <w:rPr>
            <w:rFonts w:eastAsia="Times New Roman"/>
          </w:rPr>
          <w:t>https://www.multilateralfund.org/api/drupal-documents/download/file/ef438aee-6b5b-4868-b2c6-ce12d8eb3ab8?filename=9787.pdf</w:t>
        </w:r>
      </w:hyperlink>
      <w:r w:rsidRPr="00A81971">
        <w:rPr>
          <w:rFonts w:eastAsia="Times New Roman"/>
        </w:rPr>
        <w:t xml:space="preserve"> </w:t>
      </w:r>
    </w:p>
    <w:p w14:paraId="72686477"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UNEP &amp; Climate and Clean Air Coalition (CCAC). Literature on refrigerant banks and lifecycle refrigerant management.</w:t>
      </w:r>
    </w:p>
    <w:p w14:paraId="29E326AA"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Andersen, </w:t>
      </w:r>
      <w:r w:rsidR="00C24867" w:rsidRPr="00A81971">
        <w:rPr>
          <w:rFonts w:eastAsia="Times New Roman"/>
        </w:rPr>
        <w:t xml:space="preserve">S.O., </w:t>
      </w:r>
      <w:r w:rsidRPr="00A81971">
        <w:rPr>
          <w:rFonts w:eastAsia="Times New Roman"/>
        </w:rPr>
        <w:t xml:space="preserve">Ferris, </w:t>
      </w:r>
      <w:r w:rsidR="00812537" w:rsidRPr="00A81971">
        <w:rPr>
          <w:rFonts w:eastAsia="Times New Roman"/>
        </w:rPr>
        <w:t xml:space="preserve">R.T., </w:t>
      </w:r>
      <w:r w:rsidRPr="00A81971">
        <w:rPr>
          <w:rFonts w:eastAsia="Times New Roman"/>
        </w:rPr>
        <w:t xml:space="preserve">Gonzalez, </w:t>
      </w:r>
      <w:r w:rsidR="00812537" w:rsidRPr="00A81971">
        <w:rPr>
          <w:rFonts w:eastAsia="Times New Roman"/>
        </w:rPr>
        <w:t xml:space="preserve">M. 2025. </w:t>
      </w:r>
      <w:r w:rsidRPr="00A81971">
        <w:rPr>
          <w:rFonts w:eastAsia="Times New Roman"/>
        </w:rPr>
        <w:t>Destruction of Surplus Refrigerants in Local Cement Kilns</w:t>
      </w:r>
      <w:r w:rsidR="00812537" w:rsidRPr="00A81971">
        <w:rPr>
          <w:rFonts w:eastAsia="Times New Roman"/>
        </w:rPr>
        <w:t>.</w:t>
      </w:r>
      <w:r w:rsidRPr="00A81971">
        <w:rPr>
          <w:rFonts w:eastAsia="Times New Roman"/>
        </w:rPr>
        <w:t xml:space="preserve"> </w:t>
      </w:r>
      <w:r w:rsidRPr="00184701">
        <w:rPr>
          <w:rFonts w:eastAsia="Times New Roman"/>
          <w:i/>
          <w:iCs/>
        </w:rPr>
        <w:t>Global Environmental Research</w:t>
      </w:r>
      <w:r w:rsidRPr="00A81971">
        <w:rPr>
          <w:rFonts w:eastAsia="Times New Roman"/>
        </w:rPr>
        <w:t>, 29</w:t>
      </w:r>
      <w:r w:rsidR="00812537" w:rsidRPr="00A81971">
        <w:rPr>
          <w:rFonts w:eastAsia="Times New Roman"/>
        </w:rPr>
        <w:t xml:space="preserve"> </w:t>
      </w:r>
      <w:r w:rsidRPr="00A81971">
        <w:rPr>
          <w:rFonts w:eastAsia="Times New Roman"/>
        </w:rPr>
        <w:t>(2), 133</w:t>
      </w:r>
      <w:r w:rsidR="00812537" w:rsidRPr="00A81971">
        <w:rPr>
          <w:rFonts w:eastAsia="Times New Roman"/>
        </w:rPr>
        <w:t>-141,</w:t>
      </w:r>
      <w:r w:rsidR="002E1C58" w:rsidRPr="00A81971">
        <w:rPr>
          <w:rFonts w:eastAsia="Times New Roman"/>
        </w:rPr>
        <w:t xml:space="preserve"> https://doi.org/10.57466/ger.29.2_133</w:t>
      </w:r>
    </w:p>
    <w:p w14:paraId="0A4EFDEF" w14:textId="77777777" w:rsidR="0077230C" w:rsidRPr="00A81971" w:rsidRDefault="0032495C" w:rsidP="007A20BD">
      <w:pPr>
        <w:widowControl w:val="0"/>
        <w:numPr>
          <w:ilvl w:val="0"/>
          <w:numId w:val="62"/>
        </w:numPr>
        <w:autoSpaceDE w:val="0"/>
        <w:autoSpaceDN w:val="0"/>
        <w:spacing w:after="0"/>
        <w:contextualSpacing/>
        <w:rPr>
          <w:rFonts w:eastAsia="Times New Roman"/>
        </w:rPr>
      </w:pPr>
      <w:r w:rsidRPr="00A81971">
        <w:rPr>
          <w:rFonts w:eastAsia="Times New Roman"/>
        </w:rPr>
        <w:t xml:space="preserve">The Yale Carbon Containment Lab, </w:t>
      </w:r>
      <w:hyperlink r:id="rId63" w:history="1">
        <w:r w:rsidR="0077230C" w:rsidRPr="00A81971">
          <w:rPr>
            <w:rFonts w:eastAsia="Times New Roman"/>
          </w:rPr>
          <w:t>https://carboncontainmentlab.org/updates/posts/global-ods-hfc-destruction-capacity</w:t>
        </w:r>
      </w:hyperlink>
      <w:r w:rsidRPr="00A81971">
        <w:rPr>
          <w:rFonts w:eastAsia="Times New Roman"/>
        </w:rPr>
        <w:t>. Accessed April 2026.</w:t>
      </w:r>
    </w:p>
    <w:p w14:paraId="137079D1" w14:textId="77777777" w:rsidR="0077230C" w:rsidRPr="00A81971" w:rsidRDefault="0077230C" w:rsidP="0077230C">
      <w:pPr>
        <w:widowControl w:val="0"/>
        <w:autoSpaceDE w:val="0"/>
        <w:autoSpaceDN w:val="0"/>
        <w:spacing w:after="0"/>
        <w:rPr>
          <w:rFonts w:eastAsia="Times New Roman"/>
        </w:rPr>
      </w:pPr>
    </w:p>
    <w:p w14:paraId="5CFDFF0C" w14:textId="77777777" w:rsidR="0077230C" w:rsidRPr="00A81971" w:rsidRDefault="0077230C" w:rsidP="0077230C">
      <w:pPr>
        <w:widowControl w:val="0"/>
        <w:autoSpaceDE w:val="0"/>
        <w:autoSpaceDN w:val="0"/>
        <w:spacing w:after="0"/>
        <w:rPr>
          <w:rFonts w:eastAsia="Times New Roman"/>
        </w:rPr>
      </w:pPr>
    </w:p>
    <w:p w14:paraId="172E4B13" w14:textId="77777777" w:rsidR="007637A0" w:rsidRPr="00A81971" w:rsidRDefault="0032495C">
      <w:pPr>
        <w:spacing w:after="0"/>
        <w:rPr>
          <w:rFonts w:ascii="Times New Roman Bold" w:eastAsia="Times New Roman" w:hAnsi="Times New Roman Bold"/>
          <w:b/>
          <w:caps/>
          <w:color w:val="000000" w:themeColor="text1"/>
          <w:sz w:val="24"/>
          <w:szCs w:val="24"/>
          <w:highlight w:val="yellow"/>
          <w:lang w:eastAsia="nl-NL"/>
        </w:rPr>
      </w:pPr>
      <w:r w:rsidRPr="00A81971">
        <w:rPr>
          <w:highlight w:val="yellow"/>
        </w:rPr>
        <w:br w:type="page"/>
      </w:r>
    </w:p>
    <w:bookmarkEnd w:id="260"/>
    <w:p w14:paraId="6602D7F7" w14:textId="77777777" w:rsidR="00670025" w:rsidRPr="00A81971" w:rsidRDefault="00670025" w:rsidP="00DD5839">
      <w:pPr>
        <w:spacing w:after="0"/>
        <w:rPr>
          <w:rFonts w:eastAsia="Times New Roman"/>
          <w:bCs/>
          <w:caps/>
          <w:color w:val="000000" w:themeColor="text1"/>
          <w:lang w:eastAsia="nl-NL"/>
        </w:rPr>
      </w:pPr>
    </w:p>
    <w:p w14:paraId="16240430" w14:textId="77777777" w:rsidR="001A33F4" w:rsidRPr="00A81971" w:rsidRDefault="0032495C" w:rsidP="00696E14">
      <w:pPr>
        <w:pStyle w:val="Heading1"/>
        <w:rPr>
          <w:rFonts w:eastAsia="Calibri Light" w:cs="Calibri Light"/>
          <w:color w:val="2F5496" w:themeColor="accent1" w:themeShade="BF"/>
          <w:sz w:val="40"/>
          <w:szCs w:val="40"/>
        </w:rPr>
      </w:pPr>
      <w:bookmarkStart w:id="271" w:name="_Toc240987368"/>
      <w:bookmarkEnd w:id="261"/>
      <w:bookmarkEnd w:id="262"/>
      <w:bookmarkEnd w:id="263"/>
      <w:bookmarkEnd w:id="264"/>
      <w:bookmarkEnd w:id="265"/>
      <w:bookmarkEnd w:id="266"/>
      <w:bookmarkEnd w:id="267"/>
      <w:r w:rsidRPr="00A81971">
        <w:t xml:space="preserve">Annex </w:t>
      </w:r>
      <w:r w:rsidR="0075300B" w:rsidRPr="00A81971">
        <w:t>7</w:t>
      </w:r>
      <w:r w:rsidRPr="00A81971">
        <w:t xml:space="preserve">: </w:t>
      </w:r>
      <w:r w:rsidR="0075300B" w:rsidRPr="00A81971">
        <w:t>project preparation for kips and cost details</w:t>
      </w:r>
      <w:bookmarkEnd w:id="271"/>
    </w:p>
    <w:p w14:paraId="7EC156A9" w14:textId="77777777" w:rsidR="00FE745D" w:rsidRDefault="00FE745D" w:rsidP="00FE745D">
      <w:pPr>
        <w:rPr>
          <w:rFonts w:eastAsia="Times New Roman"/>
          <w:color w:val="000000" w:themeColor="text1"/>
          <w:sz w:val="24"/>
          <w:szCs w:val="24"/>
        </w:rPr>
      </w:pPr>
    </w:p>
    <w:p w14:paraId="5A269E8F" w14:textId="77777777" w:rsidR="002D32D2" w:rsidRPr="00A81971" w:rsidRDefault="0032495C" w:rsidP="00FE745D">
      <w:pPr>
        <w:rPr>
          <w:bCs/>
        </w:rPr>
      </w:pPr>
      <w:r w:rsidRPr="0006445E">
        <w:rPr>
          <w:rFonts w:eastAsia="Yu Mincho"/>
          <w:b/>
          <w:bCs/>
          <w:color w:val="000000"/>
          <w:lang w:val="en-CA"/>
        </w:rPr>
        <w:t xml:space="preserve">Table </w:t>
      </w:r>
      <w:r>
        <w:rPr>
          <w:rFonts w:eastAsia="Yu Mincho"/>
          <w:b/>
          <w:bCs/>
          <w:color w:val="000000"/>
          <w:lang w:val="en-CA"/>
        </w:rPr>
        <w:t>A7.1:</w:t>
      </w:r>
      <w:r w:rsidRPr="0006445E">
        <w:rPr>
          <w:rFonts w:eastAsia="Times New Roman"/>
          <w:color w:val="000000"/>
          <w:lang w:val="en-CA"/>
        </w:rPr>
        <w:tab/>
      </w:r>
      <w:r w:rsidRPr="00A81971">
        <w:rPr>
          <w:b/>
          <w:bCs/>
        </w:rPr>
        <w:t>S</w:t>
      </w:r>
      <w:r>
        <w:rPr>
          <w:b/>
          <w:bCs/>
        </w:rPr>
        <w:t xml:space="preserve">tatus of approved </w:t>
      </w:r>
      <w:r w:rsidRPr="00A81971">
        <w:rPr>
          <w:b/>
          <w:bCs/>
        </w:rPr>
        <w:t xml:space="preserve">KIP project preparation for </w:t>
      </w:r>
      <w:r w:rsidR="00311D9D">
        <w:rPr>
          <w:b/>
          <w:bCs/>
        </w:rPr>
        <w:t>Stage</w:t>
      </w:r>
      <w:r w:rsidRPr="00A81971">
        <w:rPr>
          <w:b/>
          <w:bCs/>
        </w:rPr>
        <w:t xml:space="preserve"> I and KIP investment preparation projects as per MLFS information</w:t>
      </w:r>
      <w:r w:rsidRPr="00A81971">
        <w:rPr>
          <w:rFonts w:eastAsia="Times New Roman"/>
          <w:b/>
          <w:bCs/>
        </w:rPr>
        <w:t xml:space="preserve"> </w:t>
      </w:r>
    </w:p>
    <w:tbl>
      <w:tblPr>
        <w:tblW w:w="8815" w:type="dxa"/>
        <w:tblLook w:val="04A0" w:firstRow="1" w:lastRow="0" w:firstColumn="1" w:lastColumn="0" w:noHBand="0" w:noVBand="1"/>
      </w:tblPr>
      <w:tblGrid>
        <w:gridCol w:w="2155"/>
        <w:gridCol w:w="1440"/>
        <w:gridCol w:w="1530"/>
        <w:gridCol w:w="1890"/>
        <w:gridCol w:w="1800"/>
      </w:tblGrid>
      <w:tr w:rsidR="00F90461" w14:paraId="0D666AE9" w14:textId="77777777" w:rsidTr="00FE5C31">
        <w:trPr>
          <w:trHeight w:val="532"/>
          <w:tblHeader/>
        </w:trPr>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9DB5E2" w14:textId="77777777" w:rsidR="002D32D2" w:rsidRPr="00A81971" w:rsidRDefault="0032495C" w:rsidP="00FE5C31">
            <w:pPr>
              <w:spacing w:before="40" w:after="40"/>
              <w:rPr>
                <w:rFonts w:eastAsia="Times New Roman"/>
                <w:b/>
                <w:bCs/>
                <w:color w:val="000000"/>
                <w:sz w:val="20"/>
                <w:szCs w:val="20"/>
                <w:lang w:eastAsia="en-CA"/>
              </w:rPr>
            </w:pPr>
            <w:r w:rsidRPr="00A81971">
              <w:rPr>
                <w:rFonts w:eastAsia="Times New Roman"/>
                <w:b/>
                <w:bCs/>
                <w:color w:val="000000"/>
                <w:sz w:val="20"/>
                <w:szCs w:val="20"/>
                <w:lang w:eastAsia="en-CA"/>
              </w:rPr>
              <w:t>Country</w:t>
            </w:r>
          </w:p>
        </w:tc>
        <w:tc>
          <w:tcPr>
            <w:tcW w:w="14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B576217" w14:textId="77777777" w:rsidR="002D32D2" w:rsidRPr="00A81971" w:rsidRDefault="0032495C" w:rsidP="00FE5C31">
            <w:pPr>
              <w:spacing w:before="40" w:after="40"/>
              <w:rPr>
                <w:rFonts w:eastAsia="Times New Roman"/>
                <w:b/>
                <w:bCs/>
                <w:color w:val="000000"/>
                <w:sz w:val="20"/>
                <w:szCs w:val="20"/>
                <w:lang w:eastAsia="en-CA"/>
              </w:rPr>
            </w:pPr>
            <w:r w:rsidRPr="00A81971">
              <w:rPr>
                <w:rFonts w:eastAsia="Times New Roman"/>
                <w:b/>
                <w:bCs/>
                <w:color w:val="000000"/>
                <w:sz w:val="20"/>
                <w:szCs w:val="20"/>
                <w:lang w:eastAsia="en-CA"/>
              </w:rPr>
              <w:t>Agency</w:t>
            </w:r>
          </w:p>
        </w:tc>
        <w:tc>
          <w:tcPr>
            <w:tcW w:w="153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25ACEAB" w14:textId="77777777" w:rsidR="002D32D2" w:rsidRPr="00A81971" w:rsidRDefault="0032495C" w:rsidP="00FE5C31">
            <w:pPr>
              <w:spacing w:before="40" w:after="40"/>
              <w:jc w:val="right"/>
              <w:rPr>
                <w:rFonts w:eastAsia="Times New Roman"/>
                <w:b/>
                <w:bCs/>
                <w:color w:val="000000"/>
                <w:sz w:val="20"/>
                <w:szCs w:val="20"/>
                <w:lang w:eastAsia="en-CA"/>
              </w:rPr>
            </w:pPr>
            <w:r w:rsidRPr="00A81971">
              <w:rPr>
                <w:rFonts w:eastAsia="Times New Roman"/>
                <w:b/>
                <w:bCs/>
                <w:color w:val="000000"/>
                <w:sz w:val="20"/>
                <w:szCs w:val="20"/>
                <w:lang w:eastAsia="en-CA"/>
              </w:rPr>
              <w:t>Funds Approved (US$)</w:t>
            </w:r>
          </w:p>
        </w:tc>
        <w:tc>
          <w:tcPr>
            <w:tcW w:w="189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B74673" w14:textId="77777777" w:rsidR="002D32D2" w:rsidRPr="00A81971" w:rsidRDefault="0032495C" w:rsidP="00FE5C31">
            <w:pPr>
              <w:spacing w:before="40" w:after="40"/>
              <w:jc w:val="right"/>
              <w:rPr>
                <w:rFonts w:eastAsia="Times New Roman"/>
                <w:b/>
                <w:bCs/>
                <w:color w:val="000000"/>
                <w:sz w:val="20"/>
                <w:szCs w:val="20"/>
                <w:lang w:eastAsia="en-CA"/>
              </w:rPr>
            </w:pPr>
            <w:r w:rsidRPr="00A81971">
              <w:rPr>
                <w:rFonts w:eastAsia="Times New Roman"/>
                <w:b/>
                <w:bCs/>
                <w:color w:val="000000"/>
                <w:sz w:val="20"/>
                <w:szCs w:val="20"/>
                <w:lang w:eastAsia="en-CA"/>
              </w:rPr>
              <w:t>Support Costs Approved (US$)</w:t>
            </w:r>
          </w:p>
        </w:tc>
        <w:tc>
          <w:tcPr>
            <w:tcW w:w="18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2165276" w14:textId="77777777" w:rsidR="002D32D2" w:rsidRPr="00A81971" w:rsidRDefault="0032495C" w:rsidP="00FE5C31">
            <w:pPr>
              <w:spacing w:before="40" w:after="40"/>
              <w:jc w:val="right"/>
              <w:rPr>
                <w:rFonts w:eastAsia="Times New Roman"/>
                <w:b/>
                <w:bCs/>
                <w:color w:val="000000"/>
                <w:sz w:val="20"/>
                <w:szCs w:val="20"/>
                <w:lang w:eastAsia="en-CA"/>
              </w:rPr>
            </w:pPr>
            <w:r w:rsidRPr="00A81971">
              <w:rPr>
                <w:rFonts w:eastAsia="Times New Roman"/>
                <w:b/>
                <w:bCs/>
                <w:color w:val="000000"/>
                <w:sz w:val="20"/>
                <w:szCs w:val="20"/>
                <w:lang w:eastAsia="en-CA"/>
              </w:rPr>
              <w:t>Total (US$)</w:t>
            </w:r>
          </w:p>
        </w:tc>
      </w:tr>
      <w:tr w:rsidR="00F90461" w14:paraId="1D3B9DD0"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2D2031A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Albania</w:t>
            </w:r>
          </w:p>
        </w:tc>
        <w:tc>
          <w:tcPr>
            <w:tcW w:w="1440" w:type="dxa"/>
            <w:tcBorders>
              <w:top w:val="nil"/>
              <w:left w:val="nil"/>
              <w:bottom w:val="single" w:sz="4" w:space="0" w:color="auto"/>
              <w:right w:val="single" w:sz="4" w:space="0" w:color="auto"/>
            </w:tcBorders>
            <w:vAlign w:val="center"/>
            <w:hideMark/>
          </w:tcPr>
          <w:p w14:paraId="471DB8A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A4272A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45,000</w:t>
            </w:r>
          </w:p>
        </w:tc>
        <w:tc>
          <w:tcPr>
            <w:tcW w:w="1890" w:type="dxa"/>
            <w:tcBorders>
              <w:top w:val="nil"/>
              <w:left w:val="nil"/>
              <w:bottom w:val="single" w:sz="4" w:space="0" w:color="auto"/>
              <w:right w:val="single" w:sz="4" w:space="0" w:color="auto"/>
            </w:tcBorders>
            <w:vAlign w:val="center"/>
            <w:hideMark/>
          </w:tcPr>
          <w:p w14:paraId="423463A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5,850</w:t>
            </w:r>
          </w:p>
        </w:tc>
        <w:tc>
          <w:tcPr>
            <w:tcW w:w="1800" w:type="dxa"/>
            <w:tcBorders>
              <w:top w:val="nil"/>
              <w:left w:val="nil"/>
              <w:bottom w:val="single" w:sz="4" w:space="0" w:color="auto"/>
              <w:right w:val="single" w:sz="4" w:space="0" w:color="auto"/>
            </w:tcBorders>
            <w:vAlign w:val="center"/>
            <w:hideMark/>
          </w:tcPr>
          <w:p w14:paraId="6EDFDD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50,850</w:t>
            </w:r>
          </w:p>
        </w:tc>
      </w:tr>
      <w:tr w:rsidR="00F90461" w14:paraId="7794A925"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1321FF6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Albania</w:t>
            </w:r>
          </w:p>
        </w:tc>
        <w:tc>
          <w:tcPr>
            <w:tcW w:w="1440" w:type="dxa"/>
            <w:tcBorders>
              <w:top w:val="nil"/>
              <w:left w:val="nil"/>
              <w:bottom w:val="single" w:sz="4" w:space="0" w:color="auto"/>
              <w:right w:val="single" w:sz="4" w:space="0" w:color="auto"/>
            </w:tcBorders>
            <w:vAlign w:val="center"/>
            <w:hideMark/>
          </w:tcPr>
          <w:p w14:paraId="1A5070F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1B0A2C9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85,000</w:t>
            </w:r>
          </w:p>
        </w:tc>
        <w:tc>
          <w:tcPr>
            <w:tcW w:w="1890" w:type="dxa"/>
            <w:tcBorders>
              <w:top w:val="nil"/>
              <w:left w:val="nil"/>
              <w:bottom w:val="single" w:sz="4" w:space="0" w:color="auto"/>
              <w:right w:val="single" w:sz="4" w:space="0" w:color="auto"/>
            </w:tcBorders>
            <w:vAlign w:val="center"/>
            <w:hideMark/>
          </w:tcPr>
          <w:p w14:paraId="705E530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5,950</w:t>
            </w:r>
          </w:p>
        </w:tc>
        <w:tc>
          <w:tcPr>
            <w:tcW w:w="1800" w:type="dxa"/>
            <w:tcBorders>
              <w:top w:val="nil"/>
              <w:left w:val="nil"/>
              <w:bottom w:val="single" w:sz="4" w:space="0" w:color="auto"/>
              <w:right w:val="single" w:sz="4" w:space="0" w:color="auto"/>
            </w:tcBorders>
            <w:vAlign w:val="center"/>
            <w:hideMark/>
          </w:tcPr>
          <w:p w14:paraId="6DA53FF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90,950</w:t>
            </w:r>
          </w:p>
        </w:tc>
      </w:tr>
      <w:tr w:rsidR="00F90461" w14:paraId="74327036"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1D29E15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Angola</w:t>
            </w:r>
          </w:p>
        </w:tc>
        <w:tc>
          <w:tcPr>
            <w:tcW w:w="1440" w:type="dxa"/>
            <w:tcBorders>
              <w:top w:val="nil"/>
              <w:left w:val="nil"/>
              <w:bottom w:val="single" w:sz="4" w:space="0" w:color="auto"/>
              <w:right w:val="single" w:sz="4" w:space="0" w:color="auto"/>
            </w:tcBorders>
            <w:vAlign w:val="center"/>
            <w:hideMark/>
          </w:tcPr>
          <w:p w14:paraId="6AB7561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66DCD9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0D75575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69A4D95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78FBC537"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4E07BBC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Argentina</w:t>
            </w:r>
          </w:p>
        </w:tc>
        <w:tc>
          <w:tcPr>
            <w:tcW w:w="1440" w:type="dxa"/>
            <w:tcBorders>
              <w:top w:val="nil"/>
              <w:left w:val="nil"/>
              <w:bottom w:val="single" w:sz="4" w:space="0" w:color="auto"/>
              <w:right w:val="single" w:sz="4" w:space="0" w:color="auto"/>
            </w:tcBorders>
            <w:vAlign w:val="center"/>
            <w:hideMark/>
          </w:tcPr>
          <w:p w14:paraId="19BAC9E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DE1A21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441495D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64C51D2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5FD8E177"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6DC9D8B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Armenia</w:t>
            </w:r>
          </w:p>
        </w:tc>
        <w:tc>
          <w:tcPr>
            <w:tcW w:w="1440" w:type="dxa"/>
            <w:tcBorders>
              <w:top w:val="nil"/>
              <w:left w:val="nil"/>
              <w:bottom w:val="single" w:sz="4" w:space="0" w:color="auto"/>
              <w:right w:val="single" w:sz="4" w:space="0" w:color="auto"/>
            </w:tcBorders>
            <w:vAlign w:val="center"/>
            <w:hideMark/>
          </w:tcPr>
          <w:p w14:paraId="738B1F7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B4333B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1C237D0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22,100</w:t>
            </w:r>
          </w:p>
        </w:tc>
        <w:tc>
          <w:tcPr>
            <w:tcW w:w="1800" w:type="dxa"/>
            <w:tcBorders>
              <w:top w:val="nil"/>
              <w:left w:val="nil"/>
              <w:bottom w:val="single" w:sz="4" w:space="0" w:color="auto"/>
              <w:right w:val="single" w:sz="4" w:space="0" w:color="auto"/>
            </w:tcBorders>
            <w:vAlign w:val="center"/>
            <w:hideMark/>
          </w:tcPr>
          <w:p w14:paraId="187F1F1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192,100</w:t>
            </w:r>
          </w:p>
        </w:tc>
      </w:tr>
      <w:tr w:rsidR="00F90461" w14:paraId="204BCDB9"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1E4E74D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Bahamas</w:t>
            </w:r>
          </w:p>
        </w:tc>
        <w:tc>
          <w:tcPr>
            <w:tcW w:w="1440" w:type="dxa"/>
            <w:tcBorders>
              <w:top w:val="nil"/>
              <w:left w:val="nil"/>
              <w:bottom w:val="single" w:sz="4" w:space="0" w:color="auto"/>
              <w:right w:val="single" w:sz="4" w:space="0" w:color="auto"/>
            </w:tcBorders>
            <w:vAlign w:val="center"/>
            <w:hideMark/>
          </w:tcPr>
          <w:p w14:paraId="42E5111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68CD163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1EDA0FA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2E98359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0DDC1213"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1720081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Bahamas</w:t>
            </w:r>
          </w:p>
        </w:tc>
        <w:tc>
          <w:tcPr>
            <w:tcW w:w="1440" w:type="dxa"/>
            <w:tcBorders>
              <w:top w:val="nil"/>
              <w:left w:val="nil"/>
              <w:bottom w:val="single" w:sz="4" w:space="0" w:color="auto"/>
              <w:right w:val="single" w:sz="4" w:space="0" w:color="auto"/>
            </w:tcBorders>
            <w:vAlign w:val="center"/>
            <w:hideMark/>
          </w:tcPr>
          <w:p w14:paraId="42E2A0E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B42F21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224E3D1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E8A61F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25B99F46" w14:textId="77777777" w:rsidTr="00FE5C31">
        <w:trPr>
          <w:trHeight w:val="199"/>
        </w:trPr>
        <w:tc>
          <w:tcPr>
            <w:tcW w:w="2155" w:type="dxa"/>
            <w:tcBorders>
              <w:top w:val="nil"/>
              <w:left w:val="single" w:sz="4" w:space="0" w:color="auto"/>
              <w:bottom w:val="single" w:sz="4" w:space="0" w:color="auto"/>
              <w:right w:val="single" w:sz="4" w:space="0" w:color="auto"/>
            </w:tcBorders>
            <w:vAlign w:val="center"/>
            <w:hideMark/>
          </w:tcPr>
          <w:p w14:paraId="4EAE2D3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Bahrain</w:t>
            </w:r>
          </w:p>
        </w:tc>
        <w:tc>
          <w:tcPr>
            <w:tcW w:w="1440" w:type="dxa"/>
            <w:tcBorders>
              <w:top w:val="nil"/>
              <w:left w:val="nil"/>
              <w:bottom w:val="single" w:sz="4" w:space="0" w:color="auto"/>
              <w:right w:val="single" w:sz="4" w:space="0" w:color="auto"/>
            </w:tcBorders>
            <w:vAlign w:val="center"/>
            <w:hideMark/>
          </w:tcPr>
          <w:p w14:paraId="0B0A117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C4CE4B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4CEE015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61B6326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42535423"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D1FF6D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Bangladesh</w:t>
            </w:r>
          </w:p>
        </w:tc>
        <w:tc>
          <w:tcPr>
            <w:tcW w:w="1440" w:type="dxa"/>
            <w:tcBorders>
              <w:top w:val="nil"/>
              <w:left w:val="nil"/>
              <w:bottom w:val="single" w:sz="4" w:space="0" w:color="auto"/>
              <w:right w:val="single" w:sz="4" w:space="0" w:color="auto"/>
            </w:tcBorders>
            <w:vAlign w:val="center"/>
            <w:hideMark/>
          </w:tcPr>
          <w:p w14:paraId="2E4CF7E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9CF77C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890" w:type="dxa"/>
            <w:tcBorders>
              <w:top w:val="nil"/>
              <w:left w:val="nil"/>
              <w:bottom w:val="single" w:sz="4" w:space="0" w:color="auto"/>
              <w:right w:val="single" w:sz="4" w:space="0" w:color="auto"/>
            </w:tcBorders>
            <w:vAlign w:val="center"/>
            <w:hideMark/>
          </w:tcPr>
          <w:p w14:paraId="0732770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5,200</w:t>
            </w:r>
          </w:p>
        </w:tc>
        <w:tc>
          <w:tcPr>
            <w:tcW w:w="1800" w:type="dxa"/>
            <w:tcBorders>
              <w:top w:val="nil"/>
              <w:left w:val="nil"/>
              <w:bottom w:val="single" w:sz="4" w:space="0" w:color="auto"/>
              <w:right w:val="single" w:sz="4" w:space="0" w:color="auto"/>
            </w:tcBorders>
            <w:vAlign w:val="center"/>
            <w:hideMark/>
          </w:tcPr>
          <w:p w14:paraId="360D967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45,200</w:t>
            </w:r>
          </w:p>
        </w:tc>
      </w:tr>
      <w:tr w:rsidR="00F90461" w14:paraId="0205EF42"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11CF9FE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Bangladesh</w:t>
            </w:r>
          </w:p>
        </w:tc>
        <w:tc>
          <w:tcPr>
            <w:tcW w:w="1440" w:type="dxa"/>
            <w:tcBorders>
              <w:top w:val="nil"/>
              <w:left w:val="nil"/>
              <w:bottom w:val="single" w:sz="4" w:space="0" w:color="auto"/>
              <w:right w:val="single" w:sz="4" w:space="0" w:color="auto"/>
            </w:tcBorders>
            <w:vAlign w:val="center"/>
            <w:hideMark/>
          </w:tcPr>
          <w:p w14:paraId="65371F7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EBDEB7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150,000</w:t>
            </w:r>
          </w:p>
        </w:tc>
        <w:tc>
          <w:tcPr>
            <w:tcW w:w="1890" w:type="dxa"/>
            <w:tcBorders>
              <w:top w:val="nil"/>
              <w:left w:val="nil"/>
              <w:bottom w:val="single" w:sz="4" w:space="0" w:color="auto"/>
              <w:right w:val="single" w:sz="4" w:space="0" w:color="auto"/>
            </w:tcBorders>
            <w:vAlign w:val="center"/>
            <w:hideMark/>
          </w:tcPr>
          <w:p w14:paraId="26FE538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10,500</w:t>
            </w:r>
          </w:p>
        </w:tc>
        <w:tc>
          <w:tcPr>
            <w:tcW w:w="1800" w:type="dxa"/>
            <w:tcBorders>
              <w:top w:val="nil"/>
              <w:left w:val="nil"/>
              <w:bottom w:val="single" w:sz="4" w:space="0" w:color="auto"/>
              <w:right w:val="single" w:sz="4" w:space="0" w:color="auto"/>
            </w:tcBorders>
            <w:vAlign w:val="center"/>
            <w:hideMark/>
          </w:tcPr>
          <w:p w14:paraId="05D61C3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160,500</w:t>
            </w:r>
          </w:p>
        </w:tc>
      </w:tr>
      <w:tr w:rsidR="00F90461" w14:paraId="3784D767" w14:textId="77777777" w:rsidTr="00FE5C31">
        <w:trPr>
          <w:trHeight w:val="226"/>
        </w:trPr>
        <w:tc>
          <w:tcPr>
            <w:tcW w:w="2155" w:type="dxa"/>
            <w:tcBorders>
              <w:top w:val="nil"/>
              <w:left w:val="single" w:sz="4" w:space="0" w:color="auto"/>
              <w:bottom w:val="single" w:sz="4" w:space="0" w:color="auto"/>
              <w:right w:val="single" w:sz="4" w:space="0" w:color="auto"/>
            </w:tcBorders>
            <w:vAlign w:val="center"/>
            <w:hideMark/>
          </w:tcPr>
          <w:p w14:paraId="38B8791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Barbados</w:t>
            </w:r>
          </w:p>
        </w:tc>
        <w:tc>
          <w:tcPr>
            <w:tcW w:w="1440" w:type="dxa"/>
            <w:tcBorders>
              <w:top w:val="nil"/>
              <w:left w:val="nil"/>
              <w:bottom w:val="single" w:sz="4" w:space="0" w:color="auto"/>
              <w:right w:val="single" w:sz="4" w:space="0" w:color="auto"/>
            </w:tcBorders>
            <w:vAlign w:val="center"/>
            <w:hideMark/>
          </w:tcPr>
          <w:p w14:paraId="18093C9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56685A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39217FB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552CECC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5C03D928"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7E4851F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Belize</w:t>
            </w:r>
          </w:p>
        </w:tc>
        <w:tc>
          <w:tcPr>
            <w:tcW w:w="1440" w:type="dxa"/>
            <w:tcBorders>
              <w:top w:val="nil"/>
              <w:left w:val="nil"/>
              <w:bottom w:val="single" w:sz="4" w:space="0" w:color="auto"/>
              <w:right w:val="single" w:sz="4" w:space="0" w:color="auto"/>
            </w:tcBorders>
            <w:vAlign w:val="center"/>
            <w:hideMark/>
          </w:tcPr>
          <w:p w14:paraId="377DA93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AD1118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719A0F2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3E44447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70BF486D"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1AAEAF6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Belize</w:t>
            </w:r>
          </w:p>
        </w:tc>
        <w:tc>
          <w:tcPr>
            <w:tcW w:w="1440" w:type="dxa"/>
            <w:tcBorders>
              <w:top w:val="nil"/>
              <w:left w:val="nil"/>
              <w:bottom w:val="single" w:sz="4" w:space="0" w:color="auto"/>
              <w:right w:val="single" w:sz="4" w:space="0" w:color="auto"/>
            </w:tcBorders>
            <w:vAlign w:val="center"/>
            <w:hideMark/>
          </w:tcPr>
          <w:p w14:paraId="3A8B83B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547FA8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05624BE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707C9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1B806298"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54A6AB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Benin</w:t>
            </w:r>
          </w:p>
        </w:tc>
        <w:tc>
          <w:tcPr>
            <w:tcW w:w="1440" w:type="dxa"/>
            <w:tcBorders>
              <w:top w:val="nil"/>
              <w:left w:val="nil"/>
              <w:bottom w:val="single" w:sz="4" w:space="0" w:color="auto"/>
              <w:right w:val="single" w:sz="4" w:space="0" w:color="auto"/>
            </w:tcBorders>
            <w:vAlign w:val="center"/>
            <w:hideMark/>
          </w:tcPr>
          <w:p w14:paraId="42EBF41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10131C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57,000</w:t>
            </w:r>
          </w:p>
        </w:tc>
        <w:tc>
          <w:tcPr>
            <w:tcW w:w="1890" w:type="dxa"/>
            <w:tcBorders>
              <w:top w:val="nil"/>
              <w:left w:val="nil"/>
              <w:bottom w:val="single" w:sz="4" w:space="0" w:color="auto"/>
              <w:right w:val="single" w:sz="4" w:space="0" w:color="auto"/>
            </w:tcBorders>
            <w:vAlign w:val="center"/>
            <w:hideMark/>
          </w:tcPr>
          <w:p w14:paraId="55DFD4C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3,990</w:t>
            </w:r>
          </w:p>
        </w:tc>
        <w:tc>
          <w:tcPr>
            <w:tcW w:w="1800" w:type="dxa"/>
            <w:tcBorders>
              <w:top w:val="nil"/>
              <w:left w:val="nil"/>
              <w:bottom w:val="single" w:sz="4" w:space="0" w:color="auto"/>
              <w:right w:val="single" w:sz="4" w:space="0" w:color="auto"/>
            </w:tcBorders>
            <w:vAlign w:val="center"/>
            <w:hideMark/>
          </w:tcPr>
          <w:p w14:paraId="06F261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60,990</w:t>
            </w:r>
          </w:p>
        </w:tc>
      </w:tr>
      <w:tr w:rsidR="00F90461" w14:paraId="3289CF66"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2753250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Benin</w:t>
            </w:r>
          </w:p>
        </w:tc>
        <w:tc>
          <w:tcPr>
            <w:tcW w:w="1440" w:type="dxa"/>
            <w:tcBorders>
              <w:top w:val="nil"/>
              <w:left w:val="nil"/>
              <w:bottom w:val="single" w:sz="4" w:space="0" w:color="auto"/>
              <w:right w:val="single" w:sz="4" w:space="0" w:color="auto"/>
            </w:tcBorders>
            <w:vAlign w:val="center"/>
            <w:hideMark/>
          </w:tcPr>
          <w:p w14:paraId="3BC0662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F1B62C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133,000</w:t>
            </w:r>
          </w:p>
        </w:tc>
        <w:tc>
          <w:tcPr>
            <w:tcW w:w="1890" w:type="dxa"/>
            <w:tcBorders>
              <w:top w:val="nil"/>
              <w:left w:val="nil"/>
              <w:bottom w:val="single" w:sz="4" w:space="0" w:color="auto"/>
              <w:right w:val="single" w:sz="4" w:space="0" w:color="auto"/>
            </w:tcBorders>
            <w:vAlign w:val="center"/>
            <w:hideMark/>
          </w:tcPr>
          <w:p w14:paraId="38A9FF4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17,290</w:t>
            </w:r>
          </w:p>
        </w:tc>
        <w:tc>
          <w:tcPr>
            <w:tcW w:w="1800" w:type="dxa"/>
            <w:tcBorders>
              <w:top w:val="nil"/>
              <w:left w:val="nil"/>
              <w:bottom w:val="single" w:sz="4" w:space="0" w:color="auto"/>
              <w:right w:val="single" w:sz="4" w:space="0" w:color="auto"/>
            </w:tcBorders>
            <w:vAlign w:val="center"/>
            <w:hideMark/>
          </w:tcPr>
          <w:p w14:paraId="6CB3387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150,290</w:t>
            </w:r>
          </w:p>
        </w:tc>
      </w:tr>
      <w:tr w:rsidR="00F90461" w14:paraId="010BB08B" w14:textId="77777777" w:rsidTr="00FE5C31">
        <w:trPr>
          <w:trHeight w:val="154"/>
        </w:trPr>
        <w:tc>
          <w:tcPr>
            <w:tcW w:w="2155" w:type="dxa"/>
            <w:tcBorders>
              <w:top w:val="nil"/>
              <w:left w:val="single" w:sz="4" w:space="0" w:color="auto"/>
              <w:bottom w:val="single" w:sz="4" w:space="0" w:color="auto"/>
              <w:right w:val="single" w:sz="4" w:space="0" w:color="auto"/>
            </w:tcBorders>
            <w:vAlign w:val="center"/>
            <w:hideMark/>
          </w:tcPr>
          <w:p w14:paraId="6BE64F4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Bhutan</w:t>
            </w:r>
          </w:p>
        </w:tc>
        <w:tc>
          <w:tcPr>
            <w:tcW w:w="1440" w:type="dxa"/>
            <w:tcBorders>
              <w:top w:val="nil"/>
              <w:left w:val="nil"/>
              <w:bottom w:val="single" w:sz="4" w:space="0" w:color="auto"/>
              <w:right w:val="single" w:sz="4" w:space="0" w:color="auto"/>
            </w:tcBorders>
            <w:vAlign w:val="center"/>
            <w:hideMark/>
          </w:tcPr>
          <w:p w14:paraId="7D7D0F3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1BEA87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25,000</w:t>
            </w:r>
          </w:p>
        </w:tc>
        <w:tc>
          <w:tcPr>
            <w:tcW w:w="1890" w:type="dxa"/>
            <w:tcBorders>
              <w:top w:val="nil"/>
              <w:left w:val="nil"/>
              <w:bottom w:val="single" w:sz="4" w:space="0" w:color="auto"/>
              <w:right w:val="single" w:sz="4" w:space="0" w:color="auto"/>
            </w:tcBorders>
            <w:vAlign w:val="center"/>
            <w:hideMark/>
          </w:tcPr>
          <w:p w14:paraId="4A50FF0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1,750</w:t>
            </w:r>
          </w:p>
        </w:tc>
        <w:tc>
          <w:tcPr>
            <w:tcW w:w="1800" w:type="dxa"/>
            <w:tcBorders>
              <w:top w:val="nil"/>
              <w:left w:val="nil"/>
              <w:bottom w:val="single" w:sz="4" w:space="0" w:color="auto"/>
              <w:right w:val="single" w:sz="4" w:space="0" w:color="auto"/>
            </w:tcBorders>
            <w:vAlign w:val="center"/>
            <w:hideMark/>
          </w:tcPr>
          <w:p w14:paraId="20553CD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26,750</w:t>
            </w:r>
          </w:p>
        </w:tc>
      </w:tr>
      <w:tr w:rsidR="00F90461" w14:paraId="2E876661"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38806CF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Bhutan</w:t>
            </w:r>
          </w:p>
        </w:tc>
        <w:tc>
          <w:tcPr>
            <w:tcW w:w="1440" w:type="dxa"/>
            <w:tcBorders>
              <w:top w:val="nil"/>
              <w:left w:val="nil"/>
              <w:bottom w:val="single" w:sz="4" w:space="0" w:color="auto"/>
              <w:right w:val="single" w:sz="4" w:space="0" w:color="auto"/>
            </w:tcBorders>
            <w:vAlign w:val="center"/>
            <w:hideMark/>
          </w:tcPr>
          <w:p w14:paraId="31E0D02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89DD1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75,000</w:t>
            </w:r>
          </w:p>
        </w:tc>
        <w:tc>
          <w:tcPr>
            <w:tcW w:w="1890" w:type="dxa"/>
            <w:tcBorders>
              <w:top w:val="nil"/>
              <w:left w:val="nil"/>
              <w:bottom w:val="single" w:sz="4" w:space="0" w:color="auto"/>
              <w:right w:val="single" w:sz="4" w:space="0" w:color="auto"/>
            </w:tcBorders>
            <w:vAlign w:val="center"/>
            <w:hideMark/>
          </w:tcPr>
          <w:p w14:paraId="798AD9D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9,750</w:t>
            </w:r>
          </w:p>
        </w:tc>
        <w:tc>
          <w:tcPr>
            <w:tcW w:w="1800" w:type="dxa"/>
            <w:tcBorders>
              <w:top w:val="nil"/>
              <w:left w:val="nil"/>
              <w:bottom w:val="single" w:sz="4" w:space="0" w:color="auto"/>
              <w:right w:val="single" w:sz="4" w:space="0" w:color="auto"/>
            </w:tcBorders>
            <w:vAlign w:val="center"/>
            <w:hideMark/>
          </w:tcPr>
          <w:p w14:paraId="5ED50E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84,750</w:t>
            </w:r>
          </w:p>
        </w:tc>
      </w:tr>
      <w:tr w:rsidR="00F90461" w14:paraId="62CD9897"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1B6F503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Bolivia</w:t>
            </w:r>
          </w:p>
        </w:tc>
        <w:tc>
          <w:tcPr>
            <w:tcW w:w="1440" w:type="dxa"/>
            <w:tcBorders>
              <w:top w:val="nil"/>
              <w:left w:val="nil"/>
              <w:bottom w:val="single" w:sz="4" w:space="0" w:color="auto"/>
              <w:right w:val="single" w:sz="4" w:space="0" w:color="auto"/>
            </w:tcBorders>
            <w:vAlign w:val="center"/>
            <w:hideMark/>
          </w:tcPr>
          <w:p w14:paraId="1863F6B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DFC839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6B5087F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0B7D590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1CDD34F7" w14:textId="77777777" w:rsidTr="00FE5C31">
        <w:trPr>
          <w:trHeight w:val="528"/>
        </w:trPr>
        <w:tc>
          <w:tcPr>
            <w:tcW w:w="2155" w:type="dxa"/>
            <w:tcBorders>
              <w:top w:val="nil"/>
              <w:left w:val="single" w:sz="4" w:space="0" w:color="auto"/>
              <w:bottom w:val="single" w:sz="4" w:space="0" w:color="auto"/>
              <w:right w:val="single" w:sz="4" w:space="0" w:color="auto"/>
            </w:tcBorders>
            <w:vAlign w:val="center"/>
            <w:hideMark/>
          </w:tcPr>
          <w:p w14:paraId="0463CF6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Bosnia and Herzegovina</w:t>
            </w:r>
          </w:p>
        </w:tc>
        <w:tc>
          <w:tcPr>
            <w:tcW w:w="1440" w:type="dxa"/>
            <w:tcBorders>
              <w:top w:val="nil"/>
              <w:left w:val="nil"/>
              <w:bottom w:val="single" w:sz="4" w:space="0" w:color="auto"/>
              <w:right w:val="single" w:sz="4" w:space="0" w:color="auto"/>
            </w:tcBorders>
            <w:vAlign w:val="center"/>
            <w:hideMark/>
          </w:tcPr>
          <w:p w14:paraId="041816C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B2FB0C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5F9CC6B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1C8106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139,100</w:t>
            </w:r>
          </w:p>
        </w:tc>
      </w:tr>
      <w:tr w:rsidR="00F90461" w14:paraId="6B8E359C"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6D4596C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Botswana</w:t>
            </w:r>
          </w:p>
        </w:tc>
        <w:tc>
          <w:tcPr>
            <w:tcW w:w="1440" w:type="dxa"/>
            <w:tcBorders>
              <w:top w:val="nil"/>
              <w:left w:val="nil"/>
              <w:bottom w:val="single" w:sz="4" w:space="0" w:color="auto"/>
              <w:right w:val="single" w:sz="4" w:space="0" w:color="auto"/>
            </w:tcBorders>
            <w:vAlign w:val="center"/>
            <w:hideMark/>
          </w:tcPr>
          <w:p w14:paraId="21B6798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06223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7FE60F8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37EF1F3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7F76F881"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49AB825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Botswana</w:t>
            </w:r>
          </w:p>
        </w:tc>
        <w:tc>
          <w:tcPr>
            <w:tcW w:w="1440" w:type="dxa"/>
            <w:tcBorders>
              <w:top w:val="nil"/>
              <w:left w:val="nil"/>
              <w:bottom w:val="single" w:sz="4" w:space="0" w:color="auto"/>
              <w:right w:val="single" w:sz="4" w:space="0" w:color="auto"/>
            </w:tcBorders>
            <w:vAlign w:val="center"/>
            <w:hideMark/>
          </w:tcPr>
          <w:p w14:paraId="53B3B6A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072A18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38AB536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1FAB08A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193A1EC8" w14:textId="77777777" w:rsidTr="00FE5C31">
        <w:trPr>
          <w:trHeight w:val="154"/>
        </w:trPr>
        <w:tc>
          <w:tcPr>
            <w:tcW w:w="2155" w:type="dxa"/>
            <w:tcBorders>
              <w:top w:val="nil"/>
              <w:left w:val="single" w:sz="4" w:space="0" w:color="auto"/>
              <w:bottom w:val="single" w:sz="4" w:space="0" w:color="auto"/>
              <w:right w:val="single" w:sz="4" w:space="0" w:color="auto"/>
            </w:tcBorders>
            <w:vAlign w:val="center"/>
            <w:hideMark/>
          </w:tcPr>
          <w:p w14:paraId="12285BE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Brazil</w:t>
            </w:r>
          </w:p>
        </w:tc>
        <w:tc>
          <w:tcPr>
            <w:tcW w:w="1440" w:type="dxa"/>
            <w:tcBorders>
              <w:top w:val="nil"/>
              <w:left w:val="nil"/>
              <w:bottom w:val="single" w:sz="4" w:space="0" w:color="auto"/>
              <w:right w:val="single" w:sz="4" w:space="0" w:color="auto"/>
            </w:tcBorders>
            <w:vAlign w:val="center"/>
            <w:hideMark/>
          </w:tcPr>
          <w:p w14:paraId="315AB49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7FCFC2F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890" w:type="dxa"/>
            <w:tcBorders>
              <w:top w:val="nil"/>
              <w:left w:val="nil"/>
              <w:bottom w:val="single" w:sz="4" w:space="0" w:color="auto"/>
              <w:right w:val="single" w:sz="4" w:space="0" w:color="auto"/>
            </w:tcBorders>
            <w:vAlign w:val="center"/>
            <w:hideMark/>
          </w:tcPr>
          <w:p w14:paraId="6078BA4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5,200</w:t>
            </w:r>
          </w:p>
        </w:tc>
        <w:tc>
          <w:tcPr>
            <w:tcW w:w="1800" w:type="dxa"/>
            <w:tcBorders>
              <w:top w:val="nil"/>
              <w:left w:val="nil"/>
              <w:bottom w:val="single" w:sz="4" w:space="0" w:color="auto"/>
              <w:right w:val="single" w:sz="4" w:space="0" w:color="auto"/>
            </w:tcBorders>
            <w:vAlign w:val="center"/>
            <w:hideMark/>
          </w:tcPr>
          <w:p w14:paraId="128F298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45,200</w:t>
            </w:r>
          </w:p>
        </w:tc>
      </w:tr>
      <w:tr w:rsidR="00F90461" w14:paraId="3BAF2B17"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65BB8B3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Brazil</w:t>
            </w:r>
          </w:p>
        </w:tc>
        <w:tc>
          <w:tcPr>
            <w:tcW w:w="1440" w:type="dxa"/>
            <w:tcBorders>
              <w:top w:val="nil"/>
              <w:left w:val="nil"/>
              <w:bottom w:val="single" w:sz="4" w:space="0" w:color="auto"/>
              <w:right w:val="single" w:sz="4" w:space="0" w:color="auto"/>
            </w:tcBorders>
            <w:vAlign w:val="center"/>
            <w:hideMark/>
          </w:tcPr>
          <w:p w14:paraId="66D97FE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10D55A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63,500</w:t>
            </w:r>
          </w:p>
        </w:tc>
        <w:tc>
          <w:tcPr>
            <w:tcW w:w="1890" w:type="dxa"/>
            <w:tcBorders>
              <w:top w:val="nil"/>
              <w:left w:val="nil"/>
              <w:bottom w:val="single" w:sz="4" w:space="0" w:color="auto"/>
              <w:right w:val="single" w:sz="4" w:space="0" w:color="auto"/>
            </w:tcBorders>
            <w:vAlign w:val="center"/>
            <w:hideMark/>
          </w:tcPr>
          <w:p w14:paraId="379AD39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4,445</w:t>
            </w:r>
          </w:p>
        </w:tc>
        <w:tc>
          <w:tcPr>
            <w:tcW w:w="1800" w:type="dxa"/>
            <w:tcBorders>
              <w:top w:val="nil"/>
              <w:left w:val="nil"/>
              <w:bottom w:val="single" w:sz="4" w:space="0" w:color="auto"/>
              <w:right w:val="single" w:sz="4" w:space="0" w:color="auto"/>
            </w:tcBorders>
            <w:vAlign w:val="center"/>
            <w:hideMark/>
          </w:tcPr>
          <w:p w14:paraId="49B4E48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67,945</w:t>
            </w:r>
          </w:p>
        </w:tc>
      </w:tr>
      <w:tr w:rsidR="00F90461" w14:paraId="2E511F14"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4A14DF5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Brazil</w:t>
            </w:r>
          </w:p>
        </w:tc>
        <w:tc>
          <w:tcPr>
            <w:tcW w:w="1440" w:type="dxa"/>
            <w:tcBorders>
              <w:top w:val="nil"/>
              <w:left w:val="nil"/>
              <w:bottom w:val="single" w:sz="4" w:space="0" w:color="auto"/>
              <w:right w:val="single" w:sz="4" w:space="0" w:color="auto"/>
            </w:tcBorders>
            <w:vAlign w:val="center"/>
            <w:hideMark/>
          </w:tcPr>
          <w:p w14:paraId="1DC9834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6BDC66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126,500</w:t>
            </w:r>
          </w:p>
        </w:tc>
        <w:tc>
          <w:tcPr>
            <w:tcW w:w="1890" w:type="dxa"/>
            <w:tcBorders>
              <w:top w:val="nil"/>
              <w:left w:val="nil"/>
              <w:bottom w:val="single" w:sz="4" w:space="0" w:color="auto"/>
              <w:right w:val="single" w:sz="4" w:space="0" w:color="auto"/>
            </w:tcBorders>
            <w:vAlign w:val="center"/>
            <w:hideMark/>
          </w:tcPr>
          <w:p w14:paraId="4971638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8,855</w:t>
            </w:r>
          </w:p>
        </w:tc>
        <w:tc>
          <w:tcPr>
            <w:tcW w:w="1800" w:type="dxa"/>
            <w:tcBorders>
              <w:top w:val="nil"/>
              <w:left w:val="nil"/>
              <w:bottom w:val="single" w:sz="4" w:space="0" w:color="auto"/>
              <w:right w:val="single" w:sz="4" w:space="0" w:color="auto"/>
            </w:tcBorders>
            <w:vAlign w:val="center"/>
            <w:hideMark/>
          </w:tcPr>
          <w:p w14:paraId="1E04843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135,355</w:t>
            </w:r>
          </w:p>
        </w:tc>
      </w:tr>
      <w:tr w:rsidR="00F90461" w14:paraId="1DE51799" w14:textId="77777777" w:rsidTr="00924C53">
        <w:trPr>
          <w:trHeight w:val="310"/>
        </w:trPr>
        <w:tc>
          <w:tcPr>
            <w:tcW w:w="2155" w:type="dxa"/>
            <w:tcBorders>
              <w:top w:val="nil"/>
              <w:left w:val="single" w:sz="4" w:space="0" w:color="auto"/>
              <w:bottom w:val="single" w:sz="4" w:space="0" w:color="auto"/>
              <w:right w:val="single" w:sz="4" w:space="0" w:color="auto"/>
            </w:tcBorders>
            <w:vAlign w:val="center"/>
            <w:hideMark/>
          </w:tcPr>
          <w:p w14:paraId="792207B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Brunei Darussalam</w:t>
            </w:r>
          </w:p>
        </w:tc>
        <w:tc>
          <w:tcPr>
            <w:tcW w:w="1440" w:type="dxa"/>
            <w:tcBorders>
              <w:top w:val="nil"/>
              <w:left w:val="nil"/>
              <w:bottom w:val="single" w:sz="4" w:space="0" w:color="auto"/>
              <w:right w:val="single" w:sz="4" w:space="0" w:color="auto"/>
            </w:tcBorders>
            <w:vAlign w:val="center"/>
            <w:hideMark/>
          </w:tcPr>
          <w:p w14:paraId="298F2CA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4B10AF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46FE68B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2,450</w:t>
            </w:r>
          </w:p>
        </w:tc>
        <w:tc>
          <w:tcPr>
            <w:tcW w:w="1800" w:type="dxa"/>
            <w:tcBorders>
              <w:top w:val="nil"/>
              <w:left w:val="nil"/>
              <w:bottom w:val="single" w:sz="4" w:space="0" w:color="auto"/>
              <w:right w:val="single" w:sz="4" w:space="0" w:color="auto"/>
            </w:tcBorders>
            <w:vAlign w:val="center"/>
            <w:hideMark/>
          </w:tcPr>
          <w:p w14:paraId="29041D4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37,450</w:t>
            </w:r>
          </w:p>
        </w:tc>
      </w:tr>
      <w:tr w:rsidR="00F90461" w14:paraId="66EFC0D3" w14:textId="77777777" w:rsidTr="00924C53">
        <w:trPr>
          <w:trHeight w:val="272"/>
        </w:trPr>
        <w:tc>
          <w:tcPr>
            <w:tcW w:w="2155" w:type="dxa"/>
            <w:tcBorders>
              <w:top w:val="nil"/>
              <w:left w:val="single" w:sz="4" w:space="0" w:color="auto"/>
              <w:bottom w:val="single" w:sz="4" w:space="0" w:color="auto"/>
              <w:right w:val="single" w:sz="4" w:space="0" w:color="auto"/>
            </w:tcBorders>
            <w:vAlign w:val="center"/>
            <w:hideMark/>
          </w:tcPr>
          <w:p w14:paraId="78C70F6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Brunei Darussalam</w:t>
            </w:r>
          </w:p>
        </w:tc>
        <w:tc>
          <w:tcPr>
            <w:tcW w:w="1440" w:type="dxa"/>
            <w:tcBorders>
              <w:top w:val="nil"/>
              <w:left w:val="nil"/>
              <w:bottom w:val="single" w:sz="4" w:space="0" w:color="auto"/>
              <w:right w:val="single" w:sz="4" w:space="0" w:color="auto"/>
            </w:tcBorders>
            <w:vAlign w:val="center"/>
            <w:hideMark/>
          </w:tcPr>
          <w:p w14:paraId="07A63BC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F4F3F7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135,000</w:t>
            </w:r>
          </w:p>
        </w:tc>
        <w:tc>
          <w:tcPr>
            <w:tcW w:w="1890" w:type="dxa"/>
            <w:tcBorders>
              <w:top w:val="nil"/>
              <w:left w:val="nil"/>
              <w:bottom w:val="single" w:sz="4" w:space="0" w:color="auto"/>
              <w:right w:val="single" w:sz="4" w:space="0" w:color="auto"/>
            </w:tcBorders>
            <w:vAlign w:val="center"/>
            <w:hideMark/>
          </w:tcPr>
          <w:p w14:paraId="6E41B43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17,550</w:t>
            </w:r>
          </w:p>
        </w:tc>
        <w:tc>
          <w:tcPr>
            <w:tcW w:w="1800" w:type="dxa"/>
            <w:tcBorders>
              <w:top w:val="nil"/>
              <w:left w:val="nil"/>
              <w:bottom w:val="single" w:sz="4" w:space="0" w:color="auto"/>
              <w:right w:val="single" w:sz="4" w:space="0" w:color="auto"/>
            </w:tcBorders>
            <w:vAlign w:val="center"/>
            <w:hideMark/>
          </w:tcPr>
          <w:p w14:paraId="69AB2D2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152,550</w:t>
            </w:r>
          </w:p>
        </w:tc>
      </w:tr>
      <w:tr w:rsidR="00F90461" w14:paraId="1800A288" w14:textId="77777777" w:rsidTr="00FE5C31">
        <w:trPr>
          <w:trHeight w:val="154"/>
        </w:trPr>
        <w:tc>
          <w:tcPr>
            <w:tcW w:w="2155" w:type="dxa"/>
            <w:tcBorders>
              <w:top w:val="nil"/>
              <w:left w:val="single" w:sz="4" w:space="0" w:color="auto"/>
              <w:bottom w:val="single" w:sz="4" w:space="0" w:color="auto"/>
              <w:right w:val="single" w:sz="4" w:space="0" w:color="auto"/>
            </w:tcBorders>
            <w:vAlign w:val="center"/>
            <w:hideMark/>
          </w:tcPr>
          <w:p w14:paraId="16C55D6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Burkina Faso</w:t>
            </w:r>
          </w:p>
        </w:tc>
        <w:tc>
          <w:tcPr>
            <w:tcW w:w="1440" w:type="dxa"/>
            <w:tcBorders>
              <w:top w:val="nil"/>
              <w:left w:val="nil"/>
              <w:bottom w:val="single" w:sz="4" w:space="0" w:color="auto"/>
              <w:right w:val="single" w:sz="4" w:space="0" w:color="auto"/>
            </w:tcBorders>
            <w:vAlign w:val="center"/>
            <w:hideMark/>
          </w:tcPr>
          <w:p w14:paraId="2C9E2BB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4AFED9E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2DFA3A0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24,700</w:t>
            </w:r>
          </w:p>
        </w:tc>
        <w:tc>
          <w:tcPr>
            <w:tcW w:w="1800" w:type="dxa"/>
            <w:tcBorders>
              <w:top w:val="nil"/>
              <w:left w:val="nil"/>
              <w:bottom w:val="single" w:sz="4" w:space="0" w:color="auto"/>
              <w:right w:val="single" w:sz="4" w:space="0" w:color="auto"/>
            </w:tcBorders>
            <w:vAlign w:val="center"/>
            <w:hideMark/>
          </w:tcPr>
          <w:p w14:paraId="7390E07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214,700</w:t>
            </w:r>
          </w:p>
        </w:tc>
      </w:tr>
      <w:tr w:rsidR="00F90461" w14:paraId="3AF1344A"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6B67F8C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Burundi</w:t>
            </w:r>
          </w:p>
        </w:tc>
        <w:tc>
          <w:tcPr>
            <w:tcW w:w="1440" w:type="dxa"/>
            <w:tcBorders>
              <w:top w:val="nil"/>
              <w:left w:val="nil"/>
              <w:bottom w:val="single" w:sz="4" w:space="0" w:color="auto"/>
              <w:right w:val="single" w:sz="4" w:space="0" w:color="auto"/>
            </w:tcBorders>
            <w:vAlign w:val="center"/>
            <w:hideMark/>
          </w:tcPr>
          <w:p w14:paraId="0EBF94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66B8900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517A908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660723B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0C6786D9"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26FBF7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Burundi</w:t>
            </w:r>
          </w:p>
        </w:tc>
        <w:tc>
          <w:tcPr>
            <w:tcW w:w="1440" w:type="dxa"/>
            <w:tcBorders>
              <w:top w:val="nil"/>
              <w:left w:val="nil"/>
              <w:bottom w:val="single" w:sz="4" w:space="0" w:color="auto"/>
              <w:right w:val="single" w:sz="4" w:space="0" w:color="auto"/>
            </w:tcBorders>
            <w:vAlign w:val="center"/>
            <w:hideMark/>
          </w:tcPr>
          <w:p w14:paraId="2410339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C98AE2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285EF1A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5D687BF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51FD46CD"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7AACF27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Cambodia</w:t>
            </w:r>
          </w:p>
        </w:tc>
        <w:tc>
          <w:tcPr>
            <w:tcW w:w="1440" w:type="dxa"/>
            <w:tcBorders>
              <w:top w:val="nil"/>
              <w:left w:val="nil"/>
              <w:bottom w:val="single" w:sz="4" w:space="0" w:color="auto"/>
              <w:right w:val="single" w:sz="4" w:space="0" w:color="auto"/>
            </w:tcBorders>
            <w:vAlign w:val="center"/>
            <w:hideMark/>
          </w:tcPr>
          <w:p w14:paraId="57DDE16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761DB63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6CE333F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2,450</w:t>
            </w:r>
          </w:p>
        </w:tc>
        <w:tc>
          <w:tcPr>
            <w:tcW w:w="1800" w:type="dxa"/>
            <w:tcBorders>
              <w:top w:val="nil"/>
              <w:left w:val="nil"/>
              <w:bottom w:val="single" w:sz="4" w:space="0" w:color="auto"/>
              <w:right w:val="single" w:sz="4" w:space="0" w:color="auto"/>
            </w:tcBorders>
            <w:vAlign w:val="center"/>
            <w:hideMark/>
          </w:tcPr>
          <w:p w14:paraId="634E681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37,450</w:t>
            </w:r>
          </w:p>
        </w:tc>
      </w:tr>
      <w:tr w:rsidR="00F90461" w14:paraId="36CF695F"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7C9202A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Cambodia</w:t>
            </w:r>
          </w:p>
        </w:tc>
        <w:tc>
          <w:tcPr>
            <w:tcW w:w="1440" w:type="dxa"/>
            <w:tcBorders>
              <w:top w:val="nil"/>
              <w:left w:val="nil"/>
              <w:bottom w:val="single" w:sz="4" w:space="0" w:color="auto"/>
              <w:right w:val="single" w:sz="4" w:space="0" w:color="auto"/>
            </w:tcBorders>
            <w:vAlign w:val="center"/>
            <w:hideMark/>
          </w:tcPr>
          <w:p w14:paraId="087BEAB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4E8AE6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135,000</w:t>
            </w:r>
          </w:p>
        </w:tc>
        <w:tc>
          <w:tcPr>
            <w:tcW w:w="1890" w:type="dxa"/>
            <w:tcBorders>
              <w:top w:val="nil"/>
              <w:left w:val="nil"/>
              <w:bottom w:val="single" w:sz="4" w:space="0" w:color="auto"/>
              <w:right w:val="single" w:sz="4" w:space="0" w:color="auto"/>
            </w:tcBorders>
            <w:vAlign w:val="center"/>
            <w:hideMark/>
          </w:tcPr>
          <w:p w14:paraId="3D76535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17,550</w:t>
            </w:r>
          </w:p>
        </w:tc>
        <w:tc>
          <w:tcPr>
            <w:tcW w:w="1800" w:type="dxa"/>
            <w:tcBorders>
              <w:top w:val="nil"/>
              <w:left w:val="nil"/>
              <w:bottom w:val="single" w:sz="4" w:space="0" w:color="auto"/>
              <w:right w:val="single" w:sz="4" w:space="0" w:color="auto"/>
            </w:tcBorders>
            <w:vAlign w:val="center"/>
            <w:hideMark/>
          </w:tcPr>
          <w:p w14:paraId="7F673E5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152,550</w:t>
            </w:r>
          </w:p>
        </w:tc>
      </w:tr>
      <w:tr w:rsidR="00F90461" w14:paraId="2FF923EE"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4E0A2C5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Cameroon</w:t>
            </w:r>
          </w:p>
        </w:tc>
        <w:tc>
          <w:tcPr>
            <w:tcW w:w="1440" w:type="dxa"/>
            <w:tcBorders>
              <w:top w:val="nil"/>
              <w:left w:val="nil"/>
              <w:bottom w:val="single" w:sz="4" w:space="0" w:color="auto"/>
              <w:right w:val="single" w:sz="4" w:space="0" w:color="auto"/>
            </w:tcBorders>
            <w:vAlign w:val="center"/>
            <w:hideMark/>
          </w:tcPr>
          <w:p w14:paraId="7754D73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CD1DE6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6A4E0BE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4F2A97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1181B3A7" w14:textId="77777777" w:rsidTr="00FE5C31">
        <w:trPr>
          <w:trHeight w:val="145"/>
        </w:trPr>
        <w:tc>
          <w:tcPr>
            <w:tcW w:w="2155" w:type="dxa"/>
            <w:tcBorders>
              <w:top w:val="nil"/>
              <w:left w:val="single" w:sz="4" w:space="0" w:color="auto"/>
              <w:bottom w:val="single" w:sz="4" w:space="0" w:color="auto"/>
              <w:right w:val="single" w:sz="4" w:space="0" w:color="auto"/>
            </w:tcBorders>
            <w:vAlign w:val="center"/>
            <w:hideMark/>
          </w:tcPr>
          <w:p w14:paraId="03E4255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Cape Verde</w:t>
            </w:r>
          </w:p>
        </w:tc>
        <w:tc>
          <w:tcPr>
            <w:tcW w:w="1440" w:type="dxa"/>
            <w:tcBorders>
              <w:top w:val="nil"/>
              <w:left w:val="nil"/>
              <w:bottom w:val="single" w:sz="4" w:space="0" w:color="auto"/>
              <w:right w:val="single" w:sz="4" w:space="0" w:color="auto"/>
            </w:tcBorders>
            <w:vAlign w:val="center"/>
            <w:hideMark/>
          </w:tcPr>
          <w:p w14:paraId="6279908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CAAC35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6E15C0B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538E348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2240679A"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37D5BF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Chad</w:t>
            </w:r>
          </w:p>
        </w:tc>
        <w:tc>
          <w:tcPr>
            <w:tcW w:w="1440" w:type="dxa"/>
            <w:tcBorders>
              <w:top w:val="nil"/>
              <w:left w:val="nil"/>
              <w:bottom w:val="single" w:sz="4" w:space="0" w:color="auto"/>
              <w:right w:val="single" w:sz="4" w:space="0" w:color="auto"/>
            </w:tcBorders>
            <w:vAlign w:val="center"/>
            <w:hideMark/>
          </w:tcPr>
          <w:p w14:paraId="1E179D5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AFC2CA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074A144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3FF7D8A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0AB9FBC5"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1BD3310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Chad</w:t>
            </w:r>
          </w:p>
        </w:tc>
        <w:tc>
          <w:tcPr>
            <w:tcW w:w="1440" w:type="dxa"/>
            <w:tcBorders>
              <w:top w:val="nil"/>
              <w:left w:val="nil"/>
              <w:bottom w:val="single" w:sz="4" w:space="0" w:color="auto"/>
              <w:right w:val="single" w:sz="4" w:space="0" w:color="auto"/>
            </w:tcBorders>
            <w:vAlign w:val="center"/>
            <w:hideMark/>
          </w:tcPr>
          <w:p w14:paraId="100B8D5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263B03C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410BA3D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7699F0D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79A4DAD6"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1BFC71E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lastRenderedPageBreak/>
              <w:t>Chile</w:t>
            </w:r>
          </w:p>
        </w:tc>
        <w:tc>
          <w:tcPr>
            <w:tcW w:w="1440" w:type="dxa"/>
            <w:tcBorders>
              <w:top w:val="nil"/>
              <w:left w:val="nil"/>
              <w:bottom w:val="single" w:sz="4" w:space="0" w:color="auto"/>
              <w:right w:val="single" w:sz="4" w:space="0" w:color="auto"/>
            </w:tcBorders>
            <w:vAlign w:val="center"/>
            <w:hideMark/>
          </w:tcPr>
          <w:p w14:paraId="3EABAE9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B55F61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20,000</w:t>
            </w:r>
          </w:p>
        </w:tc>
        <w:tc>
          <w:tcPr>
            <w:tcW w:w="1890" w:type="dxa"/>
            <w:tcBorders>
              <w:top w:val="nil"/>
              <w:left w:val="nil"/>
              <w:bottom w:val="single" w:sz="4" w:space="0" w:color="auto"/>
              <w:right w:val="single" w:sz="4" w:space="0" w:color="auto"/>
            </w:tcBorders>
            <w:vAlign w:val="center"/>
            <w:hideMark/>
          </w:tcPr>
          <w:p w14:paraId="0BCE369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2,600</w:t>
            </w:r>
          </w:p>
        </w:tc>
        <w:tc>
          <w:tcPr>
            <w:tcW w:w="1800" w:type="dxa"/>
            <w:tcBorders>
              <w:top w:val="nil"/>
              <w:left w:val="nil"/>
              <w:bottom w:val="single" w:sz="4" w:space="0" w:color="auto"/>
              <w:right w:val="single" w:sz="4" w:space="0" w:color="auto"/>
            </w:tcBorders>
            <w:vAlign w:val="center"/>
            <w:hideMark/>
          </w:tcPr>
          <w:p w14:paraId="0110B96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22,600</w:t>
            </w:r>
          </w:p>
        </w:tc>
      </w:tr>
      <w:tr w:rsidR="00F90461" w14:paraId="1F755204"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446C35B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Chile</w:t>
            </w:r>
          </w:p>
        </w:tc>
        <w:tc>
          <w:tcPr>
            <w:tcW w:w="1440" w:type="dxa"/>
            <w:tcBorders>
              <w:top w:val="nil"/>
              <w:left w:val="nil"/>
              <w:bottom w:val="single" w:sz="4" w:space="0" w:color="auto"/>
              <w:right w:val="single" w:sz="4" w:space="0" w:color="auto"/>
            </w:tcBorders>
            <w:vAlign w:val="center"/>
            <w:hideMark/>
          </w:tcPr>
          <w:p w14:paraId="065550C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208849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6BD435D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4722DC9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2521D534"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72D8300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Colombia</w:t>
            </w:r>
          </w:p>
        </w:tc>
        <w:tc>
          <w:tcPr>
            <w:tcW w:w="1440" w:type="dxa"/>
            <w:tcBorders>
              <w:top w:val="nil"/>
              <w:left w:val="nil"/>
              <w:bottom w:val="single" w:sz="4" w:space="0" w:color="auto"/>
              <w:right w:val="single" w:sz="4" w:space="0" w:color="auto"/>
            </w:tcBorders>
            <w:vAlign w:val="center"/>
            <w:hideMark/>
          </w:tcPr>
          <w:p w14:paraId="6AB76EC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A22D53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4559720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1379078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1043E396" w14:textId="77777777" w:rsidTr="00FE5C31">
        <w:trPr>
          <w:trHeight w:val="118"/>
        </w:trPr>
        <w:tc>
          <w:tcPr>
            <w:tcW w:w="2155" w:type="dxa"/>
            <w:tcBorders>
              <w:top w:val="nil"/>
              <w:left w:val="single" w:sz="4" w:space="0" w:color="auto"/>
              <w:bottom w:val="single" w:sz="4" w:space="0" w:color="auto"/>
              <w:right w:val="single" w:sz="4" w:space="0" w:color="auto"/>
            </w:tcBorders>
            <w:vAlign w:val="center"/>
            <w:hideMark/>
          </w:tcPr>
          <w:p w14:paraId="1DFCF09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Colombia</w:t>
            </w:r>
          </w:p>
        </w:tc>
        <w:tc>
          <w:tcPr>
            <w:tcW w:w="1440" w:type="dxa"/>
            <w:tcBorders>
              <w:top w:val="nil"/>
              <w:left w:val="nil"/>
              <w:bottom w:val="single" w:sz="4" w:space="0" w:color="auto"/>
              <w:right w:val="single" w:sz="4" w:space="0" w:color="auto"/>
            </w:tcBorders>
            <w:vAlign w:val="center"/>
            <w:hideMark/>
          </w:tcPr>
          <w:p w14:paraId="0BA70D1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22AD768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70,000</w:t>
            </w:r>
          </w:p>
        </w:tc>
        <w:tc>
          <w:tcPr>
            <w:tcW w:w="1890" w:type="dxa"/>
            <w:tcBorders>
              <w:top w:val="nil"/>
              <w:left w:val="nil"/>
              <w:bottom w:val="single" w:sz="4" w:space="0" w:color="auto"/>
              <w:right w:val="single" w:sz="4" w:space="0" w:color="auto"/>
            </w:tcBorders>
            <w:vAlign w:val="center"/>
            <w:hideMark/>
          </w:tcPr>
          <w:p w14:paraId="73A9171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38E6FB4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79,100</w:t>
            </w:r>
          </w:p>
        </w:tc>
      </w:tr>
      <w:tr w:rsidR="00F90461" w14:paraId="55B358D8" w14:textId="77777777" w:rsidTr="00FE5C31">
        <w:trPr>
          <w:trHeight w:val="145"/>
        </w:trPr>
        <w:tc>
          <w:tcPr>
            <w:tcW w:w="2155" w:type="dxa"/>
            <w:tcBorders>
              <w:top w:val="nil"/>
              <w:left w:val="single" w:sz="4" w:space="0" w:color="auto"/>
              <w:bottom w:val="single" w:sz="4" w:space="0" w:color="auto"/>
              <w:right w:val="single" w:sz="4" w:space="0" w:color="auto"/>
            </w:tcBorders>
            <w:vAlign w:val="center"/>
            <w:hideMark/>
          </w:tcPr>
          <w:p w14:paraId="177EBBD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Colombia</w:t>
            </w:r>
          </w:p>
        </w:tc>
        <w:tc>
          <w:tcPr>
            <w:tcW w:w="1440" w:type="dxa"/>
            <w:tcBorders>
              <w:top w:val="nil"/>
              <w:left w:val="nil"/>
              <w:bottom w:val="single" w:sz="4" w:space="0" w:color="auto"/>
              <w:right w:val="single" w:sz="4" w:space="0" w:color="auto"/>
            </w:tcBorders>
            <w:vAlign w:val="center"/>
            <w:hideMark/>
          </w:tcPr>
          <w:p w14:paraId="73F8485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6FB54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50,000</w:t>
            </w:r>
          </w:p>
        </w:tc>
        <w:tc>
          <w:tcPr>
            <w:tcW w:w="1890" w:type="dxa"/>
            <w:tcBorders>
              <w:top w:val="nil"/>
              <w:left w:val="nil"/>
              <w:bottom w:val="single" w:sz="4" w:space="0" w:color="auto"/>
              <w:right w:val="single" w:sz="4" w:space="0" w:color="auto"/>
            </w:tcBorders>
            <w:vAlign w:val="center"/>
            <w:hideMark/>
          </w:tcPr>
          <w:p w14:paraId="42DBC27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w:t>
            </w:r>
          </w:p>
        </w:tc>
        <w:tc>
          <w:tcPr>
            <w:tcW w:w="1800" w:type="dxa"/>
            <w:tcBorders>
              <w:top w:val="nil"/>
              <w:left w:val="nil"/>
              <w:bottom w:val="single" w:sz="4" w:space="0" w:color="auto"/>
              <w:right w:val="single" w:sz="4" w:space="0" w:color="auto"/>
            </w:tcBorders>
            <w:vAlign w:val="center"/>
            <w:hideMark/>
          </w:tcPr>
          <w:p w14:paraId="03BF1C7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53,500</w:t>
            </w:r>
          </w:p>
        </w:tc>
      </w:tr>
      <w:tr w:rsidR="00F90461" w14:paraId="39DB808F" w14:textId="77777777" w:rsidTr="00FE5C31">
        <w:trPr>
          <w:trHeight w:val="91"/>
        </w:trPr>
        <w:tc>
          <w:tcPr>
            <w:tcW w:w="2155" w:type="dxa"/>
            <w:tcBorders>
              <w:top w:val="nil"/>
              <w:left w:val="single" w:sz="4" w:space="0" w:color="auto"/>
              <w:bottom w:val="single" w:sz="4" w:space="0" w:color="auto"/>
              <w:right w:val="single" w:sz="4" w:space="0" w:color="auto"/>
            </w:tcBorders>
            <w:vAlign w:val="center"/>
            <w:hideMark/>
          </w:tcPr>
          <w:p w14:paraId="5C6433F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Colombia</w:t>
            </w:r>
          </w:p>
        </w:tc>
        <w:tc>
          <w:tcPr>
            <w:tcW w:w="1440" w:type="dxa"/>
            <w:tcBorders>
              <w:top w:val="nil"/>
              <w:left w:val="nil"/>
              <w:bottom w:val="single" w:sz="4" w:space="0" w:color="auto"/>
              <w:right w:val="single" w:sz="4" w:space="0" w:color="auto"/>
            </w:tcBorders>
            <w:vAlign w:val="center"/>
            <w:hideMark/>
          </w:tcPr>
          <w:p w14:paraId="0B2AF20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994128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150,000</w:t>
            </w:r>
          </w:p>
        </w:tc>
        <w:tc>
          <w:tcPr>
            <w:tcW w:w="1890" w:type="dxa"/>
            <w:tcBorders>
              <w:top w:val="nil"/>
              <w:left w:val="nil"/>
              <w:bottom w:val="single" w:sz="4" w:space="0" w:color="auto"/>
              <w:right w:val="single" w:sz="4" w:space="0" w:color="auto"/>
            </w:tcBorders>
            <w:vAlign w:val="center"/>
            <w:hideMark/>
          </w:tcPr>
          <w:p w14:paraId="10983F1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10,500</w:t>
            </w:r>
          </w:p>
        </w:tc>
        <w:tc>
          <w:tcPr>
            <w:tcW w:w="1800" w:type="dxa"/>
            <w:tcBorders>
              <w:top w:val="nil"/>
              <w:left w:val="nil"/>
              <w:bottom w:val="single" w:sz="4" w:space="0" w:color="auto"/>
              <w:right w:val="single" w:sz="4" w:space="0" w:color="auto"/>
            </w:tcBorders>
            <w:vAlign w:val="center"/>
            <w:hideMark/>
          </w:tcPr>
          <w:p w14:paraId="3BB8C14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160,500</w:t>
            </w:r>
          </w:p>
        </w:tc>
      </w:tr>
      <w:tr w:rsidR="00F90461" w14:paraId="5DDD8C50"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34DFB78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Comoros</w:t>
            </w:r>
          </w:p>
        </w:tc>
        <w:tc>
          <w:tcPr>
            <w:tcW w:w="1440" w:type="dxa"/>
            <w:tcBorders>
              <w:top w:val="nil"/>
              <w:left w:val="nil"/>
              <w:bottom w:val="single" w:sz="4" w:space="0" w:color="auto"/>
              <w:right w:val="single" w:sz="4" w:space="0" w:color="auto"/>
            </w:tcBorders>
            <w:vAlign w:val="center"/>
            <w:hideMark/>
          </w:tcPr>
          <w:p w14:paraId="05909E1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80ECA3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100,000</w:t>
            </w:r>
          </w:p>
        </w:tc>
        <w:tc>
          <w:tcPr>
            <w:tcW w:w="1890" w:type="dxa"/>
            <w:tcBorders>
              <w:top w:val="nil"/>
              <w:left w:val="nil"/>
              <w:bottom w:val="single" w:sz="4" w:space="0" w:color="auto"/>
              <w:right w:val="single" w:sz="4" w:space="0" w:color="auto"/>
            </w:tcBorders>
            <w:vAlign w:val="center"/>
            <w:hideMark/>
          </w:tcPr>
          <w:p w14:paraId="0A6FF68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w:t>
            </w:r>
          </w:p>
        </w:tc>
        <w:tc>
          <w:tcPr>
            <w:tcW w:w="1800" w:type="dxa"/>
            <w:tcBorders>
              <w:top w:val="nil"/>
              <w:left w:val="nil"/>
              <w:bottom w:val="single" w:sz="4" w:space="0" w:color="auto"/>
              <w:right w:val="single" w:sz="4" w:space="0" w:color="auto"/>
            </w:tcBorders>
            <w:vAlign w:val="center"/>
            <w:hideMark/>
          </w:tcPr>
          <w:p w14:paraId="0452218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113,000</w:t>
            </w:r>
          </w:p>
        </w:tc>
      </w:tr>
      <w:tr w:rsidR="00F90461" w14:paraId="71CDE3B2" w14:textId="77777777" w:rsidTr="00FE5C31">
        <w:trPr>
          <w:trHeight w:val="145"/>
        </w:trPr>
        <w:tc>
          <w:tcPr>
            <w:tcW w:w="2155" w:type="dxa"/>
            <w:tcBorders>
              <w:top w:val="nil"/>
              <w:left w:val="single" w:sz="4" w:space="0" w:color="auto"/>
              <w:bottom w:val="single" w:sz="4" w:space="0" w:color="auto"/>
              <w:right w:val="single" w:sz="4" w:space="0" w:color="auto"/>
            </w:tcBorders>
            <w:vAlign w:val="center"/>
            <w:hideMark/>
          </w:tcPr>
          <w:p w14:paraId="175CC97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Congo</w:t>
            </w:r>
          </w:p>
        </w:tc>
        <w:tc>
          <w:tcPr>
            <w:tcW w:w="1440" w:type="dxa"/>
            <w:tcBorders>
              <w:top w:val="nil"/>
              <w:left w:val="nil"/>
              <w:bottom w:val="single" w:sz="4" w:space="0" w:color="auto"/>
              <w:right w:val="single" w:sz="4" w:space="0" w:color="auto"/>
            </w:tcBorders>
            <w:vAlign w:val="center"/>
            <w:hideMark/>
          </w:tcPr>
          <w:p w14:paraId="5DA952A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3D5105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5FE07F2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6,630</w:t>
            </w:r>
          </w:p>
        </w:tc>
        <w:tc>
          <w:tcPr>
            <w:tcW w:w="1800" w:type="dxa"/>
            <w:tcBorders>
              <w:top w:val="nil"/>
              <w:left w:val="nil"/>
              <w:bottom w:val="single" w:sz="4" w:space="0" w:color="auto"/>
              <w:right w:val="single" w:sz="4" w:space="0" w:color="auto"/>
            </w:tcBorders>
            <w:vAlign w:val="center"/>
            <w:hideMark/>
          </w:tcPr>
          <w:p w14:paraId="427A885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57,630</w:t>
            </w:r>
          </w:p>
        </w:tc>
      </w:tr>
      <w:tr w:rsidR="00F90461" w14:paraId="60CDEB7B"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02A51F4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Congo</w:t>
            </w:r>
          </w:p>
        </w:tc>
        <w:tc>
          <w:tcPr>
            <w:tcW w:w="1440" w:type="dxa"/>
            <w:tcBorders>
              <w:top w:val="nil"/>
              <w:left w:val="nil"/>
              <w:bottom w:val="single" w:sz="4" w:space="0" w:color="auto"/>
              <w:right w:val="single" w:sz="4" w:space="0" w:color="auto"/>
            </w:tcBorders>
            <w:vAlign w:val="center"/>
            <w:hideMark/>
          </w:tcPr>
          <w:p w14:paraId="13AE755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6D9209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72C42D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8,330</w:t>
            </w:r>
          </w:p>
        </w:tc>
        <w:tc>
          <w:tcPr>
            <w:tcW w:w="1800" w:type="dxa"/>
            <w:tcBorders>
              <w:top w:val="nil"/>
              <w:left w:val="nil"/>
              <w:bottom w:val="single" w:sz="4" w:space="0" w:color="auto"/>
              <w:right w:val="single" w:sz="4" w:space="0" w:color="auto"/>
            </w:tcBorders>
            <w:vAlign w:val="center"/>
            <w:hideMark/>
          </w:tcPr>
          <w:p w14:paraId="6B0CB02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127,330</w:t>
            </w:r>
          </w:p>
        </w:tc>
      </w:tr>
      <w:tr w:rsidR="00F90461" w14:paraId="4BE4AEFB"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56CFB38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Costa Rica</w:t>
            </w:r>
          </w:p>
        </w:tc>
        <w:tc>
          <w:tcPr>
            <w:tcW w:w="1440" w:type="dxa"/>
            <w:tcBorders>
              <w:top w:val="nil"/>
              <w:left w:val="nil"/>
              <w:bottom w:val="single" w:sz="4" w:space="0" w:color="auto"/>
              <w:right w:val="single" w:sz="4" w:space="0" w:color="auto"/>
            </w:tcBorders>
            <w:vAlign w:val="center"/>
            <w:hideMark/>
          </w:tcPr>
          <w:p w14:paraId="79267CA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489319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2E4051B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748C780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44DE9743"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1F19AD5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Cote D'Ivoire</w:t>
            </w:r>
          </w:p>
        </w:tc>
        <w:tc>
          <w:tcPr>
            <w:tcW w:w="1440" w:type="dxa"/>
            <w:tcBorders>
              <w:top w:val="nil"/>
              <w:left w:val="nil"/>
              <w:bottom w:val="single" w:sz="4" w:space="0" w:color="auto"/>
              <w:right w:val="single" w:sz="4" w:space="0" w:color="auto"/>
            </w:tcBorders>
            <w:vAlign w:val="center"/>
            <w:hideMark/>
          </w:tcPr>
          <w:p w14:paraId="371B105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44E7C2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57,000</w:t>
            </w:r>
          </w:p>
        </w:tc>
        <w:tc>
          <w:tcPr>
            <w:tcW w:w="1890" w:type="dxa"/>
            <w:tcBorders>
              <w:top w:val="nil"/>
              <w:left w:val="nil"/>
              <w:bottom w:val="single" w:sz="4" w:space="0" w:color="auto"/>
              <w:right w:val="single" w:sz="4" w:space="0" w:color="auto"/>
            </w:tcBorders>
            <w:vAlign w:val="center"/>
            <w:hideMark/>
          </w:tcPr>
          <w:p w14:paraId="71FD8D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3,990</w:t>
            </w:r>
          </w:p>
        </w:tc>
        <w:tc>
          <w:tcPr>
            <w:tcW w:w="1800" w:type="dxa"/>
            <w:tcBorders>
              <w:top w:val="nil"/>
              <w:left w:val="nil"/>
              <w:bottom w:val="single" w:sz="4" w:space="0" w:color="auto"/>
              <w:right w:val="single" w:sz="4" w:space="0" w:color="auto"/>
            </w:tcBorders>
            <w:vAlign w:val="center"/>
            <w:hideMark/>
          </w:tcPr>
          <w:p w14:paraId="272B581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60,990</w:t>
            </w:r>
          </w:p>
        </w:tc>
      </w:tr>
      <w:tr w:rsidR="00F90461" w14:paraId="6BF1CC82"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2A5DAE5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Cote D'Ivoire</w:t>
            </w:r>
          </w:p>
        </w:tc>
        <w:tc>
          <w:tcPr>
            <w:tcW w:w="1440" w:type="dxa"/>
            <w:tcBorders>
              <w:top w:val="nil"/>
              <w:left w:val="nil"/>
              <w:bottom w:val="single" w:sz="4" w:space="0" w:color="auto"/>
              <w:right w:val="single" w:sz="4" w:space="0" w:color="auto"/>
            </w:tcBorders>
            <w:vAlign w:val="center"/>
            <w:hideMark/>
          </w:tcPr>
          <w:p w14:paraId="66F5567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D038C9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133,000</w:t>
            </w:r>
          </w:p>
        </w:tc>
        <w:tc>
          <w:tcPr>
            <w:tcW w:w="1890" w:type="dxa"/>
            <w:tcBorders>
              <w:top w:val="nil"/>
              <w:left w:val="nil"/>
              <w:bottom w:val="single" w:sz="4" w:space="0" w:color="auto"/>
              <w:right w:val="single" w:sz="4" w:space="0" w:color="auto"/>
            </w:tcBorders>
            <w:vAlign w:val="center"/>
            <w:hideMark/>
          </w:tcPr>
          <w:p w14:paraId="3C3569E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17,290</w:t>
            </w:r>
          </w:p>
        </w:tc>
        <w:tc>
          <w:tcPr>
            <w:tcW w:w="1800" w:type="dxa"/>
            <w:tcBorders>
              <w:top w:val="nil"/>
              <w:left w:val="nil"/>
              <w:bottom w:val="single" w:sz="4" w:space="0" w:color="auto"/>
              <w:right w:val="single" w:sz="4" w:space="0" w:color="auto"/>
            </w:tcBorders>
            <w:vAlign w:val="center"/>
            <w:hideMark/>
          </w:tcPr>
          <w:p w14:paraId="682B9B4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150,290</w:t>
            </w:r>
          </w:p>
        </w:tc>
      </w:tr>
      <w:tr w:rsidR="00F90461" w14:paraId="2D34CAE8" w14:textId="77777777" w:rsidTr="00FE5C31">
        <w:trPr>
          <w:trHeight w:val="172"/>
        </w:trPr>
        <w:tc>
          <w:tcPr>
            <w:tcW w:w="2155" w:type="dxa"/>
            <w:tcBorders>
              <w:top w:val="nil"/>
              <w:left w:val="single" w:sz="4" w:space="0" w:color="auto"/>
              <w:bottom w:val="single" w:sz="4" w:space="0" w:color="auto"/>
              <w:right w:val="single" w:sz="4" w:space="0" w:color="auto"/>
            </w:tcBorders>
            <w:vAlign w:val="center"/>
            <w:hideMark/>
          </w:tcPr>
          <w:p w14:paraId="363F9AE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Cuba</w:t>
            </w:r>
          </w:p>
        </w:tc>
        <w:tc>
          <w:tcPr>
            <w:tcW w:w="1440" w:type="dxa"/>
            <w:tcBorders>
              <w:top w:val="nil"/>
              <w:left w:val="nil"/>
              <w:bottom w:val="single" w:sz="4" w:space="0" w:color="auto"/>
              <w:right w:val="single" w:sz="4" w:space="0" w:color="auto"/>
            </w:tcBorders>
            <w:vAlign w:val="center"/>
            <w:hideMark/>
          </w:tcPr>
          <w:p w14:paraId="412562C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24A8F1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115FF3F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291F34A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0AF175DA" w14:textId="77777777" w:rsidTr="00924C53">
        <w:trPr>
          <w:trHeight w:val="368"/>
        </w:trPr>
        <w:tc>
          <w:tcPr>
            <w:tcW w:w="2155" w:type="dxa"/>
            <w:tcBorders>
              <w:top w:val="nil"/>
              <w:left w:val="single" w:sz="4" w:space="0" w:color="auto"/>
              <w:bottom w:val="single" w:sz="4" w:space="0" w:color="auto"/>
              <w:right w:val="single" w:sz="4" w:space="0" w:color="auto"/>
            </w:tcBorders>
            <w:vAlign w:val="center"/>
            <w:hideMark/>
          </w:tcPr>
          <w:p w14:paraId="5D58FBF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Dominican Republic</w:t>
            </w:r>
          </w:p>
        </w:tc>
        <w:tc>
          <w:tcPr>
            <w:tcW w:w="1440" w:type="dxa"/>
            <w:tcBorders>
              <w:top w:val="nil"/>
              <w:left w:val="nil"/>
              <w:bottom w:val="single" w:sz="4" w:space="0" w:color="auto"/>
              <w:right w:val="single" w:sz="4" w:space="0" w:color="auto"/>
            </w:tcBorders>
            <w:vAlign w:val="center"/>
            <w:hideMark/>
          </w:tcPr>
          <w:p w14:paraId="39C85E0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6CCC83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092A390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33DB9BB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07984C97"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6C42F2C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Ecuador</w:t>
            </w:r>
          </w:p>
        </w:tc>
        <w:tc>
          <w:tcPr>
            <w:tcW w:w="1440" w:type="dxa"/>
            <w:tcBorders>
              <w:top w:val="nil"/>
              <w:left w:val="nil"/>
              <w:bottom w:val="single" w:sz="4" w:space="0" w:color="auto"/>
              <w:right w:val="single" w:sz="4" w:space="0" w:color="auto"/>
            </w:tcBorders>
            <w:vAlign w:val="center"/>
            <w:hideMark/>
          </w:tcPr>
          <w:p w14:paraId="5F689A2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AEFA11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6604BD8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5EE80F1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1FEBB7AB"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78BEDEC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Egypt</w:t>
            </w:r>
          </w:p>
        </w:tc>
        <w:tc>
          <w:tcPr>
            <w:tcW w:w="1440" w:type="dxa"/>
            <w:tcBorders>
              <w:top w:val="nil"/>
              <w:left w:val="nil"/>
              <w:bottom w:val="single" w:sz="4" w:space="0" w:color="auto"/>
              <w:right w:val="single" w:sz="4" w:space="0" w:color="auto"/>
            </w:tcBorders>
            <w:vAlign w:val="center"/>
            <w:hideMark/>
          </w:tcPr>
          <w:p w14:paraId="4D761CD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73C363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890" w:type="dxa"/>
            <w:tcBorders>
              <w:top w:val="nil"/>
              <w:left w:val="nil"/>
              <w:bottom w:val="single" w:sz="4" w:space="0" w:color="auto"/>
              <w:right w:val="single" w:sz="4" w:space="0" w:color="auto"/>
            </w:tcBorders>
            <w:vAlign w:val="center"/>
            <w:hideMark/>
          </w:tcPr>
          <w:p w14:paraId="6BF805D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2,800</w:t>
            </w:r>
          </w:p>
        </w:tc>
        <w:tc>
          <w:tcPr>
            <w:tcW w:w="1800" w:type="dxa"/>
            <w:tcBorders>
              <w:top w:val="nil"/>
              <w:left w:val="nil"/>
              <w:bottom w:val="single" w:sz="4" w:space="0" w:color="auto"/>
              <w:right w:val="single" w:sz="4" w:space="0" w:color="auto"/>
            </w:tcBorders>
            <w:vAlign w:val="center"/>
            <w:hideMark/>
          </w:tcPr>
          <w:p w14:paraId="2503DAC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42,800</w:t>
            </w:r>
          </w:p>
        </w:tc>
      </w:tr>
      <w:tr w:rsidR="00F90461" w14:paraId="418C7A8D"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30F1CC4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Egypt</w:t>
            </w:r>
          </w:p>
        </w:tc>
        <w:tc>
          <w:tcPr>
            <w:tcW w:w="1440" w:type="dxa"/>
            <w:tcBorders>
              <w:top w:val="nil"/>
              <w:left w:val="nil"/>
              <w:bottom w:val="single" w:sz="4" w:space="0" w:color="auto"/>
              <w:right w:val="single" w:sz="4" w:space="0" w:color="auto"/>
            </w:tcBorders>
            <w:vAlign w:val="center"/>
            <w:hideMark/>
          </w:tcPr>
          <w:p w14:paraId="4736794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FD6E56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180,000</w:t>
            </w:r>
          </w:p>
        </w:tc>
        <w:tc>
          <w:tcPr>
            <w:tcW w:w="1890" w:type="dxa"/>
            <w:tcBorders>
              <w:top w:val="nil"/>
              <w:left w:val="nil"/>
              <w:bottom w:val="single" w:sz="4" w:space="0" w:color="auto"/>
              <w:right w:val="single" w:sz="4" w:space="0" w:color="auto"/>
            </w:tcBorders>
            <w:vAlign w:val="center"/>
            <w:hideMark/>
          </w:tcPr>
          <w:p w14:paraId="422B164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12,600</w:t>
            </w:r>
          </w:p>
        </w:tc>
        <w:tc>
          <w:tcPr>
            <w:tcW w:w="1800" w:type="dxa"/>
            <w:tcBorders>
              <w:top w:val="nil"/>
              <w:left w:val="nil"/>
              <w:bottom w:val="single" w:sz="4" w:space="0" w:color="auto"/>
              <w:right w:val="single" w:sz="4" w:space="0" w:color="auto"/>
            </w:tcBorders>
            <w:vAlign w:val="center"/>
            <w:hideMark/>
          </w:tcPr>
          <w:p w14:paraId="0A03742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192,600</w:t>
            </w:r>
          </w:p>
        </w:tc>
      </w:tr>
      <w:tr w:rsidR="00F90461" w14:paraId="4566E1A1"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4546406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Egypt</w:t>
            </w:r>
          </w:p>
        </w:tc>
        <w:tc>
          <w:tcPr>
            <w:tcW w:w="1440" w:type="dxa"/>
            <w:tcBorders>
              <w:top w:val="nil"/>
              <w:left w:val="nil"/>
              <w:bottom w:val="single" w:sz="4" w:space="0" w:color="auto"/>
              <w:right w:val="single" w:sz="4" w:space="0" w:color="auto"/>
            </w:tcBorders>
            <w:vAlign w:val="center"/>
            <w:hideMark/>
          </w:tcPr>
          <w:p w14:paraId="3321665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35FF6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150,000</w:t>
            </w:r>
          </w:p>
        </w:tc>
        <w:tc>
          <w:tcPr>
            <w:tcW w:w="1890" w:type="dxa"/>
            <w:tcBorders>
              <w:top w:val="nil"/>
              <w:left w:val="nil"/>
              <w:bottom w:val="single" w:sz="4" w:space="0" w:color="auto"/>
              <w:right w:val="single" w:sz="4" w:space="0" w:color="auto"/>
            </w:tcBorders>
            <w:vAlign w:val="center"/>
            <w:hideMark/>
          </w:tcPr>
          <w:p w14:paraId="33904AA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10,500</w:t>
            </w:r>
          </w:p>
        </w:tc>
        <w:tc>
          <w:tcPr>
            <w:tcW w:w="1800" w:type="dxa"/>
            <w:tcBorders>
              <w:top w:val="nil"/>
              <w:left w:val="nil"/>
              <w:bottom w:val="single" w:sz="4" w:space="0" w:color="auto"/>
              <w:right w:val="single" w:sz="4" w:space="0" w:color="auto"/>
            </w:tcBorders>
            <w:vAlign w:val="center"/>
            <w:hideMark/>
          </w:tcPr>
          <w:p w14:paraId="418C7B6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160,500</w:t>
            </w:r>
          </w:p>
        </w:tc>
      </w:tr>
      <w:tr w:rsidR="00F90461" w14:paraId="7C6917EA" w14:textId="77777777" w:rsidTr="00FE5C31">
        <w:trPr>
          <w:trHeight w:val="199"/>
        </w:trPr>
        <w:tc>
          <w:tcPr>
            <w:tcW w:w="2155" w:type="dxa"/>
            <w:tcBorders>
              <w:top w:val="nil"/>
              <w:left w:val="single" w:sz="4" w:space="0" w:color="auto"/>
              <w:bottom w:val="single" w:sz="4" w:space="0" w:color="auto"/>
              <w:right w:val="single" w:sz="4" w:space="0" w:color="auto"/>
            </w:tcBorders>
            <w:vAlign w:val="center"/>
            <w:hideMark/>
          </w:tcPr>
          <w:p w14:paraId="16EAB4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El Salvador</w:t>
            </w:r>
          </w:p>
        </w:tc>
        <w:tc>
          <w:tcPr>
            <w:tcW w:w="1440" w:type="dxa"/>
            <w:tcBorders>
              <w:top w:val="nil"/>
              <w:left w:val="nil"/>
              <w:bottom w:val="single" w:sz="4" w:space="0" w:color="auto"/>
              <w:right w:val="single" w:sz="4" w:space="0" w:color="auto"/>
            </w:tcBorders>
            <w:vAlign w:val="center"/>
            <w:hideMark/>
          </w:tcPr>
          <w:p w14:paraId="452347B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758307A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3EC9792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5239546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1F5DD48D" w14:textId="77777777" w:rsidTr="00FE5C31">
        <w:trPr>
          <w:trHeight w:val="136"/>
        </w:trPr>
        <w:tc>
          <w:tcPr>
            <w:tcW w:w="2155" w:type="dxa"/>
            <w:tcBorders>
              <w:top w:val="nil"/>
              <w:left w:val="single" w:sz="4" w:space="0" w:color="auto"/>
              <w:bottom w:val="single" w:sz="4" w:space="0" w:color="auto"/>
              <w:right w:val="single" w:sz="4" w:space="0" w:color="auto"/>
            </w:tcBorders>
            <w:vAlign w:val="center"/>
            <w:hideMark/>
          </w:tcPr>
          <w:p w14:paraId="66C753E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Eritrea</w:t>
            </w:r>
          </w:p>
        </w:tc>
        <w:tc>
          <w:tcPr>
            <w:tcW w:w="1440" w:type="dxa"/>
            <w:tcBorders>
              <w:top w:val="nil"/>
              <w:left w:val="nil"/>
              <w:bottom w:val="single" w:sz="4" w:space="0" w:color="auto"/>
              <w:right w:val="single" w:sz="4" w:space="0" w:color="auto"/>
            </w:tcBorders>
            <w:vAlign w:val="center"/>
            <w:hideMark/>
          </w:tcPr>
          <w:p w14:paraId="07EBCF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C7B3C9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1ECF70D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17291D8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6293946F"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6DAFF4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Eritrea</w:t>
            </w:r>
          </w:p>
        </w:tc>
        <w:tc>
          <w:tcPr>
            <w:tcW w:w="1440" w:type="dxa"/>
            <w:tcBorders>
              <w:top w:val="nil"/>
              <w:left w:val="nil"/>
              <w:bottom w:val="single" w:sz="4" w:space="0" w:color="auto"/>
              <w:right w:val="single" w:sz="4" w:space="0" w:color="auto"/>
            </w:tcBorders>
            <w:vAlign w:val="center"/>
            <w:hideMark/>
          </w:tcPr>
          <w:p w14:paraId="123AED1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9A7105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192A597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08B6A98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443D15C6"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52B25D1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Eswatini</w:t>
            </w:r>
          </w:p>
        </w:tc>
        <w:tc>
          <w:tcPr>
            <w:tcW w:w="1440" w:type="dxa"/>
            <w:tcBorders>
              <w:top w:val="nil"/>
              <w:left w:val="nil"/>
              <w:bottom w:val="single" w:sz="4" w:space="0" w:color="auto"/>
              <w:right w:val="single" w:sz="4" w:space="0" w:color="auto"/>
            </w:tcBorders>
            <w:vAlign w:val="center"/>
            <w:hideMark/>
          </w:tcPr>
          <w:p w14:paraId="1FA9EB0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4A999A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09783AB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6470536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6FE61408" w14:textId="77777777" w:rsidTr="00FE5C31">
        <w:trPr>
          <w:trHeight w:val="226"/>
        </w:trPr>
        <w:tc>
          <w:tcPr>
            <w:tcW w:w="2155" w:type="dxa"/>
            <w:tcBorders>
              <w:top w:val="nil"/>
              <w:left w:val="single" w:sz="4" w:space="0" w:color="auto"/>
              <w:bottom w:val="single" w:sz="4" w:space="0" w:color="auto"/>
              <w:right w:val="single" w:sz="4" w:space="0" w:color="auto"/>
            </w:tcBorders>
            <w:vAlign w:val="center"/>
            <w:hideMark/>
          </w:tcPr>
          <w:p w14:paraId="767927F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Eswatini</w:t>
            </w:r>
          </w:p>
        </w:tc>
        <w:tc>
          <w:tcPr>
            <w:tcW w:w="1440" w:type="dxa"/>
            <w:tcBorders>
              <w:top w:val="nil"/>
              <w:left w:val="nil"/>
              <w:bottom w:val="single" w:sz="4" w:space="0" w:color="auto"/>
              <w:right w:val="single" w:sz="4" w:space="0" w:color="auto"/>
            </w:tcBorders>
            <w:vAlign w:val="center"/>
            <w:hideMark/>
          </w:tcPr>
          <w:p w14:paraId="20FF232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6F50CF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100,000</w:t>
            </w:r>
          </w:p>
        </w:tc>
        <w:tc>
          <w:tcPr>
            <w:tcW w:w="1890" w:type="dxa"/>
            <w:tcBorders>
              <w:top w:val="nil"/>
              <w:left w:val="nil"/>
              <w:bottom w:val="single" w:sz="4" w:space="0" w:color="auto"/>
              <w:right w:val="single" w:sz="4" w:space="0" w:color="auto"/>
            </w:tcBorders>
            <w:vAlign w:val="center"/>
            <w:hideMark/>
          </w:tcPr>
          <w:p w14:paraId="31FEA86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w:t>
            </w:r>
          </w:p>
        </w:tc>
        <w:tc>
          <w:tcPr>
            <w:tcW w:w="1800" w:type="dxa"/>
            <w:tcBorders>
              <w:top w:val="nil"/>
              <w:left w:val="nil"/>
              <w:bottom w:val="single" w:sz="4" w:space="0" w:color="auto"/>
              <w:right w:val="single" w:sz="4" w:space="0" w:color="auto"/>
            </w:tcBorders>
            <w:vAlign w:val="center"/>
            <w:hideMark/>
          </w:tcPr>
          <w:p w14:paraId="1190825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113,000</w:t>
            </w:r>
          </w:p>
        </w:tc>
      </w:tr>
      <w:tr w:rsidR="00F90461" w14:paraId="2FBC9C11"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689B667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Ethiopia</w:t>
            </w:r>
          </w:p>
        </w:tc>
        <w:tc>
          <w:tcPr>
            <w:tcW w:w="1440" w:type="dxa"/>
            <w:tcBorders>
              <w:top w:val="nil"/>
              <w:left w:val="nil"/>
              <w:bottom w:val="single" w:sz="4" w:space="0" w:color="auto"/>
              <w:right w:val="single" w:sz="4" w:space="0" w:color="auto"/>
            </w:tcBorders>
            <w:vAlign w:val="center"/>
            <w:hideMark/>
          </w:tcPr>
          <w:p w14:paraId="2CB71BA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7ABCA0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64714C0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697E5CD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0C2C032D"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1BC0A9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Ethiopia</w:t>
            </w:r>
          </w:p>
        </w:tc>
        <w:tc>
          <w:tcPr>
            <w:tcW w:w="1440" w:type="dxa"/>
            <w:tcBorders>
              <w:top w:val="nil"/>
              <w:left w:val="nil"/>
              <w:bottom w:val="single" w:sz="4" w:space="0" w:color="auto"/>
              <w:right w:val="single" w:sz="4" w:space="0" w:color="auto"/>
            </w:tcBorders>
            <w:vAlign w:val="center"/>
            <w:hideMark/>
          </w:tcPr>
          <w:p w14:paraId="55EF61E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B8CB2E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3FB8917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6B1C05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7CD41411"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0F8292B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Fiji</w:t>
            </w:r>
          </w:p>
        </w:tc>
        <w:tc>
          <w:tcPr>
            <w:tcW w:w="1440" w:type="dxa"/>
            <w:tcBorders>
              <w:top w:val="nil"/>
              <w:left w:val="nil"/>
              <w:bottom w:val="single" w:sz="4" w:space="0" w:color="auto"/>
              <w:right w:val="single" w:sz="4" w:space="0" w:color="auto"/>
            </w:tcBorders>
            <w:vAlign w:val="center"/>
            <w:hideMark/>
          </w:tcPr>
          <w:p w14:paraId="1F43474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3115B1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7BE11A7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4,550</w:t>
            </w:r>
          </w:p>
        </w:tc>
        <w:tc>
          <w:tcPr>
            <w:tcW w:w="1800" w:type="dxa"/>
            <w:tcBorders>
              <w:top w:val="nil"/>
              <w:left w:val="nil"/>
              <w:bottom w:val="single" w:sz="4" w:space="0" w:color="auto"/>
              <w:right w:val="single" w:sz="4" w:space="0" w:color="auto"/>
            </w:tcBorders>
            <w:vAlign w:val="center"/>
            <w:hideMark/>
          </w:tcPr>
          <w:p w14:paraId="05C1F4A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39,550</w:t>
            </w:r>
          </w:p>
        </w:tc>
      </w:tr>
      <w:tr w:rsidR="00F90461" w14:paraId="678ABFD2"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6F12C91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Fiji</w:t>
            </w:r>
          </w:p>
        </w:tc>
        <w:tc>
          <w:tcPr>
            <w:tcW w:w="1440" w:type="dxa"/>
            <w:tcBorders>
              <w:top w:val="nil"/>
              <w:left w:val="nil"/>
              <w:bottom w:val="single" w:sz="4" w:space="0" w:color="auto"/>
              <w:right w:val="single" w:sz="4" w:space="0" w:color="auto"/>
            </w:tcBorders>
            <w:vAlign w:val="center"/>
            <w:hideMark/>
          </w:tcPr>
          <w:p w14:paraId="3EBA179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428667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95,000</w:t>
            </w:r>
          </w:p>
        </w:tc>
        <w:tc>
          <w:tcPr>
            <w:tcW w:w="1890" w:type="dxa"/>
            <w:tcBorders>
              <w:top w:val="nil"/>
              <w:left w:val="nil"/>
              <w:bottom w:val="single" w:sz="4" w:space="0" w:color="auto"/>
              <w:right w:val="single" w:sz="4" w:space="0" w:color="auto"/>
            </w:tcBorders>
            <w:vAlign w:val="center"/>
            <w:hideMark/>
          </w:tcPr>
          <w:p w14:paraId="1CEF657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6,650</w:t>
            </w:r>
          </w:p>
        </w:tc>
        <w:tc>
          <w:tcPr>
            <w:tcW w:w="1800" w:type="dxa"/>
            <w:tcBorders>
              <w:top w:val="nil"/>
              <w:left w:val="nil"/>
              <w:bottom w:val="single" w:sz="4" w:space="0" w:color="auto"/>
              <w:right w:val="single" w:sz="4" w:space="0" w:color="auto"/>
            </w:tcBorders>
            <w:vAlign w:val="center"/>
            <w:hideMark/>
          </w:tcPr>
          <w:p w14:paraId="2714E46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101,650</w:t>
            </w:r>
          </w:p>
        </w:tc>
      </w:tr>
      <w:tr w:rsidR="00F90461" w14:paraId="11648316" w14:textId="77777777" w:rsidTr="00FE5C31">
        <w:trPr>
          <w:trHeight w:val="136"/>
        </w:trPr>
        <w:tc>
          <w:tcPr>
            <w:tcW w:w="2155" w:type="dxa"/>
            <w:tcBorders>
              <w:top w:val="nil"/>
              <w:left w:val="single" w:sz="4" w:space="0" w:color="auto"/>
              <w:bottom w:val="single" w:sz="4" w:space="0" w:color="auto"/>
              <w:right w:val="single" w:sz="4" w:space="0" w:color="auto"/>
            </w:tcBorders>
            <w:vAlign w:val="center"/>
            <w:hideMark/>
          </w:tcPr>
          <w:p w14:paraId="50EDBFE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Gabon</w:t>
            </w:r>
          </w:p>
        </w:tc>
        <w:tc>
          <w:tcPr>
            <w:tcW w:w="1440" w:type="dxa"/>
            <w:tcBorders>
              <w:top w:val="nil"/>
              <w:left w:val="nil"/>
              <w:bottom w:val="single" w:sz="4" w:space="0" w:color="auto"/>
              <w:right w:val="single" w:sz="4" w:space="0" w:color="auto"/>
            </w:tcBorders>
            <w:vAlign w:val="center"/>
            <w:hideMark/>
          </w:tcPr>
          <w:p w14:paraId="4BE8720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F6BB10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57,000</w:t>
            </w:r>
          </w:p>
        </w:tc>
        <w:tc>
          <w:tcPr>
            <w:tcW w:w="1890" w:type="dxa"/>
            <w:tcBorders>
              <w:top w:val="nil"/>
              <w:left w:val="nil"/>
              <w:bottom w:val="single" w:sz="4" w:space="0" w:color="auto"/>
              <w:right w:val="single" w:sz="4" w:space="0" w:color="auto"/>
            </w:tcBorders>
            <w:vAlign w:val="center"/>
            <w:hideMark/>
          </w:tcPr>
          <w:p w14:paraId="5173AA7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3,990</w:t>
            </w:r>
          </w:p>
        </w:tc>
        <w:tc>
          <w:tcPr>
            <w:tcW w:w="1800" w:type="dxa"/>
            <w:tcBorders>
              <w:top w:val="nil"/>
              <w:left w:val="nil"/>
              <w:bottom w:val="single" w:sz="4" w:space="0" w:color="auto"/>
              <w:right w:val="single" w:sz="4" w:space="0" w:color="auto"/>
            </w:tcBorders>
            <w:vAlign w:val="center"/>
            <w:hideMark/>
          </w:tcPr>
          <w:p w14:paraId="5D5E9AC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60,990</w:t>
            </w:r>
          </w:p>
        </w:tc>
      </w:tr>
      <w:tr w:rsidR="00F90461" w14:paraId="4E8921E2" w14:textId="77777777" w:rsidTr="00FE5C31">
        <w:trPr>
          <w:trHeight w:val="73"/>
        </w:trPr>
        <w:tc>
          <w:tcPr>
            <w:tcW w:w="2155" w:type="dxa"/>
            <w:tcBorders>
              <w:top w:val="nil"/>
              <w:left w:val="single" w:sz="4" w:space="0" w:color="auto"/>
              <w:bottom w:val="single" w:sz="4" w:space="0" w:color="auto"/>
              <w:right w:val="single" w:sz="4" w:space="0" w:color="auto"/>
            </w:tcBorders>
            <w:vAlign w:val="center"/>
            <w:hideMark/>
          </w:tcPr>
          <w:p w14:paraId="58059E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Gabon</w:t>
            </w:r>
          </w:p>
        </w:tc>
        <w:tc>
          <w:tcPr>
            <w:tcW w:w="1440" w:type="dxa"/>
            <w:tcBorders>
              <w:top w:val="nil"/>
              <w:left w:val="nil"/>
              <w:bottom w:val="single" w:sz="4" w:space="0" w:color="auto"/>
              <w:right w:val="single" w:sz="4" w:space="0" w:color="auto"/>
            </w:tcBorders>
            <w:vAlign w:val="center"/>
            <w:hideMark/>
          </w:tcPr>
          <w:p w14:paraId="6AA67D0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017C91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133,000</w:t>
            </w:r>
          </w:p>
        </w:tc>
        <w:tc>
          <w:tcPr>
            <w:tcW w:w="1890" w:type="dxa"/>
            <w:tcBorders>
              <w:top w:val="nil"/>
              <w:left w:val="nil"/>
              <w:bottom w:val="single" w:sz="4" w:space="0" w:color="auto"/>
              <w:right w:val="single" w:sz="4" w:space="0" w:color="auto"/>
            </w:tcBorders>
            <w:vAlign w:val="center"/>
            <w:hideMark/>
          </w:tcPr>
          <w:p w14:paraId="7B8962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17,290</w:t>
            </w:r>
          </w:p>
        </w:tc>
        <w:tc>
          <w:tcPr>
            <w:tcW w:w="1800" w:type="dxa"/>
            <w:tcBorders>
              <w:top w:val="nil"/>
              <w:left w:val="nil"/>
              <w:bottom w:val="single" w:sz="4" w:space="0" w:color="auto"/>
              <w:right w:val="single" w:sz="4" w:space="0" w:color="auto"/>
            </w:tcBorders>
            <w:vAlign w:val="center"/>
            <w:hideMark/>
          </w:tcPr>
          <w:p w14:paraId="608AF94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150,290</w:t>
            </w:r>
          </w:p>
        </w:tc>
      </w:tr>
      <w:tr w:rsidR="00F90461" w14:paraId="0C58E5FF"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DE5AAD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Gambia</w:t>
            </w:r>
          </w:p>
        </w:tc>
        <w:tc>
          <w:tcPr>
            <w:tcW w:w="1440" w:type="dxa"/>
            <w:tcBorders>
              <w:top w:val="nil"/>
              <w:left w:val="nil"/>
              <w:bottom w:val="single" w:sz="4" w:space="0" w:color="auto"/>
              <w:right w:val="single" w:sz="4" w:space="0" w:color="auto"/>
            </w:tcBorders>
            <w:vAlign w:val="center"/>
            <w:hideMark/>
          </w:tcPr>
          <w:p w14:paraId="6ED744A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5372B3E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726DA0E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72C1B56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3A4FA0D7"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497C165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Gambia</w:t>
            </w:r>
          </w:p>
        </w:tc>
        <w:tc>
          <w:tcPr>
            <w:tcW w:w="1440" w:type="dxa"/>
            <w:tcBorders>
              <w:top w:val="nil"/>
              <w:left w:val="nil"/>
              <w:bottom w:val="single" w:sz="4" w:space="0" w:color="auto"/>
              <w:right w:val="single" w:sz="4" w:space="0" w:color="auto"/>
            </w:tcBorders>
            <w:vAlign w:val="center"/>
            <w:hideMark/>
          </w:tcPr>
          <w:p w14:paraId="3871017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252C6A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1C9B5E3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0F7944C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4381C13D" w14:textId="77777777" w:rsidTr="00FE5C31">
        <w:trPr>
          <w:trHeight w:val="91"/>
        </w:trPr>
        <w:tc>
          <w:tcPr>
            <w:tcW w:w="2155" w:type="dxa"/>
            <w:tcBorders>
              <w:top w:val="nil"/>
              <w:left w:val="single" w:sz="4" w:space="0" w:color="auto"/>
              <w:bottom w:val="single" w:sz="4" w:space="0" w:color="auto"/>
              <w:right w:val="single" w:sz="4" w:space="0" w:color="auto"/>
            </w:tcBorders>
            <w:vAlign w:val="center"/>
            <w:hideMark/>
          </w:tcPr>
          <w:p w14:paraId="1BDA343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Georgia</w:t>
            </w:r>
          </w:p>
        </w:tc>
        <w:tc>
          <w:tcPr>
            <w:tcW w:w="1440" w:type="dxa"/>
            <w:tcBorders>
              <w:top w:val="nil"/>
              <w:left w:val="nil"/>
              <w:bottom w:val="single" w:sz="4" w:space="0" w:color="auto"/>
              <w:right w:val="single" w:sz="4" w:space="0" w:color="auto"/>
            </w:tcBorders>
            <w:vAlign w:val="center"/>
            <w:hideMark/>
          </w:tcPr>
          <w:p w14:paraId="1D111E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4D3D69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3DDCAB6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55A8B05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0B1B52BD" w14:textId="77777777" w:rsidTr="00FE5C31">
        <w:trPr>
          <w:trHeight w:val="127"/>
        </w:trPr>
        <w:tc>
          <w:tcPr>
            <w:tcW w:w="2155" w:type="dxa"/>
            <w:tcBorders>
              <w:top w:val="nil"/>
              <w:left w:val="single" w:sz="4" w:space="0" w:color="auto"/>
              <w:bottom w:val="single" w:sz="4" w:space="0" w:color="auto"/>
              <w:right w:val="single" w:sz="4" w:space="0" w:color="auto"/>
            </w:tcBorders>
            <w:vAlign w:val="center"/>
            <w:hideMark/>
          </w:tcPr>
          <w:p w14:paraId="63DF0D8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Ghana</w:t>
            </w:r>
          </w:p>
        </w:tc>
        <w:tc>
          <w:tcPr>
            <w:tcW w:w="1440" w:type="dxa"/>
            <w:tcBorders>
              <w:top w:val="nil"/>
              <w:left w:val="nil"/>
              <w:bottom w:val="single" w:sz="4" w:space="0" w:color="auto"/>
              <w:right w:val="single" w:sz="4" w:space="0" w:color="auto"/>
            </w:tcBorders>
            <w:vAlign w:val="center"/>
            <w:hideMark/>
          </w:tcPr>
          <w:p w14:paraId="7F1637F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26D4B8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60,000</w:t>
            </w:r>
          </w:p>
        </w:tc>
        <w:tc>
          <w:tcPr>
            <w:tcW w:w="1890" w:type="dxa"/>
            <w:tcBorders>
              <w:top w:val="nil"/>
              <w:left w:val="nil"/>
              <w:bottom w:val="single" w:sz="4" w:space="0" w:color="auto"/>
              <w:right w:val="single" w:sz="4" w:space="0" w:color="auto"/>
            </w:tcBorders>
            <w:vAlign w:val="center"/>
            <w:hideMark/>
          </w:tcPr>
          <w:p w14:paraId="05F85E2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7,800</w:t>
            </w:r>
          </w:p>
        </w:tc>
        <w:tc>
          <w:tcPr>
            <w:tcW w:w="1800" w:type="dxa"/>
            <w:tcBorders>
              <w:top w:val="nil"/>
              <w:left w:val="nil"/>
              <w:bottom w:val="single" w:sz="4" w:space="0" w:color="auto"/>
              <w:right w:val="single" w:sz="4" w:space="0" w:color="auto"/>
            </w:tcBorders>
            <w:vAlign w:val="center"/>
            <w:hideMark/>
          </w:tcPr>
          <w:p w14:paraId="2441CB2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67,800</w:t>
            </w:r>
          </w:p>
        </w:tc>
      </w:tr>
      <w:tr w:rsidR="00F90461" w14:paraId="1E9D730B" w14:textId="77777777" w:rsidTr="00FE5C31">
        <w:trPr>
          <w:trHeight w:val="244"/>
        </w:trPr>
        <w:tc>
          <w:tcPr>
            <w:tcW w:w="2155" w:type="dxa"/>
            <w:tcBorders>
              <w:top w:val="nil"/>
              <w:left w:val="single" w:sz="4" w:space="0" w:color="auto"/>
              <w:bottom w:val="single" w:sz="4" w:space="0" w:color="auto"/>
              <w:right w:val="single" w:sz="4" w:space="0" w:color="auto"/>
            </w:tcBorders>
            <w:vAlign w:val="center"/>
            <w:hideMark/>
          </w:tcPr>
          <w:p w14:paraId="3241DFA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Ghana</w:t>
            </w:r>
          </w:p>
        </w:tc>
        <w:tc>
          <w:tcPr>
            <w:tcW w:w="1440" w:type="dxa"/>
            <w:tcBorders>
              <w:top w:val="nil"/>
              <w:left w:val="nil"/>
              <w:bottom w:val="single" w:sz="4" w:space="0" w:color="auto"/>
              <w:right w:val="single" w:sz="4" w:space="0" w:color="auto"/>
            </w:tcBorders>
            <w:vAlign w:val="center"/>
            <w:hideMark/>
          </w:tcPr>
          <w:p w14:paraId="242DA59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6376EB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179F7E4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5CBB75A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139,100</w:t>
            </w:r>
          </w:p>
        </w:tc>
      </w:tr>
      <w:tr w:rsidR="00F90461" w14:paraId="49ECD215" w14:textId="77777777" w:rsidTr="00FE5C31">
        <w:trPr>
          <w:trHeight w:val="82"/>
        </w:trPr>
        <w:tc>
          <w:tcPr>
            <w:tcW w:w="2155" w:type="dxa"/>
            <w:tcBorders>
              <w:top w:val="nil"/>
              <w:left w:val="single" w:sz="4" w:space="0" w:color="auto"/>
              <w:bottom w:val="single" w:sz="4" w:space="0" w:color="auto"/>
              <w:right w:val="single" w:sz="4" w:space="0" w:color="auto"/>
            </w:tcBorders>
            <w:vAlign w:val="center"/>
            <w:hideMark/>
          </w:tcPr>
          <w:p w14:paraId="19532BA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Grenada</w:t>
            </w:r>
          </w:p>
        </w:tc>
        <w:tc>
          <w:tcPr>
            <w:tcW w:w="1440" w:type="dxa"/>
            <w:tcBorders>
              <w:top w:val="nil"/>
              <w:left w:val="nil"/>
              <w:bottom w:val="single" w:sz="4" w:space="0" w:color="auto"/>
              <w:right w:val="single" w:sz="4" w:space="0" w:color="auto"/>
            </w:tcBorders>
            <w:vAlign w:val="center"/>
            <w:hideMark/>
          </w:tcPr>
          <w:p w14:paraId="26BDE05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D55029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890" w:type="dxa"/>
            <w:tcBorders>
              <w:top w:val="nil"/>
              <w:left w:val="nil"/>
              <w:bottom w:val="single" w:sz="4" w:space="0" w:color="auto"/>
              <w:right w:val="single" w:sz="4" w:space="0" w:color="auto"/>
            </w:tcBorders>
            <w:vAlign w:val="center"/>
            <w:hideMark/>
          </w:tcPr>
          <w:p w14:paraId="2151142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2,800</w:t>
            </w:r>
          </w:p>
        </w:tc>
        <w:tc>
          <w:tcPr>
            <w:tcW w:w="1800" w:type="dxa"/>
            <w:tcBorders>
              <w:top w:val="nil"/>
              <w:left w:val="nil"/>
              <w:bottom w:val="single" w:sz="4" w:space="0" w:color="auto"/>
              <w:right w:val="single" w:sz="4" w:space="0" w:color="auto"/>
            </w:tcBorders>
            <w:vAlign w:val="center"/>
            <w:hideMark/>
          </w:tcPr>
          <w:p w14:paraId="3E7FDA7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42,800</w:t>
            </w:r>
          </w:p>
        </w:tc>
      </w:tr>
      <w:tr w:rsidR="00F90461" w14:paraId="78F78442"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1D445B1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Grenada</w:t>
            </w:r>
          </w:p>
        </w:tc>
        <w:tc>
          <w:tcPr>
            <w:tcW w:w="1440" w:type="dxa"/>
            <w:tcBorders>
              <w:top w:val="nil"/>
              <w:left w:val="nil"/>
              <w:bottom w:val="single" w:sz="4" w:space="0" w:color="auto"/>
              <w:right w:val="single" w:sz="4" w:space="0" w:color="auto"/>
            </w:tcBorders>
            <w:vAlign w:val="center"/>
            <w:hideMark/>
          </w:tcPr>
          <w:p w14:paraId="6266D3D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1DDB086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60,000</w:t>
            </w:r>
          </w:p>
        </w:tc>
        <w:tc>
          <w:tcPr>
            <w:tcW w:w="1890" w:type="dxa"/>
            <w:tcBorders>
              <w:top w:val="nil"/>
              <w:left w:val="nil"/>
              <w:bottom w:val="single" w:sz="4" w:space="0" w:color="auto"/>
              <w:right w:val="single" w:sz="4" w:space="0" w:color="auto"/>
            </w:tcBorders>
            <w:vAlign w:val="center"/>
            <w:hideMark/>
          </w:tcPr>
          <w:p w14:paraId="76DE0A9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7,800</w:t>
            </w:r>
          </w:p>
        </w:tc>
        <w:tc>
          <w:tcPr>
            <w:tcW w:w="1800" w:type="dxa"/>
            <w:tcBorders>
              <w:top w:val="nil"/>
              <w:left w:val="nil"/>
              <w:bottom w:val="single" w:sz="4" w:space="0" w:color="auto"/>
              <w:right w:val="single" w:sz="4" w:space="0" w:color="auto"/>
            </w:tcBorders>
            <w:vAlign w:val="center"/>
            <w:hideMark/>
          </w:tcPr>
          <w:p w14:paraId="3F49456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67,800</w:t>
            </w:r>
          </w:p>
        </w:tc>
      </w:tr>
      <w:tr w:rsidR="00F90461" w14:paraId="2F756E4D" w14:textId="77777777" w:rsidTr="00FE5C31">
        <w:trPr>
          <w:trHeight w:val="58"/>
        </w:trPr>
        <w:tc>
          <w:tcPr>
            <w:tcW w:w="2155" w:type="dxa"/>
            <w:tcBorders>
              <w:top w:val="nil"/>
              <w:left w:val="single" w:sz="4" w:space="0" w:color="auto"/>
              <w:bottom w:val="single" w:sz="4" w:space="0" w:color="auto"/>
              <w:right w:val="single" w:sz="4" w:space="0" w:color="auto"/>
            </w:tcBorders>
            <w:vAlign w:val="center"/>
            <w:hideMark/>
          </w:tcPr>
          <w:p w14:paraId="4A99D90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Guatemala</w:t>
            </w:r>
          </w:p>
        </w:tc>
        <w:tc>
          <w:tcPr>
            <w:tcW w:w="1440" w:type="dxa"/>
            <w:tcBorders>
              <w:top w:val="nil"/>
              <w:left w:val="nil"/>
              <w:bottom w:val="single" w:sz="4" w:space="0" w:color="auto"/>
              <w:right w:val="single" w:sz="4" w:space="0" w:color="auto"/>
            </w:tcBorders>
            <w:vAlign w:val="center"/>
            <w:hideMark/>
          </w:tcPr>
          <w:p w14:paraId="0B26CD1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A978B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52D0AA8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6,630</w:t>
            </w:r>
          </w:p>
        </w:tc>
        <w:tc>
          <w:tcPr>
            <w:tcW w:w="1800" w:type="dxa"/>
            <w:tcBorders>
              <w:top w:val="nil"/>
              <w:left w:val="nil"/>
              <w:bottom w:val="single" w:sz="4" w:space="0" w:color="auto"/>
              <w:right w:val="single" w:sz="4" w:space="0" w:color="auto"/>
            </w:tcBorders>
            <w:vAlign w:val="center"/>
            <w:hideMark/>
          </w:tcPr>
          <w:p w14:paraId="2A2A2FB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57,630</w:t>
            </w:r>
          </w:p>
        </w:tc>
      </w:tr>
      <w:tr w:rsidR="00F90461" w14:paraId="0527A382" w14:textId="77777777" w:rsidTr="00FE5C31">
        <w:trPr>
          <w:trHeight w:val="82"/>
        </w:trPr>
        <w:tc>
          <w:tcPr>
            <w:tcW w:w="2155" w:type="dxa"/>
            <w:tcBorders>
              <w:top w:val="nil"/>
              <w:left w:val="single" w:sz="4" w:space="0" w:color="auto"/>
              <w:bottom w:val="single" w:sz="4" w:space="0" w:color="auto"/>
              <w:right w:val="single" w:sz="4" w:space="0" w:color="auto"/>
            </w:tcBorders>
            <w:vAlign w:val="center"/>
            <w:hideMark/>
          </w:tcPr>
          <w:p w14:paraId="47154C4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Guatemala</w:t>
            </w:r>
          </w:p>
        </w:tc>
        <w:tc>
          <w:tcPr>
            <w:tcW w:w="1440" w:type="dxa"/>
            <w:tcBorders>
              <w:top w:val="nil"/>
              <w:left w:val="nil"/>
              <w:bottom w:val="single" w:sz="4" w:space="0" w:color="auto"/>
              <w:right w:val="single" w:sz="4" w:space="0" w:color="auto"/>
            </w:tcBorders>
            <w:vAlign w:val="center"/>
            <w:hideMark/>
          </w:tcPr>
          <w:p w14:paraId="171B09A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34DC2F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593DC7F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8,330</w:t>
            </w:r>
          </w:p>
        </w:tc>
        <w:tc>
          <w:tcPr>
            <w:tcW w:w="1800" w:type="dxa"/>
            <w:tcBorders>
              <w:top w:val="nil"/>
              <w:left w:val="nil"/>
              <w:bottom w:val="single" w:sz="4" w:space="0" w:color="auto"/>
              <w:right w:val="single" w:sz="4" w:space="0" w:color="auto"/>
            </w:tcBorders>
            <w:vAlign w:val="center"/>
            <w:hideMark/>
          </w:tcPr>
          <w:p w14:paraId="322D0BB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127,330</w:t>
            </w:r>
          </w:p>
        </w:tc>
      </w:tr>
      <w:tr w:rsidR="00F90461" w14:paraId="4978EF68"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CB869E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Guinea</w:t>
            </w:r>
          </w:p>
        </w:tc>
        <w:tc>
          <w:tcPr>
            <w:tcW w:w="1440" w:type="dxa"/>
            <w:tcBorders>
              <w:top w:val="nil"/>
              <w:left w:val="nil"/>
              <w:bottom w:val="single" w:sz="4" w:space="0" w:color="auto"/>
              <w:right w:val="single" w:sz="4" w:space="0" w:color="auto"/>
            </w:tcBorders>
            <w:vAlign w:val="center"/>
            <w:hideMark/>
          </w:tcPr>
          <w:p w14:paraId="29C374D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A65751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57,000</w:t>
            </w:r>
          </w:p>
        </w:tc>
        <w:tc>
          <w:tcPr>
            <w:tcW w:w="1890" w:type="dxa"/>
            <w:tcBorders>
              <w:top w:val="nil"/>
              <w:left w:val="nil"/>
              <w:bottom w:val="single" w:sz="4" w:space="0" w:color="auto"/>
              <w:right w:val="single" w:sz="4" w:space="0" w:color="auto"/>
            </w:tcBorders>
            <w:vAlign w:val="center"/>
            <w:hideMark/>
          </w:tcPr>
          <w:p w14:paraId="3149637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3,990</w:t>
            </w:r>
          </w:p>
        </w:tc>
        <w:tc>
          <w:tcPr>
            <w:tcW w:w="1800" w:type="dxa"/>
            <w:tcBorders>
              <w:top w:val="nil"/>
              <w:left w:val="nil"/>
              <w:bottom w:val="single" w:sz="4" w:space="0" w:color="auto"/>
              <w:right w:val="single" w:sz="4" w:space="0" w:color="auto"/>
            </w:tcBorders>
            <w:vAlign w:val="center"/>
            <w:hideMark/>
          </w:tcPr>
          <w:p w14:paraId="6779DF5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60,990</w:t>
            </w:r>
          </w:p>
        </w:tc>
      </w:tr>
      <w:tr w:rsidR="00F90461" w14:paraId="3D38D607"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3F853F7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Guinea</w:t>
            </w:r>
          </w:p>
        </w:tc>
        <w:tc>
          <w:tcPr>
            <w:tcW w:w="1440" w:type="dxa"/>
            <w:tcBorders>
              <w:top w:val="nil"/>
              <w:left w:val="nil"/>
              <w:bottom w:val="single" w:sz="4" w:space="0" w:color="auto"/>
              <w:right w:val="single" w:sz="4" w:space="0" w:color="auto"/>
            </w:tcBorders>
            <w:vAlign w:val="center"/>
            <w:hideMark/>
          </w:tcPr>
          <w:p w14:paraId="75E0E4D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FB8DF4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133,000</w:t>
            </w:r>
          </w:p>
        </w:tc>
        <w:tc>
          <w:tcPr>
            <w:tcW w:w="1890" w:type="dxa"/>
            <w:tcBorders>
              <w:top w:val="nil"/>
              <w:left w:val="nil"/>
              <w:bottom w:val="single" w:sz="4" w:space="0" w:color="auto"/>
              <w:right w:val="single" w:sz="4" w:space="0" w:color="auto"/>
            </w:tcBorders>
            <w:vAlign w:val="center"/>
            <w:hideMark/>
          </w:tcPr>
          <w:p w14:paraId="025B984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17,290</w:t>
            </w:r>
          </w:p>
        </w:tc>
        <w:tc>
          <w:tcPr>
            <w:tcW w:w="1800" w:type="dxa"/>
            <w:tcBorders>
              <w:top w:val="nil"/>
              <w:left w:val="nil"/>
              <w:bottom w:val="single" w:sz="4" w:space="0" w:color="auto"/>
              <w:right w:val="single" w:sz="4" w:space="0" w:color="auto"/>
            </w:tcBorders>
            <w:vAlign w:val="center"/>
            <w:hideMark/>
          </w:tcPr>
          <w:p w14:paraId="0EED35E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150,290</w:t>
            </w:r>
          </w:p>
        </w:tc>
      </w:tr>
      <w:tr w:rsidR="00F90461" w14:paraId="18B89C15" w14:textId="77777777" w:rsidTr="00FE5C31">
        <w:trPr>
          <w:trHeight w:val="100"/>
        </w:trPr>
        <w:tc>
          <w:tcPr>
            <w:tcW w:w="2155" w:type="dxa"/>
            <w:tcBorders>
              <w:top w:val="nil"/>
              <w:left w:val="single" w:sz="4" w:space="0" w:color="auto"/>
              <w:bottom w:val="single" w:sz="4" w:space="0" w:color="auto"/>
              <w:right w:val="single" w:sz="4" w:space="0" w:color="auto"/>
            </w:tcBorders>
            <w:vAlign w:val="center"/>
            <w:hideMark/>
          </w:tcPr>
          <w:p w14:paraId="48779A7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Guinea-Bissau</w:t>
            </w:r>
          </w:p>
        </w:tc>
        <w:tc>
          <w:tcPr>
            <w:tcW w:w="1440" w:type="dxa"/>
            <w:tcBorders>
              <w:top w:val="nil"/>
              <w:left w:val="nil"/>
              <w:bottom w:val="single" w:sz="4" w:space="0" w:color="auto"/>
              <w:right w:val="single" w:sz="4" w:space="0" w:color="auto"/>
            </w:tcBorders>
            <w:vAlign w:val="center"/>
            <w:hideMark/>
          </w:tcPr>
          <w:p w14:paraId="2F6EA65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2F05E4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1A5CA6C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6F75E3F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6CFCF3DA"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7D48A19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lastRenderedPageBreak/>
              <w:t>Guinea-Bissau</w:t>
            </w:r>
          </w:p>
        </w:tc>
        <w:tc>
          <w:tcPr>
            <w:tcW w:w="1440" w:type="dxa"/>
            <w:tcBorders>
              <w:top w:val="nil"/>
              <w:left w:val="nil"/>
              <w:bottom w:val="single" w:sz="4" w:space="0" w:color="auto"/>
              <w:right w:val="single" w:sz="4" w:space="0" w:color="auto"/>
            </w:tcBorders>
            <w:vAlign w:val="center"/>
            <w:hideMark/>
          </w:tcPr>
          <w:p w14:paraId="666B7D5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4B42CA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4F22B9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02435AB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56C8F50C"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3F23E15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Honduras</w:t>
            </w:r>
          </w:p>
        </w:tc>
        <w:tc>
          <w:tcPr>
            <w:tcW w:w="1440" w:type="dxa"/>
            <w:tcBorders>
              <w:top w:val="nil"/>
              <w:left w:val="nil"/>
              <w:bottom w:val="single" w:sz="4" w:space="0" w:color="auto"/>
              <w:right w:val="single" w:sz="4" w:space="0" w:color="auto"/>
            </w:tcBorders>
            <w:vAlign w:val="center"/>
            <w:hideMark/>
          </w:tcPr>
          <w:p w14:paraId="5E87B93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17D9563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07CC35C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40389C1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0AFAAED9"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766DAD4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689CF6B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8B1FC2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0F2297E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3D29E31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7FB65DE4"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4E12701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34639B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C48694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30FBA0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4036570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67C428C0" w14:textId="77777777" w:rsidTr="00FE5C31">
        <w:trPr>
          <w:trHeight w:val="199"/>
        </w:trPr>
        <w:tc>
          <w:tcPr>
            <w:tcW w:w="2155" w:type="dxa"/>
            <w:tcBorders>
              <w:top w:val="nil"/>
              <w:left w:val="single" w:sz="4" w:space="0" w:color="auto"/>
              <w:bottom w:val="single" w:sz="4" w:space="0" w:color="auto"/>
              <w:right w:val="single" w:sz="4" w:space="0" w:color="auto"/>
            </w:tcBorders>
            <w:vAlign w:val="center"/>
            <w:hideMark/>
          </w:tcPr>
          <w:p w14:paraId="123D01A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4975D11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7E4372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1923AE8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08EC2E9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66BB2975" w14:textId="77777777" w:rsidTr="00FE5C31">
        <w:trPr>
          <w:trHeight w:val="136"/>
        </w:trPr>
        <w:tc>
          <w:tcPr>
            <w:tcW w:w="2155" w:type="dxa"/>
            <w:tcBorders>
              <w:top w:val="nil"/>
              <w:left w:val="single" w:sz="4" w:space="0" w:color="auto"/>
              <w:bottom w:val="single" w:sz="4" w:space="0" w:color="auto"/>
              <w:right w:val="single" w:sz="4" w:space="0" w:color="auto"/>
            </w:tcBorders>
            <w:vAlign w:val="center"/>
            <w:hideMark/>
          </w:tcPr>
          <w:p w14:paraId="6B5C3C0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4C785A3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02A09A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27C160C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40AA779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75651543"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3532578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Indonesia</w:t>
            </w:r>
          </w:p>
        </w:tc>
        <w:tc>
          <w:tcPr>
            <w:tcW w:w="1440" w:type="dxa"/>
            <w:tcBorders>
              <w:top w:val="nil"/>
              <w:left w:val="nil"/>
              <w:bottom w:val="single" w:sz="4" w:space="0" w:color="auto"/>
              <w:right w:val="single" w:sz="4" w:space="0" w:color="auto"/>
            </w:tcBorders>
            <w:vAlign w:val="center"/>
            <w:hideMark/>
          </w:tcPr>
          <w:p w14:paraId="6754B0B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370BE15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5DD10C1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37CAAD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53589EF8"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41EDA13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Indonesia</w:t>
            </w:r>
          </w:p>
        </w:tc>
        <w:tc>
          <w:tcPr>
            <w:tcW w:w="1440" w:type="dxa"/>
            <w:tcBorders>
              <w:top w:val="nil"/>
              <w:left w:val="nil"/>
              <w:bottom w:val="single" w:sz="4" w:space="0" w:color="auto"/>
              <w:right w:val="single" w:sz="4" w:space="0" w:color="auto"/>
            </w:tcBorders>
            <w:vAlign w:val="center"/>
            <w:hideMark/>
          </w:tcPr>
          <w:p w14:paraId="544E171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52D8A6F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80,000</w:t>
            </w:r>
          </w:p>
        </w:tc>
        <w:tc>
          <w:tcPr>
            <w:tcW w:w="1890" w:type="dxa"/>
            <w:tcBorders>
              <w:top w:val="nil"/>
              <w:left w:val="nil"/>
              <w:bottom w:val="single" w:sz="4" w:space="0" w:color="auto"/>
              <w:right w:val="single" w:sz="4" w:space="0" w:color="auto"/>
            </w:tcBorders>
            <w:vAlign w:val="center"/>
            <w:hideMark/>
          </w:tcPr>
          <w:p w14:paraId="5C8A5B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5,600</w:t>
            </w:r>
          </w:p>
        </w:tc>
        <w:tc>
          <w:tcPr>
            <w:tcW w:w="1800" w:type="dxa"/>
            <w:tcBorders>
              <w:top w:val="nil"/>
              <w:left w:val="nil"/>
              <w:bottom w:val="single" w:sz="4" w:space="0" w:color="auto"/>
              <w:right w:val="single" w:sz="4" w:space="0" w:color="auto"/>
            </w:tcBorders>
            <w:vAlign w:val="center"/>
            <w:hideMark/>
          </w:tcPr>
          <w:p w14:paraId="42DA7F7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85,600</w:t>
            </w:r>
          </w:p>
        </w:tc>
      </w:tr>
      <w:tr w:rsidR="00F90461" w14:paraId="104042AB"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09D7666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Jordan</w:t>
            </w:r>
          </w:p>
        </w:tc>
        <w:tc>
          <w:tcPr>
            <w:tcW w:w="1440" w:type="dxa"/>
            <w:tcBorders>
              <w:top w:val="nil"/>
              <w:left w:val="nil"/>
              <w:bottom w:val="single" w:sz="4" w:space="0" w:color="auto"/>
              <w:right w:val="single" w:sz="4" w:space="0" w:color="auto"/>
            </w:tcBorders>
            <w:vAlign w:val="center"/>
            <w:hideMark/>
          </w:tcPr>
          <w:p w14:paraId="2780AD9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E8FBBA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3B1F4BB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3AA9697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475B41FB"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0C4A495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Kenya</w:t>
            </w:r>
          </w:p>
        </w:tc>
        <w:tc>
          <w:tcPr>
            <w:tcW w:w="1440" w:type="dxa"/>
            <w:tcBorders>
              <w:top w:val="nil"/>
              <w:left w:val="nil"/>
              <w:bottom w:val="single" w:sz="4" w:space="0" w:color="auto"/>
              <w:right w:val="single" w:sz="4" w:space="0" w:color="auto"/>
            </w:tcBorders>
            <w:vAlign w:val="center"/>
            <w:hideMark/>
          </w:tcPr>
          <w:p w14:paraId="18EBDFA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2BEEDB3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95,000</w:t>
            </w:r>
          </w:p>
        </w:tc>
        <w:tc>
          <w:tcPr>
            <w:tcW w:w="1890" w:type="dxa"/>
            <w:tcBorders>
              <w:top w:val="nil"/>
              <w:left w:val="nil"/>
              <w:bottom w:val="single" w:sz="4" w:space="0" w:color="auto"/>
              <w:right w:val="single" w:sz="4" w:space="0" w:color="auto"/>
            </w:tcBorders>
            <w:vAlign w:val="center"/>
            <w:hideMark/>
          </w:tcPr>
          <w:p w14:paraId="055D6C0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12,350</w:t>
            </w:r>
          </w:p>
        </w:tc>
        <w:tc>
          <w:tcPr>
            <w:tcW w:w="1800" w:type="dxa"/>
            <w:tcBorders>
              <w:top w:val="nil"/>
              <w:left w:val="nil"/>
              <w:bottom w:val="single" w:sz="4" w:space="0" w:color="auto"/>
              <w:right w:val="single" w:sz="4" w:space="0" w:color="auto"/>
            </w:tcBorders>
            <w:vAlign w:val="center"/>
            <w:hideMark/>
          </w:tcPr>
          <w:p w14:paraId="6C06439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107,350</w:t>
            </w:r>
          </w:p>
        </w:tc>
      </w:tr>
      <w:tr w:rsidR="00F90461" w14:paraId="2A93BD5D"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12FF237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Kenya</w:t>
            </w:r>
          </w:p>
        </w:tc>
        <w:tc>
          <w:tcPr>
            <w:tcW w:w="1440" w:type="dxa"/>
            <w:tcBorders>
              <w:top w:val="nil"/>
              <w:left w:val="nil"/>
              <w:bottom w:val="single" w:sz="4" w:space="0" w:color="auto"/>
              <w:right w:val="single" w:sz="4" w:space="0" w:color="auto"/>
            </w:tcBorders>
            <w:vAlign w:val="center"/>
            <w:hideMark/>
          </w:tcPr>
          <w:p w14:paraId="6100213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D06E90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95,000</w:t>
            </w:r>
          </w:p>
        </w:tc>
        <w:tc>
          <w:tcPr>
            <w:tcW w:w="1890" w:type="dxa"/>
            <w:tcBorders>
              <w:top w:val="nil"/>
              <w:left w:val="nil"/>
              <w:bottom w:val="single" w:sz="4" w:space="0" w:color="auto"/>
              <w:right w:val="single" w:sz="4" w:space="0" w:color="auto"/>
            </w:tcBorders>
            <w:vAlign w:val="center"/>
            <w:hideMark/>
          </w:tcPr>
          <w:p w14:paraId="6D27D97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12,350</w:t>
            </w:r>
          </w:p>
        </w:tc>
        <w:tc>
          <w:tcPr>
            <w:tcW w:w="1800" w:type="dxa"/>
            <w:tcBorders>
              <w:top w:val="nil"/>
              <w:left w:val="nil"/>
              <w:bottom w:val="single" w:sz="4" w:space="0" w:color="auto"/>
              <w:right w:val="single" w:sz="4" w:space="0" w:color="auto"/>
            </w:tcBorders>
            <w:vAlign w:val="center"/>
            <w:hideMark/>
          </w:tcPr>
          <w:p w14:paraId="2CCF5F9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107,350</w:t>
            </w:r>
          </w:p>
        </w:tc>
      </w:tr>
      <w:tr w:rsidR="00F90461" w14:paraId="177C2CE5"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00D45C8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Kuwait</w:t>
            </w:r>
          </w:p>
        </w:tc>
        <w:tc>
          <w:tcPr>
            <w:tcW w:w="1440" w:type="dxa"/>
            <w:tcBorders>
              <w:top w:val="nil"/>
              <w:left w:val="nil"/>
              <w:bottom w:val="single" w:sz="4" w:space="0" w:color="auto"/>
              <w:right w:val="single" w:sz="4" w:space="0" w:color="auto"/>
            </w:tcBorders>
            <w:vAlign w:val="center"/>
            <w:hideMark/>
          </w:tcPr>
          <w:p w14:paraId="6DEE3BF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77EA6C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00D0187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4A46C18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78750981" w14:textId="77777777" w:rsidTr="00FE5C31">
        <w:trPr>
          <w:trHeight w:val="172"/>
        </w:trPr>
        <w:tc>
          <w:tcPr>
            <w:tcW w:w="2155" w:type="dxa"/>
            <w:tcBorders>
              <w:top w:val="nil"/>
              <w:left w:val="single" w:sz="4" w:space="0" w:color="auto"/>
              <w:bottom w:val="single" w:sz="4" w:space="0" w:color="auto"/>
              <w:right w:val="single" w:sz="4" w:space="0" w:color="auto"/>
            </w:tcBorders>
            <w:vAlign w:val="center"/>
            <w:hideMark/>
          </w:tcPr>
          <w:p w14:paraId="11D3170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Kyrgyzstan</w:t>
            </w:r>
          </w:p>
        </w:tc>
        <w:tc>
          <w:tcPr>
            <w:tcW w:w="1440" w:type="dxa"/>
            <w:tcBorders>
              <w:top w:val="nil"/>
              <w:left w:val="nil"/>
              <w:bottom w:val="single" w:sz="4" w:space="0" w:color="auto"/>
              <w:right w:val="single" w:sz="4" w:space="0" w:color="auto"/>
            </w:tcBorders>
            <w:vAlign w:val="center"/>
            <w:hideMark/>
          </w:tcPr>
          <w:p w14:paraId="6A260B4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08A958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6F98335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5,070</w:t>
            </w:r>
          </w:p>
        </w:tc>
        <w:tc>
          <w:tcPr>
            <w:tcW w:w="1800" w:type="dxa"/>
            <w:tcBorders>
              <w:top w:val="nil"/>
              <w:left w:val="nil"/>
              <w:bottom w:val="single" w:sz="4" w:space="0" w:color="auto"/>
              <w:right w:val="single" w:sz="4" w:space="0" w:color="auto"/>
            </w:tcBorders>
            <w:vAlign w:val="center"/>
            <w:hideMark/>
          </w:tcPr>
          <w:p w14:paraId="3CF75B4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44,070</w:t>
            </w:r>
          </w:p>
        </w:tc>
      </w:tr>
      <w:tr w:rsidR="00F90461" w14:paraId="1671896C" w14:textId="77777777" w:rsidTr="00FE5C31">
        <w:trPr>
          <w:trHeight w:val="199"/>
        </w:trPr>
        <w:tc>
          <w:tcPr>
            <w:tcW w:w="2155" w:type="dxa"/>
            <w:tcBorders>
              <w:top w:val="nil"/>
              <w:left w:val="single" w:sz="4" w:space="0" w:color="auto"/>
              <w:bottom w:val="single" w:sz="4" w:space="0" w:color="auto"/>
              <w:right w:val="single" w:sz="4" w:space="0" w:color="auto"/>
            </w:tcBorders>
            <w:vAlign w:val="center"/>
            <w:hideMark/>
          </w:tcPr>
          <w:p w14:paraId="3CFA96D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Kyrgyzstan</w:t>
            </w:r>
          </w:p>
        </w:tc>
        <w:tc>
          <w:tcPr>
            <w:tcW w:w="1440" w:type="dxa"/>
            <w:tcBorders>
              <w:top w:val="nil"/>
              <w:left w:val="nil"/>
              <w:bottom w:val="single" w:sz="4" w:space="0" w:color="auto"/>
              <w:right w:val="single" w:sz="4" w:space="0" w:color="auto"/>
            </w:tcBorders>
            <w:vAlign w:val="center"/>
            <w:hideMark/>
          </w:tcPr>
          <w:p w14:paraId="7479B56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7C3147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09A10D5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6,370</w:t>
            </w:r>
          </w:p>
        </w:tc>
        <w:tc>
          <w:tcPr>
            <w:tcW w:w="1800" w:type="dxa"/>
            <w:tcBorders>
              <w:top w:val="nil"/>
              <w:left w:val="nil"/>
              <w:bottom w:val="single" w:sz="4" w:space="0" w:color="auto"/>
              <w:right w:val="single" w:sz="4" w:space="0" w:color="auto"/>
            </w:tcBorders>
            <w:vAlign w:val="center"/>
            <w:hideMark/>
          </w:tcPr>
          <w:p w14:paraId="028A808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97,370</w:t>
            </w:r>
          </w:p>
        </w:tc>
      </w:tr>
      <w:tr w:rsidR="00F90461" w14:paraId="7AC7A0F6"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1CB1A79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Lao, PDR</w:t>
            </w:r>
          </w:p>
        </w:tc>
        <w:tc>
          <w:tcPr>
            <w:tcW w:w="1440" w:type="dxa"/>
            <w:tcBorders>
              <w:top w:val="nil"/>
              <w:left w:val="nil"/>
              <w:bottom w:val="single" w:sz="4" w:space="0" w:color="auto"/>
              <w:right w:val="single" w:sz="4" w:space="0" w:color="auto"/>
            </w:tcBorders>
            <w:vAlign w:val="center"/>
            <w:hideMark/>
          </w:tcPr>
          <w:p w14:paraId="66761A0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BD23D4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2B860E2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2,450</w:t>
            </w:r>
          </w:p>
        </w:tc>
        <w:tc>
          <w:tcPr>
            <w:tcW w:w="1800" w:type="dxa"/>
            <w:tcBorders>
              <w:top w:val="nil"/>
              <w:left w:val="nil"/>
              <w:bottom w:val="single" w:sz="4" w:space="0" w:color="auto"/>
              <w:right w:val="single" w:sz="4" w:space="0" w:color="auto"/>
            </w:tcBorders>
            <w:vAlign w:val="center"/>
            <w:hideMark/>
          </w:tcPr>
          <w:p w14:paraId="50DAF3C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37,450</w:t>
            </w:r>
          </w:p>
        </w:tc>
      </w:tr>
      <w:tr w:rsidR="00F90461" w14:paraId="30C57BA5" w14:textId="77777777" w:rsidTr="00FE5C31">
        <w:trPr>
          <w:trHeight w:val="172"/>
        </w:trPr>
        <w:tc>
          <w:tcPr>
            <w:tcW w:w="2155" w:type="dxa"/>
            <w:tcBorders>
              <w:top w:val="nil"/>
              <w:left w:val="single" w:sz="4" w:space="0" w:color="auto"/>
              <w:bottom w:val="single" w:sz="4" w:space="0" w:color="auto"/>
              <w:right w:val="single" w:sz="4" w:space="0" w:color="auto"/>
            </w:tcBorders>
            <w:vAlign w:val="center"/>
            <w:hideMark/>
          </w:tcPr>
          <w:p w14:paraId="577704F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Lao, PDR</w:t>
            </w:r>
          </w:p>
        </w:tc>
        <w:tc>
          <w:tcPr>
            <w:tcW w:w="1440" w:type="dxa"/>
            <w:tcBorders>
              <w:top w:val="nil"/>
              <w:left w:val="nil"/>
              <w:bottom w:val="single" w:sz="4" w:space="0" w:color="auto"/>
              <w:right w:val="single" w:sz="4" w:space="0" w:color="auto"/>
            </w:tcBorders>
            <w:vAlign w:val="center"/>
            <w:hideMark/>
          </w:tcPr>
          <w:p w14:paraId="0C072F1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AA5216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95,000</w:t>
            </w:r>
          </w:p>
        </w:tc>
        <w:tc>
          <w:tcPr>
            <w:tcW w:w="1890" w:type="dxa"/>
            <w:tcBorders>
              <w:top w:val="nil"/>
              <w:left w:val="nil"/>
              <w:bottom w:val="single" w:sz="4" w:space="0" w:color="auto"/>
              <w:right w:val="single" w:sz="4" w:space="0" w:color="auto"/>
            </w:tcBorders>
            <w:vAlign w:val="center"/>
            <w:hideMark/>
          </w:tcPr>
          <w:p w14:paraId="7C00174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12,350</w:t>
            </w:r>
          </w:p>
        </w:tc>
        <w:tc>
          <w:tcPr>
            <w:tcW w:w="1800" w:type="dxa"/>
            <w:tcBorders>
              <w:top w:val="nil"/>
              <w:left w:val="nil"/>
              <w:bottom w:val="single" w:sz="4" w:space="0" w:color="auto"/>
              <w:right w:val="single" w:sz="4" w:space="0" w:color="auto"/>
            </w:tcBorders>
            <w:vAlign w:val="center"/>
            <w:hideMark/>
          </w:tcPr>
          <w:p w14:paraId="2A8AFAD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107,350</w:t>
            </w:r>
          </w:p>
        </w:tc>
      </w:tr>
      <w:tr w:rsidR="00F90461" w14:paraId="3C4013E0"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2325409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Lebanon</w:t>
            </w:r>
          </w:p>
        </w:tc>
        <w:tc>
          <w:tcPr>
            <w:tcW w:w="1440" w:type="dxa"/>
            <w:tcBorders>
              <w:top w:val="nil"/>
              <w:left w:val="nil"/>
              <w:bottom w:val="single" w:sz="4" w:space="0" w:color="auto"/>
              <w:right w:val="single" w:sz="4" w:space="0" w:color="auto"/>
            </w:tcBorders>
            <w:vAlign w:val="center"/>
            <w:hideMark/>
          </w:tcPr>
          <w:p w14:paraId="672C681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2DA1A51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2D46B3A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0C65E64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3CD4DA3C"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0147494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Lebanon</w:t>
            </w:r>
          </w:p>
        </w:tc>
        <w:tc>
          <w:tcPr>
            <w:tcW w:w="1440" w:type="dxa"/>
            <w:tcBorders>
              <w:top w:val="nil"/>
              <w:left w:val="nil"/>
              <w:bottom w:val="single" w:sz="4" w:space="0" w:color="auto"/>
              <w:right w:val="single" w:sz="4" w:space="0" w:color="auto"/>
            </w:tcBorders>
            <w:vAlign w:val="center"/>
            <w:hideMark/>
          </w:tcPr>
          <w:p w14:paraId="26D3C90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25D47C1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70,000</w:t>
            </w:r>
          </w:p>
        </w:tc>
        <w:tc>
          <w:tcPr>
            <w:tcW w:w="1890" w:type="dxa"/>
            <w:tcBorders>
              <w:top w:val="nil"/>
              <w:left w:val="nil"/>
              <w:bottom w:val="single" w:sz="4" w:space="0" w:color="auto"/>
              <w:right w:val="single" w:sz="4" w:space="0" w:color="auto"/>
            </w:tcBorders>
            <w:vAlign w:val="center"/>
            <w:hideMark/>
          </w:tcPr>
          <w:p w14:paraId="63A8920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4,900</w:t>
            </w:r>
          </w:p>
        </w:tc>
        <w:tc>
          <w:tcPr>
            <w:tcW w:w="1800" w:type="dxa"/>
            <w:tcBorders>
              <w:top w:val="nil"/>
              <w:left w:val="nil"/>
              <w:bottom w:val="single" w:sz="4" w:space="0" w:color="auto"/>
              <w:right w:val="single" w:sz="4" w:space="0" w:color="auto"/>
            </w:tcBorders>
            <w:vAlign w:val="center"/>
            <w:hideMark/>
          </w:tcPr>
          <w:p w14:paraId="54F7ADD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74,900</w:t>
            </w:r>
          </w:p>
        </w:tc>
      </w:tr>
      <w:tr w:rsidR="00F90461" w14:paraId="4C29376F"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4CC5146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Lesotho</w:t>
            </w:r>
          </w:p>
        </w:tc>
        <w:tc>
          <w:tcPr>
            <w:tcW w:w="1440" w:type="dxa"/>
            <w:tcBorders>
              <w:top w:val="nil"/>
              <w:left w:val="nil"/>
              <w:bottom w:val="single" w:sz="4" w:space="0" w:color="auto"/>
              <w:right w:val="single" w:sz="4" w:space="0" w:color="auto"/>
            </w:tcBorders>
            <w:vAlign w:val="center"/>
            <w:hideMark/>
          </w:tcPr>
          <w:p w14:paraId="3FAD714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BDF051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35D3E0F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1C6AE6E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4909DE98"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64407F6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Lesotho</w:t>
            </w:r>
          </w:p>
        </w:tc>
        <w:tc>
          <w:tcPr>
            <w:tcW w:w="1440" w:type="dxa"/>
            <w:tcBorders>
              <w:top w:val="nil"/>
              <w:left w:val="nil"/>
              <w:bottom w:val="single" w:sz="4" w:space="0" w:color="auto"/>
              <w:right w:val="single" w:sz="4" w:space="0" w:color="auto"/>
            </w:tcBorders>
            <w:vAlign w:val="center"/>
            <w:hideMark/>
          </w:tcPr>
          <w:p w14:paraId="196489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1039ED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42F0D5B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C44089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3C99FB52" w14:textId="77777777" w:rsidTr="00FE5C31">
        <w:trPr>
          <w:trHeight w:val="172"/>
        </w:trPr>
        <w:tc>
          <w:tcPr>
            <w:tcW w:w="2155" w:type="dxa"/>
            <w:tcBorders>
              <w:top w:val="nil"/>
              <w:left w:val="single" w:sz="4" w:space="0" w:color="auto"/>
              <w:bottom w:val="single" w:sz="4" w:space="0" w:color="auto"/>
              <w:right w:val="single" w:sz="4" w:space="0" w:color="auto"/>
            </w:tcBorders>
            <w:vAlign w:val="center"/>
            <w:hideMark/>
          </w:tcPr>
          <w:p w14:paraId="1AAD5C5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Liberia</w:t>
            </w:r>
          </w:p>
        </w:tc>
        <w:tc>
          <w:tcPr>
            <w:tcW w:w="1440" w:type="dxa"/>
            <w:tcBorders>
              <w:top w:val="nil"/>
              <w:left w:val="nil"/>
              <w:bottom w:val="single" w:sz="4" w:space="0" w:color="auto"/>
              <w:right w:val="single" w:sz="4" w:space="0" w:color="auto"/>
            </w:tcBorders>
            <w:vAlign w:val="center"/>
            <w:hideMark/>
          </w:tcPr>
          <w:p w14:paraId="07BC376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5AA5E39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2919507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4B3147B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4A9C3B5D"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7A4B549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Malawi</w:t>
            </w:r>
          </w:p>
        </w:tc>
        <w:tc>
          <w:tcPr>
            <w:tcW w:w="1440" w:type="dxa"/>
            <w:tcBorders>
              <w:top w:val="nil"/>
              <w:left w:val="nil"/>
              <w:bottom w:val="single" w:sz="4" w:space="0" w:color="auto"/>
              <w:right w:val="single" w:sz="4" w:space="0" w:color="auto"/>
            </w:tcBorders>
            <w:vAlign w:val="center"/>
            <w:hideMark/>
          </w:tcPr>
          <w:p w14:paraId="36F878C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53F0B7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0EA6C60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2F076AE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2CE7C3B8"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669E41C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Malawi</w:t>
            </w:r>
          </w:p>
        </w:tc>
        <w:tc>
          <w:tcPr>
            <w:tcW w:w="1440" w:type="dxa"/>
            <w:tcBorders>
              <w:top w:val="nil"/>
              <w:left w:val="nil"/>
              <w:bottom w:val="single" w:sz="4" w:space="0" w:color="auto"/>
              <w:right w:val="single" w:sz="4" w:space="0" w:color="auto"/>
            </w:tcBorders>
            <w:vAlign w:val="center"/>
            <w:hideMark/>
          </w:tcPr>
          <w:p w14:paraId="604DD40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24CB992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31BF8F7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1CEF8C5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0FDA2330"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524C22B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Malaysia</w:t>
            </w:r>
          </w:p>
        </w:tc>
        <w:tc>
          <w:tcPr>
            <w:tcW w:w="1440" w:type="dxa"/>
            <w:tcBorders>
              <w:top w:val="nil"/>
              <w:left w:val="nil"/>
              <w:bottom w:val="single" w:sz="4" w:space="0" w:color="auto"/>
              <w:right w:val="single" w:sz="4" w:space="0" w:color="auto"/>
            </w:tcBorders>
            <w:vAlign w:val="center"/>
            <w:hideMark/>
          </w:tcPr>
          <w:p w14:paraId="4DDC9B2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2338E46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589E6CC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50C0CF3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646E4EEF" w14:textId="77777777" w:rsidTr="00FE5C31">
        <w:trPr>
          <w:trHeight w:val="73"/>
        </w:trPr>
        <w:tc>
          <w:tcPr>
            <w:tcW w:w="2155" w:type="dxa"/>
            <w:tcBorders>
              <w:top w:val="nil"/>
              <w:left w:val="single" w:sz="4" w:space="0" w:color="auto"/>
              <w:bottom w:val="single" w:sz="4" w:space="0" w:color="auto"/>
              <w:right w:val="single" w:sz="4" w:space="0" w:color="auto"/>
            </w:tcBorders>
            <w:vAlign w:val="center"/>
            <w:hideMark/>
          </w:tcPr>
          <w:p w14:paraId="3E84906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Malaysia</w:t>
            </w:r>
          </w:p>
        </w:tc>
        <w:tc>
          <w:tcPr>
            <w:tcW w:w="1440" w:type="dxa"/>
            <w:tcBorders>
              <w:top w:val="nil"/>
              <w:left w:val="nil"/>
              <w:bottom w:val="single" w:sz="4" w:space="0" w:color="auto"/>
              <w:right w:val="single" w:sz="4" w:space="0" w:color="auto"/>
            </w:tcBorders>
            <w:vAlign w:val="center"/>
            <w:hideMark/>
          </w:tcPr>
          <w:p w14:paraId="7EA3859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6249067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2688D80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6AD40FC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3EA6D804"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76D71A9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Malaysia</w:t>
            </w:r>
          </w:p>
        </w:tc>
        <w:tc>
          <w:tcPr>
            <w:tcW w:w="1440" w:type="dxa"/>
            <w:tcBorders>
              <w:top w:val="nil"/>
              <w:left w:val="nil"/>
              <w:bottom w:val="single" w:sz="4" w:space="0" w:color="auto"/>
              <w:right w:val="single" w:sz="4" w:space="0" w:color="auto"/>
            </w:tcBorders>
            <w:vAlign w:val="center"/>
            <w:hideMark/>
          </w:tcPr>
          <w:p w14:paraId="3523DEA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3C22B28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80,000</w:t>
            </w:r>
          </w:p>
        </w:tc>
        <w:tc>
          <w:tcPr>
            <w:tcW w:w="1890" w:type="dxa"/>
            <w:tcBorders>
              <w:top w:val="nil"/>
              <w:left w:val="nil"/>
              <w:bottom w:val="single" w:sz="4" w:space="0" w:color="auto"/>
              <w:right w:val="single" w:sz="4" w:space="0" w:color="auto"/>
            </w:tcBorders>
            <w:vAlign w:val="center"/>
            <w:hideMark/>
          </w:tcPr>
          <w:p w14:paraId="1A27751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5,600</w:t>
            </w:r>
          </w:p>
        </w:tc>
        <w:tc>
          <w:tcPr>
            <w:tcW w:w="1800" w:type="dxa"/>
            <w:tcBorders>
              <w:top w:val="nil"/>
              <w:left w:val="nil"/>
              <w:bottom w:val="single" w:sz="4" w:space="0" w:color="auto"/>
              <w:right w:val="single" w:sz="4" w:space="0" w:color="auto"/>
            </w:tcBorders>
            <w:vAlign w:val="center"/>
            <w:hideMark/>
          </w:tcPr>
          <w:p w14:paraId="76C3552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85,600</w:t>
            </w:r>
          </w:p>
        </w:tc>
      </w:tr>
      <w:tr w:rsidR="00F90461" w14:paraId="5580BB96"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21B9EE4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Maldives</w:t>
            </w:r>
          </w:p>
        </w:tc>
        <w:tc>
          <w:tcPr>
            <w:tcW w:w="1440" w:type="dxa"/>
            <w:tcBorders>
              <w:top w:val="nil"/>
              <w:left w:val="nil"/>
              <w:bottom w:val="single" w:sz="4" w:space="0" w:color="auto"/>
              <w:right w:val="single" w:sz="4" w:space="0" w:color="auto"/>
            </w:tcBorders>
            <w:vAlign w:val="center"/>
            <w:hideMark/>
          </w:tcPr>
          <w:p w14:paraId="74F768B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27A356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355EF44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2,450</w:t>
            </w:r>
          </w:p>
        </w:tc>
        <w:tc>
          <w:tcPr>
            <w:tcW w:w="1800" w:type="dxa"/>
            <w:tcBorders>
              <w:top w:val="nil"/>
              <w:left w:val="nil"/>
              <w:bottom w:val="single" w:sz="4" w:space="0" w:color="auto"/>
              <w:right w:val="single" w:sz="4" w:space="0" w:color="auto"/>
            </w:tcBorders>
            <w:vAlign w:val="center"/>
            <w:hideMark/>
          </w:tcPr>
          <w:p w14:paraId="16CD1A9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37,450</w:t>
            </w:r>
          </w:p>
        </w:tc>
      </w:tr>
      <w:tr w:rsidR="00F90461" w14:paraId="2440308D"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46A948F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Maldives</w:t>
            </w:r>
          </w:p>
        </w:tc>
        <w:tc>
          <w:tcPr>
            <w:tcW w:w="1440" w:type="dxa"/>
            <w:tcBorders>
              <w:top w:val="nil"/>
              <w:left w:val="nil"/>
              <w:bottom w:val="single" w:sz="4" w:space="0" w:color="auto"/>
              <w:right w:val="single" w:sz="4" w:space="0" w:color="auto"/>
            </w:tcBorders>
            <w:vAlign w:val="center"/>
            <w:hideMark/>
          </w:tcPr>
          <w:p w14:paraId="67607BD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B7C316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95,000</w:t>
            </w:r>
          </w:p>
        </w:tc>
        <w:tc>
          <w:tcPr>
            <w:tcW w:w="1890" w:type="dxa"/>
            <w:tcBorders>
              <w:top w:val="nil"/>
              <w:left w:val="nil"/>
              <w:bottom w:val="single" w:sz="4" w:space="0" w:color="auto"/>
              <w:right w:val="single" w:sz="4" w:space="0" w:color="auto"/>
            </w:tcBorders>
            <w:vAlign w:val="center"/>
            <w:hideMark/>
          </w:tcPr>
          <w:p w14:paraId="6680737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12,350</w:t>
            </w:r>
          </w:p>
        </w:tc>
        <w:tc>
          <w:tcPr>
            <w:tcW w:w="1800" w:type="dxa"/>
            <w:tcBorders>
              <w:top w:val="nil"/>
              <w:left w:val="nil"/>
              <w:bottom w:val="single" w:sz="4" w:space="0" w:color="auto"/>
              <w:right w:val="single" w:sz="4" w:space="0" w:color="auto"/>
            </w:tcBorders>
            <w:vAlign w:val="center"/>
            <w:hideMark/>
          </w:tcPr>
          <w:p w14:paraId="68DA92D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107,350</w:t>
            </w:r>
          </w:p>
        </w:tc>
      </w:tr>
      <w:tr w:rsidR="00F90461" w14:paraId="60CECD5A"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4D93610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Mali</w:t>
            </w:r>
          </w:p>
        </w:tc>
        <w:tc>
          <w:tcPr>
            <w:tcW w:w="1440" w:type="dxa"/>
            <w:tcBorders>
              <w:top w:val="nil"/>
              <w:left w:val="nil"/>
              <w:bottom w:val="single" w:sz="4" w:space="0" w:color="auto"/>
              <w:right w:val="single" w:sz="4" w:space="0" w:color="auto"/>
            </w:tcBorders>
            <w:vAlign w:val="center"/>
            <w:hideMark/>
          </w:tcPr>
          <w:p w14:paraId="29FDE7D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CB2FF1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49F0D7B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2,450</w:t>
            </w:r>
          </w:p>
        </w:tc>
        <w:tc>
          <w:tcPr>
            <w:tcW w:w="1800" w:type="dxa"/>
            <w:tcBorders>
              <w:top w:val="nil"/>
              <w:left w:val="nil"/>
              <w:bottom w:val="single" w:sz="4" w:space="0" w:color="auto"/>
              <w:right w:val="single" w:sz="4" w:space="0" w:color="auto"/>
            </w:tcBorders>
            <w:vAlign w:val="center"/>
            <w:hideMark/>
          </w:tcPr>
          <w:p w14:paraId="37916B5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37,450</w:t>
            </w:r>
          </w:p>
        </w:tc>
      </w:tr>
      <w:tr w:rsidR="00F90461" w14:paraId="2F3B56D9"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78A8E81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Mali</w:t>
            </w:r>
          </w:p>
        </w:tc>
        <w:tc>
          <w:tcPr>
            <w:tcW w:w="1440" w:type="dxa"/>
            <w:tcBorders>
              <w:top w:val="nil"/>
              <w:left w:val="nil"/>
              <w:bottom w:val="single" w:sz="4" w:space="0" w:color="auto"/>
              <w:right w:val="single" w:sz="4" w:space="0" w:color="auto"/>
            </w:tcBorders>
            <w:vAlign w:val="center"/>
            <w:hideMark/>
          </w:tcPr>
          <w:p w14:paraId="02DD620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20650B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135,000</w:t>
            </w:r>
          </w:p>
        </w:tc>
        <w:tc>
          <w:tcPr>
            <w:tcW w:w="1890" w:type="dxa"/>
            <w:tcBorders>
              <w:top w:val="nil"/>
              <w:left w:val="nil"/>
              <w:bottom w:val="single" w:sz="4" w:space="0" w:color="auto"/>
              <w:right w:val="single" w:sz="4" w:space="0" w:color="auto"/>
            </w:tcBorders>
            <w:vAlign w:val="center"/>
            <w:hideMark/>
          </w:tcPr>
          <w:p w14:paraId="4753D3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17,550</w:t>
            </w:r>
          </w:p>
        </w:tc>
        <w:tc>
          <w:tcPr>
            <w:tcW w:w="1800" w:type="dxa"/>
            <w:tcBorders>
              <w:top w:val="nil"/>
              <w:left w:val="nil"/>
              <w:bottom w:val="single" w:sz="4" w:space="0" w:color="auto"/>
              <w:right w:val="single" w:sz="4" w:space="0" w:color="auto"/>
            </w:tcBorders>
            <w:vAlign w:val="center"/>
            <w:hideMark/>
          </w:tcPr>
          <w:p w14:paraId="75E6B85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152,550</w:t>
            </w:r>
          </w:p>
        </w:tc>
      </w:tr>
      <w:tr w:rsidR="00F90461" w14:paraId="2998F9A1"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127F89F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Mauritius</w:t>
            </w:r>
          </w:p>
        </w:tc>
        <w:tc>
          <w:tcPr>
            <w:tcW w:w="1440" w:type="dxa"/>
            <w:tcBorders>
              <w:top w:val="nil"/>
              <w:left w:val="nil"/>
              <w:bottom w:val="single" w:sz="4" w:space="0" w:color="auto"/>
              <w:right w:val="single" w:sz="4" w:space="0" w:color="auto"/>
            </w:tcBorders>
            <w:vAlign w:val="center"/>
            <w:hideMark/>
          </w:tcPr>
          <w:p w14:paraId="41DBA47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2242234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5E4F584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22,100</w:t>
            </w:r>
          </w:p>
        </w:tc>
        <w:tc>
          <w:tcPr>
            <w:tcW w:w="1800" w:type="dxa"/>
            <w:tcBorders>
              <w:top w:val="nil"/>
              <w:left w:val="nil"/>
              <w:bottom w:val="single" w:sz="4" w:space="0" w:color="auto"/>
              <w:right w:val="single" w:sz="4" w:space="0" w:color="auto"/>
            </w:tcBorders>
            <w:vAlign w:val="center"/>
            <w:hideMark/>
          </w:tcPr>
          <w:p w14:paraId="24FA18D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192,100</w:t>
            </w:r>
          </w:p>
        </w:tc>
      </w:tr>
      <w:tr w:rsidR="00F90461" w14:paraId="7893335F"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6CAD6E6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Mexico</w:t>
            </w:r>
          </w:p>
        </w:tc>
        <w:tc>
          <w:tcPr>
            <w:tcW w:w="1440" w:type="dxa"/>
            <w:tcBorders>
              <w:top w:val="nil"/>
              <w:left w:val="nil"/>
              <w:bottom w:val="single" w:sz="4" w:space="0" w:color="auto"/>
              <w:right w:val="single" w:sz="4" w:space="0" w:color="auto"/>
            </w:tcBorders>
            <w:vAlign w:val="center"/>
            <w:hideMark/>
          </w:tcPr>
          <w:p w14:paraId="54723CB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D91034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7F38058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w:t>
            </w:r>
          </w:p>
        </w:tc>
        <w:tc>
          <w:tcPr>
            <w:tcW w:w="1800" w:type="dxa"/>
            <w:tcBorders>
              <w:top w:val="nil"/>
              <w:left w:val="nil"/>
              <w:bottom w:val="single" w:sz="4" w:space="0" w:color="auto"/>
              <w:right w:val="single" w:sz="4" w:space="0" w:color="auto"/>
            </w:tcBorders>
            <w:vAlign w:val="center"/>
            <w:hideMark/>
          </w:tcPr>
          <w:p w14:paraId="2339B9A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33,900</w:t>
            </w:r>
          </w:p>
        </w:tc>
      </w:tr>
      <w:tr w:rsidR="00F90461" w14:paraId="05AB6FCB"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4226B43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Mexico</w:t>
            </w:r>
          </w:p>
        </w:tc>
        <w:tc>
          <w:tcPr>
            <w:tcW w:w="1440" w:type="dxa"/>
            <w:tcBorders>
              <w:top w:val="nil"/>
              <w:left w:val="nil"/>
              <w:bottom w:val="single" w:sz="4" w:space="0" w:color="auto"/>
              <w:right w:val="single" w:sz="4" w:space="0" w:color="auto"/>
            </w:tcBorders>
            <w:vAlign w:val="center"/>
            <w:hideMark/>
          </w:tcPr>
          <w:p w14:paraId="61DC0FE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25BB33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85,000</w:t>
            </w:r>
          </w:p>
        </w:tc>
        <w:tc>
          <w:tcPr>
            <w:tcW w:w="1890" w:type="dxa"/>
            <w:tcBorders>
              <w:top w:val="nil"/>
              <w:left w:val="nil"/>
              <w:bottom w:val="single" w:sz="4" w:space="0" w:color="auto"/>
              <w:right w:val="single" w:sz="4" w:space="0" w:color="auto"/>
            </w:tcBorders>
            <w:vAlign w:val="center"/>
            <w:hideMark/>
          </w:tcPr>
          <w:p w14:paraId="22F62C3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5,950</w:t>
            </w:r>
          </w:p>
        </w:tc>
        <w:tc>
          <w:tcPr>
            <w:tcW w:w="1800" w:type="dxa"/>
            <w:tcBorders>
              <w:top w:val="nil"/>
              <w:left w:val="nil"/>
              <w:bottom w:val="single" w:sz="4" w:space="0" w:color="auto"/>
              <w:right w:val="single" w:sz="4" w:space="0" w:color="auto"/>
            </w:tcBorders>
            <w:vAlign w:val="center"/>
            <w:hideMark/>
          </w:tcPr>
          <w:p w14:paraId="590A92B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90,950</w:t>
            </w:r>
          </w:p>
        </w:tc>
      </w:tr>
      <w:tr w:rsidR="00F90461" w14:paraId="6B75C146"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1CEC752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Mexico</w:t>
            </w:r>
          </w:p>
        </w:tc>
        <w:tc>
          <w:tcPr>
            <w:tcW w:w="1440" w:type="dxa"/>
            <w:tcBorders>
              <w:top w:val="nil"/>
              <w:left w:val="nil"/>
              <w:bottom w:val="single" w:sz="4" w:space="0" w:color="auto"/>
              <w:right w:val="single" w:sz="4" w:space="0" w:color="auto"/>
            </w:tcBorders>
            <w:vAlign w:val="center"/>
            <w:hideMark/>
          </w:tcPr>
          <w:p w14:paraId="3656E15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3E0F725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115,000</w:t>
            </w:r>
          </w:p>
        </w:tc>
        <w:tc>
          <w:tcPr>
            <w:tcW w:w="1890" w:type="dxa"/>
            <w:tcBorders>
              <w:top w:val="nil"/>
              <w:left w:val="nil"/>
              <w:bottom w:val="single" w:sz="4" w:space="0" w:color="auto"/>
              <w:right w:val="single" w:sz="4" w:space="0" w:color="auto"/>
            </w:tcBorders>
            <w:vAlign w:val="center"/>
            <w:hideMark/>
          </w:tcPr>
          <w:p w14:paraId="71A3369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8,050</w:t>
            </w:r>
          </w:p>
        </w:tc>
        <w:tc>
          <w:tcPr>
            <w:tcW w:w="1800" w:type="dxa"/>
            <w:tcBorders>
              <w:top w:val="nil"/>
              <w:left w:val="nil"/>
              <w:bottom w:val="single" w:sz="4" w:space="0" w:color="auto"/>
              <w:right w:val="single" w:sz="4" w:space="0" w:color="auto"/>
            </w:tcBorders>
            <w:vAlign w:val="center"/>
            <w:hideMark/>
          </w:tcPr>
          <w:p w14:paraId="1D734DA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123,050</w:t>
            </w:r>
          </w:p>
        </w:tc>
      </w:tr>
      <w:tr w:rsidR="00F90461" w14:paraId="3DCF32E1" w14:textId="77777777" w:rsidTr="00FE5C31">
        <w:trPr>
          <w:trHeight w:val="370"/>
        </w:trPr>
        <w:tc>
          <w:tcPr>
            <w:tcW w:w="2155" w:type="dxa"/>
            <w:tcBorders>
              <w:top w:val="nil"/>
              <w:left w:val="single" w:sz="4" w:space="0" w:color="auto"/>
              <w:bottom w:val="single" w:sz="4" w:space="0" w:color="auto"/>
              <w:right w:val="single" w:sz="4" w:space="0" w:color="auto"/>
            </w:tcBorders>
            <w:vAlign w:val="center"/>
            <w:hideMark/>
          </w:tcPr>
          <w:p w14:paraId="1F84859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Moldova, Rep</w:t>
            </w:r>
          </w:p>
        </w:tc>
        <w:tc>
          <w:tcPr>
            <w:tcW w:w="1440" w:type="dxa"/>
            <w:tcBorders>
              <w:top w:val="nil"/>
              <w:left w:val="nil"/>
              <w:bottom w:val="single" w:sz="4" w:space="0" w:color="auto"/>
              <w:right w:val="single" w:sz="4" w:space="0" w:color="auto"/>
            </w:tcBorders>
            <w:vAlign w:val="center"/>
            <w:hideMark/>
          </w:tcPr>
          <w:p w14:paraId="3A054F0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8B5148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55E19B9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4B19F4B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565AEF8C"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50DFC65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Mongolia</w:t>
            </w:r>
          </w:p>
        </w:tc>
        <w:tc>
          <w:tcPr>
            <w:tcW w:w="1440" w:type="dxa"/>
            <w:tcBorders>
              <w:top w:val="nil"/>
              <w:left w:val="nil"/>
              <w:bottom w:val="single" w:sz="4" w:space="0" w:color="auto"/>
              <w:right w:val="single" w:sz="4" w:space="0" w:color="auto"/>
            </w:tcBorders>
            <w:vAlign w:val="center"/>
            <w:hideMark/>
          </w:tcPr>
          <w:p w14:paraId="33C9DBD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202A85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1B00A2B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026E23A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66C1BFA7"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79A4AFF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Mongolia</w:t>
            </w:r>
          </w:p>
        </w:tc>
        <w:tc>
          <w:tcPr>
            <w:tcW w:w="1440" w:type="dxa"/>
            <w:tcBorders>
              <w:top w:val="nil"/>
              <w:left w:val="nil"/>
              <w:bottom w:val="single" w:sz="4" w:space="0" w:color="auto"/>
              <w:right w:val="single" w:sz="4" w:space="0" w:color="auto"/>
            </w:tcBorders>
            <w:vAlign w:val="center"/>
            <w:hideMark/>
          </w:tcPr>
          <w:p w14:paraId="3DFE987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6B2C57C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80,000</w:t>
            </w:r>
          </w:p>
        </w:tc>
        <w:tc>
          <w:tcPr>
            <w:tcW w:w="1890" w:type="dxa"/>
            <w:tcBorders>
              <w:top w:val="nil"/>
              <w:left w:val="nil"/>
              <w:bottom w:val="single" w:sz="4" w:space="0" w:color="auto"/>
              <w:right w:val="single" w:sz="4" w:space="0" w:color="auto"/>
            </w:tcBorders>
            <w:vAlign w:val="center"/>
            <w:hideMark/>
          </w:tcPr>
          <w:p w14:paraId="1F2FACB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5,600</w:t>
            </w:r>
          </w:p>
        </w:tc>
        <w:tc>
          <w:tcPr>
            <w:tcW w:w="1800" w:type="dxa"/>
            <w:tcBorders>
              <w:top w:val="nil"/>
              <w:left w:val="nil"/>
              <w:bottom w:val="single" w:sz="4" w:space="0" w:color="auto"/>
              <w:right w:val="single" w:sz="4" w:space="0" w:color="auto"/>
            </w:tcBorders>
            <w:vAlign w:val="center"/>
            <w:hideMark/>
          </w:tcPr>
          <w:p w14:paraId="03015FB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85,600</w:t>
            </w:r>
          </w:p>
        </w:tc>
      </w:tr>
      <w:tr w:rsidR="00F90461" w14:paraId="0559C39D"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31E2512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Montenegro</w:t>
            </w:r>
          </w:p>
        </w:tc>
        <w:tc>
          <w:tcPr>
            <w:tcW w:w="1440" w:type="dxa"/>
            <w:tcBorders>
              <w:top w:val="nil"/>
              <w:left w:val="nil"/>
              <w:bottom w:val="single" w:sz="4" w:space="0" w:color="auto"/>
              <w:right w:val="single" w:sz="4" w:space="0" w:color="auto"/>
            </w:tcBorders>
            <w:vAlign w:val="center"/>
            <w:hideMark/>
          </w:tcPr>
          <w:p w14:paraId="524FE35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5DD2485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100,000</w:t>
            </w:r>
          </w:p>
        </w:tc>
        <w:tc>
          <w:tcPr>
            <w:tcW w:w="1890" w:type="dxa"/>
            <w:tcBorders>
              <w:top w:val="nil"/>
              <w:left w:val="nil"/>
              <w:bottom w:val="single" w:sz="4" w:space="0" w:color="auto"/>
              <w:right w:val="single" w:sz="4" w:space="0" w:color="auto"/>
            </w:tcBorders>
            <w:vAlign w:val="center"/>
            <w:hideMark/>
          </w:tcPr>
          <w:p w14:paraId="672E1E7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w:t>
            </w:r>
          </w:p>
        </w:tc>
        <w:tc>
          <w:tcPr>
            <w:tcW w:w="1800" w:type="dxa"/>
            <w:tcBorders>
              <w:top w:val="nil"/>
              <w:left w:val="nil"/>
              <w:bottom w:val="single" w:sz="4" w:space="0" w:color="auto"/>
              <w:right w:val="single" w:sz="4" w:space="0" w:color="auto"/>
            </w:tcBorders>
            <w:vAlign w:val="center"/>
            <w:hideMark/>
          </w:tcPr>
          <w:p w14:paraId="6F54053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107,000</w:t>
            </w:r>
          </w:p>
        </w:tc>
      </w:tr>
      <w:tr w:rsidR="00F90461" w14:paraId="68DC6AAC"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5FB2186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Morocco</w:t>
            </w:r>
          </w:p>
        </w:tc>
        <w:tc>
          <w:tcPr>
            <w:tcW w:w="1440" w:type="dxa"/>
            <w:tcBorders>
              <w:top w:val="nil"/>
              <w:left w:val="nil"/>
              <w:bottom w:val="single" w:sz="4" w:space="0" w:color="auto"/>
              <w:right w:val="single" w:sz="4" w:space="0" w:color="auto"/>
            </w:tcBorders>
            <w:vAlign w:val="center"/>
            <w:hideMark/>
          </w:tcPr>
          <w:p w14:paraId="4E5F145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309D11A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14BBBDD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016DB59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228F2536"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6AF53C3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Morocco</w:t>
            </w:r>
          </w:p>
        </w:tc>
        <w:tc>
          <w:tcPr>
            <w:tcW w:w="1440" w:type="dxa"/>
            <w:tcBorders>
              <w:top w:val="nil"/>
              <w:left w:val="nil"/>
              <w:bottom w:val="single" w:sz="4" w:space="0" w:color="auto"/>
              <w:right w:val="single" w:sz="4" w:space="0" w:color="auto"/>
            </w:tcBorders>
            <w:vAlign w:val="center"/>
            <w:hideMark/>
          </w:tcPr>
          <w:p w14:paraId="5D153A8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1273B18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7B6D4E8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2B6A280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541CE8D7"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68933BB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Mozambique</w:t>
            </w:r>
          </w:p>
        </w:tc>
        <w:tc>
          <w:tcPr>
            <w:tcW w:w="1440" w:type="dxa"/>
            <w:tcBorders>
              <w:top w:val="nil"/>
              <w:left w:val="nil"/>
              <w:bottom w:val="single" w:sz="4" w:space="0" w:color="auto"/>
              <w:right w:val="single" w:sz="4" w:space="0" w:color="auto"/>
            </w:tcBorders>
            <w:vAlign w:val="center"/>
            <w:hideMark/>
          </w:tcPr>
          <w:p w14:paraId="7366D70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B54624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7F4A970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6B91D17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23FB57DB"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41D65A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lastRenderedPageBreak/>
              <w:t>Mozambique</w:t>
            </w:r>
          </w:p>
        </w:tc>
        <w:tc>
          <w:tcPr>
            <w:tcW w:w="1440" w:type="dxa"/>
            <w:tcBorders>
              <w:top w:val="nil"/>
              <w:left w:val="nil"/>
              <w:bottom w:val="single" w:sz="4" w:space="0" w:color="auto"/>
              <w:right w:val="single" w:sz="4" w:space="0" w:color="auto"/>
            </w:tcBorders>
            <w:vAlign w:val="center"/>
            <w:hideMark/>
          </w:tcPr>
          <w:p w14:paraId="26D0D66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4BE5CF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0601ACB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094B2C9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69A5DA37"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7C6637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Namibia</w:t>
            </w:r>
          </w:p>
        </w:tc>
        <w:tc>
          <w:tcPr>
            <w:tcW w:w="1440" w:type="dxa"/>
            <w:tcBorders>
              <w:top w:val="nil"/>
              <w:left w:val="nil"/>
              <w:bottom w:val="single" w:sz="4" w:space="0" w:color="auto"/>
              <w:right w:val="single" w:sz="4" w:space="0" w:color="auto"/>
            </w:tcBorders>
            <w:vAlign w:val="center"/>
            <w:hideMark/>
          </w:tcPr>
          <w:p w14:paraId="7874221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1A4C0E8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72D6A3A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2F51A14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009CEEF8"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1AB1689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Namibia</w:t>
            </w:r>
          </w:p>
        </w:tc>
        <w:tc>
          <w:tcPr>
            <w:tcW w:w="1440" w:type="dxa"/>
            <w:tcBorders>
              <w:top w:val="nil"/>
              <w:left w:val="nil"/>
              <w:bottom w:val="single" w:sz="4" w:space="0" w:color="auto"/>
              <w:right w:val="single" w:sz="4" w:space="0" w:color="auto"/>
            </w:tcBorders>
            <w:vAlign w:val="center"/>
            <w:hideMark/>
          </w:tcPr>
          <w:p w14:paraId="230739C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7418DD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58EA800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373ED5C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09D33B49"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1F885D3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Nicaragua</w:t>
            </w:r>
          </w:p>
        </w:tc>
        <w:tc>
          <w:tcPr>
            <w:tcW w:w="1440" w:type="dxa"/>
            <w:tcBorders>
              <w:top w:val="nil"/>
              <w:left w:val="nil"/>
              <w:bottom w:val="single" w:sz="4" w:space="0" w:color="auto"/>
              <w:right w:val="single" w:sz="4" w:space="0" w:color="auto"/>
            </w:tcBorders>
            <w:vAlign w:val="center"/>
            <w:hideMark/>
          </w:tcPr>
          <w:p w14:paraId="4D6DA90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2FA5BE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59A493B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19C3DBC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0852EEE1"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079618C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Niger</w:t>
            </w:r>
          </w:p>
        </w:tc>
        <w:tc>
          <w:tcPr>
            <w:tcW w:w="1440" w:type="dxa"/>
            <w:tcBorders>
              <w:top w:val="nil"/>
              <w:left w:val="nil"/>
              <w:bottom w:val="single" w:sz="4" w:space="0" w:color="auto"/>
              <w:right w:val="single" w:sz="4" w:space="0" w:color="auto"/>
            </w:tcBorders>
            <w:vAlign w:val="center"/>
            <w:hideMark/>
          </w:tcPr>
          <w:p w14:paraId="2440E85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691E93A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5513F23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793F314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675627F2"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70A2DF1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Nigeria</w:t>
            </w:r>
          </w:p>
        </w:tc>
        <w:tc>
          <w:tcPr>
            <w:tcW w:w="1440" w:type="dxa"/>
            <w:tcBorders>
              <w:top w:val="nil"/>
              <w:left w:val="nil"/>
              <w:bottom w:val="single" w:sz="4" w:space="0" w:color="auto"/>
              <w:right w:val="single" w:sz="4" w:space="0" w:color="auto"/>
            </w:tcBorders>
            <w:vAlign w:val="center"/>
            <w:hideMark/>
          </w:tcPr>
          <w:p w14:paraId="3356504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1152674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25,000</w:t>
            </w:r>
          </w:p>
        </w:tc>
        <w:tc>
          <w:tcPr>
            <w:tcW w:w="1890" w:type="dxa"/>
            <w:tcBorders>
              <w:top w:val="nil"/>
              <w:left w:val="nil"/>
              <w:bottom w:val="single" w:sz="4" w:space="0" w:color="auto"/>
              <w:right w:val="single" w:sz="4" w:space="0" w:color="auto"/>
            </w:tcBorders>
            <w:vAlign w:val="center"/>
            <w:hideMark/>
          </w:tcPr>
          <w:p w14:paraId="215093B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1,750</w:t>
            </w:r>
          </w:p>
        </w:tc>
        <w:tc>
          <w:tcPr>
            <w:tcW w:w="1800" w:type="dxa"/>
            <w:tcBorders>
              <w:top w:val="nil"/>
              <w:left w:val="nil"/>
              <w:bottom w:val="single" w:sz="4" w:space="0" w:color="auto"/>
              <w:right w:val="single" w:sz="4" w:space="0" w:color="auto"/>
            </w:tcBorders>
            <w:vAlign w:val="center"/>
            <w:hideMark/>
          </w:tcPr>
          <w:p w14:paraId="2B40930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26,750</w:t>
            </w:r>
          </w:p>
        </w:tc>
      </w:tr>
      <w:tr w:rsidR="00F90461" w14:paraId="58011983"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6F47610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Nigeria</w:t>
            </w:r>
          </w:p>
        </w:tc>
        <w:tc>
          <w:tcPr>
            <w:tcW w:w="1440" w:type="dxa"/>
            <w:tcBorders>
              <w:top w:val="nil"/>
              <w:left w:val="nil"/>
              <w:bottom w:val="single" w:sz="4" w:space="0" w:color="auto"/>
              <w:right w:val="single" w:sz="4" w:space="0" w:color="auto"/>
            </w:tcBorders>
            <w:vAlign w:val="center"/>
            <w:hideMark/>
          </w:tcPr>
          <w:p w14:paraId="20623BE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3A02E2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58,000</w:t>
            </w:r>
          </w:p>
        </w:tc>
        <w:tc>
          <w:tcPr>
            <w:tcW w:w="1890" w:type="dxa"/>
            <w:tcBorders>
              <w:top w:val="nil"/>
              <w:left w:val="nil"/>
              <w:bottom w:val="single" w:sz="4" w:space="0" w:color="auto"/>
              <w:right w:val="single" w:sz="4" w:space="0" w:color="auto"/>
            </w:tcBorders>
            <w:vAlign w:val="center"/>
            <w:hideMark/>
          </w:tcPr>
          <w:p w14:paraId="6316B0C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7,540</w:t>
            </w:r>
          </w:p>
        </w:tc>
        <w:tc>
          <w:tcPr>
            <w:tcW w:w="1800" w:type="dxa"/>
            <w:tcBorders>
              <w:top w:val="nil"/>
              <w:left w:val="nil"/>
              <w:bottom w:val="single" w:sz="4" w:space="0" w:color="auto"/>
              <w:right w:val="single" w:sz="4" w:space="0" w:color="auto"/>
            </w:tcBorders>
            <w:vAlign w:val="center"/>
            <w:hideMark/>
          </w:tcPr>
          <w:p w14:paraId="7889C2B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65,540</w:t>
            </w:r>
          </w:p>
        </w:tc>
      </w:tr>
      <w:tr w:rsidR="00F90461" w14:paraId="5DE3FDA6" w14:textId="77777777" w:rsidTr="00FE5C31">
        <w:trPr>
          <w:trHeight w:val="289"/>
        </w:trPr>
        <w:tc>
          <w:tcPr>
            <w:tcW w:w="2155" w:type="dxa"/>
            <w:tcBorders>
              <w:top w:val="nil"/>
              <w:left w:val="single" w:sz="4" w:space="0" w:color="auto"/>
              <w:bottom w:val="single" w:sz="4" w:space="0" w:color="auto"/>
              <w:right w:val="single" w:sz="4" w:space="0" w:color="auto"/>
            </w:tcBorders>
            <w:vAlign w:val="center"/>
            <w:hideMark/>
          </w:tcPr>
          <w:p w14:paraId="3D3CA7C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Nigeria</w:t>
            </w:r>
          </w:p>
        </w:tc>
        <w:tc>
          <w:tcPr>
            <w:tcW w:w="1440" w:type="dxa"/>
            <w:tcBorders>
              <w:top w:val="nil"/>
              <w:left w:val="nil"/>
              <w:bottom w:val="single" w:sz="4" w:space="0" w:color="auto"/>
              <w:right w:val="single" w:sz="4" w:space="0" w:color="auto"/>
            </w:tcBorders>
            <w:vAlign w:val="center"/>
            <w:hideMark/>
          </w:tcPr>
          <w:p w14:paraId="5AFE754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EE6372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137,000</w:t>
            </w:r>
          </w:p>
        </w:tc>
        <w:tc>
          <w:tcPr>
            <w:tcW w:w="1890" w:type="dxa"/>
            <w:tcBorders>
              <w:top w:val="nil"/>
              <w:left w:val="nil"/>
              <w:bottom w:val="single" w:sz="4" w:space="0" w:color="auto"/>
              <w:right w:val="single" w:sz="4" w:space="0" w:color="auto"/>
            </w:tcBorders>
            <w:vAlign w:val="center"/>
            <w:hideMark/>
          </w:tcPr>
          <w:p w14:paraId="10DDBD0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9,590</w:t>
            </w:r>
          </w:p>
        </w:tc>
        <w:tc>
          <w:tcPr>
            <w:tcW w:w="1800" w:type="dxa"/>
            <w:tcBorders>
              <w:top w:val="nil"/>
              <w:left w:val="nil"/>
              <w:bottom w:val="single" w:sz="4" w:space="0" w:color="auto"/>
              <w:right w:val="single" w:sz="4" w:space="0" w:color="auto"/>
            </w:tcBorders>
            <w:vAlign w:val="center"/>
            <w:hideMark/>
          </w:tcPr>
          <w:p w14:paraId="25A8F5A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146,590</w:t>
            </w:r>
          </w:p>
        </w:tc>
      </w:tr>
      <w:tr w:rsidR="00F90461" w14:paraId="7D72183C"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0E86B32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North Macedonia</w:t>
            </w:r>
          </w:p>
        </w:tc>
        <w:tc>
          <w:tcPr>
            <w:tcW w:w="1440" w:type="dxa"/>
            <w:tcBorders>
              <w:top w:val="nil"/>
              <w:left w:val="nil"/>
              <w:bottom w:val="single" w:sz="4" w:space="0" w:color="auto"/>
              <w:right w:val="single" w:sz="4" w:space="0" w:color="auto"/>
            </w:tcBorders>
            <w:vAlign w:val="center"/>
            <w:hideMark/>
          </w:tcPr>
          <w:p w14:paraId="6094B87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4747A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438D5EB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21776BD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139,100</w:t>
            </w:r>
          </w:p>
        </w:tc>
      </w:tr>
      <w:tr w:rsidR="00F90461" w14:paraId="026C27F8"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1D18A7E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Oman</w:t>
            </w:r>
          </w:p>
        </w:tc>
        <w:tc>
          <w:tcPr>
            <w:tcW w:w="1440" w:type="dxa"/>
            <w:tcBorders>
              <w:top w:val="nil"/>
              <w:left w:val="nil"/>
              <w:bottom w:val="single" w:sz="4" w:space="0" w:color="auto"/>
              <w:right w:val="single" w:sz="4" w:space="0" w:color="auto"/>
            </w:tcBorders>
            <w:vAlign w:val="center"/>
            <w:hideMark/>
          </w:tcPr>
          <w:p w14:paraId="55EE880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3AE68F4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3A144D5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37E90B8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796BFF39"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0A45F41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Oman</w:t>
            </w:r>
          </w:p>
        </w:tc>
        <w:tc>
          <w:tcPr>
            <w:tcW w:w="1440" w:type="dxa"/>
            <w:tcBorders>
              <w:top w:val="nil"/>
              <w:left w:val="nil"/>
              <w:bottom w:val="single" w:sz="4" w:space="0" w:color="auto"/>
              <w:right w:val="single" w:sz="4" w:space="0" w:color="auto"/>
            </w:tcBorders>
            <w:vAlign w:val="center"/>
            <w:hideMark/>
          </w:tcPr>
          <w:p w14:paraId="38B2DE0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0FC3C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160,000</w:t>
            </w:r>
          </w:p>
        </w:tc>
        <w:tc>
          <w:tcPr>
            <w:tcW w:w="1890" w:type="dxa"/>
            <w:tcBorders>
              <w:top w:val="nil"/>
              <w:left w:val="nil"/>
              <w:bottom w:val="single" w:sz="4" w:space="0" w:color="auto"/>
              <w:right w:val="single" w:sz="4" w:space="0" w:color="auto"/>
            </w:tcBorders>
            <w:vAlign w:val="center"/>
            <w:hideMark/>
          </w:tcPr>
          <w:p w14:paraId="27A40B6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20,800</w:t>
            </w:r>
          </w:p>
        </w:tc>
        <w:tc>
          <w:tcPr>
            <w:tcW w:w="1800" w:type="dxa"/>
            <w:tcBorders>
              <w:top w:val="nil"/>
              <w:left w:val="nil"/>
              <w:bottom w:val="single" w:sz="4" w:space="0" w:color="auto"/>
              <w:right w:val="single" w:sz="4" w:space="0" w:color="auto"/>
            </w:tcBorders>
            <w:vAlign w:val="center"/>
            <w:hideMark/>
          </w:tcPr>
          <w:p w14:paraId="5B557B6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180,800</w:t>
            </w:r>
          </w:p>
        </w:tc>
      </w:tr>
      <w:tr w:rsidR="00F90461" w14:paraId="6D184013"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3F2B219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Pakistan</w:t>
            </w:r>
          </w:p>
        </w:tc>
        <w:tc>
          <w:tcPr>
            <w:tcW w:w="1440" w:type="dxa"/>
            <w:tcBorders>
              <w:top w:val="nil"/>
              <w:left w:val="nil"/>
              <w:bottom w:val="single" w:sz="4" w:space="0" w:color="auto"/>
              <w:right w:val="single" w:sz="4" w:space="0" w:color="auto"/>
            </w:tcBorders>
            <w:vAlign w:val="center"/>
            <w:hideMark/>
          </w:tcPr>
          <w:p w14:paraId="74B5AA9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85EA79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45,000</w:t>
            </w:r>
          </w:p>
        </w:tc>
        <w:tc>
          <w:tcPr>
            <w:tcW w:w="1890" w:type="dxa"/>
            <w:tcBorders>
              <w:top w:val="nil"/>
              <w:left w:val="nil"/>
              <w:bottom w:val="single" w:sz="4" w:space="0" w:color="auto"/>
              <w:right w:val="single" w:sz="4" w:space="0" w:color="auto"/>
            </w:tcBorders>
            <w:vAlign w:val="center"/>
            <w:hideMark/>
          </w:tcPr>
          <w:p w14:paraId="625131F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5,850</w:t>
            </w:r>
          </w:p>
        </w:tc>
        <w:tc>
          <w:tcPr>
            <w:tcW w:w="1800" w:type="dxa"/>
            <w:tcBorders>
              <w:top w:val="nil"/>
              <w:left w:val="nil"/>
              <w:bottom w:val="single" w:sz="4" w:space="0" w:color="auto"/>
              <w:right w:val="single" w:sz="4" w:space="0" w:color="auto"/>
            </w:tcBorders>
            <w:vAlign w:val="center"/>
            <w:hideMark/>
          </w:tcPr>
          <w:p w14:paraId="5FF5A06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50,850</w:t>
            </w:r>
          </w:p>
        </w:tc>
      </w:tr>
      <w:tr w:rsidR="00F90461" w14:paraId="0FF0C1E4"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565F07D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Pakistan</w:t>
            </w:r>
          </w:p>
        </w:tc>
        <w:tc>
          <w:tcPr>
            <w:tcW w:w="1440" w:type="dxa"/>
            <w:tcBorders>
              <w:top w:val="nil"/>
              <w:left w:val="nil"/>
              <w:bottom w:val="single" w:sz="4" w:space="0" w:color="auto"/>
              <w:right w:val="single" w:sz="4" w:space="0" w:color="auto"/>
            </w:tcBorders>
            <w:vAlign w:val="center"/>
            <w:hideMark/>
          </w:tcPr>
          <w:p w14:paraId="16BDD04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AECEF1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175,000</w:t>
            </w:r>
          </w:p>
        </w:tc>
        <w:tc>
          <w:tcPr>
            <w:tcW w:w="1890" w:type="dxa"/>
            <w:tcBorders>
              <w:top w:val="nil"/>
              <w:left w:val="nil"/>
              <w:bottom w:val="single" w:sz="4" w:space="0" w:color="auto"/>
              <w:right w:val="single" w:sz="4" w:space="0" w:color="auto"/>
            </w:tcBorders>
            <w:vAlign w:val="center"/>
            <w:hideMark/>
          </w:tcPr>
          <w:p w14:paraId="3E9D2C6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12,250</w:t>
            </w:r>
          </w:p>
        </w:tc>
        <w:tc>
          <w:tcPr>
            <w:tcW w:w="1800" w:type="dxa"/>
            <w:tcBorders>
              <w:top w:val="nil"/>
              <w:left w:val="nil"/>
              <w:bottom w:val="single" w:sz="4" w:space="0" w:color="auto"/>
              <w:right w:val="single" w:sz="4" w:space="0" w:color="auto"/>
            </w:tcBorders>
            <w:vAlign w:val="center"/>
            <w:hideMark/>
          </w:tcPr>
          <w:p w14:paraId="2EBC7C1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187,250</w:t>
            </w:r>
          </w:p>
        </w:tc>
      </w:tr>
      <w:tr w:rsidR="00F90461" w14:paraId="076D8F4B" w14:textId="77777777" w:rsidTr="00FE5C31">
        <w:trPr>
          <w:trHeight w:val="361"/>
        </w:trPr>
        <w:tc>
          <w:tcPr>
            <w:tcW w:w="2155" w:type="dxa"/>
            <w:tcBorders>
              <w:top w:val="nil"/>
              <w:left w:val="single" w:sz="4" w:space="0" w:color="auto"/>
              <w:bottom w:val="single" w:sz="4" w:space="0" w:color="auto"/>
              <w:right w:val="single" w:sz="4" w:space="0" w:color="auto"/>
            </w:tcBorders>
            <w:vAlign w:val="center"/>
            <w:hideMark/>
          </w:tcPr>
          <w:p w14:paraId="224B0B4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Panama</w:t>
            </w:r>
          </w:p>
        </w:tc>
        <w:tc>
          <w:tcPr>
            <w:tcW w:w="1440" w:type="dxa"/>
            <w:tcBorders>
              <w:top w:val="nil"/>
              <w:left w:val="nil"/>
              <w:bottom w:val="single" w:sz="4" w:space="0" w:color="auto"/>
              <w:right w:val="single" w:sz="4" w:space="0" w:color="auto"/>
            </w:tcBorders>
            <w:vAlign w:val="center"/>
            <w:hideMark/>
          </w:tcPr>
          <w:p w14:paraId="33FBF57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4048DD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1DC1CF5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2F3B0CF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69D8F85A"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111ED3C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Papua New Guinea</w:t>
            </w:r>
          </w:p>
        </w:tc>
        <w:tc>
          <w:tcPr>
            <w:tcW w:w="1440" w:type="dxa"/>
            <w:tcBorders>
              <w:top w:val="nil"/>
              <w:left w:val="nil"/>
              <w:bottom w:val="single" w:sz="4" w:space="0" w:color="auto"/>
              <w:right w:val="single" w:sz="4" w:space="0" w:color="auto"/>
            </w:tcBorders>
            <w:vAlign w:val="center"/>
            <w:hideMark/>
          </w:tcPr>
          <w:p w14:paraId="66AEBD6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58A5D36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6CAC7B0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2FF8762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140E7FD3"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43BC742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Paraguay</w:t>
            </w:r>
          </w:p>
        </w:tc>
        <w:tc>
          <w:tcPr>
            <w:tcW w:w="1440" w:type="dxa"/>
            <w:tcBorders>
              <w:top w:val="nil"/>
              <w:left w:val="nil"/>
              <w:bottom w:val="single" w:sz="4" w:space="0" w:color="auto"/>
              <w:right w:val="single" w:sz="4" w:space="0" w:color="auto"/>
            </w:tcBorders>
            <w:vAlign w:val="center"/>
            <w:hideMark/>
          </w:tcPr>
          <w:p w14:paraId="2FC0E5B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163A813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5D7CEB7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w:t>
            </w:r>
          </w:p>
        </w:tc>
        <w:tc>
          <w:tcPr>
            <w:tcW w:w="1800" w:type="dxa"/>
            <w:tcBorders>
              <w:top w:val="nil"/>
              <w:left w:val="nil"/>
              <w:bottom w:val="single" w:sz="4" w:space="0" w:color="auto"/>
              <w:right w:val="single" w:sz="4" w:space="0" w:color="auto"/>
            </w:tcBorders>
            <w:vAlign w:val="center"/>
            <w:hideMark/>
          </w:tcPr>
          <w:p w14:paraId="1C62C4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181,900</w:t>
            </w:r>
          </w:p>
        </w:tc>
      </w:tr>
      <w:tr w:rsidR="00F90461" w14:paraId="252DFAF3"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0B4A6F3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Peru</w:t>
            </w:r>
          </w:p>
        </w:tc>
        <w:tc>
          <w:tcPr>
            <w:tcW w:w="1440" w:type="dxa"/>
            <w:tcBorders>
              <w:top w:val="nil"/>
              <w:left w:val="nil"/>
              <w:bottom w:val="single" w:sz="4" w:space="0" w:color="auto"/>
              <w:right w:val="single" w:sz="4" w:space="0" w:color="auto"/>
            </w:tcBorders>
            <w:vAlign w:val="center"/>
            <w:hideMark/>
          </w:tcPr>
          <w:p w14:paraId="41992EE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2CA8336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4BC98D3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0E3BBF7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60C20626"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7000FC4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Philippines</w:t>
            </w:r>
          </w:p>
        </w:tc>
        <w:tc>
          <w:tcPr>
            <w:tcW w:w="1440" w:type="dxa"/>
            <w:tcBorders>
              <w:top w:val="nil"/>
              <w:left w:val="nil"/>
              <w:bottom w:val="single" w:sz="4" w:space="0" w:color="auto"/>
              <w:right w:val="single" w:sz="4" w:space="0" w:color="auto"/>
            </w:tcBorders>
            <w:vAlign w:val="center"/>
            <w:hideMark/>
          </w:tcPr>
          <w:p w14:paraId="70DA9B2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D805C3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105EE42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23647AA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1D613B81" w14:textId="77777777" w:rsidTr="00FE5C31">
        <w:trPr>
          <w:trHeight w:val="280"/>
        </w:trPr>
        <w:tc>
          <w:tcPr>
            <w:tcW w:w="2155" w:type="dxa"/>
            <w:tcBorders>
              <w:top w:val="nil"/>
              <w:left w:val="single" w:sz="4" w:space="0" w:color="auto"/>
              <w:bottom w:val="single" w:sz="4" w:space="0" w:color="auto"/>
              <w:right w:val="single" w:sz="4" w:space="0" w:color="auto"/>
            </w:tcBorders>
            <w:vAlign w:val="center"/>
            <w:hideMark/>
          </w:tcPr>
          <w:p w14:paraId="0E72C37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Philippines</w:t>
            </w:r>
          </w:p>
        </w:tc>
        <w:tc>
          <w:tcPr>
            <w:tcW w:w="1440" w:type="dxa"/>
            <w:tcBorders>
              <w:top w:val="nil"/>
              <w:left w:val="nil"/>
              <w:bottom w:val="single" w:sz="4" w:space="0" w:color="auto"/>
              <w:right w:val="single" w:sz="4" w:space="0" w:color="auto"/>
            </w:tcBorders>
            <w:vAlign w:val="center"/>
            <w:hideMark/>
          </w:tcPr>
          <w:p w14:paraId="63C14FA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A1A501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80,000</w:t>
            </w:r>
          </w:p>
        </w:tc>
        <w:tc>
          <w:tcPr>
            <w:tcW w:w="1890" w:type="dxa"/>
            <w:tcBorders>
              <w:top w:val="nil"/>
              <w:left w:val="nil"/>
              <w:bottom w:val="single" w:sz="4" w:space="0" w:color="auto"/>
              <w:right w:val="single" w:sz="4" w:space="0" w:color="auto"/>
            </w:tcBorders>
            <w:vAlign w:val="center"/>
            <w:hideMark/>
          </w:tcPr>
          <w:p w14:paraId="2E7FCE6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5,600</w:t>
            </w:r>
          </w:p>
        </w:tc>
        <w:tc>
          <w:tcPr>
            <w:tcW w:w="1800" w:type="dxa"/>
            <w:tcBorders>
              <w:top w:val="nil"/>
              <w:left w:val="nil"/>
              <w:bottom w:val="single" w:sz="4" w:space="0" w:color="auto"/>
              <w:right w:val="single" w:sz="4" w:space="0" w:color="auto"/>
            </w:tcBorders>
            <w:vAlign w:val="center"/>
            <w:hideMark/>
          </w:tcPr>
          <w:p w14:paraId="781D76B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85,600</w:t>
            </w:r>
          </w:p>
        </w:tc>
      </w:tr>
      <w:tr w:rsidR="00F90461" w14:paraId="0EBE36AC"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36348DA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Region: ASP</w:t>
            </w:r>
          </w:p>
        </w:tc>
        <w:tc>
          <w:tcPr>
            <w:tcW w:w="1440" w:type="dxa"/>
            <w:tcBorders>
              <w:top w:val="nil"/>
              <w:left w:val="nil"/>
              <w:bottom w:val="single" w:sz="4" w:space="0" w:color="auto"/>
              <w:right w:val="single" w:sz="4" w:space="0" w:color="auto"/>
            </w:tcBorders>
            <w:vAlign w:val="center"/>
            <w:hideMark/>
          </w:tcPr>
          <w:p w14:paraId="192BAFB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C01BE9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780,000</w:t>
            </w:r>
          </w:p>
        </w:tc>
        <w:tc>
          <w:tcPr>
            <w:tcW w:w="1890" w:type="dxa"/>
            <w:tcBorders>
              <w:top w:val="nil"/>
              <w:left w:val="nil"/>
              <w:bottom w:val="single" w:sz="4" w:space="0" w:color="auto"/>
              <w:right w:val="single" w:sz="4" w:space="0" w:color="auto"/>
            </w:tcBorders>
            <w:vAlign w:val="center"/>
            <w:hideMark/>
          </w:tcPr>
          <w:p w14:paraId="29F9E4B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95,800</w:t>
            </w:r>
          </w:p>
        </w:tc>
        <w:tc>
          <w:tcPr>
            <w:tcW w:w="1800" w:type="dxa"/>
            <w:tcBorders>
              <w:top w:val="nil"/>
              <w:left w:val="nil"/>
              <w:bottom w:val="single" w:sz="4" w:space="0" w:color="auto"/>
              <w:right w:val="single" w:sz="4" w:space="0" w:color="auto"/>
            </w:tcBorders>
            <w:vAlign w:val="center"/>
            <w:hideMark/>
          </w:tcPr>
          <w:p w14:paraId="72C871A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875,800</w:t>
            </w:r>
          </w:p>
        </w:tc>
      </w:tr>
      <w:tr w:rsidR="00F90461" w14:paraId="1F25AA5D" w14:textId="77777777" w:rsidTr="00FE5C31">
        <w:trPr>
          <w:trHeight w:val="352"/>
        </w:trPr>
        <w:tc>
          <w:tcPr>
            <w:tcW w:w="2155" w:type="dxa"/>
            <w:tcBorders>
              <w:top w:val="nil"/>
              <w:left w:val="single" w:sz="4" w:space="0" w:color="auto"/>
              <w:bottom w:val="single" w:sz="4" w:space="0" w:color="auto"/>
              <w:right w:val="single" w:sz="4" w:space="0" w:color="auto"/>
            </w:tcBorders>
            <w:vAlign w:val="center"/>
            <w:hideMark/>
          </w:tcPr>
          <w:p w14:paraId="32440DC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Rwanda</w:t>
            </w:r>
          </w:p>
        </w:tc>
        <w:tc>
          <w:tcPr>
            <w:tcW w:w="1440" w:type="dxa"/>
            <w:tcBorders>
              <w:top w:val="nil"/>
              <w:left w:val="nil"/>
              <w:bottom w:val="single" w:sz="4" w:space="0" w:color="auto"/>
              <w:right w:val="single" w:sz="4" w:space="0" w:color="auto"/>
            </w:tcBorders>
            <w:vAlign w:val="center"/>
            <w:hideMark/>
          </w:tcPr>
          <w:p w14:paraId="77D11BA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C1DB9E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0B7147E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13E04E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2FFAB98B" w14:textId="77777777" w:rsidTr="00FE5C31">
        <w:trPr>
          <w:trHeight w:val="343"/>
        </w:trPr>
        <w:tc>
          <w:tcPr>
            <w:tcW w:w="2155" w:type="dxa"/>
            <w:tcBorders>
              <w:top w:val="nil"/>
              <w:left w:val="single" w:sz="4" w:space="0" w:color="auto"/>
              <w:bottom w:val="single" w:sz="4" w:space="0" w:color="auto"/>
              <w:right w:val="single" w:sz="4" w:space="0" w:color="auto"/>
            </w:tcBorders>
            <w:vAlign w:val="center"/>
            <w:hideMark/>
          </w:tcPr>
          <w:p w14:paraId="03057A7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Rwanda</w:t>
            </w:r>
          </w:p>
        </w:tc>
        <w:tc>
          <w:tcPr>
            <w:tcW w:w="1440" w:type="dxa"/>
            <w:tcBorders>
              <w:top w:val="nil"/>
              <w:left w:val="nil"/>
              <w:bottom w:val="single" w:sz="4" w:space="0" w:color="auto"/>
              <w:right w:val="single" w:sz="4" w:space="0" w:color="auto"/>
            </w:tcBorders>
            <w:vAlign w:val="center"/>
            <w:hideMark/>
          </w:tcPr>
          <w:p w14:paraId="0438086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4A7948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5BFA4E4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C9A214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014D5409"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40ACD7C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Saint Lucia</w:t>
            </w:r>
          </w:p>
        </w:tc>
        <w:tc>
          <w:tcPr>
            <w:tcW w:w="1440" w:type="dxa"/>
            <w:tcBorders>
              <w:top w:val="nil"/>
              <w:left w:val="nil"/>
              <w:bottom w:val="single" w:sz="4" w:space="0" w:color="auto"/>
              <w:right w:val="single" w:sz="4" w:space="0" w:color="auto"/>
            </w:tcBorders>
            <w:vAlign w:val="center"/>
            <w:hideMark/>
          </w:tcPr>
          <w:p w14:paraId="41DF7FD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3637D63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40,000</w:t>
            </w:r>
          </w:p>
        </w:tc>
        <w:tc>
          <w:tcPr>
            <w:tcW w:w="1890" w:type="dxa"/>
            <w:tcBorders>
              <w:top w:val="nil"/>
              <w:left w:val="nil"/>
              <w:bottom w:val="single" w:sz="4" w:space="0" w:color="auto"/>
              <w:right w:val="single" w:sz="4" w:space="0" w:color="auto"/>
            </w:tcBorders>
            <w:vAlign w:val="center"/>
            <w:hideMark/>
          </w:tcPr>
          <w:p w14:paraId="17229D0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2,800</w:t>
            </w:r>
          </w:p>
        </w:tc>
        <w:tc>
          <w:tcPr>
            <w:tcW w:w="1800" w:type="dxa"/>
            <w:tcBorders>
              <w:top w:val="nil"/>
              <w:left w:val="nil"/>
              <w:bottom w:val="single" w:sz="4" w:space="0" w:color="auto"/>
              <w:right w:val="single" w:sz="4" w:space="0" w:color="auto"/>
            </w:tcBorders>
            <w:vAlign w:val="center"/>
            <w:hideMark/>
          </w:tcPr>
          <w:p w14:paraId="25EFF31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42,800</w:t>
            </w:r>
          </w:p>
        </w:tc>
      </w:tr>
      <w:tr w:rsidR="00F90461" w14:paraId="490991FE" w14:textId="77777777" w:rsidTr="00FE5C31">
        <w:trPr>
          <w:trHeight w:val="262"/>
        </w:trPr>
        <w:tc>
          <w:tcPr>
            <w:tcW w:w="2155" w:type="dxa"/>
            <w:tcBorders>
              <w:top w:val="nil"/>
              <w:left w:val="single" w:sz="4" w:space="0" w:color="auto"/>
              <w:bottom w:val="single" w:sz="4" w:space="0" w:color="auto"/>
              <w:right w:val="single" w:sz="4" w:space="0" w:color="auto"/>
            </w:tcBorders>
            <w:vAlign w:val="center"/>
            <w:hideMark/>
          </w:tcPr>
          <w:p w14:paraId="0E9D83D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Saint Lucia</w:t>
            </w:r>
          </w:p>
        </w:tc>
        <w:tc>
          <w:tcPr>
            <w:tcW w:w="1440" w:type="dxa"/>
            <w:tcBorders>
              <w:top w:val="nil"/>
              <w:left w:val="nil"/>
              <w:bottom w:val="single" w:sz="4" w:space="0" w:color="auto"/>
              <w:right w:val="single" w:sz="4" w:space="0" w:color="auto"/>
            </w:tcBorders>
            <w:vAlign w:val="center"/>
            <w:hideMark/>
          </w:tcPr>
          <w:p w14:paraId="4BD8574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59A1C2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90,000</w:t>
            </w:r>
          </w:p>
        </w:tc>
        <w:tc>
          <w:tcPr>
            <w:tcW w:w="1890" w:type="dxa"/>
            <w:tcBorders>
              <w:top w:val="nil"/>
              <w:left w:val="nil"/>
              <w:bottom w:val="single" w:sz="4" w:space="0" w:color="auto"/>
              <w:right w:val="single" w:sz="4" w:space="0" w:color="auto"/>
            </w:tcBorders>
            <w:vAlign w:val="center"/>
            <w:hideMark/>
          </w:tcPr>
          <w:p w14:paraId="4436A0A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11,700</w:t>
            </w:r>
          </w:p>
        </w:tc>
        <w:tc>
          <w:tcPr>
            <w:tcW w:w="1800" w:type="dxa"/>
            <w:tcBorders>
              <w:top w:val="nil"/>
              <w:left w:val="nil"/>
              <w:bottom w:val="single" w:sz="4" w:space="0" w:color="auto"/>
              <w:right w:val="single" w:sz="4" w:space="0" w:color="auto"/>
            </w:tcBorders>
            <w:vAlign w:val="center"/>
            <w:hideMark/>
          </w:tcPr>
          <w:p w14:paraId="7EBD8E5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101,700</w:t>
            </w:r>
          </w:p>
        </w:tc>
      </w:tr>
      <w:tr w:rsidR="00F90461" w14:paraId="2C296D13" w14:textId="77777777" w:rsidTr="00924C53">
        <w:trPr>
          <w:trHeight w:val="482"/>
        </w:trPr>
        <w:tc>
          <w:tcPr>
            <w:tcW w:w="2155" w:type="dxa"/>
            <w:tcBorders>
              <w:top w:val="nil"/>
              <w:left w:val="single" w:sz="4" w:space="0" w:color="auto"/>
              <w:bottom w:val="single" w:sz="4" w:space="0" w:color="auto"/>
              <w:right w:val="single" w:sz="4" w:space="0" w:color="auto"/>
            </w:tcBorders>
            <w:vAlign w:val="center"/>
            <w:hideMark/>
          </w:tcPr>
          <w:p w14:paraId="0F328BB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Saint Vincent and the Grenadines</w:t>
            </w:r>
          </w:p>
        </w:tc>
        <w:tc>
          <w:tcPr>
            <w:tcW w:w="1440" w:type="dxa"/>
            <w:tcBorders>
              <w:top w:val="nil"/>
              <w:left w:val="nil"/>
              <w:bottom w:val="single" w:sz="4" w:space="0" w:color="auto"/>
              <w:right w:val="single" w:sz="4" w:space="0" w:color="auto"/>
            </w:tcBorders>
            <w:vAlign w:val="center"/>
            <w:hideMark/>
          </w:tcPr>
          <w:p w14:paraId="212718D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3F1BC4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1BD038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1E0E784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462BB951" w14:textId="77777777" w:rsidTr="00924C53">
        <w:trPr>
          <w:trHeight w:val="504"/>
        </w:trPr>
        <w:tc>
          <w:tcPr>
            <w:tcW w:w="2155" w:type="dxa"/>
            <w:tcBorders>
              <w:top w:val="nil"/>
              <w:left w:val="single" w:sz="4" w:space="0" w:color="auto"/>
              <w:bottom w:val="single" w:sz="4" w:space="0" w:color="auto"/>
              <w:right w:val="single" w:sz="4" w:space="0" w:color="auto"/>
            </w:tcBorders>
            <w:vAlign w:val="center"/>
            <w:hideMark/>
          </w:tcPr>
          <w:p w14:paraId="4C4A429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Saint Vincent and the Grenadines</w:t>
            </w:r>
          </w:p>
        </w:tc>
        <w:tc>
          <w:tcPr>
            <w:tcW w:w="1440" w:type="dxa"/>
            <w:tcBorders>
              <w:top w:val="nil"/>
              <w:left w:val="nil"/>
              <w:bottom w:val="single" w:sz="4" w:space="0" w:color="auto"/>
              <w:right w:val="single" w:sz="4" w:space="0" w:color="auto"/>
            </w:tcBorders>
            <w:vAlign w:val="center"/>
            <w:hideMark/>
          </w:tcPr>
          <w:p w14:paraId="57E9D97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148D46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70,000</w:t>
            </w:r>
          </w:p>
        </w:tc>
        <w:tc>
          <w:tcPr>
            <w:tcW w:w="1890" w:type="dxa"/>
            <w:tcBorders>
              <w:top w:val="nil"/>
              <w:left w:val="nil"/>
              <w:bottom w:val="single" w:sz="4" w:space="0" w:color="auto"/>
              <w:right w:val="single" w:sz="4" w:space="0" w:color="auto"/>
            </w:tcBorders>
            <w:vAlign w:val="center"/>
            <w:hideMark/>
          </w:tcPr>
          <w:p w14:paraId="2208ED9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4B8EF3C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79,100</w:t>
            </w:r>
          </w:p>
        </w:tc>
      </w:tr>
      <w:tr w:rsidR="00F90461" w14:paraId="019FBF1C" w14:textId="77777777" w:rsidTr="00FE5C31">
        <w:trPr>
          <w:trHeight w:val="82"/>
        </w:trPr>
        <w:tc>
          <w:tcPr>
            <w:tcW w:w="2155" w:type="dxa"/>
            <w:tcBorders>
              <w:top w:val="nil"/>
              <w:left w:val="single" w:sz="4" w:space="0" w:color="auto"/>
              <w:bottom w:val="single" w:sz="4" w:space="0" w:color="auto"/>
              <w:right w:val="single" w:sz="4" w:space="0" w:color="auto"/>
            </w:tcBorders>
            <w:vAlign w:val="center"/>
            <w:hideMark/>
          </w:tcPr>
          <w:p w14:paraId="16713AF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Sao Tome and Principe</w:t>
            </w:r>
          </w:p>
        </w:tc>
        <w:tc>
          <w:tcPr>
            <w:tcW w:w="1440" w:type="dxa"/>
            <w:tcBorders>
              <w:top w:val="nil"/>
              <w:left w:val="nil"/>
              <w:bottom w:val="single" w:sz="4" w:space="0" w:color="auto"/>
              <w:right w:val="single" w:sz="4" w:space="0" w:color="auto"/>
            </w:tcBorders>
            <w:vAlign w:val="center"/>
            <w:hideMark/>
          </w:tcPr>
          <w:p w14:paraId="10EF9D6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375339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5248AE7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16,900</w:t>
            </w:r>
          </w:p>
        </w:tc>
        <w:tc>
          <w:tcPr>
            <w:tcW w:w="1800" w:type="dxa"/>
            <w:tcBorders>
              <w:top w:val="nil"/>
              <w:left w:val="nil"/>
              <w:bottom w:val="single" w:sz="4" w:space="0" w:color="auto"/>
              <w:right w:val="single" w:sz="4" w:space="0" w:color="auto"/>
            </w:tcBorders>
            <w:vAlign w:val="center"/>
            <w:hideMark/>
          </w:tcPr>
          <w:p w14:paraId="49594B0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146,900</w:t>
            </w:r>
          </w:p>
        </w:tc>
      </w:tr>
      <w:tr w:rsidR="00F90461" w14:paraId="29B7AB02" w14:textId="77777777" w:rsidTr="00FE5C31">
        <w:trPr>
          <w:trHeight w:val="271"/>
        </w:trPr>
        <w:tc>
          <w:tcPr>
            <w:tcW w:w="2155" w:type="dxa"/>
            <w:tcBorders>
              <w:top w:val="nil"/>
              <w:left w:val="single" w:sz="4" w:space="0" w:color="auto"/>
              <w:bottom w:val="single" w:sz="4" w:space="0" w:color="auto"/>
              <w:right w:val="single" w:sz="4" w:space="0" w:color="auto"/>
            </w:tcBorders>
            <w:vAlign w:val="center"/>
            <w:hideMark/>
          </w:tcPr>
          <w:p w14:paraId="687342C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Senegal</w:t>
            </w:r>
          </w:p>
        </w:tc>
        <w:tc>
          <w:tcPr>
            <w:tcW w:w="1440" w:type="dxa"/>
            <w:tcBorders>
              <w:top w:val="nil"/>
              <w:left w:val="nil"/>
              <w:bottom w:val="single" w:sz="4" w:space="0" w:color="auto"/>
              <w:right w:val="single" w:sz="4" w:space="0" w:color="auto"/>
            </w:tcBorders>
            <w:vAlign w:val="center"/>
            <w:hideMark/>
          </w:tcPr>
          <w:p w14:paraId="28D6A41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D60ED3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55,000</w:t>
            </w:r>
          </w:p>
        </w:tc>
        <w:tc>
          <w:tcPr>
            <w:tcW w:w="1890" w:type="dxa"/>
            <w:tcBorders>
              <w:top w:val="nil"/>
              <w:left w:val="nil"/>
              <w:bottom w:val="single" w:sz="4" w:space="0" w:color="auto"/>
              <w:right w:val="single" w:sz="4" w:space="0" w:color="auto"/>
            </w:tcBorders>
            <w:vAlign w:val="center"/>
            <w:hideMark/>
          </w:tcPr>
          <w:p w14:paraId="1A78B33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3,850</w:t>
            </w:r>
          </w:p>
        </w:tc>
        <w:tc>
          <w:tcPr>
            <w:tcW w:w="1800" w:type="dxa"/>
            <w:tcBorders>
              <w:top w:val="nil"/>
              <w:left w:val="nil"/>
              <w:bottom w:val="single" w:sz="4" w:space="0" w:color="auto"/>
              <w:right w:val="single" w:sz="4" w:space="0" w:color="auto"/>
            </w:tcBorders>
            <w:vAlign w:val="center"/>
            <w:hideMark/>
          </w:tcPr>
          <w:p w14:paraId="238112B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58,850</w:t>
            </w:r>
          </w:p>
        </w:tc>
      </w:tr>
      <w:tr w:rsidR="00F90461" w14:paraId="3C453356"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06282BD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Senegal</w:t>
            </w:r>
          </w:p>
        </w:tc>
        <w:tc>
          <w:tcPr>
            <w:tcW w:w="1440" w:type="dxa"/>
            <w:tcBorders>
              <w:top w:val="nil"/>
              <w:left w:val="nil"/>
              <w:bottom w:val="single" w:sz="4" w:space="0" w:color="auto"/>
              <w:right w:val="single" w:sz="4" w:space="0" w:color="auto"/>
            </w:tcBorders>
            <w:vAlign w:val="center"/>
            <w:hideMark/>
          </w:tcPr>
          <w:p w14:paraId="4E27A9B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2A658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135,000</w:t>
            </w:r>
          </w:p>
        </w:tc>
        <w:tc>
          <w:tcPr>
            <w:tcW w:w="1890" w:type="dxa"/>
            <w:tcBorders>
              <w:top w:val="nil"/>
              <w:left w:val="nil"/>
              <w:bottom w:val="single" w:sz="4" w:space="0" w:color="auto"/>
              <w:right w:val="single" w:sz="4" w:space="0" w:color="auto"/>
            </w:tcBorders>
            <w:vAlign w:val="center"/>
            <w:hideMark/>
          </w:tcPr>
          <w:p w14:paraId="229369E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17,550</w:t>
            </w:r>
          </w:p>
        </w:tc>
        <w:tc>
          <w:tcPr>
            <w:tcW w:w="1800" w:type="dxa"/>
            <w:tcBorders>
              <w:top w:val="nil"/>
              <w:left w:val="nil"/>
              <w:bottom w:val="single" w:sz="4" w:space="0" w:color="auto"/>
              <w:right w:val="single" w:sz="4" w:space="0" w:color="auto"/>
            </w:tcBorders>
            <w:vAlign w:val="center"/>
            <w:hideMark/>
          </w:tcPr>
          <w:p w14:paraId="0C51E18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152,550</w:t>
            </w:r>
          </w:p>
        </w:tc>
      </w:tr>
      <w:tr w:rsidR="00F90461" w14:paraId="1411E07D"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45CF2E6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Serbia</w:t>
            </w:r>
          </w:p>
        </w:tc>
        <w:tc>
          <w:tcPr>
            <w:tcW w:w="1440" w:type="dxa"/>
            <w:tcBorders>
              <w:top w:val="nil"/>
              <w:left w:val="nil"/>
              <w:bottom w:val="single" w:sz="4" w:space="0" w:color="auto"/>
              <w:right w:val="single" w:sz="4" w:space="0" w:color="auto"/>
            </w:tcBorders>
            <w:vAlign w:val="center"/>
            <w:hideMark/>
          </w:tcPr>
          <w:p w14:paraId="3834F0A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201F7F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55,000</w:t>
            </w:r>
          </w:p>
        </w:tc>
        <w:tc>
          <w:tcPr>
            <w:tcW w:w="1890" w:type="dxa"/>
            <w:tcBorders>
              <w:top w:val="nil"/>
              <w:left w:val="nil"/>
              <w:bottom w:val="single" w:sz="4" w:space="0" w:color="auto"/>
              <w:right w:val="single" w:sz="4" w:space="0" w:color="auto"/>
            </w:tcBorders>
            <w:vAlign w:val="center"/>
            <w:hideMark/>
          </w:tcPr>
          <w:p w14:paraId="00926D6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7,150</w:t>
            </w:r>
          </w:p>
        </w:tc>
        <w:tc>
          <w:tcPr>
            <w:tcW w:w="1800" w:type="dxa"/>
            <w:tcBorders>
              <w:top w:val="nil"/>
              <w:left w:val="nil"/>
              <w:bottom w:val="single" w:sz="4" w:space="0" w:color="auto"/>
              <w:right w:val="single" w:sz="4" w:space="0" w:color="auto"/>
            </w:tcBorders>
            <w:vAlign w:val="center"/>
            <w:hideMark/>
          </w:tcPr>
          <w:p w14:paraId="0C7C353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62,150</w:t>
            </w:r>
          </w:p>
        </w:tc>
      </w:tr>
      <w:tr w:rsidR="00F90461" w14:paraId="14E2C5E4"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0CDDDD2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Serbia</w:t>
            </w:r>
          </w:p>
        </w:tc>
        <w:tc>
          <w:tcPr>
            <w:tcW w:w="1440" w:type="dxa"/>
            <w:tcBorders>
              <w:top w:val="nil"/>
              <w:left w:val="nil"/>
              <w:bottom w:val="single" w:sz="4" w:space="0" w:color="auto"/>
              <w:right w:val="single" w:sz="4" w:space="0" w:color="auto"/>
            </w:tcBorders>
            <w:vAlign w:val="center"/>
            <w:hideMark/>
          </w:tcPr>
          <w:p w14:paraId="367A438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B7C604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115,000</w:t>
            </w:r>
          </w:p>
        </w:tc>
        <w:tc>
          <w:tcPr>
            <w:tcW w:w="1890" w:type="dxa"/>
            <w:tcBorders>
              <w:top w:val="nil"/>
              <w:left w:val="nil"/>
              <w:bottom w:val="single" w:sz="4" w:space="0" w:color="auto"/>
              <w:right w:val="single" w:sz="4" w:space="0" w:color="auto"/>
            </w:tcBorders>
            <w:vAlign w:val="center"/>
            <w:hideMark/>
          </w:tcPr>
          <w:p w14:paraId="3D864CA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8,050</w:t>
            </w:r>
          </w:p>
        </w:tc>
        <w:tc>
          <w:tcPr>
            <w:tcW w:w="1800" w:type="dxa"/>
            <w:tcBorders>
              <w:top w:val="nil"/>
              <w:left w:val="nil"/>
              <w:bottom w:val="single" w:sz="4" w:space="0" w:color="auto"/>
              <w:right w:val="single" w:sz="4" w:space="0" w:color="auto"/>
            </w:tcBorders>
            <w:vAlign w:val="center"/>
            <w:hideMark/>
          </w:tcPr>
          <w:p w14:paraId="64365EE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123,050</w:t>
            </w:r>
          </w:p>
        </w:tc>
      </w:tr>
      <w:tr w:rsidR="00F90461" w14:paraId="0F7E9347"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ACE81B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Seychelles</w:t>
            </w:r>
          </w:p>
        </w:tc>
        <w:tc>
          <w:tcPr>
            <w:tcW w:w="1440" w:type="dxa"/>
            <w:tcBorders>
              <w:top w:val="nil"/>
              <w:left w:val="nil"/>
              <w:bottom w:val="single" w:sz="4" w:space="0" w:color="auto"/>
              <w:right w:val="single" w:sz="4" w:space="0" w:color="auto"/>
            </w:tcBorders>
            <w:vAlign w:val="center"/>
            <w:hideMark/>
          </w:tcPr>
          <w:p w14:paraId="3F53F53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Germany</w:t>
            </w:r>
          </w:p>
        </w:tc>
        <w:tc>
          <w:tcPr>
            <w:tcW w:w="1530" w:type="dxa"/>
            <w:tcBorders>
              <w:top w:val="nil"/>
              <w:left w:val="nil"/>
              <w:bottom w:val="single" w:sz="4" w:space="0" w:color="auto"/>
              <w:right w:val="single" w:sz="4" w:space="0" w:color="auto"/>
            </w:tcBorders>
            <w:vAlign w:val="center"/>
            <w:hideMark/>
          </w:tcPr>
          <w:p w14:paraId="12F2483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49,000</w:t>
            </w:r>
          </w:p>
        </w:tc>
        <w:tc>
          <w:tcPr>
            <w:tcW w:w="1890" w:type="dxa"/>
            <w:tcBorders>
              <w:top w:val="nil"/>
              <w:left w:val="nil"/>
              <w:bottom w:val="single" w:sz="4" w:space="0" w:color="auto"/>
              <w:right w:val="single" w:sz="4" w:space="0" w:color="auto"/>
            </w:tcBorders>
            <w:vAlign w:val="center"/>
            <w:hideMark/>
          </w:tcPr>
          <w:p w14:paraId="73C96A0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6,370</w:t>
            </w:r>
          </w:p>
        </w:tc>
        <w:tc>
          <w:tcPr>
            <w:tcW w:w="1800" w:type="dxa"/>
            <w:tcBorders>
              <w:top w:val="nil"/>
              <w:left w:val="nil"/>
              <w:bottom w:val="single" w:sz="4" w:space="0" w:color="auto"/>
              <w:right w:val="single" w:sz="4" w:space="0" w:color="auto"/>
            </w:tcBorders>
            <w:vAlign w:val="center"/>
            <w:hideMark/>
          </w:tcPr>
          <w:p w14:paraId="10F4842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55,370</w:t>
            </w:r>
          </w:p>
        </w:tc>
      </w:tr>
      <w:tr w:rsidR="00F90461" w14:paraId="3AD937D4"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05E4CCB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Seychelles</w:t>
            </w:r>
          </w:p>
        </w:tc>
        <w:tc>
          <w:tcPr>
            <w:tcW w:w="1440" w:type="dxa"/>
            <w:tcBorders>
              <w:top w:val="nil"/>
              <w:left w:val="nil"/>
              <w:bottom w:val="single" w:sz="4" w:space="0" w:color="auto"/>
              <w:right w:val="single" w:sz="4" w:space="0" w:color="auto"/>
            </w:tcBorders>
            <w:vAlign w:val="center"/>
            <w:hideMark/>
          </w:tcPr>
          <w:p w14:paraId="358EF5C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877B6F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81,000</w:t>
            </w:r>
          </w:p>
        </w:tc>
        <w:tc>
          <w:tcPr>
            <w:tcW w:w="1890" w:type="dxa"/>
            <w:tcBorders>
              <w:top w:val="nil"/>
              <w:left w:val="nil"/>
              <w:bottom w:val="single" w:sz="4" w:space="0" w:color="auto"/>
              <w:right w:val="single" w:sz="4" w:space="0" w:color="auto"/>
            </w:tcBorders>
            <w:vAlign w:val="center"/>
            <w:hideMark/>
          </w:tcPr>
          <w:p w14:paraId="33B2521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10,530</w:t>
            </w:r>
          </w:p>
        </w:tc>
        <w:tc>
          <w:tcPr>
            <w:tcW w:w="1800" w:type="dxa"/>
            <w:tcBorders>
              <w:top w:val="nil"/>
              <w:left w:val="nil"/>
              <w:bottom w:val="single" w:sz="4" w:space="0" w:color="auto"/>
              <w:right w:val="single" w:sz="4" w:space="0" w:color="auto"/>
            </w:tcBorders>
            <w:vAlign w:val="center"/>
            <w:hideMark/>
          </w:tcPr>
          <w:p w14:paraId="5B03C6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91,530</w:t>
            </w:r>
          </w:p>
        </w:tc>
      </w:tr>
      <w:tr w:rsidR="00F90461" w14:paraId="54C9C78F"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3A3F8AC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Sierra Leone</w:t>
            </w:r>
          </w:p>
        </w:tc>
        <w:tc>
          <w:tcPr>
            <w:tcW w:w="1440" w:type="dxa"/>
            <w:tcBorders>
              <w:top w:val="nil"/>
              <w:left w:val="nil"/>
              <w:bottom w:val="single" w:sz="4" w:space="0" w:color="auto"/>
              <w:right w:val="single" w:sz="4" w:space="0" w:color="auto"/>
            </w:tcBorders>
            <w:vAlign w:val="center"/>
            <w:hideMark/>
          </w:tcPr>
          <w:p w14:paraId="32BC723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276E4C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26345C2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41BEEE5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15AAF7BA"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5BF997E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Sierra Leone</w:t>
            </w:r>
          </w:p>
        </w:tc>
        <w:tc>
          <w:tcPr>
            <w:tcW w:w="1440" w:type="dxa"/>
            <w:tcBorders>
              <w:top w:val="nil"/>
              <w:left w:val="nil"/>
              <w:bottom w:val="single" w:sz="4" w:space="0" w:color="auto"/>
              <w:right w:val="single" w:sz="4" w:space="0" w:color="auto"/>
            </w:tcBorders>
            <w:vAlign w:val="center"/>
            <w:hideMark/>
          </w:tcPr>
          <w:p w14:paraId="1144984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F92100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717E375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121DA0B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69A8C246"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AEE685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Somalia</w:t>
            </w:r>
          </w:p>
        </w:tc>
        <w:tc>
          <w:tcPr>
            <w:tcW w:w="1440" w:type="dxa"/>
            <w:tcBorders>
              <w:top w:val="nil"/>
              <w:left w:val="nil"/>
              <w:bottom w:val="single" w:sz="4" w:space="0" w:color="auto"/>
              <w:right w:val="single" w:sz="4" w:space="0" w:color="auto"/>
            </w:tcBorders>
            <w:vAlign w:val="center"/>
            <w:hideMark/>
          </w:tcPr>
          <w:p w14:paraId="0725E6A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40DDF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3354190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6,630</w:t>
            </w:r>
          </w:p>
        </w:tc>
        <w:tc>
          <w:tcPr>
            <w:tcW w:w="1800" w:type="dxa"/>
            <w:tcBorders>
              <w:top w:val="nil"/>
              <w:left w:val="nil"/>
              <w:bottom w:val="single" w:sz="4" w:space="0" w:color="auto"/>
              <w:right w:val="single" w:sz="4" w:space="0" w:color="auto"/>
            </w:tcBorders>
            <w:vAlign w:val="center"/>
            <w:hideMark/>
          </w:tcPr>
          <w:p w14:paraId="3C5025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57,630</w:t>
            </w:r>
          </w:p>
        </w:tc>
      </w:tr>
      <w:tr w:rsidR="00F90461" w14:paraId="4EF87D72"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0A31DDA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Somalia</w:t>
            </w:r>
          </w:p>
        </w:tc>
        <w:tc>
          <w:tcPr>
            <w:tcW w:w="1440" w:type="dxa"/>
            <w:tcBorders>
              <w:top w:val="nil"/>
              <w:left w:val="nil"/>
              <w:bottom w:val="single" w:sz="4" w:space="0" w:color="auto"/>
              <w:right w:val="single" w:sz="4" w:space="0" w:color="auto"/>
            </w:tcBorders>
            <w:vAlign w:val="center"/>
            <w:hideMark/>
          </w:tcPr>
          <w:p w14:paraId="3610606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D4F0D0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4CB2EB6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8,330</w:t>
            </w:r>
          </w:p>
        </w:tc>
        <w:tc>
          <w:tcPr>
            <w:tcW w:w="1800" w:type="dxa"/>
            <w:tcBorders>
              <w:top w:val="nil"/>
              <w:left w:val="nil"/>
              <w:bottom w:val="single" w:sz="4" w:space="0" w:color="auto"/>
              <w:right w:val="single" w:sz="4" w:space="0" w:color="auto"/>
            </w:tcBorders>
            <w:vAlign w:val="center"/>
            <w:hideMark/>
          </w:tcPr>
          <w:p w14:paraId="06FDBAE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127,330</w:t>
            </w:r>
          </w:p>
        </w:tc>
      </w:tr>
      <w:tr w:rsidR="00F90461" w14:paraId="68EA8AAC" w14:textId="77777777" w:rsidTr="00FE5C31">
        <w:trPr>
          <w:trHeight w:val="154"/>
        </w:trPr>
        <w:tc>
          <w:tcPr>
            <w:tcW w:w="2155" w:type="dxa"/>
            <w:tcBorders>
              <w:top w:val="nil"/>
              <w:left w:val="single" w:sz="4" w:space="0" w:color="auto"/>
              <w:bottom w:val="single" w:sz="4" w:space="0" w:color="auto"/>
              <w:right w:val="single" w:sz="4" w:space="0" w:color="auto"/>
            </w:tcBorders>
            <w:vAlign w:val="center"/>
            <w:hideMark/>
          </w:tcPr>
          <w:p w14:paraId="2DF1617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South Africa</w:t>
            </w:r>
          </w:p>
        </w:tc>
        <w:tc>
          <w:tcPr>
            <w:tcW w:w="1440" w:type="dxa"/>
            <w:tcBorders>
              <w:top w:val="nil"/>
              <w:left w:val="nil"/>
              <w:bottom w:val="single" w:sz="4" w:space="0" w:color="auto"/>
              <w:right w:val="single" w:sz="4" w:space="0" w:color="auto"/>
            </w:tcBorders>
            <w:vAlign w:val="center"/>
            <w:hideMark/>
          </w:tcPr>
          <w:p w14:paraId="2035176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FCEB57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281445D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2CC6FD2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590C29C5"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08D6C99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Sri Lanka</w:t>
            </w:r>
          </w:p>
        </w:tc>
        <w:tc>
          <w:tcPr>
            <w:tcW w:w="1440" w:type="dxa"/>
            <w:tcBorders>
              <w:top w:val="nil"/>
              <w:left w:val="nil"/>
              <w:bottom w:val="single" w:sz="4" w:space="0" w:color="auto"/>
              <w:right w:val="single" w:sz="4" w:space="0" w:color="auto"/>
            </w:tcBorders>
            <w:vAlign w:val="center"/>
            <w:hideMark/>
          </w:tcPr>
          <w:p w14:paraId="33008F4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3785867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188342E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4,550</w:t>
            </w:r>
          </w:p>
        </w:tc>
        <w:tc>
          <w:tcPr>
            <w:tcW w:w="1800" w:type="dxa"/>
            <w:tcBorders>
              <w:top w:val="nil"/>
              <w:left w:val="nil"/>
              <w:bottom w:val="single" w:sz="4" w:space="0" w:color="auto"/>
              <w:right w:val="single" w:sz="4" w:space="0" w:color="auto"/>
            </w:tcBorders>
            <w:vAlign w:val="center"/>
            <w:hideMark/>
          </w:tcPr>
          <w:p w14:paraId="7EA9F44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39,550</w:t>
            </w:r>
          </w:p>
        </w:tc>
      </w:tr>
      <w:tr w:rsidR="00F90461" w14:paraId="72DC3507"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42AB416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lastRenderedPageBreak/>
              <w:t>Sri Lanka</w:t>
            </w:r>
          </w:p>
        </w:tc>
        <w:tc>
          <w:tcPr>
            <w:tcW w:w="1440" w:type="dxa"/>
            <w:tcBorders>
              <w:top w:val="nil"/>
              <w:left w:val="nil"/>
              <w:bottom w:val="single" w:sz="4" w:space="0" w:color="auto"/>
              <w:right w:val="single" w:sz="4" w:space="0" w:color="auto"/>
            </w:tcBorders>
            <w:vAlign w:val="center"/>
            <w:hideMark/>
          </w:tcPr>
          <w:p w14:paraId="3EF920A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76657EE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135,000</w:t>
            </w:r>
          </w:p>
        </w:tc>
        <w:tc>
          <w:tcPr>
            <w:tcW w:w="1890" w:type="dxa"/>
            <w:tcBorders>
              <w:top w:val="nil"/>
              <w:left w:val="nil"/>
              <w:bottom w:val="single" w:sz="4" w:space="0" w:color="auto"/>
              <w:right w:val="single" w:sz="4" w:space="0" w:color="auto"/>
            </w:tcBorders>
            <w:vAlign w:val="center"/>
            <w:hideMark/>
          </w:tcPr>
          <w:p w14:paraId="2EC2498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9,450</w:t>
            </w:r>
          </w:p>
        </w:tc>
        <w:tc>
          <w:tcPr>
            <w:tcW w:w="1800" w:type="dxa"/>
            <w:tcBorders>
              <w:top w:val="nil"/>
              <w:left w:val="nil"/>
              <w:bottom w:val="single" w:sz="4" w:space="0" w:color="auto"/>
              <w:right w:val="single" w:sz="4" w:space="0" w:color="auto"/>
            </w:tcBorders>
            <w:vAlign w:val="center"/>
            <w:hideMark/>
          </w:tcPr>
          <w:p w14:paraId="6E8B58D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144,450</w:t>
            </w:r>
          </w:p>
        </w:tc>
      </w:tr>
      <w:tr w:rsidR="00F90461" w14:paraId="392796E0" w14:textId="77777777" w:rsidTr="00FE5C31">
        <w:trPr>
          <w:trHeight w:val="73"/>
        </w:trPr>
        <w:tc>
          <w:tcPr>
            <w:tcW w:w="2155" w:type="dxa"/>
            <w:tcBorders>
              <w:top w:val="nil"/>
              <w:left w:val="single" w:sz="4" w:space="0" w:color="auto"/>
              <w:bottom w:val="single" w:sz="4" w:space="0" w:color="auto"/>
              <w:right w:val="single" w:sz="4" w:space="0" w:color="auto"/>
            </w:tcBorders>
            <w:vAlign w:val="center"/>
            <w:hideMark/>
          </w:tcPr>
          <w:p w14:paraId="04EB306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Sri Lanka</w:t>
            </w:r>
          </w:p>
        </w:tc>
        <w:tc>
          <w:tcPr>
            <w:tcW w:w="1440" w:type="dxa"/>
            <w:tcBorders>
              <w:top w:val="nil"/>
              <w:left w:val="nil"/>
              <w:bottom w:val="single" w:sz="4" w:space="0" w:color="auto"/>
              <w:right w:val="single" w:sz="4" w:space="0" w:color="auto"/>
            </w:tcBorders>
            <w:vAlign w:val="center"/>
            <w:hideMark/>
          </w:tcPr>
          <w:p w14:paraId="4DAB9CD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4BAC559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80,000</w:t>
            </w:r>
          </w:p>
        </w:tc>
        <w:tc>
          <w:tcPr>
            <w:tcW w:w="1890" w:type="dxa"/>
            <w:tcBorders>
              <w:top w:val="nil"/>
              <w:left w:val="nil"/>
              <w:bottom w:val="single" w:sz="4" w:space="0" w:color="auto"/>
              <w:right w:val="single" w:sz="4" w:space="0" w:color="auto"/>
            </w:tcBorders>
            <w:vAlign w:val="center"/>
            <w:hideMark/>
          </w:tcPr>
          <w:p w14:paraId="2D5B92B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5,600</w:t>
            </w:r>
          </w:p>
        </w:tc>
        <w:tc>
          <w:tcPr>
            <w:tcW w:w="1800" w:type="dxa"/>
            <w:tcBorders>
              <w:top w:val="nil"/>
              <w:left w:val="nil"/>
              <w:bottom w:val="single" w:sz="4" w:space="0" w:color="auto"/>
              <w:right w:val="single" w:sz="4" w:space="0" w:color="auto"/>
            </w:tcBorders>
            <w:vAlign w:val="center"/>
            <w:hideMark/>
          </w:tcPr>
          <w:p w14:paraId="2D19283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85,600</w:t>
            </w:r>
          </w:p>
        </w:tc>
      </w:tr>
      <w:tr w:rsidR="00F90461" w14:paraId="14212199"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3ED3D64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Syria</w:t>
            </w:r>
          </w:p>
        </w:tc>
        <w:tc>
          <w:tcPr>
            <w:tcW w:w="1440" w:type="dxa"/>
            <w:tcBorders>
              <w:top w:val="nil"/>
              <w:left w:val="nil"/>
              <w:bottom w:val="single" w:sz="4" w:space="0" w:color="auto"/>
              <w:right w:val="single" w:sz="4" w:space="0" w:color="auto"/>
            </w:tcBorders>
            <w:vAlign w:val="center"/>
            <w:hideMark/>
          </w:tcPr>
          <w:p w14:paraId="5FCF755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34D69DB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66,000</w:t>
            </w:r>
          </w:p>
        </w:tc>
        <w:tc>
          <w:tcPr>
            <w:tcW w:w="1890" w:type="dxa"/>
            <w:tcBorders>
              <w:top w:val="nil"/>
              <w:left w:val="nil"/>
              <w:bottom w:val="single" w:sz="4" w:space="0" w:color="auto"/>
              <w:right w:val="single" w:sz="4" w:space="0" w:color="auto"/>
            </w:tcBorders>
            <w:vAlign w:val="center"/>
            <w:hideMark/>
          </w:tcPr>
          <w:p w14:paraId="286D7E6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4,620</w:t>
            </w:r>
          </w:p>
        </w:tc>
        <w:tc>
          <w:tcPr>
            <w:tcW w:w="1800" w:type="dxa"/>
            <w:tcBorders>
              <w:top w:val="nil"/>
              <w:left w:val="nil"/>
              <w:bottom w:val="single" w:sz="4" w:space="0" w:color="auto"/>
              <w:right w:val="single" w:sz="4" w:space="0" w:color="auto"/>
            </w:tcBorders>
            <w:vAlign w:val="center"/>
            <w:hideMark/>
          </w:tcPr>
          <w:p w14:paraId="0B95FD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70,620</w:t>
            </w:r>
          </w:p>
        </w:tc>
      </w:tr>
      <w:tr w:rsidR="00F90461" w14:paraId="5B1C9008" w14:textId="77777777" w:rsidTr="00FE5C31">
        <w:trPr>
          <w:trHeight w:val="127"/>
        </w:trPr>
        <w:tc>
          <w:tcPr>
            <w:tcW w:w="2155" w:type="dxa"/>
            <w:tcBorders>
              <w:top w:val="nil"/>
              <w:left w:val="single" w:sz="4" w:space="0" w:color="auto"/>
              <w:bottom w:val="single" w:sz="4" w:space="0" w:color="auto"/>
              <w:right w:val="single" w:sz="4" w:space="0" w:color="auto"/>
            </w:tcBorders>
            <w:vAlign w:val="center"/>
            <w:hideMark/>
          </w:tcPr>
          <w:p w14:paraId="5612978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Syria</w:t>
            </w:r>
          </w:p>
        </w:tc>
        <w:tc>
          <w:tcPr>
            <w:tcW w:w="1440" w:type="dxa"/>
            <w:tcBorders>
              <w:top w:val="nil"/>
              <w:left w:val="nil"/>
              <w:bottom w:val="single" w:sz="4" w:space="0" w:color="auto"/>
              <w:right w:val="single" w:sz="4" w:space="0" w:color="auto"/>
            </w:tcBorders>
            <w:vAlign w:val="center"/>
            <w:hideMark/>
          </w:tcPr>
          <w:p w14:paraId="224C626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6766BD2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154,000</w:t>
            </w:r>
          </w:p>
        </w:tc>
        <w:tc>
          <w:tcPr>
            <w:tcW w:w="1890" w:type="dxa"/>
            <w:tcBorders>
              <w:top w:val="nil"/>
              <w:left w:val="nil"/>
              <w:bottom w:val="single" w:sz="4" w:space="0" w:color="auto"/>
              <w:right w:val="single" w:sz="4" w:space="0" w:color="auto"/>
            </w:tcBorders>
            <w:vAlign w:val="center"/>
            <w:hideMark/>
          </w:tcPr>
          <w:p w14:paraId="6B73C84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20,020</w:t>
            </w:r>
          </w:p>
        </w:tc>
        <w:tc>
          <w:tcPr>
            <w:tcW w:w="1800" w:type="dxa"/>
            <w:tcBorders>
              <w:top w:val="nil"/>
              <w:left w:val="nil"/>
              <w:bottom w:val="single" w:sz="4" w:space="0" w:color="auto"/>
              <w:right w:val="single" w:sz="4" w:space="0" w:color="auto"/>
            </w:tcBorders>
            <w:vAlign w:val="center"/>
            <w:hideMark/>
          </w:tcPr>
          <w:p w14:paraId="53D630D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174,020</w:t>
            </w:r>
          </w:p>
        </w:tc>
      </w:tr>
      <w:tr w:rsidR="00F90461" w14:paraId="7C73C61E"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71CE5A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Tanzania</w:t>
            </w:r>
          </w:p>
        </w:tc>
        <w:tc>
          <w:tcPr>
            <w:tcW w:w="1440" w:type="dxa"/>
            <w:tcBorders>
              <w:top w:val="nil"/>
              <w:left w:val="nil"/>
              <w:bottom w:val="single" w:sz="4" w:space="0" w:color="auto"/>
              <w:right w:val="single" w:sz="4" w:space="0" w:color="auto"/>
            </w:tcBorders>
            <w:vAlign w:val="center"/>
            <w:hideMark/>
          </w:tcPr>
          <w:p w14:paraId="146A015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1C1BB8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4043CC8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040986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7C7B137D" w14:textId="77777777" w:rsidTr="00FE5C31">
        <w:trPr>
          <w:trHeight w:val="100"/>
        </w:trPr>
        <w:tc>
          <w:tcPr>
            <w:tcW w:w="2155" w:type="dxa"/>
            <w:tcBorders>
              <w:top w:val="nil"/>
              <w:left w:val="single" w:sz="4" w:space="0" w:color="auto"/>
              <w:bottom w:val="single" w:sz="4" w:space="0" w:color="auto"/>
              <w:right w:val="single" w:sz="4" w:space="0" w:color="auto"/>
            </w:tcBorders>
            <w:vAlign w:val="center"/>
            <w:hideMark/>
          </w:tcPr>
          <w:p w14:paraId="0084592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Tanzania</w:t>
            </w:r>
          </w:p>
        </w:tc>
        <w:tc>
          <w:tcPr>
            <w:tcW w:w="1440" w:type="dxa"/>
            <w:tcBorders>
              <w:top w:val="nil"/>
              <w:left w:val="nil"/>
              <w:bottom w:val="single" w:sz="4" w:space="0" w:color="auto"/>
              <w:right w:val="single" w:sz="4" w:space="0" w:color="auto"/>
            </w:tcBorders>
            <w:vAlign w:val="center"/>
            <w:hideMark/>
          </w:tcPr>
          <w:p w14:paraId="705DB29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5599413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7368CC9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167E0B1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12A5001C" w14:textId="77777777" w:rsidTr="00FE5C31">
        <w:trPr>
          <w:trHeight w:val="127"/>
        </w:trPr>
        <w:tc>
          <w:tcPr>
            <w:tcW w:w="2155" w:type="dxa"/>
            <w:tcBorders>
              <w:top w:val="nil"/>
              <w:left w:val="single" w:sz="4" w:space="0" w:color="auto"/>
              <w:bottom w:val="single" w:sz="4" w:space="0" w:color="auto"/>
              <w:right w:val="single" w:sz="4" w:space="0" w:color="auto"/>
            </w:tcBorders>
            <w:vAlign w:val="center"/>
            <w:hideMark/>
          </w:tcPr>
          <w:p w14:paraId="18A7A8D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Thailand</w:t>
            </w:r>
          </w:p>
        </w:tc>
        <w:tc>
          <w:tcPr>
            <w:tcW w:w="1440" w:type="dxa"/>
            <w:tcBorders>
              <w:top w:val="nil"/>
              <w:left w:val="nil"/>
              <w:bottom w:val="single" w:sz="4" w:space="0" w:color="auto"/>
              <w:right w:val="single" w:sz="4" w:space="0" w:color="auto"/>
            </w:tcBorders>
            <w:vAlign w:val="center"/>
            <w:hideMark/>
          </w:tcPr>
          <w:p w14:paraId="7304C81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197E37D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1A2FE56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3A816FA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40C0A5EE"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5F01EC9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Togo</w:t>
            </w:r>
          </w:p>
        </w:tc>
        <w:tc>
          <w:tcPr>
            <w:tcW w:w="1440" w:type="dxa"/>
            <w:tcBorders>
              <w:top w:val="nil"/>
              <w:left w:val="nil"/>
              <w:bottom w:val="single" w:sz="4" w:space="0" w:color="auto"/>
              <w:right w:val="single" w:sz="4" w:space="0" w:color="auto"/>
            </w:tcBorders>
            <w:vAlign w:val="center"/>
            <w:hideMark/>
          </w:tcPr>
          <w:p w14:paraId="67DF36F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94BE20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6F2B8AB2"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7474D29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5CE670D5"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39AA6DA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Togo</w:t>
            </w:r>
          </w:p>
        </w:tc>
        <w:tc>
          <w:tcPr>
            <w:tcW w:w="1440" w:type="dxa"/>
            <w:tcBorders>
              <w:top w:val="nil"/>
              <w:left w:val="nil"/>
              <w:bottom w:val="single" w:sz="4" w:space="0" w:color="auto"/>
              <w:right w:val="single" w:sz="4" w:space="0" w:color="auto"/>
            </w:tcBorders>
            <w:vAlign w:val="center"/>
            <w:hideMark/>
          </w:tcPr>
          <w:p w14:paraId="5A3DA9D6"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0AA94E7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1C34B96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2DBA3DE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11BFC832"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0F837D0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Trinidad and Tobago</w:t>
            </w:r>
          </w:p>
        </w:tc>
        <w:tc>
          <w:tcPr>
            <w:tcW w:w="1440" w:type="dxa"/>
            <w:tcBorders>
              <w:top w:val="nil"/>
              <w:left w:val="nil"/>
              <w:bottom w:val="single" w:sz="4" w:space="0" w:color="auto"/>
              <w:right w:val="single" w:sz="4" w:space="0" w:color="auto"/>
            </w:tcBorders>
            <w:vAlign w:val="center"/>
            <w:hideMark/>
          </w:tcPr>
          <w:p w14:paraId="425FA99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AF8F27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6B7ADAC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632807C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4DE23598"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056FEAA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Tunisia</w:t>
            </w:r>
          </w:p>
        </w:tc>
        <w:tc>
          <w:tcPr>
            <w:tcW w:w="1440" w:type="dxa"/>
            <w:tcBorders>
              <w:top w:val="nil"/>
              <w:left w:val="nil"/>
              <w:bottom w:val="single" w:sz="4" w:space="0" w:color="auto"/>
              <w:right w:val="single" w:sz="4" w:space="0" w:color="auto"/>
            </w:tcBorders>
            <w:vAlign w:val="center"/>
            <w:hideMark/>
          </w:tcPr>
          <w:p w14:paraId="3189BCE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C2067D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523BB9D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5854F25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0E44C92C"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A2EEC5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Turkey</w:t>
            </w:r>
          </w:p>
        </w:tc>
        <w:tc>
          <w:tcPr>
            <w:tcW w:w="1440" w:type="dxa"/>
            <w:tcBorders>
              <w:top w:val="nil"/>
              <w:left w:val="nil"/>
              <w:bottom w:val="single" w:sz="4" w:space="0" w:color="auto"/>
              <w:right w:val="single" w:sz="4" w:space="0" w:color="auto"/>
            </w:tcBorders>
            <w:vAlign w:val="center"/>
            <w:hideMark/>
          </w:tcPr>
          <w:p w14:paraId="752CF967"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968C8B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100,000</w:t>
            </w:r>
          </w:p>
        </w:tc>
        <w:tc>
          <w:tcPr>
            <w:tcW w:w="1890" w:type="dxa"/>
            <w:tcBorders>
              <w:top w:val="nil"/>
              <w:left w:val="nil"/>
              <w:bottom w:val="single" w:sz="4" w:space="0" w:color="auto"/>
              <w:right w:val="single" w:sz="4" w:space="0" w:color="auto"/>
            </w:tcBorders>
            <w:vAlign w:val="center"/>
            <w:hideMark/>
          </w:tcPr>
          <w:p w14:paraId="23EA299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w:t>
            </w:r>
          </w:p>
        </w:tc>
        <w:tc>
          <w:tcPr>
            <w:tcW w:w="1800" w:type="dxa"/>
            <w:tcBorders>
              <w:top w:val="nil"/>
              <w:left w:val="nil"/>
              <w:bottom w:val="single" w:sz="4" w:space="0" w:color="auto"/>
              <w:right w:val="single" w:sz="4" w:space="0" w:color="auto"/>
            </w:tcBorders>
            <w:vAlign w:val="center"/>
            <w:hideMark/>
          </w:tcPr>
          <w:p w14:paraId="694B714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107,000</w:t>
            </w:r>
          </w:p>
        </w:tc>
      </w:tr>
      <w:tr w:rsidR="00F90461" w14:paraId="4F6D7376"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FE6487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Turkey</w:t>
            </w:r>
          </w:p>
        </w:tc>
        <w:tc>
          <w:tcPr>
            <w:tcW w:w="1440" w:type="dxa"/>
            <w:tcBorders>
              <w:top w:val="nil"/>
              <w:left w:val="nil"/>
              <w:bottom w:val="single" w:sz="4" w:space="0" w:color="auto"/>
              <w:right w:val="single" w:sz="4" w:space="0" w:color="auto"/>
            </w:tcBorders>
            <w:vAlign w:val="center"/>
            <w:hideMark/>
          </w:tcPr>
          <w:p w14:paraId="4075FE6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9AC954D"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120,000</w:t>
            </w:r>
          </w:p>
        </w:tc>
        <w:tc>
          <w:tcPr>
            <w:tcW w:w="1890" w:type="dxa"/>
            <w:tcBorders>
              <w:top w:val="nil"/>
              <w:left w:val="nil"/>
              <w:bottom w:val="single" w:sz="4" w:space="0" w:color="auto"/>
              <w:right w:val="single" w:sz="4" w:space="0" w:color="auto"/>
            </w:tcBorders>
            <w:vAlign w:val="center"/>
            <w:hideMark/>
          </w:tcPr>
          <w:p w14:paraId="3CE85814"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8,400</w:t>
            </w:r>
          </w:p>
        </w:tc>
        <w:tc>
          <w:tcPr>
            <w:tcW w:w="1800" w:type="dxa"/>
            <w:tcBorders>
              <w:top w:val="nil"/>
              <w:left w:val="nil"/>
              <w:bottom w:val="single" w:sz="4" w:space="0" w:color="auto"/>
              <w:right w:val="single" w:sz="4" w:space="0" w:color="auto"/>
            </w:tcBorders>
            <w:vAlign w:val="center"/>
            <w:hideMark/>
          </w:tcPr>
          <w:p w14:paraId="3887DE7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128,400</w:t>
            </w:r>
          </w:p>
        </w:tc>
      </w:tr>
      <w:tr w:rsidR="00F90461" w14:paraId="66484FD2"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34F34A9D"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Turkey</w:t>
            </w:r>
          </w:p>
        </w:tc>
        <w:tc>
          <w:tcPr>
            <w:tcW w:w="1440" w:type="dxa"/>
            <w:tcBorders>
              <w:top w:val="nil"/>
              <w:left w:val="nil"/>
              <w:bottom w:val="single" w:sz="4" w:space="0" w:color="auto"/>
              <w:right w:val="single" w:sz="4" w:space="0" w:color="auto"/>
            </w:tcBorders>
            <w:vAlign w:val="center"/>
            <w:hideMark/>
          </w:tcPr>
          <w:p w14:paraId="74822D3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410DA26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150,000</w:t>
            </w:r>
          </w:p>
        </w:tc>
        <w:tc>
          <w:tcPr>
            <w:tcW w:w="1890" w:type="dxa"/>
            <w:tcBorders>
              <w:top w:val="nil"/>
              <w:left w:val="nil"/>
              <w:bottom w:val="single" w:sz="4" w:space="0" w:color="auto"/>
              <w:right w:val="single" w:sz="4" w:space="0" w:color="auto"/>
            </w:tcBorders>
            <w:vAlign w:val="center"/>
            <w:hideMark/>
          </w:tcPr>
          <w:p w14:paraId="431CE46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10,500</w:t>
            </w:r>
          </w:p>
        </w:tc>
        <w:tc>
          <w:tcPr>
            <w:tcW w:w="1800" w:type="dxa"/>
            <w:tcBorders>
              <w:top w:val="nil"/>
              <w:left w:val="nil"/>
              <w:bottom w:val="single" w:sz="4" w:space="0" w:color="auto"/>
              <w:right w:val="single" w:sz="4" w:space="0" w:color="auto"/>
            </w:tcBorders>
            <w:vAlign w:val="center"/>
            <w:hideMark/>
          </w:tcPr>
          <w:p w14:paraId="4673DF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160,500</w:t>
            </w:r>
          </w:p>
        </w:tc>
      </w:tr>
      <w:tr w:rsidR="00F90461" w14:paraId="7B3D1402"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7F2B269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Turkmenistan</w:t>
            </w:r>
          </w:p>
        </w:tc>
        <w:tc>
          <w:tcPr>
            <w:tcW w:w="1440" w:type="dxa"/>
            <w:tcBorders>
              <w:top w:val="nil"/>
              <w:left w:val="nil"/>
              <w:bottom w:val="single" w:sz="4" w:space="0" w:color="auto"/>
              <w:right w:val="single" w:sz="4" w:space="0" w:color="auto"/>
            </w:tcBorders>
            <w:vAlign w:val="center"/>
            <w:hideMark/>
          </w:tcPr>
          <w:p w14:paraId="35757AD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76F6D5F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170,000</w:t>
            </w:r>
          </w:p>
        </w:tc>
        <w:tc>
          <w:tcPr>
            <w:tcW w:w="1890" w:type="dxa"/>
            <w:tcBorders>
              <w:top w:val="nil"/>
              <w:left w:val="nil"/>
              <w:bottom w:val="single" w:sz="4" w:space="0" w:color="auto"/>
              <w:right w:val="single" w:sz="4" w:space="0" w:color="auto"/>
            </w:tcBorders>
            <w:vAlign w:val="center"/>
            <w:hideMark/>
          </w:tcPr>
          <w:p w14:paraId="767C07C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22,100</w:t>
            </w:r>
          </w:p>
        </w:tc>
        <w:tc>
          <w:tcPr>
            <w:tcW w:w="1800" w:type="dxa"/>
            <w:tcBorders>
              <w:top w:val="nil"/>
              <w:left w:val="nil"/>
              <w:bottom w:val="single" w:sz="4" w:space="0" w:color="auto"/>
              <w:right w:val="single" w:sz="4" w:space="0" w:color="auto"/>
            </w:tcBorders>
            <w:vAlign w:val="center"/>
            <w:hideMark/>
          </w:tcPr>
          <w:p w14:paraId="0F423D7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192,100</w:t>
            </w:r>
          </w:p>
        </w:tc>
      </w:tr>
      <w:tr w:rsidR="00F90461" w14:paraId="6F133C82"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713594B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Turkmenistan</w:t>
            </w:r>
          </w:p>
        </w:tc>
        <w:tc>
          <w:tcPr>
            <w:tcW w:w="1440" w:type="dxa"/>
            <w:tcBorders>
              <w:top w:val="nil"/>
              <w:left w:val="nil"/>
              <w:bottom w:val="single" w:sz="4" w:space="0" w:color="auto"/>
              <w:right w:val="single" w:sz="4" w:space="0" w:color="auto"/>
            </w:tcBorders>
            <w:vAlign w:val="center"/>
            <w:hideMark/>
          </w:tcPr>
          <w:p w14:paraId="2F9865B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0481E5F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10,000</w:t>
            </w:r>
          </w:p>
        </w:tc>
        <w:tc>
          <w:tcPr>
            <w:tcW w:w="1890" w:type="dxa"/>
            <w:tcBorders>
              <w:top w:val="nil"/>
              <w:left w:val="nil"/>
              <w:bottom w:val="single" w:sz="4" w:space="0" w:color="auto"/>
              <w:right w:val="single" w:sz="4" w:space="0" w:color="auto"/>
            </w:tcBorders>
            <w:vAlign w:val="center"/>
            <w:hideMark/>
          </w:tcPr>
          <w:p w14:paraId="0660AE3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w:t>
            </w:r>
          </w:p>
        </w:tc>
        <w:tc>
          <w:tcPr>
            <w:tcW w:w="1800" w:type="dxa"/>
            <w:tcBorders>
              <w:top w:val="nil"/>
              <w:left w:val="nil"/>
              <w:bottom w:val="single" w:sz="4" w:space="0" w:color="auto"/>
              <w:right w:val="single" w:sz="4" w:space="0" w:color="auto"/>
            </w:tcBorders>
            <w:vAlign w:val="center"/>
            <w:hideMark/>
          </w:tcPr>
          <w:p w14:paraId="4609551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10,700</w:t>
            </w:r>
          </w:p>
        </w:tc>
      </w:tr>
      <w:tr w:rsidR="00F90461" w14:paraId="6BFE8C70" w14:textId="77777777" w:rsidTr="00FE5C31">
        <w:trPr>
          <w:trHeight w:val="118"/>
        </w:trPr>
        <w:tc>
          <w:tcPr>
            <w:tcW w:w="2155" w:type="dxa"/>
            <w:tcBorders>
              <w:top w:val="nil"/>
              <w:left w:val="single" w:sz="4" w:space="0" w:color="auto"/>
              <w:bottom w:val="single" w:sz="4" w:space="0" w:color="auto"/>
              <w:right w:val="single" w:sz="4" w:space="0" w:color="auto"/>
            </w:tcBorders>
            <w:vAlign w:val="center"/>
            <w:hideMark/>
          </w:tcPr>
          <w:p w14:paraId="5005348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Uganda</w:t>
            </w:r>
          </w:p>
        </w:tc>
        <w:tc>
          <w:tcPr>
            <w:tcW w:w="1440" w:type="dxa"/>
            <w:tcBorders>
              <w:top w:val="nil"/>
              <w:left w:val="nil"/>
              <w:bottom w:val="single" w:sz="4" w:space="0" w:color="auto"/>
              <w:right w:val="single" w:sz="4" w:space="0" w:color="auto"/>
            </w:tcBorders>
            <w:vAlign w:val="center"/>
            <w:hideMark/>
          </w:tcPr>
          <w:p w14:paraId="72BDB94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737A7BA9"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3CE707B1"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061EF08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5E130D57"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1F5E8845"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Uganda</w:t>
            </w:r>
          </w:p>
        </w:tc>
        <w:tc>
          <w:tcPr>
            <w:tcW w:w="1440" w:type="dxa"/>
            <w:tcBorders>
              <w:top w:val="nil"/>
              <w:left w:val="nil"/>
              <w:bottom w:val="single" w:sz="4" w:space="0" w:color="auto"/>
              <w:right w:val="single" w:sz="4" w:space="0" w:color="auto"/>
            </w:tcBorders>
            <w:vAlign w:val="center"/>
            <w:hideMark/>
          </w:tcPr>
          <w:p w14:paraId="089E81F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3ED35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70,000</w:t>
            </w:r>
          </w:p>
        </w:tc>
        <w:tc>
          <w:tcPr>
            <w:tcW w:w="1890" w:type="dxa"/>
            <w:tcBorders>
              <w:top w:val="nil"/>
              <w:left w:val="nil"/>
              <w:bottom w:val="single" w:sz="4" w:space="0" w:color="auto"/>
              <w:right w:val="single" w:sz="4" w:space="0" w:color="auto"/>
            </w:tcBorders>
            <w:vAlign w:val="center"/>
            <w:hideMark/>
          </w:tcPr>
          <w:p w14:paraId="7E2B507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5EBB9A1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79,100</w:t>
            </w:r>
          </w:p>
        </w:tc>
      </w:tr>
      <w:tr w:rsidR="00F90461" w14:paraId="2D5D566C"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1BF3AA2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Uruguay</w:t>
            </w:r>
          </w:p>
        </w:tc>
        <w:tc>
          <w:tcPr>
            <w:tcW w:w="1440" w:type="dxa"/>
            <w:tcBorders>
              <w:top w:val="nil"/>
              <w:left w:val="nil"/>
              <w:bottom w:val="single" w:sz="4" w:space="0" w:color="auto"/>
              <w:right w:val="single" w:sz="4" w:space="0" w:color="auto"/>
            </w:tcBorders>
            <w:vAlign w:val="center"/>
            <w:hideMark/>
          </w:tcPr>
          <w:p w14:paraId="6DD39B6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9FE3E5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190,000</w:t>
            </w:r>
          </w:p>
        </w:tc>
        <w:tc>
          <w:tcPr>
            <w:tcW w:w="1890" w:type="dxa"/>
            <w:tcBorders>
              <w:top w:val="nil"/>
              <w:left w:val="nil"/>
              <w:bottom w:val="single" w:sz="4" w:space="0" w:color="auto"/>
              <w:right w:val="single" w:sz="4" w:space="0" w:color="auto"/>
            </w:tcBorders>
            <w:vAlign w:val="center"/>
            <w:hideMark/>
          </w:tcPr>
          <w:p w14:paraId="59ABAEE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13,300</w:t>
            </w:r>
          </w:p>
        </w:tc>
        <w:tc>
          <w:tcPr>
            <w:tcW w:w="1800" w:type="dxa"/>
            <w:tcBorders>
              <w:top w:val="nil"/>
              <w:left w:val="nil"/>
              <w:bottom w:val="single" w:sz="4" w:space="0" w:color="auto"/>
              <w:right w:val="single" w:sz="4" w:space="0" w:color="auto"/>
            </w:tcBorders>
            <w:vAlign w:val="center"/>
            <w:hideMark/>
          </w:tcPr>
          <w:p w14:paraId="2A62DA4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203,300</w:t>
            </w:r>
          </w:p>
        </w:tc>
      </w:tr>
      <w:tr w:rsidR="00F90461" w14:paraId="6BBF60FA" w14:textId="77777777" w:rsidTr="00FE5C31">
        <w:trPr>
          <w:trHeight w:val="264"/>
        </w:trPr>
        <w:tc>
          <w:tcPr>
            <w:tcW w:w="2155" w:type="dxa"/>
            <w:tcBorders>
              <w:top w:val="nil"/>
              <w:left w:val="single" w:sz="4" w:space="0" w:color="auto"/>
              <w:bottom w:val="single" w:sz="4" w:space="0" w:color="auto"/>
              <w:right w:val="single" w:sz="4" w:space="0" w:color="auto"/>
            </w:tcBorders>
            <w:vAlign w:val="center"/>
            <w:hideMark/>
          </w:tcPr>
          <w:p w14:paraId="70C94BA4"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Venezuela</w:t>
            </w:r>
          </w:p>
        </w:tc>
        <w:tc>
          <w:tcPr>
            <w:tcW w:w="1440" w:type="dxa"/>
            <w:tcBorders>
              <w:top w:val="nil"/>
              <w:left w:val="nil"/>
              <w:bottom w:val="single" w:sz="4" w:space="0" w:color="auto"/>
              <w:right w:val="single" w:sz="4" w:space="0" w:color="auto"/>
            </w:tcBorders>
            <w:vAlign w:val="center"/>
            <w:hideMark/>
          </w:tcPr>
          <w:p w14:paraId="7567CDA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2A4A9D33"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220,000</w:t>
            </w:r>
          </w:p>
        </w:tc>
        <w:tc>
          <w:tcPr>
            <w:tcW w:w="1890" w:type="dxa"/>
            <w:tcBorders>
              <w:top w:val="nil"/>
              <w:left w:val="nil"/>
              <w:bottom w:val="single" w:sz="4" w:space="0" w:color="auto"/>
              <w:right w:val="single" w:sz="4" w:space="0" w:color="auto"/>
            </w:tcBorders>
            <w:vAlign w:val="center"/>
            <w:hideMark/>
          </w:tcPr>
          <w:p w14:paraId="0B7D734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15,400</w:t>
            </w:r>
          </w:p>
        </w:tc>
        <w:tc>
          <w:tcPr>
            <w:tcW w:w="1800" w:type="dxa"/>
            <w:tcBorders>
              <w:top w:val="nil"/>
              <w:left w:val="nil"/>
              <w:bottom w:val="single" w:sz="4" w:space="0" w:color="auto"/>
              <w:right w:val="single" w:sz="4" w:space="0" w:color="auto"/>
            </w:tcBorders>
            <w:vAlign w:val="center"/>
            <w:hideMark/>
          </w:tcPr>
          <w:p w14:paraId="66BC957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235,400</w:t>
            </w:r>
          </w:p>
        </w:tc>
      </w:tr>
      <w:tr w:rsidR="00F90461" w14:paraId="5F2E7881" w14:textId="77777777" w:rsidTr="00FE5C31">
        <w:trPr>
          <w:trHeight w:val="190"/>
        </w:trPr>
        <w:tc>
          <w:tcPr>
            <w:tcW w:w="2155" w:type="dxa"/>
            <w:tcBorders>
              <w:top w:val="nil"/>
              <w:left w:val="single" w:sz="4" w:space="0" w:color="auto"/>
              <w:bottom w:val="single" w:sz="4" w:space="0" w:color="auto"/>
              <w:right w:val="single" w:sz="4" w:space="0" w:color="auto"/>
            </w:tcBorders>
            <w:vAlign w:val="center"/>
            <w:hideMark/>
          </w:tcPr>
          <w:p w14:paraId="27F85A1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Vietnam</w:t>
            </w:r>
          </w:p>
        </w:tc>
        <w:tc>
          <w:tcPr>
            <w:tcW w:w="1440" w:type="dxa"/>
            <w:tcBorders>
              <w:top w:val="nil"/>
              <w:left w:val="nil"/>
              <w:bottom w:val="single" w:sz="4" w:space="0" w:color="auto"/>
              <w:right w:val="single" w:sz="4" w:space="0" w:color="auto"/>
            </w:tcBorders>
            <w:vAlign w:val="center"/>
            <w:hideMark/>
          </w:tcPr>
          <w:p w14:paraId="7DA52D8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4D1441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35,000</w:t>
            </w:r>
          </w:p>
        </w:tc>
        <w:tc>
          <w:tcPr>
            <w:tcW w:w="1890" w:type="dxa"/>
            <w:tcBorders>
              <w:top w:val="nil"/>
              <w:left w:val="nil"/>
              <w:bottom w:val="single" w:sz="4" w:space="0" w:color="auto"/>
              <w:right w:val="single" w:sz="4" w:space="0" w:color="auto"/>
            </w:tcBorders>
            <w:vAlign w:val="center"/>
            <w:hideMark/>
          </w:tcPr>
          <w:p w14:paraId="2B2E772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4,550</w:t>
            </w:r>
          </w:p>
        </w:tc>
        <w:tc>
          <w:tcPr>
            <w:tcW w:w="1800" w:type="dxa"/>
            <w:tcBorders>
              <w:top w:val="nil"/>
              <w:left w:val="nil"/>
              <w:bottom w:val="single" w:sz="4" w:space="0" w:color="auto"/>
              <w:right w:val="single" w:sz="4" w:space="0" w:color="auto"/>
            </w:tcBorders>
            <w:vAlign w:val="center"/>
            <w:hideMark/>
          </w:tcPr>
          <w:p w14:paraId="309F027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39,550</w:t>
            </w:r>
          </w:p>
        </w:tc>
      </w:tr>
      <w:tr w:rsidR="00F90461" w14:paraId="25C68AD3" w14:textId="77777777" w:rsidTr="00FE5C31">
        <w:trPr>
          <w:trHeight w:val="217"/>
        </w:trPr>
        <w:tc>
          <w:tcPr>
            <w:tcW w:w="2155" w:type="dxa"/>
            <w:tcBorders>
              <w:top w:val="nil"/>
              <w:left w:val="single" w:sz="4" w:space="0" w:color="auto"/>
              <w:bottom w:val="single" w:sz="4" w:space="0" w:color="auto"/>
              <w:right w:val="single" w:sz="4" w:space="0" w:color="auto"/>
            </w:tcBorders>
            <w:vAlign w:val="center"/>
            <w:hideMark/>
          </w:tcPr>
          <w:p w14:paraId="14D1CE93"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Vietnam</w:t>
            </w:r>
          </w:p>
        </w:tc>
        <w:tc>
          <w:tcPr>
            <w:tcW w:w="1440" w:type="dxa"/>
            <w:tcBorders>
              <w:top w:val="nil"/>
              <w:left w:val="nil"/>
              <w:bottom w:val="single" w:sz="4" w:space="0" w:color="auto"/>
              <w:right w:val="single" w:sz="4" w:space="0" w:color="auto"/>
            </w:tcBorders>
            <w:vAlign w:val="center"/>
            <w:hideMark/>
          </w:tcPr>
          <w:p w14:paraId="4FEE8B7C"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0D69E2B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185,000</w:t>
            </w:r>
          </w:p>
        </w:tc>
        <w:tc>
          <w:tcPr>
            <w:tcW w:w="1890" w:type="dxa"/>
            <w:tcBorders>
              <w:top w:val="nil"/>
              <w:left w:val="nil"/>
              <w:bottom w:val="single" w:sz="4" w:space="0" w:color="auto"/>
              <w:right w:val="single" w:sz="4" w:space="0" w:color="auto"/>
            </w:tcBorders>
            <w:vAlign w:val="center"/>
            <w:hideMark/>
          </w:tcPr>
          <w:p w14:paraId="322BA26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12,950</w:t>
            </w:r>
          </w:p>
        </w:tc>
        <w:tc>
          <w:tcPr>
            <w:tcW w:w="1800" w:type="dxa"/>
            <w:tcBorders>
              <w:top w:val="nil"/>
              <w:left w:val="nil"/>
              <w:bottom w:val="single" w:sz="4" w:space="0" w:color="auto"/>
              <w:right w:val="single" w:sz="4" w:space="0" w:color="auto"/>
            </w:tcBorders>
            <w:vAlign w:val="center"/>
            <w:hideMark/>
          </w:tcPr>
          <w:p w14:paraId="4F024965"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197,950</w:t>
            </w:r>
          </w:p>
        </w:tc>
      </w:tr>
      <w:tr w:rsidR="00F90461" w14:paraId="6F2941AD" w14:textId="77777777" w:rsidTr="00FE5C31">
        <w:trPr>
          <w:trHeight w:val="253"/>
        </w:trPr>
        <w:tc>
          <w:tcPr>
            <w:tcW w:w="2155" w:type="dxa"/>
            <w:tcBorders>
              <w:top w:val="nil"/>
              <w:left w:val="single" w:sz="4" w:space="0" w:color="auto"/>
              <w:bottom w:val="single" w:sz="4" w:space="0" w:color="auto"/>
              <w:right w:val="single" w:sz="4" w:space="0" w:color="auto"/>
            </w:tcBorders>
            <w:vAlign w:val="center"/>
            <w:hideMark/>
          </w:tcPr>
          <w:p w14:paraId="4CC8800B"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Vietnam</w:t>
            </w:r>
          </w:p>
        </w:tc>
        <w:tc>
          <w:tcPr>
            <w:tcW w:w="1440" w:type="dxa"/>
            <w:tcBorders>
              <w:top w:val="nil"/>
              <w:left w:val="nil"/>
              <w:bottom w:val="single" w:sz="4" w:space="0" w:color="auto"/>
              <w:right w:val="single" w:sz="4" w:space="0" w:color="auto"/>
            </w:tcBorders>
            <w:vAlign w:val="center"/>
            <w:hideMark/>
          </w:tcPr>
          <w:p w14:paraId="42E4F319"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IBRD</w:t>
            </w:r>
          </w:p>
        </w:tc>
        <w:tc>
          <w:tcPr>
            <w:tcW w:w="1530" w:type="dxa"/>
            <w:tcBorders>
              <w:top w:val="nil"/>
              <w:left w:val="nil"/>
              <w:bottom w:val="single" w:sz="4" w:space="0" w:color="auto"/>
              <w:right w:val="single" w:sz="4" w:space="0" w:color="auto"/>
            </w:tcBorders>
            <w:vAlign w:val="center"/>
            <w:hideMark/>
          </w:tcPr>
          <w:p w14:paraId="644EDC6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30,000</w:t>
            </w:r>
          </w:p>
        </w:tc>
        <w:tc>
          <w:tcPr>
            <w:tcW w:w="1890" w:type="dxa"/>
            <w:tcBorders>
              <w:top w:val="nil"/>
              <w:left w:val="nil"/>
              <w:bottom w:val="single" w:sz="4" w:space="0" w:color="auto"/>
              <w:right w:val="single" w:sz="4" w:space="0" w:color="auto"/>
            </w:tcBorders>
            <w:vAlign w:val="center"/>
            <w:hideMark/>
          </w:tcPr>
          <w:p w14:paraId="406A187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2,100</w:t>
            </w:r>
          </w:p>
        </w:tc>
        <w:tc>
          <w:tcPr>
            <w:tcW w:w="1800" w:type="dxa"/>
            <w:tcBorders>
              <w:top w:val="nil"/>
              <w:left w:val="nil"/>
              <w:bottom w:val="single" w:sz="4" w:space="0" w:color="auto"/>
              <w:right w:val="single" w:sz="4" w:space="0" w:color="auto"/>
            </w:tcBorders>
            <w:vAlign w:val="center"/>
            <w:hideMark/>
          </w:tcPr>
          <w:p w14:paraId="413A284F"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32,100</w:t>
            </w:r>
          </w:p>
        </w:tc>
      </w:tr>
      <w:tr w:rsidR="00F90461" w14:paraId="60EC1458" w14:textId="77777777" w:rsidTr="00FE5C31">
        <w:trPr>
          <w:trHeight w:val="181"/>
        </w:trPr>
        <w:tc>
          <w:tcPr>
            <w:tcW w:w="2155" w:type="dxa"/>
            <w:tcBorders>
              <w:top w:val="nil"/>
              <w:left w:val="single" w:sz="4" w:space="0" w:color="auto"/>
              <w:bottom w:val="single" w:sz="4" w:space="0" w:color="auto"/>
              <w:right w:val="single" w:sz="4" w:space="0" w:color="auto"/>
            </w:tcBorders>
            <w:vAlign w:val="center"/>
            <w:hideMark/>
          </w:tcPr>
          <w:p w14:paraId="1CC9880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Zambia</w:t>
            </w:r>
          </w:p>
        </w:tc>
        <w:tc>
          <w:tcPr>
            <w:tcW w:w="1440" w:type="dxa"/>
            <w:tcBorders>
              <w:top w:val="nil"/>
              <w:left w:val="nil"/>
              <w:bottom w:val="single" w:sz="4" w:space="0" w:color="auto"/>
              <w:right w:val="single" w:sz="4" w:space="0" w:color="auto"/>
            </w:tcBorders>
            <w:vAlign w:val="center"/>
            <w:hideMark/>
          </w:tcPr>
          <w:p w14:paraId="7A7449E2"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UNIDO</w:t>
            </w:r>
          </w:p>
        </w:tc>
        <w:tc>
          <w:tcPr>
            <w:tcW w:w="1530" w:type="dxa"/>
            <w:tcBorders>
              <w:top w:val="nil"/>
              <w:left w:val="nil"/>
              <w:bottom w:val="single" w:sz="4" w:space="0" w:color="auto"/>
              <w:right w:val="single" w:sz="4" w:space="0" w:color="auto"/>
            </w:tcBorders>
            <w:vAlign w:val="center"/>
            <w:hideMark/>
          </w:tcPr>
          <w:p w14:paraId="5A435F0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39,000</w:t>
            </w:r>
          </w:p>
        </w:tc>
        <w:tc>
          <w:tcPr>
            <w:tcW w:w="1890" w:type="dxa"/>
            <w:tcBorders>
              <w:top w:val="nil"/>
              <w:left w:val="nil"/>
              <w:bottom w:val="single" w:sz="4" w:space="0" w:color="auto"/>
              <w:right w:val="single" w:sz="4" w:space="0" w:color="auto"/>
            </w:tcBorders>
            <w:vAlign w:val="center"/>
            <w:hideMark/>
          </w:tcPr>
          <w:p w14:paraId="65A1A087"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2,730</w:t>
            </w:r>
          </w:p>
        </w:tc>
        <w:tc>
          <w:tcPr>
            <w:tcW w:w="1800" w:type="dxa"/>
            <w:tcBorders>
              <w:top w:val="nil"/>
              <w:left w:val="nil"/>
              <w:bottom w:val="single" w:sz="4" w:space="0" w:color="auto"/>
              <w:right w:val="single" w:sz="4" w:space="0" w:color="auto"/>
            </w:tcBorders>
            <w:vAlign w:val="center"/>
            <w:hideMark/>
          </w:tcPr>
          <w:p w14:paraId="04984718"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41,730</w:t>
            </w:r>
          </w:p>
        </w:tc>
      </w:tr>
      <w:tr w:rsidR="00F90461" w14:paraId="159F6643" w14:textId="77777777" w:rsidTr="00FE5C31">
        <w:trPr>
          <w:trHeight w:val="208"/>
        </w:trPr>
        <w:tc>
          <w:tcPr>
            <w:tcW w:w="2155" w:type="dxa"/>
            <w:tcBorders>
              <w:top w:val="nil"/>
              <w:left w:val="single" w:sz="4" w:space="0" w:color="auto"/>
              <w:bottom w:val="single" w:sz="4" w:space="0" w:color="auto"/>
              <w:right w:val="single" w:sz="4" w:space="0" w:color="auto"/>
            </w:tcBorders>
            <w:vAlign w:val="center"/>
            <w:hideMark/>
          </w:tcPr>
          <w:p w14:paraId="5BD56FC0"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Zambia</w:t>
            </w:r>
          </w:p>
        </w:tc>
        <w:tc>
          <w:tcPr>
            <w:tcW w:w="1440" w:type="dxa"/>
            <w:tcBorders>
              <w:top w:val="nil"/>
              <w:left w:val="nil"/>
              <w:bottom w:val="single" w:sz="4" w:space="0" w:color="auto"/>
              <w:right w:val="single" w:sz="4" w:space="0" w:color="auto"/>
            </w:tcBorders>
            <w:vAlign w:val="center"/>
            <w:hideMark/>
          </w:tcPr>
          <w:p w14:paraId="262CF54A"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25CAD7E0"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91,000</w:t>
            </w:r>
          </w:p>
        </w:tc>
        <w:tc>
          <w:tcPr>
            <w:tcW w:w="1890" w:type="dxa"/>
            <w:tcBorders>
              <w:top w:val="nil"/>
              <w:left w:val="nil"/>
              <w:bottom w:val="single" w:sz="4" w:space="0" w:color="auto"/>
              <w:right w:val="single" w:sz="4" w:space="0" w:color="auto"/>
            </w:tcBorders>
            <w:vAlign w:val="center"/>
            <w:hideMark/>
          </w:tcPr>
          <w:p w14:paraId="71C8647E"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11,830</w:t>
            </w:r>
          </w:p>
        </w:tc>
        <w:tc>
          <w:tcPr>
            <w:tcW w:w="1800" w:type="dxa"/>
            <w:tcBorders>
              <w:top w:val="nil"/>
              <w:left w:val="nil"/>
              <w:bottom w:val="single" w:sz="4" w:space="0" w:color="auto"/>
              <w:right w:val="single" w:sz="4" w:space="0" w:color="auto"/>
            </w:tcBorders>
            <w:vAlign w:val="center"/>
            <w:hideMark/>
          </w:tcPr>
          <w:p w14:paraId="2FC437D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102,830</w:t>
            </w:r>
          </w:p>
        </w:tc>
      </w:tr>
      <w:tr w:rsidR="00F90461" w14:paraId="2D38A3FE" w14:textId="77777777" w:rsidTr="00FE5C31">
        <w:trPr>
          <w:trHeight w:val="235"/>
        </w:trPr>
        <w:tc>
          <w:tcPr>
            <w:tcW w:w="2155" w:type="dxa"/>
            <w:tcBorders>
              <w:top w:val="nil"/>
              <w:left w:val="single" w:sz="4" w:space="0" w:color="auto"/>
              <w:bottom w:val="single" w:sz="4" w:space="0" w:color="auto"/>
              <w:right w:val="single" w:sz="4" w:space="0" w:color="auto"/>
            </w:tcBorders>
            <w:vAlign w:val="center"/>
            <w:hideMark/>
          </w:tcPr>
          <w:p w14:paraId="1F22D76F"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Zimbabwe</w:t>
            </w:r>
          </w:p>
        </w:tc>
        <w:tc>
          <w:tcPr>
            <w:tcW w:w="1440" w:type="dxa"/>
            <w:tcBorders>
              <w:top w:val="nil"/>
              <w:left w:val="nil"/>
              <w:bottom w:val="single" w:sz="4" w:space="0" w:color="auto"/>
              <w:right w:val="single" w:sz="4" w:space="0" w:color="auto"/>
            </w:tcBorders>
            <w:vAlign w:val="center"/>
            <w:hideMark/>
          </w:tcPr>
          <w:p w14:paraId="16AF6E8E"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6330FE0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51,000</w:t>
            </w:r>
          </w:p>
        </w:tc>
        <w:tc>
          <w:tcPr>
            <w:tcW w:w="1890" w:type="dxa"/>
            <w:tcBorders>
              <w:top w:val="nil"/>
              <w:left w:val="nil"/>
              <w:bottom w:val="single" w:sz="4" w:space="0" w:color="auto"/>
              <w:right w:val="single" w:sz="4" w:space="0" w:color="auto"/>
            </w:tcBorders>
            <w:vAlign w:val="center"/>
            <w:hideMark/>
          </w:tcPr>
          <w:p w14:paraId="698E0E1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3,570</w:t>
            </w:r>
          </w:p>
        </w:tc>
        <w:tc>
          <w:tcPr>
            <w:tcW w:w="1800" w:type="dxa"/>
            <w:tcBorders>
              <w:top w:val="nil"/>
              <w:left w:val="nil"/>
              <w:bottom w:val="single" w:sz="4" w:space="0" w:color="auto"/>
              <w:right w:val="single" w:sz="4" w:space="0" w:color="auto"/>
            </w:tcBorders>
            <w:vAlign w:val="center"/>
            <w:hideMark/>
          </w:tcPr>
          <w:p w14:paraId="09C0318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54,570</w:t>
            </w:r>
          </w:p>
        </w:tc>
      </w:tr>
      <w:tr w:rsidR="00F90461" w14:paraId="10F171D5" w14:textId="77777777" w:rsidTr="00FE5C31">
        <w:trPr>
          <w:trHeight w:val="163"/>
        </w:trPr>
        <w:tc>
          <w:tcPr>
            <w:tcW w:w="2155" w:type="dxa"/>
            <w:tcBorders>
              <w:top w:val="nil"/>
              <w:left w:val="single" w:sz="4" w:space="0" w:color="auto"/>
              <w:bottom w:val="single" w:sz="4" w:space="0" w:color="auto"/>
              <w:right w:val="single" w:sz="4" w:space="0" w:color="auto"/>
            </w:tcBorders>
            <w:vAlign w:val="center"/>
            <w:hideMark/>
          </w:tcPr>
          <w:p w14:paraId="70F81798"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Zimbabwe</w:t>
            </w:r>
          </w:p>
        </w:tc>
        <w:tc>
          <w:tcPr>
            <w:tcW w:w="1440" w:type="dxa"/>
            <w:tcBorders>
              <w:top w:val="nil"/>
              <w:left w:val="nil"/>
              <w:bottom w:val="single" w:sz="4" w:space="0" w:color="auto"/>
              <w:right w:val="single" w:sz="4" w:space="0" w:color="auto"/>
            </w:tcBorders>
            <w:vAlign w:val="center"/>
            <w:hideMark/>
          </w:tcPr>
          <w:p w14:paraId="78AE17A1" w14:textId="77777777" w:rsidR="002D32D2" w:rsidRPr="00A81971" w:rsidRDefault="0032495C" w:rsidP="00FE5C31">
            <w:pPr>
              <w:spacing w:before="40" w:after="40"/>
              <w:rPr>
                <w:rFonts w:eastAsia="Times New Roman"/>
                <w:color w:val="000000"/>
                <w:sz w:val="20"/>
                <w:szCs w:val="20"/>
                <w:lang w:eastAsia="en-CA"/>
              </w:rPr>
            </w:pPr>
            <w:r w:rsidRPr="00A81971">
              <w:rPr>
                <w:rFonts w:eastAsia="Times New Roman"/>
                <w:color w:val="000000"/>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49CD6D9B"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119,000</w:t>
            </w:r>
          </w:p>
        </w:tc>
        <w:tc>
          <w:tcPr>
            <w:tcW w:w="1890" w:type="dxa"/>
            <w:tcBorders>
              <w:top w:val="nil"/>
              <w:left w:val="nil"/>
              <w:bottom w:val="single" w:sz="4" w:space="0" w:color="auto"/>
              <w:right w:val="single" w:sz="4" w:space="0" w:color="auto"/>
            </w:tcBorders>
            <w:vAlign w:val="center"/>
            <w:hideMark/>
          </w:tcPr>
          <w:p w14:paraId="68F29F5C"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15,470</w:t>
            </w:r>
          </w:p>
        </w:tc>
        <w:tc>
          <w:tcPr>
            <w:tcW w:w="1800" w:type="dxa"/>
            <w:tcBorders>
              <w:top w:val="nil"/>
              <w:left w:val="nil"/>
              <w:bottom w:val="single" w:sz="4" w:space="0" w:color="auto"/>
              <w:right w:val="single" w:sz="4" w:space="0" w:color="auto"/>
            </w:tcBorders>
            <w:vAlign w:val="center"/>
            <w:hideMark/>
          </w:tcPr>
          <w:p w14:paraId="3ED87446"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134,470</w:t>
            </w:r>
          </w:p>
        </w:tc>
      </w:tr>
      <w:tr w:rsidR="00F90461" w14:paraId="56BF624D"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19A8A809"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764328D3"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09821267"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60,000</w:t>
            </w:r>
          </w:p>
        </w:tc>
        <w:tc>
          <w:tcPr>
            <w:tcW w:w="1890" w:type="dxa"/>
            <w:tcBorders>
              <w:top w:val="nil"/>
              <w:left w:val="nil"/>
              <w:bottom w:val="single" w:sz="4" w:space="0" w:color="auto"/>
              <w:right w:val="single" w:sz="4" w:space="0" w:color="auto"/>
            </w:tcBorders>
            <w:vAlign w:val="center"/>
            <w:hideMark/>
          </w:tcPr>
          <w:p w14:paraId="5E08B4AF"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4,200</w:t>
            </w:r>
          </w:p>
        </w:tc>
        <w:tc>
          <w:tcPr>
            <w:tcW w:w="1800" w:type="dxa"/>
            <w:tcBorders>
              <w:top w:val="nil"/>
              <w:left w:val="nil"/>
              <w:bottom w:val="single" w:sz="4" w:space="0" w:color="auto"/>
              <w:right w:val="single" w:sz="4" w:space="0" w:color="auto"/>
            </w:tcBorders>
            <w:vAlign w:val="center"/>
            <w:hideMark/>
          </w:tcPr>
          <w:p w14:paraId="0F08916B"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64,200</w:t>
            </w:r>
          </w:p>
        </w:tc>
      </w:tr>
      <w:tr w:rsidR="00F90461" w14:paraId="1FBB136C" w14:textId="77777777" w:rsidTr="00FE5C31">
        <w:trPr>
          <w:trHeight w:val="136"/>
        </w:trPr>
        <w:tc>
          <w:tcPr>
            <w:tcW w:w="2155" w:type="dxa"/>
            <w:tcBorders>
              <w:top w:val="nil"/>
              <w:left w:val="single" w:sz="4" w:space="0" w:color="auto"/>
              <w:bottom w:val="single" w:sz="4" w:space="0" w:color="auto"/>
              <w:right w:val="single" w:sz="4" w:space="0" w:color="auto"/>
            </w:tcBorders>
            <w:vAlign w:val="center"/>
            <w:hideMark/>
          </w:tcPr>
          <w:p w14:paraId="072B192A"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Haiti</w:t>
            </w:r>
          </w:p>
        </w:tc>
        <w:tc>
          <w:tcPr>
            <w:tcW w:w="1440" w:type="dxa"/>
            <w:tcBorders>
              <w:top w:val="nil"/>
              <w:left w:val="nil"/>
              <w:bottom w:val="single" w:sz="4" w:space="0" w:color="auto"/>
              <w:right w:val="single" w:sz="4" w:space="0" w:color="auto"/>
            </w:tcBorders>
            <w:vAlign w:val="center"/>
            <w:hideMark/>
          </w:tcPr>
          <w:p w14:paraId="1B711708"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C8D5F47"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130,000</w:t>
            </w:r>
          </w:p>
        </w:tc>
        <w:tc>
          <w:tcPr>
            <w:tcW w:w="1890" w:type="dxa"/>
            <w:tcBorders>
              <w:top w:val="nil"/>
              <w:left w:val="nil"/>
              <w:bottom w:val="single" w:sz="4" w:space="0" w:color="auto"/>
              <w:right w:val="single" w:sz="4" w:space="0" w:color="auto"/>
            </w:tcBorders>
            <w:vAlign w:val="center"/>
            <w:hideMark/>
          </w:tcPr>
          <w:p w14:paraId="368D0AAC"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9,100</w:t>
            </w:r>
          </w:p>
        </w:tc>
        <w:tc>
          <w:tcPr>
            <w:tcW w:w="1800" w:type="dxa"/>
            <w:tcBorders>
              <w:top w:val="nil"/>
              <w:left w:val="nil"/>
              <w:bottom w:val="single" w:sz="4" w:space="0" w:color="auto"/>
              <w:right w:val="single" w:sz="4" w:space="0" w:color="auto"/>
            </w:tcBorders>
            <w:vAlign w:val="center"/>
            <w:hideMark/>
          </w:tcPr>
          <w:p w14:paraId="5BDF4731"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139,100</w:t>
            </w:r>
          </w:p>
        </w:tc>
      </w:tr>
      <w:tr w:rsidR="00F90461" w14:paraId="4C332337" w14:textId="77777777" w:rsidTr="00FE5C31">
        <w:trPr>
          <w:trHeight w:val="73"/>
        </w:trPr>
        <w:tc>
          <w:tcPr>
            <w:tcW w:w="2155" w:type="dxa"/>
            <w:tcBorders>
              <w:top w:val="nil"/>
              <w:left w:val="single" w:sz="4" w:space="0" w:color="auto"/>
              <w:bottom w:val="single" w:sz="4" w:space="0" w:color="auto"/>
              <w:right w:val="single" w:sz="4" w:space="0" w:color="auto"/>
            </w:tcBorders>
            <w:vAlign w:val="center"/>
            <w:hideMark/>
          </w:tcPr>
          <w:p w14:paraId="66E4C9EF"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India</w:t>
            </w:r>
          </w:p>
        </w:tc>
        <w:tc>
          <w:tcPr>
            <w:tcW w:w="1440" w:type="dxa"/>
            <w:tcBorders>
              <w:top w:val="nil"/>
              <w:left w:val="nil"/>
              <w:bottom w:val="single" w:sz="4" w:space="0" w:color="auto"/>
              <w:right w:val="single" w:sz="4" w:space="0" w:color="auto"/>
            </w:tcBorders>
            <w:vAlign w:val="center"/>
            <w:hideMark/>
          </w:tcPr>
          <w:p w14:paraId="7223BC66"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UNDP</w:t>
            </w:r>
          </w:p>
        </w:tc>
        <w:tc>
          <w:tcPr>
            <w:tcW w:w="1530" w:type="dxa"/>
            <w:tcBorders>
              <w:top w:val="nil"/>
              <w:left w:val="nil"/>
              <w:bottom w:val="single" w:sz="4" w:space="0" w:color="auto"/>
              <w:right w:val="single" w:sz="4" w:space="0" w:color="auto"/>
            </w:tcBorders>
            <w:vAlign w:val="center"/>
            <w:hideMark/>
          </w:tcPr>
          <w:p w14:paraId="5FFF8871"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450,000</w:t>
            </w:r>
          </w:p>
        </w:tc>
        <w:tc>
          <w:tcPr>
            <w:tcW w:w="1890" w:type="dxa"/>
            <w:tcBorders>
              <w:top w:val="nil"/>
              <w:left w:val="nil"/>
              <w:bottom w:val="single" w:sz="4" w:space="0" w:color="auto"/>
              <w:right w:val="single" w:sz="4" w:space="0" w:color="auto"/>
            </w:tcBorders>
            <w:vAlign w:val="center"/>
            <w:hideMark/>
          </w:tcPr>
          <w:p w14:paraId="69224CC3"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31,500</w:t>
            </w:r>
          </w:p>
        </w:tc>
        <w:tc>
          <w:tcPr>
            <w:tcW w:w="1800" w:type="dxa"/>
            <w:tcBorders>
              <w:top w:val="nil"/>
              <w:left w:val="nil"/>
              <w:bottom w:val="single" w:sz="4" w:space="0" w:color="auto"/>
              <w:right w:val="single" w:sz="4" w:space="0" w:color="auto"/>
            </w:tcBorders>
            <w:vAlign w:val="center"/>
            <w:hideMark/>
          </w:tcPr>
          <w:p w14:paraId="63E7BC64"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481,500</w:t>
            </w:r>
          </w:p>
        </w:tc>
      </w:tr>
      <w:tr w:rsidR="00F90461" w14:paraId="680DD09B" w14:textId="77777777" w:rsidTr="00FE5C31">
        <w:trPr>
          <w:trHeight w:val="109"/>
        </w:trPr>
        <w:tc>
          <w:tcPr>
            <w:tcW w:w="2155" w:type="dxa"/>
            <w:tcBorders>
              <w:top w:val="nil"/>
              <w:left w:val="single" w:sz="4" w:space="0" w:color="auto"/>
              <w:bottom w:val="single" w:sz="4" w:space="0" w:color="auto"/>
              <w:right w:val="single" w:sz="4" w:space="0" w:color="auto"/>
            </w:tcBorders>
            <w:vAlign w:val="center"/>
            <w:hideMark/>
          </w:tcPr>
          <w:p w14:paraId="60DADB7B"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Saint Kitts and Nevis</w:t>
            </w:r>
          </w:p>
        </w:tc>
        <w:tc>
          <w:tcPr>
            <w:tcW w:w="1440" w:type="dxa"/>
            <w:tcBorders>
              <w:top w:val="nil"/>
              <w:left w:val="nil"/>
              <w:bottom w:val="single" w:sz="4" w:space="0" w:color="auto"/>
              <w:right w:val="single" w:sz="4" w:space="0" w:color="auto"/>
            </w:tcBorders>
            <w:vAlign w:val="center"/>
            <w:hideMark/>
          </w:tcPr>
          <w:p w14:paraId="4722EA1B"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UNEP</w:t>
            </w:r>
          </w:p>
        </w:tc>
        <w:tc>
          <w:tcPr>
            <w:tcW w:w="1530" w:type="dxa"/>
            <w:tcBorders>
              <w:top w:val="nil"/>
              <w:left w:val="nil"/>
              <w:bottom w:val="single" w:sz="4" w:space="0" w:color="auto"/>
              <w:right w:val="single" w:sz="4" w:space="0" w:color="auto"/>
            </w:tcBorders>
            <w:vAlign w:val="center"/>
            <w:hideMark/>
          </w:tcPr>
          <w:p w14:paraId="217BE148"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65,000</w:t>
            </w:r>
          </w:p>
        </w:tc>
        <w:tc>
          <w:tcPr>
            <w:tcW w:w="1890" w:type="dxa"/>
            <w:tcBorders>
              <w:top w:val="nil"/>
              <w:left w:val="nil"/>
              <w:bottom w:val="single" w:sz="4" w:space="0" w:color="auto"/>
              <w:right w:val="single" w:sz="4" w:space="0" w:color="auto"/>
            </w:tcBorders>
            <w:vAlign w:val="center"/>
            <w:hideMark/>
          </w:tcPr>
          <w:p w14:paraId="287E47F9"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8,450</w:t>
            </w:r>
          </w:p>
        </w:tc>
        <w:tc>
          <w:tcPr>
            <w:tcW w:w="1800" w:type="dxa"/>
            <w:tcBorders>
              <w:top w:val="nil"/>
              <w:left w:val="nil"/>
              <w:bottom w:val="single" w:sz="4" w:space="0" w:color="auto"/>
              <w:right w:val="single" w:sz="4" w:space="0" w:color="auto"/>
            </w:tcBorders>
            <w:vAlign w:val="center"/>
            <w:hideMark/>
          </w:tcPr>
          <w:p w14:paraId="0F9BD382"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73,450</w:t>
            </w:r>
          </w:p>
        </w:tc>
      </w:tr>
      <w:tr w:rsidR="00F90461" w14:paraId="5B1C6C86" w14:textId="77777777" w:rsidTr="00FE5C31">
        <w:trPr>
          <w:trHeight w:val="316"/>
        </w:trPr>
        <w:tc>
          <w:tcPr>
            <w:tcW w:w="2155" w:type="dxa"/>
            <w:tcBorders>
              <w:top w:val="single" w:sz="4" w:space="0" w:color="auto"/>
              <w:left w:val="single" w:sz="4" w:space="0" w:color="auto"/>
              <w:bottom w:val="single" w:sz="4" w:space="0" w:color="auto"/>
              <w:right w:val="single" w:sz="4" w:space="0" w:color="auto"/>
            </w:tcBorders>
            <w:vAlign w:val="center"/>
            <w:hideMark/>
          </w:tcPr>
          <w:p w14:paraId="7508B4DB"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Saint Kitts and Nevis</w:t>
            </w:r>
          </w:p>
        </w:tc>
        <w:tc>
          <w:tcPr>
            <w:tcW w:w="1440" w:type="dxa"/>
            <w:tcBorders>
              <w:top w:val="single" w:sz="4" w:space="0" w:color="auto"/>
              <w:left w:val="nil"/>
              <w:bottom w:val="single" w:sz="4" w:space="0" w:color="auto"/>
              <w:right w:val="single" w:sz="4" w:space="0" w:color="auto"/>
            </w:tcBorders>
            <w:vAlign w:val="center"/>
            <w:hideMark/>
          </w:tcPr>
          <w:p w14:paraId="6A0F1AA2"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UNIDO</w:t>
            </w:r>
          </w:p>
        </w:tc>
        <w:tc>
          <w:tcPr>
            <w:tcW w:w="1530" w:type="dxa"/>
            <w:tcBorders>
              <w:top w:val="single" w:sz="4" w:space="0" w:color="auto"/>
              <w:left w:val="nil"/>
              <w:bottom w:val="single" w:sz="4" w:space="0" w:color="auto"/>
              <w:right w:val="single" w:sz="4" w:space="0" w:color="auto"/>
            </w:tcBorders>
            <w:vAlign w:val="center"/>
            <w:hideMark/>
          </w:tcPr>
          <w:p w14:paraId="607DBA67"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35,000</w:t>
            </w:r>
          </w:p>
        </w:tc>
        <w:tc>
          <w:tcPr>
            <w:tcW w:w="1890" w:type="dxa"/>
            <w:tcBorders>
              <w:top w:val="single" w:sz="4" w:space="0" w:color="auto"/>
              <w:left w:val="nil"/>
              <w:bottom w:val="single" w:sz="4" w:space="0" w:color="auto"/>
              <w:right w:val="single" w:sz="4" w:space="0" w:color="auto"/>
            </w:tcBorders>
            <w:vAlign w:val="center"/>
            <w:hideMark/>
          </w:tcPr>
          <w:p w14:paraId="5264DD6E"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2,450</w:t>
            </w:r>
          </w:p>
        </w:tc>
        <w:tc>
          <w:tcPr>
            <w:tcW w:w="1800" w:type="dxa"/>
            <w:tcBorders>
              <w:top w:val="single" w:sz="4" w:space="0" w:color="auto"/>
              <w:left w:val="nil"/>
              <w:bottom w:val="single" w:sz="4" w:space="0" w:color="auto"/>
              <w:right w:val="single" w:sz="4" w:space="0" w:color="auto"/>
            </w:tcBorders>
            <w:vAlign w:val="center"/>
            <w:hideMark/>
          </w:tcPr>
          <w:p w14:paraId="028FA0E7" w14:textId="77777777" w:rsidR="002D32D2" w:rsidRPr="00A81971" w:rsidRDefault="0032495C" w:rsidP="00FE5C31">
            <w:pPr>
              <w:spacing w:before="40" w:after="40"/>
              <w:jc w:val="right"/>
              <w:rPr>
                <w:rFonts w:eastAsia="Times New Roman"/>
                <w:sz w:val="20"/>
                <w:szCs w:val="20"/>
                <w:lang w:eastAsia="en-CA"/>
              </w:rPr>
            </w:pPr>
            <w:r w:rsidRPr="00A81971">
              <w:rPr>
                <w:rFonts w:eastAsia="Times New Roman"/>
                <w:sz w:val="20"/>
                <w:szCs w:val="20"/>
                <w:lang w:eastAsia="en-CA"/>
              </w:rPr>
              <w:t>37,450</w:t>
            </w:r>
          </w:p>
        </w:tc>
      </w:tr>
      <w:tr w:rsidR="00F90461" w14:paraId="37656172" w14:textId="77777777" w:rsidTr="00FE5C31">
        <w:trPr>
          <w:trHeight w:val="264"/>
        </w:trPr>
        <w:tc>
          <w:tcPr>
            <w:tcW w:w="2155" w:type="dxa"/>
            <w:tcBorders>
              <w:top w:val="single" w:sz="4" w:space="0" w:color="auto"/>
              <w:left w:val="single" w:sz="4" w:space="0" w:color="auto"/>
              <w:bottom w:val="single" w:sz="4" w:space="0" w:color="auto"/>
              <w:right w:val="single" w:sz="4" w:space="0" w:color="auto"/>
            </w:tcBorders>
            <w:vAlign w:val="center"/>
            <w:hideMark/>
          </w:tcPr>
          <w:p w14:paraId="6C7C29C5" w14:textId="77777777" w:rsidR="002D32D2" w:rsidRPr="00A81971" w:rsidRDefault="0032495C" w:rsidP="00FE5C31">
            <w:pPr>
              <w:spacing w:before="40" w:after="40"/>
              <w:rPr>
                <w:rFonts w:eastAsia="Times New Roman"/>
                <w:sz w:val="20"/>
                <w:szCs w:val="20"/>
                <w:lang w:eastAsia="en-CA"/>
              </w:rPr>
            </w:pPr>
            <w:r w:rsidRPr="00A81971">
              <w:rPr>
                <w:rFonts w:eastAsia="Times New Roman"/>
                <w:sz w:val="20"/>
                <w:szCs w:val="20"/>
                <w:lang w:eastAsia="en-CA"/>
              </w:rPr>
              <w:t>Total</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25B5A48" w14:textId="77777777" w:rsidR="002D32D2" w:rsidRPr="00A81971" w:rsidRDefault="002D32D2" w:rsidP="00FE5C31">
            <w:pPr>
              <w:spacing w:before="40" w:after="40"/>
              <w:rPr>
                <w:rFonts w:eastAsia="Times New Roman"/>
                <w:sz w:val="20"/>
                <w:szCs w:val="20"/>
                <w:lang w:eastAsia="en-CA"/>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35A375C4" w14:textId="77777777" w:rsidR="002D32D2" w:rsidRPr="00A81971" w:rsidRDefault="002D32D2" w:rsidP="00FE5C31">
            <w:pPr>
              <w:spacing w:before="40" w:after="40"/>
              <w:jc w:val="right"/>
              <w:rPr>
                <w:rFonts w:eastAsia="Times New Roman"/>
                <w:sz w:val="20"/>
                <w:szCs w:val="20"/>
                <w:lang w:eastAsia="en-CA"/>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5AE9B28C" w14:textId="77777777" w:rsidR="002D32D2" w:rsidRPr="00A81971" w:rsidRDefault="002D32D2" w:rsidP="00FE5C31">
            <w:pPr>
              <w:spacing w:before="40" w:after="40"/>
              <w:jc w:val="right"/>
              <w:rPr>
                <w:rFonts w:eastAsia="Times New Roman"/>
                <w:sz w:val="20"/>
                <w:szCs w:val="20"/>
                <w:lang w:eastAsia="en-CA"/>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5273969A" w14:textId="77777777" w:rsidR="002D32D2" w:rsidRPr="00A81971" w:rsidRDefault="0032495C" w:rsidP="00FE5C31">
            <w:pPr>
              <w:spacing w:before="40" w:after="40"/>
              <w:jc w:val="right"/>
              <w:rPr>
                <w:rFonts w:eastAsia="Times New Roman"/>
                <w:color w:val="000000"/>
                <w:sz w:val="20"/>
                <w:szCs w:val="20"/>
                <w:lang w:eastAsia="en-CA"/>
              </w:rPr>
            </w:pPr>
            <w:r w:rsidRPr="00A81971">
              <w:rPr>
                <w:rFonts w:eastAsia="Times New Roman"/>
                <w:color w:val="000000"/>
                <w:sz w:val="20"/>
                <w:szCs w:val="20"/>
                <w:lang w:eastAsia="en-CA"/>
              </w:rPr>
              <w:t>21,902,740</w:t>
            </w:r>
          </w:p>
        </w:tc>
      </w:tr>
    </w:tbl>
    <w:p w14:paraId="4758218A" w14:textId="77777777" w:rsidR="002D32D2" w:rsidRPr="00A81971" w:rsidRDefault="002D32D2" w:rsidP="0004778F">
      <w:pPr>
        <w:rPr>
          <w:bCs/>
        </w:rPr>
      </w:pPr>
    </w:p>
    <w:p w14:paraId="1B0B7DC8" w14:textId="77777777" w:rsidR="004C5FD9" w:rsidRPr="00FB4114" w:rsidRDefault="004C5FD9" w:rsidP="0004778F">
      <w:pPr>
        <w:rPr>
          <w:bCs/>
        </w:rPr>
      </w:pPr>
    </w:p>
    <w:sectPr w:rsidR="004C5FD9" w:rsidRPr="00FB4114" w:rsidSect="00924C53">
      <w:type w:val="oddPage"/>
      <w:pgSz w:w="11906" w:h="16838" w:code="9"/>
      <w:pgMar w:top="1411" w:right="1411" w:bottom="1411" w:left="141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AC37E" w14:textId="77777777" w:rsidR="000F5F43" w:rsidRDefault="000F5F43">
      <w:pPr>
        <w:spacing w:after="0"/>
      </w:pPr>
      <w:r>
        <w:separator/>
      </w:r>
    </w:p>
  </w:endnote>
  <w:endnote w:type="continuationSeparator" w:id="0">
    <w:p w14:paraId="3AF65F8C" w14:textId="77777777" w:rsidR="000F5F43" w:rsidRDefault="000F5F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Times New Roman,SimSu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
    <w:altName w:val="Heiti TC Light"/>
    <w:charset w:val="80"/>
    <w:family w:val="auto"/>
    <w:pitch w:val="variable"/>
    <w:sig w:usb0="00000001" w:usb1="00000000" w:usb2="00000000" w:usb3="00000000" w:csb0="0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Times">
    <w:panose1 w:val="02020603050405020304"/>
    <w:charset w:val="00"/>
    <w:family w:val="auto"/>
    <w:pitch w:val="variable"/>
    <w:sig w:usb0="E00002FF" w:usb1="5000205A"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Roboto Bold">
    <w:altName w:val="Arial"/>
    <w:charset w:val="00"/>
    <w:family w:val="auto"/>
    <w:pitch w:val="variable"/>
    <w:sig w:usb0="E00002FF" w:usb1="5000205B" w:usb2="00000020" w:usb3="00000000" w:csb0="0000019F" w:csb1="00000000"/>
  </w:font>
  <w:font w:name="&amp;quot">
    <w:altName w:val="Cambria"/>
    <w:charset w:val="00"/>
    <w:family w:val="auto"/>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ordVisi_MSFontService">
    <w:altName w:val="Cambria"/>
    <w:charset w:val="00"/>
    <w:family w:val="roman"/>
    <w:pitch w:val="default"/>
  </w:font>
  <w:font w:name="Aptos Narrow">
    <w:charset w:val="00"/>
    <w:family w:val="swiss"/>
    <w:pitch w:val="variable"/>
    <w:sig w:usb0="20000287" w:usb1="00000003" w:usb2="00000000" w:usb3="00000000" w:csb0="0000019F" w:csb1="00000000"/>
  </w:font>
  <w:font w:name="Times New Roman_MSFontServic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4ECB" w14:textId="77777777" w:rsidR="00417D6A" w:rsidRPr="00A81971" w:rsidRDefault="0032495C" w:rsidP="003B7407">
    <w:pPr>
      <w:tabs>
        <w:tab w:val="left" w:pos="2070"/>
      </w:tabs>
      <w:spacing w:before="240" w:after="0"/>
      <w:ind w:left="90" w:right="-6"/>
    </w:pPr>
    <w:r w:rsidRPr="00A81971">
      <w:rPr>
        <w:b/>
        <w:sz w:val="18"/>
        <w:szCs w:val="18"/>
      </w:rPr>
      <w:fldChar w:fldCharType="begin"/>
    </w:r>
    <w:r w:rsidRPr="00A81971">
      <w:rPr>
        <w:b/>
        <w:sz w:val="18"/>
        <w:szCs w:val="18"/>
      </w:rPr>
      <w:instrText xml:space="preserve"> PAGE   \* MERGEFORMAT </w:instrText>
    </w:r>
    <w:r w:rsidRPr="00A81971">
      <w:rPr>
        <w:b/>
        <w:sz w:val="18"/>
        <w:szCs w:val="18"/>
      </w:rPr>
      <w:fldChar w:fldCharType="separate"/>
    </w:r>
    <w:r w:rsidRPr="00A81971">
      <w:rPr>
        <w:b/>
        <w:sz w:val="18"/>
        <w:szCs w:val="18"/>
      </w:rPr>
      <w:t>1</w:t>
    </w:r>
    <w:r w:rsidRPr="00A81971">
      <w:rPr>
        <w:b/>
        <w:sz w:val="18"/>
        <w:szCs w:val="18"/>
      </w:rPr>
      <w:fldChar w:fldCharType="end"/>
    </w:r>
    <w:r w:rsidRPr="00A81971">
      <w:tab/>
    </w:r>
    <w:r w:rsidR="00C91979" w:rsidRPr="00A81971">
      <w:rPr>
        <w:b/>
        <w:sz w:val="18"/>
        <w:szCs w:val="18"/>
      </w:rPr>
      <w:t>September</w:t>
    </w:r>
    <w:r w:rsidR="000A4367" w:rsidRPr="00A81971">
      <w:rPr>
        <w:b/>
        <w:sz w:val="18"/>
        <w:szCs w:val="18"/>
      </w:rPr>
      <w:t xml:space="preserve"> </w:t>
    </w:r>
    <w:r w:rsidR="43EEFCCE" w:rsidRPr="00A81971">
      <w:rPr>
        <w:b/>
        <w:bCs/>
        <w:sz w:val="18"/>
        <w:szCs w:val="18"/>
      </w:rPr>
      <w:t>2026</w:t>
    </w:r>
    <w:r w:rsidR="000A4367" w:rsidRPr="00A81971">
      <w:rPr>
        <w:b/>
        <w:sz w:val="18"/>
        <w:szCs w:val="18"/>
      </w:rPr>
      <w:t xml:space="preserve"> </w:t>
    </w:r>
    <w:r w:rsidRPr="00A81971">
      <w:rPr>
        <w:b/>
        <w:sz w:val="18"/>
        <w:szCs w:val="18"/>
      </w:rPr>
      <w:t xml:space="preserve">TEAP Replenishment </w:t>
    </w:r>
    <w:r w:rsidR="00C91979" w:rsidRPr="00A81971">
      <w:rPr>
        <w:b/>
        <w:sz w:val="18"/>
        <w:szCs w:val="18"/>
      </w:rPr>
      <w:t xml:space="preserve">Supplementary </w:t>
    </w:r>
    <w:r w:rsidRPr="00A81971">
      <w:rPr>
        <w:b/>
        <w:sz w:val="18"/>
        <w:szCs w:val="18"/>
      </w:rPr>
      <w:t>Report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00F90461" w14:paraId="4CAAD094" w14:textId="77777777" w:rsidTr="0098275B">
      <w:trPr>
        <w:trHeight w:val="300"/>
      </w:trPr>
      <w:tc>
        <w:tcPr>
          <w:tcW w:w="2765" w:type="dxa"/>
        </w:tcPr>
        <w:p w14:paraId="10AF822B" w14:textId="77777777" w:rsidR="31026EF7" w:rsidRPr="00A81971" w:rsidRDefault="31026EF7" w:rsidP="00BC03B6">
          <w:pPr>
            <w:pStyle w:val="Header"/>
            <w:ind w:left="-115"/>
            <w:rPr>
              <w:lang w:val="en-GB"/>
            </w:rPr>
          </w:pPr>
        </w:p>
      </w:tc>
      <w:tc>
        <w:tcPr>
          <w:tcW w:w="2765" w:type="dxa"/>
        </w:tcPr>
        <w:p w14:paraId="38215DAD" w14:textId="77777777" w:rsidR="31026EF7" w:rsidRPr="00A81971" w:rsidRDefault="31026EF7" w:rsidP="00BC03B6">
          <w:pPr>
            <w:pStyle w:val="Header"/>
            <w:jc w:val="center"/>
            <w:rPr>
              <w:lang w:val="en-GB"/>
            </w:rPr>
          </w:pPr>
        </w:p>
      </w:tc>
      <w:tc>
        <w:tcPr>
          <w:tcW w:w="2765" w:type="dxa"/>
        </w:tcPr>
        <w:p w14:paraId="73137635" w14:textId="77777777" w:rsidR="31026EF7" w:rsidRPr="00A81971" w:rsidRDefault="31026EF7" w:rsidP="00BC03B6">
          <w:pPr>
            <w:pStyle w:val="Header"/>
            <w:ind w:right="-115"/>
            <w:jc w:val="right"/>
            <w:rPr>
              <w:lang w:val="en-GB"/>
            </w:rPr>
          </w:pPr>
        </w:p>
      </w:tc>
    </w:tr>
  </w:tbl>
  <w:p w14:paraId="5010AB63" w14:textId="77777777" w:rsidR="31026EF7" w:rsidRPr="00A81971" w:rsidRDefault="31026EF7" w:rsidP="00A303F0">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37B5" w14:textId="77777777" w:rsidR="00417D6A" w:rsidRPr="00A81971" w:rsidRDefault="0032495C" w:rsidP="00551787">
    <w:pPr>
      <w:pStyle w:val="Footer"/>
      <w:ind w:left="0"/>
      <w:rPr>
        <w:b/>
        <w:bCs/>
        <w:sz w:val="18"/>
        <w:szCs w:val="16"/>
        <w:lang w:val="en-GB"/>
      </w:rPr>
    </w:pPr>
    <w:r w:rsidRPr="00A81971">
      <w:rPr>
        <w:b/>
        <w:bCs/>
        <w:sz w:val="18"/>
        <w:szCs w:val="16"/>
        <w:lang w:val="en-GB"/>
      </w:rPr>
      <w:tab/>
      <w:t>September 2021 TEAP Decsion XXXI/1 Replenishemnt Task Force Report</w:t>
    </w:r>
    <w:r w:rsidRPr="00A81971">
      <w:rPr>
        <w:b/>
        <w:bCs/>
        <w:sz w:val="18"/>
        <w:szCs w:val="16"/>
        <w:lang w:val="en-GB"/>
      </w:rPr>
      <w:tab/>
    </w:r>
    <w:r w:rsidRPr="00A81971">
      <w:rPr>
        <w:b/>
        <w:bCs/>
        <w:sz w:val="18"/>
        <w:szCs w:val="16"/>
        <w:lang w:val="en-GB"/>
      </w:rPr>
      <w:tab/>
    </w:r>
    <w:r w:rsidRPr="00A81971">
      <w:rPr>
        <w:b/>
        <w:bCs/>
        <w:sz w:val="18"/>
        <w:szCs w:val="16"/>
        <w:lang w:val="en-GB"/>
      </w:rPr>
      <w:fldChar w:fldCharType="begin"/>
    </w:r>
    <w:r w:rsidRPr="00A81971">
      <w:rPr>
        <w:b/>
        <w:bCs/>
        <w:sz w:val="18"/>
        <w:szCs w:val="16"/>
        <w:lang w:val="en-GB"/>
      </w:rPr>
      <w:instrText xml:space="preserve"> PAGE   \* MERGEFORMAT </w:instrText>
    </w:r>
    <w:r w:rsidRPr="00A81971">
      <w:rPr>
        <w:b/>
        <w:bCs/>
        <w:sz w:val="18"/>
        <w:szCs w:val="16"/>
        <w:lang w:val="en-GB"/>
      </w:rPr>
      <w:fldChar w:fldCharType="separate"/>
    </w:r>
    <w:r w:rsidRPr="00A81971">
      <w:rPr>
        <w:b/>
        <w:bCs/>
        <w:sz w:val="18"/>
        <w:szCs w:val="16"/>
        <w:lang w:val="en-GB"/>
      </w:rPr>
      <w:t>67</w:t>
    </w:r>
    <w:r w:rsidRPr="00A81971">
      <w:rPr>
        <w:b/>
        <w:bCs/>
        <w:sz w:val="18"/>
        <w:szCs w:val="16"/>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2FBB" w14:textId="77777777" w:rsidR="00417D6A" w:rsidRPr="00A81971" w:rsidRDefault="0032495C" w:rsidP="00107D89">
    <w:pPr>
      <w:tabs>
        <w:tab w:val="left" w:pos="1440"/>
        <w:tab w:val="right" w:pos="9270"/>
      </w:tabs>
      <w:spacing w:before="240" w:after="0"/>
      <w:ind w:left="-90" w:right="-6"/>
      <w:jc w:val="center"/>
      <w:rPr>
        <w:b/>
        <w:sz w:val="18"/>
      </w:rPr>
    </w:pPr>
    <w:r w:rsidRPr="00A81971">
      <w:rPr>
        <w:b/>
        <w:bCs/>
        <w:sz w:val="18"/>
        <w:szCs w:val="16"/>
      </w:rPr>
      <w:tab/>
    </w:r>
    <w:r w:rsidR="00E96B8B" w:rsidRPr="00A81971">
      <w:rPr>
        <w:b/>
        <w:bCs/>
        <w:sz w:val="18"/>
        <w:szCs w:val="16"/>
      </w:rPr>
      <w:t xml:space="preserve">September </w:t>
    </w:r>
    <w:r w:rsidR="008C22E8" w:rsidRPr="00A81971">
      <w:rPr>
        <w:b/>
        <w:bCs/>
        <w:sz w:val="18"/>
        <w:szCs w:val="16"/>
      </w:rPr>
      <w:t>202</w:t>
    </w:r>
    <w:r w:rsidR="00E87156" w:rsidRPr="00A81971">
      <w:rPr>
        <w:b/>
        <w:bCs/>
        <w:sz w:val="18"/>
        <w:szCs w:val="16"/>
      </w:rPr>
      <w:t>6</w:t>
    </w:r>
    <w:r w:rsidR="008C22E8" w:rsidRPr="00A81971">
      <w:rPr>
        <w:b/>
        <w:bCs/>
        <w:sz w:val="18"/>
        <w:szCs w:val="16"/>
      </w:rPr>
      <w:t xml:space="preserve"> TEAP Replenishment </w:t>
    </w:r>
    <w:r w:rsidR="00E96B8B" w:rsidRPr="00A81971">
      <w:rPr>
        <w:b/>
        <w:bCs/>
        <w:sz w:val="18"/>
        <w:szCs w:val="16"/>
      </w:rPr>
      <w:t xml:space="preserve">Supplementary </w:t>
    </w:r>
    <w:r w:rsidR="008C22E8" w:rsidRPr="00A81971">
      <w:rPr>
        <w:b/>
        <w:bCs/>
        <w:sz w:val="18"/>
        <w:szCs w:val="16"/>
      </w:rPr>
      <w:t>Report</w:t>
    </w:r>
    <w:r w:rsidRPr="00A81971">
      <w:rPr>
        <w:b/>
        <w:bCs/>
        <w:sz w:val="18"/>
        <w:szCs w:val="16"/>
      </w:rPr>
      <w:tab/>
    </w:r>
    <w:r w:rsidRPr="00A81971">
      <w:rPr>
        <w:b/>
        <w:bCs/>
        <w:sz w:val="18"/>
        <w:szCs w:val="16"/>
      </w:rPr>
      <w:fldChar w:fldCharType="begin"/>
    </w:r>
    <w:r w:rsidRPr="00A81971">
      <w:rPr>
        <w:b/>
        <w:bCs/>
        <w:sz w:val="18"/>
        <w:szCs w:val="16"/>
      </w:rPr>
      <w:instrText xml:space="preserve"> PAGE   \* MERGEFORMAT </w:instrText>
    </w:r>
    <w:r w:rsidRPr="00A81971">
      <w:rPr>
        <w:b/>
        <w:bCs/>
        <w:sz w:val="18"/>
        <w:szCs w:val="16"/>
      </w:rPr>
      <w:fldChar w:fldCharType="separate"/>
    </w:r>
    <w:r w:rsidRPr="00A81971">
      <w:rPr>
        <w:b/>
        <w:bCs/>
        <w:sz w:val="18"/>
        <w:szCs w:val="16"/>
      </w:rPr>
      <w:t>1</w:t>
    </w:r>
    <w:r w:rsidRPr="00A81971">
      <w:rPr>
        <w:b/>
        <w:bCs/>
        <w:sz w:val="18"/>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5202" w14:textId="77777777" w:rsidR="00417D6A" w:rsidRPr="00A81971" w:rsidRDefault="0032495C" w:rsidP="0048620B">
    <w:pPr>
      <w:pStyle w:val="Header"/>
      <w:tabs>
        <w:tab w:val="clear" w:pos="4320"/>
        <w:tab w:val="left" w:pos="1890"/>
        <w:tab w:val="center" w:pos="4950"/>
      </w:tabs>
      <w:ind w:left="0"/>
      <w:rPr>
        <w:rFonts w:cs="Arial"/>
        <w:lang w:val="en-GB"/>
      </w:rPr>
    </w:pPr>
    <w:r w:rsidRPr="00A81971">
      <w:rPr>
        <w:b/>
        <w:bCs/>
        <w:sz w:val="18"/>
        <w:szCs w:val="16"/>
        <w:lang w:val="en-GB"/>
      </w:rPr>
      <w:fldChar w:fldCharType="begin"/>
    </w:r>
    <w:r w:rsidRPr="00A81971">
      <w:rPr>
        <w:b/>
        <w:bCs/>
        <w:sz w:val="18"/>
        <w:szCs w:val="16"/>
        <w:lang w:val="en-GB"/>
      </w:rPr>
      <w:instrText xml:space="preserve"> PAGE   \* MERGEFORMAT </w:instrText>
    </w:r>
    <w:r w:rsidRPr="00A81971">
      <w:rPr>
        <w:b/>
        <w:bCs/>
        <w:sz w:val="18"/>
        <w:szCs w:val="16"/>
        <w:lang w:val="en-GB"/>
      </w:rPr>
      <w:fldChar w:fldCharType="separate"/>
    </w:r>
    <w:r w:rsidRPr="00A81971">
      <w:rPr>
        <w:b/>
        <w:bCs/>
        <w:sz w:val="18"/>
        <w:szCs w:val="16"/>
        <w:lang w:val="en-GB"/>
      </w:rPr>
      <w:t>94</w:t>
    </w:r>
    <w:r w:rsidRPr="00A81971">
      <w:rPr>
        <w:b/>
        <w:bCs/>
        <w:sz w:val="18"/>
        <w:szCs w:val="16"/>
        <w:lang w:val="en-GB"/>
      </w:rPr>
      <w:fldChar w:fldCharType="end"/>
    </w:r>
    <w:r w:rsidRPr="00A81971">
      <w:rPr>
        <w:lang w:val="en-GB"/>
      </w:rPr>
      <w:tab/>
    </w:r>
    <w:r w:rsidR="00AE517D" w:rsidRPr="00A81971">
      <w:rPr>
        <w:b/>
        <w:bCs/>
        <w:sz w:val="18"/>
        <w:szCs w:val="18"/>
        <w:lang w:val="en-GB"/>
      </w:rPr>
      <w:t>September 202</w:t>
    </w:r>
    <w:r w:rsidR="00675248" w:rsidRPr="00A81971">
      <w:rPr>
        <w:b/>
        <w:bCs/>
        <w:sz w:val="18"/>
        <w:szCs w:val="18"/>
        <w:lang w:val="en-GB"/>
      </w:rPr>
      <w:t>6</w:t>
    </w:r>
    <w:r w:rsidR="00AE517D" w:rsidRPr="00A81971">
      <w:rPr>
        <w:b/>
        <w:bCs/>
        <w:sz w:val="18"/>
        <w:szCs w:val="18"/>
        <w:lang w:val="en-GB"/>
      </w:rPr>
      <w:t xml:space="preserve"> TEAP Replenishment Supplementary Report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B403" w14:textId="2FFFE3EA" w:rsidR="00417D6A" w:rsidRPr="00A81971" w:rsidRDefault="00BE5859" w:rsidP="00FE5C31">
    <w:pPr>
      <w:pStyle w:val="Header"/>
      <w:tabs>
        <w:tab w:val="clear" w:pos="4320"/>
        <w:tab w:val="clear" w:pos="8640"/>
        <w:tab w:val="left" w:pos="1701"/>
        <w:tab w:val="right" w:pos="8789"/>
      </w:tabs>
      <w:ind w:left="0"/>
      <w:jc w:val="center"/>
      <w:rPr>
        <w:rFonts w:cs="Arial"/>
        <w:lang w:val="en-GB"/>
      </w:rPr>
    </w:pPr>
    <w:r>
      <w:rPr>
        <w:b/>
        <w:bCs/>
        <w:sz w:val="18"/>
        <w:szCs w:val="18"/>
        <w:lang w:val="en-GB"/>
      </w:rPr>
      <w:tab/>
    </w:r>
    <w:r w:rsidR="0032495C" w:rsidRPr="00A81971">
      <w:rPr>
        <w:b/>
        <w:bCs/>
        <w:sz w:val="18"/>
        <w:szCs w:val="18"/>
        <w:lang w:val="en-GB"/>
      </w:rPr>
      <w:t>September 2026 TEAP Replenishment Supplementary Report</w:t>
    </w:r>
    <w:r w:rsidR="004C4DC9">
      <w:rPr>
        <w:b/>
        <w:bCs/>
        <w:sz w:val="18"/>
        <w:szCs w:val="18"/>
        <w:lang w:val="en-GB"/>
      </w:rPr>
      <w:tab/>
    </w:r>
    <w:r w:rsidR="0032495C" w:rsidRPr="00A81971">
      <w:rPr>
        <w:b/>
        <w:sz w:val="18"/>
        <w:szCs w:val="18"/>
        <w:lang w:val="en-GB"/>
      </w:rPr>
      <w:fldChar w:fldCharType="begin"/>
    </w:r>
    <w:r w:rsidR="0032495C" w:rsidRPr="00A81971">
      <w:rPr>
        <w:b/>
        <w:sz w:val="18"/>
        <w:szCs w:val="18"/>
        <w:lang w:val="en-GB"/>
      </w:rPr>
      <w:instrText xml:space="preserve"> PAGE   \* MERGEFORMAT </w:instrText>
    </w:r>
    <w:r w:rsidR="0032495C" w:rsidRPr="00A81971">
      <w:rPr>
        <w:b/>
        <w:sz w:val="18"/>
        <w:szCs w:val="18"/>
        <w:lang w:val="en-GB"/>
      </w:rPr>
      <w:fldChar w:fldCharType="separate"/>
    </w:r>
    <w:r w:rsidR="0032495C" w:rsidRPr="00A81971">
      <w:rPr>
        <w:b/>
        <w:sz w:val="18"/>
        <w:szCs w:val="18"/>
        <w:lang w:val="en-GB"/>
      </w:rPr>
      <w:t>1</w:t>
    </w:r>
    <w:r w:rsidR="0032495C" w:rsidRPr="00A81971">
      <w:rPr>
        <w:b/>
        <w:sz w:val="18"/>
        <w:szCs w:val="18"/>
        <w:lang w:val="en-G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535E" w14:textId="77777777" w:rsidR="00417D6A" w:rsidRPr="00A81971" w:rsidRDefault="0032495C" w:rsidP="00D16D3B">
    <w:pPr>
      <w:pStyle w:val="Header"/>
      <w:tabs>
        <w:tab w:val="clear" w:pos="4320"/>
        <w:tab w:val="clear" w:pos="8640"/>
        <w:tab w:val="left" w:pos="1890"/>
        <w:tab w:val="center" w:pos="4950"/>
        <w:tab w:val="right" w:pos="8910"/>
      </w:tabs>
      <w:ind w:left="0"/>
      <w:rPr>
        <w:lang w:val="en-GB"/>
      </w:rPr>
    </w:pPr>
    <w:r w:rsidRPr="00A81971">
      <w:rPr>
        <w:lang w:val="en-GB"/>
      </w:rPr>
      <w:tab/>
    </w:r>
    <w:r w:rsidR="00AE517D" w:rsidRPr="00A81971">
      <w:rPr>
        <w:b/>
        <w:bCs/>
        <w:sz w:val="18"/>
        <w:szCs w:val="18"/>
        <w:lang w:val="en-GB"/>
      </w:rPr>
      <w:t>September</w:t>
    </w:r>
    <w:r w:rsidR="000A4367" w:rsidRPr="00A81971">
      <w:rPr>
        <w:b/>
        <w:bCs/>
        <w:sz w:val="18"/>
        <w:szCs w:val="18"/>
        <w:lang w:val="en-GB"/>
      </w:rPr>
      <w:t xml:space="preserve"> 202</w:t>
    </w:r>
    <w:r w:rsidR="00C8558E" w:rsidRPr="00A81971">
      <w:rPr>
        <w:b/>
        <w:bCs/>
        <w:sz w:val="18"/>
        <w:szCs w:val="18"/>
        <w:lang w:val="en-GB"/>
      </w:rPr>
      <w:t>6</w:t>
    </w:r>
    <w:r w:rsidR="000A4367" w:rsidRPr="00A81971">
      <w:rPr>
        <w:b/>
        <w:bCs/>
        <w:sz w:val="18"/>
        <w:szCs w:val="18"/>
        <w:lang w:val="en-GB"/>
      </w:rPr>
      <w:t xml:space="preserve"> </w:t>
    </w:r>
    <w:r w:rsidRPr="00A81971">
      <w:rPr>
        <w:b/>
        <w:bCs/>
        <w:sz w:val="18"/>
        <w:szCs w:val="16"/>
        <w:lang w:val="en-GB"/>
      </w:rPr>
      <w:t>TEAP Decision XXX</w:t>
    </w:r>
    <w:r w:rsidR="00C8558E" w:rsidRPr="00A81971">
      <w:rPr>
        <w:b/>
        <w:bCs/>
        <w:sz w:val="18"/>
        <w:szCs w:val="16"/>
        <w:lang w:val="en-GB"/>
      </w:rPr>
      <w:t>VII/6</w:t>
    </w:r>
    <w:r w:rsidR="001B6CF7" w:rsidRPr="00A81971">
      <w:rPr>
        <w:b/>
        <w:bCs/>
        <w:sz w:val="18"/>
        <w:szCs w:val="16"/>
        <w:lang w:val="en-GB"/>
      </w:rPr>
      <w:t xml:space="preserve"> R</w:t>
    </w:r>
    <w:r w:rsidRPr="00A81971">
      <w:rPr>
        <w:b/>
        <w:bCs/>
        <w:sz w:val="18"/>
        <w:szCs w:val="16"/>
        <w:lang w:val="en-GB"/>
      </w:rPr>
      <w:t xml:space="preserve">eplenishment </w:t>
    </w:r>
    <w:r w:rsidR="00AE517D" w:rsidRPr="00A81971">
      <w:rPr>
        <w:b/>
        <w:bCs/>
        <w:sz w:val="18"/>
        <w:szCs w:val="16"/>
        <w:lang w:val="en-GB"/>
      </w:rPr>
      <w:t>Supplementary</w:t>
    </w:r>
    <w:r w:rsidRPr="00A81971">
      <w:rPr>
        <w:b/>
        <w:bCs/>
        <w:sz w:val="18"/>
        <w:szCs w:val="16"/>
        <w:lang w:val="en-GB"/>
      </w:rPr>
      <w:t xml:space="preserve"> Report</w:t>
    </w:r>
    <w:r w:rsidRPr="00A81971">
      <w:rPr>
        <w:b/>
        <w:bCs/>
        <w:sz w:val="18"/>
        <w:szCs w:val="16"/>
        <w:lang w:val="en-GB"/>
      </w:rPr>
      <w:tab/>
    </w:r>
    <w:r w:rsidRPr="00A81971">
      <w:rPr>
        <w:b/>
        <w:bCs/>
        <w:sz w:val="18"/>
        <w:szCs w:val="16"/>
        <w:lang w:val="en-GB"/>
      </w:rPr>
      <w:fldChar w:fldCharType="begin"/>
    </w:r>
    <w:r w:rsidRPr="00A81971">
      <w:rPr>
        <w:b/>
        <w:bCs/>
        <w:sz w:val="18"/>
        <w:szCs w:val="16"/>
        <w:lang w:val="en-GB"/>
      </w:rPr>
      <w:instrText xml:space="preserve"> PAGE   \* MERGEFORMAT </w:instrText>
    </w:r>
    <w:r w:rsidRPr="00A81971">
      <w:rPr>
        <w:b/>
        <w:bCs/>
        <w:sz w:val="18"/>
        <w:szCs w:val="16"/>
        <w:lang w:val="en-GB"/>
      </w:rPr>
      <w:fldChar w:fldCharType="separate"/>
    </w:r>
    <w:r w:rsidRPr="00A81971">
      <w:rPr>
        <w:b/>
        <w:bCs/>
        <w:sz w:val="18"/>
        <w:szCs w:val="16"/>
        <w:lang w:val="en-GB"/>
      </w:rPr>
      <w:t>84</w:t>
    </w:r>
    <w:r w:rsidRPr="00A81971">
      <w:rPr>
        <w:b/>
        <w:bCs/>
        <w:sz w:val="18"/>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D977A" w14:textId="77777777" w:rsidR="000F5F43" w:rsidRPr="00A81971" w:rsidRDefault="000F5F43">
      <w:pPr>
        <w:spacing w:after="0"/>
      </w:pPr>
      <w:r w:rsidRPr="00A81971">
        <w:separator/>
      </w:r>
    </w:p>
  </w:footnote>
  <w:footnote w:type="continuationSeparator" w:id="0">
    <w:p w14:paraId="5ECE56D4" w14:textId="77777777" w:rsidR="000F5F43" w:rsidRPr="00A81971" w:rsidRDefault="000F5F43">
      <w:pPr>
        <w:spacing w:after="0"/>
      </w:pPr>
      <w:r w:rsidRPr="00A81971">
        <w:continuationSeparator/>
      </w:r>
    </w:p>
  </w:footnote>
  <w:footnote w:type="continuationNotice" w:id="1">
    <w:p w14:paraId="0A33E547" w14:textId="77777777" w:rsidR="000F5F43" w:rsidRPr="00A81971" w:rsidRDefault="000F5F43">
      <w:pPr>
        <w:spacing w:after="0"/>
      </w:pPr>
    </w:p>
  </w:footnote>
  <w:footnote w:id="2">
    <w:p w14:paraId="2633229D" w14:textId="77777777" w:rsidR="003B5790" w:rsidRPr="00A81971" w:rsidRDefault="0032495C" w:rsidP="003B5790">
      <w:pPr>
        <w:pStyle w:val="FootnoteText"/>
      </w:pPr>
      <w:r w:rsidRPr="00A81971">
        <w:rPr>
          <w:rStyle w:val="FootnoteReference"/>
        </w:rPr>
        <w:footnoteRef/>
      </w:r>
      <w:r w:rsidRPr="00A81971">
        <w:t xml:space="preserve"> An annual average of 2.5% is restricted to the servicing of refrigeration and air-conditioning equipment existing during 2030–2040. Decision XXX/2 referring to Annex I of the MOP-30 report, adjusted this part of Article 5 (as well as 2F) to include other uses, i.e., the servicing of fire suppression and fire protection equipment existing on 1 January 2030; solvent applications in rocket engine manufacturing; and topical medical aerosol for applications for the specialised treatment of burns.</w:t>
      </w:r>
    </w:p>
  </w:footnote>
  <w:footnote w:id="3">
    <w:p w14:paraId="12C3B87B" w14:textId="77777777" w:rsidR="003B5790" w:rsidRPr="00A81971" w:rsidRDefault="0032495C" w:rsidP="003B5790">
      <w:pPr>
        <w:pStyle w:val="FootnoteText"/>
      </w:pPr>
      <w:r w:rsidRPr="00A81971">
        <w:rPr>
          <w:rStyle w:val="FootnoteReference"/>
        </w:rPr>
        <w:footnoteRef/>
      </w:r>
      <w:r w:rsidRPr="00A81971">
        <w:t xml:space="preserve"> Decision XXVIII/2, para. 2, under the Montreal Protocol refers to Article 5, group 2, parties as Bahrain, India, the Islamic Republic of Iran, Iraq, Kuwait, Oman, Pakistan, Qatar, Saudi Arabia, and the Unted Arab Emirates.</w:t>
      </w:r>
    </w:p>
  </w:footnote>
  <w:footnote w:id="4">
    <w:p w14:paraId="7988F92F" w14:textId="77777777" w:rsidR="003B5790" w:rsidRPr="00A81971" w:rsidRDefault="0032495C" w:rsidP="003B5790">
      <w:pPr>
        <w:pStyle w:val="FootnoteText"/>
      </w:pPr>
      <w:r w:rsidRPr="00A81971">
        <w:rPr>
          <w:rStyle w:val="FootnoteReference"/>
        </w:rPr>
        <w:footnoteRef/>
      </w:r>
      <w:r w:rsidRPr="00A81971">
        <w:t xml:space="preserve"> https://ozone.unep.org/system/files/documents/TEAP-DecisionXXXVII6-replenishment-TF-report-May2026-RTF-report.pdf</w:t>
      </w:r>
    </w:p>
  </w:footnote>
  <w:footnote w:id="5">
    <w:p w14:paraId="16CC6A40" w14:textId="77777777" w:rsidR="003B5790" w:rsidRPr="00A81971" w:rsidRDefault="0032495C" w:rsidP="003B5790">
      <w:pPr>
        <w:pStyle w:val="FootnoteText"/>
      </w:pPr>
      <w:r w:rsidRPr="00A81971">
        <w:rPr>
          <w:rStyle w:val="FootnoteReference"/>
        </w:rPr>
        <w:footnoteRef/>
      </w:r>
      <w:r w:rsidRPr="00A81971">
        <w:t xml:space="preserve"> https://ozone.unep.org/meetings/48th-meeting-open-ended-working-group-parties/contact-groups/contact-group-replenishment-report</w:t>
      </w:r>
    </w:p>
  </w:footnote>
  <w:footnote w:id="6">
    <w:p w14:paraId="3B14DB90" w14:textId="77777777" w:rsidR="003B5790" w:rsidRPr="00A81971" w:rsidRDefault="0032495C" w:rsidP="003B5790">
      <w:pPr>
        <w:spacing w:after="0"/>
        <w:rPr>
          <w:sz w:val="18"/>
          <w:szCs w:val="18"/>
        </w:rPr>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ExCom-97 and information received by TEAP as of 8 April 2026. For HFCs, assuming all parties ratify</w:t>
      </w:r>
      <w:r w:rsidR="00C65366" w:rsidRPr="00A81971">
        <w:rPr>
          <w:rFonts w:eastAsia="Times New Roman"/>
          <w:sz w:val="18"/>
          <w:szCs w:val="18"/>
        </w:rPr>
        <w:t>.</w:t>
      </w:r>
    </w:p>
  </w:footnote>
  <w:footnote w:id="7">
    <w:p w14:paraId="2A37F3A3" w14:textId="77777777" w:rsidR="003B5790" w:rsidRPr="00A81971" w:rsidRDefault="0032495C" w:rsidP="003B5790">
      <w:pPr>
        <w:spacing w:after="0"/>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ExCom-98 and information received by TEAP as of 15 August 2026. For HFCs, assuming all parties ratify</w:t>
      </w:r>
      <w:r w:rsidR="00C47DA1" w:rsidRPr="00A81971">
        <w:rPr>
          <w:rFonts w:eastAsia="Times New Roman"/>
          <w:sz w:val="18"/>
          <w:szCs w:val="18"/>
        </w:rPr>
        <w:t>.</w:t>
      </w:r>
    </w:p>
  </w:footnote>
  <w:footnote w:id="8">
    <w:p w14:paraId="3F8A8344" w14:textId="77777777" w:rsidR="1EB17688" w:rsidRPr="00A81971" w:rsidRDefault="0032495C" w:rsidP="1EB17688">
      <w:pPr>
        <w:pStyle w:val="FootnoteText"/>
        <w:rPr>
          <w:lang w:eastAsia="zh-CN"/>
        </w:rPr>
      </w:pPr>
      <w:r w:rsidRPr="00A81971">
        <w:rPr>
          <w:rStyle w:val="FootnoteReference"/>
        </w:rPr>
        <w:footnoteRef/>
      </w:r>
      <w:r w:rsidRPr="00A81971">
        <w:t xml:space="preserve"> Note: figures may not sum due to rounding.</w:t>
      </w:r>
    </w:p>
  </w:footnote>
  <w:footnote w:id="9">
    <w:p w14:paraId="3FDA9362" w14:textId="77777777" w:rsidR="003B5790" w:rsidRPr="00A81971" w:rsidRDefault="0032495C" w:rsidP="003B5790">
      <w:pPr>
        <w:spacing w:after="0"/>
        <w:rPr>
          <w:rFonts w:eastAsia="Times New Roman"/>
          <w:sz w:val="18"/>
          <w:szCs w:val="18"/>
        </w:rPr>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ExCom-97 and information received by TEAP as of 8 April 2026. For HFCs, assuming all parties ratify</w:t>
      </w:r>
      <w:r w:rsidR="46A3B0F3" w:rsidRPr="00A81971">
        <w:rPr>
          <w:rFonts w:eastAsia="Times New Roman"/>
          <w:sz w:val="18"/>
          <w:szCs w:val="18"/>
        </w:rPr>
        <w:t xml:space="preserve">. May 2026 Report did not include PMU costs. Updated May report includes PMUs. </w:t>
      </w:r>
    </w:p>
  </w:footnote>
  <w:footnote w:id="10">
    <w:p w14:paraId="3F54DB9C" w14:textId="77777777" w:rsidR="003B5790" w:rsidRPr="00A81971" w:rsidRDefault="0032495C" w:rsidP="003B5790">
      <w:pPr>
        <w:spacing w:after="0"/>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ExCom-98 and information received by TEAP as of 15 August 2026. For HFCs, assuming all parties ratify</w:t>
      </w:r>
      <w:r w:rsidR="46A3B0F3" w:rsidRPr="00A81971">
        <w:rPr>
          <w:rFonts w:eastAsia="Times New Roman"/>
          <w:sz w:val="18"/>
          <w:szCs w:val="18"/>
        </w:rPr>
        <w:t xml:space="preserve"> KA. PMU costs applied.</w:t>
      </w:r>
    </w:p>
  </w:footnote>
  <w:footnote w:id="11">
    <w:p w14:paraId="3579D4AD" w14:textId="77777777" w:rsidR="457BD43E" w:rsidRPr="00A81971" w:rsidRDefault="0032495C" w:rsidP="457BD43E">
      <w:pPr>
        <w:pStyle w:val="FootnoteText"/>
      </w:pPr>
      <w:r w:rsidRPr="00A81971">
        <w:rPr>
          <w:rStyle w:val="FootnoteReference"/>
        </w:rPr>
        <w:footnoteRef/>
      </w:r>
      <w:r w:rsidRPr="00A81971">
        <w:t xml:space="preserve"> https://ozone.unep.org/treaties/montreal-protocol/meetings/thirtieth-meeting-parties/decisions/annex-i-adjustments</w:t>
      </w:r>
    </w:p>
  </w:footnote>
  <w:footnote w:id="12">
    <w:p w14:paraId="1DE0C4FF" w14:textId="77777777" w:rsidR="457BD43E" w:rsidRPr="00681F08" w:rsidRDefault="0032495C" w:rsidP="457BD43E">
      <w:pPr>
        <w:pStyle w:val="FootnoteText"/>
      </w:pPr>
      <w:r w:rsidRPr="00A81971">
        <w:rPr>
          <w:rStyle w:val="FootnoteReference"/>
        </w:rPr>
        <w:footnoteRef/>
      </w:r>
      <w:r w:rsidRPr="00A81971">
        <w:t xml:space="preserve"> Decision XXVIII/2, para. 2, under the Montreal Protocol refers to Article 5, group 2, parties as Bahrain, India, the Islamic </w:t>
      </w:r>
      <w:r w:rsidRPr="00681F08">
        <w:t xml:space="preserve">Republic of Iran, Iraq, Kuwait, Oman, Pakistan, Qatar, Saudi Arabia, and the Unted Arab Emirates. </w:t>
      </w:r>
    </w:p>
  </w:footnote>
  <w:footnote w:id="13">
    <w:p w14:paraId="52F21D70" w14:textId="77777777" w:rsidR="00F408E8" w:rsidRPr="00A81971" w:rsidRDefault="0032495C" w:rsidP="00F408E8">
      <w:pPr>
        <w:pStyle w:val="FootnoteText"/>
      </w:pPr>
      <w:r w:rsidRPr="00681F08">
        <w:rPr>
          <w:rStyle w:val="FootnoteReference"/>
        </w:rPr>
        <w:footnoteRef/>
      </w:r>
      <w:r w:rsidRPr="00681F08">
        <w:t xml:space="preserve"> </w:t>
      </w:r>
      <w:r w:rsidR="006844BE" w:rsidRPr="00681F08">
        <w:t>UNEP/OzL.Pro.WG.1/48/5</w:t>
      </w:r>
      <w:r w:rsidR="00E52148" w:rsidRPr="00681F08">
        <w:t>, section A of annex II</w:t>
      </w:r>
      <w:r w:rsidR="00681F08" w:rsidRPr="00681F08">
        <w:t>.</w:t>
      </w:r>
    </w:p>
  </w:footnote>
  <w:footnote w:id="14">
    <w:p w14:paraId="2D60315F" w14:textId="77777777" w:rsidR="2E7655E2" w:rsidRDefault="0032495C" w:rsidP="2E7655E2">
      <w:pPr>
        <w:rPr>
          <w:rFonts w:eastAsia="Times New Roman"/>
          <w:color w:val="242424"/>
          <w:sz w:val="18"/>
          <w:szCs w:val="18"/>
        </w:rPr>
      </w:pPr>
      <w:r w:rsidRPr="00681F08">
        <w:rPr>
          <w:sz w:val="18"/>
          <w:szCs w:val="18"/>
          <w:vertAlign w:val="superscript"/>
        </w:rPr>
        <w:footnoteRef/>
      </w:r>
      <w:r w:rsidRPr="2E7655E2">
        <w:rPr>
          <w:rFonts w:eastAsia="Times New Roman"/>
          <w:sz w:val="18"/>
          <w:szCs w:val="18"/>
        </w:rPr>
        <w:t xml:space="preserve"> When reviewing the final version of the RTF Supplementary report, the MLFS noted a difference in the total estimated cost for </w:t>
      </w:r>
      <w:r w:rsidRPr="2E7655E2">
        <w:rPr>
          <w:rFonts w:eastAsia="Times New Roman"/>
          <w:color w:val="242424"/>
          <w:sz w:val="18"/>
          <w:szCs w:val="18"/>
        </w:rPr>
        <w:t>HPMP verification.  The difference from what is in the Table 2.1 is US$588,600. Due to low impact in the totals and the lateness of the report finalization, RTF did not correct the verification costs for HPMPs.</w:t>
      </w:r>
    </w:p>
  </w:footnote>
  <w:footnote w:id="15">
    <w:p w14:paraId="5E52E1A0" w14:textId="476D7686" w:rsidR="00D96D9A" w:rsidRPr="0073635B" w:rsidRDefault="0032495C" w:rsidP="00FE5C31">
      <w:pPr>
        <w:pStyle w:val="CommentText"/>
      </w:pPr>
      <w:r w:rsidRPr="00A81971">
        <w:rPr>
          <w:rStyle w:val="FootnoteReference"/>
        </w:rPr>
        <w:footnoteRef/>
      </w:r>
      <w:r w:rsidR="008B22E6">
        <w:t xml:space="preserve"> </w:t>
      </w:r>
      <w:r w:rsidRPr="00FE5C31">
        <w:rPr>
          <w:sz w:val="18"/>
          <w:szCs w:val="18"/>
        </w:rPr>
        <w:t xml:space="preserve">When reviewing the September last version of the RTF report, the MLFS advised RTF that the verification costs for non-LVCs are part of the KIP funding. RTF could not change the numbers in time as the change would </w:t>
      </w:r>
      <w:r w:rsidR="2E7655E2" w:rsidRPr="00FE5C31">
        <w:rPr>
          <w:sz w:val="18"/>
          <w:szCs w:val="18"/>
        </w:rPr>
        <w:t xml:space="preserve">impact many tables where this cost is included. </w:t>
      </w:r>
    </w:p>
  </w:footnote>
  <w:footnote w:id="16">
    <w:p w14:paraId="2CA6A858" w14:textId="77777777" w:rsidR="2E7655E2" w:rsidRDefault="0032495C" w:rsidP="2E7655E2">
      <w:pPr>
        <w:rPr>
          <w:sz w:val="18"/>
          <w:szCs w:val="18"/>
        </w:rPr>
      </w:pPr>
      <w:r w:rsidRPr="00112672">
        <w:rPr>
          <w:sz w:val="18"/>
          <w:szCs w:val="18"/>
          <w:vertAlign w:val="superscript"/>
        </w:rPr>
        <w:footnoteRef/>
      </w:r>
      <w:r w:rsidR="008B22E6">
        <w:rPr>
          <w:sz w:val="18"/>
          <w:szCs w:val="18"/>
        </w:rPr>
        <w:t xml:space="preserve"> </w:t>
      </w:r>
      <w:r w:rsidRPr="2E7655E2">
        <w:rPr>
          <w:sz w:val="18"/>
          <w:szCs w:val="18"/>
        </w:rPr>
        <w:t>When reviewing the September last version of the RTF report, the MLFS advised RTF that the verification costs for non-LVCs are part of the KIP funding. RTF could not change the numbers in time as the change would impact many tables where this cost is included.</w:t>
      </w:r>
    </w:p>
    <w:p w14:paraId="1094FD0E" w14:textId="77777777" w:rsidR="2E7655E2" w:rsidRDefault="2E7655E2" w:rsidP="2E7655E2">
      <w:pPr>
        <w:rPr>
          <w:sz w:val="18"/>
          <w:szCs w:val="18"/>
        </w:rPr>
      </w:pPr>
    </w:p>
  </w:footnote>
  <w:footnote w:id="17">
    <w:p w14:paraId="3EBCC7B2" w14:textId="77777777" w:rsidR="00232057" w:rsidRPr="00A81971" w:rsidRDefault="0032495C" w:rsidP="00232057">
      <w:pPr>
        <w:pStyle w:val="FootnoteText"/>
        <w:rPr>
          <w:rFonts w:eastAsiaTheme="minorEastAsia"/>
          <w:lang w:eastAsia="zh-CN"/>
        </w:rPr>
      </w:pPr>
      <w:r w:rsidRPr="00A81971">
        <w:rPr>
          <w:rStyle w:val="FootnoteReference"/>
          <w:sz w:val="20"/>
          <w:szCs w:val="20"/>
        </w:rPr>
        <w:footnoteRef/>
      </w:r>
      <w:r w:rsidRPr="00A81971">
        <w:rPr>
          <w:sz w:val="20"/>
          <w:szCs w:val="20"/>
        </w:rPr>
        <w:t xml:space="preserve"> Note: figures may not sum due to rounding.</w:t>
      </w:r>
    </w:p>
  </w:footnote>
  <w:footnote w:id="18">
    <w:p w14:paraId="6B45C7AF" w14:textId="77777777" w:rsidR="00232057" w:rsidRPr="00A81971" w:rsidRDefault="0032495C" w:rsidP="00232057">
      <w:pPr>
        <w:spacing w:after="0"/>
        <w:rPr>
          <w:sz w:val="20"/>
          <w:szCs w:val="20"/>
        </w:rPr>
      </w:pPr>
      <w:r w:rsidRPr="00A81971">
        <w:rPr>
          <w:rFonts w:eastAsia="Times New Roman"/>
          <w:sz w:val="20"/>
          <w:szCs w:val="20"/>
          <w:vertAlign w:val="superscript"/>
        </w:rPr>
        <w:footnoteRef/>
      </w:r>
      <w:r w:rsidRPr="00A81971">
        <w:rPr>
          <w:rFonts w:eastAsia="Times New Roman"/>
          <w:sz w:val="20"/>
          <w:szCs w:val="20"/>
          <w:vertAlign w:val="superscript"/>
        </w:rPr>
        <w:t xml:space="preserve"> </w:t>
      </w:r>
      <w:r w:rsidRPr="00A81971">
        <w:rPr>
          <w:rFonts w:eastAsia="Times New Roman"/>
          <w:sz w:val="20"/>
          <w:szCs w:val="20"/>
        </w:rPr>
        <w:t>As of ExCom-97 and information received by TEAP as of 8 April 2026. For HFCs, assuming all parties ratify</w:t>
      </w:r>
    </w:p>
  </w:footnote>
  <w:footnote w:id="19">
    <w:p w14:paraId="6F0A8479" w14:textId="77777777" w:rsidR="00232057" w:rsidRPr="00A81971" w:rsidRDefault="0032495C" w:rsidP="00232057">
      <w:pPr>
        <w:spacing w:after="0"/>
      </w:pPr>
      <w:r w:rsidRPr="00A81971">
        <w:rPr>
          <w:rFonts w:eastAsia="Times New Roman"/>
          <w:sz w:val="20"/>
          <w:szCs w:val="20"/>
          <w:vertAlign w:val="superscript"/>
        </w:rPr>
        <w:footnoteRef/>
      </w:r>
      <w:r w:rsidRPr="00A81971">
        <w:rPr>
          <w:rFonts w:eastAsia="Times New Roman"/>
          <w:sz w:val="20"/>
          <w:szCs w:val="20"/>
          <w:vertAlign w:val="superscript"/>
        </w:rPr>
        <w:t xml:space="preserve"> </w:t>
      </w:r>
      <w:r w:rsidRPr="00A81971">
        <w:rPr>
          <w:rFonts w:eastAsia="Times New Roman"/>
          <w:sz w:val="20"/>
          <w:szCs w:val="20"/>
        </w:rPr>
        <w:t>As of ExCom-98 and information received by TEAP as of 15 August 2026. For HFCs, assuming all parties ratify</w:t>
      </w:r>
    </w:p>
  </w:footnote>
  <w:footnote w:id="20">
    <w:p w14:paraId="01891890" w14:textId="77777777" w:rsidR="00BF685A" w:rsidRPr="00A81971" w:rsidRDefault="0032495C" w:rsidP="00BF685A">
      <w:pPr>
        <w:pStyle w:val="FootnoteText"/>
      </w:pPr>
      <w:r w:rsidRPr="00A81971">
        <w:rPr>
          <w:rStyle w:val="FootnoteReference"/>
          <w:rFonts w:eastAsia="SimSun"/>
        </w:rPr>
        <w:footnoteRef/>
      </w:r>
      <w:r w:rsidRPr="00A81971">
        <w:t xml:space="preserve"> </w:t>
      </w:r>
      <w:r w:rsidR="0006649F">
        <w:t>W</w:t>
      </w:r>
      <w:r w:rsidRPr="00A81971">
        <w:t>ith thanks to UNDP for detailed information provided.</w:t>
      </w:r>
    </w:p>
  </w:footnote>
  <w:footnote w:id="21">
    <w:p w14:paraId="037FF082" w14:textId="77777777" w:rsidR="46A3B0F3" w:rsidRPr="00CD41E9" w:rsidRDefault="0032495C" w:rsidP="46A3B0F3">
      <w:pPr>
        <w:rPr>
          <w:sz w:val="18"/>
          <w:szCs w:val="18"/>
        </w:rPr>
      </w:pPr>
      <w:r w:rsidRPr="00CD41E9">
        <w:rPr>
          <w:sz w:val="18"/>
          <w:szCs w:val="18"/>
          <w:vertAlign w:val="superscript"/>
        </w:rPr>
        <w:footnoteRef/>
      </w:r>
      <w:r w:rsidRPr="00CD41E9">
        <w:rPr>
          <w:sz w:val="18"/>
          <w:szCs w:val="18"/>
        </w:rPr>
        <w:t xml:space="preserve"> </w:t>
      </w:r>
      <w:r w:rsidRPr="00CD41E9">
        <w:rPr>
          <w:rFonts w:eastAsia="Times New Roman"/>
          <w:sz w:val="18"/>
          <w:szCs w:val="18"/>
        </w:rPr>
        <w:t>Energy efficiency (EE) activities under HPMPs are implemented in accordance with decision 89/6.</w:t>
      </w:r>
    </w:p>
  </w:footnote>
  <w:footnote w:id="22">
    <w:p w14:paraId="5E3A5470" w14:textId="77777777" w:rsidR="007A6928" w:rsidRPr="00A81971" w:rsidRDefault="0032495C" w:rsidP="007A6928">
      <w:pPr>
        <w:spacing w:after="0"/>
        <w:rPr>
          <w:sz w:val="18"/>
          <w:szCs w:val="18"/>
        </w:rPr>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ExCom-97 and information received by TEAP as of 8 April 2026. For HFCs, assuming all parties ratify</w:t>
      </w:r>
      <w:r w:rsidR="007945B9">
        <w:rPr>
          <w:rFonts w:eastAsia="Times New Roman"/>
          <w:sz w:val="18"/>
          <w:szCs w:val="18"/>
        </w:rPr>
        <w:t>.</w:t>
      </w:r>
    </w:p>
  </w:footnote>
  <w:footnote w:id="23">
    <w:p w14:paraId="7EC62E46" w14:textId="77777777" w:rsidR="007A6928" w:rsidRPr="00A81971" w:rsidRDefault="0032495C" w:rsidP="007A6928">
      <w:pPr>
        <w:spacing w:after="0"/>
      </w:pPr>
      <w:r w:rsidRPr="00A81971">
        <w:rPr>
          <w:rFonts w:eastAsia="Times New Roman"/>
          <w:sz w:val="18"/>
          <w:szCs w:val="18"/>
          <w:vertAlign w:val="superscript"/>
        </w:rPr>
        <w:footnoteRef/>
      </w:r>
      <w:r w:rsidRPr="00A81971">
        <w:rPr>
          <w:rFonts w:eastAsia="Times New Roman"/>
          <w:sz w:val="18"/>
          <w:szCs w:val="18"/>
          <w:vertAlign w:val="superscript"/>
        </w:rPr>
        <w:t xml:space="preserve"> </w:t>
      </w:r>
      <w:r w:rsidRPr="00A81971">
        <w:rPr>
          <w:rFonts w:eastAsia="Times New Roman"/>
          <w:sz w:val="18"/>
          <w:szCs w:val="18"/>
        </w:rPr>
        <w:t>As of ExCom-98 and information received by TEAP as of 15 August 2026. For HFCs, assuming all parties ratify</w:t>
      </w:r>
      <w:r w:rsidR="007945B9">
        <w:rPr>
          <w:rFonts w:eastAsia="Times New Roman"/>
          <w:sz w:val="18"/>
          <w:szCs w:val="18"/>
        </w:rPr>
        <w:t>.</w:t>
      </w:r>
    </w:p>
  </w:footnote>
  <w:footnote w:id="24">
    <w:p w14:paraId="13EA2F5D" w14:textId="77777777" w:rsidR="43EEFCCE" w:rsidRPr="00A81971" w:rsidRDefault="0032495C" w:rsidP="007945B9">
      <w:pPr>
        <w:spacing w:after="0"/>
        <w:rPr>
          <w:rFonts w:eastAsia="Times New Roman"/>
          <w:color w:val="000000" w:themeColor="text1"/>
          <w:sz w:val="18"/>
          <w:szCs w:val="18"/>
        </w:rPr>
      </w:pPr>
      <w:r w:rsidRPr="00A81971">
        <w:rPr>
          <w:sz w:val="18"/>
          <w:szCs w:val="18"/>
          <w:vertAlign w:val="superscript"/>
        </w:rPr>
        <w:footnoteRef/>
      </w:r>
      <w:r w:rsidRPr="00A81971">
        <w:rPr>
          <w:sz w:val="18"/>
          <w:szCs w:val="18"/>
        </w:rPr>
        <w:t xml:space="preserve"> </w:t>
      </w:r>
      <w:r w:rsidRPr="00A81971">
        <w:rPr>
          <w:rFonts w:eastAsia="Times New Roman"/>
          <w:color w:val="000000" w:themeColor="text1"/>
          <w:sz w:val="18"/>
          <w:szCs w:val="18"/>
        </w:rPr>
        <w:t>A sensitivity analysis is a "what-if" method used to determine how changing input variables or assumptions affects the final output of a model or study.</w:t>
      </w:r>
    </w:p>
  </w:footnote>
  <w:footnote w:id="25">
    <w:p w14:paraId="1A27C70C" w14:textId="77777777" w:rsidR="43EEFCCE" w:rsidRPr="007945B9" w:rsidRDefault="0032495C" w:rsidP="00FE3922">
      <w:pPr>
        <w:spacing w:after="0"/>
        <w:rPr>
          <w:rFonts w:eastAsia="Times New Roman"/>
          <w:color w:val="1F1F1F"/>
          <w:sz w:val="18"/>
          <w:szCs w:val="18"/>
        </w:rPr>
      </w:pPr>
      <w:r w:rsidRPr="007945B9">
        <w:rPr>
          <w:sz w:val="18"/>
          <w:szCs w:val="18"/>
          <w:vertAlign w:val="superscript"/>
        </w:rPr>
        <w:footnoteRef/>
      </w:r>
      <w:r w:rsidRPr="007945B9">
        <w:rPr>
          <w:sz w:val="18"/>
          <w:szCs w:val="18"/>
          <w:vertAlign w:val="superscript"/>
        </w:rPr>
        <w:t xml:space="preserve"> </w:t>
      </w:r>
      <w:r w:rsidRPr="007945B9">
        <w:rPr>
          <w:rFonts w:eastAsia="Times New Roman"/>
          <w:color w:val="000000" w:themeColor="text1"/>
          <w:sz w:val="18"/>
          <w:szCs w:val="18"/>
        </w:rPr>
        <w:t xml:space="preserve">Stress Test is a </w:t>
      </w:r>
      <w:r w:rsidRPr="007945B9">
        <w:rPr>
          <w:rFonts w:eastAsia="Times New Roman"/>
          <w:color w:val="1F1F1F"/>
          <w:sz w:val="18"/>
          <w:szCs w:val="18"/>
        </w:rPr>
        <w:t>validation whether systems are prepared to handle a projected increase in volume.</w:t>
      </w:r>
    </w:p>
    <w:p w14:paraId="030BDD0C" w14:textId="77777777" w:rsidR="43EEFCCE" w:rsidRPr="00A81971" w:rsidRDefault="43EEFCCE"/>
  </w:footnote>
  <w:footnote w:id="26">
    <w:p w14:paraId="792BC5FC" w14:textId="77777777" w:rsidR="00E91126" w:rsidRPr="00A81971" w:rsidRDefault="0032495C" w:rsidP="00E91126">
      <w:pPr>
        <w:pStyle w:val="FootnoteText"/>
      </w:pPr>
      <w:r w:rsidRPr="00A81971">
        <w:rPr>
          <w:rStyle w:val="FootnoteReference"/>
        </w:rPr>
        <w:footnoteRef/>
      </w:r>
      <w:r w:rsidRPr="00A81971">
        <w:t xml:space="preserve"> UNEP/OzL.Pro/ExCom/97/91 </w:t>
      </w:r>
    </w:p>
  </w:footnote>
  <w:footnote w:id="27">
    <w:p w14:paraId="1F575055" w14:textId="77777777" w:rsidR="72F80994" w:rsidRPr="00FF6EB1" w:rsidRDefault="0032495C">
      <w:pPr>
        <w:rPr>
          <w:sz w:val="18"/>
          <w:szCs w:val="18"/>
        </w:rPr>
      </w:pPr>
      <w:r w:rsidRPr="00FF6EB1">
        <w:rPr>
          <w:sz w:val="18"/>
          <w:szCs w:val="18"/>
          <w:vertAlign w:val="superscript"/>
        </w:rPr>
        <w:footnoteRef/>
      </w:r>
      <w:r w:rsidR="6675E410" w:rsidRPr="00FF6EB1">
        <w:rPr>
          <w:sz w:val="18"/>
          <w:szCs w:val="18"/>
        </w:rPr>
        <w:t xml:space="preserve"> The updates </w:t>
      </w:r>
      <w:r w:rsidR="067F4D90" w:rsidRPr="00FF6EB1">
        <w:rPr>
          <w:sz w:val="18"/>
          <w:szCs w:val="18"/>
        </w:rPr>
        <w:t xml:space="preserve">to account for new </w:t>
      </w:r>
      <w:r w:rsidR="35899DF1" w:rsidRPr="00FF6EB1">
        <w:rPr>
          <w:sz w:val="18"/>
          <w:szCs w:val="18"/>
        </w:rPr>
        <w:t xml:space="preserve">approvals and decisions as of </w:t>
      </w:r>
      <w:r w:rsidR="00B45067">
        <w:rPr>
          <w:sz w:val="18"/>
          <w:szCs w:val="18"/>
        </w:rPr>
        <w:t>ExCom-98</w:t>
      </w:r>
      <w:r w:rsidR="35899DF1" w:rsidRPr="00FF6EB1">
        <w:rPr>
          <w:sz w:val="18"/>
          <w:szCs w:val="18"/>
        </w:rPr>
        <w:t xml:space="preserve"> do</w:t>
      </w:r>
      <w:r w:rsidR="6675E410" w:rsidRPr="00FF6EB1">
        <w:rPr>
          <w:sz w:val="18"/>
          <w:szCs w:val="18"/>
        </w:rPr>
        <w:t xml:space="preserve"> not change </w:t>
      </w:r>
      <w:r w:rsidR="22498541" w:rsidRPr="00FF6EB1">
        <w:rPr>
          <w:sz w:val="18"/>
          <w:szCs w:val="18"/>
        </w:rPr>
        <w:t>assumptions, parameters</w:t>
      </w:r>
      <w:r w:rsidR="6675E410" w:rsidRPr="00FF6EB1">
        <w:rPr>
          <w:sz w:val="18"/>
          <w:szCs w:val="18"/>
        </w:rPr>
        <w:t xml:space="preserve"> nor the methodology </w:t>
      </w:r>
      <w:r w:rsidR="22498541" w:rsidRPr="00FF6EB1">
        <w:rPr>
          <w:sz w:val="18"/>
          <w:szCs w:val="18"/>
        </w:rPr>
        <w:t xml:space="preserve">used </w:t>
      </w:r>
      <w:r w:rsidR="26C84A94" w:rsidRPr="00FF6EB1">
        <w:rPr>
          <w:sz w:val="18"/>
          <w:szCs w:val="18"/>
        </w:rPr>
        <w:t>for</w:t>
      </w:r>
      <w:r w:rsidR="6675E410" w:rsidRPr="00FF6EB1">
        <w:rPr>
          <w:sz w:val="18"/>
          <w:szCs w:val="18"/>
        </w:rPr>
        <w:t xml:space="preserve"> the </w:t>
      </w:r>
      <w:r w:rsidR="067F4D90" w:rsidRPr="00FF6EB1">
        <w:rPr>
          <w:sz w:val="18"/>
          <w:szCs w:val="18"/>
        </w:rPr>
        <w:t xml:space="preserve">RTF May </w:t>
      </w:r>
      <w:r w:rsidR="008B5EB2">
        <w:rPr>
          <w:sz w:val="18"/>
          <w:szCs w:val="18"/>
        </w:rPr>
        <w:t xml:space="preserve">2026 </w:t>
      </w:r>
      <w:r w:rsidR="067F4D90" w:rsidRPr="00FF6EB1">
        <w:rPr>
          <w:sz w:val="18"/>
          <w:szCs w:val="18"/>
        </w:rPr>
        <w:t xml:space="preserve">Report. </w:t>
      </w:r>
    </w:p>
  </w:footnote>
  <w:footnote w:id="28">
    <w:p w14:paraId="73B19A21" w14:textId="77777777" w:rsidR="457BD43E" w:rsidRPr="00A81971" w:rsidRDefault="0032495C" w:rsidP="457BD43E">
      <w:pPr>
        <w:rPr>
          <w:sz w:val="18"/>
          <w:szCs w:val="18"/>
        </w:rPr>
      </w:pPr>
      <w:r w:rsidRPr="00A81971">
        <w:rPr>
          <w:sz w:val="18"/>
          <w:szCs w:val="18"/>
          <w:vertAlign w:val="superscript"/>
        </w:rPr>
        <w:footnoteRef/>
      </w:r>
      <w:r w:rsidRPr="00A81971">
        <w:rPr>
          <w:sz w:val="18"/>
          <w:szCs w:val="18"/>
        </w:rPr>
        <w:t xml:space="preserve"> DPRK is not funded due to United Nations Security Council sanctions. Committed funding for regional activities, designated in ExCom documents as “Region: ASP”, is included.</w:t>
      </w:r>
    </w:p>
  </w:footnote>
  <w:footnote w:id="29">
    <w:p w14:paraId="7F72C83D" w14:textId="5D42071B" w:rsidR="457BD43E" w:rsidRPr="00A81971" w:rsidRDefault="0032495C" w:rsidP="457BD43E">
      <w:pPr>
        <w:rPr>
          <w:sz w:val="18"/>
          <w:szCs w:val="18"/>
        </w:rPr>
      </w:pPr>
      <w:r w:rsidRPr="00A81971">
        <w:rPr>
          <w:sz w:val="18"/>
          <w:szCs w:val="18"/>
          <w:vertAlign w:val="superscript"/>
        </w:rPr>
        <w:footnoteRef/>
      </w:r>
      <w:r w:rsidRPr="00A81971">
        <w:rPr>
          <w:sz w:val="18"/>
          <w:szCs w:val="18"/>
          <w:vertAlign w:val="superscript"/>
        </w:rPr>
        <w:t xml:space="preserve"> </w:t>
      </w:r>
      <w:r w:rsidRPr="00A81971">
        <w:rPr>
          <w:sz w:val="18"/>
          <w:szCs w:val="18"/>
        </w:rPr>
        <w:t>Nicaragua, an LVC party, requested cancellation of its HPMP, so the RTF considered that the party will not re-submit its HPMP and did not include in its funding estimate.</w:t>
      </w:r>
      <w:r w:rsidR="00014403">
        <w:rPr>
          <w:sz w:val="18"/>
          <w:szCs w:val="18"/>
        </w:rPr>
        <w:t xml:space="preserve"> DPRK not included, due to UN sanctions.</w:t>
      </w:r>
    </w:p>
  </w:footnote>
  <w:footnote w:id="30">
    <w:p w14:paraId="7178CDDC" w14:textId="77777777" w:rsidR="6EDB0298" w:rsidRPr="00A81971" w:rsidRDefault="0032495C" w:rsidP="6EDB0298">
      <w:pPr>
        <w:rPr>
          <w:rFonts w:eastAsia="Times New Roman"/>
          <w:color w:val="000000" w:themeColor="text1"/>
          <w:sz w:val="18"/>
          <w:szCs w:val="18"/>
        </w:rPr>
      </w:pPr>
      <w:r w:rsidRPr="00A81971">
        <w:rPr>
          <w:sz w:val="18"/>
          <w:szCs w:val="18"/>
          <w:vertAlign w:val="superscript"/>
        </w:rPr>
        <w:footnoteRef/>
      </w:r>
      <w:r w:rsidRPr="00A81971">
        <w:rPr>
          <w:sz w:val="18"/>
          <w:szCs w:val="18"/>
        </w:rPr>
        <w:t xml:space="preserve"> </w:t>
      </w:r>
      <w:r w:rsidRPr="00A81971">
        <w:rPr>
          <w:rFonts w:eastAsia="Times New Roman"/>
          <w:color w:val="000000" w:themeColor="text1"/>
          <w:sz w:val="18"/>
          <w:szCs w:val="18"/>
        </w:rPr>
        <w:t xml:space="preserve">For the purpose of the present modelling exercise, KIPs approved under regional implementation arrangements were compiled </w:t>
      </w:r>
      <w:r w:rsidR="00D13AE1" w:rsidRPr="00A81971">
        <w:rPr>
          <w:rFonts w:eastAsia="Times New Roman"/>
          <w:color w:val="000000" w:themeColor="text1"/>
          <w:sz w:val="18"/>
          <w:szCs w:val="18"/>
        </w:rPr>
        <w:t>and</w:t>
      </w:r>
      <w:r w:rsidRPr="00A81971">
        <w:rPr>
          <w:rFonts w:eastAsia="Times New Roman"/>
          <w:color w:val="000000" w:themeColor="text1"/>
          <w:sz w:val="18"/>
          <w:szCs w:val="18"/>
        </w:rPr>
        <w:t xml:space="preserve"> allocated to individual A5 parties. Accordingly, the amount of US$ 303,405 allocated to Stage I for Region: ASP through UNEP and Australia was </w:t>
      </w:r>
      <w:r w:rsidR="003634F9" w:rsidRPr="00A81971">
        <w:rPr>
          <w:rFonts w:eastAsia="Times New Roman"/>
          <w:color w:val="000000" w:themeColor="text1"/>
          <w:sz w:val="18"/>
          <w:szCs w:val="18"/>
        </w:rPr>
        <w:t>included</w:t>
      </w:r>
      <w:r w:rsidRPr="00A81971">
        <w:rPr>
          <w:rFonts w:eastAsia="Times New Roman"/>
          <w:color w:val="000000" w:themeColor="text1"/>
          <w:sz w:val="18"/>
          <w:szCs w:val="18"/>
        </w:rPr>
        <w:t xml:space="preserve"> in the estimates and calculations presented in this report.</w:t>
      </w:r>
    </w:p>
  </w:footnote>
  <w:footnote w:id="31">
    <w:p w14:paraId="427E5AF2" w14:textId="77777777" w:rsidR="2E7655E2" w:rsidRDefault="0032495C" w:rsidP="00B35915">
      <w:pPr>
        <w:spacing w:after="0"/>
      </w:pPr>
      <w:r w:rsidRPr="00B35915">
        <w:rPr>
          <w:sz w:val="18"/>
          <w:szCs w:val="18"/>
          <w:vertAlign w:val="superscript"/>
        </w:rPr>
        <w:footnoteRef/>
      </w:r>
      <w:r w:rsidRPr="2E7655E2">
        <w:rPr>
          <w:sz w:val="18"/>
          <w:szCs w:val="18"/>
        </w:rPr>
        <w:t xml:space="preserve"> When reviewing the September last version of the RTF report, the MLFS advised RTF that the verification costs for non-LVCs are part of the KIP funding. RTF could not change the numbers in time as the change would impact many tables where this cost is included.</w:t>
      </w:r>
    </w:p>
  </w:footnote>
  <w:footnote w:id="32">
    <w:p w14:paraId="0473D0A8" w14:textId="77777777" w:rsidR="004D30AC" w:rsidRPr="00A81971" w:rsidRDefault="0032495C" w:rsidP="004D30AC">
      <w:pPr>
        <w:rPr>
          <w:rFonts w:eastAsia="Times New Roman"/>
          <w:sz w:val="18"/>
          <w:szCs w:val="18"/>
        </w:rPr>
      </w:pPr>
      <w:r w:rsidRPr="00A81971">
        <w:rPr>
          <w:sz w:val="18"/>
          <w:szCs w:val="18"/>
          <w:vertAlign w:val="superscript"/>
        </w:rPr>
        <w:footnoteRef/>
      </w:r>
      <w:r w:rsidRPr="00A81971">
        <w:rPr>
          <w:sz w:val="18"/>
          <w:szCs w:val="18"/>
        </w:rPr>
        <w:t xml:space="preserve"> </w:t>
      </w:r>
      <w:r w:rsidRPr="00A81971">
        <w:rPr>
          <w:rFonts w:eastAsia="Times New Roman"/>
          <w:sz w:val="18"/>
          <w:szCs w:val="18"/>
        </w:rPr>
        <w:t>UNEP/OzL.Pro/ExCom/98/61</w:t>
      </w:r>
    </w:p>
  </w:footnote>
  <w:footnote w:id="33">
    <w:p w14:paraId="6A186F3B" w14:textId="77777777" w:rsidR="2E7655E2" w:rsidRDefault="0032495C" w:rsidP="2E7655E2">
      <w:pPr>
        <w:rPr>
          <w:sz w:val="18"/>
          <w:szCs w:val="18"/>
        </w:rPr>
      </w:pPr>
      <w:r w:rsidRPr="00B67DBB">
        <w:rPr>
          <w:sz w:val="18"/>
          <w:szCs w:val="18"/>
          <w:vertAlign w:val="superscript"/>
        </w:rPr>
        <w:footnoteRef/>
      </w:r>
      <w:r>
        <w:t xml:space="preserve"> </w:t>
      </w:r>
      <w:r w:rsidRPr="2E7655E2">
        <w:rPr>
          <w:sz w:val="18"/>
          <w:szCs w:val="18"/>
        </w:rPr>
        <w:t>When reviewing the September last version of the RTF report, the MLFS advised RTF that the verification costs for non-LVCs are part of the KIP funding. RTF could not change the numbers in time as the change would impact many tables where this cost is included.</w:t>
      </w:r>
    </w:p>
    <w:p w14:paraId="46701F19" w14:textId="77777777" w:rsidR="2E7655E2" w:rsidRDefault="2E7655E2" w:rsidP="2E7655E2">
      <w:pPr>
        <w:rPr>
          <w:sz w:val="18"/>
          <w:szCs w:val="18"/>
        </w:rPr>
      </w:pPr>
    </w:p>
    <w:p w14:paraId="5665D4CD" w14:textId="77777777" w:rsidR="2E7655E2" w:rsidRDefault="2E7655E2"/>
  </w:footnote>
  <w:footnote w:id="34">
    <w:p w14:paraId="1BA1AAB2" w14:textId="77777777" w:rsidR="2E7655E2" w:rsidRDefault="0032495C" w:rsidP="0088132F">
      <w:pPr>
        <w:spacing w:after="0"/>
      </w:pPr>
      <w:r w:rsidRPr="0088132F">
        <w:rPr>
          <w:sz w:val="18"/>
          <w:szCs w:val="18"/>
          <w:vertAlign w:val="superscript"/>
        </w:rPr>
        <w:footnoteRef/>
      </w:r>
      <w:r w:rsidRPr="2E7655E2">
        <w:rPr>
          <w:sz w:val="18"/>
          <w:szCs w:val="18"/>
        </w:rPr>
        <w:t xml:space="preserve"> When reviewing the September last version of the RTF report, the MLFS advised RTF that the verification costs for non-LVCs are part of the KIP funding. RTF could not change the numbers in time as the change would impact many tables where this cost is included.</w:t>
      </w:r>
    </w:p>
  </w:footnote>
  <w:footnote w:id="35">
    <w:p w14:paraId="241E298F" w14:textId="77777777" w:rsidR="6EDB0298" w:rsidRPr="00A81971" w:rsidRDefault="0032495C" w:rsidP="00FB45F0">
      <w:pPr>
        <w:spacing w:after="0"/>
        <w:rPr>
          <w:rFonts w:eastAsia="Times New Roman"/>
          <w:color w:val="202020"/>
          <w:sz w:val="18"/>
          <w:szCs w:val="18"/>
        </w:rPr>
      </w:pPr>
      <w:r w:rsidRPr="00A81971">
        <w:rPr>
          <w:rFonts w:eastAsia="Times New Roman"/>
          <w:sz w:val="18"/>
          <w:szCs w:val="18"/>
          <w:vertAlign w:val="superscript"/>
        </w:rPr>
        <w:footnoteRef/>
      </w:r>
      <w:r w:rsidRPr="00A81971">
        <w:rPr>
          <w:rFonts w:eastAsia="Times New Roman"/>
          <w:sz w:val="18"/>
          <w:szCs w:val="18"/>
        </w:rPr>
        <w:t xml:space="preserve"> </w:t>
      </w:r>
      <w:r w:rsidRPr="00A81971">
        <w:rPr>
          <w:rFonts w:eastAsia="Times New Roman"/>
          <w:color w:val="202020"/>
          <w:sz w:val="18"/>
          <w:szCs w:val="18"/>
        </w:rPr>
        <w:t>Substantive activities are those whose scale may expand during Stage II, including policy and enforcement work, training and certification, equipment or technical interventions, demonstrations, awareness and sector engagement.</w:t>
      </w:r>
    </w:p>
  </w:footnote>
  <w:footnote w:id="36">
    <w:p w14:paraId="342D23F3" w14:textId="77777777" w:rsidR="6EDB0298" w:rsidRPr="00A81971" w:rsidRDefault="0032495C" w:rsidP="6EDB0298">
      <w:pPr>
        <w:rPr>
          <w:rFonts w:eastAsia="Times New Roman"/>
          <w:color w:val="202020"/>
          <w:sz w:val="18"/>
          <w:szCs w:val="18"/>
        </w:rPr>
      </w:pPr>
      <w:r w:rsidRPr="00A81971">
        <w:rPr>
          <w:rFonts w:eastAsia="Times New Roman"/>
          <w:sz w:val="18"/>
          <w:szCs w:val="18"/>
          <w:vertAlign w:val="superscript"/>
        </w:rPr>
        <w:footnoteRef/>
      </w:r>
      <w:r w:rsidRPr="00A81971">
        <w:rPr>
          <w:rFonts w:eastAsia="Times New Roman"/>
          <w:sz w:val="18"/>
          <w:szCs w:val="18"/>
        </w:rPr>
        <w:t xml:space="preserve"> </w:t>
      </w:r>
      <w:r w:rsidRPr="00A81971">
        <w:rPr>
          <w:rFonts w:eastAsia="Times New Roman"/>
          <w:color w:val="202020"/>
          <w:sz w:val="18"/>
          <w:szCs w:val="18"/>
        </w:rPr>
        <w:t>Continuing activities include coordination, implementation, monitoring and reporting functions required throughout stage II</w:t>
      </w:r>
    </w:p>
  </w:footnote>
  <w:footnote w:id="37">
    <w:p w14:paraId="42C8E251" w14:textId="77777777" w:rsidR="0077230C" w:rsidRPr="00A81971" w:rsidRDefault="0032495C" w:rsidP="00B55CC8">
      <w:pPr>
        <w:pStyle w:val="FootnoteText"/>
      </w:pPr>
      <w:r w:rsidRPr="00A81971">
        <w:rPr>
          <w:rStyle w:val="FootnoteReference"/>
        </w:rPr>
        <w:footnoteRef/>
      </w:r>
      <w:r w:rsidRPr="00A81971">
        <w:t xml:space="preserve"> HPMP Project-specific evidence indicates that only around 5–10 per cent of the estimated recoverable refrigerant volume currently enters the documented recovery or formal return chain. This figure should be treated as a project-specific estimate rather than a global HPMP/KIP average, since public Multilateral Fund and Ozone Secretariat documents do not yet provide a harmonized recovery-to-available-volume indicator.</w:t>
      </w:r>
    </w:p>
  </w:footnote>
  <w:footnote w:id="38">
    <w:p w14:paraId="2F9F0A61" w14:textId="77777777" w:rsidR="0077230C" w:rsidRPr="00A81971" w:rsidRDefault="0032495C" w:rsidP="00B55CC8">
      <w:pPr>
        <w:pStyle w:val="FootnoteText"/>
      </w:pPr>
      <w:r w:rsidRPr="00A81971">
        <w:rPr>
          <w:rStyle w:val="FootnoteReference"/>
        </w:rPr>
        <w:footnoteRef/>
      </w:r>
      <w:r w:rsidRPr="00A81971">
        <w:t xml:space="preserve"> The module therefore aims to convert existing servicing-sector capacity into measurable recovery, collection and environmentally sound end-of-life management. Evidence from Japan and Australia suggests that a system-level recovery benchmark of approximately 40–44</w:t>
      </w:r>
      <w:r w:rsidR="00B55CC8">
        <w:t>%</w:t>
      </w:r>
      <w:r w:rsidRPr="00A81971">
        <w:t xml:space="preserve"> is achievable, while Japan has set policy targets of 60</w:t>
      </w:r>
      <w:r w:rsidR="00B55CC8">
        <w:t>%</w:t>
      </w:r>
      <w:r w:rsidRPr="00A81971">
        <w:t xml:space="preserve"> and 75</w:t>
      </w:r>
      <w:r w:rsidR="00B55CC8">
        <w:t>%</w:t>
      </w:r>
      <w:r w:rsidRPr="00A81971">
        <w:t>. Controlled equipment-level demonstrations have achieved recovery efficiencies above 90</w:t>
      </w:r>
      <w:r w:rsidR="00B55CC8">
        <w:t>%</w:t>
      </w:r>
      <w:r w:rsidRPr="00A81971">
        <w:t>, showing that the main remaining constraints are not solely technical but also institutional, logistical, economic and related to enforcement</w:t>
      </w:r>
    </w:p>
  </w:footnote>
  <w:footnote w:id="39">
    <w:p w14:paraId="035DF39F" w14:textId="77777777" w:rsidR="0077230C" w:rsidRPr="00A81971" w:rsidRDefault="0032495C" w:rsidP="0077230C">
      <w:pPr>
        <w:pStyle w:val="FootnoteText"/>
        <w:jc w:val="both"/>
      </w:pPr>
      <w:r w:rsidRPr="00A81971">
        <w:rPr>
          <w:vertAlign w:val="superscript"/>
        </w:rPr>
        <w:footnoteRef/>
      </w:r>
      <w:r w:rsidRPr="00A81971">
        <w:rPr>
          <w:vertAlign w:val="superscript"/>
        </w:rPr>
        <w:t xml:space="preserve"> </w:t>
      </w:r>
      <w:r w:rsidRPr="00A81971">
        <w:t>LRM TF report page 56</w:t>
      </w:r>
      <w:r w:rsidR="006855C2">
        <w:t>: “</w:t>
      </w:r>
      <w:r w:rsidRPr="00E7611A">
        <w:t>Access to tools and infrastructure is still limited in Africa with a range of 16% to 19%. Though the infrastructure is available in mainly training centres, local technicians/end users have limited access to the tools outside the training. The technicians may receive free hands-on training with the tools; however, a high percentage cannot afford them for their workshops.</w:t>
      </w:r>
      <w:r w:rsidR="006855C2">
        <w:t>”</w:t>
      </w:r>
    </w:p>
  </w:footnote>
  <w:footnote w:id="40">
    <w:p w14:paraId="4657E012" w14:textId="77777777" w:rsidR="0077230C" w:rsidRPr="00A81971" w:rsidRDefault="0032495C" w:rsidP="0077230C">
      <w:pPr>
        <w:pStyle w:val="FootnoteText"/>
        <w:jc w:val="both"/>
      </w:pPr>
      <w:r w:rsidRPr="00A81971">
        <w:rPr>
          <w:rStyle w:val="FootnoteReference"/>
        </w:rPr>
        <w:footnoteRef/>
      </w:r>
      <w:r w:rsidRPr="00A81971">
        <w:t xml:space="preserve"> While the exact threshold depends on Parties' conditions, transaction costs, regulatory enforcement, and the commercial value of recovered refrigerants, diffusion-model literature suggests that the main inflection point in an "S-curve" occurs near 50 per cent of market saturation. Bass, F. M. (1969). A New Product Growth for Model Consumer Durables. Management Science, 15(5), 215–227. https://doi.org/10.1287/mnsc.15.5.215</w:t>
      </w:r>
    </w:p>
  </w:footnote>
  <w:footnote w:id="41">
    <w:p w14:paraId="343BED0E" w14:textId="77777777" w:rsidR="0077230C" w:rsidRPr="00E90919" w:rsidRDefault="0032495C" w:rsidP="0077230C">
      <w:pPr>
        <w:pStyle w:val="FootnoteText"/>
      </w:pPr>
      <w:r w:rsidRPr="00A81971">
        <w:rPr>
          <w:rStyle w:val="FootnoteReference"/>
        </w:rPr>
        <w:footnoteRef/>
      </w:r>
      <w:r w:rsidRPr="00A81971">
        <w:t xml:space="preserve"> Increasing </w:t>
      </w:r>
      <w:r w:rsidRPr="00A81971">
        <w:rPr>
          <w:color w:val="000000"/>
        </w:rPr>
        <w:t>the number of cement kilns - at least 13 known</w:t>
      </w:r>
      <w:r w:rsidR="00950CE6">
        <w:rPr>
          <w:color w:val="000000"/>
        </w:rPr>
        <w:t xml:space="preserve"> in</w:t>
      </w:r>
      <w:r w:rsidRPr="00A81971">
        <w:rPr>
          <w:color w:val="000000"/>
        </w:rPr>
        <w:t>: Algeria, Argentina, Brazil, China, Colombia, Costa Rica, Cuba, Ecuador, Indonesia, Mexico, Nigeria, South Africa, Venezuela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00F90461" w14:paraId="275D82FB" w14:textId="77777777" w:rsidTr="0098275B">
      <w:trPr>
        <w:trHeight w:val="300"/>
      </w:trPr>
      <w:tc>
        <w:tcPr>
          <w:tcW w:w="2765" w:type="dxa"/>
        </w:tcPr>
        <w:p w14:paraId="6C990CA2" w14:textId="1D56CDD7" w:rsidR="31026EF7" w:rsidRPr="00A81971" w:rsidRDefault="31026EF7" w:rsidP="00BC03B6">
          <w:pPr>
            <w:pStyle w:val="Header"/>
            <w:ind w:left="-115"/>
            <w:rPr>
              <w:lang w:val="en-GB"/>
            </w:rPr>
          </w:pPr>
        </w:p>
      </w:tc>
      <w:tc>
        <w:tcPr>
          <w:tcW w:w="2765" w:type="dxa"/>
        </w:tcPr>
        <w:p w14:paraId="46869112" w14:textId="77777777" w:rsidR="31026EF7" w:rsidRPr="00A81971" w:rsidRDefault="31026EF7" w:rsidP="00BC03B6">
          <w:pPr>
            <w:pStyle w:val="Header"/>
            <w:jc w:val="center"/>
            <w:rPr>
              <w:lang w:val="en-GB"/>
            </w:rPr>
          </w:pPr>
        </w:p>
      </w:tc>
      <w:tc>
        <w:tcPr>
          <w:tcW w:w="2765" w:type="dxa"/>
        </w:tcPr>
        <w:p w14:paraId="337840DF" w14:textId="77777777" w:rsidR="31026EF7" w:rsidRPr="00A81971" w:rsidRDefault="31026EF7" w:rsidP="00BC03B6">
          <w:pPr>
            <w:pStyle w:val="Header"/>
            <w:ind w:right="-115"/>
            <w:jc w:val="right"/>
            <w:rPr>
              <w:lang w:val="en-GB"/>
            </w:rPr>
          </w:pPr>
        </w:p>
      </w:tc>
    </w:tr>
  </w:tbl>
  <w:p w14:paraId="4976941A" w14:textId="4C5DA87D" w:rsidR="31026EF7" w:rsidRPr="00A81971" w:rsidRDefault="00000000" w:rsidP="0098275B">
    <w:pPr>
      <w:pStyle w:val="Header"/>
      <w:rPr>
        <w:lang w:val="en-GB"/>
      </w:rPr>
    </w:pPr>
    <w:r>
      <w:rPr>
        <w:noProof/>
      </w:rPr>
      <w:pict w14:anchorId="51914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19" o:spid="_x0000_s1036" type="#_x0000_t136" alt="" style="position:absolute;left:0;text-align:left;margin-left:0;margin-top:0;width:498.05pt;height:142.3pt;rotation:315;z-index:-251655168;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70253" w14:textId="1ED1E4EB" w:rsidR="0080169A" w:rsidRDefault="00000000">
    <w:pPr>
      <w:pStyle w:val="Header"/>
    </w:pPr>
    <w:r>
      <w:rPr>
        <w:noProof/>
      </w:rPr>
      <w:pict w14:anchorId="5BF3C0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0" o:spid="_x0000_s1035" type="#_x0000_t136" alt="" style="position:absolute;left:0;text-align:left;margin-left:0;margin-top:0;width:498.05pt;height:142.3pt;rotation:315;z-index:-251653120;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67E0" w14:textId="218AEB29" w:rsidR="0080169A" w:rsidRDefault="00000000">
    <w:pPr>
      <w:pStyle w:val="Header"/>
    </w:pPr>
    <w:r>
      <w:rPr>
        <w:noProof/>
      </w:rPr>
      <w:pict w14:anchorId="1DE65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18" o:spid="_x0000_s1034" type="#_x0000_t136" alt="" style="position:absolute;left:0;text-align:left;margin-left:0;margin-top:0;width:498.05pt;height:142.3pt;rotation:315;z-index:-251657216;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8AA8" w14:textId="152B46CD" w:rsidR="00417D6A" w:rsidRPr="00A81971" w:rsidRDefault="00000000" w:rsidP="00243E25">
    <w:pPr>
      <w:pStyle w:val="Header"/>
      <w:ind w:left="0"/>
      <w:rPr>
        <w:b/>
        <w:bCs/>
        <w:i/>
        <w:iCs/>
        <w:lang w:val="en-GB"/>
      </w:rPr>
    </w:pPr>
    <w:r>
      <w:rPr>
        <w:noProof/>
      </w:rPr>
      <w:pict w14:anchorId="6219E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2" o:spid="_x0000_s1033" type="#_x0000_t136" alt="" style="position:absolute;margin-left:0;margin-top:0;width:498.05pt;height:142.3pt;rotation:315;z-index:-251649024;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CF08" w14:textId="06314912" w:rsidR="00417D6A" w:rsidRPr="00A81971" w:rsidRDefault="00000000" w:rsidP="00CD4F23">
    <w:pPr>
      <w:pStyle w:val="Header"/>
      <w:rPr>
        <w:sz w:val="20"/>
        <w:szCs w:val="18"/>
        <w:lang w:val="en-GB"/>
      </w:rPr>
    </w:pPr>
    <w:r>
      <w:rPr>
        <w:noProof/>
      </w:rPr>
      <w:pict w14:anchorId="599DF6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3" o:spid="_x0000_s1032" type="#_x0000_t136" alt="" style="position:absolute;left:0;text-align:left;margin-left:0;margin-top:0;width:498.05pt;height:142.3pt;rotation:315;z-index:-251646976;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B266" w14:textId="6731D9F3" w:rsidR="00417D6A" w:rsidRPr="00A81971" w:rsidRDefault="00000000">
    <w:pPr>
      <w:pStyle w:val="Header"/>
      <w:rPr>
        <w:lang w:val="en-GB"/>
      </w:rPr>
    </w:pPr>
    <w:r>
      <w:rPr>
        <w:noProof/>
      </w:rPr>
      <w:pict w14:anchorId="578FF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1" o:spid="_x0000_s1031" type="#_x0000_t136" alt="" style="position:absolute;left:0;text-align:left;margin-left:0;margin-top:0;width:498.05pt;height:142.3pt;rotation:315;z-index:-251651072;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9846" w14:textId="5D4EDA6C" w:rsidR="00417D6A" w:rsidRPr="00A81971" w:rsidRDefault="00000000" w:rsidP="00E059ED">
    <w:pPr>
      <w:pStyle w:val="Header"/>
      <w:rPr>
        <w:lang w:val="en-GB"/>
      </w:rPr>
    </w:pPr>
    <w:r>
      <w:rPr>
        <w:noProof/>
      </w:rPr>
      <w:pict w14:anchorId="3F673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5" o:spid="_x0000_s1030" type="#_x0000_t136" alt="" style="position:absolute;left:0;text-align:left;margin-left:0;margin-top:0;width:498.05pt;height:142.3pt;rotation:315;z-index:-251642880;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56C4" w14:textId="74CD8C11" w:rsidR="00417D6A" w:rsidRPr="00A81971" w:rsidRDefault="00000000" w:rsidP="00CD4F23">
    <w:pPr>
      <w:pStyle w:val="Header"/>
      <w:rPr>
        <w:lang w:val="en-GB"/>
      </w:rPr>
    </w:pPr>
    <w:r>
      <w:rPr>
        <w:noProof/>
      </w:rPr>
      <w:pict w14:anchorId="53F425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6" o:spid="_x0000_s1029" type="#_x0000_t136" alt="" style="position:absolute;left:0;text-align:left;margin-left:0;margin-top:0;width:498.05pt;height:142.3pt;rotation:315;z-index:-251640832;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7592" w14:textId="0E677AE0" w:rsidR="00417D6A" w:rsidRPr="00A81971" w:rsidRDefault="00000000">
    <w:pPr>
      <w:pStyle w:val="Header"/>
      <w:rPr>
        <w:lang w:val="en-GB"/>
      </w:rPr>
    </w:pPr>
    <w:r>
      <w:rPr>
        <w:noProof/>
      </w:rPr>
      <w:pict w14:anchorId="1691FB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4" o:spid="_x0000_s1028" type="#_x0000_t136" alt="" style="position:absolute;left:0;text-align:left;margin-left:0;margin-top:0;width:498.05pt;height:142.3pt;rotation:315;z-index:-251644928;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A471" w14:textId="57551572" w:rsidR="0082321F" w:rsidRPr="00A81971" w:rsidRDefault="00000000">
    <w:pPr>
      <w:pStyle w:val="Header"/>
      <w:rPr>
        <w:lang w:val="en-GB"/>
      </w:rPr>
    </w:pPr>
    <w:r>
      <w:rPr>
        <w:noProof/>
      </w:rPr>
      <w:pict w14:anchorId="0C1E1C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8" o:spid="_x0000_s1027" type="#_x0000_t136" alt="" style="position:absolute;left:0;text-align:left;margin-left:0;margin-top:0;width:498.05pt;height:142.3pt;rotation:315;z-index:-251636736;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C0C23" w14:textId="13B984B6" w:rsidR="0082321F" w:rsidRPr="00A81971" w:rsidRDefault="00000000">
    <w:pPr>
      <w:pStyle w:val="Header"/>
      <w:rPr>
        <w:lang w:val="en-GB"/>
      </w:rPr>
    </w:pPr>
    <w:r>
      <w:rPr>
        <w:noProof/>
      </w:rPr>
      <w:pict w14:anchorId="4E3A95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9" o:spid="_x0000_s1026" type="#_x0000_t136" alt="" style="position:absolute;left:0;text-align:left;margin-left:0;margin-top:0;width:498.05pt;height:142.3pt;rotation:315;z-index:-251634688;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E153" w14:textId="39AC315A" w:rsidR="0082321F" w:rsidRPr="00A81971" w:rsidRDefault="00000000">
    <w:pPr>
      <w:pStyle w:val="Header"/>
      <w:rPr>
        <w:lang w:val="en-GB"/>
      </w:rPr>
    </w:pPr>
    <w:r>
      <w:rPr>
        <w:noProof/>
      </w:rPr>
      <w:pict w14:anchorId="09D02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20727" o:spid="_x0000_s1025" type="#_x0000_t136" alt="" style="position:absolute;left:0;text-align:left;margin-left:0;margin-top:0;width:498.05pt;height:142.3pt;rotation:315;z-index:-251638784;mso-wrap-edited:f;mso-width-percent:0;mso-height-percent:0;mso-position-horizontal:center;mso-position-horizontal-relative:margin;mso-position-vertical:center;mso-position-vertical-relative:margin;mso-width-percent:0;mso-height-percent:0" o:allowincell="f" fillcolor="#d8d8d8 [2732]" stroked="f">
          <v:fill opacity=".5"/>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003AFD40"/>
    <w:multiLevelType w:val="hybridMultilevel"/>
    <w:tmpl w:val="FFFFFFFF"/>
    <w:lvl w:ilvl="0" w:tplc="B992A016">
      <w:start w:val="1"/>
      <w:numFmt w:val="bullet"/>
      <w:lvlText w:val="·"/>
      <w:lvlJc w:val="left"/>
      <w:pPr>
        <w:ind w:left="720" w:hanging="360"/>
      </w:pPr>
      <w:rPr>
        <w:rFonts w:ascii="Symbol" w:hAnsi="Symbol" w:hint="default"/>
      </w:rPr>
    </w:lvl>
    <w:lvl w:ilvl="1" w:tplc="EA08EB7C">
      <w:start w:val="1"/>
      <w:numFmt w:val="bullet"/>
      <w:lvlText w:val="o"/>
      <w:lvlJc w:val="left"/>
      <w:pPr>
        <w:ind w:left="1440" w:hanging="360"/>
      </w:pPr>
      <w:rPr>
        <w:rFonts w:ascii="Courier New" w:hAnsi="Courier New" w:hint="default"/>
      </w:rPr>
    </w:lvl>
    <w:lvl w:ilvl="2" w:tplc="BA94723A">
      <w:start w:val="1"/>
      <w:numFmt w:val="bullet"/>
      <w:lvlText w:val=""/>
      <w:lvlJc w:val="left"/>
      <w:pPr>
        <w:ind w:left="2160" w:hanging="360"/>
      </w:pPr>
      <w:rPr>
        <w:rFonts w:ascii="Wingdings" w:hAnsi="Wingdings" w:hint="default"/>
      </w:rPr>
    </w:lvl>
    <w:lvl w:ilvl="3" w:tplc="A4CCD60A">
      <w:start w:val="1"/>
      <w:numFmt w:val="bullet"/>
      <w:lvlText w:val=""/>
      <w:lvlJc w:val="left"/>
      <w:pPr>
        <w:ind w:left="2880" w:hanging="360"/>
      </w:pPr>
      <w:rPr>
        <w:rFonts w:ascii="Symbol" w:hAnsi="Symbol" w:hint="default"/>
      </w:rPr>
    </w:lvl>
    <w:lvl w:ilvl="4" w:tplc="F5A2F288">
      <w:start w:val="1"/>
      <w:numFmt w:val="bullet"/>
      <w:lvlText w:val="o"/>
      <w:lvlJc w:val="left"/>
      <w:pPr>
        <w:ind w:left="3600" w:hanging="360"/>
      </w:pPr>
      <w:rPr>
        <w:rFonts w:ascii="Courier New" w:hAnsi="Courier New" w:hint="default"/>
      </w:rPr>
    </w:lvl>
    <w:lvl w:ilvl="5" w:tplc="F3F21FE2">
      <w:start w:val="1"/>
      <w:numFmt w:val="bullet"/>
      <w:lvlText w:val=""/>
      <w:lvlJc w:val="left"/>
      <w:pPr>
        <w:ind w:left="4320" w:hanging="360"/>
      </w:pPr>
      <w:rPr>
        <w:rFonts w:ascii="Wingdings" w:hAnsi="Wingdings" w:hint="default"/>
      </w:rPr>
    </w:lvl>
    <w:lvl w:ilvl="6" w:tplc="AB8E0C44">
      <w:start w:val="1"/>
      <w:numFmt w:val="bullet"/>
      <w:lvlText w:val=""/>
      <w:lvlJc w:val="left"/>
      <w:pPr>
        <w:ind w:left="5040" w:hanging="360"/>
      </w:pPr>
      <w:rPr>
        <w:rFonts w:ascii="Symbol" w:hAnsi="Symbol" w:hint="default"/>
      </w:rPr>
    </w:lvl>
    <w:lvl w:ilvl="7" w:tplc="EB90A870">
      <w:start w:val="1"/>
      <w:numFmt w:val="bullet"/>
      <w:lvlText w:val="o"/>
      <w:lvlJc w:val="left"/>
      <w:pPr>
        <w:ind w:left="5760" w:hanging="360"/>
      </w:pPr>
      <w:rPr>
        <w:rFonts w:ascii="Courier New" w:hAnsi="Courier New" w:hint="default"/>
      </w:rPr>
    </w:lvl>
    <w:lvl w:ilvl="8" w:tplc="5292FA16">
      <w:start w:val="1"/>
      <w:numFmt w:val="bullet"/>
      <w:lvlText w:val=""/>
      <w:lvlJc w:val="left"/>
      <w:pPr>
        <w:ind w:left="6480" w:hanging="360"/>
      </w:pPr>
      <w:rPr>
        <w:rFonts w:ascii="Wingdings" w:hAnsi="Wingdings" w:hint="default"/>
      </w:rPr>
    </w:lvl>
  </w:abstractNum>
  <w:abstractNum w:abstractNumId="2" w15:restartNumberingAfterBreak="0">
    <w:nsid w:val="01931512"/>
    <w:multiLevelType w:val="hybridMultilevel"/>
    <w:tmpl w:val="25C41F00"/>
    <w:lvl w:ilvl="0" w:tplc="3CDAEEE2">
      <w:start w:val="1"/>
      <w:numFmt w:val="bullet"/>
      <w:lvlText w:val=""/>
      <w:lvlJc w:val="left"/>
      <w:pPr>
        <w:ind w:left="720" w:hanging="360"/>
      </w:pPr>
      <w:rPr>
        <w:rFonts w:ascii="Symbol" w:hAnsi="Symbol" w:hint="default"/>
      </w:rPr>
    </w:lvl>
    <w:lvl w:ilvl="1" w:tplc="EF5A143C" w:tentative="1">
      <w:start w:val="1"/>
      <w:numFmt w:val="bullet"/>
      <w:lvlText w:val="o"/>
      <w:lvlJc w:val="left"/>
      <w:pPr>
        <w:ind w:left="1440" w:hanging="360"/>
      </w:pPr>
      <w:rPr>
        <w:rFonts w:ascii="Courier New" w:hAnsi="Courier New" w:cs="Courier New" w:hint="default"/>
      </w:rPr>
    </w:lvl>
    <w:lvl w:ilvl="2" w:tplc="B6FA0BF0" w:tentative="1">
      <w:start w:val="1"/>
      <w:numFmt w:val="bullet"/>
      <w:lvlText w:val=""/>
      <w:lvlJc w:val="left"/>
      <w:pPr>
        <w:ind w:left="2160" w:hanging="360"/>
      </w:pPr>
      <w:rPr>
        <w:rFonts w:ascii="Wingdings" w:hAnsi="Wingdings" w:hint="default"/>
      </w:rPr>
    </w:lvl>
    <w:lvl w:ilvl="3" w:tplc="763EC582" w:tentative="1">
      <w:start w:val="1"/>
      <w:numFmt w:val="bullet"/>
      <w:lvlText w:val=""/>
      <w:lvlJc w:val="left"/>
      <w:pPr>
        <w:ind w:left="2880" w:hanging="360"/>
      </w:pPr>
      <w:rPr>
        <w:rFonts w:ascii="Symbol" w:hAnsi="Symbol" w:hint="default"/>
      </w:rPr>
    </w:lvl>
    <w:lvl w:ilvl="4" w:tplc="A4467990" w:tentative="1">
      <w:start w:val="1"/>
      <w:numFmt w:val="bullet"/>
      <w:lvlText w:val="o"/>
      <w:lvlJc w:val="left"/>
      <w:pPr>
        <w:ind w:left="3600" w:hanging="360"/>
      </w:pPr>
      <w:rPr>
        <w:rFonts w:ascii="Courier New" w:hAnsi="Courier New" w:cs="Courier New" w:hint="default"/>
      </w:rPr>
    </w:lvl>
    <w:lvl w:ilvl="5" w:tplc="F3E2E404" w:tentative="1">
      <w:start w:val="1"/>
      <w:numFmt w:val="bullet"/>
      <w:lvlText w:val=""/>
      <w:lvlJc w:val="left"/>
      <w:pPr>
        <w:ind w:left="4320" w:hanging="360"/>
      </w:pPr>
      <w:rPr>
        <w:rFonts w:ascii="Wingdings" w:hAnsi="Wingdings" w:hint="default"/>
      </w:rPr>
    </w:lvl>
    <w:lvl w:ilvl="6" w:tplc="16AC3586" w:tentative="1">
      <w:start w:val="1"/>
      <w:numFmt w:val="bullet"/>
      <w:lvlText w:val=""/>
      <w:lvlJc w:val="left"/>
      <w:pPr>
        <w:ind w:left="5040" w:hanging="360"/>
      </w:pPr>
      <w:rPr>
        <w:rFonts w:ascii="Symbol" w:hAnsi="Symbol" w:hint="default"/>
      </w:rPr>
    </w:lvl>
    <w:lvl w:ilvl="7" w:tplc="9EACC4B6" w:tentative="1">
      <w:start w:val="1"/>
      <w:numFmt w:val="bullet"/>
      <w:lvlText w:val="o"/>
      <w:lvlJc w:val="left"/>
      <w:pPr>
        <w:ind w:left="5760" w:hanging="360"/>
      </w:pPr>
      <w:rPr>
        <w:rFonts w:ascii="Courier New" w:hAnsi="Courier New" w:cs="Courier New" w:hint="default"/>
      </w:rPr>
    </w:lvl>
    <w:lvl w:ilvl="8" w:tplc="28F259EA" w:tentative="1">
      <w:start w:val="1"/>
      <w:numFmt w:val="bullet"/>
      <w:lvlText w:val=""/>
      <w:lvlJc w:val="left"/>
      <w:pPr>
        <w:ind w:left="6480" w:hanging="360"/>
      </w:pPr>
      <w:rPr>
        <w:rFonts w:ascii="Wingdings" w:hAnsi="Wingdings" w:hint="default"/>
      </w:rPr>
    </w:lvl>
  </w:abstractNum>
  <w:abstractNum w:abstractNumId="3" w15:restartNumberingAfterBreak="0">
    <w:nsid w:val="043F84E8"/>
    <w:multiLevelType w:val="hybridMultilevel"/>
    <w:tmpl w:val="A798F358"/>
    <w:lvl w:ilvl="0" w:tplc="8D2C370E">
      <w:start w:val="1"/>
      <w:numFmt w:val="bullet"/>
      <w:lvlText w:val=""/>
      <w:lvlJc w:val="left"/>
      <w:pPr>
        <w:ind w:left="720" w:hanging="360"/>
      </w:pPr>
      <w:rPr>
        <w:rFonts w:ascii="Symbol" w:hAnsi="Symbol" w:hint="default"/>
      </w:rPr>
    </w:lvl>
    <w:lvl w:ilvl="1" w:tplc="8F1207E8">
      <w:start w:val="1"/>
      <w:numFmt w:val="bullet"/>
      <w:lvlText w:val="o"/>
      <w:lvlJc w:val="left"/>
      <w:pPr>
        <w:ind w:left="1440" w:hanging="360"/>
      </w:pPr>
      <w:rPr>
        <w:rFonts w:ascii="Courier New" w:hAnsi="Courier New" w:hint="default"/>
      </w:rPr>
    </w:lvl>
    <w:lvl w:ilvl="2" w:tplc="C02AC1EE">
      <w:start w:val="1"/>
      <w:numFmt w:val="bullet"/>
      <w:lvlText w:val=""/>
      <w:lvlJc w:val="left"/>
      <w:pPr>
        <w:ind w:left="2160" w:hanging="360"/>
      </w:pPr>
      <w:rPr>
        <w:rFonts w:ascii="Wingdings" w:hAnsi="Wingdings" w:hint="default"/>
      </w:rPr>
    </w:lvl>
    <w:lvl w:ilvl="3" w:tplc="63BA6B62">
      <w:start w:val="1"/>
      <w:numFmt w:val="bullet"/>
      <w:lvlText w:val=""/>
      <w:lvlJc w:val="left"/>
      <w:pPr>
        <w:ind w:left="2880" w:hanging="360"/>
      </w:pPr>
      <w:rPr>
        <w:rFonts w:ascii="Symbol" w:hAnsi="Symbol" w:hint="default"/>
      </w:rPr>
    </w:lvl>
    <w:lvl w:ilvl="4" w:tplc="2F74C5B8">
      <w:start w:val="1"/>
      <w:numFmt w:val="bullet"/>
      <w:lvlText w:val="o"/>
      <w:lvlJc w:val="left"/>
      <w:pPr>
        <w:ind w:left="3600" w:hanging="360"/>
      </w:pPr>
      <w:rPr>
        <w:rFonts w:ascii="Courier New" w:hAnsi="Courier New" w:hint="default"/>
      </w:rPr>
    </w:lvl>
    <w:lvl w:ilvl="5" w:tplc="CE5426B0">
      <w:start w:val="1"/>
      <w:numFmt w:val="bullet"/>
      <w:lvlText w:val=""/>
      <w:lvlJc w:val="left"/>
      <w:pPr>
        <w:ind w:left="4320" w:hanging="360"/>
      </w:pPr>
      <w:rPr>
        <w:rFonts w:ascii="Wingdings" w:hAnsi="Wingdings" w:hint="default"/>
      </w:rPr>
    </w:lvl>
    <w:lvl w:ilvl="6" w:tplc="9CC6EEBE">
      <w:start w:val="1"/>
      <w:numFmt w:val="bullet"/>
      <w:lvlText w:val=""/>
      <w:lvlJc w:val="left"/>
      <w:pPr>
        <w:ind w:left="5040" w:hanging="360"/>
      </w:pPr>
      <w:rPr>
        <w:rFonts w:ascii="Symbol" w:hAnsi="Symbol" w:hint="default"/>
      </w:rPr>
    </w:lvl>
    <w:lvl w:ilvl="7" w:tplc="85BAB0FC">
      <w:start w:val="1"/>
      <w:numFmt w:val="bullet"/>
      <w:lvlText w:val="o"/>
      <w:lvlJc w:val="left"/>
      <w:pPr>
        <w:ind w:left="5760" w:hanging="360"/>
      </w:pPr>
      <w:rPr>
        <w:rFonts w:ascii="Courier New" w:hAnsi="Courier New" w:hint="default"/>
      </w:rPr>
    </w:lvl>
    <w:lvl w:ilvl="8" w:tplc="23E6A88C">
      <w:start w:val="1"/>
      <w:numFmt w:val="bullet"/>
      <w:lvlText w:val=""/>
      <w:lvlJc w:val="left"/>
      <w:pPr>
        <w:ind w:left="6480" w:hanging="360"/>
      </w:pPr>
      <w:rPr>
        <w:rFonts w:ascii="Wingdings" w:hAnsi="Wingdings" w:hint="default"/>
      </w:rPr>
    </w:lvl>
  </w:abstractNum>
  <w:abstractNum w:abstractNumId="4" w15:restartNumberingAfterBreak="0">
    <w:nsid w:val="05611A87"/>
    <w:multiLevelType w:val="hybridMultilevel"/>
    <w:tmpl w:val="F4842A8E"/>
    <w:lvl w:ilvl="0" w:tplc="E9227344">
      <w:start w:val="1"/>
      <w:numFmt w:val="decimal"/>
      <w:lvlText w:val="%1."/>
      <w:lvlJc w:val="left"/>
      <w:pPr>
        <w:ind w:left="720" w:hanging="360"/>
      </w:pPr>
      <w:rPr>
        <w:rFonts w:hint="default"/>
      </w:rPr>
    </w:lvl>
    <w:lvl w:ilvl="1" w:tplc="6AC47400">
      <w:start w:val="1"/>
      <w:numFmt w:val="decimal"/>
      <w:lvlText w:val="%2."/>
      <w:lvlJc w:val="left"/>
      <w:pPr>
        <w:ind w:left="1520" w:hanging="440"/>
      </w:pPr>
    </w:lvl>
    <w:lvl w:ilvl="2" w:tplc="C0984366" w:tentative="1">
      <w:start w:val="1"/>
      <w:numFmt w:val="bullet"/>
      <w:lvlText w:val=""/>
      <w:lvlJc w:val="left"/>
      <w:pPr>
        <w:ind w:left="2160" w:hanging="360"/>
      </w:pPr>
      <w:rPr>
        <w:rFonts w:ascii="Wingdings" w:hAnsi="Wingdings" w:hint="default"/>
      </w:rPr>
    </w:lvl>
    <w:lvl w:ilvl="3" w:tplc="10C6F61E" w:tentative="1">
      <w:start w:val="1"/>
      <w:numFmt w:val="bullet"/>
      <w:lvlText w:val=""/>
      <w:lvlJc w:val="left"/>
      <w:pPr>
        <w:ind w:left="2880" w:hanging="360"/>
      </w:pPr>
      <w:rPr>
        <w:rFonts w:ascii="Symbol" w:hAnsi="Symbol" w:hint="default"/>
      </w:rPr>
    </w:lvl>
    <w:lvl w:ilvl="4" w:tplc="6E28951C" w:tentative="1">
      <w:start w:val="1"/>
      <w:numFmt w:val="bullet"/>
      <w:lvlText w:val="o"/>
      <w:lvlJc w:val="left"/>
      <w:pPr>
        <w:ind w:left="3600" w:hanging="360"/>
      </w:pPr>
      <w:rPr>
        <w:rFonts w:ascii="Courier New" w:hAnsi="Courier New" w:cs="Courier New" w:hint="default"/>
      </w:rPr>
    </w:lvl>
    <w:lvl w:ilvl="5" w:tplc="ED58E09C" w:tentative="1">
      <w:start w:val="1"/>
      <w:numFmt w:val="bullet"/>
      <w:lvlText w:val=""/>
      <w:lvlJc w:val="left"/>
      <w:pPr>
        <w:ind w:left="4320" w:hanging="360"/>
      </w:pPr>
      <w:rPr>
        <w:rFonts w:ascii="Wingdings" w:hAnsi="Wingdings" w:hint="default"/>
      </w:rPr>
    </w:lvl>
    <w:lvl w:ilvl="6" w:tplc="582CF5B0" w:tentative="1">
      <w:start w:val="1"/>
      <w:numFmt w:val="bullet"/>
      <w:lvlText w:val=""/>
      <w:lvlJc w:val="left"/>
      <w:pPr>
        <w:ind w:left="5040" w:hanging="360"/>
      </w:pPr>
      <w:rPr>
        <w:rFonts w:ascii="Symbol" w:hAnsi="Symbol" w:hint="default"/>
      </w:rPr>
    </w:lvl>
    <w:lvl w:ilvl="7" w:tplc="FB6E369A" w:tentative="1">
      <w:start w:val="1"/>
      <w:numFmt w:val="bullet"/>
      <w:lvlText w:val="o"/>
      <w:lvlJc w:val="left"/>
      <w:pPr>
        <w:ind w:left="5760" w:hanging="360"/>
      </w:pPr>
      <w:rPr>
        <w:rFonts w:ascii="Courier New" w:hAnsi="Courier New" w:cs="Courier New" w:hint="default"/>
      </w:rPr>
    </w:lvl>
    <w:lvl w:ilvl="8" w:tplc="103AF382" w:tentative="1">
      <w:start w:val="1"/>
      <w:numFmt w:val="bullet"/>
      <w:lvlText w:val=""/>
      <w:lvlJc w:val="left"/>
      <w:pPr>
        <w:ind w:left="6480" w:hanging="360"/>
      </w:pPr>
      <w:rPr>
        <w:rFonts w:ascii="Wingdings" w:hAnsi="Wingdings" w:hint="default"/>
      </w:rPr>
    </w:lvl>
  </w:abstractNum>
  <w:abstractNum w:abstractNumId="5" w15:restartNumberingAfterBreak="0">
    <w:nsid w:val="0A1E5E37"/>
    <w:multiLevelType w:val="hybridMultilevel"/>
    <w:tmpl w:val="72302D2E"/>
    <w:lvl w:ilvl="0" w:tplc="60EA74A2">
      <w:start w:val="3"/>
      <w:numFmt w:val="lowerLetter"/>
      <w:lvlText w:val="%1)"/>
      <w:lvlJc w:val="left"/>
      <w:pPr>
        <w:ind w:left="720" w:hanging="360"/>
      </w:pPr>
      <w:rPr>
        <w:rFonts w:hint="default"/>
      </w:rPr>
    </w:lvl>
    <w:lvl w:ilvl="1" w:tplc="0EE84712" w:tentative="1">
      <w:start w:val="1"/>
      <w:numFmt w:val="lowerLetter"/>
      <w:lvlText w:val="%2."/>
      <w:lvlJc w:val="left"/>
      <w:pPr>
        <w:ind w:left="1440" w:hanging="360"/>
      </w:pPr>
    </w:lvl>
    <w:lvl w:ilvl="2" w:tplc="D80A89EE" w:tentative="1">
      <w:start w:val="1"/>
      <w:numFmt w:val="lowerRoman"/>
      <w:lvlText w:val="%3."/>
      <w:lvlJc w:val="right"/>
      <w:pPr>
        <w:ind w:left="2160" w:hanging="180"/>
      </w:pPr>
    </w:lvl>
    <w:lvl w:ilvl="3" w:tplc="D5A238F6" w:tentative="1">
      <w:start w:val="1"/>
      <w:numFmt w:val="decimal"/>
      <w:lvlText w:val="%4."/>
      <w:lvlJc w:val="left"/>
      <w:pPr>
        <w:ind w:left="2880" w:hanging="360"/>
      </w:pPr>
    </w:lvl>
    <w:lvl w:ilvl="4" w:tplc="9314FA90" w:tentative="1">
      <w:start w:val="1"/>
      <w:numFmt w:val="lowerLetter"/>
      <w:lvlText w:val="%5."/>
      <w:lvlJc w:val="left"/>
      <w:pPr>
        <w:ind w:left="3600" w:hanging="360"/>
      </w:pPr>
    </w:lvl>
    <w:lvl w:ilvl="5" w:tplc="F8487F7E" w:tentative="1">
      <w:start w:val="1"/>
      <w:numFmt w:val="lowerRoman"/>
      <w:lvlText w:val="%6."/>
      <w:lvlJc w:val="right"/>
      <w:pPr>
        <w:ind w:left="4320" w:hanging="180"/>
      </w:pPr>
    </w:lvl>
    <w:lvl w:ilvl="6" w:tplc="65FAB1A4" w:tentative="1">
      <w:start w:val="1"/>
      <w:numFmt w:val="decimal"/>
      <w:lvlText w:val="%7."/>
      <w:lvlJc w:val="left"/>
      <w:pPr>
        <w:ind w:left="5040" w:hanging="360"/>
      </w:pPr>
    </w:lvl>
    <w:lvl w:ilvl="7" w:tplc="9648BF94" w:tentative="1">
      <w:start w:val="1"/>
      <w:numFmt w:val="lowerLetter"/>
      <w:lvlText w:val="%8."/>
      <w:lvlJc w:val="left"/>
      <w:pPr>
        <w:ind w:left="5760" w:hanging="360"/>
      </w:pPr>
    </w:lvl>
    <w:lvl w:ilvl="8" w:tplc="3704FDCE" w:tentative="1">
      <w:start w:val="1"/>
      <w:numFmt w:val="lowerRoman"/>
      <w:lvlText w:val="%9."/>
      <w:lvlJc w:val="right"/>
      <w:pPr>
        <w:ind w:left="6480" w:hanging="180"/>
      </w:pPr>
    </w:lvl>
  </w:abstractNum>
  <w:abstractNum w:abstractNumId="6" w15:restartNumberingAfterBreak="0">
    <w:nsid w:val="0B074135"/>
    <w:multiLevelType w:val="hybridMultilevel"/>
    <w:tmpl w:val="94C0FCBE"/>
    <w:lvl w:ilvl="0" w:tplc="03B0F01A">
      <w:start w:val="1"/>
      <w:numFmt w:val="bullet"/>
      <w:lvlText w:val=""/>
      <w:lvlJc w:val="left"/>
      <w:pPr>
        <w:ind w:left="720" w:hanging="360"/>
      </w:pPr>
      <w:rPr>
        <w:rFonts w:ascii="Symbol" w:hAnsi="Symbol" w:hint="default"/>
      </w:rPr>
    </w:lvl>
    <w:lvl w:ilvl="1" w:tplc="DA207D80" w:tentative="1">
      <w:start w:val="1"/>
      <w:numFmt w:val="bullet"/>
      <w:lvlText w:val="o"/>
      <w:lvlJc w:val="left"/>
      <w:pPr>
        <w:ind w:left="1440" w:hanging="360"/>
      </w:pPr>
      <w:rPr>
        <w:rFonts w:ascii="Courier New" w:hAnsi="Courier New" w:cs="Courier New" w:hint="default"/>
      </w:rPr>
    </w:lvl>
    <w:lvl w:ilvl="2" w:tplc="0770AF3E" w:tentative="1">
      <w:start w:val="1"/>
      <w:numFmt w:val="bullet"/>
      <w:lvlText w:val=""/>
      <w:lvlJc w:val="left"/>
      <w:pPr>
        <w:ind w:left="2160" w:hanging="360"/>
      </w:pPr>
      <w:rPr>
        <w:rFonts w:ascii="Wingdings" w:hAnsi="Wingdings" w:hint="default"/>
      </w:rPr>
    </w:lvl>
    <w:lvl w:ilvl="3" w:tplc="84ECFC40" w:tentative="1">
      <w:start w:val="1"/>
      <w:numFmt w:val="bullet"/>
      <w:lvlText w:val=""/>
      <w:lvlJc w:val="left"/>
      <w:pPr>
        <w:ind w:left="2880" w:hanging="360"/>
      </w:pPr>
      <w:rPr>
        <w:rFonts w:ascii="Symbol" w:hAnsi="Symbol" w:hint="default"/>
      </w:rPr>
    </w:lvl>
    <w:lvl w:ilvl="4" w:tplc="D4DA50F6" w:tentative="1">
      <w:start w:val="1"/>
      <w:numFmt w:val="bullet"/>
      <w:lvlText w:val="o"/>
      <w:lvlJc w:val="left"/>
      <w:pPr>
        <w:ind w:left="3600" w:hanging="360"/>
      </w:pPr>
      <w:rPr>
        <w:rFonts w:ascii="Courier New" w:hAnsi="Courier New" w:cs="Courier New" w:hint="default"/>
      </w:rPr>
    </w:lvl>
    <w:lvl w:ilvl="5" w:tplc="42B486FC" w:tentative="1">
      <w:start w:val="1"/>
      <w:numFmt w:val="bullet"/>
      <w:lvlText w:val=""/>
      <w:lvlJc w:val="left"/>
      <w:pPr>
        <w:ind w:left="4320" w:hanging="360"/>
      </w:pPr>
      <w:rPr>
        <w:rFonts w:ascii="Wingdings" w:hAnsi="Wingdings" w:hint="default"/>
      </w:rPr>
    </w:lvl>
    <w:lvl w:ilvl="6" w:tplc="E9446416" w:tentative="1">
      <w:start w:val="1"/>
      <w:numFmt w:val="bullet"/>
      <w:lvlText w:val=""/>
      <w:lvlJc w:val="left"/>
      <w:pPr>
        <w:ind w:left="5040" w:hanging="360"/>
      </w:pPr>
      <w:rPr>
        <w:rFonts w:ascii="Symbol" w:hAnsi="Symbol" w:hint="default"/>
      </w:rPr>
    </w:lvl>
    <w:lvl w:ilvl="7" w:tplc="057246C6" w:tentative="1">
      <w:start w:val="1"/>
      <w:numFmt w:val="bullet"/>
      <w:lvlText w:val="o"/>
      <w:lvlJc w:val="left"/>
      <w:pPr>
        <w:ind w:left="5760" w:hanging="360"/>
      </w:pPr>
      <w:rPr>
        <w:rFonts w:ascii="Courier New" w:hAnsi="Courier New" w:cs="Courier New" w:hint="default"/>
      </w:rPr>
    </w:lvl>
    <w:lvl w:ilvl="8" w:tplc="823E29D6" w:tentative="1">
      <w:start w:val="1"/>
      <w:numFmt w:val="bullet"/>
      <w:lvlText w:val=""/>
      <w:lvlJc w:val="left"/>
      <w:pPr>
        <w:ind w:left="6480" w:hanging="360"/>
      </w:pPr>
      <w:rPr>
        <w:rFonts w:ascii="Wingdings" w:hAnsi="Wingdings" w:hint="default"/>
      </w:rPr>
    </w:lvl>
  </w:abstractNum>
  <w:abstractNum w:abstractNumId="7" w15:restartNumberingAfterBreak="0">
    <w:nsid w:val="0E8E020C"/>
    <w:multiLevelType w:val="hybridMultilevel"/>
    <w:tmpl w:val="6BEE16A8"/>
    <w:lvl w:ilvl="0" w:tplc="0B28777C">
      <w:start w:val="1"/>
      <w:numFmt w:val="lowerLetter"/>
      <w:lvlText w:val="%1)"/>
      <w:lvlJc w:val="left"/>
      <w:pPr>
        <w:ind w:left="720" w:hanging="360"/>
      </w:pPr>
    </w:lvl>
    <w:lvl w:ilvl="1" w:tplc="5BB80B3C" w:tentative="1">
      <w:start w:val="1"/>
      <w:numFmt w:val="lowerLetter"/>
      <w:lvlText w:val="%2."/>
      <w:lvlJc w:val="left"/>
      <w:pPr>
        <w:ind w:left="1440" w:hanging="360"/>
      </w:pPr>
    </w:lvl>
    <w:lvl w:ilvl="2" w:tplc="59D22FBC" w:tentative="1">
      <w:start w:val="1"/>
      <w:numFmt w:val="lowerRoman"/>
      <w:lvlText w:val="%3."/>
      <w:lvlJc w:val="right"/>
      <w:pPr>
        <w:ind w:left="2160" w:hanging="180"/>
      </w:pPr>
    </w:lvl>
    <w:lvl w:ilvl="3" w:tplc="8ED62DB8" w:tentative="1">
      <w:start w:val="1"/>
      <w:numFmt w:val="decimal"/>
      <w:lvlText w:val="%4."/>
      <w:lvlJc w:val="left"/>
      <w:pPr>
        <w:ind w:left="2880" w:hanging="360"/>
      </w:pPr>
    </w:lvl>
    <w:lvl w:ilvl="4" w:tplc="3CD0752E" w:tentative="1">
      <w:start w:val="1"/>
      <w:numFmt w:val="lowerLetter"/>
      <w:lvlText w:val="%5."/>
      <w:lvlJc w:val="left"/>
      <w:pPr>
        <w:ind w:left="3600" w:hanging="360"/>
      </w:pPr>
    </w:lvl>
    <w:lvl w:ilvl="5" w:tplc="099ABF86" w:tentative="1">
      <w:start w:val="1"/>
      <w:numFmt w:val="lowerRoman"/>
      <w:lvlText w:val="%6."/>
      <w:lvlJc w:val="right"/>
      <w:pPr>
        <w:ind w:left="4320" w:hanging="180"/>
      </w:pPr>
    </w:lvl>
    <w:lvl w:ilvl="6" w:tplc="F95A7D18" w:tentative="1">
      <w:start w:val="1"/>
      <w:numFmt w:val="decimal"/>
      <w:lvlText w:val="%7."/>
      <w:lvlJc w:val="left"/>
      <w:pPr>
        <w:ind w:left="5040" w:hanging="360"/>
      </w:pPr>
    </w:lvl>
    <w:lvl w:ilvl="7" w:tplc="729C30A0" w:tentative="1">
      <w:start w:val="1"/>
      <w:numFmt w:val="lowerLetter"/>
      <w:lvlText w:val="%8."/>
      <w:lvlJc w:val="left"/>
      <w:pPr>
        <w:ind w:left="5760" w:hanging="360"/>
      </w:pPr>
    </w:lvl>
    <w:lvl w:ilvl="8" w:tplc="D3BED172" w:tentative="1">
      <w:start w:val="1"/>
      <w:numFmt w:val="lowerRoman"/>
      <w:lvlText w:val="%9."/>
      <w:lvlJc w:val="right"/>
      <w:pPr>
        <w:ind w:left="6480" w:hanging="180"/>
      </w:pPr>
    </w:lvl>
  </w:abstractNum>
  <w:abstractNum w:abstractNumId="8" w15:restartNumberingAfterBreak="0">
    <w:nsid w:val="0EEA43A5"/>
    <w:multiLevelType w:val="hybridMultilevel"/>
    <w:tmpl w:val="B7247AD8"/>
    <w:lvl w:ilvl="0" w:tplc="7408B1C6">
      <w:start w:val="2"/>
      <w:numFmt w:val="lowerLetter"/>
      <w:lvlText w:val="%1."/>
      <w:lvlJc w:val="left"/>
      <w:pPr>
        <w:ind w:left="720" w:hanging="360"/>
      </w:pPr>
    </w:lvl>
    <w:lvl w:ilvl="1" w:tplc="8248839A">
      <w:start w:val="1"/>
      <w:numFmt w:val="lowerLetter"/>
      <w:lvlText w:val="%2."/>
      <w:lvlJc w:val="left"/>
      <w:pPr>
        <w:ind w:left="1440" w:hanging="360"/>
      </w:pPr>
    </w:lvl>
    <w:lvl w:ilvl="2" w:tplc="37E0EA06">
      <w:start w:val="1"/>
      <w:numFmt w:val="lowerRoman"/>
      <w:lvlText w:val="%3."/>
      <w:lvlJc w:val="right"/>
      <w:pPr>
        <w:ind w:left="2160" w:hanging="180"/>
      </w:pPr>
    </w:lvl>
    <w:lvl w:ilvl="3" w:tplc="7572129C">
      <w:start w:val="1"/>
      <w:numFmt w:val="decimal"/>
      <w:lvlText w:val="%4."/>
      <w:lvlJc w:val="left"/>
      <w:pPr>
        <w:ind w:left="2880" w:hanging="360"/>
      </w:pPr>
    </w:lvl>
    <w:lvl w:ilvl="4" w:tplc="6C0CA162">
      <w:start w:val="1"/>
      <w:numFmt w:val="lowerLetter"/>
      <w:lvlText w:val="%5."/>
      <w:lvlJc w:val="left"/>
      <w:pPr>
        <w:ind w:left="3600" w:hanging="360"/>
      </w:pPr>
    </w:lvl>
    <w:lvl w:ilvl="5" w:tplc="B3123C86">
      <w:start w:val="1"/>
      <w:numFmt w:val="lowerRoman"/>
      <w:lvlText w:val="%6."/>
      <w:lvlJc w:val="right"/>
      <w:pPr>
        <w:ind w:left="4320" w:hanging="180"/>
      </w:pPr>
    </w:lvl>
    <w:lvl w:ilvl="6" w:tplc="5F3C00C8">
      <w:start w:val="1"/>
      <w:numFmt w:val="decimal"/>
      <w:lvlText w:val="%7."/>
      <w:lvlJc w:val="left"/>
      <w:pPr>
        <w:ind w:left="5040" w:hanging="360"/>
      </w:pPr>
    </w:lvl>
    <w:lvl w:ilvl="7" w:tplc="3DBCC7DC">
      <w:start w:val="1"/>
      <w:numFmt w:val="lowerLetter"/>
      <w:lvlText w:val="%8."/>
      <w:lvlJc w:val="left"/>
      <w:pPr>
        <w:ind w:left="5760" w:hanging="360"/>
      </w:pPr>
    </w:lvl>
    <w:lvl w:ilvl="8" w:tplc="E402DFBA">
      <w:start w:val="1"/>
      <w:numFmt w:val="lowerRoman"/>
      <w:lvlText w:val="%9."/>
      <w:lvlJc w:val="right"/>
      <w:pPr>
        <w:ind w:left="6480" w:hanging="180"/>
      </w:pPr>
    </w:lvl>
  </w:abstractNum>
  <w:abstractNum w:abstractNumId="9" w15:restartNumberingAfterBreak="0">
    <w:nsid w:val="10536DFF"/>
    <w:multiLevelType w:val="hybridMultilevel"/>
    <w:tmpl w:val="4FAE2A32"/>
    <w:lvl w:ilvl="0" w:tplc="F5124450">
      <w:start w:val="1"/>
      <w:numFmt w:val="lowerLetter"/>
      <w:lvlText w:val="%1)"/>
      <w:lvlJc w:val="left"/>
      <w:pPr>
        <w:ind w:left="1440" w:hanging="360"/>
      </w:pPr>
    </w:lvl>
    <w:lvl w:ilvl="1" w:tplc="1BAC1F6E">
      <w:start w:val="1"/>
      <w:numFmt w:val="lowerLetter"/>
      <w:lvlText w:val="%2."/>
      <w:lvlJc w:val="left"/>
      <w:pPr>
        <w:ind w:left="2160" w:hanging="360"/>
      </w:pPr>
    </w:lvl>
    <w:lvl w:ilvl="2" w:tplc="20325EAE" w:tentative="1">
      <w:start w:val="1"/>
      <w:numFmt w:val="lowerRoman"/>
      <w:lvlText w:val="%3."/>
      <w:lvlJc w:val="right"/>
      <w:pPr>
        <w:ind w:left="2880" w:hanging="180"/>
      </w:pPr>
    </w:lvl>
    <w:lvl w:ilvl="3" w:tplc="C82CE82A" w:tentative="1">
      <w:start w:val="1"/>
      <w:numFmt w:val="decimal"/>
      <w:lvlText w:val="%4."/>
      <w:lvlJc w:val="left"/>
      <w:pPr>
        <w:ind w:left="3600" w:hanging="360"/>
      </w:pPr>
    </w:lvl>
    <w:lvl w:ilvl="4" w:tplc="2F123294" w:tentative="1">
      <w:start w:val="1"/>
      <w:numFmt w:val="lowerLetter"/>
      <w:lvlText w:val="%5."/>
      <w:lvlJc w:val="left"/>
      <w:pPr>
        <w:ind w:left="4320" w:hanging="360"/>
      </w:pPr>
    </w:lvl>
    <w:lvl w:ilvl="5" w:tplc="E5A46916" w:tentative="1">
      <w:start w:val="1"/>
      <w:numFmt w:val="lowerRoman"/>
      <w:lvlText w:val="%6."/>
      <w:lvlJc w:val="right"/>
      <w:pPr>
        <w:ind w:left="5040" w:hanging="180"/>
      </w:pPr>
    </w:lvl>
    <w:lvl w:ilvl="6" w:tplc="02E8DD30" w:tentative="1">
      <w:start w:val="1"/>
      <w:numFmt w:val="decimal"/>
      <w:lvlText w:val="%7."/>
      <w:lvlJc w:val="left"/>
      <w:pPr>
        <w:ind w:left="5760" w:hanging="360"/>
      </w:pPr>
    </w:lvl>
    <w:lvl w:ilvl="7" w:tplc="00EE1E62" w:tentative="1">
      <w:start w:val="1"/>
      <w:numFmt w:val="lowerLetter"/>
      <w:lvlText w:val="%8."/>
      <w:lvlJc w:val="left"/>
      <w:pPr>
        <w:ind w:left="6480" w:hanging="360"/>
      </w:pPr>
    </w:lvl>
    <w:lvl w:ilvl="8" w:tplc="07361034" w:tentative="1">
      <w:start w:val="1"/>
      <w:numFmt w:val="lowerRoman"/>
      <w:lvlText w:val="%9."/>
      <w:lvlJc w:val="right"/>
      <w:pPr>
        <w:ind w:left="7200" w:hanging="180"/>
      </w:pPr>
    </w:lvl>
  </w:abstractNum>
  <w:abstractNum w:abstractNumId="10" w15:restartNumberingAfterBreak="0">
    <w:nsid w:val="1595EC88"/>
    <w:multiLevelType w:val="hybridMultilevel"/>
    <w:tmpl w:val="AE5EF4F2"/>
    <w:lvl w:ilvl="0" w:tplc="D6E6B4FE">
      <w:start w:val="1"/>
      <w:numFmt w:val="lowerLetter"/>
      <w:lvlText w:val="%1."/>
      <w:lvlJc w:val="left"/>
      <w:pPr>
        <w:ind w:left="720" w:hanging="360"/>
      </w:pPr>
    </w:lvl>
    <w:lvl w:ilvl="1" w:tplc="E2789CE6">
      <w:start w:val="1"/>
      <w:numFmt w:val="lowerLetter"/>
      <w:lvlText w:val="%2."/>
      <w:lvlJc w:val="left"/>
      <w:pPr>
        <w:ind w:left="1440" w:hanging="360"/>
      </w:pPr>
    </w:lvl>
    <w:lvl w:ilvl="2" w:tplc="8ABCB56C">
      <w:start w:val="1"/>
      <w:numFmt w:val="lowerRoman"/>
      <w:lvlText w:val="%3."/>
      <w:lvlJc w:val="right"/>
      <w:pPr>
        <w:ind w:left="2160" w:hanging="180"/>
      </w:pPr>
    </w:lvl>
    <w:lvl w:ilvl="3" w:tplc="6446656C">
      <w:start w:val="1"/>
      <w:numFmt w:val="decimal"/>
      <w:lvlText w:val="%4."/>
      <w:lvlJc w:val="left"/>
      <w:pPr>
        <w:ind w:left="2880" w:hanging="360"/>
      </w:pPr>
    </w:lvl>
    <w:lvl w:ilvl="4" w:tplc="4148EABC">
      <w:start w:val="1"/>
      <w:numFmt w:val="lowerLetter"/>
      <w:lvlText w:val="%5."/>
      <w:lvlJc w:val="left"/>
      <w:pPr>
        <w:ind w:left="3600" w:hanging="360"/>
      </w:pPr>
    </w:lvl>
    <w:lvl w:ilvl="5" w:tplc="DD1E63C6">
      <w:start w:val="1"/>
      <w:numFmt w:val="lowerRoman"/>
      <w:lvlText w:val="%6."/>
      <w:lvlJc w:val="right"/>
      <w:pPr>
        <w:ind w:left="4320" w:hanging="180"/>
      </w:pPr>
    </w:lvl>
    <w:lvl w:ilvl="6" w:tplc="FEEC70F0">
      <w:start w:val="1"/>
      <w:numFmt w:val="decimal"/>
      <w:lvlText w:val="%7."/>
      <w:lvlJc w:val="left"/>
      <w:pPr>
        <w:ind w:left="5040" w:hanging="360"/>
      </w:pPr>
    </w:lvl>
    <w:lvl w:ilvl="7" w:tplc="47A610F4">
      <w:start w:val="1"/>
      <w:numFmt w:val="lowerLetter"/>
      <w:lvlText w:val="%8."/>
      <w:lvlJc w:val="left"/>
      <w:pPr>
        <w:ind w:left="5760" w:hanging="360"/>
      </w:pPr>
    </w:lvl>
    <w:lvl w:ilvl="8" w:tplc="D768506A">
      <w:start w:val="1"/>
      <w:numFmt w:val="lowerRoman"/>
      <w:lvlText w:val="%9."/>
      <w:lvlJc w:val="right"/>
      <w:pPr>
        <w:ind w:left="6480" w:hanging="180"/>
      </w:pPr>
    </w:lvl>
  </w:abstractNum>
  <w:abstractNum w:abstractNumId="11" w15:restartNumberingAfterBreak="0">
    <w:nsid w:val="17B40702"/>
    <w:multiLevelType w:val="multilevel"/>
    <w:tmpl w:val="F90E23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AC22FF"/>
    <w:multiLevelType w:val="hybridMultilevel"/>
    <w:tmpl w:val="F5822A00"/>
    <w:lvl w:ilvl="0" w:tplc="B922DFDA">
      <w:start w:val="1"/>
      <w:numFmt w:val="bullet"/>
      <w:lvlText w:val=""/>
      <w:lvlJc w:val="left"/>
      <w:pPr>
        <w:ind w:left="720" w:hanging="360"/>
      </w:pPr>
      <w:rPr>
        <w:rFonts w:ascii="Symbol" w:hAnsi="Symbol" w:hint="default"/>
      </w:rPr>
    </w:lvl>
    <w:lvl w:ilvl="1" w:tplc="3B8CC0D4" w:tentative="1">
      <w:start w:val="1"/>
      <w:numFmt w:val="bullet"/>
      <w:lvlText w:val="o"/>
      <w:lvlJc w:val="left"/>
      <w:pPr>
        <w:ind w:left="1440" w:hanging="360"/>
      </w:pPr>
      <w:rPr>
        <w:rFonts w:ascii="Courier New" w:hAnsi="Courier New" w:cs="Courier New" w:hint="default"/>
      </w:rPr>
    </w:lvl>
    <w:lvl w:ilvl="2" w:tplc="17CA246A" w:tentative="1">
      <w:start w:val="1"/>
      <w:numFmt w:val="bullet"/>
      <w:lvlText w:val=""/>
      <w:lvlJc w:val="left"/>
      <w:pPr>
        <w:ind w:left="2160" w:hanging="360"/>
      </w:pPr>
      <w:rPr>
        <w:rFonts w:ascii="Wingdings" w:hAnsi="Wingdings" w:hint="default"/>
      </w:rPr>
    </w:lvl>
    <w:lvl w:ilvl="3" w:tplc="514E7892" w:tentative="1">
      <w:start w:val="1"/>
      <w:numFmt w:val="bullet"/>
      <w:lvlText w:val=""/>
      <w:lvlJc w:val="left"/>
      <w:pPr>
        <w:ind w:left="2880" w:hanging="360"/>
      </w:pPr>
      <w:rPr>
        <w:rFonts w:ascii="Symbol" w:hAnsi="Symbol" w:hint="default"/>
      </w:rPr>
    </w:lvl>
    <w:lvl w:ilvl="4" w:tplc="F45E6ED0" w:tentative="1">
      <w:start w:val="1"/>
      <w:numFmt w:val="bullet"/>
      <w:lvlText w:val="o"/>
      <w:lvlJc w:val="left"/>
      <w:pPr>
        <w:ind w:left="3600" w:hanging="360"/>
      </w:pPr>
      <w:rPr>
        <w:rFonts w:ascii="Courier New" w:hAnsi="Courier New" w:cs="Courier New" w:hint="default"/>
      </w:rPr>
    </w:lvl>
    <w:lvl w:ilvl="5" w:tplc="8566402C" w:tentative="1">
      <w:start w:val="1"/>
      <w:numFmt w:val="bullet"/>
      <w:lvlText w:val=""/>
      <w:lvlJc w:val="left"/>
      <w:pPr>
        <w:ind w:left="4320" w:hanging="360"/>
      </w:pPr>
      <w:rPr>
        <w:rFonts w:ascii="Wingdings" w:hAnsi="Wingdings" w:hint="default"/>
      </w:rPr>
    </w:lvl>
    <w:lvl w:ilvl="6" w:tplc="3D60DD10" w:tentative="1">
      <w:start w:val="1"/>
      <w:numFmt w:val="bullet"/>
      <w:lvlText w:val=""/>
      <w:lvlJc w:val="left"/>
      <w:pPr>
        <w:ind w:left="5040" w:hanging="360"/>
      </w:pPr>
      <w:rPr>
        <w:rFonts w:ascii="Symbol" w:hAnsi="Symbol" w:hint="default"/>
      </w:rPr>
    </w:lvl>
    <w:lvl w:ilvl="7" w:tplc="6F4A077E" w:tentative="1">
      <w:start w:val="1"/>
      <w:numFmt w:val="bullet"/>
      <w:lvlText w:val="o"/>
      <w:lvlJc w:val="left"/>
      <w:pPr>
        <w:ind w:left="5760" w:hanging="360"/>
      </w:pPr>
      <w:rPr>
        <w:rFonts w:ascii="Courier New" w:hAnsi="Courier New" w:cs="Courier New" w:hint="default"/>
      </w:rPr>
    </w:lvl>
    <w:lvl w:ilvl="8" w:tplc="C5D2BB42" w:tentative="1">
      <w:start w:val="1"/>
      <w:numFmt w:val="bullet"/>
      <w:lvlText w:val=""/>
      <w:lvlJc w:val="left"/>
      <w:pPr>
        <w:ind w:left="6480" w:hanging="360"/>
      </w:pPr>
      <w:rPr>
        <w:rFonts w:ascii="Wingdings" w:hAnsi="Wingdings" w:hint="default"/>
      </w:rPr>
    </w:lvl>
  </w:abstractNum>
  <w:abstractNum w:abstractNumId="13" w15:restartNumberingAfterBreak="0">
    <w:nsid w:val="1A80C51F"/>
    <w:multiLevelType w:val="hybridMultilevel"/>
    <w:tmpl w:val="531E25B0"/>
    <w:lvl w:ilvl="0" w:tplc="5AC25BAC">
      <w:start w:val="1"/>
      <w:numFmt w:val="bullet"/>
      <w:lvlText w:val=""/>
      <w:lvlJc w:val="left"/>
      <w:pPr>
        <w:ind w:left="720" w:hanging="360"/>
      </w:pPr>
      <w:rPr>
        <w:rFonts w:ascii="Symbol" w:hAnsi="Symbol" w:hint="default"/>
      </w:rPr>
    </w:lvl>
    <w:lvl w:ilvl="1" w:tplc="73806D3A">
      <w:start w:val="1"/>
      <w:numFmt w:val="bullet"/>
      <w:lvlText w:val="o"/>
      <w:lvlJc w:val="left"/>
      <w:pPr>
        <w:ind w:left="1440" w:hanging="360"/>
      </w:pPr>
      <w:rPr>
        <w:rFonts w:ascii="Courier New" w:hAnsi="Courier New" w:hint="default"/>
      </w:rPr>
    </w:lvl>
    <w:lvl w:ilvl="2" w:tplc="AA32DA84">
      <w:start w:val="1"/>
      <w:numFmt w:val="bullet"/>
      <w:lvlText w:val=""/>
      <w:lvlJc w:val="left"/>
      <w:pPr>
        <w:ind w:left="2160" w:hanging="360"/>
      </w:pPr>
      <w:rPr>
        <w:rFonts w:ascii="Wingdings" w:hAnsi="Wingdings" w:hint="default"/>
      </w:rPr>
    </w:lvl>
    <w:lvl w:ilvl="3" w:tplc="718ED110">
      <w:start w:val="1"/>
      <w:numFmt w:val="bullet"/>
      <w:lvlText w:val=""/>
      <w:lvlJc w:val="left"/>
      <w:pPr>
        <w:ind w:left="2880" w:hanging="360"/>
      </w:pPr>
      <w:rPr>
        <w:rFonts w:ascii="Symbol" w:hAnsi="Symbol" w:hint="default"/>
      </w:rPr>
    </w:lvl>
    <w:lvl w:ilvl="4" w:tplc="08422716">
      <w:start w:val="1"/>
      <w:numFmt w:val="bullet"/>
      <w:lvlText w:val="o"/>
      <w:lvlJc w:val="left"/>
      <w:pPr>
        <w:ind w:left="3600" w:hanging="360"/>
      </w:pPr>
      <w:rPr>
        <w:rFonts w:ascii="Courier New" w:hAnsi="Courier New" w:hint="default"/>
      </w:rPr>
    </w:lvl>
    <w:lvl w:ilvl="5" w:tplc="BB067F16">
      <w:start w:val="1"/>
      <w:numFmt w:val="bullet"/>
      <w:lvlText w:val=""/>
      <w:lvlJc w:val="left"/>
      <w:pPr>
        <w:ind w:left="4320" w:hanging="360"/>
      </w:pPr>
      <w:rPr>
        <w:rFonts w:ascii="Wingdings" w:hAnsi="Wingdings" w:hint="default"/>
      </w:rPr>
    </w:lvl>
    <w:lvl w:ilvl="6" w:tplc="13088690">
      <w:start w:val="1"/>
      <w:numFmt w:val="bullet"/>
      <w:lvlText w:val=""/>
      <w:lvlJc w:val="left"/>
      <w:pPr>
        <w:ind w:left="5040" w:hanging="360"/>
      </w:pPr>
      <w:rPr>
        <w:rFonts w:ascii="Symbol" w:hAnsi="Symbol" w:hint="default"/>
      </w:rPr>
    </w:lvl>
    <w:lvl w:ilvl="7" w:tplc="B620873C">
      <w:start w:val="1"/>
      <w:numFmt w:val="bullet"/>
      <w:lvlText w:val="o"/>
      <w:lvlJc w:val="left"/>
      <w:pPr>
        <w:ind w:left="5760" w:hanging="360"/>
      </w:pPr>
      <w:rPr>
        <w:rFonts w:ascii="Courier New" w:hAnsi="Courier New" w:hint="default"/>
      </w:rPr>
    </w:lvl>
    <w:lvl w:ilvl="8" w:tplc="8D543674">
      <w:start w:val="1"/>
      <w:numFmt w:val="bullet"/>
      <w:lvlText w:val=""/>
      <w:lvlJc w:val="left"/>
      <w:pPr>
        <w:ind w:left="6480" w:hanging="360"/>
      </w:pPr>
      <w:rPr>
        <w:rFonts w:ascii="Wingdings" w:hAnsi="Wingdings" w:hint="default"/>
      </w:rPr>
    </w:lvl>
  </w:abstractNum>
  <w:abstractNum w:abstractNumId="14" w15:restartNumberingAfterBreak="0">
    <w:nsid w:val="21E09BD8"/>
    <w:multiLevelType w:val="hybridMultilevel"/>
    <w:tmpl w:val="FFFFFFFF"/>
    <w:lvl w:ilvl="0" w:tplc="C4707F3E">
      <w:start w:val="1"/>
      <w:numFmt w:val="bullet"/>
      <w:lvlText w:val=""/>
      <w:lvlJc w:val="left"/>
      <w:pPr>
        <w:ind w:left="720" w:hanging="360"/>
      </w:pPr>
      <w:rPr>
        <w:rFonts w:ascii="Symbol" w:hAnsi="Symbol" w:hint="default"/>
      </w:rPr>
    </w:lvl>
    <w:lvl w:ilvl="1" w:tplc="FFBA14CA">
      <w:start w:val="1"/>
      <w:numFmt w:val="bullet"/>
      <w:lvlText w:val="o"/>
      <w:lvlJc w:val="left"/>
      <w:pPr>
        <w:ind w:left="1440" w:hanging="360"/>
      </w:pPr>
      <w:rPr>
        <w:rFonts w:ascii="Courier New" w:hAnsi="Courier New" w:hint="default"/>
      </w:rPr>
    </w:lvl>
    <w:lvl w:ilvl="2" w:tplc="F1DE6918">
      <w:start w:val="1"/>
      <w:numFmt w:val="bullet"/>
      <w:lvlText w:val=""/>
      <w:lvlJc w:val="left"/>
      <w:pPr>
        <w:ind w:left="2160" w:hanging="360"/>
      </w:pPr>
      <w:rPr>
        <w:rFonts w:ascii="Wingdings" w:hAnsi="Wingdings" w:hint="default"/>
      </w:rPr>
    </w:lvl>
    <w:lvl w:ilvl="3" w:tplc="3EF00B48">
      <w:start w:val="1"/>
      <w:numFmt w:val="bullet"/>
      <w:lvlText w:val=""/>
      <w:lvlJc w:val="left"/>
      <w:pPr>
        <w:ind w:left="2880" w:hanging="360"/>
      </w:pPr>
      <w:rPr>
        <w:rFonts w:ascii="Symbol" w:hAnsi="Symbol" w:hint="default"/>
      </w:rPr>
    </w:lvl>
    <w:lvl w:ilvl="4" w:tplc="0DB68408">
      <w:start w:val="1"/>
      <w:numFmt w:val="bullet"/>
      <w:lvlText w:val="o"/>
      <w:lvlJc w:val="left"/>
      <w:pPr>
        <w:ind w:left="3600" w:hanging="360"/>
      </w:pPr>
      <w:rPr>
        <w:rFonts w:ascii="Courier New" w:hAnsi="Courier New" w:hint="default"/>
      </w:rPr>
    </w:lvl>
    <w:lvl w:ilvl="5" w:tplc="CFF6BE3A">
      <w:start w:val="1"/>
      <w:numFmt w:val="bullet"/>
      <w:lvlText w:val=""/>
      <w:lvlJc w:val="left"/>
      <w:pPr>
        <w:ind w:left="4320" w:hanging="360"/>
      </w:pPr>
      <w:rPr>
        <w:rFonts w:ascii="Wingdings" w:hAnsi="Wingdings" w:hint="default"/>
      </w:rPr>
    </w:lvl>
    <w:lvl w:ilvl="6" w:tplc="43603DF4">
      <w:start w:val="1"/>
      <w:numFmt w:val="bullet"/>
      <w:lvlText w:val=""/>
      <w:lvlJc w:val="left"/>
      <w:pPr>
        <w:ind w:left="5040" w:hanging="360"/>
      </w:pPr>
      <w:rPr>
        <w:rFonts w:ascii="Symbol" w:hAnsi="Symbol" w:hint="default"/>
      </w:rPr>
    </w:lvl>
    <w:lvl w:ilvl="7" w:tplc="144AB7D4">
      <w:start w:val="1"/>
      <w:numFmt w:val="bullet"/>
      <w:lvlText w:val="o"/>
      <w:lvlJc w:val="left"/>
      <w:pPr>
        <w:ind w:left="5760" w:hanging="360"/>
      </w:pPr>
      <w:rPr>
        <w:rFonts w:ascii="Courier New" w:hAnsi="Courier New" w:hint="default"/>
      </w:rPr>
    </w:lvl>
    <w:lvl w:ilvl="8" w:tplc="EBB6239E">
      <w:start w:val="1"/>
      <w:numFmt w:val="bullet"/>
      <w:lvlText w:val=""/>
      <w:lvlJc w:val="left"/>
      <w:pPr>
        <w:ind w:left="6480" w:hanging="360"/>
      </w:pPr>
      <w:rPr>
        <w:rFonts w:ascii="Wingdings" w:hAnsi="Wingdings" w:hint="default"/>
      </w:rPr>
    </w:lvl>
  </w:abstractNum>
  <w:abstractNum w:abstractNumId="15" w15:restartNumberingAfterBreak="0">
    <w:nsid w:val="238445C1"/>
    <w:multiLevelType w:val="multilevel"/>
    <w:tmpl w:val="9D08A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DB1EE1"/>
    <w:multiLevelType w:val="hybridMultilevel"/>
    <w:tmpl w:val="AC0030DA"/>
    <w:lvl w:ilvl="0" w:tplc="C15EA514">
      <w:start w:val="1"/>
      <w:numFmt w:val="lowerLetter"/>
      <w:lvlText w:val="%1)"/>
      <w:lvlJc w:val="left"/>
      <w:pPr>
        <w:ind w:left="1068" w:hanging="360"/>
      </w:pPr>
      <w:rPr>
        <w:rFonts w:hint="default"/>
      </w:rPr>
    </w:lvl>
    <w:lvl w:ilvl="1" w:tplc="88A24CEA">
      <w:start w:val="1"/>
      <w:numFmt w:val="lowerLetter"/>
      <w:lvlText w:val="%2)"/>
      <w:lvlJc w:val="left"/>
      <w:pPr>
        <w:ind w:left="2148" w:hanging="360"/>
      </w:pPr>
    </w:lvl>
    <w:lvl w:ilvl="2" w:tplc="060667A4" w:tentative="1">
      <w:start w:val="1"/>
      <w:numFmt w:val="bullet"/>
      <w:lvlText w:val=""/>
      <w:lvlJc w:val="left"/>
      <w:pPr>
        <w:ind w:left="2508" w:hanging="360"/>
      </w:pPr>
      <w:rPr>
        <w:rFonts w:ascii="Wingdings" w:hAnsi="Wingdings" w:hint="default"/>
      </w:rPr>
    </w:lvl>
    <w:lvl w:ilvl="3" w:tplc="7FCE720C" w:tentative="1">
      <w:start w:val="1"/>
      <w:numFmt w:val="bullet"/>
      <w:lvlText w:val=""/>
      <w:lvlJc w:val="left"/>
      <w:pPr>
        <w:ind w:left="3228" w:hanging="360"/>
      </w:pPr>
      <w:rPr>
        <w:rFonts w:ascii="Symbol" w:hAnsi="Symbol" w:hint="default"/>
      </w:rPr>
    </w:lvl>
    <w:lvl w:ilvl="4" w:tplc="90DCE4E2" w:tentative="1">
      <w:start w:val="1"/>
      <w:numFmt w:val="bullet"/>
      <w:lvlText w:val="o"/>
      <w:lvlJc w:val="left"/>
      <w:pPr>
        <w:ind w:left="3948" w:hanging="360"/>
      </w:pPr>
      <w:rPr>
        <w:rFonts w:ascii="Courier New" w:hAnsi="Courier New" w:cs="Courier New" w:hint="default"/>
      </w:rPr>
    </w:lvl>
    <w:lvl w:ilvl="5" w:tplc="35D22236" w:tentative="1">
      <w:start w:val="1"/>
      <w:numFmt w:val="bullet"/>
      <w:lvlText w:val=""/>
      <w:lvlJc w:val="left"/>
      <w:pPr>
        <w:ind w:left="4668" w:hanging="360"/>
      </w:pPr>
      <w:rPr>
        <w:rFonts w:ascii="Wingdings" w:hAnsi="Wingdings" w:hint="default"/>
      </w:rPr>
    </w:lvl>
    <w:lvl w:ilvl="6" w:tplc="D44CEB3A" w:tentative="1">
      <w:start w:val="1"/>
      <w:numFmt w:val="bullet"/>
      <w:lvlText w:val=""/>
      <w:lvlJc w:val="left"/>
      <w:pPr>
        <w:ind w:left="5388" w:hanging="360"/>
      </w:pPr>
      <w:rPr>
        <w:rFonts w:ascii="Symbol" w:hAnsi="Symbol" w:hint="default"/>
      </w:rPr>
    </w:lvl>
    <w:lvl w:ilvl="7" w:tplc="902ED418" w:tentative="1">
      <w:start w:val="1"/>
      <w:numFmt w:val="bullet"/>
      <w:lvlText w:val="o"/>
      <w:lvlJc w:val="left"/>
      <w:pPr>
        <w:ind w:left="6108" w:hanging="360"/>
      </w:pPr>
      <w:rPr>
        <w:rFonts w:ascii="Courier New" w:hAnsi="Courier New" w:cs="Courier New" w:hint="default"/>
      </w:rPr>
    </w:lvl>
    <w:lvl w:ilvl="8" w:tplc="33EE876E" w:tentative="1">
      <w:start w:val="1"/>
      <w:numFmt w:val="bullet"/>
      <w:lvlText w:val=""/>
      <w:lvlJc w:val="left"/>
      <w:pPr>
        <w:ind w:left="6828" w:hanging="360"/>
      </w:pPr>
      <w:rPr>
        <w:rFonts w:ascii="Wingdings" w:hAnsi="Wingdings" w:hint="default"/>
      </w:rPr>
    </w:lvl>
  </w:abstractNum>
  <w:abstractNum w:abstractNumId="17" w15:restartNumberingAfterBreak="0">
    <w:nsid w:val="2577760D"/>
    <w:multiLevelType w:val="hybridMultilevel"/>
    <w:tmpl w:val="582039A0"/>
    <w:lvl w:ilvl="0" w:tplc="043A7970">
      <w:start w:val="1"/>
      <w:numFmt w:val="lowerLetter"/>
      <w:lvlText w:val="%1)"/>
      <w:lvlJc w:val="left"/>
      <w:pPr>
        <w:ind w:left="1068" w:hanging="360"/>
      </w:pPr>
      <w:rPr>
        <w:rFonts w:hint="default"/>
      </w:rPr>
    </w:lvl>
    <w:lvl w:ilvl="1" w:tplc="5E2E9454">
      <w:start w:val="1"/>
      <w:numFmt w:val="lowerLetter"/>
      <w:lvlText w:val="%2)"/>
      <w:lvlJc w:val="left"/>
      <w:pPr>
        <w:ind w:left="2148" w:hanging="360"/>
      </w:pPr>
    </w:lvl>
    <w:lvl w:ilvl="2" w:tplc="C7D4A48A" w:tentative="1">
      <w:start w:val="1"/>
      <w:numFmt w:val="bullet"/>
      <w:lvlText w:val=""/>
      <w:lvlJc w:val="left"/>
      <w:pPr>
        <w:ind w:left="2508" w:hanging="360"/>
      </w:pPr>
      <w:rPr>
        <w:rFonts w:ascii="Wingdings" w:hAnsi="Wingdings" w:hint="default"/>
      </w:rPr>
    </w:lvl>
    <w:lvl w:ilvl="3" w:tplc="D87E082C" w:tentative="1">
      <w:start w:val="1"/>
      <w:numFmt w:val="bullet"/>
      <w:lvlText w:val=""/>
      <w:lvlJc w:val="left"/>
      <w:pPr>
        <w:ind w:left="3228" w:hanging="360"/>
      </w:pPr>
      <w:rPr>
        <w:rFonts w:ascii="Symbol" w:hAnsi="Symbol" w:hint="default"/>
      </w:rPr>
    </w:lvl>
    <w:lvl w:ilvl="4" w:tplc="B96A9398" w:tentative="1">
      <w:start w:val="1"/>
      <w:numFmt w:val="bullet"/>
      <w:lvlText w:val="o"/>
      <w:lvlJc w:val="left"/>
      <w:pPr>
        <w:ind w:left="3948" w:hanging="360"/>
      </w:pPr>
      <w:rPr>
        <w:rFonts w:ascii="Courier New" w:hAnsi="Courier New" w:cs="Courier New" w:hint="default"/>
      </w:rPr>
    </w:lvl>
    <w:lvl w:ilvl="5" w:tplc="D8802248" w:tentative="1">
      <w:start w:val="1"/>
      <w:numFmt w:val="bullet"/>
      <w:lvlText w:val=""/>
      <w:lvlJc w:val="left"/>
      <w:pPr>
        <w:ind w:left="4668" w:hanging="360"/>
      </w:pPr>
      <w:rPr>
        <w:rFonts w:ascii="Wingdings" w:hAnsi="Wingdings" w:hint="default"/>
      </w:rPr>
    </w:lvl>
    <w:lvl w:ilvl="6" w:tplc="6EE4AD00" w:tentative="1">
      <w:start w:val="1"/>
      <w:numFmt w:val="bullet"/>
      <w:lvlText w:val=""/>
      <w:lvlJc w:val="left"/>
      <w:pPr>
        <w:ind w:left="5388" w:hanging="360"/>
      </w:pPr>
      <w:rPr>
        <w:rFonts w:ascii="Symbol" w:hAnsi="Symbol" w:hint="default"/>
      </w:rPr>
    </w:lvl>
    <w:lvl w:ilvl="7" w:tplc="74985448" w:tentative="1">
      <w:start w:val="1"/>
      <w:numFmt w:val="bullet"/>
      <w:lvlText w:val="o"/>
      <w:lvlJc w:val="left"/>
      <w:pPr>
        <w:ind w:left="6108" w:hanging="360"/>
      </w:pPr>
      <w:rPr>
        <w:rFonts w:ascii="Courier New" w:hAnsi="Courier New" w:cs="Courier New" w:hint="default"/>
      </w:rPr>
    </w:lvl>
    <w:lvl w:ilvl="8" w:tplc="C27ED87A" w:tentative="1">
      <w:start w:val="1"/>
      <w:numFmt w:val="bullet"/>
      <w:lvlText w:val=""/>
      <w:lvlJc w:val="left"/>
      <w:pPr>
        <w:ind w:left="6828" w:hanging="360"/>
      </w:pPr>
      <w:rPr>
        <w:rFonts w:ascii="Wingdings" w:hAnsi="Wingdings" w:hint="default"/>
      </w:rPr>
    </w:lvl>
  </w:abstractNum>
  <w:abstractNum w:abstractNumId="18" w15:restartNumberingAfterBreak="0">
    <w:nsid w:val="25FD87CD"/>
    <w:multiLevelType w:val="multilevel"/>
    <w:tmpl w:val="323ED27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7D46E5B"/>
    <w:multiLevelType w:val="hybridMultilevel"/>
    <w:tmpl w:val="63B6CD56"/>
    <w:lvl w:ilvl="0" w:tplc="24BA7398">
      <w:start w:val="1"/>
      <w:numFmt w:val="bullet"/>
      <w:lvlText w:val=""/>
      <w:lvlJc w:val="left"/>
      <w:pPr>
        <w:ind w:left="720" w:hanging="360"/>
      </w:pPr>
      <w:rPr>
        <w:rFonts w:ascii="Symbol" w:hAnsi="Symbol" w:hint="default"/>
      </w:rPr>
    </w:lvl>
    <w:lvl w:ilvl="1" w:tplc="EF7AB32C">
      <w:start w:val="1"/>
      <w:numFmt w:val="bullet"/>
      <w:lvlText w:val="o"/>
      <w:lvlJc w:val="left"/>
      <w:pPr>
        <w:ind w:left="1440" w:hanging="360"/>
      </w:pPr>
      <w:rPr>
        <w:rFonts w:ascii="Courier New" w:hAnsi="Courier New" w:hint="default"/>
      </w:rPr>
    </w:lvl>
    <w:lvl w:ilvl="2" w:tplc="52F4D41E">
      <w:start w:val="1"/>
      <w:numFmt w:val="bullet"/>
      <w:lvlText w:val=""/>
      <w:lvlJc w:val="left"/>
      <w:pPr>
        <w:ind w:left="2160" w:hanging="360"/>
      </w:pPr>
      <w:rPr>
        <w:rFonts w:ascii="Wingdings" w:hAnsi="Wingdings" w:hint="default"/>
      </w:rPr>
    </w:lvl>
    <w:lvl w:ilvl="3" w:tplc="F92EE128">
      <w:start w:val="1"/>
      <w:numFmt w:val="bullet"/>
      <w:lvlText w:val=""/>
      <w:lvlJc w:val="left"/>
      <w:pPr>
        <w:ind w:left="2880" w:hanging="360"/>
      </w:pPr>
      <w:rPr>
        <w:rFonts w:ascii="Symbol" w:hAnsi="Symbol" w:hint="default"/>
      </w:rPr>
    </w:lvl>
    <w:lvl w:ilvl="4" w:tplc="7674D152">
      <w:start w:val="1"/>
      <w:numFmt w:val="bullet"/>
      <w:lvlText w:val="o"/>
      <w:lvlJc w:val="left"/>
      <w:pPr>
        <w:ind w:left="3600" w:hanging="360"/>
      </w:pPr>
      <w:rPr>
        <w:rFonts w:ascii="Courier New" w:hAnsi="Courier New" w:hint="default"/>
      </w:rPr>
    </w:lvl>
    <w:lvl w:ilvl="5" w:tplc="D9A8AC2C">
      <w:start w:val="1"/>
      <w:numFmt w:val="bullet"/>
      <w:lvlText w:val=""/>
      <w:lvlJc w:val="left"/>
      <w:pPr>
        <w:ind w:left="4320" w:hanging="360"/>
      </w:pPr>
      <w:rPr>
        <w:rFonts w:ascii="Wingdings" w:hAnsi="Wingdings" w:hint="default"/>
      </w:rPr>
    </w:lvl>
    <w:lvl w:ilvl="6" w:tplc="AF665554">
      <w:start w:val="1"/>
      <w:numFmt w:val="bullet"/>
      <w:lvlText w:val=""/>
      <w:lvlJc w:val="left"/>
      <w:pPr>
        <w:ind w:left="5040" w:hanging="360"/>
      </w:pPr>
      <w:rPr>
        <w:rFonts w:ascii="Symbol" w:hAnsi="Symbol" w:hint="default"/>
      </w:rPr>
    </w:lvl>
    <w:lvl w:ilvl="7" w:tplc="DF0EB374">
      <w:start w:val="1"/>
      <w:numFmt w:val="bullet"/>
      <w:lvlText w:val="o"/>
      <w:lvlJc w:val="left"/>
      <w:pPr>
        <w:ind w:left="5760" w:hanging="360"/>
      </w:pPr>
      <w:rPr>
        <w:rFonts w:ascii="Courier New" w:hAnsi="Courier New" w:hint="default"/>
      </w:rPr>
    </w:lvl>
    <w:lvl w:ilvl="8" w:tplc="05001EB4">
      <w:start w:val="1"/>
      <w:numFmt w:val="bullet"/>
      <w:lvlText w:val=""/>
      <w:lvlJc w:val="left"/>
      <w:pPr>
        <w:ind w:left="6480" w:hanging="360"/>
      </w:pPr>
      <w:rPr>
        <w:rFonts w:ascii="Wingdings" w:hAnsi="Wingdings" w:hint="default"/>
      </w:rPr>
    </w:lvl>
  </w:abstractNum>
  <w:abstractNum w:abstractNumId="20" w15:restartNumberingAfterBreak="0">
    <w:nsid w:val="2C6B3563"/>
    <w:multiLevelType w:val="hybridMultilevel"/>
    <w:tmpl w:val="91A60B54"/>
    <w:lvl w:ilvl="0" w:tplc="D8B43480">
      <w:start w:val="1"/>
      <w:numFmt w:val="lowerLetter"/>
      <w:lvlText w:val="%1)"/>
      <w:lvlJc w:val="left"/>
      <w:pPr>
        <w:ind w:left="709" w:hanging="360"/>
      </w:pPr>
      <w:rPr>
        <w:rFonts w:hint="default"/>
      </w:rPr>
    </w:lvl>
    <w:lvl w:ilvl="1" w:tplc="61BA7D82" w:tentative="1">
      <w:start w:val="1"/>
      <w:numFmt w:val="lowerLetter"/>
      <w:lvlText w:val="%2."/>
      <w:lvlJc w:val="left"/>
      <w:pPr>
        <w:ind w:left="1429" w:hanging="360"/>
      </w:pPr>
    </w:lvl>
    <w:lvl w:ilvl="2" w:tplc="81C26152" w:tentative="1">
      <w:start w:val="1"/>
      <w:numFmt w:val="lowerRoman"/>
      <w:lvlText w:val="%3."/>
      <w:lvlJc w:val="right"/>
      <w:pPr>
        <w:ind w:left="2149" w:hanging="180"/>
      </w:pPr>
    </w:lvl>
    <w:lvl w:ilvl="3" w:tplc="0EBCC214" w:tentative="1">
      <w:start w:val="1"/>
      <w:numFmt w:val="decimal"/>
      <w:lvlText w:val="%4."/>
      <w:lvlJc w:val="left"/>
      <w:pPr>
        <w:ind w:left="2869" w:hanging="360"/>
      </w:pPr>
    </w:lvl>
    <w:lvl w:ilvl="4" w:tplc="1CF2EBE6" w:tentative="1">
      <w:start w:val="1"/>
      <w:numFmt w:val="lowerLetter"/>
      <w:lvlText w:val="%5."/>
      <w:lvlJc w:val="left"/>
      <w:pPr>
        <w:ind w:left="3589" w:hanging="360"/>
      </w:pPr>
    </w:lvl>
    <w:lvl w:ilvl="5" w:tplc="57DE7702" w:tentative="1">
      <w:start w:val="1"/>
      <w:numFmt w:val="lowerRoman"/>
      <w:lvlText w:val="%6."/>
      <w:lvlJc w:val="right"/>
      <w:pPr>
        <w:ind w:left="4309" w:hanging="180"/>
      </w:pPr>
    </w:lvl>
    <w:lvl w:ilvl="6" w:tplc="F8C41680" w:tentative="1">
      <w:start w:val="1"/>
      <w:numFmt w:val="decimal"/>
      <w:lvlText w:val="%7."/>
      <w:lvlJc w:val="left"/>
      <w:pPr>
        <w:ind w:left="5029" w:hanging="360"/>
      </w:pPr>
    </w:lvl>
    <w:lvl w:ilvl="7" w:tplc="AC746E5E" w:tentative="1">
      <w:start w:val="1"/>
      <w:numFmt w:val="lowerLetter"/>
      <w:lvlText w:val="%8."/>
      <w:lvlJc w:val="left"/>
      <w:pPr>
        <w:ind w:left="5749" w:hanging="360"/>
      </w:pPr>
    </w:lvl>
    <w:lvl w:ilvl="8" w:tplc="8F18F5C4" w:tentative="1">
      <w:start w:val="1"/>
      <w:numFmt w:val="lowerRoman"/>
      <w:lvlText w:val="%9."/>
      <w:lvlJc w:val="right"/>
      <w:pPr>
        <w:ind w:left="6469" w:hanging="180"/>
      </w:pPr>
    </w:lvl>
  </w:abstractNum>
  <w:abstractNum w:abstractNumId="21" w15:restartNumberingAfterBreak="0">
    <w:nsid w:val="2D7A5FA1"/>
    <w:multiLevelType w:val="multilevel"/>
    <w:tmpl w:val="8BEA087A"/>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2E343967"/>
    <w:multiLevelType w:val="hybridMultilevel"/>
    <w:tmpl w:val="BA1070CA"/>
    <w:lvl w:ilvl="0" w:tplc="E318BBF4">
      <w:start w:val="1"/>
      <w:numFmt w:val="bullet"/>
      <w:lvlText w:val="·"/>
      <w:lvlJc w:val="left"/>
      <w:pPr>
        <w:ind w:left="720" w:hanging="360"/>
      </w:pPr>
      <w:rPr>
        <w:rFonts w:ascii="Symbol" w:hAnsi="Symbol" w:hint="default"/>
      </w:rPr>
    </w:lvl>
    <w:lvl w:ilvl="1" w:tplc="0016C852">
      <w:start w:val="1"/>
      <w:numFmt w:val="bullet"/>
      <w:lvlText w:val="o"/>
      <w:lvlJc w:val="left"/>
      <w:pPr>
        <w:ind w:left="1440" w:hanging="360"/>
      </w:pPr>
      <w:rPr>
        <w:rFonts w:ascii="Courier New" w:hAnsi="Courier New" w:hint="default"/>
      </w:rPr>
    </w:lvl>
    <w:lvl w:ilvl="2" w:tplc="AB30FE62">
      <w:start w:val="1"/>
      <w:numFmt w:val="bullet"/>
      <w:lvlText w:val=""/>
      <w:lvlJc w:val="left"/>
      <w:pPr>
        <w:ind w:left="2160" w:hanging="360"/>
      </w:pPr>
      <w:rPr>
        <w:rFonts w:ascii="Wingdings" w:hAnsi="Wingdings" w:hint="default"/>
      </w:rPr>
    </w:lvl>
    <w:lvl w:ilvl="3" w:tplc="BCE8B5DE">
      <w:start w:val="1"/>
      <w:numFmt w:val="bullet"/>
      <w:lvlText w:val=""/>
      <w:lvlJc w:val="left"/>
      <w:pPr>
        <w:ind w:left="2880" w:hanging="360"/>
      </w:pPr>
      <w:rPr>
        <w:rFonts w:ascii="Symbol" w:hAnsi="Symbol" w:hint="default"/>
      </w:rPr>
    </w:lvl>
    <w:lvl w:ilvl="4" w:tplc="75C457DC">
      <w:start w:val="1"/>
      <w:numFmt w:val="bullet"/>
      <w:lvlText w:val="o"/>
      <w:lvlJc w:val="left"/>
      <w:pPr>
        <w:ind w:left="3600" w:hanging="360"/>
      </w:pPr>
      <w:rPr>
        <w:rFonts w:ascii="Courier New" w:hAnsi="Courier New" w:hint="default"/>
      </w:rPr>
    </w:lvl>
    <w:lvl w:ilvl="5" w:tplc="176CD53C">
      <w:start w:val="1"/>
      <w:numFmt w:val="bullet"/>
      <w:lvlText w:val=""/>
      <w:lvlJc w:val="left"/>
      <w:pPr>
        <w:ind w:left="4320" w:hanging="360"/>
      </w:pPr>
      <w:rPr>
        <w:rFonts w:ascii="Wingdings" w:hAnsi="Wingdings" w:hint="default"/>
      </w:rPr>
    </w:lvl>
    <w:lvl w:ilvl="6" w:tplc="13D66610">
      <w:start w:val="1"/>
      <w:numFmt w:val="bullet"/>
      <w:lvlText w:val=""/>
      <w:lvlJc w:val="left"/>
      <w:pPr>
        <w:ind w:left="5040" w:hanging="360"/>
      </w:pPr>
      <w:rPr>
        <w:rFonts w:ascii="Symbol" w:hAnsi="Symbol" w:hint="default"/>
      </w:rPr>
    </w:lvl>
    <w:lvl w:ilvl="7" w:tplc="F872C446">
      <w:start w:val="1"/>
      <w:numFmt w:val="bullet"/>
      <w:lvlText w:val="o"/>
      <w:lvlJc w:val="left"/>
      <w:pPr>
        <w:ind w:left="5760" w:hanging="360"/>
      </w:pPr>
      <w:rPr>
        <w:rFonts w:ascii="Courier New" w:hAnsi="Courier New" w:hint="default"/>
      </w:rPr>
    </w:lvl>
    <w:lvl w:ilvl="8" w:tplc="3C6684D8">
      <w:start w:val="1"/>
      <w:numFmt w:val="bullet"/>
      <w:lvlText w:val=""/>
      <w:lvlJc w:val="left"/>
      <w:pPr>
        <w:ind w:left="6480" w:hanging="360"/>
      </w:pPr>
      <w:rPr>
        <w:rFonts w:ascii="Wingdings" w:hAnsi="Wingdings" w:hint="default"/>
      </w:rPr>
    </w:lvl>
  </w:abstractNum>
  <w:abstractNum w:abstractNumId="23" w15:restartNumberingAfterBreak="0">
    <w:nsid w:val="2E3A2A0E"/>
    <w:multiLevelType w:val="hybridMultilevel"/>
    <w:tmpl w:val="0A526BAC"/>
    <w:lvl w:ilvl="0" w:tplc="AE7AF3F6">
      <w:start w:val="1"/>
      <w:numFmt w:val="bullet"/>
      <w:lvlText w:val=""/>
      <w:lvlJc w:val="left"/>
      <w:pPr>
        <w:ind w:left="720" w:hanging="360"/>
      </w:pPr>
      <w:rPr>
        <w:rFonts w:ascii="Symbol" w:hAnsi="Symbol" w:hint="default"/>
      </w:rPr>
    </w:lvl>
    <w:lvl w:ilvl="1" w:tplc="D758DD66" w:tentative="1">
      <w:start w:val="1"/>
      <w:numFmt w:val="bullet"/>
      <w:lvlText w:val="o"/>
      <w:lvlJc w:val="left"/>
      <w:pPr>
        <w:ind w:left="1440" w:hanging="360"/>
      </w:pPr>
      <w:rPr>
        <w:rFonts w:ascii="Courier New" w:hAnsi="Courier New" w:cs="Courier New" w:hint="default"/>
      </w:rPr>
    </w:lvl>
    <w:lvl w:ilvl="2" w:tplc="1CAC6D92" w:tentative="1">
      <w:start w:val="1"/>
      <w:numFmt w:val="bullet"/>
      <w:lvlText w:val=""/>
      <w:lvlJc w:val="left"/>
      <w:pPr>
        <w:ind w:left="2160" w:hanging="360"/>
      </w:pPr>
      <w:rPr>
        <w:rFonts w:ascii="Wingdings" w:hAnsi="Wingdings" w:hint="default"/>
      </w:rPr>
    </w:lvl>
    <w:lvl w:ilvl="3" w:tplc="E9342F5A" w:tentative="1">
      <w:start w:val="1"/>
      <w:numFmt w:val="bullet"/>
      <w:lvlText w:val=""/>
      <w:lvlJc w:val="left"/>
      <w:pPr>
        <w:ind w:left="2880" w:hanging="360"/>
      </w:pPr>
      <w:rPr>
        <w:rFonts w:ascii="Symbol" w:hAnsi="Symbol" w:hint="default"/>
      </w:rPr>
    </w:lvl>
    <w:lvl w:ilvl="4" w:tplc="EA788732" w:tentative="1">
      <w:start w:val="1"/>
      <w:numFmt w:val="bullet"/>
      <w:lvlText w:val="o"/>
      <w:lvlJc w:val="left"/>
      <w:pPr>
        <w:ind w:left="3600" w:hanging="360"/>
      </w:pPr>
      <w:rPr>
        <w:rFonts w:ascii="Courier New" w:hAnsi="Courier New" w:cs="Courier New" w:hint="default"/>
      </w:rPr>
    </w:lvl>
    <w:lvl w:ilvl="5" w:tplc="187006E0" w:tentative="1">
      <w:start w:val="1"/>
      <w:numFmt w:val="bullet"/>
      <w:lvlText w:val=""/>
      <w:lvlJc w:val="left"/>
      <w:pPr>
        <w:ind w:left="4320" w:hanging="360"/>
      </w:pPr>
      <w:rPr>
        <w:rFonts w:ascii="Wingdings" w:hAnsi="Wingdings" w:hint="default"/>
      </w:rPr>
    </w:lvl>
    <w:lvl w:ilvl="6" w:tplc="0C8CB672" w:tentative="1">
      <w:start w:val="1"/>
      <w:numFmt w:val="bullet"/>
      <w:lvlText w:val=""/>
      <w:lvlJc w:val="left"/>
      <w:pPr>
        <w:ind w:left="5040" w:hanging="360"/>
      </w:pPr>
      <w:rPr>
        <w:rFonts w:ascii="Symbol" w:hAnsi="Symbol" w:hint="default"/>
      </w:rPr>
    </w:lvl>
    <w:lvl w:ilvl="7" w:tplc="E19A670A" w:tentative="1">
      <w:start w:val="1"/>
      <w:numFmt w:val="bullet"/>
      <w:lvlText w:val="o"/>
      <w:lvlJc w:val="left"/>
      <w:pPr>
        <w:ind w:left="5760" w:hanging="360"/>
      </w:pPr>
      <w:rPr>
        <w:rFonts w:ascii="Courier New" w:hAnsi="Courier New" w:cs="Courier New" w:hint="default"/>
      </w:rPr>
    </w:lvl>
    <w:lvl w:ilvl="8" w:tplc="54DAC612" w:tentative="1">
      <w:start w:val="1"/>
      <w:numFmt w:val="bullet"/>
      <w:lvlText w:val=""/>
      <w:lvlJc w:val="left"/>
      <w:pPr>
        <w:ind w:left="6480" w:hanging="360"/>
      </w:pPr>
      <w:rPr>
        <w:rFonts w:ascii="Wingdings" w:hAnsi="Wingdings" w:hint="default"/>
      </w:rPr>
    </w:lvl>
  </w:abstractNum>
  <w:abstractNum w:abstractNumId="24" w15:restartNumberingAfterBreak="0">
    <w:nsid w:val="2F1B5C59"/>
    <w:multiLevelType w:val="hybridMultilevel"/>
    <w:tmpl w:val="7B806936"/>
    <w:lvl w:ilvl="0" w:tplc="29C25374">
      <w:start w:val="1"/>
      <w:numFmt w:val="decimal"/>
      <w:lvlText w:val="%1)"/>
      <w:lvlJc w:val="left"/>
      <w:pPr>
        <w:ind w:left="360" w:hanging="360"/>
      </w:pPr>
      <w:rPr>
        <w:rFonts w:hint="default"/>
      </w:rPr>
    </w:lvl>
    <w:lvl w:ilvl="1" w:tplc="FE688078" w:tentative="1">
      <w:start w:val="1"/>
      <w:numFmt w:val="bullet"/>
      <w:lvlText w:val="o"/>
      <w:lvlJc w:val="left"/>
      <w:pPr>
        <w:ind w:left="1080" w:hanging="360"/>
      </w:pPr>
      <w:rPr>
        <w:rFonts w:ascii="Courier New" w:hAnsi="Courier New" w:cs="Courier New" w:hint="default"/>
      </w:rPr>
    </w:lvl>
    <w:lvl w:ilvl="2" w:tplc="212A92DA" w:tentative="1">
      <w:start w:val="1"/>
      <w:numFmt w:val="bullet"/>
      <w:lvlText w:val=""/>
      <w:lvlJc w:val="left"/>
      <w:pPr>
        <w:ind w:left="1800" w:hanging="360"/>
      </w:pPr>
      <w:rPr>
        <w:rFonts w:ascii="Wingdings" w:hAnsi="Wingdings" w:hint="default"/>
      </w:rPr>
    </w:lvl>
    <w:lvl w:ilvl="3" w:tplc="439291EA" w:tentative="1">
      <w:start w:val="1"/>
      <w:numFmt w:val="bullet"/>
      <w:lvlText w:val=""/>
      <w:lvlJc w:val="left"/>
      <w:pPr>
        <w:ind w:left="2520" w:hanging="360"/>
      </w:pPr>
      <w:rPr>
        <w:rFonts w:ascii="Symbol" w:hAnsi="Symbol" w:hint="default"/>
      </w:rPr>
    </w:lvl>
    <w:lvl w:ilvl="4" w:tplc="43AA22EA" w:tentative="1">
      <w:start w:val="1"/>
      <w:numFmt w:val="bullet"/>
      <w:lvlText w:val="o"/>
      <w:lvlJc w:val="left"/>
      <w:pPr>
        <w:ind w:left="3240" w:hanging="360"/>
      </w:pPr>
      <w:rPr>
        <w:rFonts w:ascii="Courier New" w:hAnsi="Courier New" w:cs="Courier New" w:hint="default"/>
      </w:rPr>
    </w:lvl>
    <w:lvl w:ilvl="5" w:tplc="AE429492" w:tentative="1">
      <w:start w:val="1"/>
      <w:numFmt w:val="bullet"/>
      <w:lvlText w:val=""/>
      <w:lvlJc w:val="left"/>
      <w:pPr>
        <w:ind w:left="3960" w:hanging="360"/>
      </w:pPr>
      <w:rPr>
        <w:rFonts w:ascii="Wingdings" w:hAnsi="Wingdings" w:hint="default"/>
      </w:rPr>
    </w:lvl>
    <w:lvl w:ilvl="6" w:tplc="25B4C794" w:tentative="1">
      <w:start w:val="1"/>
      <w:numFmt w:val="bullet"/>
      <w:lvlText w:val=""/>
      <w:lvlJc w:val="left"/>
      <w:pPr>
        <w:ind w:left="4680" w:hanging="360"/>
      </w:pPr>
      <w:rPr>
        <w:rFonts w:ascii="Symbol" w:hAnsi="Symbol" w:hint="default"/>
      </w:rPr>
    </w:lvl>
    <w:lvl w:ilvl="7" w:tplc="153A9DB2" w:tentative="1">
      <w:start w:val="1"/>
      <w:numFmt w:val="bullet"/>
      <w:lvlText w:val="o"/>
      <w:lvlJc w:val="left"/>
      <w:pPr>
        <w:ind w:left="5400" w:hanging="360"/>
      </w:pPr>
      <w:rPr>
        <w:rFonts w:ascii="Courier New" w:hAnsi="Courier New" w:cs="Courier New" w:hint="default"/>
      </w:rPr>
    </w:lvl>
    <w:lvl w:ilvl="8" w:tplc="563E0976" w:tentative="1">
      <w:start w:val="1"/>
      <w:numFmt w:val="bullet"/>
      <w:lvlText w:val=""/>
      <w:lvlJc w:val="left"/>
      <w:pPr>
        <w:ind w:left="6120" w:hanging="360"/>
      </w:pPr>
      <w:rPr>
        <w:rFonts w:ascii="Wingdings" w:hAnsi="Wingdings" w:hint="default"/>
      </w:rPr>
    </w:lvl>
  </w:abstractNum>
  <w:abstractNum w:abstractNumId="25" w15:restartNumberingAfterBreak="0">
    <w:nsid w:val="30FE3C2B"/>
    <w:multiLevelType w:val="hybridMultilevel"/>
    <w:tmpl w:val="AE28B4EE"/>
    <w:lvl w:ilvl="0" w:tplc="01903084">
      <w:start w:val="1"/>
      <w:numFmt w:val="bullet"/>
      <w:lvlText w:val=""/>
      <w:lvlJc w:val="left"/>
      <w:pPr>
        <w:ind w:left="720" w:hanging="360"/>
      </w:pPr>
      <w:rPr>
        <w:rFonts w:ascii="Symbol" w:hAnsi="Symbol" w:hint="default"/>
      </w:rPr>
    </w:lvl>
    <w:lvl w:ilvl="1" w:tplc="8C0E7A14" w:tentative="1">
      <w:start w:val="1"/>
      <w:numFmt w:val="bullet"/>
      <w:lvlText w:val="o"/>
      <w:lvlJc w:val="left"/>
      <w:pPr>
        <w:ind w:left="1440" w:hanging="360"/>
      </w:pPr>
      <w:rPr>
        <w:rFonts w:ascii="Courier New" w:hAnsi="Courier New" w:cs="Courier New" w:hint="default"/>
      </w:rPr>
    </w:lvl>
    <w:lvl w:ilvl="2" w:tplc="D8C23CBE" w:tentative="1">
      <w:start w:val="1"/>
      <w:numFmt w:val="bullet"/>
      <w:lvlText w:val=""/>
      <w:lvlJc w:val="left"/>
      <w:pPr>
        <w:ind w:left="2160" w:hanging="360"/>
      </w:pPr>
      <w:rPr>
        <w:rFonts w:ascii="Wingdings" w:hAnsi="Wingdings" w:hint="default"/>
      </w:rPr>
    </w:lvl>
    <w:lvl w:ilvl="3" w:tplc="B69C2A42" w:tentative="1">
      <w:start w:val="1"/>
      <w:numFmt w:val="bullet"/>
      <w:lvlText w:val=""/>
      <w:lvlJc w:val="left"/>
      <w:pPr>
        <w:ind w:left="2880" w:hanging="360"/>
      </w:pPr>
      <w:rPr>
        <w:rFonts w:ascii="Symbol" w:hAnsi="Symbol" w:hint="default"/>
      </w:rPr>
    </w:lvl>
    <w:lvl w:ilvl="4" w:tplc="6E9CF0C2" w:tentative="1">
      <w:start w:val="1"/>
      <w:numFmt w:val="bullet"/>
      <w:lvlText w:val="o"/>
      <w:lvlJc w:val="left"/>
      <w:pPr>
        <w:ind w:left="3600" w:hanging="360"/>
      </w:pPr>
      <w:rPr>
        <w:rFonts w:ascii="Courier New" w:hAnsi="Courier New" w:cs="Courier New" w:hint="default"/>
      </w:rPr>
    </w:lvl>
    <w:lvl w:ilvl="5" w:tplc="C9566216" w:tentative="1">
      <w:start w:val="1"/>
      <w:numFmt w:val="bullet"/>
      <w:lvlText w:val=""/>
      <w:lvlJc w:val="left"/>
      <w:pPr>
        <w:ind w:left="4320" w:hanging="360"/>
      </w:pPr>
      <w:rPr>
        <w:rFonts w:ascii="Wingdings" w:hAnsi="Wingdings" w:hint="default"/>
      </w:rPr>
    </w:lvl>
    <w:lvl w:ilvl="6" w:tplc="66F07A7C" w:tentative="1">
      <w:start w:val="1"/>
      <w:numFmt w:val="bullet"/>
      <w:lvlText w:val=""/>
      <w:lvlJc w:val="left"/>
      <w:pPr>
        <w:ind w:left="5040" w:hanging="360"/>
      </w:pPr>
      <w:rPr>
        <w:rFonts w:ascii="Symbol" w:hAnsi="Symbol" w:hint="default"/>
      </w:rPr>
    </w:lvl>
    <w:lvl w:ilvl="7" w:tplc="59125F4C" w:tentative="1">
      <w:start w:val="1"/>
      <w:numFmt w:val="bullet"/>
      <w:lvlText w:val="o"/>
      <w:lvlJc w:val="left"/>
      <w:pPr>
        <w:ind w:left="5760" w:hanging="360"/>
      </w:pPr>
      <w:rPr>
        <w:rFonts w:ascii="Courier New" w:hAnsi="Courier New" w:cs="Courier New" w:hint="default"/>
      </w:rPr>
    </w:lvl>
    <w:lvl w:ilvl="8" w:tplc="5DA87DC2" w:tentative="1">
      <w:start w:val="1"/>
      <w:numFmt w:val="bullet"/>
      <w:lvlText w:val=""/>
      <w:lvlJc w:val="left"/>
      <w:pPr>
        <w:ind w:left="6480" w:hanging="360"/>
      </w:pPr>
      <w:rPr>
        <w:rFonts w:ascii="Wingdings" w:hAnsi="Wingdings" w:hint="default"/>
      </w:rPr>
    </w:lvl>
  </w:abstractNum>
  <w:abstractNum w:abstractNumId="26" w15:restartNumberingAfterBreak="0">
    <w:nsid w:val="31734CA5"/>
    <w:multiLevelType w:val="hybridMultilevel"/>
    <w:tmpl w:val="5BB6D628"/>
    <w:lvl w:ilvl="0" w:tplc="6BBC6CFA">
      <w:start w:val="1"/>
      <w:numFmt w:val="lowerLetter"/>
      <w:lvlText w:val="%1)"/>
      <w:lvlJc w:val="left"/>
      <w:pPr>
        <w:ind w:left="1800" w:hanging="360"/>
      </w:pPr>
    </w:lvl>
    <w:lvl w:ilvl="1" w:tplc="26EC7456">
      <w:start w:val="1"/>
      <w:numFmt w:val="lowerLetter"/>
      <w:lvlText w:val="%2."/>
      <w:lvlJc w:val="left"/>
      <w:pPr>
        <w:ind w:left="2520" w:hanging="360"/>
      </w:pPr>
    </w:lvl>
    <w:lvl w:ilvl="2" w:tplc="AC68AE1A">
      <w:start w:val="1"/>
      <w:numFmt w:val="decimal"/>
      <w:lvlText w:val="%3."/>
      <w:lvlJc w:val="left"/>
      <w:pPr>
        <w:ind w:left="3770" w:hanging="710"/>
      </w:pPr>
      <w:rPr>
        <w:rFonts w:hint="default"/>
      </w:rPr>
    </w:lvl>
    <w:lvl w:ilvl="3" w:tplc="A32A0378">
      <w:start w:val="1"/>
      <w:numFmt w:val="decimal"/>
      <w:lvlText w:val="(%4)"/>
      <w:lvlJc w:val="left"/>
      <w:pPr>
        <w:ind w:left="3960" w:hanging="360"/>
      </w:pPr>
      <w:rPr>
        <w:rFonts w:hint="default"/>
      </w:rPr>
    </w:lvl>
    <w:lvl w:ilvl="4" w:tplc="7E68BCE2">
      <w:start w:val="1"/>
      <w:numFmt w:val="decimal"/>
      <w:lvlText w:val="%5)"/>
      <w:lvlJc w:val="left"/>
      <w:pPr>
        <w:ind w:left="5040" w:hanging="720"/>
      </w:pPr>
      <w:rPr>
        <w:rFonts w:hint="default"/>
      </w:rPr>
    </w:lvl>
    <w:lvl w:ilvl="5" w:tplc="CDBADA48" w:tentative="1">
      <w:start w:val="1"/>
      <w:numFmt w:val="lowerRoman"/>
      <w:lvlText w:val="%6."/>
      <w:lvlJc w:val="right"/>
      <w:pPr>
        <w:ind w:left="5400" w:hanging="180"/>
      </w:pPr>
    </w:lvl>
    <w:lvl w:ilvl="6" w:tplc="A9D2728E" w:tentative="1">
      <w:start w:val="1"/>
      <w:numFmt w:val="decimal"/>
      <w:lvlText w:val="%7."/>
      <w:lvlJc w:val="left"/>
      <w:pPr>
        <w:ind w:left="6120" w:hanging="360"/>
      </w:pPr>
    </w:lvl>
    <w:lvl w:ilvl="7" w:tplc="31BEA9FE" w:tentative="1">
      <w:start w:val="1"/>
      <w:numFmt w:val="lowerLetter"/>
      <w:lvlText w:val="%8."/>
      <w:lvlJc w:val="left"/>
      <w:pPr>
        <w:ind w:left="6840" w:hanging="360"/>
      </w:pPr>
    </w:lvl>
    <w:lvl w:ilvl="8" w:tplc="1E2CD784" w:tentative="1">
      <w:start w:val="1"/>
      <w:numFmt w:val="lowerRoman"/>
      <w:lvlText w:val="%9."/>
      <w:lvlJc w:val="right"/>
      <w:pPr>
        <w:ind w:left="7560" w:hanging="180"/>
      </w:pPr>
    </w:lvl>
  </w:abstractNum>
  <w:abstractNum w:abstractNumId="27" w15:restartNumberingAfterBreak="0">
    <w:nsid w:val="33EF3DCD"/>
    <w:multiLevelType w:val="hybridMultilevel"/>
    <w:tmpl w:val="1FAE9D42"/>
    <w:lvl w:ilvl="0" w:tplc="3FC4B7C0">
      <w:start w:val="1"/>
      <w:numFmt w:val="lowerLetter"/>
      <w:lvlText w:val="%1."/>
      <w:lvlJc w:val="left"/>
      <w:pPr>
        <w:ind w:left="720" w:hanging="360"/>
      </w:pPr>
    </w:lvl>
    <w:lvl w:ilvl="1" w:tplc="D472C84A">
      <w:start w:val="1"/>
      <w:numFmt w:val="lowerLetter"/>
      <w:lvlText w:val="%2."/>
      <w:lvlJc w:val="left"/>
      <w:pPr>
        <w:ind w:left="1440" w:hanging="360"/>
      </w:pPr>
    </w:lvl>
    <w:lvl w:ilvl="2" w:tplc="65EA2138">
      <w:start w:val="1"/>
      <w:numFmt w:val="lowerRoman"/>
      <w:lvlText w:val="%3."/>
      <w:lvlJc w:val="right"/>
      <w:pPr>
        <w:ind w:left="2160" w:hanging="180"/>
      </w:pPr>
    </w:lvl>
    <w:lvl w:ilvl="3" w:tplc="A4EC9AB2">
      <w:start w:val="1"/>
      <w:numFmt w:val="decimal"/>
      <w:lvlText w:val="%4."/>
      <w:lvlJc w:val="left"/>
      <w:pPr>
        <w:ind w:left="2880" w:hanging="360"/>
      </w:pPr>
    </w:lvl>
    <w:lvl w:ilvl="4" w:tplc="2FD462FA">
      <w:start w:val="1"/>
      <w:numFmt w:val="lowerLetter"/>
      <w:lvlText w:val="%5."/>
      <w:lvlJc w:val="left"/>
      <w:pPr>
        <w:ind w:left="3600" w:hanging="360"/>
      </w:pPr>
    </w:lvl>
    <w:lvl w:ilvl="5" w:tplc="80A4B73E">
      <w:start w:val="1"/>
      <w:numFmt w:val="lowerRoman"/>
      <w:lvlText w:val="%6."/>
      <w:lvlJc w:val="right"/>
      <w:pPr>
        <w:ind w:left="4320" w:hanging="180"/>
      </w:pPr>
    </w:lvl>
    <w:lvl w:ilvl="6" w:tplc="6E4AA6B8">
      <w:start w:val="1"/>
      <w:numFmt w:val="decimal"/>
      <w:lvlText w:val="%7."/>
      <w:lvlJc w:val="left"/>
      <w:pPr>
        <w:ind w:left="5040" w:hanging="360"/>
      </w:pPr>
    </w:lvl>
    <w:lvl w:ilvl="7" w:tplc="4B928F80">
      <w:start w:val="1"/>
      <w:numFmt w:val="lowerLetter"/>
      <w:lvlText w:val="%8."/>
      <w:lvlJc w:val="left"/>
      <w:pPr>
        <w:ind w:left="5760" w:hanging="360"/>
      </w:pPr>
    </w:lvl>
    <w:lvl w:ilvl="8" w:tplc="CC0EAD34">
      <w:start w:val="1"/>
      <w:numFmt w:val="lowerRoman"/>
      <w:lvlText w:val="%9."/>
      <w:lvlJc w:val="right"/>
      <w:pPr>
        <w:ind w:left="6480" w:hanging="180"/>
      </w:pPr>
    </w:lvl>
  </w:abstractNum>
  <w:abstractNum w:abstractNumId="28" w15:restartNumberingAfterBreak="0">
    <w:nsid w:val="354F4FDA"/>
    <w:multiLevelType w:val="hybridMultilevel"/>
    <w:tmpl w:val="3B44048E"/>
    <w:lvl w:ilvl="0" w:tplc="C55A8046">
      <w:start w:val="3"/>
      <w:numFmt w:val="decimal"/>
      <w:lvlText w:val="%1."/>
      <w:lvlJc w:val="left"/>
      <w:pPr>
        <w:ind w:left="360" w:hanging="360"/>
      </w:pPr>
      <w:rPr>
        <w:rFonts w:hint="default"/>
      </w:rPr>
    </w:lvl>
    <w:lvl w:ilvl="1" w:tplc="971A6ED8">
      <w:start w:val="1"/>
      <w:numFmt w:val="lowerLetter"/>
      <w:lvlText w:val="(%2)"/>
      <w:lvlJc w:val="left"/>
      <w:pPr>
        <w:ind w:left="1080" w:hanging="360"/>
      </w:pPr>
      <w:rPr>
        <w:rFonts w:hint="default"/>
      </w:rPr>
    </w:lvl>
    <w:lvl w:ilvl="2" w:tplc="F1DAD124" w:tentative="1">
      <w:start w:val="1"/>
      <w:numFmt w:val="lowerRoman"/>
      <w:lvlText w:val="%3."/>
      <w:lvlJc w:val="right"/>
      <w:pPr>
        <w:ind w:left="1800" w:hanging="180"/>
      </w:pPr>
    </w:lvl>
    <w:lvl w:ilvl="3" w:tplc="0CFC9F26" w:tentative="1">
      <w:start w:val="1"/>
      <w:numFmt w:val="decimal"/>
      <w:lvlText w:val="%4."/>
      <w:lvlJc w:val="left"/>
      <w:pPr>
        <w:ind w:left="2520" w:hanging="360"/>
      </w:pPr>
    </w:lvl>
    <w:lvl w:ilvl="4" w:tplc="0BF4E3B6" w:tentative="1">
      <w:start w:val="1"/>
      <w:numFmt w:val="lowerLetter"/>
      <w:lvlText w:val="%5."/>
      <w:lvlJc w:val="left"/>
      <w:pPr>
        <w:ind w:left="3240" w:hanging="360"/>
      </w:pPr>
    </w:lvl>
    <w:lvl w:ilvl="5" w:tplc="830AB31A" w:tentative="1">
      <w:start w:val="1"/>
      <w:numFmt w:val="lowerRoman"/>
      <w:lvlText w:val="%6."/>
      <w:lvlJc w:val="right"/>
      <w:pPr>
        <w:ind w:left="3960" w:hanging="180"/>
      </w:pPr>
    </w:lvl>
    <w:lvl w:ilvl="6" w:tplc="92BEFC0A" w:tentative="1">
      <w:start w:val="1"/>
      <w:numFmt w:val="decimal"/>
      <w:lvlText w:val="%7."/>
      <w:lvlJc w:val="left"/>
      <w:pPr>
        <w:ind w:left="4680" w:hanging="360"/>
      </w:pPr>
    </w:lvl>
    <w:lvl w:ilvl="7" w:tplc="9ED876B8" w:tentative="1">
      <w:start w:val="1"/>
      <w:numFmt w:val="lowerLetter"/>
      <w:lvlText w:val="%8."/>
      <w:lvlJc w:val="left"/>
      <w:pPr>
        <w:ind w:left="5400" w:hanging="360"/>
      </w:pPr>
    </w:lvl>
    <w:lvl w:ilvl="8" w:tplc="095C731E" w:tentative="1">
      <w:start w:val="1"/>
      <w:numFmt w:val="lowerRoman"/>
      <w:lvlText w:val="%9."/>
      <w:lvlJc w:val="right"/>
      <w:pPr>
        <w:ind w:left="6120" w:hanging="180"/>
      </w:pPr>
    </w:lvl>
  </w:abstractNum>
  <w:abstractNum w:abstractNumId="29" w15:restartNumberingAfterBreak="0">
    <w:nsid w:val="356406F6"/>
    <w:multiLevelType w:val="hybridMultilevel"/>
    <w:tmpl w:val="CEF05196"/>
    <w:lvl w:ilvl="0" w:tplc="DC041B2A">
      <w:start w:val="1"/>
      <w:numFmt w:val="bullet"/>
      <w:lvlText w:val=""/>
      <w:lvlJc w:val="left"/>
      <w:pPr>
        <w:ind w:left="778" w:hanging="360"/>
      </w:pPr>
      <w:rPr>
        <w:rFonts w:ascii="Symbol" w:hAnsi="Symbol" w:hint="default"/>
      </w:rPr>
    </w:lvl>
    <w:lvl w:ilvl="1" w:tplc="852A07A4">
      <w:start w:val="1"/>
      <w:numFmt w:val="bullet"/>
      <w:lvlText w:val="o"/>
      <w:lvlJc w:val="left"/>
      <w:pPr>
        <w:ind w:left="1498" w:hanging="360"/>
      </w:pPr>
      <w:rPr>
        <w:rFonts w:ascii="Courier New" w:hAnsi="Courier New" w:cs="Courier New" w:hint="default"/>
      </w:rPr>
    </w:lvl>
    <w:lvl w:ilvl="2" w:tplc="9AA2B22A" w:tentative="1">
      <w:start w:val="1"/>
      <w:numFmt w:val="bullet"/>
      <w:lvlText w:val=""/>
      <w:lvlJc w:val="left"/>
      <w:pPr>
        <w:ind w:left="2218" w:hanging="360"/>
      </w:pPr>
      <w:rPr>
        <w:rFonts w:ascii="Wingdings" w:hAnsi="Wingdings" w:hint="default"/>
      </w:rPr>
    </w:lvl>
    <w:lvl w:ilvl="3" w:tplc="67DE504E" w:tentative="1">
      <w:start w:val="1"/>
      <w:numFmt w:val="bullet"/>
      <w:lvlText w:val=""/>
      <w:lvlJc w:val="left"/>
      <w:pPr>
        <w:ind w:left="2938" w:hanging="360"/>
      </w:pPr>
      <w:rPr>
        <w:rFonts w:ascii="Symbol" w:hAnsi="Symbol" w:hint="default"/>
      </w:rPr>
    </w:lvl>
    <w:lvl w:ilvl="4" w:tplc="13C01ABA" w:tentative="1">
      <w:start w:val="1"/>
      <w:numFmt w:val="bullet"/>
      <w:lvlText w:val="o"/>
      <w:lvlJc w:val="left"/>
      <w:pPr>
        <w:ind w:left="3658" w:hanging="360"/>
      </w:pPr>
      <w:rPr>
        <w:rFonts w:ascii="Courier New" w:hAnsi="Courier New" w:cs="Courier New" w:hint="default"/>
      </w:rPr>
    </w:lvl>
    <w:lvl w:ilvl="5" w:tplc="94D2DBC2" w:tentative="1">
      <w:start w:val="1"/>
      <w:numFmt w:val="bullet"/>
      <w:lvlText w:val=""/>
      <w:lvlJc w:val="left"/>
      <w:pPr>
        <w:ind w:left="4378" w:hanging="360"/>
      </w:pPr>
      <w:rPr>
        <w:rFonts w:ascii="Wingdings" w:hAnsi="Wingdings" w:hint="default"/>
      </w:rPr>
    </w:lvl>
    <w:lvl w:ilvl="6" w:tplc="1C0A175A" w:tentative="1">
      <w:start w:val="1"/>
      <w:numFmt w:val="bullet"/>
      <w:lvlText w:val=""/>
      <w:lvlJc w:val="left"/>
      <w:pPr>
        <w:ind w:left="5098" w:hanging="360"/>
      </w:pPr>
      <w:rPr>
        <w:rFonts w:ascii="Symbol" w:hAnsi="Symbol" w:hint="default"/>
      </w:rPr>
    </w:lvl>
    <w:lvl w:ilvl="7" w:tplc="481A6D62" w:tentative="1">
      <w:start w:val="1"/>
      <w:numFmt w:val="bullet"/>
      <w:lvlText w:val="o"/>
      <w:lvlJc w:val="left"/>
      <w:pPr>
        <w:ind w:left="5818" w:hanging="360"/>
      </w:pPr>
      <w:rPr>
        <w:rFonts w:ascii="Courier New" w:hAnsi="Courier New" w:cs="Courier New" w:hint="default"/>
      </w:rPr>
    </w:lvl>
    <w:lvl w:ilvl="8" w:tplc="C718559C" w:tentative="1">
      <w:start w:val="1"/>
      <w:numFmt w:val="bullet"/>
      <w:lvlText w:val=""/>
      <w:lvlJc w:val="left"/>
      <w:pPr>
        <w:ind w:left="6538" w:hanging="360"/>
      </w:pPr>
      <w:rPr>
        <w:rFonts w:ascii="Wingdings" w:hAnsi="Wingdings" w:hint="default"/>
      </w:rPr>
    </w:lvl>
  </w:abstractNum>
  <w:abstractNum w:abstractNumId="30" w15:restartNumberingAfterBreak="0">
    <w:nsid w:val="35C92798"/>
    <w:multiLevelType w:val="hybridMultilevel"/>
    <w:tmpl w:val="91A60B54"/>
    <w:lvl w:ilvl="0" w:tplc="56AEAD3A">
      <w:start w:val="1"/>
      <w:numFmt w:val="lowerLetter"/>
      <w:lvlText w:val="%1)"/>
      <w:lvlJc w:val="left"/>
      <w:pPr>
        <w:ind w:left="709" w:hanging="360"/>
      </w:pPr>
      <w:rPr>
        <w:rFonts w:hint="default"/>
      </w:rPr>
    </w:lvl>
    <w:lvl w:ilvl="1" w:tplc="F78C37AA" w:tentative="1">
      <w:start w:val="1"/>
      <w:numFmt w:val="lowerLetter"/>
      <w:lvlText w:val="%2."/>
      <w:lvlJc w:val="left"/>
      <w:pPr>
        <w:ind w:left="1429" w:hanging="360"/>
      </w:pPr>
    </w:lvl>
    <w:lvl w:ilvl="2" w:tplc="FBCA1F56" w:tentative="1">
      <w:start w:val="1"/>
      <w:numFmt w:val="lowerRoman"/>
      <w:lvlText w:val="%3."/>
      <w:lvlJc w:val="right"/>
      <w:pPr>
        <w:ind w:left="2149" w:hanging="180"/>
      </w:pPr>
    </w:lvl>
    <w:lvl w:ilvl="3" w:tplc="A148EE74" w:tentative="1">
      <w:start w:val="1"/>
      <w:numFmt w:val="decimal"/>
      <w:lvlText w:val="%4."/>
      <w:lvlJc w:val="left"/>
      <w:pPr>
        <w:ind w:left="2869" w:hanging="360"/>
      </w:pPr>
    </w:lvl>
    <w:lvl w:ilvl="4" w:tplc="9EC0B1B4" w:tentative="1">
      <w:start w:val="1"/>
      <w:numFmt w:val="lowerLetter"/>
      <w:lvlText w:val="%5."/>
      <w:lvlJc w:val="left"/>
      <w:pPr>
        <w:ind w:left="3589" w:hanging="360"/>
      </w:pPr>
    </w:lvl>
    <w:lvl w:ilvl="5" w:tplc="BC464E8A" w:tentative="1">
      <w:start w:val="1"/>
      <w:numFmt w:val="lowerRoman"/>
      <w:lvlText w:val="%6."/>
      <w:lvlJc w:val="right"/>
      <w:pPr>
        <w:ind w:left="4309" w:hanging="180"/>
      </w:pPr>
    </w:lvl>
    <w:lvl w:ilvl="6" w:tplc="6EC4AD18" w:tentative="1">
      <w:start w:val="1"/>
      <w:numFmt w:val="decimal"/>
      <w:lvlText w:val="%7."/>
      <w:lvlJc w:val="left"/>
      <w:pPr>
        <w:ind w:left="5029" w:hanging="360"/>
      </w:pPr>
    </w:lvl>
    <w:lvl w:ilvl="7" w:tplc="EBB8BA22" w:tentative="1">
      <w:start w:val="1"/>
      <w:numFmt w:val="lowerLetter"/>
      <w:lvlText w:val="%8."/>
      <w:lvlJc w:val="left"/>
      <w:pPr>
        <w:ind w:left="5749" w:hanging="360"/>
      </w:pPr>
    </w:lvl>
    <w:lvl w:ilvl="8" w:tplc="32D8DFF6" w:tentative="1">
      <w:start w:val="1"/>
      <w:numFmt w:val="lowerRoman"/>
      <w:lvlText w:val="%9."/>
      <w:lvlJc w:val="right"/>
      <w:pPr>
        <w:ind w:left="6469" w:hanging="180"/>
      </w:pPr>
    </w:lvl>
  </w:abstractNum>
  <w:abstractNum w:abstractNumId="31" w15:restartNumberingAfterBreak="0">
    <w:nsid w:val="366F7539"/>
    <w:multiLevelType w:val="hybridMultilevel"/>
    <w:tmpl w:val="AEA80D7A"/>
    <w:lvl w:ilvl="0" w:tplc="991AFF36">
      <w:start w:val="1"/>
      <w:numFmt w:val="bullet"/>
      <w:lvlText w:val=""/>
      <w:lvlJc w:val="left"/>
      <w:pPr>
        <w:ind w:left="720" w:hanging="360"/>
      </w:pPr>
      <w:rPr>
        <w:rFonts w:ascii="Symbol" w:hAnsi="Symbol" w:hint="default"/>
      </w:rPr>
    </w:lvl>
    <w:lvl w:ilvl="1" w:tplc="851AB792" w:tentative="1">
      <w:start w:val="1"/>
      <w:numFmt w:val="bullet"/>
      <w:lvlText w:val="o"/>
      <w:lvlJc w:val="left"/>
      <w:pPr>
        <w:ind w:left="1440" w:hanging="360"/>
      </w:pPr>
      <w:rPr>
        <w:rFonts w:ascii="Courier New" w:hAnsi="Courier New" w:cs="Courier New" w:hint="default"/>
      </w:rPr>
    </w:lvl>
    <w:lvl w:ilvl="2" w:tplc="02FE40E8" w:tentative="1">
      <w:start w:val="1"/>
      <w:numFmt w:val="bullet"/>
      <w:lvlText w:val=""/>
      <w:lvlJc w:val="left"/>
      <w:pPr>
        <w:ind w:left="2160" w:hanging="360"/>
      </w:pPr>
      <w:rPr>
        <w:rFonts w:ascii="Wingdings" w:hAnsi="Wingdings" w:hint="default"/>
      </w:rPr>
    </w:lvl>
    <w:lvl w:ilvl="3" w:tplc="502876A0" w:tentative="1">
      <w:start w:val="1"/>
      <w:numFmt w:val="bullet"/>
      <w:lvlText w:val=""/>
      <w:lvlJc w:val="left"/>
      <w:pPr>
        <w:ind w:left="2880" w:hanging="360"/>
      </w:pPr>
      <w:rPr>
        <w:rFonts w:ascii="Symbol" w:hAnsi="Symbol" w:hint="default"/>
      </w:rPr>
    </w:lvl>
    <w:lvl w:ilvl="4" w:tplc="5F7C70EC" w:tentative="1">
      <w:start w:val="1"/>
      <w:numFmt w:val="bullet"/>
      <w:lvlText w:val="o"/>
      <w:lvlJc w:val="left"/>
      <w:pPr>
        <w:ind w:left="3600" w:hanging="360"/>
      </w:pPr>
      <w:rPr>
        <w:rFonts w:ascii="Courier New" w:hAnsi="Courier New" w:cs="Courier New" w:hint="default"/>
      </w:rPr>
    </w:lvl>
    <w:lvl w:ilvl="5" w:tplc="B25A9DBC" w:tentative="1">
      <w:start w:val="1"/>
      <w:numFmt w:val="bullet"/>
      <w:lvlText w:val=""/>
      <w:lvlJc w:val="left"/>
      <w:pPr>
        <w:ind w:left="4320" w:hanging="360"/>
      </w:pPr>
      <w:rPr>
        <w:rFonts w:ascii="Wingdings" w:hAnsi="Wingdings" w:hint="default"/>
      </w:rPr>
    </w:lvl>
    <w:lvl w:ilvl="6" w:tplc="DC56766E" w:tentative="1">
      <w:start w:val="1"/>
      <w:numFmt w:val="bullet"/>
      <w:lvlText w:val=""/>
      <w:lvlJc w:val="left"/>
      <w:pPr>
        <w:ind w:left="5040" w:hanging="360"/>
      </w:pPr>
      <w:rPr>
        <w:rFonts w:ascii="Symbol" w:hAnsi="Symbol" w:hint="default"/>
      </w:rPr>
    </w:lvl>
    <w:lvl w:ilvl="7" w:tplc="E2F45AD6" w:tentative="1">
      <w:start w:val="1"/>
      <w:numFmt w:val="bullet"/>
      <w:lvlText w:val="o"/>
      <w:lvlJc w:val="left"/>
      <w:pPr>
        <w:ind w:left="5760" w:hanging="360"/>
      </w:pPr>
      <w:rPr>
        <w:rFonts w:ascii="Courier New" w:hAnsi="Courier New" w:cs="Courier New" w:hint="default"/>
      </w:rPr>
    </w:lvl>
    <w:lvl w:ilvl="8" w:tplc="247E72C6" w:tentative="1">
      <w:start w:val="1"/>
      <w:numFmt w:val="bullet"/>
      <w:lvlText w:val=""/>
      <w:lvlJc w:val="left"/>
      <w:pPr>
        <w:ind w:left="6480" w:hanging="360"/>
      </w:pPr>
      <w:rPr>
        <w:rFonts w:ascii="Wingdings" w:hAnsi="Wingdings" w:hint="default"/>
      </w:rPr>
    </w:lvl>
  </w:abstractNum>
  <w:abstractNum w:abstractNumId="32" w15:restartNumberingAfterBreak="0">
    <w:nsid w:val="381B306B"/>
    <w:multiLevelType w:val="multilevel"/>
    <w:tmpl w:val="2E04D6D0"/>
    <w:lvl w:ilvl="0">
      <w:start w:val="1"/>
      <w:numFmt w:val="decimal"/>
      <w:pStyle w:val="List1"/>
      <w:lvlText w:val="%1."/>
      <w:lvlJc w:val="left"/>
      <w:pPr>
        <w:tabs>
          <w:tab w:val="num" w:pos="810"/>
        </w:tabs>
        <w:ind w:left="81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3" w15:restartNumberingAfterBreak="0">
    <w:nsid w:val="3A297B35"/>
    <w:multiLevelType w:val="hybridMultilevel"/>
    <w:tmpl w:val="CF72CF20"/>
    <w:lvl w:ilvl="0" w:tplc="89F26944">
      <w:start w:val="5"/>
      <w:numFmt w:val="lowerLetter"/>
      <w:lvlText w:val="%1)"/>
      <w:lvlJc w:val="left"/>
      <w:pPr>
        <w:ind w:left="720" w:hanging="360"/>
      </w:pPr>
      <w:rPr>
        <w:rFonts w:hint="default"/>
      </w:rPr>
    </w:lvl>
    <w:lvl w:ilvl="1" w:tplc="CB5E87EE" w:tentative="1">
      <w:start w:val="1"/>
      <w:numFmt w:val="lowerLetter"/>
      <w:lvlText w:val="%2."/>
      <w:lvlJc w:val="left"/>
      <w:pPr>
        <w:ind w:left="1440" w:hanging="360"/>
      </w:pPr>
    </w:lvl>
    <w:lvl w:ilvl="2" w:tplc="2D8EF114" w:tentative="1">
      <w:start w:val="1"/>
      <w:numFmt w:val="lowerRoman"/>
      <w:lvlText w:val="%3."/>
      <w:lvlJc w:val="right"/>
      <w:pPr>
        <w:ind w:left="2160" w:hanging="180"/>
      </w:pPr>
    </w:lvl>
    <w:lvl w:ilvl="3" w:tplc="11E603D2" w:tentative="1">
      <w:start w:val="1"/>
      <w:numFmt w:val="decimal"/>
      <w:lvlText w:val="%4."/>
      <w:lvlJc w:val="left"/>
      <w:pPr>
        <w:ind w:left="2880" w:hanging="360"/>
      </w:pPr>
    </w:lvl>
    <w:lvl w:ilvl="4" w:tplc="DCC4F990" w:tentative="1">
      <w:start w:val="1"/>
      <w:numFmt w:val="lowerLetter"/>
      <w:lvlText w:val="%5."/>
      <w:lvlJc w:val="left"/>
      <w:pPr>
        <w:ind w:left="3600" w:hanging="360"/>
      </w:pPr>
    </w:lvl>
    <w:lvl w:ilvl="5" w:tplc="9426FC80" w:tentative="1">
      <w:start w:val="1"/>
      <w:numFmt w:val="lowerRoman"/>
      <w:lvlText w:val="%6."/>
      <w:lvlJc w:val="right"/>
      <w:pPr>
        <w:ind w:left="4320" w:hanging="180"/>
      </w:pPr>
    </w:lvl>
    <w:lvl w:ilvl="6" w:tplc="5C60571E" w:tentative="1">
      <w:start w:val="1"/>
      <w:numFmt w:val="decimal"/>
      <w:lvlText w:val="%7."/>
      <w:lvlJc w:val="left"/>
      <w:pPr>
        <w:ind w:left="5040" w:hanging="360"/>
      </w:pPr>
    </w:lvl>
    <w:lvl w:ilvl="7" w:tplc="7904F0B0" w:tentative="1">
      <w:start w:val="1"/>
      <w:numFmt w:val="lowerLetter"/>
      <w:lvlText w:val="%8."/>
      <w:lvlJc w:val="left"/>
      <w:pPr>
        <w:ind w:left="5760" w:hanging="360"/>
      </w:pPr>
    </w:lvl>
    <w:lvl w:ilvl="8" w:tplc="4DCACD96" w:tentative="1">
      <w:start w:val="1"/>
      <w:numFmt w:val="lowerRoman"/>
      <w:lvlText w:val="%9."/>
      <w:lvlJc w:val="right"/>
      <w:pPr>
        <w:ind w:left="6480" w:hanging="180"/>
      </w:pPr>
    </w:lvl>
  </w:abstractNum>
  <w:abstractNum w:abstractNumId="34" w15:restartNumberingAfterBreak="0">
    <w:nsid w:val="3AB16B39"/>
    <w:multiLevelType w:val="hybridMultilevel"/>
    <w:tmpl w:val="88141030"/>
    <w:lvl w:ilvl="0" w:tplc="90384F48">
      <w:start w:val="1"/>
      <w:numFmt w:val="bullet"/>
      <w:lvlText w:val=""/>
      <w:lvlJc w:val="left"/>
      <w:pPr>
        <w:ind w:left="597" w:hanging="284"/>
      </w:pPr>
      <w:rPr>
        <w:rFonts w:ascii="Symbol" w:hAnsi="Symbol" w:hint="default"/>
        <w:b w:val="0"/>
        <w:bCs w:val="0"/>
        <w:i w:val="0"/>
        <w:iCs w:val="0"/>
        <w:spacing w:val="0"/>
        <w:w w:val="99"/>
        <w:sz w:val="20"/>
        <w:szCs w:val="20"/>
        <w:lang w:val="en-US" w:eastAsia="en-US" w:bidi="ar-SA"/>
      </w:rPr>
    </w:lvl>
    <w:lvl w:ilvl="1" w:tplc="F0BCF6C2">
      <w:numFmt w:val="bullet"/>
      <w:lvlText w:val="•"/>
      <w:lvlJc w:val="left"/>
      <w:pPr>
        <w:ind w:left="805" w:hanging="284"/>
      </w:pPr>
      <w:rPr>
        <w:rFonts w:hint="default"/>
        <w:lang w:val="en-US" w:eastAsia="en-US" w:bidi="ar-SA"/>
      </w:rPr>
    </w:lvl>
    <w:lvl w:ilvl="2" w:tplc="2316802A">
      <w:numFmt w:val="bullet"/>
      <w:lvlText w:val="•"/>
      <w:lvlJc w:val="left"/>
      <w:pPr>
        <w:ind w:left="1006" w:hanging="284"/>
      </w:pPr>
      <w:rPr>
        <w:rFonts w:hint="default"/>
        <w:lang w:val="en-US" w:eastAsia="en-US" w:bidi="ar-SA"/>
      </w:rPr>
    </w:lvl>
    <w:lvl w:ilvl="3" w:tplc="2DA0AEA2">
      <w:numFmt w:val="bullet"/>
      <w:lvlText w:val="•"/>
      <w:lvlJc w:val="left"/>
      <w:pPr>
        <w:ind w:left="1207" w:hanging="284"/>
      </w:pPr>
      <w:rPr>
        <w:rFonts w:hint="default"/>
        <w:lang w:val="en-US" w:eastAsia="en-US" w:bidi="ar-SA"/>
      </w:rPr>
    </w:lvl>
    <w:lvl w:ilvl="4" w:tplc="0BB458BE">
      <w:numFmt w:val="bullet"/>
      <w:lvlText w:val="•"/>
      <w:lvlJc w:val="left"/>
      <w:pPr>
        <w:ind w:left="1408" w:hanging="284"/>
      </w:pPr>
      <w:rPr>
        <w:rFonts w:hint="default"/>
        <w:lang w:val="en-US" w:eastAsia="en-US" w:bidi="ar-SA"/>
      </w:rPr>
    </w:lvl>
    <w:lvl w:ilvl="5" w:tplc="F258C238">
      <w:numFmt w:val="bullet"/>
      <w:lvlText w:val="•"/>
      <w:lvlJc w:val="left"/>
      <w:pPr>
        <w:ind w:left="1609" w:hanging="284"/>
      </w:pPr>
      <w:rPr>
        <w:rFonts w:hint="default"/>
        <w:lang w:val="en-US" w:eastAsia="en-US" w:bidi="ar-SA"/>
      </w:rPr>
    </w:lvl>
    <w:lvl w:ilvl="6" w:tplc="8A5C69DE">
      <w:numFmt w:val="bullet"/>
      <w:lvlText w:val="•"/>
      <w:lvlJc w:val="left"/>
      <w:pPr>
        <w:ind w:left="1810" w:hanging="284"/>
      </w:pPr>
      <w:rPr>
        <w:rFonts w:hint="default"/>
        <w:lang w:val="en-US" w:eastAsia="en-US" w:bidi="ar-SA"/>
      </w:rPr>
    </w:lvl>
    <w:lvl w:ilvl="7" w:tplc="C9069B76">
      <w:numFmt w:val="bullet"/>
      <w:lvlText w:val="•"/>
      <w:lvlJc w:val="left"/>
      <w:pPr>
        <w:ind w:left="2011" w:hanging="284"/>
      </w:pPr>
      <w:rPr>
        <w:rFonts w:hint="default"/>
        <w:lang w:val="en-US" w:eastAsia="en-US" w:bidi="ar-SA"/>
      </w:rPr>
    </w:lvl>
    <w:lvl w:ilvl="8" w:tplc="8E920236">
      <w:numFmt w:val="bullet"/>
      <w:lvlText w:val="•"/>
      <w:lvlJc w:val="left"/>
      <w:pPr>
        <w:ind w:left="2212" w:hanging="284"/>
      </w:pPr>
      <w:rPr>
        <w:rFonts w:hint="default"/>
        <w:lang w:val="en-US" w:eastAsia="en-US" w:bidi="ar-SA"/>
      </w:rPr>
    </w:lvl>
  </w:abstractNum>
  <w:abstractNum w:abstractNumId="35" w15:restartNumberingAfterBreak="0">
    <w:nsid w:val="3CC6321E"/>
    <w:multiLevelType w:val="hybridMultilevel"/>
    <w:tmpl w:val="C4C65B26"/>
    <w:lvl w:ilvl="0" w:tplc="44C4745A">
      <w:start w:val="1"/>
      <w:numFmt w:val="bullet"/>
      <w:lvlText w:val=""/>
      <w:lvlJc w:val="left"/>
      <w:pPr>
        <w:ind w:left="720" w:hanging="360"/>
      </w:pPr>
      <w:rPr>
        <w:rFonts w:ascii="Symbol" w:hAnsi="Symbol" w:hint="default"/>
      </w:rPr>
    </w:lvl>
    <w:lvl w:ilvl="1" w:tplc="2DEC035E" w:tentative="1">
      <w:start w:val="1"/>
      <w:numFmt w:val="bullet"/>
      <w:lvlText w:val="o"/>
      <w:lvlJc w:val="left"/>
      <w:pPr>
        <w:ind w:left="1440" w:hanging="360"/>
      </w:pPr>
      <w:rPr>
        <w:rFonts w:ascii="Courier New" w:hAnsi="Courier New" w:cs="Courier New" w:hint="default"/>
      </w:rPr>
    </w:lvl>
    <w:lvl w:ilvl="2" w:tplc="A1189E5E" w:tentative="1">
      <w:start w:val="1"/>
      <w:numFmt w:val="bullet"/>
      <w:lvlText w:val=""/>
      <w:lvlJc w:val="left"/>
      <w:pPr>
        <w:ind w:left="2160" w:hanging="360"/>
      </w:pPr>
      <w:rPr>
        <w:rFonts w:ascii="Wingdings" w:hAnsi="Wingdings" w:hint="default"/>
      </w:rPr>
    </w:lvl>
    <w:lvl w:ilvl="3" w:tplc="2764899E" w:tentative="1">
      <w:start w:val="1"/>
      <w:numFmt w:val="bullet"/>
      <w:lvlText w:val=""/>
      <w:lvlJc w:val="left"/>
      <w:pPr>
        <w:ind w:left="2880" w:hanging="360"/>
      </w:pPr>
      <w:rPr>
        <w:rFonts w:ascii="Symbol" w:hAnsi="Symbol" w:hint="default"/>
      </w:rPr>
    </w:lvl>
    <w:lvl w:ilvl="4" w:tplc="02420332" w:tentative="1">
      <w:start w:val="1"/>
      <w:numFmt w:val="bullet"/>
      <w:lvlText w:val="o"/>
      <w:lvlJc w:val="left"/>
      <w:pPr>
        <w:ind w:left="3600" w:hanging="360"/>
      </w:pPr>
      <w:rPr>
        <w:rFonts w:ascii="Courier New" w:hAnsi="Courier New" w:cs="Courier New" w:hint="default"/>
      </w:rPr>
    </w:lvl>
    <w:lvl w:ilvl="5" w:tplc="EF24D40E" w:tentative="1">
      <w:start w:val="1"/>
      <w:numFmt w:val="bullet"/>
      <w:lvlText w:val=""/>
      <w:lvlJc w:val="left"/>
      <w:pPr>
        <w:ind w:left="4320" w:hanging="360"/>
      </w:pPr>
      <w:rPr>
        <w:rFonts w:ascii="Wingdings" w:hAnsi="Wingdings" w:hint="default"/>
      </w:rPr>
    </w:lvl>
    <w:lvl w:ilvl="6" w:tplc="B0D0C4C6" w:tentative="1">
      <w:start w:val="1"/>
      <w:numFmt w:val="bullet"/>
      <w:lvlText w:val=""/>
      <w:lvlJc w:val="left"/>
      <w:pPr>
        <w:ind w:left="5040" w:hanging="360"/>
      </w:pPr>
      <w:rPr>
        <w:rFonts w:ascii="Symbol" w:hAnsi="Symbol" w:hint="default"/>
      </w:rPr>
    </w:lvl>
    <w:lvl w:ilvl="7" w:tplc="5E90404A" w:tentative="1">
      <w:start w:val="1"/>
      <w:numFmt w:val="bullet"/>
      <w:lvlText w:val="o"/>
      <w:lvlJc w:val="left"/>
      <w:pPr>
        <w:ind w:left="5760" w:hanging="360"/>
      </w:pPr>
      <w:rPr>
        <w:rFonts w:ascii="Courier New" w:hAnsi="Courier New" w:cs="Courier New" w:hint="default"/>
      </w:rPr>
    </w:lvl>
    <w:lvl w:ilvl="8" w:tplc="C0CCFAFA" w:tentative="1">
      <w:start w:val="1"/>
      <w:numFmt w:val="bullet"/>
      <w:lvlText w:val=""/>
      <w:lvlJc w:val="left"/>
      <w:pPr>
        <w:ind w:left="6480" w:hanging="360"/>
      </w:pPr>
      <w:rPr>
        <w:rFonts w:ascii="Wingdings" w:hAnsi="Wingdings" w:hint="default"/>
      </w:rPr>
    </w:lvl>
  </w:abstractNum>
  <w:abstractNum w:abstractNumId="36" w15:restartNumberingAfterBreak="0">
    <w:nsid w:val="3D96ECEB"/>
    <w:multiLevelType w:val="hybridMultilevel"/>
    <w:tmpl w:val="FFFFFFFF"/>
    <w:lvl w:ilvl="0" w:tplc="8F3C9200">
      <w:start w:val="1"/>
      <w:numFmt w:val="bullet"/>
      <w:lvlText w:val=""/>
      <w:lvlJc w:val="left"/>
      <w:pPr>
        <w:ind w:left="720" w:hanging="360"/>
      </w:pPr>
      <w:rPr>
        <w:rFonts w:ascii="Symbol" w:hAnsi="Symbol" w:hint="default"/>
      </w:rPr>
    </w:lvl>
    <w:lvl w:ilvl="1" w:tplc="87123496">
      <w:start w:val="1"/>
      <w:numFmt w:val="bullet"/>
      <w:lvlText w:val="o"/>
      <w:lvlJc w:val="left"/>
      <w:pPr>
        <w:ind w:left="1440" w:hanging="360"/>
      </w:pPr>
      <w:rPr>
        <w:rFonts w:ascii="Courier New" w:hAnsi="Courier New" w:hint="default"/>
      </w:rPr>
    </w:lvl>
    <w:lvl w:ilvl="2" w:tplc="AE520920">
      <w:start w:val="1"/>
      <w:numFmt w:val="bullet"/>
      <w:lvlText w:val=""/>
      <w:lvlJc w:val="left"/>
      <w:pPr>
        <w:ind w:left="2160" w:hanging="360"/>
      </w:pPr>
      <w:rPr>
        <w:rFonts w:ascii="Wingdings" w:hAnsi="Wingdings" w:hint="default"/>
      </w:rPr>
    </w:lvl>
    <w:lvl w:ilvl="3" w:tplc="8CC03A50">
      <w:start w:val="1"/>
      <w:numFmt w:val="bullet"/>
      <w:lvlText w:val=""/>
      <w:lvlJc w:val="left"/>
      <w:pPr>
        <w:ind w:left="2880" w:hanging="360"/>
      </w:pPr>
      <w:rPr>
        <w:rFonts w:ascii="Symbol" w:hAnsi="Symbol" w:hint="default"/>
      </w:rPr>
    </w:lvl>
    <w:lvl w:ilvl="4" w:tplc="8C4492EC">
      <w:start w:val="1"/>
      <w:numFmt w:val="bullet"/>
      <w:lvlText w:val="o"/>
      <w:lvlJc w:val="left"/>
      <w:pPr>
        <w:ind w:left="3600" w:hanging="360"/>
      </w:pPr>
      <w:rPr>
        <w:rFonts w:ascii="Courier New" w:hAnsi="Courier New" w:hint="default"/>
      </w:rPr>
    </w:lvl>
    <w:lvl w:ilvl="5" w:tplc="E30A9DD0">
      <w:start w:val="1"/>
      <w:numFmt w:val="bullet"/>
      <w:lvlText w:val=""/>
      <w:lvlJc w:val="left"/>
      <w:pPr>
        <w:ind w:left="4320" w:hanging="360"/>
      </w:pPr>
      <w:rPr>
        <w:rFonts w:ascii="Wingdings" w:hAnsi="Wingdings" w:hint="default"/>
      </w:rPr>
    </w:lvl>
    <w:lvl w:ilvl="6" w:tplc="D08068E6">
      <w:start w:val="1"/>
      <w:numFmt w:val="bullet"/>
      <w:lvlText w:val=""/>
      <w:lvlJc w:val="left"/>
      <w:pPr>
        <w:ind w:left="5040" w:hanging="360"/>
      </w:pPr>
      <w:rPr>
        <w:rFonts w:ascii="Symbol" w:hAnsi="Symbol" w:hint="default"/>
      </w:rPr>
    </w:lvl>
    <w:lvl w:ilvl="7" w:tplc="E0E0939C">
      <w:start w:val="1"/>
      <w:numFmt w:val="bullet"/>
      <w:lvlText w:val="o"/>
      <w:lvlJc w:val="left"/>
      <w:pPr>
        <w:ind w:left="5760" w:hanging="360"/>
      </w:pPr>
      <w:rPr>
        <w:rFonts w:ascii="Courier New" w:hAnsi="Courier New" w:hint="default"/>
      </w:rPr>
    </w:lvl>
    <w:lvl w:ilvl="8" w:tplc="53BCED64">
      <w:start w:val="1"/>
      <w:numFmt w:val="bullet"/>
      <w:lvlText w:val=""/>
      <w:lvlJc w:val="left"/>
      <w:pPr>
        <w:ind w:left="6480" w:hanging="360"/>
      </w:pPr>
      <w:rPr>
        <w:rFonts w:ascii="Wingdings" w:hAnsi="Wingdings" w:hint="default"/>
      </w:rPr>
    </w:lvl>
  </w:abstractNum>
  <w:abstractNum w:abstractNumId="37" w15:restartNumberingAfterBreak="0">
    <w:nsid w:val="3E1FA012"/>
    <w:multiLevelType w:val="hybridMultilevel"/>
    <w:tmpl w:val="75FCD18A"/>
    <w:lvl w:ilvl="0" w:tplc="399C8ED6">
      <w:start w:val="1"/>
      <w:numFmt w:val="bullet"/>
      <w:lvlText w:val=""/>
      <w:lvlJc w:val="left"/>
      <w:pPr>
        <w:ind w:left="720" w:hanging="360"/>
      </w:pPr>
      <w:rPr>
        <w:rFonts w:ascii="Symbol" w:hAnsi="Symbol" w:hint="default"/>
      </w:rPr>
    </w:lvl>
    <w:lvl w:ilvl="1" w:tplc="1A4676D2">
      <w:start w:val="1"/>
      <w:numFmt w:val="bullet"/>
      <w:lvlText w:val="o"/>
      <w:lvlJc w:val="left"/>
      <w:pPr>
        <w:ind w:left="1440" w:hanging="360"/>
      </w:pPr>
      <w:rPr>
        <w:rFonts w:ascii="Courier New" w:hAnsi="Courier New" w:hint="default"/>
      </w:rPr>
    </w:lvl>
    <w:lvl w:ilvl="2" w:tplc="B94C24BC">
      <w:start w:val="1"/>
      <w:numFmt w:val="bullet"/>
      <w:lvlText w:val=""/>
      <w:lvlJc w:val="left"/>
      <w:pPr>
        <w:ind w:left="2160" w:hanging="360"/>
      </w:pPr>
      <w:rPr>
        <w:rFonts w:ascii="Wingdings" w:hAnsi="Wingdings" w:hint="default"/>
      </w:rPr>
    </w:lvl>
    <w:lvl w:ilvl="3" w:tplc="B25AD5FA">
      <w:start w:val="1"/>
      <w:numFmt w:val="bullet"/>
      <w:lvlText w:val=""/>
      <w:lvlJc w:val="left"/>
      <w:pPr>
        <w:ind w:left="2880" w:hanging="360"/>
      </w:pPr>
      <w:rPr>
        <w:rFonts w:ascii="Symbol" w:hAnsi="Symbol" w:hint="default"/>
      </w:rPr>
    </w:lvl>
    <w:lvl w:ilvl="4" w:tplc="7EFACB9E">
      <w:start w:val="1"/>
      <w:numFmt w:val="bullet"/>
      <w:lvlText w:val="o"/>
      <w:lvlJc w:val="left"/>
      <w:pPr>
        <w:ind w:left="3600" w:hanging="360"/>
      </w:pPr>
      <w:rPr>
        <w:rFonts w:ascii="Courier New" w:hAnsi="Courier New" w:hint="default"/>
      </w:rPr>
    </w:lvl>
    <w:lvl w:ilvl="5" w:tplc="0B367590">
      <w:start w:val="1"/>
      <w:numFmt w:val="bullet"/>
      <w:lvlText w:val=""/>
      <w:lvlJc w:val="left"/>
      <w:pPr>
        <w:ind w:left="4320" w:hanging="360"/>
      </w:pPr>
      <w:rPr>
        <w:rFonts w:ascii="Wingdings" w:hAnsi="Wingdings" w:hint="default"/>
      </w:rPr>
    </w:lvl>
    <w:lvl w:ilvl="6" w:tplc="AF6E9A2A">
      <w:start w:val="1"/>
      <w:numFmt w:val="bullet"/>
      <w:lvlText w:val=""/>
      <w:lvlJc w:val="left"/>
      <w:pPr>
        <w:ind w:left="5040" w:hanging="360"/>
      </w:pPr>
      <w:rPr>
        <w:rFonts w:ascii="Symbol" w:hAnsi="Symbol" w:hint="default"/>
      </w:rPr>
    </w:lvl>
    <w:lvl w:ilvl="7" w:tplc="DD545F6A">
      <w:start w:val="1"/>
      <w:numFmt w:val="bullet"/>
      <w:lvlText w:val="o"/>
      <w:lvlJc w:val="left"/>
      <w:pPr>
        <w:ind w:left="5760" w:hanging="360"/>
      </w:pPr>
      <w:rPr>
        <w:rFonts w:ascii="Courier New" w:hAnsi="Courier New" w:hint="default"/>
      </w:rPr>
    </w:lvl>
    <w:lvl w:ilvl="8" w:tplc="F5EAC14E">
      <w:start w:val="1"/>
      <w:numFmt w:val="bullet"/>
      <w:lvlText w:val=""/>
      <w:lvlJc w:val="left"/>
      <w:pPr>
        <w:ind w:left="6480" w:hanging="360"/>
      </w:pPr>
      <w:rPr>
        <w:rFonts w:ascii="Wingdings" w:hAnsi="Wingdings" w:hint="default"/>
      </w:rPr>
    </w:lvl>
  </w:abstractNum>
  <w:abstractNum w:abstractNumId="38" w15:restartNumberingAfterBreak="0">
    <w:nsid w:val="42FE5941"/>
    <w:multiLevelType w:val="multilevel"/>
    <w:tmpl w:val="74C2B842"/>
    <w:lvl w:ilvl="0">
      <w:start w:val="1"/>
      <w:numFmt w:val="decimal"/>
      <w:lvlText w:val="%1."/>
      <w:lvlJc w:val="left"/>
      <w:pPr>
        <w:tabs>
          <w:tab w:val="num" w:pos="1068"/>
        </w:tabs>
        <w:ind w:left="1068" w:hanging="360"/>
      </w:pPr>
    </w:lvl>
    <w:lvl w:ilvl="1">
      <w:numFmt w:val="bullet"/>
      <w:lvlText w:val="-"/>
      <w:lvlJc w:val="left"/>
      <w:pPr>
        <w:ind w:left="1788" w:hanging="360"/>
      </w:pPr>
      <w:rPr>
        <w:rFonts w:ascii="Times New Roman" w:eastAsia="Helvetica" w:hAnsi="Times New Roman" w:cs="Times New Roman" w:hint="default"/>
        <w:sz w:val="22"/>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9" w15:restartNumberingAfterBreak="0">
    <w:nsid w:val="435715AD"/>
    <w:multiLevelType w:val="hybridMultilevel"/>
    <w:tmpl w:val="679C62FE"/>
    <w:lvl w:ilvl="0" w:tplc="15720376">
      <w:start w:val="1"/>
      <w:numFmt w:val="bullet"/>
      <w:lvlText w:val=""/>
      <w:lvlJc w:val="left"/>
      <w:pPr>
        <w:ind w:left="720" w:hanging="360"/>
      </w:pPr>
      <w:rPr>
        <w:rFonts w:ascii="Symbol" w:hAnsi="Symbol" w:hint="default"/>
      </w:rPr>
    </w:lvl>
    <w:lvl w:ilvl="1" w:tplc="441A253A" w:tentative="1">
      <w:start w:val="1"/>
      <w:numFmt w:val="bullet"/>
      <w:lvlText w:val="o"/>
      <w:lvlJc w:val="left"/>
      <w:pPr>
        <w:ind w:left="1440" w:hanging="360"/>
      </w:pPr>
      <w:rPr>
        <w:rFonts w:ascii="Courier New" w:hAnsi="Courier New" w:cs="Courier New" w:hint="default"/>
      </w:rPr>
    </w:lvl>
    <w:lvl w:ilvl="2" w:tplc="AA4EF456" w:tentative="1">
      <w:start w:val="1"/>
      <w:numFmt w:val="bullet"/>
      <w:lvlText w:val=""/>
      <w:lvlJc w:val="left"/>
      <w:pPr>
        <w:ind w:left="2160" w:hanging="360"/>
      </w:pPr>
      <w:rPr>
        <w:rFonts w:ascii="Wingdings" w:hAnsi="Wingdings" w:hint="default"/>
      </w:rPr>
    </w:lvl>
    <w:lvl w:ilvl="3" w:tplc="281CFD0C" w:tentative="1">
      <w:start w:val="1"/>
      <w:numFmt w:val="bullet"/>
      <w:lvlText w:val=""/>
      <w:lvlJc w:val="left"/>
      <w:pPr>
        <w:ind w:left="2880" w:hanging="360"/>
      </w:pPr>
      <w:rPr>
        <w:rFonts w:ascii="Symbol" w:hAnsi="Symbol" w:hint="default"/>
      </w:rPr>
    </w:lvl>
    <w:lvl w:ilvl="4" w:tplc="5E763320" w:tentative="1">
      <w:start w:val="1"/>
      <w:numFmt w:val="bullet"/>
      <w:lvlText w:val="o"/>
      <w:lvlJc w:val="left"/>
      <w:pPr>
        <w:ind w:left="3600" w:hanging="360"/>
      </w:pPr>
      <w:rPr>
        <w:rFonts w:ascii="Courier New" w:hAnsi="Courier New" w:cs="Courier New" w:hint="default"/>
      </w:rPr>
    </w:lvl>
    <w:lvl w:ilvl="5" w:tplc="E38E3DD8" w:tentative="1">
      <w:start w:val="1"/>
      <w:numFmt w:val="bullet"/>
      <w:lvlText w:val=""/>
      <w:lvlJc w:val="left"/>
      <w:pPr>
        <w:ind w:left="4320" w:hanging="360"/>
      </w:pPr>
      <w:rPr>
        <w:rFonts w:ascii="Wingdings" w:hAnsi="Wingdings" w:hint="default"/>
      </w:rPr>
    </w:lvl>
    <w:lvl w:ilvl="6" w:tplc="1760FD64" w:tentative="1">
      <w:start w:val="1"/>
      <w:numFmt w:val="bullet"/>
      <w:lvlText w:val=""/>
      <w:lvlJc w:val="left"/>
      <w:pPr>
        <w:ind w:left="5040" w:hanging="360"/>
      </w:pPr>
      <w:rPr>
        <w:rFonts w:ascii="Symbol" w:hAnsi="Symbol" w:hint="default"/>
      </w:rPr>
    </w:lvl>
    <w:lvl w:ilvl="7" w:tplc="81D44072" w:tentative="1">
      <w:start w:val="1"/>
      <w:numFmt w:val="bullet"/>
      <w:lvlText w:val="o"/>
      <w:lvlJc w:val="left"/>
      <w:pPr>
        <w:ind w:left="5760" w:hanging="360"/>
      </w:pPr>
      <w:rPr>
        <w:rFonts w:ascii="Courier New" w:hAnsi="Courier New" w:cs="Courier New" w:hint="default"/>
      </w:rPr>
    </w:lvl>
    <w:lvl w:ilvl="8" w:tplc="BD0AAFD8" w:tentative="1">
      <w:start w:val="1"/>
      <w:numFmt w:val="bullet"/>
      <w:lvlText w:val=""/>
      <w:lvlJc w:val="left"/>
      <w:pPr>
        <w:ind w:left="6480" w:hanging="360"/>
      </w:pPr>
      <w:rPr>
        <w:rFonts w:ascii="Wingdings" w:hAnsi="Wingdings" w:hint="default"/>
      </w:rPr>
    </w:lvl>
  </w:abstractNum>
  <w:abstractNum w:abstractNumId="40" w15:restartNumberingAfterBreak="0">
    <w:nsid w:val="45D6717E"/>
    <w:multiLevelType w:val="hybridMultilevel"/>
    <w:tmpl w:val="66727C36"/>
    <w:lvl w:ilvl="0" w:tplc="A0623A6E">
      <w:start w:val="2"/>
      <w:numFmt w:val="decimal"/>
      <w:lvlText w:val="%1)"/>
      <w:lvlJc w:val="left"/>
      <w:pPr>
        <w:ind w:left="360" w:hanging="360"/>
      </w:pPr>
      <w:rPr>
        <w:rFonts w:hint="default"/>
      </w:rPr>
    </w:lvl>
    <w:lvl w:ilvl="1" w:tplc="FFFC249E" w:tentative="1">
      <w:start w:val="1"/>
      <w:numFmt w:val="lowerLetter"/>
      <w:lvlText w:val="%2."/>
      <w:lvlJc w:val="left"/>
      <w:pPr>
        <w:ind w:left="1080" w:hanging="360"/>
      </w:pPr>
    </w:lvl>
    <w:lvl w:ilvl="2" w:tplc="47ACF49E" w:tentative="1">
      <w:start w:val="1"/>
      <w:numFmt w:val="lowerRoman"/>
      <w:lvlText w:val="%3."/>
      <w:lvlJc w:val="right"/>
      <w:pPr>
        <w:ind w:left="1800" w:hanging="180"/>
      </w:pPr>
    </w:lvl>
    <w:lvl w:ilvl="3" w:tplc="1C02E922" w:tentative="1">
      <w:start w:val="1"/>
      <w:numFmt w:val="decimal"/>
      <w:lvlText w:val="%4."/>
      <w:lvlJc w:val="left"/>
      <w:pPr>
        <w:ind w:left="2520" w:hanging="360"/>
      </w:pPr>
    </w:lvl>
    <w:lvl w:ilvl="4" w:tplc="4858A8EE" w:tentative="1">
      <w:start w:val="1"/>
      <w:numFmt w:val="lowerLetter"/>
      <w:lvlText w:val="%5."/>
      <w:lvlJc w:val="left"/>
      <w:pPr>
        <w:ind w:left="3240" w:hanging="360"/>
      </w:pPr>
    </w:lvl>
    <w:lvl w:ilvl="5" w:tplc="1FAED16E" w:tentative="1">
      <w:start w:val="1"/>
      <w:numFmt w:val="lowerRoman"/>
      <w:lvlText w:val="%6."/>
      <w:lvlJc w:val="right"/>
      <w:pPr>
        <w:ind w:left="3960" w:hanging="180"/>
      </w:pPr>
    </w:lvl>
    <w:lvl w:ilvl="6" w:tplc="01B86078" w:tentative="1">
      <w:start w:val="1"/>
      <w:numFmt w:val="decimal"/>
      <w:lvlText w:val="%7."/>
      <w:lvlJc w:val="left"/>
      <w:pPr>
        <w:ind w:left="4680" w:hanging="360"/>
      </w:pPr>
    </w:lvl>
    <w:lvl w:ilvl="7" w:tplc="759C5F72" w:tentative="1">
      <w:start w:val="1"/>
      <w:numFmt w:val="lowerLetter"/>
      <w:lvlText w:val="%8."/>
      <w:lvlJc w:val="left"/>
      <w:pPr>
        <w:ind w:left="5400" w:hanging="360"/>
      </w:pPr>
    </w:lvl>
    <w:lvl w:ilvl="8" w:tplc="14D0E408" w:tentative="1">
      <w:start w:val="1"/>
      <w:numFmt w:val="lowerRoman"/>
      <w:lvlText w:val="%9."/>
      <w:lvlJc w:val="right"/>
      <w:pPr>
        <w:ind w:left="6120" w:hanging="180"/>
      </w:pPr>
    </w:lvl>
  </w:abstractNum>
  <w:abstractNum w:abstractNumId="41" w15:restartNumberingAfterBreak="0">
    <w:nsid w:val="45E8CFFF"/>
    <w:multiLevelType w:val="hybridMultilevel"/>
    <w:tmpl w:val="062C346E"/>
    <w:lvl w:ilvl="0" w:tplc="99ACD09C">
      <w:start w:val="1"/>
      <w:numFmt w:val="bullet"/>
      <w:lvlText w:val="·"/>
      <w:lvlJc w:val="left"/>
      <w:pPr>
        <w:ind w:left="720" w:hanging="360"/>
      </w:pPr>
      <w:rPr>
        <w:rFonts w:ascii="Symbol" w:hAnsi="Symbol" w:hint="default"/>
      </w:rPr>
    </w:lvl>
    <w:lvl w:ilvl="1" w:tplc="911E9148">
      <w:start w:val="1"/>
      <w:numFmt w:val="bullet"/>
      <w:lvlText w:val="o"/>
      <w:lvlJc w:val="left"/>
      <w:pPr>
        <w:ind w:left="1440" w:hanging="360"/>
      </w:pPr>
      <w:rPr>
        <w:rFonts w:ascii="Courier New" w:hAnsi="Courier New" w:hint="default"/>
      </w:rPr>
    </w:lvl>
    <w:lvl w:ilvl="2" w:tplc="F44A40DE">
      <w:start w:val="1"/>
      <w:numFmt w:val="bullet"/>
      <w:lvlText w:val=""/>
      <w:lvlJc w:val="left"/>
      <w:pPr>
        <w:ind w:left="2160" w:hanging="360"/>
      </w:pPr>
      <w:rPr>
        <w:rFonts w:ascii="Wingdings" w:hAnsi="Wingdings" w:hint="default"/>
      </w:rPr>
    </w:lvl>
    <w:lvl w:ilvl="3" w:tplc="DC9CD344">
      <w:start w:val="1"/>
      <w:numFmt w:val="bullet"/>
      <w:lvlText w:val=""/>
      <w:lvlJc w:val="left"/>
      <w:pPr>
        <w:ind w:left="2880" w:hanging="360"/>
      </w:pPr>
      <w:rPr>
        <w:rFonts w:ascii="Symbol" w:hAnsi="Symbol" w:hint="default"/>
      </w:rPr>
    </w:lvl>
    <w:lvl w:ilvl="4" w:tplc="747AEF0E">
      <w:start w:val="1"/>
      <w:numFmt w:val="bullet"/>
      <w:lvlText w:val="o"/>
      <w:lvlJc w:val="left"/>
      <w:pPr>
        <w:ind w:left="3600" w:hanging="360"/>
      </w:pPr>
      <w:rPr>
        <w:rFonts w:ascii="Courier New" w:hAnsi="Courier New" w:hint="default"/>
      </w:rPr>
    </w:lvl>
    <w:lvl w:ilvl="5" w:tplc="8A66F5F4">
      <w:start w:val="1"/>
      <w:numFmt w:val="bullet"/>
      <w:lvlText w:val=""/>
      <w:lvlJc w:val="left"/>
      <w:pPr>
        <w:ind w:left="4320" w:hanging="360"/>
      </w:pPr>
      <w:rPr>
        <w:rFonts w:ascii="Wingdings" w:hAnsi="Wingdings" w:hint="default"/>
      </w:rPr>
    </w:lvl>
    <w:lvl w:ilvl="6" w:tplc="59CEC028">
      <w:start w:val="1"/>
      <w:numFmt w:val="bullet"/>
      <w:lvlText w:val=""/>
      <w:lvlJc w:val="left"/>
      <w:pPr>
        <w:ind w:left="5040" w:hanging="360"/>
      </w:pPr>
      <w:rPr>
        <w:rFonts w:ascii="Symbol" w:hAnsi="Symbol" w:hint="default"/>
      </w:rPr>
    </w:lvl>
    <w:lvl w:ilvl="7" w:tplc="35100958">
      <w:start w:val="1"/>
      <w:numFmt w:val="bullet"/>
      <w:lvlText w:val="o"/>
      <w:lvlJc w:val="left"/>
      <w:pPr>
        <w:ind w:left="5760" w:hanging="360"/>
      </w:pPr>
      <w:rPr>
        <w:rFonts w:ascii="Courier New" w:hAnsi="Courier New" w:hint="default"/>
      </w:rPr>
    </w:lvl>
    <w:lvl w:ilvl="8" w:tplc="CDF8402C">
      <w:start w:val="1"/>
      <w:numFmt w:val="bullet"/>
      <w:lvlText w:val=""/>
      <w:lvlJc w:val="left"/>
      <w:pPr>
        <w:ind w:left="6480" w:hanging="360"/>
      </w:pPr>
      <w:rPr>
        <w:rFonts w:ascii="Wingdings" w:hAnsi="Wingdings" w:hint="default"/>
      </w:rPr>
    </w:lvl>
  </w:abstractNum>
  <w:abstractNum w:abstractNumId="42" w15:restartNumberingAfterBreak="0">
    <w:nsid w:val="47EFE5F4"/>
    <w:multiLevelType w:val="hybridMultilevel"/>
    <w:tmpl w:val="321E360E"/>
    <w:lvl w:ilvl="0" w:tplc="517ED842">
      <w:start w:val="1"/>
      <w:numFmt w:val="decimal"/>
      <w:lvlText w:val="%1)"/>
      <w:lvlJc w:val="left"/>
      <w:pPr>
        <w:ind w:left="1068" w:hanging="360"/>
      </w:pPr>
      <w:rPr>
        <w:rFonts w:ascii="Times New Roman,SimSun" w:hAnsi="Times New Roman,SimSun" w:hint="default"/>
      </w:rPr>
    </w:lvl>
    <w:lvl w:ilvl="1" w:tplc="DCA68002">
      <w:start w:val="1"/>
      <w:numFmt w:val="lowerLetter"/>
      <w:lvlText w:val="%2."/>
      <w:lvlJc w:val="left"/>
      <w:pPr>
        <w:ind w:left="1440" w:hanging="360"/>
      </w:pPr>
    </w:lvl>
    <w:lvl w:ilvl="2" w:tplc="5262FC2A">
      <w:start w:val="1"/>
      <w:numFmt w:val="lowerRoman"/>
      <w:lvlText w:val="%3."/>
      <w:lvlJc w:val="right"/>
      <w:pPr>
        <w:ind w:left="2160" w:hanging="180"/>
      </w:pPr>
    </w:lvl>
    <w:lvl w:ilvl="3" w:tplc="86C22B92">
      <w:start w:val="1"/>
      <w:numFmt w:val="decimal"/>
      <w:lvlText w:val="%4."/>
      <w:lvlJc w:val="left"/>
      <w:pPr>
        <w:ind w:left="2880" w:hanging="360"/>
      </w:pPr>
    </w:lvl>
    <w:lvl w:ilvl="4" w:tplc="D71CDEF0">
      <w:start w:val="1"/>
      <w:numFmt w:val="lowerLetter"/>
      <w:lvlText w:val="%5."/>
      <w:lvlJc w:val="left"/>
      <w:pPr>
        <w:ind w:left="3600" w:hanging="360"/>
      </w:pPr>
    </w:lvl>
    <w:lvl w:ilvl="5" w:tplc="314EF81A">
      <w:start w:val="1"/>
      <w:numFmt w:val="lowerRoman"/>
      <w:lvlText w:val="%6."/>
      <w:lvlJc w:val="right"/>
      <w:pPr>
        <w:ind w:left="4320" w:hanging="180"/>
      </w:pPr>
    </w:lvl>
    <w:lvl w:ilvl="6" w:tplc="A21450D8">
      <w:start w:val="1"/>
      <w:numFmt w:val="decimal"/>
      <w:lvlText w:val="%7."/>
      <w:lvlJc w:val="left"/>
      <w:pPr>
        <w:ind w:left="5040" w:hanging="360"/>
      </w:pPr>
    </w:lvl>
    <w:lvl w:ilvl="7" w:tplc="E85CBC36">
      <w:start w:val="1"/>
      <w:numFmt w:val="lowerLetter"/>
      <w:lvlText w:val="%8."/>
      <w:lvlJc w:val="left"/>
      <w:pPr>
        <w:ind w:left="5760" w:hanging="360"/>
      </w:pPr>
    </w:lvl>
    <w:lvl w:ilvl="8" w:tplc="F20C7EFC">
      <w:start w:val="1"/>
      <w:numFmt w:val="lowerRoman"/>
      <w:lvlText w:val="%9."/>
      <w:lvlJc w:val="right"/>
      <w:pPr>
        <w:ind w:left="6480" w:hanging="180"/>
      </w:pPr>
    </w:lvl>
  </w:abstractNum>
  <w:abstractNum w:abstractNumId="43" w15:restartNumberingAfterBreak="0">
    <w:nsid w:val="483C7944"/>
    <w:multiLevelType w:val="hybridMultilevel"/>
    <w:tmpl w:val="949EFCB4"/>
    <w:lvl w:ilvl="0" w:tplc="52EA574E">
      <w:start w:val="1"/>
      <w:numFmt w:val="decimal"/>
      <w:pStyle w:val="Normalnumber"/>
      <w:lvlText w:val="%1."/>
      <w:lvlJc w:val="left"/>
      <w:pPr>
        <w:ind w:left="1530" w:hanging="360"/>
      </w:pPr>
      <w:rPr>
        <w:rFonts w:hint="default"/>
      </w:rPr>
    </w:lvl>
    <w:lvl w:ilvl="1" w:tplc="AFF28992" w:tentative="1">
      <w:start w:val="1"/>
      <w:numFmt w:val="lowerLetter"/>
      <w:lvlText w:val="%2."/>
      <w:lvlJc w:val="left"/>
      <w:pPr>
        <w:ind w:left="3461" w:hanging="360"/>
      </w:pPr>
    </w:lvl>
    <w:lvl w:ilvl="2" w:tplc="390612E0" w:tentative="1">
      <w:start w:val="1"/>
      <w:numFmt w:val="lowerRoman"/>
      <w:lvlText w:val="%3."/>
      <w:lvlJc w:val="right"/>
      <w:pPr>
        <w:ind w:left="4181" w:hanging="180"/>
      </w:pPr>
    </w:lvl>
    <w:lvl w:ilvl="3" w:tplc="8D3A8E68" w:tentative="1">
      <w:start w:val="1"/>
      <w:numFmt w:val="decimal"/>
      <w:lvlText w:val="%4."/>
      <w:lvlJc w:val="left"/>
      <w:pPr>
        <w:ind w:left="4901" w:hanging="360"/>
      </w:pPr>
    </w:lvl>
    <w:lvl w:ilvl="4" w:tplc="D2B6453E" w:tentative="1">
      <w:start w:val="1"/>
      <w:numFmt w:val="lowerLetter"/>
      <w:lvlText w:val="%5."/>
      <w:lvlJc w:val="left"/>
      <w:pPr>
        <w:ind w:left="5621" w:hanging="360"/>
      </w:pPr>
    </w:lvl>
    <w:lvl w:ilvl="5" w:tplc="B2B08F88" w:tentative="1">
      <w:start w:val="1"/>
      <w:numFmt w:val="lowerRoman"/>
      <w:lvlText w:val="%6."/>
      <w:lvlJc w:val="right"/>
      <w:pPr>
        <w:ind w:left="6341" w:hanging="180"/>
      </w:pPr>
    </w:lvl>
    <w:lvl w:ilvl="6" w:tplc="BD528FDE" w:tentative="1">
      <w:start w:val="1"/>
      <w:numFmt w:val="decimal"/>
      <w:lvlText w:val="%7."/>
      <w:lvlJc w:val="left"/>
      <w:pPr>
        <w:ind w:left="7061" w:hanging="360"/>
      </w:pPr>
    </w:lvl>
    <w:lvl w:ilvl="7" w:tplc="DAE40146" w:tentative="1">
      <w:start w:val="1"/>
      <w:numFmt w:val="lowerLetter"/>
      <w:lvlText w:val="%8."/>
      <w:lvlJc w:val="left"/>
      <w:pPr>
        <w:ind w:left="7781" w:hanging="360"/>
      </w:pPr>
    </w:lvl>
    <w:lvl w:ilvl="8" w:tplc="483A4AC8" w:tentative="1">
      <w:start w:val="1"/>
      <w:numFmt w:val="lowerRoman"/>
      <w:lvlText w:val="%9."/>
      <w:lvlJc w:val="right"/>
      <w:pPr>
        <w:ind w:left="8501" w:hanging="180"/>
      </w:pPr>
    </w:lvl>
  </w:abstractNum>
  <w:abstractNum w:abstractNumId="44" w15:restartNumberingAfterBreak="0">
    <w:nsid w:val="4BA223BE"/>
    <w:multiLevelType w:val="hybridMultilevel"/>
    <w:tmpl w:val="FFFFFFFF"/>
    <w:lvl w:ilvl="0" w:tplc="AFE2028A">
      <w:start w:val="1"/>
      <w:numFmt w:val="bullet"/>
      <w:lvlText w:val="·"/>
      <w:lvlJc w:val="left"/>
      <w:pPr>
        <w:ind w:left="720" w:hanging="360"/>
      </w:pPr>
      <w:rPr>
        <w:rFonts w:ascii="Symbol" w:hAnsi="Symbol" w:hint="default"/>
      </w:rPr>
    </w:lvl>
    <w:lvl w:ilvl="1" w:tplc="D5ACB43A">
      <w:start w:val="1"/>
      <w:numFmt w:val="bullet"/>
      <w:lvlText w:val="o"/>
      <w:lvlJc w:val="left"/>
      <w:pPr>
        <w:ind w:left="1440" w:hanging="360"/>
      </w:pPr>
      <w:rPr>
        <w:rFonts w:ascii="Courier New" w:hAnsi="Courier New" w:hint="default"/>
      </w:rPr>
    </w:lvl>
    <w:lvl w:ilvl="2" w:tplc="BE52CB46">
      <w:start w:val="1"/>
      <w:numFmt w:val="bullet"/>
      <w:lvlText w:val=""/>
      <w:lvlJc w:val="left"/>
      <w:pPr>
        <w:ind w:left="2160" w:hanging="360"/>
      </w:pPr>
      <w:rPr>
        <w:rFonts w:ascii="Wingdings" w:hAnsi="Wingdings" w:hint="default"/>
      </w:rPr>
    </w:lvl>
    <w:lvl w:ilvl="3" w:tplc="EDCEBFB6">
      <w:start w:val="1"/>
      <w:numFmt w:val="bullet"/>
      <w:lvlText w:val=""/>
      <w:lvlJc w:val="left"/>
      <w:pPr>
        <w:ind w:left="2880" w:hanging="360"/>
      </w:pPr>
      <w:rPr>
        <w:rFonts w:ascii="Symbol" w:hAnsi="Symbol" w:hint="default"/>
      </w:rPr>
    </w:lvl>
    <w:lvl w:ilvl="4" w:tplc="5A3ADC38">
      <w:start w:val="1"/>
      <w:numFmt w:val="bullet"/>
      <w:lvlText w:val="o"/>
      <w:lvlJc w:val="left"/>
      <w:pPr>
        <w:ind w:left="3600" w:hanging="360"/>
      </w:pPr>
      <w:rPr>
        <w:rFonts w:ascii="Courier New" w:hAnsi="Courier New" w:hint="default"/>
      </w:rPr>
    </w:lvl>
    <w:lvl w:ilvl="5" w:tplc="112C04B4">
      <w:start w:val="1"/>
      <w:numFmt w:val="bullet"/>
      <w:lvlText w:val=""/>
      <w:lvlJc w:val="left"/>
      <w:pPr>
        <w:ind w:left="4320" w:hanging="360"/>
      </w:pPr>
      <w:rPr>
        <w:rFonts w:ascii="Wingdings" w:hAnsi="Wingdings" w:hint="default"/>
      </w:rPr>
    </w:lvl>
    <w:lvl w:ilvl="6" w:tplc="AED6E9CE">
      <w:start w:val="1"/>
      <w:numFmt w:val="bullet"/>
      <w:lvlText w:val=""/>
      <w:lvlJc w:val="left"/>
      <w:pPr>
        <w:ind w:left="5040" w:hanging="360"/>
      </w:pPr>
      <w:rPr>
        <w:rFonts w:ascii="Symbol" w:hAnsi="Symbol" w:hint="default"/>
      </w:rPr>
    </w:lvl>
    <w:lvl w:ilvl="7" w:tplc="266AF87E">
      <w:start w:val="1"/>
      <w:numFmt w:val="bullet"/>
      <w:lvlText w:val="o"/>
      <w:lvlJc w:val="left"/>
      <w:pPr>
        <w:ind w:left="5760" w:hanging="360"/>
      </w:pPr>
      <w:rPr>
        <w:rFonts w:ascii="Courier New" w:hAnsi="Courier New" w:hint="default"/>
      </w:rPr>
    </w:lvl>
    <w:lvl w:ilvl="8" w:tplc="A4283764">
      <w:start w:val="1"/>
      <w:numFmt w:val="bullet"/>
      <w:lvlText w:val=""/>
      <w:lvlJc w:val="left"/>
      <w:pPr>
        <w:ind w:left="6480" w:hanging="360"/>
      </w:pPr>
      <w:rPr>
        <w:rFonts w:ascii="Wingdings" w:hAnsi="Wingdings" w:hint="default"/>
      </w:rPr>
    </w:lvl>
  </w:abstractNum>
  <w:abstractNum w:abstractNumId="45" w15:restartNumberingAfterBreak="0">
    <w:nsid w:val="4E152FB8"/>
    <w:multiLevelType w:val="hybridMultilevel"/>
    <w:tmpl w:val="B3C29B0C"/>
    <w:lvl w:ilvl="0" w:tplc="BFD008EA">
      <w:start w:val="1"/>
      <w:numFmt w:val="bullet"/>
      <w:lvlText w:val=""/>
      <w:lvlJc w:val="left"/>
      <w:pPr>
        <w:ind w:left="720" w:hanging="360"/>
      </w:pPr>
      <w:rPr>
        <w:rFonts w:ascii="Symbol" w:hAnsi="Symbol" w:hint="default"/>
      </w:rPr>
    </w:lvl>
    <w:lvl w:ilvl="1" w:tplc="48E287FE" w:tentative="1">
      <w:start w:val="1"/>
      <w:numFmt w:val="bullet"/>
      <w:lvlText w:val="o"/>
      <w:lvlJc w:val="left"/>
      <w:pPr>
        <w:ind w:left="1440" w:hanging="360"/>
      </w:pPr>
      <w:rPr>
        <w:rFonts w:ascii="Courier New" w:hAnsi="Courier New" w:cs="Courier New" w:hint="default"/>
      </w:rPr>
    </w:lvl>
    <w:lvl w:ilvl="2" w:tplc="88F00702" w:tentative="1">
      <w:start w:val="1"/>
      <w:numFmt w:val="bullet"/>
      <w:lvlText w:val=""/>
      <w:lvlJc w:val="left"/>
      <w:pPr>
        <w:ind w:left="2160" w:hanging="360"/>
      </w:pPr>
      <w:rPr>
        <w:rFonts w:ascii="Wingdings" w:hAnsi="Wingdings" w:hint="default"/>
      </w:rPr>
    </w:lvl>
    <w:lvl w:ilvl="3" w:tplc="2C96FFAC" w:tentative="1">
      <w:start w:val="1"/>
      <w:numFmt w:val="bullet"/>
      <w:lvlText w:val=""/>
      <w:lvlJc w:val="left"/>
      <w:pPr>
        <w:ind w:left="2880" w:hanging="360"/>
      </w:pPr>
      <w:rPr>
        <w:rFonts w:ascii="Symbol" w:hAnsi="Symbol" w:hint="default"/>
      </w:rPr>
    </w:lvl>
    <w:lvl w:ilvl="4" w:tplc="2F74DC82" w:tentative="1">
      <w:start w:val="1"/>
      <w:numFmt w:val="bullet"/>
      <w:lvlText w:val="o"/>
      <w:lvlJc w:val="left"/>
      <w:pPr>
        <w:ind w:left="3600" w:hanging="360"/>
      </w:pPr>
      <w:rPr>
        <w:rFonts w:ascii="Courier New" w:hAnsi="Courier New" w:cs="Courier New" w:hint="default"/>
      </w:rPr>
    </w:lvl>
    <w:lvl w:ilvl="5" w:tplc="0AC0EC78" w:tentative="1">
      <w:start w:val="1"/>
      <w:numFmt w:val="bullet"/>
      <w:lvlText w:val=""/>
      <w:lvlJc w:val="left"/>
      <w:pPr>
        <w:ind w:left="4320" w:hanging="360"/>
      </w:pPr>
      <w:rPr>
        <w:rFonts w:ascii="Wingdings" w:hAnsi="Wingdings" w:hint="default"/>
      </w:rPr>
    </w:lvl>
    <w:lvl w:ilvl="6" w:tplc="482E6076" w:tentative="1">
      <w:start w:val="1"/>
      <w:numFmt w:val="bullet"/>
      <w:lvlText w:val=""/>
      <w:lvlJc w:val="left"/>
      <w:pPr>
        <w:ind w:left="5040" w:hanging="360"/>
      </w:pPr>
      <w:rPr>
        <w:rFonts w:ascii="Symbol" w:hAnsi="Symbol" w:hint="default"/>
      </w:rPr>
    </w:lvl>
    <w:lvl w:ilvl="7" w:tplc="F2820980" w:tentative="1">
      <w:start w:val="1"/>
      <w:numFmt w:val="bullet"/>
      <w:lvlText w:val="o"/>
      <w:lvlJc w:val="left"/>
      <w:pPr>
        <w:ind w:left="5760" w:hanging="360"/>
      </w:pPr>
      <w:rPr>
        <w:rFonts w:ascii="Courier New" w:hAnsi="Courier New" w:cs="Courier New" w:hint="default"/>
      </w:rPr>
    </w:lvl>
    <w:lvl w:ilvl="8" w:tplc="F126FC82" w:tentative="1">
      <w:start w:val="1"/>
      <w:numFmt w:val="bullet"/>
      <w:lvlText w:val=""/>
      <w:lvlJc w:val="left"/>
      <w:pPr>
        <w:ind w:left="6480" w:hanging="360"/>
      </w:pPr>
      <w:rPr>
        <w:rFonts w:ascii="Wingdings" w:hAnsi="Wingdings" w:hint="default"/>
      </w:rPr>
    </w:lvl>
  </w:abstractNum>
  <w:abstractNum w:abstractNumId="46" w15:restartNumberingAfterBreak="0">
    <w:nsid w:val="51501FE8"/>
    <w:multiLevelType w:val="hybridMultilevel"/>
    <w:tmpl w:val="8FAEA1D6"/>
    <w:lvl w:ilvl="0" w:tplc="F3849594">
      <w:start w:val="1"/>
      <w:numFmt w:val="bullet"/>
      <w:lvlText w:val=""/>
      <w:lvlJc w:val="left"/>
      <w:pPr>
        <w:ind w:left="720" w:hanging="360"/>
      </w:pPr>
      <w:rPr>
        <w:rFonts w:ascii="Symbol" w:hAnsi="Symbol" w:hint="default"/>
      </w:rPr>
    </w:lvl>
    <w:lvl w:ilvl="1" w:tplc="CE7E440A" w:tentative="1">
      <w:start w:val="1"/>
      <w:numFmt w:val="bullet"/>
      <w:lvlText w:val="o"/>
      <w:lvlJc w:val="left"/>
      <w:pPr>
        <w:ind w:left="1440" w:hanging="360"/>
      </w:pPr>
      <w:rPr>
        <w:rFonts w:ascii="Courier New" w:hAnsi="Courier New" w:cs="Courier New" w:hint="default"/>
      </w:rPr>
    </w:lvl>
    <w:lvl w:ilvl="2" w:tplc="88023BB8" w:tentative="1">
      <w:start w:val="1"/>
      <w:numFmt w:val="bullet"/>
      <w:lvlText w:val=""/>
      <w:lvlJc w:val="left"/>
      <w:pPr>
        <w:ind w:left="2160" w:hanging="360"/>
      </w:pPr>
      <w:rPr>
        <w:rFonts w:ascii="Wingdings" w:hAnsi="Wingdings" w:hint="default"/>
      </w:rPr>
    </w:lvl>
    <w:lvl w:ilvl="3" w:tplc="762E4FAE" w:tentative="1">
      <w:start w:val="1"/>
      <w:numFmt w:val="bullet"/>
      <w:lvlText w:val=""/>
      <w:lvlJc w:val="left"/>
      <w:pPr>
        <w:ind w:left="2880" w:hanging="360"/>
      </w:pPr>
      <w:rPr>
        <w:rFonts w:ascii="Symbol" w:hAnsi="Symbol" w:hint="default"/>
      </w:rPr>
    </w:lvl>
    <w:lvl w:ilvl="4" w:tplc="1978591C" w:tentative="1">
      <w:start w:val="1"/>
      <w:numFmt w:val="bullet"/>
      <w:lvlText w:val="o"/>
      <w:lvlJc w:val="left"/>
      <w:pPr>
        <w:ind w:left="3600" w:hanging="360"/>
      </w:pPr>
      <w:rPr>
        <w:rFonts w:ascii="Courier New" w:hAnsi="Courier New" w:cs="Courier New" w:hint="default"/>
      </w:rPr>
    </w:lvl>
    <w:lvl w:ilvl="5" w:tplc="E63C534E" w:tentative="1">
      <w:start w:val="1"/>
      <w:numFmt w:val="bullet"/>
      <w:lvlText w:val=""/>
      <w:lvlJc w:val="left"/>
      <w:pPr>
        <w:ind w:left="4320" w:hanging="360"/>
      </w:pPr>
      <w:rPr>
        <w:rFonts w:ascii="Wingdings" w:hAnsi="Wingdings" w:hint="default"/>
      </w:rPr>
    </w:lvl>
    <w:lvl w:ilvl="6" w:tplc="2FD69398" w:tentative="1">
      <w:start w:val="1"/>
      <w:numFmt w:val="bullet"/>
      <w:lvlText w:val=""/>
      <w:lvlJc w:val="left"/>
      <w:pPr>
        <w:ind w:left="5040" w:hanging="360"/>
      </w:pPr>
      <w:rPr>
        <w:rFonts w:ascii="Symbol" w:hAnsi="Symbol" w:hint="default"/>
      </w:rPr>
    </w:lvl>
    <w:lvl w:ilvl="7" w:tplc="A0101CE0" w:tentative="1">
      <w:start w:val="1"/>
      <w:numFmt w:val="bullet"/>
      <w:lvlText w:val="o"/>
      <w:lvlJc w:val="left"/>
      <w:pPr>
        <w:ind w:left="5760" w:hanging="360"/>
      </w:pPr>
      <w:rPr>
        <w:rFonts w:ascii="Courier New" w:hAnsi="Courier New" w:cs="Courier New" w:hint="default"/>
      </w:rPr>
    </w:lvl>
    <w:lvl w:ilvl="8" w:tplc="197C1DE6" w:tentative="1">
      <w:start w:val="1"/>
      <w:numFmt w:val="bullet"/>
      <w:lvlText w:val=""/>
      <w:lvlJc w:val="left"/>
      <w:pPr>
        <w:ind w:left="6480" w:hanging="360"/>
      </w:pPr>
      <w:rPr>
        <w:rFonts w:ascii="Wingdings" w:hAnsi="Wingdings" w:hint="default"/>
      </w:rPr>
    </w:lvl>
  </w:abstractNum>
  <w:abstractNum w:abstractNumId="47" w15:restartNumberingAfterBreak="0">
    <w:nsid w:val="516CFEC9"/>
    <w:multiLevelType w:val="hybridMultilevel"/>
    <w:tmpl w:val="93BC2F98"/>
    <w:lvl w:ilvl="0" w:tplc="17E2A24A">
      <w:start w:val="1"/>
      <w:numFmt w:val="bullet"/>
      <w:lvlText w:val=""/>
      <w:lvlJc w:val="left"/>
      <w:pPr>
        <w:ind w:left="720" w:hanging="360"/>
      </w:pPr>
      <w:rPr>
        <w:rFonts w:ascii="Symbol" w:hAnsi="Symbol" w:hint="default"/>
      </w:rPr>
    </w:lvl>
    <w:lvl w:ilvl="1" w:tplc="92FEB22A">
      <w:start w:val="1"/>
      <w:numFmt w:val="bullet"/>
      <w:lvlText w:val="o"/>
      <w:lvlJc w:val="left"/>
      <w:pPr>
        <w:ind w:left="1440" w:hanging="360"/>
      </w:pPr>
      <w:rPr>
        <w:rFonts w:ascii="Courier New" w:hAnsi="Courier New" w:hint="default"/>
      </w:rPr>
    </w:lvl>
    <w:lvl w:ilvl="2" w:tplc="7A348738">
      <w:start w:val="1"/>
      <w:numFmt w:val="bullet"/>
      <w:lvlText w:val=""/>
      <w:lvlJc w:val="left"/>
      <w:pPr>
        <w:ind w:left="2160" w:hanging="360"/>
      </w:pPr>
      <w:rPr>
        <w:rFonts w:ascii="Wingdings" w:hAnsi="Wingdings" w:hint="default"/>
      </w:rPr>
    </w:lvl>
    <w:lvl w:ilvl="3" w:tplc="EDCC5A8A">
      <w:start w:val="1"/>
      <w:numFmt w:val="bullet"/>
      <w:lvlText w:val=""/>
      <w:lvlJc w:val="left"/>
      <w:pPr>
        <w:ind w:left="2880" w:hanging="360"/>
      </w:pPr>
      <w:rPr>
        <w:rFonts w:ascii="Symbol" w:hAnsi="Symbol" w:hint="default"/>
      </w:rPr>
    </w:lvl>
    <w:lvl w:ilvl="4" w:tplc="B80E6248">
      <w:start w:val="1"/>
      <w:numFmt w:val="bullet"/>
      <w:lvlText w:val="o"/>
      <w:lvlJc w:val="left"/>
      <w:pPr>
        <w:ind w:left="3600" w:hanging="360"/>
      </w:pPr>
      <w:rPr>
        <w:rFonts w:ascii="Courier New" w:hAnsi="Courier New" w:hint="default"/>
      </w:rPr>
    </w:lvl>
    <w:lvl w:ilvl="5" w:tplc="E31C5F6A">
      <w:start w:val="1"/>
      <w:numFmt w:val="bullet"/>
      <w:lvlText w:val=""/>
      <w:lvlJc w:val="left"/>
      <w:pPr>
        <w:ind w:left="4320" w:hanging="360"/>
      </w:pPr>
      <w:rPr>
        <w:rFonts w:ascii="Wingdings" w:hAnsi="Wingdings" w:hint="default"/>
      </w:rPr>
    </w:lvl>
    <w:lvl w:ilvl="6" w:tplc="EDFCA14C">
      <w:start w:val="1"/>
      <w:numFmt w:val="bullet"/>
      <w:lvlText w:val=""/>
      <w:lvlJc w:val="left"/>
      <w:pPr>
        <w:ind w:left="5040" w:hanging="360"/>
      </w:pPr>
      <w:rPr>
        <w:rFonts w:ascii="Symbol" w:hAnsi="Symbol" w:hint="default"/>
      </w:rPr>
    </w:lvl>
    <w:lvl w:ilvl="7" w:tplc="8A7E6E74">
      <w:start w:val="1"/>
      <w:numFmt w:val="bullet"/>
      <w:lvlText w:val="o"/>
      <w:lvlJc w:val="left"/>
      <w:pPr>
        <w:ind w:left="5760" w:hanging="360"/>
      </w:pPr>
      <w:rPr>
        <w:rFonts w:ascii="Courier New" w:hAnsi="Courier New" w:hint="default"/>
      </w:rPr>
    </w:lvl>
    <w:lvl w:ilvl="8" w:tplc="C25CF58E">
      <w:start w:val="1"/>
      <w:numFmt w:val="bullet"/>
      <w:lvlText w:val=""/>
      <w:lvlJc w:val="left"/>
      <w:pPr>
        <w:ind w:left="6480" w:hanging="360"/>
      </w:pPr>
      <w:rPr>
        <w:rFonts w:ascii="Wingdings" w:hAnsi="Wingdings" w:hint="default"/>
      </w:rPr>
    </w:lvl>
  </w:abstractNum>
  <w:abstractNum w:abstractNumId="48" w15:restartNumberingAfterBreak="0">
    <w:nsid w:val="52A66A9D"/>
    <w:multiLevelType w:val="hybridMultilevel"/>
    <w:tmpl w:val="58C4ABAC"/>
    <w:styleLink w:val="Normallist"/>
    <w:lvl w:ilvl="0" w:tplc="DADA630C">
      <w:start w:val="1"/>
      <w:numFmt w:val="lowerLetter"/>
      <w:lvlText w:val="%1)"/>
      <w:lvlJc w:val="left"/>
      <w:pPr>
        <w:ind w:left="1068" w:hanging="360"/>
      </w:pPr>
    </w:lvl>
    <w:lvl w:ilvl="1" w:tplc="2F0C37CA">
      <w:start w:val="1"/>
      <w:numFmt w:val="lowerLetter"/>
      <w:lvlText w:val="%2."/>
      <w:lvlJc w:val="left"/>
      <w:pPr>
        <w:ind w:left="1788" w:hanging="360"/>
      </w:pPr>
    </w:lvl>
    <w:lvl w:ilvl="2" w:tplc="AF26E958">
      <w:start w:val="1"/>
      <w:numFmt w:val="lowerRoman"/>
      <w:lvlText w:val="%3."/>
      <w:lvlJc w:val="right"/>
      <w:pPr>
        <w:ind w:left="2508" w:hanging="180"/>
      </w:pPr>
    </w:lvl>
    <w:lvl w:ilvl="3" w:tplc="90209102" w:tentative="1">
      <w:start w:val="1"/>
      <w:numFmt w:val="decimal"/>
      <w:lvlText w:val="%4."/>
      <w:lvlJc w:val="left"/>
      <w:pPr>
        <w:ind w:left="3228" w:hanging="360"/>
      </w:pPr>
    </w:lvl>
    <w:lvl w:ilvl="4" w:tplc="6A62C654" w:tentative="1">
      <w:start w:val="1"/>
      <w:numFmt w:val="lowerLetter"/>
      <w:lvlText w:val="%5."/>
      <w:lvlJc w:val="left"/>
      <w:pPr>
        <w:ind w:left="3948" w:hanging="360"/>
      </w:pPr>
    </w:lvl>
    <w:lvl w:ilvl="5" w:tplc="1C60E44E" w:tentative="1">
      <w:start w:val="1"/>
      <w:numFmt w:val="lowerRoman"/>
      <w:lvlText w:val="%6."/>
      <w:lvlJc w:val="right"/>
      <w:pPr>
        <w:ind w:left="4668" w:hanging="180"/>
      </w:pPr>
    </w:lvl>
    <w:lvl w:ilvl="6" w:tplc="261ECBD2" w:tentative="1">
      <w:start w:val="1"/>
      <w:numFmt w:val="decimal"/>
      <w:lvlText w:val="%7."/>
      <w:lvlJc w:val="left"/>
      <w:pPr>
        <w:ind w:left="5388" w:hanging="360"/>
      </w:pPr>
    </w:lvl>
    <w:lvl w:ilvl="7" w:tplc="C9F8B40C" w:tentative="1">
      <w:start w:val="1"/>
      <w:numFmt w:val="lowerLetter"/>
      <w:lvlText w:val="%8."/>
      <w:lvlJc w:val="left"/>
      <w:pPr>
        <w:ind w:left="6108" w:hanging="360"/>
      </w:pPr>
    </w:lvl>
    <w:lvl w:ilvl="8" w:tplc="AD004CE0" w:tentative="1">
      <w:start w:val="1"/>
      <w:numFmt w:val="lowerRoman"/>
      <w:lvlText w:val="%9."/>
      <w:lvlJc w:val="right"/>
      <w:pPr>
        <w:ind w:left="6828" w:hanging="180"/>
      </w:pPr>
    </w:lvl>
  </w:abstractNum>
  <w:abstractNum w:abstractNumId="49" w15:restartNumberingAfterBreak="0">
    <w:nsid w:val="52A99962"/>
    <w:multiLevelType w:val="hybridMultilevel"/>
    <w:tmpl w:val="4502DFFA"/>
    <w:lvl w:ilvl="0" w:tplc="D10C427E">
      <w:start w:val="1"/>
      <w:numFmt w:val="bullet"/>
      <w:lvlText w:val="·"/>
      <w:lvlJc w:val="left"/>
      <w:pPr>
        <w:ind w:left="720" w:hanging="360"/>
      </w:pPr>
      <w:rPr>
        <w:rFonts w:ascii="Symbol" w:hAnsi="Symbol" w:hint="default"/>
      </w:rPr>
    </w:lvl>
    <w:lvl w:ilvl="1" w:tplc="604A8AA0">
      <w:start w:val="1"/>
      <w:numFmt w:val="bullet"/>
      <w:lvlText w:val="o"/>
      <w:lvlJc w:val="left"/>
      <w:pPr>
        <w:ind w:left="1440" w:hanging="360"/>
      </w:pPr>
      <w:rPr>
        <w:rFonts w:ascii="Courier New" w:hAnsi="Courier New" w:hint="default"/>
      </w:rPr>
    </w:lvl>
    <w:lvl w:ilvl="2" w:tplc="7DACA738">
      <w:start w:val="1"/>
      <w:numFmt w:val="bullet"/>
      <w:lvlText w:val=""/>
      <w:lvlJc w:val="left"/>
      <w:pPr>
        <w:ind w:left="2160" w:hanging="360"/>
      </w:pPr>
      <w:rPr>
        <w:rFonts w:ascii="Wingdings" w:hAnsi="Wingdings" w:hint="default"/>
      </w:rPr>
    </w:lvl>
    <w:lvl w:ilvl="3" w:tplc="B89E3CCA">
      <w:start w:val="1"/>
      <w:numFmt w:val="bullet"/>
      <w:lvlText w:val=""/>
      <w:lvlJc w:val="left"/>
      <w:pPr>
        <w:ind w:left="2880" w:hanging="360"/>
      </w:pPr>
      <w:rPr>
        <w:rFonts w:ascii="Symbol" w:hAnsi="Symbol" w:hint="default"/>
      </w:rPr>
    </w:lvl>
    <w:lvl w:ilvl="4" w:tplc="6A80262C">
      <w:start w:val="1"/>
      <w:numFmt w:val="bullet"/>
      <w:lvlText w:val="o"/>
      <w:lvlJc w:val="left"/>
      <w:pPr>
        <w:ind w:left="3600" w:hanging="360"/>
      </w:pPr>
      <w:rPr>
        <w:rFonts w:ascii="Courier New" w:hAnsi="Courier New" w:hint="default"/>
      </w:rPr>
    </w:lvl>
    <w:lvl w:ilvl="5" w:tplc="BA8616A4">
      <w:start w:val="1"/>
      <w:numFmt w:val="bullet"/>
      <w:lvlText w:val=""/>
      <w:lvlJc w:val="left"/>
      <w:pPr>
        <w:ind w:left="4320" w:hanging="360"/>
      </w:pPr>
      <w:rPr>
        <w:rFonts w:ascii="Wingdings" w:hAnsi="Wingdings" w:hint="default"/>
      </w:rPr>
    </w:lvl>
    <w:lvl w:ilvl="6" w:tplc="FE06E250">
      <w:start w:val="1"/>
      <w:numFmt w:val="bullet"/>
      <w:lvlText w:val=""/>
      <w:lvlJc w:val="left"/>
      <w:pPr>
        <w:ind w:left="5040" w:hanging="360"/>
      </w:pPr>
      <w:rPr>
        <w:rFonts w:ascii="Symbol" w:hAnsi="Symbol" w:hint="default"/>
      </w:rPr>
    </w:lvl>
    <w:lvl w:ilvl="7" w:tplc="B384743E">
      <w:start w:val="1"/>
      <w:numFmt w:val="bullet"/>
      <w:lvlText w:val="o"/>
      <w:lvlJc w:val="left"/>
      <w:pPr>
        <w:ind w:left="5760" w:hanging="360"/>
      </w:pPr>
      <w:rPr>
        <w:rFonts w:ascii="Courier New" w:hAnsi="Courier New" w:hint="default"/>
      </w:rPr>
    </w:lvl>
    <w:lvl w:ilvl="8" w:tplc="F8CC34E8">
      <w:start w:val="1"/>
      <w:numFmt w:val="bullet"/>
      <w:lvlText w:val=""/>
      <w:lvlJc w:val="left"/>
      <w:pPr>
        <w:ind w:left="6480" w:hanging="360"/>
      </w:pPr>
      <w:rPr>
        <w:rFonts w:ascii="Wingdings" w:hAnsi="Wingdings" w:hint="default"/>
      </w:rPr>
    </w:lvl>
  </w:abstractNum>
  <w:abstractNum w:abstractNumId="50" w15:restartNumberingAfterBreak="0">
    <w:nsid w:val="532F014E"/>
    <w:multiLevelType w:val="hybridMultilevel"/>
    <w:tmpl w:val="0B9005EE"/>
    <w:lvl w:ilvl="0" w:tplc="ADE4A3FC">
      <w:start w:val="1"/>
      <w:numFmt w:val="decimal"/>
      <w:lvlText w:val="%1."/>
      <w:lvlJc w:val="left"/>
      <w:pPr>
        <w:ind w:left="720" w:hanging="360"/>
      </w:pPr>
      <w:rPr>
        <w:rFonts w:hint="default"/>
      </w:rPr>
    </w:lvl>
    <w:lvl w:ilvl="1" w:tplc="63483780">
      <w:start w:val="1"/>
      <w:numFmt w:val="decimal"/>
      <w:lvlText w:val="%2."/>
      <w:lvlJc w:val="left"/>
      <w:pPr>
        <w:ind w:left="1520" w:hanging="440"/>
      </w:pPr>
    </w:lvl>
    <w:lvl w:ilvl="2" w:tplc="7BC22724" w:tentative="1">
      <w:start w:val="1"/>
      <w:numFmt w:val="bullet"/>
      <w:lvlText w:val=""/>
      <w:lvlJc w:val="left"/>
      <w:pPr>
        <w:ind w:left="2160" w:hanging="360"/>
      </w:pPr>
      <w:rPr>
        <w:rFonts w:ascii="Wingdings" w:hAnsi="Wingdings" w:hint="default"/>
      </w:rPr>
    </w:lvl>
    <w:lvl w:ilvl="3" w:tplc="D40A3B80" w:tentative="1">
      <w:start w:val="1"/>
      <w:numFmt w:val="bullet"/>
      <w:lvlText w:val=""/>
      <w:lvlJc w:val="left"/>
      <w:pPr>
        <w:ind w:left="2880" w:hanging="360"/>
      </w:pPr>
      <w:rPr>
        <w:rFonts w:ascii="Symbol" w:hAnsi="Symbol" w:hint="default"/>
      </w:rPr>
    </w:lvl>
    <w:lvl w:ilvl="4" w:tplc="05B2E9C0" w:tentative="1">
      <w:start w:val="1"/>
      <w:numFmt w:val="bullet"/>
      <w:lvlText w:val="o"/>
      <w:lvlJc w:val="left"/>
      <w:pPr>
        <w:ind w:left="3600" w:hanging="360"/>
      </w:pPr>
      <w:rPr>
        <w:rFonts w:ascii="Courier New" w:hAnsi="Courier New" w:cs="Courier New" w:hint="default"/>
      </w:rPr>
    </w:lvl>
    <w:lvl w:ilvl="5" w:tplc="E912E2D6" w:tentative="1">
      <w:start w:val="1"/>
      <w:numFmt w:val="bullet"/>
      <w:lvlText w:val=""/>
      <w:lvlJc w:val="left"/>
      <w:pPr>
        <w:ind w:left="4320" w:hanging="360"/>
      </w:pPr>
      <w:rPr>
        <w:rFonts w:ascii="Wingdings" w:hAnsi="Wingdings" w:hint="default"/>
      </w:rPr>
    </w:lvl>
    <w:lvl w:ilvl="6" w:tplc="B338DF16" w:tentative="1">
      <w:start w:val="1"/>
      <w:numFmt w:val="bullet"/>
      <w:lvlText w:val=""/>
      <w:lvlJc w:val="left"/>
      <w:pPr>
        <w:ind w:left="5040" w:hanging="360"/>
      </w:pPr>
      <w:rPr>
        <w:rFonts w:ascii="Symbol" w:hAnsi="Symbol" w:hint="default"/>
      </w:rPr>
    </w:lvl>
    <w:lvl w:ilvl="7" w:tplc="0C0ECF88" w:tentative="1">
      <w:start w:val="1"/>
      <w:numFmt w:val="bullet"/>
      <w:lvlText w:val="o"/>
      <w:lvlJc w:val="left"/>
      <w:pPr>
        <w:ind w:left="5760" w:hanging="360"/>
      </w:pPr>
      <w:rPr>
        <w:rFonts w:ascii="Courier New" w:hAnsi="Courier New" w:cs="Courier New" w:hint="default"/>
      </w:rPr>
    </w:lvl>
    <w:lvl w:ilvl="8" w:tplc="0BDAF848" w:tentative="1">
      <w:start w:val="1"/>
      <w:numFmt w:val="bullet"/>
      <w:lvlText w:val=""/>
      <w:lvlJc w:val="left"/>
      <w:pPr>
        <w:ind w:left="6480" w:hanging="360"/>
      </w:pPr>
      <w:rPr>
        <w:rFonts w:ascii="Wingdings" w:hAnsi="Wingdings" w:hint="default"/>
      </w:rPr>
    </w:lvl>
  </w:abstractNum>
  <w:abstractNum w:abstractNumId="51" w15:restartNumberingAfterBreak="0">
    <w:nsid w:val="53955965"/>
    <w:multiLevelType w:val="hybridMultilevel"/>
    <w:tmpl w:val="DBC2389E"/>
    <w:lvl w:ilvl="0" w:tplc="BFE435E8">
      <w:start w:val="1"/>
      <w:numFmt w:val="lowerLetter"/>
      <w:lvlText w:val="%1."/>
      <w:lvlJc w:val="left"/>
      <w:pPr>
        <w:ind w:left="720" w:hanging="360"/>
      </w:pPr>
    </w:lvl>
    <w:lvl w:ilvl="1" w:tplc="92044286">
      <w:start w:val="1"/>
      <w:numFmt w:val="lowerLetter"/>
      <w:lvlText w:val="%2."/>
      <w:lvlJc w:val="left"/>
      <w:pPr>
        <w:ind w:left="1440" w:hanging="360"/>
      </w:pPr>
    </w:lvl>
    <w:lvl w:ilvl="2" w:tplc="70143ECC">
      <w:start w:val="1"/>
      <w:numFmt w:val="lowerRoman"/>
      <w:lvlText w:val="%3."/>
      <w:lvlJc w:val="right"/>
      <w:pPr>
        <w:ind w:left="2160" w:hanging="180"/>
      </w:pPr>
    </w:lvl>
    <w:lvl w:ilvl="3" w:tplc="888492C4">
      <w:start w:val="1"/>
      <w:numFmt w:val="decimal"/>
      <w:lvlText w:val="%4."/>
      <w:lvlJc w:val="left"/>
      <w:pPr>
        <w:ind w:left="2880" w:hanging="360"/>
      </w:pPr>
    </w:lvl>
    <w:lvl w:ilvl="4" w:tplc="E2BAB3FE">
      <w:start w:val="1"/>
      <w:numFmt w:val="lowerLetter"/>
      <w:lvlText w:val="%5."/>
      <w:lvlJc w:val="left"/>
      <w:pPr>
        <w:ind w:left="3600" w:hanging="360"/>
      </w:pPr>
    </w:lvl>
    <w:lvl w:ilvl="5" w:tplc="BA6EA234">
      <w:start w:val="1"/>
      <w:numFmt w:val="lowerRoman"/>
      <w:lvlText w:val="%6."/>
      <w:lvlJc w:val="right"/>
      <w:pPr>
        <w:ind w:left="4320" w:hanging="180"/>
      </w:pPr>
    </w:lvl>
    <w:lvl w:ilvl="6" w:tplc="2D92B428">
      <w:start w:val="1"/>
      <w:numFmt w:val="decimal"/>
      <w:lvlText w:val="%7."/>
      <w:lvlJc w:val="left"/>
      <w:pPr>
        <w:ind w:left="5040" w:hanging="360"/>
      </w:pPr>
    </w:lvl>
    <w:lvl w:ilvl="7" w:tplc="D6F076FC">
      <w:start w:val="1"/>
      <w:numFmt w:val="lowerLetter"/>
      <w:lvlText w:val="%8."/>
      <w:lvlJc w:val="left"/>
      <w:pPr>
        <w:ind w:left="5760" w:hanging="360"/>
      </w:pPr>
    </w:lvl>
    <w:lvl w:ilvl="8" w:tplc="1D48A7E0">
      <w:start w:val="1"/>
      <w:numFmt w:val="lowerRoman"/>
      <w:lvlText w:val="%9."/>
      <w:lvlJc w:val="right"/>
      <w:pPr>
        <w:ind w:left="6480" w:hanging="180"/>
      </w:pPr>
    </w:lvl>
  </w:abstractNum>
  <w:abstractNum w:abstractNumId="52" w15:restartNumberingAfterBreak="0">
    <w:nsid w:val="5455F82B"/>
    <w:multiLevelType w:val="hybridMultilevel"/>
    <w:tmpl w:val="BD921190"/>
    <w:lvl w:ilvl="0" w:tplc="ADDA23A2">
      <w:start w:val="1"/>
      <w:numFmt w:val="bullet"/>
      <w:lvlText w:val=""/>
      <w:lvlJc w:val="left"/>
      <w:pPr>
        <w:ind w:left="720" w:hanging="360"/>
      </w:pPr>
      <w:rPr>
        <w:rFonts w:ascii="Symbol" w:hAnsi="Symbol" w:hint="default"/>
      </w:rPr>
    </w:lvl>
    <w:lvl w:ilvl="1" w:tplc="5A26E934">
      <w:start w:val="1"/>
      <w:numFmt w:val="bullet"/>
      <w:lvlText w:val="o"/>
      <w:lvlJc w:val="left"/>
      <w:pPr>
        <w:ind w:left="1440" w:hanging="360"/>
      </w:pPr>
      <w:rPr>
        <w:rFonts w:ascii="Courier New" w:hAnsi="Courier New" w:hint="default"/>
      </w:rPr>
    </w:lvl>
    <w:lvl w:ilvl="2" w:tplc="144C2310">
      <w:start w:val="1"/>
      <w:numFmt w:val="bullet"/>
      <w:lvlText w:val=""/>
      <w:lvlJc w:val="left"/>
      <w:pPr>
        <w:ind w:left="2160" w:hanging="360"/>
      </w:pPr>
      <w:rPr>
        <w:rFonts w:ascii="Wingdings" w:hAnsi="Wingdings" w:hint="default"/>
      </w:rPr>
    </w:lvl>
    <w:lvl w:ilvl="3" w:tplc="775CA494">
      <w:start w:val="1"/>
      <w:numFmt w:val="bullet"/>
      <w:lvlText w:val=""/>
      <w:lvlJc w:val="left"/>
      <w:pPr>
        <w:ind w:left="2880" w:hanging="360"/>
      </w:pPr>
      <w:rPr>
        <w:rFonts w:ascii="Symbol" w:hAnsi="Symbol" w:hint="default"/>
      </w:rPr>
    </w:lvl>
    <w:lvl w:ilvl="4" w:tplc="5E322130">
      <w:start w:val="1"/>
      <w:numFmt w:val="bullet"/>
      <w:lvlText w:val="o"/>
      <w:lvlJc w:val="left"/>
      <w:pPr>
        <w:ind w:left="3600" w:hanging="360"/>
      </w:pPr>
      <w:rPr>
        <w:rFonts w:ascii="Courier New" w:hAnsi="Courier New" w:hint="default"/>
      </w:rPr>
    </w:lvl>
    <w:lvl w:ilvl="5" w:tplc="8F2CFFDA">
      <w:start w:val="1"/>
      <w:numFmt w:val="bullet"/>
      <w:lvlText w:val=""/>
      <w:lvlJc w:val="left"/>
      <w:pPr>
        <w:ind w:left="4320" w:hanging="360"/>
      </w:pPr>
      <w:rPr>
        <w:rFonts w:ascii="Wingdings" w:hAnsi="Wingdings" w:hint="default"/>
      </w:rPr>
    </w:lvl>
    <w:lvl w:ilvl="6" w:tplc="0FE05388">
      <w:start w:val="1"/>
      <w:numFmt w:val="bullet"/>
      <w:lvlText w:val=""/>
      <w:lvlJc w:val="left"/>
      <w:pPr>
        <w:ind w:left="5040" w:hanging="360"/>
      </w:pPr>
      <w:rPr>
        <w:rFonts w:ascii="Symbol" w:hAnsi="Symbol" w:hint="default"/>
      </w:rPr>
    </w:lvl>
    <w:lvl w:ilvl="7" w:tplc="E81E6926">
      <w:start w:val="1"/>
      <w:numFmt w:val="bullet"/>
      <w:lvlText w:val="o"/>
      <w:lvlJc w:val="left"/>
      <w:pPr>
        <w:ind w:left="5760" w:hanging="360"/>
      </w:pPr>
      <w:rPr>
        <w:rFonts w:ascii="Courier New" w:hAnsi="Courier New" w:hint="default"/>
      </w:rPr>
    </w:lvl>
    <w:lvl w:ilvl="8" w:tplc="656E832C">
      <w:start w:val="1"/>
      <w:numFmt w:val="bullet"/>
      <w:lvlText w:val=""/>
      <w:lvlJc w:val="left"/>
      <w:pPr>
        <w:ind w:left="6480" w:hanging="360"/>
      </w:pPr>
      <w:rPr>
        <w:rFonts w:ascii="Wingdings" w:hAnsi="Wingdings" w:hint="default"/>
      </w:rPr>
    </w:lvl>
  </w:abstractNum>
  <w:abstractNum w:abstractNumId="53" w15:restartNumberingAfterBreak="0">
    <w:nsid w:val="54DE1676"/>
    <w:multiLevelType w:val="hybridMultilevel"/>
    <w:tmpl w:val="1806102C"/>
    <w:lvl w:ilvl="0" w:tplc="EF9A869A">
      <w:start w:val="1"/>
      <w:numFmt w:val="decimal"/>
      <w:lvlText w:val="%1)"/>
      <w:lvlJc w:val="left"/>
      <w:pPr>
        <w:ind w:left="360" w:hanging="360"/>
      </w:pPr>
      <w:rPr>
        <w:rFonts w:eastAsia="Times New Roman" w:hint="default"/>
        <w:color w:val="000000"/>
        <w:sz w:val="20"/>
      </w:rPr>
    </w:lvl>
    <w:lvl w:ilvl="1" w:tplc="5670684A" w:tentative="1">
      <w:start w:val="1"/>
      <w:numFmt w:val="lowerLetter"/>
      <w:lvlText w:val="%2."/>
      <w:lvlJc w:val="left"/>
      <w:pPr>
        <w:ind w:left="1080" w:hanging="360"/>
      </w:pPr>
    </w:lvl>
    <w:lvl w:ilvl="2" w:tplc="4786765C" w:tentative="1">
      <w:start w:val="1"/>
      <w:numFmt w:val="lowerRoman"/>
      <w:lvlText w:val="%3."/>
      <w:lvlJc w:val="right"/>
      <w:pPr>
        <w:ind w:left="1800" w:hanging="180"/>
      </w:pPr>
    </w:lvl>
    <w:lvl w:ilvl="3" w:tplc="3B9E81D6" w:tentative="1">
      <w:start w:val="1"/>
      <w:numFmt w:val="decimal"/>
      <w:lvlText w:val="%4."/>
      <w:lvlJc w:val="left"/>
      <w:pPr>
        <w:ind w:left="2520" w:hanging="360"/>
      </w:pPr>
    </w:lvl>
    <w:lvl w:ilvl="4" w:tplc="578062C4" w:tentative="1">
      <w:start w:val="1"/>
      <w:numFmt w:val="lowerLetter"/>
      <w:lvlText w:val="%5."/>
      <w:lvlJc w:val="left"/>
      <w:pPr>
        <w:ind w:left="3240" w:hanging="360"/>
      </w:pPr>
    </w:lvl>
    <w:lvl w:ilvl="5" w:tplc="6B06283A" w:tentative="1">
      <w:start w:val="1"/>
      <w:numFmt w:val="lowerRoman"/>
      <w:lvlText w:val="%6."/>
      <w:lvlJc w:val="right"/>
      <w:pPr>
        <w:ind w:left="3960" w:hanging="180"/>
      </w:pPr>
    </w:lvl>
    <w:lvl w:ilvl="6" w:tplc="9CB42D00" w:tentative="1">
      <w:start w:val="1"/>
      <w:numFmt w:val="decimal"/>
      <w:lvlText w:val="%7."/>
      <w:lvlJc w:val="left"/>
      <w:pPr>
        <w:ind w:left="4680" w:hanging="360"/>
      </w:pPr>
    </w:lvl>
    <w:lvl w:ilvl="7" w:tplc="D654038C" w:tentative="1">
      <w:start w:val="1"/>
      <w:numFmt w:val="lowerLetter"/>
      <w:lvlText w:val="%8."/>
      <w:lvlJc w:val="left"/>
      <w:pPr>
        <w:ind w:left="5400" w:hanging="360"/>
      </w:pPr>
    </w:lvl>
    <w:lvl w:ilvl="8" w:tplc="9426EC92" w:tentative="1">
      <w:start w:val="1"/>
      <w:numFmt w:val="lowerRoman"/>
      <w:lvlText w:val="%9."/>
      <w:lvlJc w:val="right"/>
      <w:pPr>
        <w:ind w:left="6120" w:hanging="180"/>
      </w:pPr>
    </w:lvl>
  </w:abstractNum>
  <w:abstractNum w:abstractNumId="54" w15:restartNumberingAfterBreak="0">
    <w:nsid w:val="55404AB2"/>
    <w:multiLevelType w:val="multilevel"/>
    <w:tmpl w:val="CAFCB8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5CE008B"/>
    <w:multiLevelType w:val="hybridMultilevel"/>
    <w:tmpl w:val="1C344B2A"/>
    <w:lvl w:ilvl="0" w:tplc="EA86D00A">
      <w:start w:val="3"/>
      <w:numFmt w:val="decimal"/>
      <w:lvlText w:val="%1."/>
      <w:lvlJc w:val="left"/>
      <w:pPr>
        <w:ind w:left="720" w:hanging="360"/>
      </w:pPr>
      <w:rPr>
        <w:rFonts w:hint="default"/>
      </w:rPr>
    </w:lvl>
    <w:lvl w:ilvl="1" w:tplc="96F6C82E" w:tentative="1">
      <w:start w:val="1"/>
      <w:numFmt w:val="lowerLetter"/>
      <w:lvlText w:val="%2."/>
      <w:lvlJc w:val="left"/>
      <w:pPr>
        <w:ind w:left="1440" w:hanging="360"/>
      </w:pPr>
    </w:lvl>
    <w:lvl w:ilvl="2" w:tplc="45E6F00A" w:tentative="1">
      <w:start w:val="1"/>
      <w:numFmt w:val="lowerRoman"/>
      <w:lvlText w:val="%3."/>
      <w:lvlJc w:val="right"/>
      <w:pPr>
        <w:ind w:left="2160" w:hanging="180"/>
      </w:pPr>
    </w:lvl>
    <w:lvl w:ilvl="3" w:tplc="47A88F74" w:tentative="1">
      <w:start w:val="1"/>
      <w:numFmt w:val="decimal"/>
      <w:lvlText w:val="%4."/>
      <w:lvlJc w:val="left"/>
      <w:pPr>
        <w:ind w:left="2880" w:hanging="360"/>
      </w:pPr>
    </w:lvl>
    <w:lvl w:ilvl="4" w:tplc="C8805A2C" w:tentative="1">
      <w:start w:val="1"/>
      <w:numFmt w:val="lowerLetter"/>
      <w:lvlText w:val="%5."/>
      <w:lvlJc w:val="left"/>
      <w:pPr>
        <w:ind w:left="3600" w:hanging="360"/>
      </w:pPr>
    </w:lvl>
    <w:lvl w:ilvl="5" w:tplc="A3A67FAE" w:tentative="1">
      <w:start w:val="1"/>
      <w:numFmt w:val="lowerRoman"/>
      <w:lvlText w:val="%6."/>
      <w:lvlJc w:val="right"/>
      <w:pPr>
        <w:ind w:left="4320" w:hanging="180"/>
      </w:pPr>
    </w:lvl>
    <w:lvl w:ilvl="6" w:tplc="9C5A9882" w:tentative="1">
      <w:start w:val="1"/>
      <w:numFmt w:val="decimal"/>
      <w:lvlText w:val="%7."/>
      <w:lvlJc w:val="left"/>
      <w:pPr>
        <w:ind w:left="5040" w:hanging="360"/>
      </w:pPr>
    </w:lvl>
    <w:lvl w:ilvl="7" w:tplc="26448678" w:tentative="1">
      <w:start w:val="1"/>
      <w:numFmt w:val="lowerLetter"/>
      <w:lvlText w:val="%8."/>
      <w:lvlJc w:val="left"/>
      <w:pPr>
        <w:ind w:left="5760" w:hanging="360"/>
      </w:pPr>
    </w:lvl>
    <w:lvl w:ilvl="8" w:tplc="4A1EDB40" w:tentative="1">
      <w:start w:val="1"/>
      <w:numFmt w:val="lowerRoman"/>
      <w:lvlText w:val="%9."/>
      <w:lvlJc w:val="right"/>
      <w:pPr>
        <w:ind w:left="6480" w:hanging="180"/>
      </w:pPr>
    </w:lvl>
  </w:abstractNum>
  <w:abstractNum w:abstractNumId="56" w15:restartNumberingAfterBreak="0">
    <w:nsid w:val="5825DB05"/>
    <w:multiLevelType w:val="hybridMultilevel"/>
    <w:tmpl w:val="FFFFFFFF"/>
    <w:lvl w:ilvl="0" w:tplc="65BA20E2">
      <w:start w:val="1"/>
      <w:numFmt w:val="bullet"/>
      <w:lvlText w:val=""/>
      <w:lvlJc w:val="left"/>
      <w:pPr>
        <w:ind w:left="720" w:hanging="360"/>
      </w:pPr>
      <w:rPr>
        <w:rFonts w:ascii="Symbol" w:hAnsi="Symbol" w:hint="default"/>
      </w:rPr>
    </w:lvl>
    <w:lvl w:ilvl="1" w:tplc="00006CF0">
      <w:start w:val="1"/>
      <w:numFmt w:val="bullet"/>
      <w:lvlText w:val="o"/>
      <w:lvlJc w:val="left"/>
      <w:pPr>
        <w:ind w:left="1440" w:hanging="360"/>
      </w:pPr>
      <w:rPr>
        <w:rFonts w:ascii="Courier New" w:hAnsi="Courier New" w:hint="default"/>
      </w:rPr>
    </w:lvl>
    <w:lvl w:ilvl="2" w:tplc="A490B61E">
      <w:start w:val="1"/>
      <w:numFmt w:val="bullet"/>
      <w:lvlText w:val=""/>
      <w:lvlJc w:val="left"/>
      <w:pPr>
        <w:ind w:left="2160" w:hanging="360"/>
      </w:pPr>
      <w:rPr>
        <w:rFonts w:ascii="Wingdings" w:hAnsi="Wingdings" w:hint="default"/>
      </w:rPr>
    </w:lvl>
    <w:lvl w:ilvl="3" w:tplc="380EDC34">
      <w:start w:val="1"/>
      <w:numFmt w:val="bullet"/>
      <w:lvlText w:val=""/>
      <w:lvlJc w:val="left"/>
      <w:pPr>
        <w:ind w:left="2880" w:hanging="360"/>
      </w:pPr>
      <w:rPr>
        <w:rFonts w:ascii="Symbol" w:hAnsi="Symbol" w:hint="default"/>
      </w:rPr>
    </w:lvl>
    <w:lvl w:ilvl="4" w:tplc="46CED856">
      <w:start w:val="1"/>
      <w:numFmt w:val="bullet"/>
      <w:lvlText w:val="o"/>
      <w:lvlJc w:val="left"/>
      <w:pPr>
        <w:ind w:left="3600" w:hanging="360"/>
      </w:pPr>
      <w:rPr>
        <w:rFonts w:ascii="Courier New" w:hAnsi="Courier New" w:hint="default"/>
      </w:rPr>
    </w:lvl>
    <w:lvl w:ilvl="5" w:tplc="D660A03E">
      <w:start w:val="1"/>
      <w:numFmt w:val="bullet"/>
      <w:lvlText w:val=""/>
      <w:lvlJc w:val="left"/>
      <w:pPr>
        <w:ind w:left="4320" w:hanging="360"/>
      </w:pPr>
      <w:rPr>
        <w:rFonts w:ascii="Wingdings" w:hAnsi="Wingdings" w:hint="default"/>
      </w:rPr>
    </w:lvl>
    <w:lvl w:ilvl="6" w:tplc="0F7C5032">
      <w:start w:val="1"/>
      <w:numFmt w:val="bullet"/>
      <w:lvlText w:val=""/>
      <w:lvlJc w:val="left"/>
      <w:pPr>
        <w:ind w:left="5040" w:hanging="360"/>
      </w:pPr>
      <w:rPr>
        <w:rFonts w:ascii="Symbol" w:hAnsi="Symbol" w:hint="default"/>
      </w:rPr>
    </w:lvl>
    <w:lvl w:ilvl="7" w:tplc="DDD4BFE6">
      <w:start w:val="1"/>
      <w:numFmt w:val="bullet"/>
      <w:lvlText w:val="o"/>
      <w:lvlJc w:val="left"/>
      <w:pPr>
        <w:ind w:left="5760" w:hanging="360"/>
      </w:pPr>
      <w:rPr>
        <w:rFonts w:ascii="Courier New" w:hAnsi="Courier New" w:hint="default"/>
      </w:rPr>
    </w:lvl>
    <w:lvl w:ilvl="8" w:tplc="66B25AD2">
      <w:start w:val="1"/>
      <w:numFmt w:val="bullet"/>
      <w:lvlText w:val=""/>
      <w:lvlJc w:val="left"/>
      <w:pPr>
        <w:ind w:left="6480" w:hanging="360"/>
      </w:pPr>
      <w:rPr>
        <w:rFonts w:ascii="Wingdings" w:hAnsi="Wingdings" w:hint="default"/>
      </w:rPr>
    </w:lvl>
  </w:abstractNum>
  <w:abstractNum w:abstractNumId="57" w15:restartNumberingAfterBreak="0">
    <w:nsid w:val="5C80630A"/>
    <w:multiLevelType w:val="hybridMultilevel"/>
    <w:tmpl w:val="267A68E6"/>
    <w:lvl w:ilvl="0" w:tplc="51A69D50">
      <w:start w:val="1"/>
      <w:numFmt w:val="bullet"/>
      <w:lvlText w:val=""/>
      <w:lvlJc w:val="left"/>
      <w:pPr>
        <w:ind w:left="720" w:hanging="360"/>
      </w:pPr>
      <w:rPr>
        <w:rFonts w:ascii="Symbol" w:hAnsi="Symbol" w:hint="default"/>
      </w:rPr>
    </w:lvl>
    <w:lvl w:ilvl="1" w:tplc="7A00DA48" w:tentative="1">
      <w:start w:val="1"/>
      <w:numFmt w:val="bullet"/>
      <w:lvlText w:val="o"/>
      <w:lvlJc w:val="left"/>
      <w:pPr>
        <w:ind w:left="1440" w:hanging="360"/>
      </w:pPr>
      <w:rPr>
        <w:rFonts w:ascii="Courier New" w:hAnsi="Courier New" w:cs="Courier New" w:hint="default"/>
      </w:rPr>
    </w:lvl>
    <w:lvl w:ilvl="2" w:tplc="9C981A8E" w:tentative="1">
      <w:start w:val="1"/>
      <w:numFmt w:val="bullet"/>
      <w:lvlText w:val=""/>
      <w:lvlJc w:val="left"/>
      <w:pPr>
        <w:ind w:left="2160" w:hanging="360"/>
      </w:pPr>
      <w:rPr>
        <w:rFonts w:ascii="Wingdings" w:hAnsi="Wingdings" w:hint="default"/>
      </w:rPr>
    </w:lvl>
    <w:lvl w:ilvl="3" w:tplc="FCA4B536" w:tentative="1">
      <w:start w:val="1"/>
      <w:numFmt w:val="bullet"/>
      <w:lvlText w:val=""/>
      <w:lvlJc w:val="left"/>
      <w:pPr>
        <w:ind w:left="2880" w:hanging="360"/>
      </w:pPr>
      <w:rPr>
        <w:rFonts w:ascii="Symbol" w:hAnsi="Symbol" w:hint="default"/>
      </w:rPr>
    </w:lvl>
    <w:lvl w:ilvl="4" w:tplc="52E2201A" w:tentative="1">
      <w:start w:val="1"/>
      <w:numFmt w:val="bullet"/>
      <w:lvlText w:val="o"/>
      <w:lvlJc w:val="left"/>
      <w:pPr>
        <w:ind w:left="3600" w:hanging="360"/>
      </w:pPr>
      <w:rPr>
        <w:rFonts w:ascii="Courier New" w:hAnsi="Courier New" w:cs="Courier New" w:hint="default"/>
      </w:rPr>
    </w:lvl>
    <w:lvl w:ilvl="5" w:tplc="E75E95BA" w:tentative="1">
      <w:start w:val="1"/>
      <w:numFmt w:val="bullet"/>
      <w:lvlText w:val=""/>
      <w:lvlJc w:val="left"/>
      <w:pPr>
        <w:ind w:left="4320" w:hanging="360"/>
      </w:pPr>
      <w:rPr>
        <w:rFonts w:ascii="Wingdings" w:hAnsi="Wingdings" w:hint="default"/>
      </w:rPr>
    </w:lvl>
    <w:lvl w:ilvl="6" w:tplc="7A2A0D92" w:tentative="1">
      <w:start w:val="1"/>
      <w:numFmt w:val="bullet"/>
      <w:lvlText w:val=""/>
      <w:lvlJc w:val="left"/>
      <w:pPr>
        <w:ind w:left="5040" w:hanging="360"/>
      </w:pPr>
      <w:rPr>
        <w:rFonts w:ascii="Symbol" w:hAnsi="Symbol" w:hint="default"/>
      </w:rPr>
    </w:lvl>
    <w:lvl w:ilvl="7" w:tplc="F11C4A0C" w:tentative="1">
      <w:start w:val="1"/>
      <w:numFmt w:val="bullet"/>
      <w:lvlText w:val="o"/>
      <w:lvlJc w:val="left"/>
      <w:pPr>
        <w:ind w:left="5760" w:hanging="360"/>
      </w:pPr>
      <w:rPr>
        <w:rFonts w:ascii="Courier New" w:hAnsi="Courier New" w:cs="Courier New" w:hint="default"/>
      </w:rPr>
    </w:lvl>
    <w:lvl w:ilvl="8" w:tplc="1E6C910C" w:tentative="1">
      <w:start w:val="1"/>
      <w:numFmt w:val="bullet"/>
      <w:lvlText w:val=""/>
      <w:lvlJc w:val="left"/>
      <w:pPr>
        <w:ind w:left="6480" w:hanging="360"/>
      </w:pPr>
      <w:rPr>
        <w:rFonts w:ascii="Wingdings" w:hAnsi="Wingdings" w:hint="default"/>
      </w:rPr>
    </w:lvl>
  </w:abstractNum>
  <w:abstractNum w:abstractNumId="58" w15:restartNumberingAfterBreak="0">
    <w:nsid w:val="5DC5218A"/>
    <w:multiLevelType w:val="hybridMultilevel"/>
    <w:tmpl w:val="D53CE196"/>
    <w:lvl w:ilvl="0" w:tplc="491E658C">
      <w:start w:val="1"/>
      <w:numFmt w:val="bullet"/>
      <w:lvlText w:val=""/>
      <w:lvlJc w:val="left"/>
      <w:pPr>
        <w:ind w:left="720" w:hanging="360"/>
      </w:pPr>
      <w:rPr>
        <w:rFonts w:ascii="Symbol" w:hAnsi="Symbol" w:hint="default"/>
      </w:rPr>
    </w:lvl>
    <w:lvl w:ilvl="1" w:tplc="1660E29A" w:tentative="1">
      <w:start w:val="1"/>
      <w:numFmt w:val="bullet"/>
      <w:lvlText w:val="o"/>
      <w:lvlJc w:val="left"/>
      <w:pPr>
        <w:ind w:left="1440" w:hanging="360"/>
      </w:pPr>
      <w:rPr>
        <w:rFonts w:ascii="Courier New" w:hAnsi="Courier New" w:cs="Courier New" w:hint="default"/>
      </w:rPr>
    </w:lvl>
    <w:lvl w:ilvl="2" w:tplc="B734D0F4" w:tentative="1">
      <w:start w:val="1"/>
      <w:numFmt w:val="bullet"/>
      <w:lvlText w:val=""/>
      <w:lvlJc w:val="left"/>
      <w:pPr>
        <w:ind w:left="2160" w:hanging="360"/>
      </w:pPr>
      <w:rPr>
        <w:rFonts w:ascii="Wingdings" w:hAnsi="Wingdings" w:hint="default"/>
      </w:rPr>
    </w:lvl>
    <w:lvl w:ilvl="3" w:tplc="96A4B8EE" w:tentative="1">
      <w:start w:val="1"/>
      <w:numFmt w:val="bullet"/>
      <w:lvlText w:val=""/>
      <w:lvlJc w:val="left"/>
      <w:pPr>
        <w:ind w:left="2880" w:hanging="360"/>
      </w:pPr>
      <w:rPr>
        <w:rFonts w:ascii="Symbol" w:hAnsi="Symbol" w:hint="default"/>
      </w:rPr>
    </w:lvl>
    <w:lvl w:ilvl="4" w:tplc="1A56BC12" w:tentative="1">
      <w:start w:val="1"/>
      <w:numFmt w:val="bullet"/>
      <w:lvlText w:val="o"/>
      <w:lvlJc w:val="left"/>
      <w:pPr>
        <w:ind w:left="3600" w:hanging="360"/>
      </w:pPr>
      <w:rPr>
        <w:rFonts w:ascii="Courier New" w:hAnsi="Courier New" w:cs="Courier New" w:hint="default"/>
      </w:rPr>
    </w:lvl>
    <w:lvl w:ilvl="5" w:tplc="AC56D96A" w:tentative="1">
      <w:start w:val="1"/>
      <w:numFmt w:val="bullet"/>
      <w:lvlText w:val=""/>
      <w:lvlJc w:val="left"/>
      <w:pPr>
        <w:ind w:left="4320" w:hanging="360"/>
      </w:pPr>
      <w:rPr>
        <w:rFonts w:ascii="Wingdings" w:hAnsi="Wingdings" w:hint="default"/>
      </w:rPr>
    </w:lvl>
    <w:lvl w:ilvl="6" w:tplc="72800A26" w:tentative="1">
      <w:start w:val="1"/>
      <w:numFmt w:val="bullet"/>
      <w:lvlText w:val=""/>
      <w:lvlJc w:val="left"/>
      <w:pPr>
        <w:ind w:left="5040" w:hanging="360"/>
      </w:pPr>
      <w:rPr>
        <w:rFonts w:ascii="Symbol" w:hAnsi="Symbol" w:hint="default"/>
      </w:rPr>
    </w:lvl>
    <w:lvl w:ilvl="7" w:tplc="ADCE28EE" w:tentative="1">
      <w:start w:val="1"/>
      <w:numFmt w:val="bullet"/>
      <w:lvlText w:val="o"/>
      <w:lvlJc w:val="left"/>
      <w:pPr>
        <w:ind w:left="5760" w:hanging="360"/>
      </w:pPr>
      <w:rPr>
        <w:rFonts w:ascii="Courier New" w:hAnsi="Courier New" w:cs="Courier New" w:hint="default"/>
      </w:rPr>
    </w:lvl>
    <w:lvl w:ilvl="8" w:tplc="8C064AB6" w:tentative="1">
      <w:start w:val="1"/>
      <w:numFmt w:val="bullet"/>
      <w:lvlText w:val=""/>
      <w:lvlJc w:val="left"/>
      <w:pPr>
        <w:ind w:left="6480" w:hanging="360"/>
      </w:pPr>
      <w:rPr>
        <w:rFonts w:ascii="Wingdings" w:hAnsi="Wingdings" w:hint="default"/>
      </w:rPr>
    </w:lvl>
  </w:abstractNum>
  <w:abstractNum w:abstractNumId="59" w15:restartNumberingAfterBreak="0">
    <w:nsid w:val="61107A65"/>
    <w:multiLevelType w:val="hybridMultilevel"/>
    <w:tmpl w:val="7E76073E"/>
    <w:lvl w:ilvl="0" w:tplc="F5B6133E">
      <w:start w:val="1"/>
      <w:numFmt w:val="bullet"/>
      <w:lvlText w:val=""/>
      <w:lvlJc w:val="left"/>
      <w:pPr>
        <w:ind w:left="720" w:hanging="360"/>
      </w:pPr>
      <w:rPr>
        <w:rFonts w:ascii="Symbol" w:hAnsi="Symbol" w:hint="default"/>
      </w:rPr>
    </w:lvl>
    <w:lvl w:ilvl="1" w:tplc="A6DCD470" w:tentative="1">
      <w:start w:val="1"/>
      <w:numFmt w:val="bullet"/>
      <w:lvlText w:val="o"/>
      <w:lvlJc w:val="left"/>
      <w:pPr>
        <w:ind w:left="1440" w:hanging="360"/>
      </w:pPr>
      <w:rPr>
        <w:rFonts w:ascii="Courier New" w:hAnsi="Courier New" w:cs="Courier New" w:hint="default"/>
      </w:rPr>
    </w:lvl>
    <w:lvl w:ilvl="2" w:tplc="5C6048C2" w:tentative="1">
      <w:start w:val="1"/>
      <w:numFmt w:val="bullet"/>
      <w:lvlText w:val=""/>
      <w:lvlJc w:val="left"/>
      <w:pPr>
        <w:ind w:left="2160" w:hanging="360"/>
      </w:pPr>
      <w:rPr>
        <w:rFonts w:ascii="Wingdings" w:hAnsi="Wingdings" w:hint="default"/>
      </w:rPr>
    </w:lvl>
    <w:lvl w:ilvl="3" w:tplc="9E9660D0" w:tentative="1">
      <w:start w:val="1"/>
      <w:numFmt w:val="bullet"/>
      <w:lvlText w:val=""/>
      <w:lvlJc w:val="left"/>
      <w:pPr>
        <w:ind w:left="2880" w:hanging="360"/>
      </w:pPr>
      <w:rPr>
        <w:rFonts w:ascii="Symbol" w:hAnsi="Symbol" w:hint="default"/>
      </w:rPr>
    </w:lvl>
    <w:lvl w:ilvl="4" w:tplc="7F8EF824" w:tentative="1">
      <w:start w:val="1"/>
      <w:numFmt w:val="bullet"/>
      <w:lvlText w:val="o"/>
      <w:lvlJc w:val="left"/>
      <w:pPr>
        <w:ind w:left="3600" w:hanging="360"/>
      </w:pPr>
      <w:rPr>
        <w:rFonts w:ascii="Courier New" w:hAnsi="Courier New" w:cs="Courier New" w:hint="default"/>
      </w:rPr>
    </w:lvl>
    <w:lvl w:ilvl="5" w:tplc="17BA7ED0" w:tentative="1">
      <w:start w:val="1"/>
      <w:numFmt w:val="bullet"/>
      <w:lvlText w:val=""/>
      <w:lvlJc w:val="left"/>
      <w:pPr>
        <w:ind w:left="4320" w:hanging="360"/>
      </w:pPr>
      <w:rPr>
        <w:rFonts w:ascii="Wingdings" w:hAnsi="Wingdings" w:hint="default"/>
      </w:rPr>
    </w:lvl>
    <w:lvl w:ilvl="6" w:tplc="999A3ECE" w:tentative="1">
      <w:start w:val="1"/>
      <w:numFmt w:val="bullet"/>
      <w:lvlText w:val=""/>
      <w:lvlJc w:val="left"/>
      <w:pPr>
        <w:ind w:left="5040" w:hanging="360"/>
      </w:pPr>
      <w:rPr>
        <w:rFonts w:ascii="Symbol" w:hAnsi="Symbol" w:hint="default"/>
      </w:rPr>
    </w:lvl>
    <w:lvl w:ilvl="7" w:tplc="BB008DF6" w:tentative="1">
      <w:start w:val="1"/>
      <w:numFmt w:val="bullet"/>
      <w:lvlText w:val="o"/>
      <w:lvlJc w:val="left"/>
      <w:pPr>
        <w:ind w:left="5760" w:hanging="360"/>
      </w:pPr>
      <w:rPr>
        <w:rFonts w:ascii="Courier New" w:hAnsi="Courier New" w:cs="Courier New" w:hint="default"/>
      </w:rPr>
    </w:lvl>
    <w:lvl w:ilvl="8" w:tplc="B76A1206" w:tentative="1">
      <w:start w:val="1"/>
      <w:numFmt w:val="bullet"/>
      <w:lvlText w:val=""/>
      <w:lvlJc w:val="left"/>
      <w:pPr>
        <w:ind w:left="6480" w:hanging="360"/>
      </w:pPr>
      <w:rPr>
        <w:rFonts w:ascii="Wingdings" w:hAnsi="Wingdings" w:hint="default"/>
      </w:rPr>
    </w:lvl>
  </w:abstractNum>
  <w:abstractNum w:abstractNumId="60" w15:restartNumberingAfterBreak="0">
    <w:nsid w:val="61FFC925"/>
    <w:multiLevelType w:val="hybridMultilevel"/>
    <w:tmpl w:val="72E2E78C"/>
    <w:lvl w:ilvl="0" w:tplc="72CC99F2">
      <w:start w:val="1"/>
      <w:numFmt w:val="bullet"/>
      <w:lvlText w:val="·"/>
      <w:lvlJc w:val="left"/>
      <w:pPr>
        <w:ind w:left="708" w:hanging="360"/>
      </w:pPr>
      <w:rPr>
        <w:rFonts w:ascii="Symbol" w:hAnsi="Symbol" w:hint="default"/>
      </w:rPr>
    </w:lvl>
    <w:lvl w:ilvl="1" w:tplc="681447AA">
      <w:start w:val="1"/>
      <w:numFmt w:val="bullet"/>
      <w:lvlText w:val="o"/>
      <w:lvlJc w:val="left"/>
      <w:pPr>
        <w:ind w:left="1428" w:hanging="360"/>
      </w:pPr>
      <w:rPr>
        <w:rFonts w:ascii="Courier New" w:hAnsi="Courier New" w:hint="default"/>
      </w:rPr>
    </w:lvl>
    <w:lvl w:ilvl="2" w:tplc="BBAC2A10">
      <w:start w:val="1"/>
      <w:numFmt w:val="bullet"/>
      <w:lvlText w:val=""/>
      <w:lvlJc w:val="left"/>
      <w:pPr>
        <w:ind w:left="2148" w:hanging="360"/>
      </w:pPr>
      <w:rPr>
        <w:rFonts w:ascii="Wingdings" w:hAnsi="Wingdings" w:hint="default"/>
      </w:rPr>
    </w:lvl>
    <w:lvl w:ilvl="3" w:tplc="F8C687E0">
      <w:start w:val="1"/>
      <w:numFmt w:val="bullet"/>
      <w:lvlText w:val=""/>
      <w:lvlJc w:val="left"/>
      <w:pPr>
        <w:ind w:left="2868" w:hanging="360"/>
      </w:pPr>
      <w:rPr>
        <w:rFonts w:ascii="Symbol" w:hAnsi="Symbol" w:hint="default"/>
      </w:rPr>
    </w:lvl>
    <w:lvl w:ilvl="4" w:tplc="2E8AD372">
      <w:start w:val="1"/>
      <w:numFmt w:val="bullet"/>
      <w:lvlText w:val="o"/>
      <w:lvlJc w:val="left"/>
      <w:pPr>
        <w:ind w:left="3588" w:hanging="360"/>
      </w:pPr>
      <w:rPr>
        <w:rFonts w:ascii="Courier New" w:hAnsi="Courier New" w:hint="default"/>
      </w:rPr>
    </w:lvl>
    <w:lvl w:ilvl="5" w:tplc="74B26DFE">
      <w:start w:val="1"/>
      <w:numFmt w:val="bullet"/>
      <w:lvlText w:val=""/>
      <w:lvlJc w:val="left"/>
      <w:pPr>
        <w:ind w:left="4308" w:hanging="360"/>
      </w:pPr>
      <w:rPr>
        <w:rFonts w:ascii="Wingdings" w:hAnsi="Wingdings" w:hint="default"/>
      </w:rPr>
    </w:lvl>
    <w:lvl w:ilvl="6" w:tplc="41A0030C">
      <w:start w:val="1"/>
      <w:numFmt w:val="bullet"/>
      <w:lvlText w:val=""/>
      <w:lvlJc w:val="left"/>
      <w:pPr>
        <w:ind w:left="5028" w:hanging="360"/>
      </w:pPr>
      <w:rPr>
        <w:rFonts w:ascii="Symbol" w:hAnsi="Symbol" w:hint="default"/>
      </w:rPr>
    </w:lvl>
    <w:lvl w:ilvl="7" w:tplc="2F54FB8C">
      <w:start w:val="1"/>
      <w:numFmt w:val="bullet"/>
      <w:lvlText w:val="o"/>
      <w:lvlJc w:val="left"/>
      <w:pPr>
        <w:ind w:left="5748" w:hanging="360"/>
      </w:pPr>
      <w:rPr>
        <w:rFonts w:ascii="Courier New" w:hAnsi="Courier New" w:hint="default"/>
      </w:rPr>
    </w:lvl>
    <w:lvl w:ilvl="8" w:tplc="E058495C">
      <w:start w:val="1"/>
      <w:numFmt w:val="bullet"/>
      <w:lvlText w:val=""/>
      <w:lvlJc w:val="left"/>
      <w:pPr>
        <w:ind w:left="6468" w:hanging="360"/>
      </w:pPr>
      <w:rPr>
        <w:rFonts w:ascii="Wingdings" w:hAnsi="Wingdings" w:hint="default"/>
      </w:rPr>
    </w:lvl>
  </w:abstractNum>
  <w:abstractNum w:abstractNumId="61" w15:restartNumberingAfterBreak="0">
    <w:nsid w:val="668C7F96"/>
    <w:multiLevelType w:val="hybridMultilevel"/>
    <w:tmpl w:val="8EF609AC"/>
    <w:lvl w:ilvl="0" w:tplc="AF6E908E">
      <w:start w:val="1"/>
      <w:numFmt w:val="bullet"/>
      <w:lvlText w:val=""/>
      <w:lvlJc w:val="left"/>
      <w:pPr>
        <w:ind w:left="720" w:hanging="360"/>
      </w:pPr>
      <w:rPr>
        <w:rFonts w:ascii="Symbol" w:hAnsi="Symbol" w:hint="default"/>
      </w:rPr>
    </w:lvl>
    <w:lvl w:ilvl="1" w:tplc="3D54207A">
      <w:start w:val="1"/>
      <w:numFmt w:val="bullet"/>
      <w:lvlText w:val="o"/>
      <w:lvlJc w:val="left"/>
      <w:pPr>
        <w:ind w:left="1440" w:hanging="360"/>
      </w:pPr>
      <w:rPr>
        <w:rFonts w:ascii="Courier New" w:hAnsi="Courier New" w:hint="default"/>
      </w:rPr>
    </w:lvl>
    <w:lvl w:ilvl="2" w:tplc="48AAF2E0">
      <w:start w:val="1"/>
      <w:numFmt w:val="bullet"/>
      <w:lvlText w:val=""/>
      <w:lvlJc w:val="left"/>
      <w:pPr>
        <w:ind w:left="2160" w:hanging="360"/>
      </w:pPr>
      <w:rPr>
        <w:rFonts w:ascii="Wingdings" w:hAnsi="Wingdings" w:hint="default"/>
      </w:rPr>
    </w:lvl>
    <w:lvl w:ilvl="3" w:tplc="31DAD35C">
      <w:start w:val="1"/>
      <w:numFmt w:val="bullet"/>
      <w:lvlText w:val=""/>
      <w:lvlJc w:val="left"/>
      <w:pPr>
        <w:ind w:left="2880" w:hanging="360"/>
      </w:pPr>
      <w:rPr>
        <w:rFonts w:ascii="Symbol" w:hAnsi="Symbol" w:hint="default"/>
      </w:rPr>
    </w:lvl>
    <w:lvl w:ilvl="4" w:tplc="FAD44770">
      <w:start w:val="1"/>
      <w:numFmt w:val="bullet"/>
      <w:lvlText w:val="o"/>
      <w:lvlJc w:val="left"/>
      <w:pPr>
        <w:ind w:left="3600" w:hanging="360"/>
      </w:pPr>
      <w:rPr>
        <w:rFonts w:ascii="Courier New" w:hAnsi="Courier New" w:hint="default"/>
      </w:rPr>
    </w:lvl>
    <w:lvl w:ilvl="5" w:tplc="2B466698">
      <w:start w:val="1"/>
      <w:numFmt w:val="bullet"/>
      <w:lvlText w:val=""/>
      <w:lvlJc w:val="left"/>
      <w:pPr>
        <w:ind w:left="4320" w:hanging="360"/>
      </w:pPr>
      <w:rPr>
        <w:rFonts w:ascii="Wingdings" w:hAnsi="Wingdings" w:hint="default"/>
      </w:rPr>
    </w:lvl>
    <w:lvl w:ilvl="6" w:tplc="2D3A5C7C">
      <w:start w:val="1"/>
      <w:numFmt w:val="bullet"/>
      <w:lvlText w:val=""/>
      <w:lvlJc w:val="left"/>
      <w:pPr>
        <w:ind w:left="5040" w:hanging="360"/>
      </w:pPr>
      <w:rPr>
        <w:rFonts w:ascii="Symbol" w:hAnsi="Symbol" w:hint="default"/>
      </w:rPr>
    </w:lvl>
    <w:lvl w:ilvl="7" w:tplc="8FD8E65A">
      <w:start w:val="1"/>
      <w:numFmt w:val="bullet"/>
      <w:lvlText w:val="o"/>
      <w:lvlJc w:val="left"/>
      <w:pPr>
        <w:ind w:left="5760" w:hanging="360"/>
      </w:pPr>
      <w:rPr>
        <w:rFonts w:ascii="Courier New" w:hAnsi="Courier New" w:hint="default"/>
      </w:rPr>
    </w:lvl>
    <w:lvl w:ilvl="8" w:tplc="8DF4710C">
      <w:start w:val="1"/>
      <w:numFmt w:val="bullet"/>
      <w:lvlText w:val=""/>
      <w:lvlJc w:val="left"/>
      <w:pPr>
        <w:ind w:left="6480" w:hanging="360"/>
      </w:pPr>
      <w:rPr>
        <w:rFonts w:ascii="Wingdings" w:hAnsi="Wingdings" w:hint="default"/>
      </w:rPr>
    </w:lvl>
  </w:abstractNum>
  <w:abstractNum w:abstractNumId="62" w15:restartNumberingAfterBreak="0">
    <w:nsid w:val="66BA444D"/>
    <w:multiLevelType w:val="hybridMultilevel"/>
    <w:tmpl w:val="0B9005EE"/>
    <w:lvl w:ilvl="0" w:tplc="89C6F272">
      <w:start w:val="1"/>
      <w:numFmt w:val="decimal"/>
      <w:lvlText w:val="%1."/>
      <w:lvlJc w:val="left"/>
      <w:pPr>
        <w:ind w:left="720" w:hanging="360"/>
      </w:pPr>
      <w:rPr>
        <w:rFonts w:hint="default"/>
      </w:rPr>
    </w:lvl>
    <w:lvl w:ilvl="1" w:tplc="884665D0">
      <w:start w:val="1"/>
      <w:numFmt w:val="decimal"/>
      <w:lvlText w:val="%2."/>
      <w:lvlJc w:val="left"/>
      <w:pPr>
        <w:ind w:left="1520" w:hanging="440"/>
      </w:pPr>
    </w:lvl>
    <w:lvl w:ilvl="2" w:tplc="7A1CE256" w:tentative="1">
      <w:start w:val="1"/>
      <w:numFmt w:val="bullet"/>
      <w:lvlText w:val=""/>
      <w:lvlJc w:val="left"/>
      <w:pPr>
        <w:ind w:left="2160" w:hanging="360"/>
      </w:pPr>
      <w:rPr>
        <w:rFonts w:ascii="Wingdings" w:hAnsi="Wingdings" w:hint="default"/>
      </w:rPr>
    </w:lvl>
    <w:lvl w:ilvl="3" w:tplc="A13E4950" w:tentative="1">
      <w:start w:val="1"/>
      <w:numFmt w:val="bullet"/>
      <w:lvlText w:val=""/>
      <w:lvlJc w:val="left"/>
      <w:pPr>
        <w:ind w:left="2880" w:hanging="360"/>
      </w:pPr>
      <w:rPr>
        <w:rFonts w:ascii="Symbol" w:hAnsi="Symbol" w:hint="default"/>
      </w:rPr>
    </w:lvl>
    <w:lvl w:ilvl="4" w:tplc="EE8E62AA" w:tentative="1">
      <w:start w:val="1"/>
      <w:numFmt w:val="bullet"/>
      <w:lvlText w:val="o"/>
      <w:lvlJc w:val="left"/>
      <w:pPr>
        <w:ind w:left="3600" w:hanging="360"/>
      </w:pPr>
      <w:rPr>
        <w:rFonts w:ascii="Courier New" w:hAnsi="Courier New" w:cs="Courier New" w:hint="default"/>
      </w:rPr>
    </w:lvl>
    <w:lvl w:ilvl="5" w:tplc="8BFCA79A" w:tentative="1">
      <w:start w:val="1"/>
      <w:numFmt w:val="bullet"/>
      <w:lvlText w:val=""/>
      <w:lvlJc w:val="left"/>
      <w:pPr>
        <w:ind w:left="4320" w:hanging="360"/>
      </w:pPr>
      <w:rPr>
        <w:rFonts w:ascii="Wingdings" w:hAnsi="Wingdings" w:hint="default"/>
      </w:rPr>
    </w:lvl>
    <w:lvl w:ilvl="6" w:tplc="66C065C4" w:tentative="1">
      <w:start w:val="1"/>
      <w:numFmt w:val="bullet"/>
      <w:lvlText w:val=""/>
      <w:lvlJc w:val="left"/>
      <w:pPr>
        <w:ind w:left="5040" w:hanging="360"/>
      </w:pPr>
      <w:rPr>
        <w:rFonts w:ascii="Symbol" w:hAnsi="Symbol" w:hint="default"/>
      </w:rPr>
    </w:lvl>
    <w:lvl w:ilvl="7" w:tplc="8C10B7DE" w:tentative="1">
      <w:start w:val="1"/>
      <w:numFmt w:val="bullet"/>
      <w:lvlText w:val="o"/>
      <w:lvlJc w:val="left"/>
      <w:pPr>
        <w:ind w:left="5760" w:hanging="360"/>
      </w:pPr>
      <w:rPr>
        <w:rFonts w:ascii="Courier New" w:hAnsi="Courier New" w:cs="Courier New" w:hint="default"/>
      </w:rPr>
    </w:lvl>
    <w:lvl w:ilvl="8" w:tplc="436275C2" w:tentative="1">
      <w:start w:val="1"/>
      <w:numFmt w:val="bullet"/>
      <w:lvlText w:val=""/>
      <w:lvlJc w:val="left"/>
      <w:pPr>
        <w:ind w:left="6480" w:hanging="360"/>
      </w:pPr>
      <w:rPr>
        <w:rFonts w:ascii="Wingdings" w:hAnsi="Wingdings" w:hint="default"/>
      </w:rPr>
    </w:lvl>
  </w:abstractNum>
  <w:abstractNum w:abstractNumId="63" w15:restartNumberingAfterBreak="0">
    <w:nsid w:val="6A2846C2"/>
    <w:multiLevelType w:val="hybridMultilevel"/>
    <w:tmpl w:val="642A1C14"/>
    <w:lvl w:ilvl="0" w:tplc="0164D8C2">
      <w:start w:val="1"/>
      <w:numFmt w:val="lowerLetter"/>
      <w:lvlText w:val="%1)"/>
      <w:lvlJc w:val="left"/>
      <w:pPr>
        <w:ind w:left="720" w:hanging="360"/>
      </w:pPr>
    </w:lvl>
    <w:lvl w:ilvl="1" w:tplc="1FFE94D6" w:tentative="1">
      <w:start w:val="1"/>
      <w:numFmt w:val="lowerLetter"/>
      <w:lvlText w:val="%2."/>
      <w:lvlJc w:val="left"/>
      <w:pPr>
        <w:ind w:left="1440" w:hanging="360"/>
      </w:pPr>
    </w:lvl>
    <w:lvl w:ilvl="2" w:tplc="4AB8CAA6" w:tentative="1">
      <w:start w:val="1"/>
      <w:numFmt w:val="lowerRoman"/>
      <w:lvlText w:val="%3."/>
      <w:lvlJc w:val="right"/>
      <w:pPr>
        <w:ind w:left="2160" w:hanging="180"/>
      </w:pPr>
    </w:lvl>
    <w:lvl w:ilvl="3" w:tplc="C262A1A6" w:tentative="1">
      <w:start w:val="1"/>
      <w:numFmt w:val="decimal"/>
      <w:lvlText w:val="%4."/>
      <w:lvlJc w:val="left"/>
      <w:pPr>
        <w:ind w:left="2880" w:hanging="360"/>
      </w:pPr>
    </w:lvl>
    <w:lvl w:ilvl="4" w:tplc="F77E1E6E" w:tentative="1">
      <w:start w:val="1"/>
      <w:numFmt w:val="lowerLetter"/>
      <w:lvlText w:val="%5."/>
      <w:lvlJc w:val="left"/>
      <w:pPr>
        <w:ind w:left="3600" w:hanging="360"/>
      </w:pPr>
    </w:lvl>
    <w:lvl w:ilvl="5" w:tplc="C3308E7E" w:tentative="1">
      <w:start w:val="1"/>
      <w:numFmt w:val="lowerRoman"/>
      <w:lvlText w:val="%6."/>
      <w:lvlJc w:val="right"/>
      <w:pPr>
        <w:ind w:left="4320" w:hanging="180"/>
      </w:pPr>
    </w:lvl>
    <w:lvl w:ilvl="6" w:tplc="1326D862" w:tentative="1">
      <w:start w:val="1"/>
      <w:numFmt w:val="decimal"/>
      <w:lvlText w:val="%7."/>
      <w:lvlJc w:val="left"/>
      <w:pPr>
        <w:ind w:left="5040" w:hanging="360"/>
      </w:pPr>
    </w:lvl>
    <w:lvl w:ilvl="7" w:tplc="AFF619EE" w:tentative="1">
      <w:start w:val="1"/>
      <w:numFmt w:val="lowerLetter"/>
      <w:lvlText w:val="%8."/>
      <w:lvlJc w:val="left"/>
      <w:pPr>
        <w:ind w:left="5760" w:hanging="360"/>
      </w:pPr>
    </w:lvl>
    <w:lvl w:ilvl="8" w:tplc="1CC620E6" w:tentative="1">
      <w:start w:val="1"/>
      <w:numFmt w:val="lowerRoman"/>
      <w:lvlText w:val="%9."/>
      <w:lvlJc w:val="right"/>
      <w:pPr>
        <w:ind w:left="6480" w:hanging="180"/>
      </w:pPr>
    </w:lvl>
  </w:abstractNum>
  <w:abstractNum w:abstractNumId="64" w15:restartNumberingAfterBreak="0">
    <w:nsid w:val="6D8F61F3"/>
    <w:multiLevelType w:val="multilevel"/>
    <w:tmpl w:val="EF54EB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03459BA"/>
    <w:multiLevelType w:val="multilevel"/>
    <w:tmpl w:val="8BEA087A"/>
    <w:styleLink w:val="CurrentList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6" w15:restartNumberingAfterBreak="0">
    <w:nsid w:val="70A069C2"/>
    <w:multiLevelType w:val="hybridMultilevel"/>
    <w:tmpl w:val="F626902A"/>
    <w:lvl w:ilvl="0" w:tplc="798EAEAA">
      <w:start w:val="3"/>
      <w:numFmt w:val="lowerLetter"/>
      <w:lvlText w:val="%1)"/>
      <w:lvlJc w:val="left"/>
      <w:pPr>
        <w:ind w:left="1068" w:hanging="360"/>
      </w:pPr>
      <w:rPr>
        <w:rFonts w:hint="default"/>
      </w:rPr>
    </w:lvl>
    <w:lvl w:ilvl="1" w:tplc="3ED28C44" w:tentative="1">
      <w:start w:val="1"/>
      <w:numFmt w:val="lowerLetter"/>
      <w:lvlText w:val="%2."/>
      <w:lvlJc w:val="left"/>
      <w:pPr>
        <w:ind w:left="1788" w:hanging="360"/>
      </w:pPr>
    </w:lvl>
    <w:lvl w:ilvl="2" w:tplc="AA8C4244" w:tentative="1">
      <w:start w:val="1"/>
      <w:numFmt w:val="lowerRoman"/>
      <w:lvlText w:val="%3."/>
      <w:lvlJc w:val="right"/>
      <w:pPr>
        <w:ind w:left="2508" w:hanging="180"/>
      </w:pPr>
    </w:lvl>
    <w:lvl w:ilvl="3" w:tplc="976CA480" w:tentative="1">
      <w:start w:val="1"/>
      <w:numFmt w:val="decimal"/>
      <w:lvlText w:val="%4."/>
      <w:lvlJc w:val="left"/>
      <w:pPr>
        <w:ind w:left="3228" w:hanging="360"/>
      </w:pPr>
    </w:lvl>
    <w:lvl w:ilvl="4" w:tplc="4940A3DE" w:tentative="1">
      <w:start w:val="1"/>
      <w:numFmt w:val="lowerLetter"/>
      <w:lvlText w:val="%5."/>
      <w:lvlJc w:val="left"/>
      <w:pPr>
        <w:ind w:left="3948" w:hanging="360"/>
      </w:pPr>
    </w:lvl>
    <w:lvl w:ilvl="5" w:tplc="0E262432" w:tentative="1">
      <w:start w:val="1"/>
      <w:numFmt w:val="lowerRoman"/>
      <w:lvlText w:val="%6."/>
      <w:lvlJc w:val="right"/>
      <w:pPr>
        <w:ind w:left="4668" w:hanging="180"/>
      </w:pPr>
    </w:lvl>
    <w:lvl w:ilvl="6" w:tplc="1746338A" w:tentative="1">
      <w:start w:val="1"/>
      <w:numFmt w:val="decimal"/>
      <w:lvlText w:val="%7."/>
      <w:lvlJc w:val="left"/>
      <w:pPr>
        <w:ind w:left="5388" w:hanging="360"/>
      </w:pPr>
    </w:lvl>
    <w:lvl w:ilvl="7" w:tplc="C494E96C" w:tentative="1">
      <w:start w:val="1"/>
      <w:numFmt w:val="lowerLetter"/>
      <w:lvlText w:val="%8."/>
      <w:lvlJc w:val="left"/>
      <w:pPr>
        <w:ind w:left="6108" w:hanging="360"/>
      </w:pPr>
    </w:lvl>
    <w:lvl w:ilvl="8" w:tplc="775440D6" w:tentative="1">
      <w:start w:val="1"/>
      <w:numFmt w:val="lowerRoman"/>
      <w:lvlText w:val="%9."/>
      <w:lvlJc w:val="right"/>
      <w:pPr>
        <w:ind w:left="6828" w:hanging="180"/>
      </w:pPr>
    </w:lvl>
  </w:abstractNum>
  <w:abstractNum w:abstractNumId="67" w15:restartNumberingAfterBreak="0">
    <w:nsid w:val="71F51965"/>
    <w:multiLevelType w:val="hybridMultilevel"/>
    <w:tmpl w:val="E8465180"/>
    <w:lvl w:ilvl="0" w:tplc="01BA7F66">
      <w:start w:val="1"/>
      <w:numFmt w:val="bullet"/>
      <w:lvlText w:val=""/>
      <w:lvlJc w:val="left"/>
      <w:pPr>
        <w:ind w:left="720" w:hanging="360"/>
      </w:pPr>
      <w:rPr>
        <w:rFonts w:ascii="Symbol" w:hAnsi="Symbol" w:hint="default"/>
      </w:rPr>
    </w:lvl>
    <w:lvl w:ilvl="1" w:tplc="D946D372" w:tentative="1">
      <w:start w:val="1"/>
      <w:numFmt w:val="bullet"/>
      <w:lvlText w:val="o"/>
      <w:lvlJc w:val="left"/>
      <w:pPr>
        <w:ind w:left="1440" w:hanging="360"/>
      </w:pPr>
      <w:rPr>
        <w:rFonts w:ascii="Courier New" w:hAnsi="Courier New" w:cs="Courier New" w:hint="default"/>
      </w:rPr>
    </w:lvl>
    <w:lvl w:ilvl="2" w:tplc="3B6E366E" w:tentative="1">
      <w:start w:val="1"/>
      <w:numFmt w:val="bullet"/>
      <w:lvlText w:val=""/>
      <w:lvlJc w:val="left"/>
      <w:pPr>
        <w:ind w:left="2160" w:hanging="360"/>
      </w:pPr>
      <w:rPr>
        <w:rFonts w:ascii="Wingdings" w:hAnsi="Wingdings" w:hint="default"/>
      </w:rPr>
    </w:lvl>
    <w:lvl w:ilvl="3" w:tplc="701EAB8A" w:tentative="1">
      <w:start w:val="1"/>
      <w:numFmt w:val="bullet"/>
      <w:lvlText w:val=""/>
      <w:lvlJc w:val="left"/>
      <w:pPr>
        <w:ind w:left="2880" w:hanging="360"/>
      </w:pPr>
      <w:rPr>
        <w:rFonts w:ascii="Symbol" w:hAnsi="Symbol" w:hint="default"/>
      </w:rPr>
    </w:lvl>
    <w:lvl w:ilvl="4" w:tplc="51443174" w:tentative="1">
      <w:start w:val="1"/>
      <w:numFmt w:val="bullet"/>
      <w:lvlText w:val="o"/>
      <w:lvlJc w:val="left"/>
      <w:pPr>
        <w:ind w:left="3600" w:hanging="360"/>
      </w:pPr>
      <w:rPr>
        <w:rFonts w:ascii="Courier New" w:hAnsi="Courier New" w:cs="Courier New" w:hint="default"/>
      </w:rPr>
    </w:lvl>
    <w:lvl w:ilvl="5" w:tplc="9FEC9CCA" w:tentative="1">
      <w:start w:val="1"/>
      <w:numFmt w:val="bullet"/>
      <w:lvlText w:val=""/>
      <w:lvlJc w:val="left"/>
      <w:pPr>
        <w:ind w:left="4320" w:hanging="360"/>
      </w:pPr>
      <w:rPr>
        <w:rFonts w:ascii="Wingdings" w:hAnsi="Wingdings" w:hint="default"/>
      </w:rPr>
    </w:lvl>
    <w:lvl w:ilvl="6" w:tplc="8E28F9E4" w:tentative="1">
      <w:start w:val="1"/>
      <w:numFmt w:val="bullet"/>
      <w:lvlText w:val=""/>
      <w:lvlJc w:val="left"/>
      <w:pPr>
        <w:ind w:left="5040" w:hanging="360"/>
      </w:pPr>
      <w:rPr>
        <w:rFonts w:ascii="Symbol" w:hAnsi="Symbol" w:hint="default"/>
      </w:rPr>
    </w:lvl>
    <w:lvl w:ilvl="7" w:tplc="4A7AB288" w:tentative="1">
      <w:start w:val="1"/>
      <w:numFmt w:val="bullet"/>
      <w:lvlText w:val="o"/>
      <w:lvlJc w:val="left"/>
      <w:pPr>
        <w:ind w:left="5760" w:hanging="360"/>
      </w:pPr>
      <w:rPr>
        <w:rFonts w:ascii="Courier New" w:hAnsi="Courier New" w:cs="Courier New" w:hint="default"/>
      </w:rPr>
    </w:lvl>
    <w:lvl w:ilvl="8" w:tplc="97447942" w:tentative="1">
      <w:start w:val="1"/>
      <w:numFmt w:val="bullet"/>
      <w:lvlText w:val=""/>
      <w:lvlJc w:val="left"/>
      <w:pPr>
        <w:ind w:left="6480" w:hanging="360"/>
      </w:pPr>
      <w:rPr>
        <w:rFonts w:ascii="Wingdings" w:hAnsi="Wingdings" w:hint="default"/>
      </w:rPr>
    </w:lvl>
  </w:abstractNum>
  <w:abstractNum w:abstractNumId="68" w15:restartNumberingAfterBreak="0">
    <w:nsid w:val="74681525"/>
    <w:multiLevelType w:val="hybridMultilevel"/>
    <w:tmpl w:val="A030F5F2"/>
    <w:lvl w:ilvl="0" w:tplc="83FCB85E">
      <w:start w:val="1"/>
      <w:numFmt w:val="bullet"/>
      <w:lvlText w:val=""/>
      <w:lvlJc w:val="left"/>
      <w:pPr>
        <w:ind w:left="720" w:hanging="360"/>
      </w:pPr>
      <w:rPr>
        <w:rFonts w:ascii="Symbol" w:hAnsi="Symbol" w:hint="default"/>
      </w:rPr>
    </w:lvl>
    <w:lvl w:ilvl="1" w:tplc="7C8ECFF8" w:tentative="1">
      <w:start w:val="1"/>
      <w:numFmt w:val="bullet"/>
      <w:lvlText w:val="o"/>
      <w:lvlJc w:val="left"/>
      <w:pPr>
        <w:ind w:left="1440" w:hanging="360"/>
      </w:pPr>
      <w:rPr>
        <w:rFonts w:ascii="Courier New" w:hAnsi="Courier New" w:cs="Courier New" w:hint="default"/>
      </w:rPr>
    </w:lvl>
    <w:lvl w:ilvl="2" w:tplc="DE8099AA" w:tentative="1">
      <w:start w:val="1"/>
      <w:numFmt w:val="bullet"/>
      <w:lvlText w:val=""/>
      <w:lvlJc w:val="left"/>
      <w:pPr>
        <w:ind w:left="2160" w:hanging="360"/>
      </w:pPr>
      <w:rPr>
        <w:rFonts w:ascii="Wingdings" w:hAnsi="Wingdings" w:hint="default"/>
      </w:rPr>
    </w:lvl>
    <w:lvl w:ilvl="3" w:tplc="9D22A06A" w:tentative="1">
      <w:start w:val="1"/>
      <w:numFmt w:val="bullet"/>
      <w:lvlText w:val=""/>
      <w:lvlJc w:val="left"/>
      <w:pPr>
        <w:ind w:left="2880" w:hanging="360"/>
      </w:pPr>
      <w:rPr>
        <w:rFonts w:ascii="Symbol" w:hAnsi="Symbol" w:hint="default"/>
      </w:rPr>
    </w:lvl>
    <w:lvl w:ilvl="4" w:tplc="94B20E06" w:tentative="1">
      <w:start w:val="1"/>
      <w:numFmt w:val="bullet"/>
      <w:lvlText w:val="o"/>
      <w:lvlJc w:val="left"/>
      <w:pPr>
        <w:ind w:left="3600" w:hanging="360"/>
      </w:pPr>
      <w:rPr>
        <w:rFonts w:ascii="Courier New" w:hAnsi="Courier New" w:cs="Courier New" w:hint="default"/>
      </w:rPr>
    </w:lvl>
    <w:lvl w:ilvl="5" w:tplc="7DB4E9E2" w:tentative="1">
      <w:start w:val="1"/>
      <w:numFmt w:val="bullet"/>
      <w:lvlText w:val=""/>
      <w:lvlJc w:val="left"/>
      <w:pPr>
        <w:ind w:left="4320" w:hanging="360"/>
      </w:pPr>
      <w:rPr>
        <w:rFonts w:ascii="Wingdings" w:hAnsi="Wingdings" w:hint="default"/>
      </w:rPr>
    </w:lvl>
    <w:lvl w:ilvl="6" w:tplc="413AAB32" w:tentative="1">
      <w:start w:val="1"/>
      <w:numFmt w:val="bullet"/>
      <w:lvlText w:val=""/>
      <w:lvlJc w:val="left"/>
      <w:pPr>
        <w:ind w:left="5040" w:hanging="360"/>
      </w:pPr>
      <w:rPr>
        <w:rFonts w:ascii="Symbol" w:hAnsi="Symbol" w:hint="default"/>
      </w:rPr>
    </w:lvl>
    <w:lvl w:ilvl="7" w:tplc="1AACA134" w:tentative="1">
      <w:start w:val="1"/>
      <w:numFmt w:val="bullet"/>
      <w:lvlText w:val="o"/>
      <w:lvlJc w:val="left"/>
      <w:pPr>
        <w:ind w:left="5760" w:hanging="360"/>
      </w:pPr>
      <w:rPr>
        <w:rFonts w:ascii="Courier New" w:hAnsi="Courier New" w:cs="Courier New" w:hint="default"/>
      </w:rPr>
    </w:lvl>
    <w:lvl w:ilvl="8" w:tplc="F1362B10" w:tentative="1">
      <w:start w:val="1"/>
      <w:numFmt w:val="bullet"/>
      <w:lvlText w:val=""/>
      <w:lvlJc w:val="left"/>
      <w:pPr>
        <w:ind w:left="6480" w:hanging="360"/>
      </w:pPr>
      <w:rPr>
        <w:rFonts w:ascii="Wingdings" w:hAnsi="Wingdings" w:hint="default"/>
      </w:rPr>
    </w:lvl>
  </w:abstractNum>
  <w:abstractNum w:abstractNumId="69" w15:restartNumberingAfterBreak="0">
    <w:nsid w:val="753014F1"/>
    <w:multiLevelType w:val="hybridMultilevel"/>
    <w:tmpl w:val="32962E50"/>
    <w:lvl w:ilvl="0" w:tplc="4AE46E26">
      <w:start w:val="1"/>
      <w:numFmt w:val="bullet"/>
      <w:lvlText w:val=""/>
      <w:lvlJc w:val="left"/>
      <w:pPr>
        <w:ind w:left="720" w:hanging="360"/>
      </w:pPr>
      <w:rPr>
        <w:rFonts w:ascii="Symbol" w:hAnsi="Symbol" w:hint="default"/>
      </w:rPr>
    </w:lvl>
    <w:lvl w:ilvl="1" w:tplc="49B40966">
      <w:start w:val="1"/>
      <w:numFmt w:val="bullet"/>
      <w:lvlText w:val="o"/>
      <w:lvlJc w:val="left"/>
      <w:pPr>
        <w:ind w:left="1440" w:hanging="360"/>
      </w:pPr>
      <w:rPr>
        <w:rFonts w:ascii="Courier New" w:hAnsi="Courier New" w:hint="default"/>
      </w:rPr>
    </w:lvl>
    <w:lvl w:ilvl="2" w:tplc="F782C992">
      <w:start w:val="1"/>
      <w:numFmt w:val="bullet"/>
      <w:lvlText w:val=""/>
      <w:lvlJc w:val="left"/>
      <w:pPr>
        <w:ind w:left="2160" w:hanging="360"/>
      </w:pPr>
      <w:rPr>
        <w:rFonts w:ascii="Wingdings" w:hAnsi="Wingdings" w:hint="default"/>
      </w:rPr>
    </w:lvl>
    <w:lvl w:ilvl="3" w:tplc="92E6F600">
      <w:start w:val="1"/>
      <w:numFmt w:val="bullet"/>
      <w:lvlText w:val=""/>
      <w:lvlJc w:val="left"/>
      <w:pPr>
        <w:ind w:left="2880" w:hanging="360"/>
      </w:pPr>
      <w:rPr>
        <w:rFonts w:ascii="Symbol" w:hAnsi="Symbol" w:hint="default"/>
      </w:rPr>
    </w:lvl>
    <w:lvl w:ilvl="4" w:tplc="2272F95E">
      <w:start w:val="1"/>
      <w:numFmt w:val="bullet"/>
      <w:lvlText w:val="o"/>
      <w:lvlJc w:val="left"/>
      <w:pPr>
        <w:ind w:left="3600" w:hanging="360"/>
      </w:pPr>
      <w:rPr>
        <w:rFonts w:ascii="Courier New" w:hAnsi="Courier New" w:hint="default"/>
      </w:rPr>
    </w:lvl>
    <w:lvl w:ilvl="5" w:tplc="28361DC0">
      <w:start w:val="1"/>
      <w:numFmt w:val="bullet"/>
      <w:lvlText w:val=""/>
      <w:lvlJc w:val="left"/>
      <w:pPr>
        <w:ind w:left="4320" w:hanging="360"/>
      </w:pPr>
      <w:rPr>
        <w:rFonts w:ascii="Wingdings" w:hAnsi="Wingdings" w:hint="default"/>
      </w:rPr>
    </w:lvl>
    <w:lvl w:ilvl="6" w:tplc="A94C7AB0">
      <w:start w:val="1"/>
      <w:numFmt w:val="bullet"/>
      <w:lvlText w:val=""/>
      <w:lvlJc w:val="left"/>
      <w:pPr>
        <w:ind w:left="5040" w:hanging="360"/>
      </w:pPr>
      <w:rPr>
        <w:rFonts w:ascii="Symbol" w:hAnsi="Symbol" w:hint="default"/>
      </w:rPr>
    </w:lvl>
    <w:lvl w:ilvl="7" w:tplc="429E2AA4">
      <w:start w:val="1"/>
      <w:numFmt w:val="bullet"/>
      <w:lvlText w:val="o"/>
      <w:lvlJc w:val="left"/>
      <w:pPr>
        <w:ind w:left="5760" w:hanging="360"/>
      </w:pPr>
      <w:rPr>
        <w:rFonts w:ascii="Courier New" w:hAnsi="Courier New" w:hint="default"/>
      </w:rPr>
    </w:lvl>
    <w:lvl w:ilvl="8" w:tplc="36DAD894">
      <w:start w:val="1"/>
      <w:numFmt w:val="bullet"/>
      <w:lvlText w:val=""/>
      <w:lvlJc w:val="left"/>
      <w:pPr>
        <w:ind w:left="6480" w:hanging="360"/>
      </w:pPr>
      <w:rPr>
        <w:rFonts w:ascii="Wingdings" w:hAnsi="Wingdings" w:hint="default"/>
      </w:rPr>
    </w:lvl>
  </w:abstractNum>
  <w:abstractNum w:abstractNumId="70" w15:restartNumberingAfterBreak="0">
    <w:nsid w:val="78867442"/>
    <w:multiLevelType w:val="hybridMultilevel"/>
    <w:tmpl w:val="A04E769C"/>
    <w:lvl w:ilvl="0" w:tplc="07CC65A8">
      <w:start w:val="1"/>
      <w:numFmt w:val="bullet"/>
      <w:lvlText w:val=""/>
      <w:lvlJc w:val="left"/>
      <w:pPr>
        <w:ind w:left="775" w:hanging="360"/>
      </w:pPr>
      <w:rPr>
        <w:rFonts w:ascii="Symbol" w:hAnsi="Symbol" w:hint="default"/>
      </w:rPr>
    </w:lvl>
    <w:lvl w:ilvl="1" w:tplc="78C24254" w:tentative="1">
      <w:start w:val="1"/>
      <w:numFmt w:val="bullet"/>
      <w:lvlText w:val="o"/>
      <w:lvlJc w:val="left"/>
      <w:pPr>
        <w:ind w:left="1495" w:hanging="360"/>
      </w:pPr>
      <w:rPr>
        <w:rFonts w:ascii="Courier New" w:hAnsi="Courier New" w:cs="Courier New" w:hint="default"/>
      </w:rPr>
    </w:lvl>
    <w:lvl w:ilvl="2" w:tplc="24262A5A" w:tentative="1">
      <w:start w:val="1"/>
      <w:numFmt w:val="bullet"/>
      <w:lvlText w:val=""/>
      <w:lvlJc w:val="left"/>
      <w:pPr>
        <w:ind w:left="2215" w:hanging="360"/>
      </w:pPr>
      <w:rPr>
        <w:rFonts w:ascii="Wingdings" w:hAnsi="Wingdings" w:hint="default"/>
      </w:rPr>
    </w:lvl>
    <w:lvl w:ilvl="3" w:tplc="0DE440C2" w:tentative="1">
      <w:start w:val="1"/>
      <w:numFmt w:val="bullet"/>
      <w:lvlText w:val=""/>
      <w:lvlJc w:val="left"/>
      <w:pPr>
        <w:ind w:left="2935" w:hanging="360"/>
      </w:pPr>
      <w:rPr>
        <w:rFonts w:ascii="Symbol" w:hAnsi="Symbol" w:hint="default"/>
      </w:rPr>
    </w:lvl>
    <w:lvl w:ilvl="4" w:tplc="D2CA11F2" w:tentative="1">
      <w:start w:val="1"/>
      <w:numFmt w:val="bullet"/>
      <w:lvlText w:val="o"/>
      <w:lvlJc w:val="left"/>
      <w:pPr>
        <w:ind w:left="3655" w:hanging="360"/>
      </w:pPr>
      <w:rPr>
        <w:rFonts w:ascii="Courier New" w:hAnsi="Courier New" w:cs="Courier New" w:hint="default"/>
      </w:rPr>
    </w:lvl>
    <w:lvl w:ilvl="5" w:tplc="D04EDF5E" w:tentative="1">
      <w:start w:val="1"/>
      <w:numFmt w:val="bullet"/>
      <w:lvlText w:val=""/>
      <w:lvlJc w:val="left"/>
      <w:pPr>
        <w:ind w:left="4375" w:hanging="360"/>
      </w:pPr>
      <w:rPr>
        <w:rFonts w:ascii="Wingdings" w:hAnsi="Wingdings" w:hint="default"/>
      </w:rPr>
    </w:lvl>
    <w:lvl w:ilvl="6" w:tplc="9B5C8C7A" w:tentative="1">
      <w:start w:val="1"/>
      <w:numFmt w:val="bullet"/>
      <w:lvlText w:val=""/>
      <w:lvlJc w:val="left"/>
      <w:pPr>
        <w:ind w:left="5095" w:hanging="360"/>
      </w:pPr>
      <w:rPr>
        <w:rFonts w:ascii="Symbol" w:hAnsi="Symbol" w:hint="default"/>
      </w:rPr>
    </w:lvl>
    <w:lvl w:ilvl="7" w:tplc="A3209F18" w:tentative="1">
      <w:start w:val="1"/>
      <w:numFmt w:val="bullet"/>
      <w:lvlText w:val="o"/>
      <w:lvlJc w:val="left"/>
      <w:pPr>
        <w:ind w:left="5815" w:hanging="360"/>
      </w:pPr>
      <w:rPr>
        <w:rFonts w:ascii="Courier New" w:hAnsi="Courier New" w:cs="Courier New" w:hint="default"/>
      </w:rPr>
    </w:lvl>
    <w:lvl w:ilvl="8" w:tplc="F746FD84" w:tentative="1">
      <w:start w:val="1"/>
      <w:numFmt w:val="bullet"/>
      <w:lvlText w:val=""/>
      <w:lvlJc w:val="left"/>
      <w:pPr>
        <w:ind w:left="6535" w:hanging="360"/>
      </w:pPr>
      <w:rPr>
        <w:rFonts w:ascii="Wingdings" w:hAnsi="Wingdings" w:hint="default"/>
      </w:rPr>
    </w:lvl>
  </w:abstractNum>
  <w:abstractNum w:abstractNumId="71" w15:restartNumberingAfterBreak="0">
    <w:nsid w:val="79D523C4"/>
    <w:multiLevelType w:val="multilevel"/>
    <w:tmpl w:val="9BE2DC72"/>
    <w:lvl w:ilvl="0">
      <w:start w:val="1"/>
      <w:numFmt w:val="decimal"/>
      <w:pStyle w:val="ToDoList"/>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2" w15:restartNumberingAfterBreak="0">
    <w:nsid w:val="7CD00534"/>
    <w:multiLevelType w:val="hybridMultilevel"/>
    <w:tmpl w:val="B5308046"/>
    <w:lvl w:ilvl="0" w:tplc="ED28BF90">
      <w:start w:val="1"/>
      <w:numFmt w:val="bullet"/>
      <w:lvlText w:val=""/>
      <w:lvlJc w:val="left"/>
      <w:pPr>
        <w:ind w:left="720" w:hanging="360"/>
      </w:pPr>
      <w:rPr>
        <w:rFonts w:ascii="Symbol" w:hAnsi="Symbol" w:hint="default"/>
      </w:rPr>
    </w:lvl>
    <w:lvl w:ilvl="1" w:tplc="8FA0938A" w:tentative="1">
      <w:start w:val="1"/>
      <w:numFmt w:val="bullet"/>
      <w:lvlText w:val="o"/>
      <w:lvlJc w:val="left"/>
      <w:pPr>
        <w:ind w:left="1440" w:hanging="360"/>
      </w:pPr>
      <w:rPr>
        <w:rFonts w:ascii="Courier New" w:hAnsi="Courier New" w:cs="Courier New" w:hint="default"/>
      </w:rPr>
    </w:lvl>
    <w:lvl w:ilvl="2" w:tplc="B2BC4600" w:tentative="1">
      <w:start w:val="1"/>
      <w:numFmt w:val="bullet"/>
      <w:lvlText w:val=""/>
      <w:lvlJc w:val="left"/>
      <w:pPr>
        <w:ind w:left="2160" w:hanging="360"/>
      </w:pPr>
      <w:rPr>
        <w:rFonts w:ascii="Wingdings" w:hAnsi="Wingdings" w:hint="default"/>
      </w:rPr>
    </w:lvl>
    <w:lvl w:ilvl="3" w:tplc="E3DACE74" w:tentative="1">
      <w:start w:val="1"/>
      <w:numFmt w:val="bullet"/>
      <w:lvlText w:val=""/>
      <w:lvlJc w:val="left"/>
      <w:pPr>
        <w:ind w:left="2880" w:hanging="360"/>
      </w:pPr>
      <w:rPr>
        <w:rFonts w:ascii="Symbol" w:hAnsi="Symbol" w:hint="default"/>
      </w:rPr>
    </w:lvl>
    <w:lvl w:ilvl="4" w:tplc="C1521CAE" w:tentative="1">
      <w:start w:val="1"/>
      <w:numFmt w:val="bullet"/>
      <w:lvlText w:val="o"/>
      <w:lvlJc w:val="left"/>
      <w:pPr>
        <w:ind w:left="3600" w:hanging="360"/>
      </w:pPr>
      <w:rPr>
        <w:rFonts w:ascii="Courier New" w:hAnsi="Courier New" w:cs="Courier New" w:hint="default"/>
      </w:rPr>
    </w:lvl>
    <w:lvl w:ilvl="5" w:tplc="9BF81012" w:tentative="1">
      <w:start w:val="1"/>
      <w:numFmt w:val="bullet"/>
      <w:lvlText w:val=""/>
      <w:lvlJc w:val="left"/>
      <w:pPr>
        <w:ind w:left="4320" w:hanging="360"/>
      </w:pPr>
      <w:rPr>
        <w:rFonts w:ascii="Wingdings" w:hAnsi="Wingdings" w:hint="default"/>
      </w:rPr>
    </w:lvl>
    <w:lvl w:ilvl="6" w:tplc="02306D98" w:tentative="1">
      <w:start w:val="1"/>
      <w:numFmt w:val="bullet"/>
      <w:lvlText w:val=""/>
      <w:lvlJc w:val="left"/>
      <w:pPr>
        <w:ind w:left="5040" w:hanging="360"/>
      </w:pPr>
      <w:rPr>
        <w:rFonts w:ascii="Symbol" w:hAnsi="Symbol" w:hint="default"/>
      </w:rPr>
    </w:lvl>
    <w:lvl w:ilvl="7" w:tplc="D9FA009C" w:tentative="1">
      <w:start w:val="1"/>
      <w:numFmt w:val="bullet"/>
      <w:lvlText w:val="o"/>
      <w:lvlJc w:val="left"/>
      <w:pPr>
        <w:ind w:left="5760" w:hanging="360"/>
      </w:pPr>
      <w:rPr>
        <w:rFonts w:ascii="Courier New" w:hAnsi="Courier New" w:cs="Courier New" w:hint="default"/>
      </w:rPr>
    </w:lvl>
    <w:lvl w:ilvl="8" w:tplc="DEC0EEDC" w:tentative="1">
      <w:start w:val="1"/>
      <w:numFmt w:val="bullet"/>
      <w:lvlText w:val=""/>
      <w:lvlJc w:val="left"/>
      <w:pPr>
        <w:ind w:left="6480" w:hanging="360"/>
      </w:pPr>
      <w:rPr>
        <w:rFonts w:ascii="Wingdings" w:hAnsi="Wingdings" w:hint="default"/>
      </w:rPr>
    </w:lvl>
  </w:abstractNum>
  <w:abstractNum w:abstractNumId="73" w15:restartNumberingAfterBreak="0">
    <w:nsid w:val="7FBFD0CE"/>
    <w:multiLevelType w:val="hybridMultilevel"/>
    <w:tmpl w:val="982EC348"/>
    <w:lvl w:ilvl="0" w:tplc="B6766CCC">
      <w:start w:val="1"/>
      <w:numFmt w:val="bullet"/>
      <w:lvlText w:val=""/>
      <w:lvlJc w:val="left"/>
      <w:pPr>
        <w:ind w:left="720" w:hanging="360"/>
      </w:pPr>
      <w:rPr>
        <w:rFonts w:ascii="Symbol" w:hAnsi="Symbol" w:hint="default"/>
      </w:rPr>
    </w:lvl>
    <w:lvl w:ilvl="1" w:tplc="699AD87A">
      <w:start w:val="1"/>
      <w:numFmt w:val="bullet"/>
      <w:lvlText w:val="o"/>
      <w:lvlJc w:val="left"/>
      <w:pPr>
        <w:ind w:left="1440" w:hanging="360"/>
      </w:pPr>
      <w:rPr>
        <w:rFonts w:ascii="Courier New" w:hAnsi="Courier New" w:hint="default"/>
      </w:rPr>
    </w:lvl>
    <w:lvl w:ilvl="2" w:tplc="7E8093B0">
      <w:start w:val="1"/>
      <w:numFmt w:val="bullet"/>
      <w:lvlText w:val=""/>
      <w:lvlJc w:val="left"/>
      <w:pPr>
        <w:ind w:left="2160" w:hanging="360"/>
      </w:pPr>
      <w:rPr>
        <w:rFonts w:ascii="Wingdings" w:hAnsi="Wingdings" w:hint="default"/>
      </w:rPr>
    </w:lvl>
    <w:lvl w:ilvl="3" w:tplc="52669BFA">
      <w:start w:val="1"/>
      <w:numFmt w:val="bullet"/>
      <w:lvlText w:val=""/>
      <w:lvlJc w:val="left"/>
      <w:pPr>
        <w:ind w:left="2880" w:hanging="360"/>
      </w:pPr>
      <w:rPr>
        <w:rFonts w:ascii="Symbol" w:hAnsi="Symbol" w:hint="default"/>
      </w:rPr>
    </w:lvl>
    <w:lvl w:ilvl="4" w:tplc="40F66936">
      <w:start w:val="1"/>
      <w:numFmt w:val="bullet"/>
      <w:lvlText w:val="o"/>
      <w:lvlJc w:val="left"/>
      <w:pPr>
        <w:ind w:left="3600" w:hanging="360"/>
      </w:pPr>
      <w:rPr>
        <w:rFonts w:ascii="Courier New" w:hAnsi="Courier New" w:hint="default"/>
      </w:rPr>
    </w:lvl>
    <w:lvl w:ilvl="5" w:tplc="A2E6EDFE">
      <w:start w:val="1"/>
      <w:numFmt w:val="bullet"/>
      <w:lvlText w:val=""/>
      <w:lvlJc w:val="left"/>
      <w:pPr>
        <w:ind w:left="4320" w:hanging="360"/>
      </w:pPr>
      <w:rPr>
        <w:rFonts w:ascii="Wingdings" w:hAnsi="Wingdings" w:hint="default"/>
      </w:rPr>
    </w:lvl>
    <w:lvl w:ilvl="6" w:tplc="A9FCB4B4">
      <w:start w:val="1"/>
      <w:numFmt w:val="bullet"/>
      <w:lvlText w:val=""/>
      <w:lvlJc w:val="left"/>
      <w:pPr>
        <w:ind w:left="5040" w:hanging="360"/>
      </w:pPr>
      <w:rPr>
        <w:rFonts w:ascii="Symbol" w:hAnsi="Symbol" w:hint="default"/>
      </w:rPr>
    </w:lvl>
    <w:lvl w:ilvl="7" w:tplc="E3D4E2AA">
      <w:start w:val="1"/>
      <w:numFmt w:val="bullet"/>
      <w:lvlText w:val="o"/>
      <w:lvlJc w:val="left"/>
      <w:pPr>
        <w:ind w:left="5760" w:hanging="360"/>
      </w:pPr>
      <w:rPr>
        <w:rFonts w:ascii="Courier New" w:hAnsi="Courier New" w:hint="default"/>
      </w:rPr>
    </w:lvl>
    <w:lvl w:ilvl="8" w:tplc="53A68FDE">
      <w:start w:val="1"/>
      <w:numFmt w:val="bullet"/>
      <w:lvlText w:val=""/>
      <w:lvlJc w:val="left"/>
      <w:pPr>
        <w:ind w:left="6480" w:hanging="360"/>
      </w:pPr>
      <w:rPr>
        <w:rFonts w:ascii="Wingdings" w:hAnsi="Wingdings" w:hint="default"/>
      </w:rPr>
    </w:lvl>
  </w:abstractNum>
  <w:num w:numId="1" w16cid:durableId="752625846">
    <w:abstractNumId w:val="0"/>
  </w:num>
  <w:num w:numId="2" w16cid:durableId="917783733">
    <w:abstractNumId w:val="71"/>
  </w:num>
  <w:num w:numId="3" w16cid:durableId="2072926321">
    <w:abstractNumId w:val="32"/>
  </w:num>
  <w:num w:numId="4" w16cid:durableId="1871870764">
    <w:abstractNumId w:val="48"/>
  </w:num>
  <w:num w:numId="5" w16cid:durableId="752435352">
    <w:abstractNumId w:val="43"/>
  </w:num>
  <w:num w:numId="6" w16cid:durableId="2069183442">
    <w:abstractNumId w:val="29"/>
  </w:num>
  <w:num w:numId="7" w16cid:durableId="1068843534">
    <w:abstractNumId w:val="50"/>
  </w:num>
  <w:num w:numId="8" w16cid:durableId="1313369858">
    <w:abstractNumId w:val="70"/>
  </w:num>
  <w:num w:numId="9" w16cid:durableId="1627853741">
    <w:abstractNumId w:val="21"/>
  </w:num>
  <w:num w:numId="10" w16cid:durableId="1922715974">
    <w:abstractNumId w:val="65"/>
  </w:num>
  <w:num w:numId="11" w16cid:durableId="746002599">
    <w:abstractNumId w:val="20"/>
  </w:num>
  <w:num w:numId="12" w16cid:durableId="269162181">
    <w:abstractNumId w:val="28"/>
  </w:num>
  <w:num w:numId="13" w16cid:durableId="1900747938">
    <w:abstractNumId w:val="26"/>
  </w:num>
  <w:num w:numId="14" w16cid:durableId="2037386538">
    <w:abstractNumId w:val="38"/>
  </w:num>
  <w:num w:numId="15" w16cid:durableId="342129102">
    <w:abstractNumId w:val="17"/>
  </w:num>
  <w:num w:numId="16" w16cid:durableId="622273211">
    <w:abstractNumId w:val="12"/>
  </w:num>
  <w:num w:numId="17" w16cid:durableId="1150825836">
    <w:abstractNumId w:val="22"/>
  </w:num>
  <w:num w:numId="18" w16cid:durableId="1558395546">
    <w:abstractNumId w:val="60"/>
  </w:num>
  <w:num w:numId="19" w16cid:durableId="653342219">
    <w:abstractNumId w:val="52"/>
  </w:num>
  <w:num w:numId="20" w16cid:durableId="1696997365">
    <w:abstractNumId w:val="1"/>
  </w:num>
  <w:num w:numId="21" w16cid:durableId="1896625449">
    <w:abstractNumId w:val="44"/>
  </w:num>
  <w:num w:numId="22" w16cid:durableId="113444419">
    <w:abstractNumId w:val="56"/>
  </w:num>
  <w:num w:numId="23" w16cid:durableId="1519808602">
    <w:abstractNumId w:val="14"/>
  </w:num>
  <w:num w:numId="24" w16cid:durableId="1855915912">
    <w:abstractNumId w:val="73"/>
  </w:num>
  <w:num w:numId="25" w16cid:durableId="1584290430">
    <w:abstractNumId w:val="18"/>
  </w:num>
  <w:num w:numId="26" w16cid:durableId="424233086">
    <w:abstractNumId w:val="51"/>
  </w:num>
  <w:num w:numId="27" w16cid:durableId="1704285737">
    <w:abstractNumId w:val="8"/>
  </w:num>
  <w:num w:numId="28" w16cid:durableId="1511336330">
    <w:abstractNumId w:val="10"/>
  </w:num>
  <w:num w:numId="29" w16cid:durableId="396586924">
    <w:abstractNumId w:val="27"/>
  </w:num>
  <w:num w:numId="30" w16cid:durableId="1206257460">
    <w:abstractNumId w:val="3"/>
  </w:num>
  <w:num w:numId="31" w16cid:durableId="1736052168">
    <w:abstractNumId w:val="19"/>
  </w:num>
  <w:num w:numId="32" w16cid:durableId="886725019">
    <w:abstractNumId w:val="37"/>
  </w:num>
  <w:num w:numId="33" w16cid:durableId="342515836">
    <w:abstractNumId w:val="13"/>
  </w:num>
  <w:num w:numId="34" w16cid:durableId="740102424">
    <w:abstractNumId w:val="69"/>
  </w:num>
  <w:num w:numId="35" w16cid:durableId="179509041">
    <w:abstractNumId w:val="42"/>
  </w:num>
  <w:num w:numId="36" w16cid:durableId="166941605">
    <w:abstractNumId w:val="41"/>
  </w:num>
  <w:num w:numId="37" w16cid:durableId="167989640">
    <w:abstractNumId w:val="47"/>
  </w:num>
  <w:num w:numId="38" w16cid:durableId="444081002">
    <w:abstractNumId w:val="49"/>
  </w:num>
  <w:num w:numId="39" w16cid:durableId="2141260155">
    <w:abstractNumId w:val="62"/>
  </w:num>
  <w:num w:numId="40" w16cid:durableId="1850244586">
    <w:abstractNumId w:val="55"/>
  </w:num>
  <w:num w:numId="41" w16cid:durableId="2069914493">
    <w:abstractNumId w:val="66"/>
  </w:num>
  <w:num w:numId="42" w16cid:durableId="1410886257">
    <w:abstractNumId w:val="35"/>
  </w:num>
  <w:num w:numId="43" w16cid:durableId="1468625023">
    <w:abstractNumId w:val="2"/>
  </w:num>
  <w:num w:numId="44" w16cid:durableId="1537502378">
    <w:abstractNumId w:val="68"/>
  </w:num>
  <w:num w:numId="45" w16cid:durableId="1083138204">
    <w:abstractNumId w:val="6"/>
  </w:num>
  <w:num w:numId="46" w16cid:durableId="388846955">
    <w:abstractNumId w:val="23"/>
  </w:num>
  <w:num w:numId="47" w16cid:durableId="223609097">
    <w:abstractNumId w:val="15"/>
  </w:num>
  <w:num w:numId="48" w16cid:durableId="404451379">
    <w:abstractNumId w:val="64"/>
  </w:num>
  <w:num w:numId="49" w16cid:durableId="223030213">
    <w:abstractNumId w:val="11"/>
  </w:num>
  <w:num w:numId="50" w16cid:durableId="1829638549">
    <w:abstractNumId w:val="54"/>
  </w:num>
  <w:num w:numId="51" w16cid:durableId="1143817158">
    <w:abstractNumId w:val="46"/>
  </w:num>
  <w:num w:numId="52" w16cid:durableId="1089430419">
    <w:abstractNumId w:val="45"/>
  </w:num>
  <w:num w:numId="53" w16cid:durableId="634332347">
    <w:abstractNumId w:val="39"/>
  </w:num>
  <w:num w:numId="54" w16cid:durableId="637028274">
    <w:abstractNumId w:val="34"/>
  </w:num>
  <w:num w:numId="55" w16cid:durableId="1673487980">
    <w:abstractNumId w:val="72"/>
  </w:num>
  <w:num w:numId="56" w16cid:durableId="557983748">
    <w:abstractNumId w:val="63"/>
  </w:num>
  <w:num w:numId="57" w16cid:durableId="1809587769">
    <w:abstractNumId w:val="33"/>
  </w:num>
  <w:num w:numId="58" w16cid:durableId="500435907">
    <w:abstractNumId w:val="58"/>
  </w:num>
  <w:num w:numId="59" w16cid:durableId="1711608622">
    <w:abstractNumId w:val="4"/>
  </w:num>
  <w:num w:numId="60" w16cid:durableId="1761639982">
    <w:abstractNumId w:val="9"/>
  </w:num>
  <w:num w:numId="61" w16cid:durableId="1125611773">
    <w:abstractNumId w:val="16"/>
  </w:num>
  <w:num w:numId="62" w16cid:durableId="384716903">
    <w:abstractNumId w:val="24"/>
  </w:num>
  <w:num w:numId="63" w16cid:durableId="1344434194">
    <w:abstractNumId w:val="31"/>
  </w:num>
  <w:num w:numId="64" w16cid:durableId="1381973488">
    <w:abstractNumId w:val="67"/>
  </w:num>
  <w:num w:numId="65" w16cid:durableId="552036636">
    <w:abstractNumId w:val="61"/>
  </w:num>
  <w:num w:numId="66" w16cid:durableId="1036545255">
    <w:abstractNumId w:val="36"/>
  </w:num>
  <w:num w:numId="67" w16cid:durableId="1115715621">
    <w:abstractNumId w:val="7"/>
  </w:num>
  <w:num w:numId="68" w16cid:durableId="1248462487">
    <w:abstractNumId w:val="5"/>
  </w:num>
  <w:num w:numId="69" w16cid:durableId="1427724756">
    <w:abstractNumId w:val="53"/>
  </w:num>
  <w:num w:numId="70" w16cid:durableId="465855005">
    <w:abstractNumId w:val="40"/>
  </w:num>
  <w:num w:numId="71" w16cid:durableId="778137968">
    <w:abstractNumId w:val="30"/>
  </w:num>
  <w:num w:numId="72" w16cid:durableId="416823904">
    <w:abstractNumId w:val="25"/>
  </w:num>
  <w:num w:numId="73" w16cid:durableId="944964473">
    <w:abstractNumId w:val="59"/>
  </w:num>
  <w:num w:numId="74" w16cid:durableId="246505316">
    <w:abstractNumId w:val="5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0"/>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146"/>
    <w:rsid w:val="00000060"/>
    <w:rsid w:val="00000152"/>
    <w:rsid w:val="00000421"/>
    <w:rsid w:val="0000048E"/>
    <w:rsid w:val="000008F1"/>
    <w:rsid w:val="00000904"/>
    <w:rsid w:val="00000A04"/>
    <w:rsid w:val="00000B2B"/>
    <w:rsid w:val="00000BD8"/>
    <w:rsid w:val="00000DD7"/>
    <w:rsid w:val="000013E0"/>
    <w:rsid w:val="0000151F"/>
    <w:rsid w:val="00001907"/>
    <w:rsid w:val="000019C8"/>
    <w:rsid w:val="00001A48"/>
    <w:rsid w:val="00001A7C"/>
    <w:rsid w:val="00001D75"/>
    <w:rsid w:val="00001DC2"/>
    <w:rsid w:val="00001EA2"/>
    <w:rsid w:val="00001F3B"/>
    <w:rsid w:val="00001FB5"/>
    <w:rsid w:val="00001FD3"/>
    <w:rsid w:val="00002060"/>
    <w:rsid w:val="00002160"/>
    <w:rsid w:val="00002256"/>
    <w:rsid w:val="0000232E"/>
    <w:rsid w:val="000023D9"/>
    <w:rsid w:val="0000270A"/>
    <w:rsid w:val="0000287E"/>
    <w:rsid w:val="00002968"/>
    <w:rsid w:val="00002A2C"/>
    <w:rsid w:val="00002B8F"/>
    <w:rsid w:val="00002DE0"/>
    <w:rsid w:val="00002EE5"/>
    <w:rsid w:val="00002FC2"/>
    <w:rsid w:val="0000308A"/>
    <w:rsid w:val="00003185"/>
    <w:rsid w:val="000032BD"/>
    <w:rsid w:val="00003464"/>
    <w:rsid w:val="000035D9"/>
    <w:rsid w:val="00003622"/>
    <w:rsid w:val="00003639"/>
    <w:rsid w:val="000036E9"/>
    <w:rsid w:val="00003700"/>
    <w:rsid w:val="000037B1"/>
    <w:rsid w:val="000039F6"/>
    <w:rsid w:val="00003D2E"/>
    <w:rsid w:val="00003E57"/>
    <w:rsid w:val="00003F70"/>
    <w:rsid w:val="00003FDD"/>
    <w:rsid w:val="00003FE5"/>
    <w:rsid w:val="00004822"/>
    <w:rsid w:val="000049AD"/>
    <w:rsid w:val="00004C91"/>
    <w:rsid w:val="00004E35"/>
    <w:rsid w:val="00004EA0"/>
    <w:rsid w:val="00004FA2"/>
    <w:rsid w:val="00005048"/>
    <w:rsid w:val="000050AC"/>
    <w:rsid w:val="0000519A"/>
    <w:rsid w:val="000051CF"/>
    <w:rsid w:val="0000542B"/>
    <w:rsid w:val="00005477"/>
    <w:rsid w:val="00005497"/>
    <w:rsid w:val="000055A5"/>
    <w:rsid w:val="00005649"/>
    <w:rsid w:val="000058B0"/>
    <w:rsid w:val="00005B5E"/>
    <w:rsid w:val="00005B6C"/>
    <w:rsid w:val="00005B91"/>
    <w:rsid w:val="00005E9E"/>
    <w:rsid w:val="00005ED7"/>
    <w:rsid w:val="00005FCE"/>
    <w:rsid w:val="00006214"/>
    <w:rsid w:val="0000648D"/>
    <w:rsid w:val="0000649B"/>
    <w:rsid w:val="000065ED"/>
    <w:rsid w:val="00006772"/>
    <w:rsid w:val="000067B8"/>
    <w:rsid w:val="000067CD"/>
    <w:rsid w:val="000069F8"/>
    <w:rsid w:val="00006CDB"/>
    <w:rsid w:val="00006DC3"/>
    <w:rsid w:val="00006E77"/>
    <w:rsid w:val="0000723F"/>
    <w:rsid w:val="00007457"/>
    <w:rsid w:val="00007589"/>
    <w:rsid w:val="00007969"/>
    <w:rsid w:val="000079EE"/>
    <w:rsid w:val="00007AD8"/>
    <w:rsid w:val="00007B12"/>
    <w:rsid w:val="00007B47"/>
    <w:rsid w:val="00007ED1"/>
    <w:rsid w:val="00007EF8"/>
    <w:rsid w:val="00007F5D"/>
    <w:rsid w:val="0001002A"/>
    <w:rsid w:val="0001017D"/>
    <w:rsid w:val="000102B0"/>
    <w:rsid w:val="000103CF"/>
    <w:rsid w:val="00010411"/>
    <w:rsid w:val="0001068F"/>
    <w:rsid w:val="00010AA2"/>
    <w:rsid w:val="00010DC2"/>
    <w:rsid w:val="00010F27"/>
    <w:rsid w:val="00010FCE"/>
    <w:rsid w:val="000110E8"/>
    <w:rsid w:val="00011229"/>
    <w:rsid w:val="00011291"/>
    <w:rsid w:val="0001135F"/>
    <w:rsid w:val="00011487"/>
    <w:rsid w:val="00011689"/>
    <w:rsid w:val="00011757"/>
    <w:rsid w:val="0001192C"/>
    <w:rsid w:val="00011AC9"/>
    <w:rsid w:val="00011B2B"/>
    <w:rsid w:val="00011D5F"/>
    <w:rsid w:val="00011E28"/>
    <w:rsid w:val="00011FCA"/>
    <w:rsid w:val="00011FE2"/>
    <w:rsid w:val="000120DA"/>
    <w:rsid w:val="000120F9"/>
    <w:rsid w:val="0001213D"/>
    <w:rsid w:val="000121DD"/>
    <w:rsid w:val="000122D2"/>
    <w:rsid w:val="00012515"/>
    <w:rsid w:val="00012642"/>
    <w:rsid w:val="000130D7"/>
    <w:rsid w:val="000133F5"/>
    <w:rsid w:val="0001341D"/>
    <w:rsid w:val="00013451"/>
    <w:rsid w:val="00013674"/>
    <w:rsid w:val="00013748"/>
    <w:rsid w:val="000137CA"/>
    <w:rsid w:val="0001383E"/>
    <w:rsid w:val="00013AB2"/>
    <w:rsid w:val="00013AD4"/>
    <w:rsid w:val="00013C57"/>
    <w:rsid w:val="00013D7A"/>
    <w:rsid w:val="00013EF6"/>
    <w:rsid w:val="00013F42"/>
    <w:rsid w:val="00014036"/>
    <w:rsid w:val="00014224"/>
    <w:rsid w:val="00014270"/>
    <w:rsid w:val="00014403"/>
    <w:rsid w:val="00014483"/>
    <w:rsid w:val="000144C4"/>
    <w:rsid w:val="000144CB"/>
    <w:rsid w:val="000146B3"/>
    <w:rsid w:val="000147A8"/>
    <w:rsid w:val="0001483D"/>
    <w:rsid w:val="0001493F"/>
    <w:rsid w:val="00014A1A"/>
    <w:rsid w:val="00014A32"/>
    <w:rsid w:val="00014A77"/>
    <w:rsid w:val="00014B76"/>
    <w:rsid w:val="00014DD0"/>
    <w:rsid w:val="00014E0D"/>
    <w:rsid w:val="00014E11"/>
    <w:rsid w:val="00014E8E"/>
    <w:rsid w:val="000150A9"/>
    <w:rsid w:val="000152E8"/>
    <w:rsid w:val="00015869"/>
    <w:rsid w:val="00015BBE"/>
    <w:rsid w:val="00015CA7"/>
    <w:rsid w:val="00015D11"/>
    <w:rsid w:val="00015D31"/>
    <w:rsid w:val="00016231"/>
    <w:rsid w:val="00016324"/>
    <w:rsid w:val="000163BF"/>
    <w:rsid w:val="0001658B"/>
    <w:rsid w:val="000169BF"/>
    <w:rsid w:val="00016B29"/>
    <w:rsid w:val="00016BCB"/>
    <w:rsid w:val="00016C7B"/>
    <w:rsid w:val="00016D4F"/>
    <w:rsid w:val="00016E53"/>
    <w:rsid w:val="00016E74"/>
    <w:rsid w:val="00016E78"/>
    <w:rsid w:val="00017144"/>
    <w:rsid w:val="0001716A"/>
    <w:rsid w:val="00017231"/>
    <w:rsid w:val="000174DE"/>
    <w:rsid w:val="0001750E"/>
    <w:rsid w:val="0001754B"/>
    <w:rsid w:val="0001777B"/>
    <w:rsid w:val="00017788"/>
    <w:rsid w:val="000177CB"/>
    <w:rsid w:val="00017CE0"/>
    <w:rsid w:val="00017DE1"/>
    <w:rsid w:val="00017F0B"/>
    <w:rsid w:val="00017FC4"/>
    <w:rsid w:val="0001877D"/>
    <w:rsid w:val="000201E4"/>
    <w:rsid w:val="0002031E"/>
    <w:rsid w:val="0002046D"/>
    <w:rsid w:val="000206C4"/>
    <w:rsid w:val="00020A42"/>
    <w:rsid w:val="00020AA1"/>
    <w:rsid w:val="00020C92"/>
    <w:rsid w:val="00020CDA"/>
    <w:rsid w:val="00020D7F"/>
    <w:rsid w:val="00020E37"/>
    <w:rsid w:val="00021015"/>
    <w:rsid w:val="00021155"/>
    <w:rsid w:val="000211E6"/>
    <w:rsid w:val="0002197B"/>
    <w:rsid w:val="00021C1A"/>
    <w:rsid w:val="00021D13"/>
    <w:rsid w:val="00021E97"/>
    <w:rsid w:val="00021FE2"/>
    <w:rsid w:val="00022024"/>
    <w:rsid w:val="000220FA"/>
    <w:rsid w:val="00022320"/>
    <w:rsid w:val="00022879"/>
    <w:rsid w:val="000229DB"/>
    <w:rsid w:val="00022A96"/>
    <w:rsid w:val="00022B98"/>
    <w:rsid w:val="00022D32"/>
    <w:rsid w:val="0002303A"/>
    <w:rsid w:val="00023100"/>
    <w:rsid w:val="0002310F"/>
    <w:rsid w:val="0002318C"/>
    <w:rsid w:val="0002359F"/>
    <w:rsid w:val="00023718"/>
    <w:rsid w:val="000237B4"/>
    <w:rsid w:val="000237C7"/>
    <w:rsid w:val="000237E3"/>
    <w:rsid w:val="0002386F"/>
    <w:rsid w:val="0002399C"/>
    <w:rsid w:val="00023A1C"/>
    <w:rsid w:val="00023C82"/>
    <w:rsid w:val="00023D4D"/>
    <w:rsid w:val="00023FDA"/>
    <w:rsid w:val="0002404B"/>
    <w:rsid w:val="0002407C"/>
    <w:rsid w:val="00024452"/>
    <w:rsid w:val="0002460A"/>
    <w:rsid w:val="0002461F"/>
    <w:rsid w:val="000246F5"/>
    <w:rsid w:val="0002494B"/>
    <w:rsid w:val="00024ADB"/>
    <w:rsid w:val="00024B58"/>
    <w:rsid w:val="00024B97"/>
    <w:rsid w:val="00024E13"/>
    <w:rsid w:val="00024E9A"/>
    <w:rsid w:val="00025587"/>
    <w:rsid w:val="00025695"/>
    <w:rsid w:val="000259D9"/>
    <w:rsid w:val="00025B36"/>
    <w:rsid w:val="00025B70"/>
    <w:rsid w:val="00026072"/>
    <w:rsid w:val="00026073"/>
    <w:rsid w:val="00026334"/>
    <w:rsid w:val="0002678F"/>
    <w:rsid w:val="0002682D"/>
    <w:rsid w:val="00026997"/>
    <w:rsid w:val="00026BFA"/>
    <w:rsid w:val="00026D93"/>
    <w:rsid w:val="000270B4"/>
    <w:rsid w:val="0002717D"/>
    <w:rsid w:val="000271AE"/>
    <w:rsid w:val="00027293"/>
    <w:rsid w:val="0002736F"/>
    <w:rsid w:val="0002759A"/>
    <w:rsid w:val="0002764D"/>
    <w:rsid w:val="00027708"/>
    <w:rsid w:val="000277B7"/>
    <w:rsid w:val="000277C7"/>
    <w:rsid w:val="0002797B"/>
    <w:rsid w:val="00027A8B"/>
    <w:rsid w:val="00027EC8"/>
    <w:rsid w:val="00027F29"/>
    <w:rsid w:val="00030092"/>
    <w:rsid w:val="0003016C"/>
    <w:rsid w:val="00030316"/>
    <w:rsid w:val="00030374"/>
    <w:rsid w:val="00030382"/>
    <w:rsid w:val="000303A9"/>
    <w:rsid w:val="000303E5"/>
    <w:rsid w:val="000306CA"/>
    <w:rsid w:val="00030B16"/>
    <w:rsid w:val="00030B36"/>
    <w:rsid w:val="00030C8E"/>
    <w:rsid w:val="00030CBC"/>
    <w:rsid w:val="00030E6A"/>
    <w:rsid w:val="00030E7E"/>
    <w:rsid w:val="00030EAD"/>
    <w:rsid w:val="000311AB"/>
    <w:rsid w:val="00031401"/>
    <w:rsid w:val="00031454"/>
    <w:rsid w:val="000315EA"/>
    <w:rsid w:val="00031643"/>
    <w:rsid w:val="000316CB"/>
    <w:rsid w:val="0003174C"/>
    <w:rsid w:val="00031B3A"/>
    <w:rsid w:val="00031B47"/>
    <w:rsid w:val="00031B50"/>
    <w:rsid w:val="00031B78"/>
    <w:rsid w:val="00031BC1"/>
    <w:rsid w:val="000326D9"/>
    <w:rsid w:val="0003294D"/>
    <w:rsid w:val="000329B1"/>
    <w:rsid w:val="00032A0B"/>
    <w:rsid w:val="00032E36"/>
    <w:rsid w:val="00032E7E"/>
    <w:rsid w:val="000332A1"/>
    <w:rsid w:val="000332DC"/>
    <w:rsid w:val="000333D3"/>
    <w:rsid w:val="00033860"/>
    <w:rsid w:val="000338E0"/>
    <w:rsid w:val="000339C3"/>
    <w:rsid w:val="00033AA9"/>
    <w:rsid w:val="00033B8B"/>
    <w:rsid w:val="00033D98"/>
    <w:rsid w:val="00033FB3"/>
    <w:rsid w:val="00034027"/>
    <w:rsid w:val="00034118"/>
    <w:rsid w:val="00034136"/>
    <w:rsid w:val="00034310"/>
    <w:rsid w:val="00034348"/>
    <w:rsid w:val="000344BD"/>
    <w:rsid w:val="000344D1"/>
    <w:rsid w:val="000345DB"/>
    <w:rsid w:val="000346DE"/>
    <w:rsid w:val="000348ED"/>
    <w:rsid w:val="0003491B"/>
    <w:rsid w:val="000349A9"/>
    <w:rsid w:val="00034C27"/>
    <w:rsid w:val="00034E9A"/>
    <w:rsid w:val="0003517D"/>
    <w:rsid w:val="000351C7"/>
    <w:rsid w:val="000353AB"/>
    <w:rsid w:val="000353E5"/>
    <w:rsid w:val="000353E7"/>
    <w:rsid w:val="000354EE"/>
    <w:rsid w:val="00035748"/>
    <w:rsid w:val="000357CB"/>
    <w:rsid w:val="00035D4B"/>
    <w:rsid w:val="00035D9D"/>
    <w:rsid w:val="00035F4B"/>
    <w:rsid w:val="00036469"/>
    <w:rsid w:val="000364D7"/>
    <w:rsid w:val="0003651F"/>
    <w:rsid w:val="00036591"/>
    <w:rsid w:val="0003695F"/>
    <w:rsid w:val="000369F8"/>
    <w:rsid w:val="00036B2E"/>
    <w:rsid w:val="00036B66"/>
    <w:rsid w:val="00036B87"/>
    <w:rsid w:val="00036C30"/>
    <w:rsid w:val="00036DD4"/>
    <w:rsid w:val="00036E3C"/>
    <w:rsid w:val="00037038"/>
    <w:rsid w:val="000370F2"/>
    <w:rsid w:val="00037219"/>
    <w:rsid w:val="00037256"/>
    <w:rsid w:val="0003768D"/>
    <w:rsid w:val="000377B5"/>
    <w:rsid w:val="00037976"/>
    <w:rsid w:val="00037A50"/>
    <w:rsid w:val="00037A5D"/>
    <w:rsid w:val="00037E1A"/>
    <w:rsid w:val="00037F55"/>
    <w:rsid w:val="00040051"/>
    <w:rsid w:val="00040065"/>
    <w:rsid w:val="0004008F"/>
    <w:rsid w:val="0004084E"/>
    <w:rsid w:val="00040868"/>
    <w:rsid w:val="000409F7"/>
    <w:rsid w:val="00040A74"/>
    <w:rsid w:val="00040DA6"/>
    <w:rsid w:val="00041024"/>
    <w:rsid w:val="0004109A"/>
    <w:rsid w:val="0004114F"/>
    <w:rsid w:val="00041276"/>
    <w:rsid w:val="00041292"/>
    <w:rsid w:val="000412B0"/>
    <w:rsid w:val="000413EF"/>
    <w:rsid w:val="000413FF"/>
    <w:rsid w:val="000414B4"/>
    <w:rsid w:val="00041776"/>
    <w:rsid w:val="000417A3"/>
    <w:rsid w:val="000419FA"/>
    <w:rsid w:val="00041C85"/>
    <w:rsid w:val="00041D00"/>
    <w:rsid w:val="00041EF6"/>
    <w:rsid w:val="00042145"/>
    <w:rsid w:val="000421C0"/>
    <w:rsid w:val="0004234B"/>
    <w:rsid w:val="0004276E"/>
    <w:rsid w:val="000427D5"/>
    <w:rsid w:val="00042914"/>
    <w:rsid w:val="00042946"/>
    <w:rsid w:val="00042B24"/>
    <w:rsid w:val="00042B59"/>
    <w:rsid w:val="00042CBA"/>
    <w:rsid w:val="00042CBD"/>
    <w:rsid w:val="00042D95"/>
    <w:rsid w:val="00042DB2"/>
    <w:rsid w:val="00042FD6"/>
    <w:rsid w:val="00043192"/>
    <w:rsid w:val="0004330E"/>
    <w:rsid w:val="00043368"/>
    <w:rsid w:val="0004337F"/>
    <w:rsid w:val="000433F0"/>
    <w:rsid w:val="00043437"/>
    <w:rsid w:val="00043644"/>
    <w:rsid w:val="00043658"/>
    <w:rsid w:val="0004375C"/>
    <w:rsid w:val="00043817"/>
    <w:rsid w:val="00043A18"/>
    <w:rsid w:val="00043CD5"/>
    <w:rsid w:val="00043F92"/>
    <w:rsid w:val="00044648"/>
    <w:rsid w:val="00044758"/>
    <w:rsid w:val="00044845"/>
    <w:rsid w:val="000448E6"/>
    <w:rsid w:val="000449B8"/>
    <w:rsid w:val="00044C2F"/>
    <w:rsid w:val="0004500B"/>
    <w:rsid w:val="00045198"/>
    <w:rsid w:val="0004533E"/>
    <w:rsid w:val="000453D9"/>
    <w:rsid w:val="000454F6"/>
    <w:rsid w:val="00045549"/>
    <w:rsid w:val="000455D2"/>
    <w:rsid w:val="000457BB"/>
    <w:rsid w:val="00045A74"/>
    <w:rsid w:val="00045BC0"/>
    <w:rsid w:val="00045C16"/>
    <w:rsid w:val="00045C1A"/>
    <w:rsid w:val="00045CD6"/>
    <w:rsid w:val="0004603A"/>
    <w:rsid w:val="0004637E"/>
    <w:rsid w:val="000464BF"/>
    <w:rsid w:val="000464DF"/>
    <w:rsid w:val="000467E9"/>
    <w:rsid w:val="000468BD"/>
    <w:rsid w:val="00046903"/>
    <w:rsid w:val="00046A98"/>
    <w:rsid w:val="00046F90"/>
    <w:rsid w:val="000470AE"/>
    <w:rsid w:val="00047294"/>
    <w:rsid w:val="000475BF"/>
    <w:rsid w:val="000475CD"/>
    <w:rsid w:val="0004768E"/>
    <w:rsid w:val="0004778F"/>
    <w:rsid w:val="00047AE2"/>
    <w:rsid w:val="00047CA9"/>
    <w:rsid w:val="00047DAA"/>
    <w:rsid w:val="00047E69"/>
    <w:rsid w:val="00050149"/>
    <w:rsid w:val="00050751"/>
    <w:rsid w:val="00050AFC"/>
    <w:rsid w:val="00050BFC"/>
    <w:rsid w:val="00050CDE"/>
    <w:rsid w:val="00050EB6"/>
    <w:rsid w:val="00050FE0"/>
    <w:rsid w:val="00051098"/>
    <w:rsid w:val="000512E2"/>
    <w:rsid w:val="00051405"/>
    <w:rsid w:val="00051455"/>
    <w:rsid w:val="000514E9"/>
    <w:rsid w:val="0005150C"/>
    <w:rsid w:val="000515BA"/>
    <w:rsid w:val="00051852"/>
    <w:rsid w:val="00051985"/>
    <w:rsid w:val="00051A51"/>
    <w:rsid w:val="00051C52"/>
    <w:rsid w:val="00051EB9"/>
    <w:rsid w:val="00052119"/>
    <w:rsid w:val="000524DB"/>
    <w:rsid w:val="00052990"/>
    <w:rsid w:val="000529AD"/>
    <w:rsid w:val="00052E7A"/>
    <w:rsid w:val="00052F42"/>
    <w:rsid w:val="00052FA3"/>
    <w:rsid w:val="00053190"/>
    <w:rsid w:val="000532C3"/>
    <w:rsid w:val="000537C8"/>
    <w:rsid w:val="00053820"/>
    <w:rsid w:val="000538CA"/>
    <w:rsid w:val="00053AD7"/>
    <w:rsid w:val="00053AF1"/>
    <w:rsid w:val="00053DC9"/>
    <w:rsid w:val="00054073"/>
    <w:rsid w:val="0005417B"/>
    <w:rsid w:val="00054351"/>
    <w:rsid w:val="000543AC"/>
    <w:rsid w:val="000543D1"/>
    <w:rsid w:val="00054556"/>
    <w:rsid w:val="00054674"/>
    <w:rsid w:val="00054846"/>
    <w:rsid w:val="000548F2"/>
    <w:rsid w:val="000548F9"/>
    <w:rsid w:val="00054B18"/>
    <w:rsid w:val="00054C07"/>
    <w:rsid w:val="00054CAE"/>
    <w:rsid w:val="00054D5B"/>
    <w:rsid w:val="00054F73"/>
    <w:rsid w:val="00054FFB"/>
    <w:rsid w:val="0005511A"/>
    <w:rsid w:val="00055564"/>
    <w:rsid w:val="0005558E"/>
    <w:rsid w:val="0005559F"/>
    <w:rsid w:val="000555C6"/>
    <w:rsid w:val="00055756"/>
    <w:rsid w:val="00055883"/>
    <w:rsid w:val="0005589C"/>
    <w:rsid w:val="00055943"/>
    <w:rsid w:val="00055DAE"/>
    <w:rsid w:val="00055F4E"/>
    <w:rsid w:val="00055FEF"/>
    <w:rsid w:val="0005613D"/>
    <w:rsid w:val="000564D5"/>
    <w:rsid w:val="000564F0"/>
    <w:rsid w:val="00056572"/>
    <w:rsid w:val="000565F3"/>
    <w:rsid w:val="000569BA"/>
    <w:rsid w:val="00056C73"/>
    <w:rsid w:val="00056C85"/>
    <w:rsid w:val="00056F71"/>
    <w:rsid w:val="00056FB7"/>
    <w:rsid w:val="00057126"/>
    <w:rsid w:val="00057202"/>
    <w:rsid w:val="00057243"/>
    <w:rsid w:val="000572A3"/>
    <w:rsid w:val="0005784A"/>
    <w:rsid w:val="00057858"/>
    <w:rsid w:val="00057976"/>
    <w:rsid w:val="00057B92"/>
    <w:rsid w:val="00057C5C"/>
    <w:rsid w:val="00057C5D"/>
    <w:rsid w:val="00057C72"/>
    <w:rsid w:val="00057E73"/>
    <w:rsid w:val="00057F63"/>
    <w:rsid w:val="00057FC1"/>
    <w:rsid w:val="0006048A"/>
    <w:rsid w:val="00060527"/>
    <w:rsid w:val="00060580"/>
    <w:rsid w:val="000606DF"/>
    <w:rsid w:val="000607DE"/>
    <w:rsid w:val="00060822"/>
    <w:rsid w:val="00060825"/>
    <w:rsid w:val="00060BE3"/>
    <w:rsid w:val="00060BF1"/>
    <w:rsid w:val="00060E9A"/>
    <w:rsid w:val="00061029"/>
    <w:rsid w:val="000612CD"/>
    <w:rsid w:val="000612ED"/>
    <w:rsid w:val="00061508"/>
    <w:rsid w:val="00061C28"/>
    <w:rsid w:val="00061D6B"/>
    <w:rsid w:val="00061EC6"/>
    <w:rsid w:val="00062293"/>
    <w:rsid w:val="000622AF"/>
    <w:rsid w:val="000622B1"/>
    <w:rsid w:val="0006253A"/>
    <w:rsid w:val="000626FE"/>
    <w:rsid w:val="0006279A"/>
    <w:rsid w:val="000627A7"/>
    <w:rsid w:val="000627AE"/>
    <w:rsid w:val="0006295B"/>
    <w:rsid w:val="00062B13"/>
    <w:rsid w:val="00062B3D"/>
    <w:rsid w:val="00063013"/>
    <w:rsid w:val="0006303C"/>
    <w:rsid w:val="000630E3"/>
    <w:rsid w:val="000634AE"/>
    <w:rsid w:val="00063576"/>
    <w:rsid w:val="00063A58"/>
    <w:rsid w:val="00063C10"/>
    <w:rsid w:val="00063C2E"/>
    <w:rsid w:val="00063FC4"/>
    <w:rsid w:val="00064020"/>
    <w:rsid w:val="0006403B"/>
    <w:rsid w:val="0006406E"/>
    <w:rsid w:val="00064140"/>
    <w:rsid w:val="00064240"/>
    <w:rsid w:val="0006445E"/>
    <w:rsid w:val="00064907"/>
    <w:rsid w:val="00064A0D"/>
    <w:rsid w:val="00064A44"/>
    <w:rsid w:val="00064B1C"/>
    <w:rsid w:val="00064C50"/>
    <w:rsid w:val="00064DE4"/>
    <w:rsid w:val="00064EB8"/>
    <w:rsid w:val="0006500A"/>
    <w:rsid w:val="0006502A"/>
    <w:rsid w:val="0006506D"/>
    <w:rsid w:val="000651F5"/>
    <w:rsid w:val="00065579"/>
    <w:rsid w:val="0006560E"/>
    <w:rsid w:val="00066049"/>
    <w:rsid w:val="000660B7"/>
    <w:rsid w:val="000660DA"/>
    <w:rsid w:val="000661BC"/>
    <w:rsid w:val="00066262"/>
    <w:rsid w:val="00066363"/>
    <w:rsid w:val="0006649F"/>
    <w:rsid w:val="000665FE"/>
    <w:rsid w:val="00066770"/>
    <w:rsid w:val="0006696E"/>
    <w:rsid w:val="00066AB2"/>
    <w:rsid w:val="00066B4C"/>
    <w:rsid w:val="00066BC6"/>
    <w:rsid w:val="00066C1E"/>
    <w:rsid w:val="00066DF6"/>
    <w:rsid w:val="00067112"/>
    <w:rsid w:val="00067306"/>
    <w:rsid w:val="00067378"/>
    <w:rsid w:val="00067397"/>
    <w:rsid w:val="000674D5"/>
    <w:rsid w:val="0006763C"/>
    <w:rsid w:val="00067B2B"/>
    <w:rsid w:val="00067E41"/>
    <w:rsid w:val="00067ECD"/>
    <w:rsid w:val="00067F31"/>
    <w:rsid w:val="00067F32"/>
    <w:rsid w:val="00067FB9"/>
    <w:rsid w:val="00070062"/>
    <w:rsid w:val="000700A3"/>
    <w:rsid w:val="000701EA"/>
    <w:rsid w:val="000702E1"/>
    <w:rsid w:val="00070434"/>
    <w:rsid w:val="00070527"/>
    <w:rsid w:val="00070538"/>
    <w:rsid w:val="0007061F"/>
    <w:rsid w:val="00070935"/>
    <w:rsid w:val="00070AE3"/>
    <w:rsid w:val="00070C6A"/>
    <w:rsid w:val="00070DEB"/>
    <w:rsid w:val="00070FF4"/>
    <w:rsid w:val="00071082"/>
    <w:rsid w:val="00071198"/>
    <w:rsid w:val="000711E6"/>
    <w:rsid w:val="00071BC1"/>
    <w:rsid w:val="00071C40"/>
    <w:rsid w:val="00071CDE"/>
    <w:rsid w:val="00072016"/>
    <w:rsid w:val="00072119"/>
    <w:rsid w:val="00072273"/>
    <w:rsid w:val="0007228E"/>
    <w:rsid w:val="000726A5"/>
    <w:rsid w:val="0007276D"/>
    <w:rsid w:val="000727A7"/>
    <w:rsid w:val="000729B5"/>
    <w:rsid w:val="000729FF"/>
    <w:rsid w:val="00072A82"/>
    <w:rsid w:val="00072B05"/>
    <w:rsid w:val="00072B88"/>
    <w:rsid w:val="0007308F"/>
    <w:rsid w:val="000730B0"/>
    <w:rsid w:val="0007335A"/>
    <w:rsid w:val="00073434"/>
    <w:rsid w:val="00073556"/>
    <w:rsid w:val="00073568"/>
    <w:rsid w:val="000736DA"/>
    <w:rsid w:val="000738FA"/>
    <w:rsid w:val="000739F6"/>
    <w:rsid w:val="00073A42"/>
    <w:rsid w:val="00073C98"/>
    <w:rsid w:val="00073DB8"/>
    <w:rsid w:val="00073E2A"/>
    <w:rsid w:val="00074162"/>
    <w:rsid w:val="00074235"/>
    <w:rsid w:val="00074430"/>
    <w:rsid w:val="000744E8"/>
    <w:rsid w:val="000745FB"/>
    <w:rsid w:val="00074680"/>
    <w:rsid w:val="00074751"/>
    <w:rsid w:val="0007482F"/>
    <w:rsid w:val="00074A20"/>
    <w:rsid w:val="00074A4C"/>
    <w:rsid w:val="00074AD9"/>
    <w:rsid w:val="00074BA1"/>
    <w:rsid w:val="00074EA3"/>
    <w:rsid w:val="00075060"/>
    <w:rsid w:val="00075093"/>
    <w:rsid w:val="0007530B"/>
    <w:rsid w:val="00075321"/>
    <w:rsid w:val="0007566C"/>
    <w:rsid w:val="00075783"/>
    <w:rsid w:val="00075C71"/>
    <w:rsid w:val="00075CA6"/>
    <w:rsid w:val="00075F91"/>
    <w:rsid w:val="00076009"/>
    <w:rsid w:val="000760CE"/>
    <w:rsid w:val="00076262"/>
    <w:rsid w:val="00076453"/>
    <w:rsid w:val="00076773"/>
    <w:rsid w:val="000767CB"/>
    <w:rsid w:val="00076C43"/>
    <w:rsid w:val="00076C67"/>
    <w:rsid w:val="00076CE7"/>
    <w:rsid w:val="00076DAC"/>
    <w:rsid w:val="00076E38"/>
    <w:rsid w:val="00076F46"/>
    <w:rsid w:val="00076FD8"/>
    <w:rsid w:val="0007719F"/>
    <w:rsid w:val="000771C3"/>
    <w:rsid w:val="00077295"/>
    <w:rsid w:val="000773EF"/>
    <w:rsid w:val="000773F3"/>
    <w:rsid w:val="000776DB"/>
    <w:rsid w:val="00077BDF"/>
    <w:rsid w:val="00077BE0"/>
    <w:rsid w:val="00077C6B"/>
    <w:rsid w:val="00080066"/>
    <w:rsid w:val="000800E6"/>
    <w:rsid w:val="000805A4"/>
    <w:rsid w:val="0008062B"/>
    <w:rsid w:val="000809EC"/>
    <w:rsid w:val="00080C66"/>
    <w:rsid w:val="000813A2"/>
    <w:rsid w:val="000814F9"/>
    <w:rsid w:val="00081844"/>
    <w:rsid w:val="0008185C"/>
    <w:rsid w:val="000819B8"/>
    <w:rsid w:val="00081C17"/>
    <w:rsid w:val="00081C90"/>
    <w:rsid w:val="00081D1B"/>
    <w:rsid w:val="00081D60"/>
    <w:rsid w:val="00081F13"/>
    <w:rsid w:val="00082186"/>
    <w:rsid w:val="00082492"/>
    <w:rsid w:val="00082584"/>
    <w:rsid w:val="00082624"/>
    <w:rsid w:val="00082840"/>
    <w:rsid w:val="0008286E"/>
    <w:rsid w:val="000828C0"/>
    <w:rsid w:val="000829AF"/>
    <w:rsid w:val="00082C90"/>
    <w:rsid w:val="00082D81"/>
    <w:rsid w:val="00083064"/>
    <w:rsid w:val="00083088"/>
    <w:rsid w:val="000832C0"/>
    <w:rsid w:val="000833A5"/>
    <w:rsid w:val="0008342D"/>
    <w:rsid w:val="00083442"/>
    <w:rsid w:val="00083625"/>
    <w:rsid w:val="000836D5"/>
    <w:rsid w:val="00083765"/>
    <w:rsid w:val="00083974"/>
    <w:rsid w:val="00083A0B"/>
    <w:rsid w:val="00083A23"/>
    <w:rsid w:val="00083B8C"/>
    <w:rsid w:val="00083D48"/>
    <w:rsid w:val="00083D63"/>
    <w:rsid w:val="0008434A"/>
    <w:rsid w:val="000844CA"/>
    <w:rsid w:val="0008476E"/>
    <w:rsid w:val="0008488E"/>
    <w:rsid w:val="00084D29"/>
    <w:rsid w:val="00084F80"/>
    <w:rsid w:val="00085060"/>
    <w:rsid w:val="000850A3"/>
    <w:rsid w:val="000850CD"/>
    <w:rsid w:val="00085268"/>
    <w:rsid w:val="000855ED"/>
    <w:rsid w:val="00085A68"/>
    <w:rsid w:val="00085B50"/>
    <w:rsid w:val="00085C5C"/>
    <w:rsid w:val="00085E8E"/>
    <w:rsid w:val="00085E8F"/>
    <w:rsid w:val="00085EFB"/>
    <w:rsid w:val="00085FBA"/>
    <w:rsid w:val="0008605E"/>
    <w:rsid w:val="00086091"/>
    <w:rsid w:val="000861DD"/>
    <w:rsid w:val="00086508"/>
    <w:rsid w:val="0008671D"/>
    <w:rsid w:val="00086787"/>
    <w:rsid w:val="00086991"/>
    <w:rsid w:val="0008699E"/>
    <w:rsid w:val="00086B0A"/>
    <w:rsid w:val="00086B27"/>
    <w:rsid w:val="00086C94"/>
    <w:rsid w:val="00086D5E"/>
    <w:rsid w:val="00086D8F"/>
    <w:rsid w:val="00086F01"/>
    <w:rsid w:val="00086F9C"/>
    <w:rsid w:val="00087035"/>
    <w:rsid w:val="0008712E"/>
    <w:rsid w:val="0008713C"/>
    <w:rsid w:val="00087270"/>
    <w:rsid w:val="000874E3"/>
    <w:rsid w:val="000875DA"/>
    <w:rsid w:val="0008766F"/>
    <w:rsid w:val="000876B2"/>
    <w:rsid w:val="00087A4E"/>
    <w:rsid w:val="00087E3F"/>
    <w:rsid w:val="00087F50"/>
    <w:rsid w:val="00087FB8"/>
    <w:rsid w:val="00090332"/>
    <w:rsid w:val="0009051B"/>
    <w:rsid w:val="00090977"/>
    <w:rsid w:val="00090B1E"/>
    <w:rsid w:val="00090B66"/>
    <w:rsid w:val="00090C5D"/>
    <w:rsid w:val="00090C84"/>
    <w:rsid w:val="0009101E"/>
    <w:rsid w:val="00091195"/>
    <w:rsid w:val="000912CD"/>
    <w:rsid w:val="00091447"/>
    <w:rsid w:val="00091475"/>
    <w:rsid w:val="00091610"/>
    <w:rsid w:val="00091613"/>
    <w:rsid w:val="0009162F"/>
    <w:rsid w:val="000916B2"/>
    <w:rsid w:val="00091815"/>
    <w:rsid w:val="0009193A"/>
    <w:rsid w:val="00091A1B"/>
    <w:rsid w:val="00091B64"/>
    <w:rsid w:val="00091F90"/>
    <w:rsid w:val="0009222E"/>
    <w:rsid w:val="000929A8"/>
    <w:rsid w:val="00092AB3"/>
    <w:rsid w:val="00092E89"/>
    <w:rsid w:val="00092F22"/>
    <w:rsid w:val="00092FE7"/>
    <w:rsid w:val="000930B3"/>
    <w:rsid w:val="00093108"/>
    <w:rsid w:val="000935B7"/>
    <w:rsid w:val="000936CA"/>
    <w:rsid w:val="0009392C"/>
    <w:rsid w:val="00093AFB"/>
    <w:rsid w:val="00093BE3"/>
    <w:rsid w:val="00093FD1"/>
    <w:rsid w:val="0009405C"/>
    <w:rsid w:val="00094162"/>
    <w:rsid w:val="00094256"/>
    <w:rsid w:val="0009470E"/>
    <w:rsid w:val="0009481A"/>
    <w:rsid w:val="00094860"/>
    <w:rsid w:val="00094A39"/>
    <w:rsid w:val="00094B7B"/>
    <w:rsid w:val="00094C7C"/>
    <w:rsid w:val="00094CEA"/>
    <w:rsid w:val="00094FD9"/>
    <w:rsid w:val="000950A5"/>
    <w:rsid w:val="0009512C"/>
    <w:rsid w:val="0009518B"/>
    <w:rsid w:val="00095292"/>
    <w:rsid w:val="0009534B"/>
    <w:rsid w:val="00095425"/>
    <w:rsid w:val="000954BA"/>
    <w:rsid w:val="0009560D"/>
    <w:rsid w:val="000956F6"/>
    <w:rsid w:val="0009578F"/>
    <w:rsid w:val="000957DE"/>
    <w:rsid w:val="0009580C"/>
    <w:rsid w:val="0009592E"/>
    <w:rsid w:val="00095A08"/>
    <w:rsid w:val="00095CD7"/>
    <w:rsid w:val="00095E88"/>
    <w:rsid w:val="00095F4A"/>
    <w:rsid w:val="00096049"/>
    <w:rsid w:val="000961E0"/>
    <w:rsid w:val="00096258"/>
    <w:rsid w:val="000962BB"/>
    <w:rsid w:val="0009675B"/>
    <w:rsid w:val="000967F4"/>
    <w:rsid w:val="000969C1"/>
    <w:rsid w:val="00096CF1"/>
    <w:rsid w:val="00096DA9"/>
    <w:rsid w:val="000971AA"/>
    <w:rsid w:val="0009738B"/>
    <w:rsid w:val="0009747E"/>
    <w:rsid w:val="0009771C"/>
    <w:rsid w:val="0009789B"/>
    <w:rsid w:val="00097ACD"/>
    <w:rsid w:val="00097FEF"/>
    <w:rsid w:val="000A002E"/>
    <w:rsid w:val="000A00FA"/>
    <w:rsid w:val="000A0158"/>
    <w:rsid w:val="000A0196"/>
    <w:rsid w:val="000A0270"/>
    <w:rsid w:val="000A040E"/>
    <w:rsid w:val="000A09AA"/>
    <w:rsid w:val="000A0A41"/>
    <w:rsid w:val="000A0CE3"/>
    <w:rsid w:val="000A0DF3"/>
    <w:rsid w:val="000A126F"/>
    <w:rsid w:val="000A1452"/>
    <w:rsid w:val="000A1701"/>
    <w:rsid w:val="000A1B99"/>
    <w:rsid w:val="000A2074"/>
    <w:rsid w:val="000A232D"/>
    <w:rsid w:val="000A23A2"/>
    <w:rsid w:val="000A2590"/>
    <w:rsid w:val="000A27CB"/>
    <w:rsid w:val="000A2874"/>
    <w:rsid w:val="000A2926"/>
    <w:rsid w:val="000A29AF"/>
    <w:rsid w:val="000A2AD6"/>
    <w:rsid w:val="000A2E4B"/>
    <w:rsid w:val="000A2F05"/>
    <w:rsid w:val="000A3189"/>
    <w:rsid w:val="000A327D"/>
    <w:rsid w:val="000A3439"/>
    <w:rsid w:val="000A34A0"/>
    <w:rsid w:val="000A34B5"/>
    <w:rsid w:val="000A3530"/>
    <w:rsid w:val="000A3562"/>
    <w:rsid w:val="000A35AC"/>
    <w:rsid w:val="000A365D"/>
    <w:rsid w:val="000A36F0"/>
    <w:rsid w:val="000A371A"/>
    <w:rsid w:val="000A3A88"/>
    <w:rsid w:val="000A4030"/>
    <w:rsid w:val="000A4367"/>
    <w:rsid w:val="000A4449"/>
    <w:rsid w:val="000A44F4"/>
    <w:rsid w:val="000A45AE"/>
    <w:rsid w:val="000A46A4"/>
    <w:rsid w:val="000A46E1"/>
    <w:rsid w:val="000A471F"/>
    <w:rsid w:val="000A47B1"/>
    <w:rsid w:val="000A481C"/>
    <w:rsid w:val="000A48A2"/>
    <w:rsid w:val="000A48FE"/>
    <w:rsid w:val="000A4952"/>
    <w:rsid w:val="000A4969"/>
    <w:rsid w:val="000A5108"/>
    <w:rsid w:val="000A514B"/>
    <w:rsid w:val="000A5194"/>
    <w:rsid w:val="000A5435"/>
    <w:rsid w:val="000A547B"/>
    <w:rsid w:val="000A5631"/>
    <w:rsid w:val="000A5772"/>
    <w:rsid w:val="000A5A7B"/>
    <w:rsid w:val="000A5B91"/>
    <w:rsid w:val="000A5EAB"/>
    <w:rsid w:val="000A61EE"/>
    <w:rsid w:val="000A625B"/>
    <w:rsid w:val="000A64FA"/>
    <w:rsid w:val="000A6655"/>
    <w:rsid w:val="000A66A8"/>
    <w:rsid w:val="000A67EE"/>
    <w:rsid w:val="000A68FF"/>
    <w:rsid w:val="000A6935"/>
    <w:rsid w:val="000A6990"/>
    <w:rsid w:val="000A6A08"/>
    <w:rsid w:val="000A6DD8"/>
    <w:rsid w:val="000A6F68"/>
    <w:rsid w:val="000A7022"/>
    <w:rsid w:val="000A7660"/>
    <w:rsid w:val="000A77A0"/>
    <w:rsid w:val="000A79DB"/>
    <w:rsid w:val="000A7E9B"/>
    <w:rsid w:val="000A7F90"/>
    <w:rsid w:val="000B019B"/>
    <w:rsid w:val="000B01E1"/>
    <w:rsid w:val="000B0340"/>
    <w:rsid w:val="000B04F1"/>
    <w:rsid w:val="000B05A1"/>
    <w:rsid w:val="000B070E"/>
    <w:rsid w:val="000B09B5"/>
    <w:rsid w:val="000B0A9C"/>
    <w:rsid w:val="000B0E29"/>
    <w:rsid w:val="000B0F10"/>
    <w:rsid w:val="000B1072"/>
    <w:rsid w:val="000B10A8"/>
    <w:rsid w:val="000B1420"/>
    <w:rsid w:val="000B1425"/>
    <w:rsid w:val="000B1442"/>
    <w:rsid w:val="000B15E0"/>
    <w:rsid w:val="000B1953"/>
    <w:rsid w:val="000B1AC8"/>
    <w:rsid w:val="000B1FC6"/>
    <w:rsid w:val="000B2059"/>
    <w:rsid w:val="000B2271"/>
    <w:rsid w:val="000B2273"/>
    <w:rsid w:val="000B22FA"/>
    <w:rsid w:val="000B2339"/>
    <w:rsid w:val="000B27B8"/>
    <w:rsid w:val="000B2899"/>
    <w:rsid w:val="000B2C3B"/>
    <w:rsid w:val="000B2D1D"/>
    <w:rsid w:val="000B2D4C"/>
    <w:rsid w:val="000B3262"/>
    <w:rsid w:val="000B334D"/>
    <w:rsid w:val="000B3393"/>
    <w:rsid w:val="000B33CF"/>
    <w:rsid w:val="000B345C"/>
    <w:rsid w:val="000B3465"/>
    <w:rsid w:val="000B372E"/>
    <w:rsid w:val="000B3AB3"/>
    <w:rsid w:val="000B3BA2"/>
    <w:rsid w:val="000B3CE8"/>
    <w:rsid w:val="000B3D36"/>
    <w:rsid w:val="000B3E06"/>
    <w:rsid w:val="000B3ECB"/>
    <w:rsid w:val="000B40FB"/>
    <w:rsid w:val="000B4124"/>
    <w:rsid w:val="000B417C"/>
    <w:rsid w:val="000B4367"/>
    <w:rsid w:val="000B461B"/>
    <w:rsid w:val="000B47F7"/>
    <w:rsid w:val="000B49CD"/>
    <w:rsid w:val="000B4A5C"/>
    <w:rsid w:val="000B4B1D"/>
    <w:rsid w:val="000B4B4A"/>
    <w:rsid w:val="000B4B89"/>
    <w:rsid w:val="000B4C20"/>
    <w:rsid w:val="000B4CC8"/>
    <w:rsid w:val="000B4F35"/>
    <w:rsid w:val="000B5105"/>
    <w:rsid w:val="000B523F"/>
    <w:rsid w:val="000B5259"/>
    <w:rsid w:val="000B5509"/>
    <w:rsid w:val="000B5575"/>
    <w:rsid w:val="000B55B3"/>
    <w:rsid w:val="000B577C"/>
    <w:rsid w:val="000B5889"/>
    <w:rsid w:val="000B5CF8"/>
    <w:rsid w:val="000B5DEA"/>
    <w:rsid w:val="000B5E97"/>
    <w:rsid w:val="000B5EDE"/>
    <w:rsid w:val="000B6193"/>
    <w:rsid w:val="000B6554"/>
    <w:rsid w:val="000B676D"/>
    <w:rsid w:val="000B67DC"/>
    <w:rsid w:val="000B683C"/>
    <w:rsid w:val="000B6884"/>
    <w:rsid w:val="000B6998"/>
    <w:rsid w:val="000B69AC"/>
    <w:rsid w:val="000B6B06"/>
    <w:rsid w:val="000B6B46"/>
    <w:rsid w:val="000B6D29"/>
    <w:rsid w:val="000B6D58"/>
    <w:rsid w:val="000B74AE"/>
    <w:rsid w:val="000B7630"/>
    <w:rsid w:val="000B7658"/>
    <w:rsid w:val="000B78E1"/>
    <w:rsid w:val="000B7A12"/>
    <w:rsid w:val="000B7BF7"/>
    <w:rsid w:val="000B7DA5"/>
    <w:rsid w:val="000C01B3"/>
    <w:rsid w:val="000C01BD"/>
    <w:rsid w:val="000C01E2"/>
    <w:rsid w:val="000C05FD"/>
    <w:rsid w:val="000C0768"/>
    <w:rsid w:val="000C0D60"/>
    <w:rsid w:val="000C0F27"/>
    <w:rsid w:val="000C0F4B"/>
    <w:rsid w:val="000C1122"/>
    <w:rsid w:val="000C1652"/>
    <w:rsid w:val="000C1784"/>
    <w:rsid w:val="000C1A61"/>
    <w:rsid w:val="000C1B2A"/>
    <w:rsid w:val="000C1CE7"/>
    <w:rsid w:val="000C1CFA"/>
    <w:rsid w:val="000C1E6F"/>
    <w:rsid w:val="000C1F74"/>
    <w:rsid w:val="000C2254"/>
    <w:rsid w:val="000C23E4"/>
    <w:rsid w:val="000C24BA"/>
    <w:rsid w:val="000C2548"/>
    <w:rsid w:val="000C2703"/>
    <w:rsid w:val="000C2960"/>
    <w:rsid w:val="000C2963"/>
    <w:rsid w:val="000C2D05"/>
    <w:rsid w:val="000C301A"/>
    <w:rsid w:val="000C316D"/>
    <w:rsid w:val="000C3428"/>
    <w:rsid w:val="000C34DA"/>
    <w:rsid w:val="000C380B"/>
    <w:rsid w:val="000C3A32"/>
    <w:rsid w:val="000C3ADC"/>
    <w:rsid w:val="000C3B94"/>
    <w:rsid w:val="000C3DF9"/>
    <w:rsid w:val="000C3F0B"/>
    <w:rsid w:val="000C3F17"/>
    <w:rsid w:val="000C4335"/>
    <w:rsid w:val="000C439D"/>
    <w:rsid w:val="000C45A5"/>
    <w:rsid w:val="000C465C"/>
    <w:rsid w:val="000C4703"/>
    <w:rsid w:val="000C48CC"/>
    <w:rsid w:val="000C4915"/>
    <w:rsid w:val="000C4A3A"/>
    <w:rsid w:val="000C4C71"/>
    <w:rsid w:val="000C5255"/>
    <w:rsid w:val="000C5332"/>
    <w:rsid w:val="000C5378"/>
    <w:rsid w:val="000C5421"/>
    <w:rsid w:val="000C5582"/>
    <w:rsid w:val="000C5821"/>
    <w:rsid w:val="000C59A0"/>
    <w:rsid w:val="000C5C1E"/>
    <w:rsid w:val="000C5CEA"/>
    <w:rsid w:val="000C6264"/>
    <w:rsid w:val="000C666B"/>
    <w:rsid w:val="000C6981"/>
    <w:rsid w:val="000C69AE"/>
    <w:rsid w:val="000C69EF"/>
    <w:rsid w:val="000C6AB6"/>
    <w:rsid w:val="000C6F9B"/>
    <w:rsid w:val="000C72B5"/>
    <w:rsid w:val="000C7374"/>
    <w:rsid w:val="000C74E0"/>
    <w:rsid w:val="000C768A"/>
    <w:rsid w:val="000C785D"/>
    <w:rsid w:val="000C79D1"/>
    <w:rsid w:val="000C7B5F"/>
    <w:rsid w:val="000C7DC7"/>
    <w:rsid w:val="000C7E47"/>
    <w:rsid w:val="000C7E58"/>
    <w:rsid w:val="000C7F5F"/>
    <w:rsid w:val="000D0515"/>
    <w:rsid w:val="000D052A"/>
    <w:rsid w:val="000D075F"/>
    <w:rsid w:val="000D08C6"/>
    <w:rsid w:val="000D0CAC"/>
    <w:rsid w:val="000D0CCA"/>
    <w:rsid w:val="000D0D43"/>
    <w:rsid w:val="000D1536"/>
    <w:rsid w:val="000D1608"/>
    <w:rsid w:val="000D168C"/>
    <w:rsid w:val="000D16DC"/>
    <w:rsid w:val="000D1701"/>
    <w:rsid w:val="000D1766"/>
    <w:rsid w:val="000D1790"/>
    <w:rsid w:val="000D1930"/>
    <w:rsid w:val="000D1A4E"/>
    <w:rsid w:val="000D1BE5"/>
    <w:rsid w:val="000D1CC3"/>
    <w:rsid w:val="000D2169"/>
    <w:rsid w:val="000D22C2"/>
    <w:rsid w:val="000D2533"/>
    <w:rsid w:val="000D256D"/>
    <w:rsid w:val="000D266E"/>
    <w:rsid w:val="000D28C5"/>
    <w:rsid w:val="000D292B"/>
    <w:rsid w:val="000D2B58"/>
    <w:rsid w:val="000D2E06"/>
    <w:rsid w:val="000D2E0E"/>
    <w:rsid w:val="000D3177"/>
    <w:rsid w:val="000D3193"/>
    <w:rsid w:val="000D372B"/>
    <w:rsid w:val="000D380F"/>
    <w:rsid w:val="000D397E"/>
    <w:rsid w:val="000D3BBB"/>
    <w:rsid w:val="000D3D98"/>
    <w:rsid w:val="000D3FFA"/>
    <w:rsid w:val="000D4012"/>
    <w:rsid w:val="000D4264"/>
    <w:rsid w:val="000D42DC"/>
    <w:rsid w:val="000D42EC"/>
    <w:rsid w:val="000D438A"/>
    <w:rsid w:val="000D474C"/>
    <w:rsid w:val="000D47EC"/>
    <w:rsid w:val="000D480C"/>
    <w:rsid w:val="000D485B"/>
    <w:rsid w:val="000D4881"/>
    <w:rsid w:val="000D4AAC"/>
    <w:rsid w:val="000D4B78"/>
    <w:rsid w:val="000D4E30"/>
    <w:rsid w:val="000D4F8F"/>
    <w:rsid w:val="000D4FEF"/>
    <w:rsid w:val="000D50A4"/>
    <w:rsid w:val="000D533F"/>
    <w:rsid w:val="000D545B"/>
    <w:rsid w:val="000D5487"/>
    <w:rsid w:val="000D54E6"/>
    <w:rsid w:val="000D592F"/>
    <w:rsid w:val="000D5B36"/>
    <w:rsid w:val="000D5B78"/>
    <w:rsid w:val="000D5B80"/>
    <w:rsid w:val="000D5ED4"/>
    <w:rsid w:val="000D609E"/>
    <w:rsid w:val="000D6229"/>
    <w:rsid w:val="000D65B0"/>
    <w:rsid w:val="000D661F"/>
    <w:rsid w:val="000D676D"/>
    <w:rsid w:val="000D6834"/>
    <w:rsid w:val="000D689E"/>
    <w:rsid w:val="000D6A60"/>
    <w:rsid w:val="000D6A93"/>
    <w:rsid w:val="000D6C5B"/>
    <w:rsid w:val="000D6C78"/>
    <w:rsid w:val="000D71C3"/>
    <w:rsid w:val="000D7801"/>
    <w:rsid w:val="000D7840"/>
    <w:rsid w:val="000D7B2A"/>
    <w:rsid w:val="000E014E"/>
    <w:rsid w:val="000E03C6"/>
    <w:rsid w:val="000E0543"/>
    <w:rsid w:val="000E06CE"/>
    <w:rsid w:val="000E0A72"/>
    <w:rsid w:val="000E0EE6"/>
    <w:rsid w:val="000E0FD7"/>
    <w:rsid w:val="000E1024"/>
    <w:rsid w:val="000E1032"/>
    <w:rsid w:val="000E104B"/>
    <w:rsid w:val="000E1316"/>
    <w:rsid w:val="000E13CC"/>
    <w:rsid w:val="000E154A"/>
    <w:rsid w:val="000E167A"/>
    <w:rsid w:val="000E177F"/>
    <w:rsid w:val="000E17C4"/>
    <w:rsid w:val="000E1C1B"/>
    <w:rsid w:val="000E1E72"/>
    <w:rsid w:val="000E1F40"/>
    <w:rsid w:val="000E1FF2"/>
    <w:rsid w:val="000E20EB"/>
    <w:rsid w:val="000E2154"/>
    <w:rsid w:val="000E244B"/>
    <w:rsid w:val="000E2478"/>
    <w:rsid w:val="000E254F"/>
    <w:rsid w:val="000E2910"/>
    <w:rsid w:val="000E2C19"/>
    <w:rsid w:val="000E2DD4"/>
    <w:rsid w:val="000E2E9E"/>
    <w:rsid w:val="000E335B"/>
    <w:rsid w:val="000E335D"/>
    <w:rsid w:val="000E3618"/>
    <w:rsid w:val="000E377C"/>
    <w:rsid w:val="000E37A7"/>
    <w:rsid w:val="000E3AA6"/>
    <w:rsid w:val="000E3D26"/>
    <w:rsid w:val="000E3D3B"/>
    <w:rsid w:val="000E422F"/>
    <w:rsid w:val="000E4267"/>
    <w:rsid w:val="000E47AF"/>
    <w:rsid w:val="000E495A"/>
    <w:rsid w:val="000E4BFA"/>
    <w:rsid w:val="000E4C0E"/>
    <w:rsid w:val="000E4C2D"/>
    <w:rsid w:val="000E4C73"/>
    <w:rsid w:val="000E4F3F"/>
    <w:rsid w:val="000E5015"/>
    <w:rsid w:val="000E50C1"/>
    <w:rsid w:val="000E535C"/>
    <w:rsid w:val="000E5765"/>
    <w:rsid w:val="000E57D3"/>
    <w:rsid w:val="000E5935"/>
    <w:rsid w:val="000E59E6"/>
    <w:rsid w:val="000E59FA"/>
    <w:rsid w:val="000E5BB6"/>
    <w:rsid w:val="000E5C65"/>
    <w:rsid w:val="000E5CA0"/>
    <w:rsid w:val="000E5D58"/>
    <w:rsid w:val="000E5F26"/>
    <w:rsid w:val="000E609D"/>
    <w:rsid w:val="000E61C4"/>
    <w:rsid w:val="000E61E4"/>
    <w:rsid w:val="000E64B0"/>
    <w:rsid w:val="000E6523"/>
    <w:rsid w:val="000E657C"/>
    <w:rsid w:val="000E65E4"/>
    <w:rsid w:val="000E6683"/>
    <w:rsid w:val="000E674E"/>
    <w:rsid w:val="000E679E"/>
    <w:rsid w:val="000E68B8"/>
    <w:rsid w:val="000E695F"/>
    <w:rsid w:val="000E6C88"/>
    <w:rsid w:val="000E6D37"/>
    <w:rsid w:val="000E708F"/>
    <w:rsid w:val="000E711D"/>
    <w:rsid w:val="000E727E"/>
    <w:rsid w:val="000E748B"/>
    <w:rsid w:val="000E7497"/>
    <w:rsid w:val="000E7614"/>
    <w:rsid w:val="000E774D"/>
    <w:rsid w:val="000E7C05"/>
    <w:rsid w:val="000E7C07"/>
    <w:rsid w:val="000E7C68"/>
    <w:rsid w:val="000E7EF6"/>
    <w:rsid w:val="000E7F09"/>
    <w:rsid w:val="000E7F1A"/>
    <w:rsid w:val="000F0055"/>
    <w:rsid w:val="000F024E"/>
    <w:rsid w:val="000F03E8"/>
    <w:rsid w:val="000F042F"/>
    <w:rsid w:val="000F0707"/>
    <w:rsid w:val="000F08BD"/>
    <w:rsid w:val="000F0D02"/>
    <w:rsid w:val="000F0E83"/>
    <w:rsid w:val="000F0E9A"/>
    <w:rsid w:val="000F0EA8"/>
    <w:rsid w:val="000F1079"/>
    <w:rsid w:val="000F1150"/>
    <w:rsid w:val="000F11C6"/>
    <w:rsid w:val="000F122D"/>
    <w:rsid w:val="000F1767"/>
    <w:rsid w:val="000F1A37"/>
    <w:rsid w:val="000F1C6B"/>
    <w:rsid w:val="000F1CE5"/>
    <w:rsid w:val="000F1D67"/>
    <w:rsid w:val="000F1DCE"/>
    <w:rsid w:val="000F1EBB"/>
    <w:rsid w:val="000F20D0"/>
    <w:rsid w:val="000F2627"/>
    <w:rsid w:val="000F28E1"/>
    <w:rsid w:val="000F2B20"/>
    <w:rsid w:val="000F2B48"/>
    <w:rsid w:val="000F2D90"/>
    <w:rsid w:val="000F2E0A"/>
    <w:rsid w:val="000F30B0"/>
    <w:rsid w:val="000F31CB"/>
    <w:rsid w:val="000F341A"/>
    <w:rsid w:val="000F357D"/>
    <w:rsid w:val="000F371F"/>
    <w:rsid w:val="000F3980"/>
    <w:rsid w:val="000F3AE1"/>
    <w:rsid w:val="000F3C44"/>
    <w:rsid w:val="000F3D4B"/>
    <w:rsid w:val="000F3D74"/>
    <w:rsid w:val="000F3E3B"/>
    <w:rsid w:val="000F3F3A"/>
    <w:rsid w:val="000F4100"/>
    <w:rsid w:val="000F42FC"/>
    <w:rsid w:val="000F4780"/>
    <w:rsid w:val="000F47B5"/>
    <w:rsid w:val="000F482A"/>
    <w:rsid w:val="000F4EC9"/>
    <w:rsid w:val="000F522B"/>
    <w:rsid w:val="000F5575"/>
    <w:rsid w:val="000F586E"/>
    <w:rsid w:val="000F58A3"/>
    <w:rsid w:val="000F5D1A"/>
    <w:rsid w:val="000F5D4A"/>
    <w:rsid w:val="000F5DE2"/>
    <w:rsid w:val="000F5E08"/>
    <w:rsid w:val="000F5E0B"/>
    <w:rsid w:val="000F5F43"/>
    <w:rsid w:val="000F5FAD"/>
    <w:rsid w:val="000F6200"/>
    <w:rsid w:val="000F62C7"/>
    <w:rsid w:val="000F64CD"/>
    <w:rsid w:val="000F658A"/>
    <w:rsid w:val="000F68E7"/>
    <w:rsid w:val="000F6A11"/>
    <w:rsid w:val="000F6A7C"/>
    <w:rsid w:val="000F6B6C"/>
    <w:rsid w:val="000F6C0A"/>
    <w:rsid w:val="000F6C43"/>
    <w:rsid w:val="000F6D38"/>
    <w:rsid w:val="000F6DE5"/>
    <w:rsid w:val="000F6E0B"/>
    <w:rsid w:val="000F6F19"/>
    <w:rsid w:val="000F7559"/>
    <w:rsid w:val="000F763A"/>
    <w:rsid w:val="000F7820"/>
    <w:rsid w:val="000F783D"/>
    <w:rsid w:val="000F78BE"/>
    <w:rsid w:val="000F79E1"/>
    <w:rsid w:val="000F7DE1"/>
    <w:rsid w:val="000F7E16"/>
    <w:rsid w:val="000F7E71"/>
    <w:rsid w:val="000F7F9C"/>
    <w:rsid w:val="001003BC"/>
    <w:rsid w:val="001005BC"/>
    <w:rsid w:val="00100654"/>
    <w:rsid w:val="00100875"/>
    <w:rsid w:val="00100961"/>
    <w:rsid w:val="00100B2A"/>
    <w:rsid w:val="00100D8A"/>
    <w:rsid w:val="00100ECC"/>
    <w:rsid w:val="00101165"/>
    <w:rsid w:val="001015A3"/>
    <w:rsid w:val="00101894"/>
    <w:rsid w:val="00101930"/>
    <w:rsid w:val="00101A96"/>
    <w:rsid w:val="00101BD3"/>
    <w:rsid w:val="00101D41"/>
    <w:rsid w:val="00101D7D"/>
    <w:rsid w:val="00101DD8"/>
    <w:rsid w:val="00102215"/>
    <w:rsid w:val="00102245"/>
    <w:rsid w:val="0010226C"/>
    <w:rsid w:val="001022E7"/>
    <w:rsid w:val="001023AD"/>
    <w:rsid w:val="001023C0"/>
    <w:rsid w:val="00102731"/>
    <w:rsid w:val="0010289D"/>
    <w:rsid w:val="0010289E"/>
    <w:rsid w:val="00102A64"/>
    <w:rsid w:val="00102D8C"/>
    <w:rsid w:val="00102E3C"/>
    <w:rsid w:val="00102FCE"/>
    <w:rsid w:val="00103075"/>
    <w:rsid w:val="001030BB"/>
    <w:rsid w:val="00103168"/>
    <w:rsid w:val="001033B7"/>
    <w:rsid w:val="00103404"/>
    <w:rsid w:val="00103424"/>
    <w:rsid w:val="0010348D"/>
    <w:rsid w:val="001034A2"/>
    <w:rsid w:val="001035E4"/>
    <w:rsid w:val="001036D7"/>
    <w:rsid w:val="0010385E"/>
    <w:rsid w:val="00103DFB"/>
    <w:rsid w:val="00103E48"/>
    <w:rsid w:val="001042C2"/>
    <w:rsid w:val="00104566"/>
    <w:rsid w:val="001045B5"/>
    <w:rsid w:val="0010482C"/>
    <w:rsid w:val="001048CA"/>
    <w:rsid w:val="001049DE"/>
    <w:rsid w:val="00104A6E"/>
    <w:rsid w:val="00104B24"/>
    <w:rsid w:val="00104EDE"/>
    <w:rsid w:val="00104F02"/>
    <w:rsid w:val="00104F83"/>
    <w:rsid w:val="00105412"/>
    <w:rsid w:val="00105461"/>
    <w:rsid w:val="001054D2"/>
    <w:rsid w:val="00105572"/>
    <w:rsid w:val="00105621"/>
    <w:rsid w:val="00105737"/>
    <w:rsid w:val="00105759"/>
    <w:rsid w:val="0010581A"/>
    <w:rsid w:val="0010584E"/>
    <w:rsid w:val="001058A0"/>
    <w:rsid w:val="0010593B"/>
    <w:rsid w:val="00105A09"/>
    <w:rsid w:val="00105B59"/>
    <w:rsid w:val="00105C2B"/>
    <w:rsid w:val="00105D16"/>
    <w:rsid w:val="00105FA4"/>
    <w:rsid w:val="001060C7"/>
    <w:rsid w:val="0010614F"/>
    <w:rsid w:val="001062C7"/>
    <w:rsid w:val="0010630D"/>
    <w:rsid w:val="00106347"/>
    <w:rsid w:val="00106376"/>
    <w:rsid w:val="00106499"/>
    <w:rsid w:val="0010669A"/>
    <w:rsid w:val="00106791"/>
    <w:rsid w:val="00106905"/>
    <w:rsid w:val="00106AC5"/>
    <w:rsid w:val="00106B3D"/>
    <w:rsid w:val="00106B3E"/>
    <w:rsid w:val="00106D15"/>
    <w:rsid w:val="00106EF0"/>
    <w:rsid w:val="001073E1"/>
    <w:rsid w:val="001076EB"/>
    <w:rsid w:val="001077AD"/>
    <w:rsid w:val="001079BA"/>
    <w:rsid w:val="00107CBA"/>
    <w:rsid w:val="00107D85"/>
    <w:rsid w:val="00107D89"/>
    <w:rsid w:val="001102CD"/>
    <w:rsid w:val="0011039C"/>
    <w:rsid w:val="00110543"/>
    <w:rsid w:val="001105BA"/>
    <w:rsid w:val="00110637"/>
    <w:rsid w:val="00110730"/>
    <w:rsid w:val="0011074D"/>
    <w:rsid w:val="00110B60"/>
    <w:rsid w:val="00110BFA"/>
    <w:rsid w:val="00110EC5"/>
    <w:rsid w:val="001110DE"/>
    <w:rsid w:val="001111EA"/>
    <w:rsid w:val="0011143D"/>
    <w:rsid w:val="00111896"/>
    <w:rsid w:val="001118C0"/>
    <w:rsid w:val="001118D0"/>
    <w:rsid w:val="00111AE4"/>
    <w:rsid w:val="00111BA0"/>
    <w:rsid w:val="00111CE1"/>
    <w:rsid w:val="00111E5A"/>
    <w:rsid w:val="0011205D"/>
    <w:rsid w:val="0011224C"/>
    <w:rsid w:val="00112672"/>
    <w:rsid w:val="001127FF"/>
    <w:rsid w:val="001128F8"/>
    <w:rsid w:val="00112912"/>
    <w:rsid w:val="00112935"/>
    <w:rsid w:val="0011299B"/>
    <w:rsid w:val="001129AA"/>
    <w:rsid w:val="00112AE7"/>
    <w:rsid w:val="00112CE7"/>
    <w:rsid w:val="00112F63"/>
    <w:rsid w:val="0011326B"/>
    <w:rsid w:val="00113321"/>
    <w:rsid w:val="0011338C"/>
    <w:rsid w:val="0011357C"/>
    <w:rsid w:val="001135D6"/>
    <w:rsid w:val="00113614"/>
    <w:rsid w:val="00113753"/>
    <w:rsid w:val="00113C94"/>
    <w:rsid w:val="00113F63"/>
    <w:rsid w:val="0011405C"/>
    <w:rsid w:val="00114071"/>
    <w:rsid w:val="00114560"/>
    <w:rsid w:val="00114789"/>
    <w:rsid w:val="001147F1"/>
    <w:rsid w:val="001148F1"/>
    <w:rsid w:val="00114BB2"/>
    <w:rsid w:val="00114F5B"/>
    <w:rsid w:val="00114F6E"/>
    <w:rsid w:val="0011515C"/>
    <w:rsid w:val="001152ED"/>
    <w:rsid w:val="00115362"/>
    <w:rsid w:val="00115445"/>
    <w:rsid w:val="001155B6"/>
    <w:rsid w:val="001156F7"/>
    <w:rsid w:val="001157FF"/>
    <w:rsid w:val="00115841"/>
    <w:rsid w:val="001158F8"/>
    <w:rsid w:val="00115925"/>
    <w:rsid w:val="00115AA0"/>
    <w:rsid w:val="00115B44"/>
    <w:rsid w:val="00115CC9"/>
    <w:rsid w:val="00115D22"/>
    <w:rsid w:val="00115D31"/>
    <w:rsid w:val="00115E19"/>
    <w:rsid w:val="00115E9E"/>
    <w:rsid w:val="001163DC"/>
    <w:rsid w:val="0011654B"/>
    <w:rsid w:val="00116680"/>
    <w:rsid w:val="00116BD8"/>
    <w:rsid w:val="00116DFE"/>
    <w:rsid w:val="00116E4F"/>
    <w:rsid w:val="001171D9"/>
    <w:rsid w:val="0011722E"/>
    <w:rsid w:val="00117276"/>
    <w:rsid w:val="001173A5"/>
    <w:rsid w:val="00117637"/>
    <w:rsid w:val="00117671"/>
    <w:rsid w:val="00117673"/>
    <w:rsid w:val="0011772B"/>
    <w:rsid w:val="00117A59"/>
    <w:rsid w:val="00117A8D"/>
    <w:rsid w:val="00117C29"/>
    <w:rsid w:val="00117E03"/>
    <w:rsid w:val="00117E07"/>
    <w:rsid w:val="00117E5D"/>
    <w:rsid w:val="00120217"/>
    <w:rsid w:val="0012021E"/>
    <w:rsid w:val="0012024C"/>
    <w:rsid w:val="001202F9"/>
    <w:rsid w:val="001203B1"/>
    <w:rsid w:val="0012049F"/>
    <w:rsid w:val="001205DD"/>
    <w:rsid w:val="001206A9"/>
    <w:rsid w:val="001206B0"/>
    <w:rsid w:val="00120CDE"/>
    <w:rsid w:val="00120D87"/>
    <w:rsid w:val="00120F78"/>
    <w:rsid w:val="001210D0"/>
    <w:rsid w:val="001212FD"/>
    <w:rsid w:val="00121489"/>
    <w:rsid w:val="001215D0"/>
    <w:rsid w:val="001216FA"/>
    <w:rsid w:val="00121827"/>
    <w:rsid w:val="00121A20"/>
    <w:rsid w:val="00121ABF"/>
    <w:rsid w:val="00121CE1"/>
    <w:rsid w:val="00121FE9"/>
    <w:rsid w:val="00122030"/>
    <w:rsid w:val="001223B0"/>
    <w:rsid w:val="00122513"/>
    <w:rsid w:val="00122584"/>
    <w:rsid w:val="001225AD"/>
    <w:rsid w:val="00122645"/>
    <w:rsid w:val="0012279B"/>
    <w:rsid w:val="001228D9"/>
    <w:rsid w:val="00122A97"/>
    <w:rsid w:val="00122ACF"/>
    <w:rsid w:val="00123277"/>
    <w:rsid w:val="0012333C"/>
    <w:rsid w:val="00123387"/>
    <w:rsid w:val="0012348F"/>
    <w:rsid w:val="001236B3"/>
    <w:rsid w:val="00123746"/>
    <w:rsid w:val="00123795"/>
    <w:rsid w:val="0012381D"/>
    <w:rsid w:val="00123D3C"/>
    <w:rsid w:val="00123DA3"/>
    <w:rsid w:val="00123DCC"/>
    <w:rsid w:val="00124A67"/>
    <w:rsid w:val="00124C23"/>
    <w:rsid w:val="00124F08"/>
    <w:rsid w:val="00124F91"/>
    <w:rsid w:val="001250DA"/>
    <w:rsid w:val="0012524A"/>
    <w:rsid w:val="0012533B"/>
    <w:rsid w:val="00125479"/>
    <w:rsid w:val="0012567E"/>
    <w:rsid w:val="0012569F"/>
    <w:rsid w:val="0012594A"/>
    <w:rsid w:val="0012595C"/>
    <w:rsid w:val="00125C95"/>
    <w:rsid w:val="00125CA3"/>
    <w:rsid w:val="001262A5"/>
    <w:rsid w:val="0012643B"/>
    <w:rsid w:val="0012654C"/>
    <w:rsid w:val="00126664"/>
    <w:rsid w:val="001269AB"/>
    <w:rsid w:val="00126D3E"/>
    <w:rsid w:val="00126F37"/>
    <w:rsid w:val="00127046"/>
    <w:rsid w:val="00127254"/>
    <w:rsid w:val="0012749C"/>
    <w:rsid w:val="00127574"/>
    <w:rsid w:val="001279FE"/>
    <w:rsid w:val="00127E01"/>
    <w:rsid w:val="00127F69"/>
    <w:rsid w:val="0013001D"/>
    <w:rsid w:val="00130213"/>
    <w:rsid w:val="0013025A"/>
    <w:rsid w:val="001304F1"/>
    <w:rsid w:val="0013054E"/>
    <w:rsid w:val="00130691"/>
    <w:rsid w:val="001306E9"/>
    <w:rsid w:val="00130837"/>
    <w:rsid w:val="00130A7F"/>
    <w:rsid w:val="00130BFA"/>
    <w:rsid w:val="00130C95"/>
    <w:rsid w:val="00130DFB"/>
    <w:rsid w:val="00130E25"/>
    <w:rsid w:val="00130E9C"/>
    <w:rsid w:val="00130F46"/>
    <w:rsid w:val="00130F96"/>
    <w:rsid w:val="00131094"/>
    <w:rsid w:val="001310B9"/>
    <w:rsid w:val="001310E9"/>
    <w:rsid w:val="0013121C"/>
    <w:rsid w:val="0013141E"/>
    <w:rsid w:val="00131468"/>
    <w:rsid w:val="00131659"/>
    <w:rsid w:val="00131667"/>
    <w:rsid w:val="00131AB4"/>
    <w:rsid w:val="00131D13"/>
    <w:rsid w:val="00131EBA"/>
    <w:rsid w:val="0013216E"/>
    <w:rsid w:val="0013226A"/>
    <w:rsid w:val="001323CC"/>
    <w:rsid w:val="0013278C"/>
    <w:rsid w:val="001327C5"/>
    <w:rsid w:val="0013281C"/>
    <w:rsid w:val="00132908"/>
    <w:rsid w:val="0013293A"/>
    <w:rsid w:val="0013295E"/>
    <w:rsid w:val="00132AE8"/>
    <w:rsid w:val="00132F04"/>
    <w:rsid w:val="00132F9E"/>
    <w:rsid w:val="001331BB"/>
    <w:rsid w:val="001332A1"/>
    <w:rsid w:val="00133395"/>
    <w:rsid w:val="001333BF"/>
    <w:rsid w:val="00133822"/>
    <w:rsid w:val="00133851"/>
    <w:rsid w:val="0013396E"/>
    <w:rsid w:val="00133A80"/>
    <w:rsid w:val="00133EE8"/>
    <w:rsid w:val="00133F4F"/>
    <w:rsid w:val="0013416F"/>
    <w:rsid w:val="00134215"/>
    <w:rsid w:val="001342B5"/>
    <w:rsid w:val="001344C1"/>
    <w:rsid w:val="00134E27"/>
    <w:rsid w:val="00134F73"/>
    <w:rsid w:val="0013500F"/>
    <w:rsid w:val="00135096"/>
    <w:rsid w:val="0013512D"/>
    <w:rsid w:val="00135349"/>
    <w:rsid w:val="00135392"/>
    <w:rsid w:val="001354C4"/>
    <w:rsid w:val="00135519"/>
    <w:rsid w:val="00135826"/>
    <w:rsid w:val="00135863"/>
    <w:rsid w:val="00135997"/>
    <w:rsid w:val="00135BCA"/>
    <w:rsid w:val="00135F78"/>
    <w:rsid w:val="00135F9B"/>
    <w:rsid w:val="001360AC"/>
    <w:rsid w:val="00136447"/>
    <w:rsid w:val="001365A8"/>
    <w:rsid w:val="00136697"/>
    <w:rsid w:val="001366E8"/>
    <w:rsid w:val="001367CF"/>
    <w:rsid w:val="00136911"/>
    <w:rsid w:val="00136A0D"/>
    <w:rsid w:val="00136BC3"/>
    <w:rsid w:val="00137188"/>
    <w:rsid w:val="001371C0"/>
    <w:rsid w:val="0013744C"/>
    <w:rsid w:val="00137556"/>
    <w:rsid w:val="001377FA"/>
    <w:rsid w:val="0013780D"/>
    <w:rsid w:val="001378A6"/>
    <w:rsid w:val="001378DF"/>
    <w:rsid w:val="00137971"/>
    <w:rsid w:val="001379BA"/>
    <w:rsid w:val="00137A5E"/>
    <w:rsid w:val="00137D6C"/>
    <w:rsid w:val="00137EA1"/>
    <w:rsid w:val="0014001C"/>
    <w:rsid w:val="00140211"/>
    <w:rsid w:val="0014032B"/>
    <w:rsid w:val="001404D7"/>
    <w:rsid w:val="001405E7"/>
    <w:rsid w:val="001407AC"/>
    <w:rsid w:val="00140AC6"/>
    <w:rsid w:val="00140C1B"/>
    <w:rsid w:val="00140DC4"/>
    <w:rsid w:val="00140DE9"/>
    <w:rsid w:val="00140EBE"/>
    <w:rsid w:val="001410C4"/>
    <w:rsid w:val="00141116"/>
    <w:rsid w:val="0014152E"/>
    <w:rsid w:val="0014158C"/>
    <w:rsid w:val="001415FE"/>
    <w:rsid w:val="00141682"/>
    <w:rsid w:val="0014170F"/>
    <w:rsid w:val="0014172A"/>
    <w:rsid w:val="00141894"/>
    <w:rsid w:val="00141E26"/>
    <w:rsid w:val="00141EE6"/>
    <w:rsid w:val="001420C0"/>
    <w:rsid w:val="001420D9"/>
    <w:rsid w:val="00142435"/>
    <w:rsid w:val="001424A2"/>
    <w:rsid w:val="0014270F"/>
    <w:rsid w:val="00142781"/>
    <w:rsid w:val="001427A4"/>
    <w:rsid w:val="00142861"/>
    <w:rsid w:val="001428FC"/>
    <w:rsid w:val="00142C41"/>
    <w:rsid w:val="00142FF1"/>
    <w:rsid w:val="00143362"/>
    <w:rsid w:val="0014339A"/>
    <w:rsid w:val="001433F8"/>
    <w:rsid w:val="0014363B"/>
    <w:rsid w:val="00143720"/>
    <w:rsid w:val="001437CB"/>
    <w:rsid w:val="00143807"/>
    <w:rsid w:val="00143CAD"/>
    <w:rsid w:val="00143D0D"/>
    <w:rsid w:val="00143DC5"/>
    <w:rsid w:val="00143F87"/>
    <w:rsid w:val="0014400E"/>
    <w:rsid w:val="0014409F"/>
    <w:rsid w:val="001440AF"/>
    <w:rsid w:val="00144297"/>
    <w:rsid w:val="00144364"/>
    <w:rsid w:val="00144542"/>
    <w:rsid w:val="00144731"/>
    <w:rsid w:val="001448A7"/>
    <w:rsid w:val="001448EC"/>
    <w:rsid w:val="00144D7A"/>
    <w:rsid w:val="00144D8A"/>
    <w:rsid w:val="00144E6D"/>
    <w:rsid w:val="00144E90"/>
    <w:rsid w:val="00144EAE"/>
    <w:rsid w:val="00145021"/>
    <w:rsid w:val="00145491"/>
    <w:rsid w:val="001454D4"/>
    <w:rsid w:val="00145640"/>
    <w:rsid w:val="001458F7"/>
    <w:rsid w:val="00145A1A"/>
    <w:rsid w:val="00145A64"/>
    <w:rsid w:val="00145B68"/>
    <w:rsid w:val="00145B7C"/>
    <w:rsid w:val="00145BAA"/>
    <w:rsid w:val="00145C9B"/>
    <w:rsid w:val="00145D97"/>
    <w:rsid w:val="00146006"/>
    <w:rsid w:val="00146068"/>
    <w:rsid w:val="0014639E"/>
    <w:rsid w:val="0014649F"/>
    <w:rsid w:val="00146878"/>
    <w:rsid w:val="00146AAE"/>
    <w:rsid w:val="00146ADD"/>
    <w:rsid w:val="00146B39"/>
    <w:rsid w:val="00146CA3"/>
    <w:rsid w:val="001470AE"/>
    <w:rsid w:val="001470E3"/>
    <w:rsid w:val="0014722C"/>
    <w:rsid w:val="00147609"/>
    <w:rsid w:val="00147671"/>
    <w:rsid w:val="00147703"/>
    <w:rsid w:val="00147872"/>
    <w:rsid w:val="00147B44"/>
    <w:rsid w:val="00147BEF"/>
    <w:rsid w:val="00147E71"/>
    <w:rsid w:val="00147E9B"/>
    <w:rsid w:val="00147F3C"/>
    <w:rsid w:val="0015036C"/>
    <w:rsid w:val="00150392"/>
    <w:rsid w:val="0015043A"/>
    <w:rsid w:val="001507B6"/>
    <w:rsid w:val="00150E19"/>
    <w:rsid w:val="00150F36"/>
    <w:rsid w:val="00151065"/>
    <w:rsid w:val="00151145"/>
    <w:rsid w:val="00151308"/>
    <w:rsid w:val="00151460"/>
    <w:rsid w:val="00151509"/>
    <w:rsid w:val="0015150C"/>
    <w:rsid w:val="0015167A"/>
    <w:rsid w:val="0015169C"/>
    <w:rsid w:val="001516B6"/>
    <w:rsid w:val="001518B8"/>
    <w:rsid w:val="00151916"/>
    <w:rsid w:val="00151BC6"/>
    <w:rsid w:val="00151D0F"/>
    <w:rsid w:val="00151E0E"/>
    <w:rsid w:val="00151ED9"/>
    <w:rsid w:val="001520BB"/>
    <w:rsid w:val="00152169"/>
    <w:rsid w:val="001523D0"/>
    <w:rsid w:val="00152464"/>
    <w:rsid w:val="001527DF"/>
    <w:rsid w:val="00152916"/>
    <w:rsid w:val="00152B43"/>
    <w:rsid w:val="00152B9F"/>
    <w:rsid w:val="00152FC5"/>
    <w:rsid w:val="00153085"/>
    <w:rsid w:val="0015332D"/>
    <w:rsid w:val="00153473"/>
    <w:rsid w:val="0015354F"/>
    <w:rsid w:val="00153B45"/>
    <w:rsid w:val="00153DE0"/>
    <w:rsid w:val="001540C1"/>
    <w:rsid w:val="001540CE"/>
    <w:rsid w:val="001543A6"/>
    <w:rsid w:val="00154610"/>
    <w:rsid w:val="0015461F"/>
    <w:rsid w:val="001546EF"/>
    <w:rsid w:val="00154AA3"/>
    <w:rsid w:val="00154ADF"/>
    <w:rsid w:val="00154BC3"/>
    <w:rsid w:val="00154D64"/>
    <w:rsid w:val="00154D90"/>
    <w:rsid w:val="00154E3C"/>
    <w:rsid w:val="001550DE"/>
    <w:rsid w:val="001551E9"/>
    <w:rsid w:val="0015566E"/>
    <w:rsid w:val="0015582F"/>
    <w:rsid w:val="00155841"/>
    <w:rsid w:val="0015596F"/>
    <w:rsid w:val="00155BB0"/>
    <w:rsid w:val="00155C2F"/>
    <w:rsid w:val="00155E5B"/>
    <w:rsid w:val="00156033"/>
    <w:rsid w:val="0015609C"/>
    <w:rsid w:val="0015620C"/>
    <w:rsid w:val="0015641D"/>
    <w:rsid w:val="0015646F"/>
    <w:rsid w:val="0015647F"/>
    <w:rsid w:val="001566C2"/>
    <w:rsid w:val="0015672B"/>
    <w:rsid w:val="00156751"/>
    <w:rsid w:val="001567B5"/>
    <w:rsid w:val="0015680E"/>
    <w:rsid w:val="00156A04"/>
    <w:rsid w:val="00156B03"/>
    <w:rsid w:val="00156BB1"/>
    <w:rsid w:val="00156BDA"/>
    <w:rsid w:val="00156BE6"/>
    <w:rsid w:val="00156D19"/>
    <w:rsid w:val="00156D51"/>
    <w:rsid w:val="00156E0D"/>
    <w:rsid w:val="00156FDC"/>
    <w:rsid w:val="00157089"/>
    <w:rsid w:val="00157319"/>
    <w:rsid w:val="00157592"/>
    <w:rsid w:val="001575C1"/>
    <w:rsid w:val="001575DA"/>
    <w:rsid w:val="0015769B"/>
    <w:rsid w:val="001579AD"/>
    <w:rsid w:val="001579D2"/>
    <w:rsid w:val="00157E61"/>
    <w:rsid w:val="00157FBC"/>
    <w:rsid w:val="00160247"/>
    <w:rsid w:val="001602A7"/>
    <w:rsid w:val="0016047C"/>
    <w:rsid w:val="0016048F"/>
    <w:rsid w:val="001605CC"/>
    <w:rsid w:val="001606A8"/>
    <w:rsid w:val="00160722"/>
    <w:rsid w:val="0016094F"/>
    <w:rsid w:val="00160A9B"/>
    <w:rsid w:val="00160B35"/>
    <w:rsid w:val="00160B51"/>
    <w:rsid w:val="00160BAB"/>
    <w:rsid w:val="00160C3E"/>
    <w:rsid w:val="00160C75"/>
    <w:rsid w:val="00160E06"/>
    <w:rsid w:val="00160E95"/>
    <w:rsid w:val="00161435"/>
    <w:rsid w:val="00161550"/>
    <w:rsid w:val="001615AC"/>
    <w:rsid w:val="00161752"/>
    <w:rsid w:val="001619E3"/>
    <w:rsid w:val="00161A2F"/>
    <w:rsid w:val="00161BCD"/>
    <w:rsid w:val="00161C39"/>
    <w:rsid w:val="00161D93"/>
    <w:rsid w:val="00161ED4"/>
    <w:rsid w:val="00161F8C"/>
    <w:rsid w:val="001620E8"/>
    <w:rsid w:val="00162708"/>
    <w:rsid w:val="001628C9"/>
    <w:rsid w:val="001629CE"/>
    <w:rsid w:val="00162A75"/>
    <w:rsid w:val="00162B0C"/>
    <w:rsid w:val="00162D5F"/>
    <w:rsid w:val="00162D8E"/>
    <w:rsid w:val="00162E52"/>
    <w:rsid w:val="00162F18"/>
    <w:rsid w:val="001631DC"/>
    <w:rsid w:val="00163442"/>
    <w:rsid w:val="0016344D"/>
    <w:rsid w:val="001634A9"/>
    <w:rsid w:val="00163794"/>
    <w:rsid w:val="00163A11"/>
    <w:rsid w:val="00164014"/>
    <w:rsid w:val="00164031"/>
    <w:rsid w:val="001640D9"/>
    <w:rsid w:val="00164296"/>
    <w:rsid w:val="0016467B"/>
    <w:rsid w:val="0016467D"/>
    <w:rsid w:val="00164755"/>
    <w:rsid w:val="00164921"/>
    <w:rsid w:val="00164A8D"/>
    <w:rsid w:val="00164C12"/>
    <w:rsid w:val="00164C33"/>
    <w:rsid w:val="00164C7F"/>
    <w:rsid w:val="00164D05"/>
    <w:rsid w:val="00164D7B"/>
    <w:rsid w:val="00164DB6"/>
    <w:rsid w:val="00164E65"/>
    <w:rsid w:val="00164E6B"/>
    <w:rsid w:val="00165031"/>
    <w:rsid w:val="00165193"/>
    <w:rsid w:val="00165241"/>
    <w:rsid w:val="00165328"/>
    <w:rsid w:val="00165412"/>
    <w:rsid w:val="0016542D"/>
    <w:rsid w:val="00165697"/>
    <w:rsid w:val="00165881"/>
    <w:rsid w:val="001659FE"/>
    <w:rsid w:val="00165A9F"/>
    <w:rsid w:val="00165BBB"/>
    <w:rsid w:val="00165CA5"/>
    <w:rsid w:val="00165D19"/>
    <w:rsid w:val="00165D86"/>
    <w:rsid w:val="00165E15"/>
    <w:rsid w:val="00165FB3"/>
    <w:rsid w:val="001660AC"/>
    <w:rsid w:val="001660D1"/>
    <w:rsid w:val="001661F9"/>
    <w:rsid w:val="00166237"/>
    <w:rsid w:val="00166434"/>
    <w:rsid w:val="0016657E"/>
    <w:rsid w:val="001665FF"/>
    <w:rsid w:val="00166A63"/>
    <w:rsid w:val="00166AA0"/>
    <w:rsid w:val="00166B6C"/>
    <w:rsid w:val="00166BDA"/>
    <w:rsid w:val="00166C2A"/>
    <w:rsid w:val="00166E38"/>
    <w:rsid w:val="00166E8D"/>
    <w:rsid w:val="001670C0"/>
    <w:rsid w:val="0016710B"/>
    <w:rsid w:val="00167267"/>
    <w:rsid w:val="0016728E"/>
    <w:rsid w:val="0016733C"/>
    <w:rsid w:val="00167361"/>
    <w:rsid w:val="00167607"/>
    <w:rsid w:val="0016760D"/>
    <w:rsid w:val="0016767C"/>
    <w:rsid w:val="00167777"/>
    <w:rsid w:val="001679BC"/>
    <w:rsid w:val="00167D34"/>
    <w:rsid w:val="00167DBF"/>
    <w:rsid w:val="00167DD3"/>
    <w:rsid w:val="00167E09"/>
    <w:rsid w:val="00167FE8"/>
    <w:rsid w:val="00170154"/>
    <w:rsid w:val="001703FF"/>
    <w:rsid w:val="00170622"/>
    <w:rsid w:val="00170750"/>
    <w:rsid w:val="00170778"/>
    <w:rsid w:val="00170978"/>
    <w:rsid w:val="00170A78"/>
    <w:rsid w:val="00170A87"/>
    <w:rsid w:val="00170C81"/>
    <w:rsid w:val="00170E4B"/>
    <w:rsid w:val="00170FD2"/>
    <w:rsid w:val="0017101B"/>
    <w:rsid w:val="001710AE"/>
    <w:rsid w:val="0017117B"/>
    <w:rsid w:val="00171950"/>
    <w:rsid w:val="00171AA3"/>
    <w:rsid w:val="00171DA0"/>
    <w:rsid w:val="00171EC2"/>
    <w:rsid w:val="00172015"/>
    <w:rsid w:val="001721ED"/>
    <w:rsid w:val="00172379"/>
    <w:rsid w:val="001725BE"/>
    <w:rsid w:val="00172623"/>
    <w:rsid w:val="001726D8"/>
    <w:rsid w:val="00172A14"/>
    <w:rsid w:val="00172CCB"/>
    <w:rsid w:val="00172D51"/>
    <w:rsid w:val="00172D95"/>
    <w:rsid w:val="00172E14"/>
    <w:rsid w:val="00173065"/>
    <w:rsid w:val="00173181"/>
    <w:rsid w:val="001731D6"/>
    <w:rsid w:val="00173210"/>
    <w:rsid w:val="00173556"/>
    <w:rsid w:val="0017358F"/>
    <w:rsid w:val="00173663"/>
    <w:rsid w:val="001737DE"/>
    <w:rsid w:val="001737E6"/>
    <w:rsid w:val="0017383F"/>
    <w:rsid w:val="001739AB"/>
    <w:rsid w:val="00173AD0"/>
    <w:rsid w:val="00173AE6"/>
    <w:rsid w:val="00173B13"/>
    <w:rsid w:val="00173D3F"/>
    <w:rsid w:val="00173D7F"/>
    <w:rsid w:val="00173D81"/>
    <w:rsid w:val="00173E80"/>
    <w:rsid w:val="00173F18"/>
    <w:rsid w:val="001740BC"/>
    <w:rsid w:val="00174103"/>
    <w:rsid w:val="0017412F"/>
    <w:rsid w:val="00174206"/>
    <w:rsid w:val="00174327"/>
    <w:rsid w:val="00174397"/>
    <w:rsid w:val="0017442A"/>
    <w:rsid w:val="001744BE"/>
    <w:rsid w:val="00174562"/>
    <w:rsid w:val="00174632"/>
    <w:rsid w:val="001746DB"/>
    <w:rsid w:val="00174820"/>
    <w:rsid w:val="00174A1D"/>
    <w:rsid w:val="00174A55"/>
    <w:rsid w:val="00174C24"/>
    <w:rsid w:val="00174C50"/>
    <w:rsid w:val="00174CE3"/>
    <w:rsid w:val="00174EAF"/>
    <w:rsid w:val="001750F0"/>
    <w:rsid w:val="00175115"/>
    <w:rsid w:val="00175129"/>
    <w:rsid w:val="00175252"/>
    <w:rsid w:val="00175268"/>
    <w:rsid w:val="001757DD"/>
    <w:rsid w:val="00175B61"/>
    <w:rsid w:val="00175B91"/>
    <w:rsid w:val="00175D4C"/>
    <w:rsid w:val="00175E06"/>
    <w:rsid w:val="001761A7"/>
    <w:rsid w:val="001761E2"/>
    <w:rsid w:val="0017641B"/>
    <w:rsid w:val="00176705"/>
    <w:rsid w:val="0017688C"/>
    <w:rsid w:val="00176A52"/>
    <w:rsid w:val="00176B01"/>
    <w:rsid w:val="00176C5B"/>
    <w:rsid w:val="00176C8C"/>
    <w:rsid w:val="00176F64"/>
    <w:rsid w:val="00176F68"/>
    <w:rsid w:val="001770B6"/>
    <w:rsid w:val="00177196"/>
    <w:rsid w:val="001772A3"/>
    <w:rsid w:val="001772E4"/>
    <w:rsid w:val="00177524"/>
    <w:rsid w:val="00177666"/>
    <w:rsid w:val="00177926"/>
    <w:rsid w:val="00177BA6"/>
    <w:rsid w:val="00177E65"/>
    <w:rsid w:val="00177F24"/>
    <w:rsid w:val="00177F6B"/>
    <w:rsid w:val="00180489"/>
    <w:rsid w:val="001808A6"/>
    <w:rsid w:val="0018093E"/>
    <w:rsid w:val="00180AA9"/>
    <w:rsid w:val="00180B30"/>
    <w:rsid w:val="00180C8D"/>
    <w:rsid w:val="00180D1C"/>
    <w:rsid w:val="00180F71"/>
    <w:rsid w:val="0018106F"/>
    <w:rsid w:val="0018111F"/>
    <w:rsid w:val="001811C5"/>
    <w:rsid w:val="0018125B"/>
    <w:rsid w:val="00181457"/>
    <w:rsid w:val="001814A0"/>
    <w:rsid w:val="0018150A"/>
    <w:rsid w:val="00181525"/>
    <w:rsid w:val="0018162A"/>
    <w:rsid w:val="00181907"/>
    <w:rsid w:val="001819F8"/>
    <w:rsid w:val="00181A22"/>
    <w:rsid w:val="00181B8A"/>
    <w:rsid w:val="00181F6F"/>
    <w:rsid w:val="001821BB"/>
    <w:rsid w:val="00182278"/>
    <w:rsid w:val="001823B0"/>
    <w:rsid w:val="00182401"/>
    <w:rsid w:val="001824F3"/>
    <w:rsid w:val="00182500"/>
    <w:rsid w:val="0018252B"/>
    <w:rsid w:val="00182662"/>
    <w:rsid w:val="00182709"/>
    <w:rsid w:val="0018271F"/>
    <w:rsid w:val="0018299D"/>
    <w:rsid w:val="00182A0B"/>
    <w:rsid w:val="00182D40"/>
    <w:rsid w:val="00182E20"/>
    <w:rsid w:val="0018307D"/>
    <w:rsid w:val="0018310B"/>
    <w:rsid w:val="001831EE"/>
    <w:rsid w:val="00183228"/>
    <w:rsid w:val="00183289"/>
    <w:rsid w:val="001833D7"/>
    <w:rsid w:val="001835A0"/>
    <w:rsid w:val="001835E5"/>
    <w:rsid w:val="00183625"/>
    <w:rsid w:val="00183904"/>
    <w:rsid w:val="0018390E"/>
    <w:rsid w:val="00183AF3"/>
    <w:rsid w:val="00183B64"/>
    <w:rsid w:val="00183B82"/>
    <w:rsid w:val="00183D0A"/>
    <w:rsid w:val="00183EB3"/>
    <w:rsid w:val="00183FDE"/>
    <w:rsid w:val="00184012"/>
    <w:rsid w:val="00184099"/>
    <w:rsid w:val="001841A5"/>
    <w:rsid w:val="001841B5"/>
    <w:rsid w:val="001841BE"/>
    <w:rsid w:val="0018432C"/>
    <w:rsid w:val="00184491"/>
    <w:rsid w:val="001844CE"/>
    <w:rsid w:val="0018456C"/>
    <w:rsid w:val="00184624"/>
    <w:rsid w:val="00184701"/>
    <w:rsid w:val="00184708"/>
    <w:rsid w:val="00184AAF"/>
    <w:rsid w:val="00184B04"/>
    <w:rsid w:val="00184B3B"/>
    <w:rsid w:val="00184F01"/>
    <w:rsid w:val="00185679"/>
    <w:rsid w:val="001857CC"/>
    <w:rsid w:val="00185893"/>
    <w:rsid w:val="00185918"/>
    <w:rsid w:val="00185BA1"/>
    <w:rsid w:val="00185F0A"/>
    <w:rsid w:val="00185F6A"/>
    <w:rsid w:val="0018600F"/>
    <w:rsid w:val="0018602D"/>
    <w:rsid w:val="001860EE"/>
    <w:rsid w:val="0018628E"/>
    <w:rsid w:val="001862C6"/>
    <w:rsid w:val="001863DA"/>
    <w:rsid w:val="00186613"/>
    <w:rsid w:val="00186651"/>
    <w:rsid w:val="001866CB"/>
    <w:rsid w:val="00186A46"/>
    <w:rsid w:val="00186A76"/>
    <w:rsid w:val="00186AAC"/>
    <w:rsid w:val="00186AC6"/>
    <w:rsid w:val="00186B39"/>
    <w:rsid w:val="00186E6F"/>
    <w:rsid w:val="00186EC8"/>
    <w:rsid w:val="00186F0E"/>
    <w:rsid w:val="00187033"/>
    <w:rsid w:val="0018705D"/>
    <w:rsid w:val="0018707B"/>
    <w:rsid w:val="0018716B"/>
    <w:rsid w:val="001871AA"/>
    <w:rsid w:val="0018730F"/>
    <w:rsid w:val="00187344"/>
    <w:rsid w:val="00187740"/>
    <w:rsid w:val="00187824"/>
    <w:rsid w:val="00187989"/>
    <w:rsid w:val="001879BC"/>
    <w:rsid w:val="00187A10"/>
    <w:rsid w:val="00187A12"/>
    <w:rsid w:val="00187BFB"/>
    <w:rsid w:val="00187DBC"/>
    <w:rsid w:val="00187E8F"/>
    <w:rsid w:val="00187E9B"/>
    <w:rsid w:val="00187F83"/>
    <w:rsid w:val="00187F90"/>
    <w:rsid w:val="0018BE3D"/>
    <w:rsid w:val="00190105"/>
    <w:rsid w:val="001901FA"/>
    <w:rsid w:val="00190CA7"/>
    <w:rsid w:val="00190ECF"/>
    <w:rsid w:val="00191007"/>
    <w:rsid w:val="001912A9"/>
    <w:rsid w:val="001912F5"/>
    <w:rsid w:val="00191394"/>
    <w:rsid w:val="00191417"/>
    <w:rsid w:val="00191440"/>
    <w:rsid w:val="001917D7"/>
    <w:rsid w:val="0019197F"/>
    <w:rsid w:val="00191A51"/>
    <w:rsid w:val="00191B49"/>
    <w:rsid w:val="00191CE5"/>
    <w:rsid w:val="0019200C"/>
    <w:rsid w:val="001920A1"/>
    <w:rsid w:val="00192402"/>
    <w:rsid w:val="001928A7"/>
    <w:rsid w:val="001928C0"/>
    <w:rsid w:val="001928FD"/>
    <w:rsid w:val="0019290B"/>
    <w:rsid w:val="00192BB5"/>
    <w:rsid w:val="00192BCD"/>
    <w:rsid w:val="00192C09"/>
    <w:rsid w:val="00192D62"/>
    <w:rsid w:val="00192ED8"/>
    <w:rsid w:val="00192F7D"/>
    <w:rsid w:val="0019345C"/>
    <w:rsid w:val="0019357C"/>
    <w:rsid w:val="00193599"/>
    <w:rsid w:val="0019369C"/>
    <w:rsid w:val="001939A2"/>
    <w:rsid w:val="00193CDE"/>
    <w:rsid w:val="00193D88"/>
    <w:rsid w:val="00193E5C"/>
    <w:rsid w:val="0019407D"/>
    <w:rsid w:val="001940BE"/>
    <w:rsid w:val="0019447B"/>
    <w:rsid w:val="001946D5"/>
    <w:rsid w:val="001946F8"/>
    <w:rsid w:val="0019470E"/>
    <w:rsid w:val="00194AE5"/>
    <w:rsid w:val="00194C9F"/>
    <w:rsid w:val="00194DD4"/>
    <w:rsid w:val="00194E44"/>
    <w:rsid w:val="00194F67"/>
    <w:rsid w:val="001950A7"/>
    <w:rsid w:val="001950B1"/>
    <w:rsid w:val="00195317"/>
    <w:rsid w:val="00195374"/>
    <w:rsid w:val="001954F1"/>
    <w:rsid w:val="001956FD"/>
    <w:rsid w:val="001957A8"/>
    <w:rsid w:val="001958C1"/>
    <w:rsid w:val="00195917"/>
    <w:rsid w:val="00195BF1"/>
    <w:rsid w:val="00195CA6"/>
    <w:rsid w:val="00195CF3"/>
    <w:rsid w:val="00195D65"/>
    <w:rsid w:val="00195F5F"/>
    <w:rsid w:val="00196375"/>
    <w:rsid w:val="001963D5"/>
    <w:rsid w:val="0019645F"/>
    <w:rsid w:val="001965C4"/>
    <w:rsid w:val="0019678F"/>
    <w:rsid w:val="0019680B"/>
    <w:rsid w:val="00196BD5"/>
    <w:rsid w:val="00196E4C"/>
    <w:rsid w:val="00197019"/>
    <w:rsid w:val="00197104"/>
    <w:rsid w:val="00197348"/>
    <w:rsid w:val="001975C9"/>
    <w:rsid w:val="0019768B"/>
    <w:rsid w:val="00197773"/>
    <w:rsid w:val="001977CB"/>
    <w:rsid w:val="001977E4"/>
    <w:rsid w:val="00197A87"/>
    <w:rsid w:val="00197F1B"/>
    <w:rsid w:val="001A0052"/>
    <w:rsid w:val="001A008C"/>
    <w:rsid w:val="001A00D6"/>
    <w:rsid w:val="001A01E8"/>
    <w:rsid w:val="001A0277"/>
    <w:rsid w:val="001A02E3"/>
    <w:rsid w:val="001A0425"/>
    <w:rsid w:val="001A056C"/>
    <w:rsid w:val="001A0648"/>
    <w:rsid w:val="001A09DD"/>
    <w:rsid w:val="001A0AB3"/>
    <w:rsid w:val="001A0D68"/>
    <w:rsid w:val="001A0D89"/>
    <w:rsid w:val="001A0DB9"/>
    <w:rsid w:val="001A0EA0"/>
    <w:rsid w:val="001A0F5F"/>
    <w:rsid w:val="001A1344"/>
    <w:rsid w:val="001A1433"/>
    <w:rsid w:val="001A150A"/>
    <w:rsid w:val="001A1547"/>
    <w:rsid w:val="001A1728"/>
    <w:rsid w:val="001A1753"/>
    <w:rsid w:val="001A1C10"/>
    <w:rsid w:val="001A1C3C"/>
    <w:rsid w:val="001A1D89"/>
    <w:rsid w:val="001A1E12"/>
    <w:rsid w:val="001A1EF6"/>
    <w:rsid w:val="001A1F43"/>
    <w:rsid w:val="001A1F9C"/>
    <w:rsid w:val="001A22BB"/>
    <w:rsid w:val="001A22EB"/>
    <w:rsid w:val="001A2328"/>
    <w:rsid w:val="001A25D6"/>
    <w:rsid w:val="001A266A"/>
    <w:rsid w:val="001A2694"/>
    <w:rsid w:val="001A287A"/>
    <w:rsid w:val="001A2AFF"/>
    <w:rsid w:val="001A2B49"/>
    <w:rsid w:val="001A2D35"/>
    <w:rsid w:val="001A2E90"/>
    <w:rsid w:val="001A2FE8"/>
    <w:rsid w:val="001A30B8"/>
    <w:rsid w:val="001A3173"/>
    <w:rsid w:val="001A31D7"/>
    <w:rsid w:val="001A33BE"/>
    <w:rsid w:val="001A33F4"/>
    <w:rsid w:val="001A34A2"/>
    <w:rsid w:val="001A35FA"/>
    <w:rsid w:val="001A3604"/>
    <w:rsid w:val="001A3AC8"/>
    <w:rsid w:val="001A3C53"/>
    <w:rsid w:val="001A407D"/>
    <w:rsid w:val="001A4731"/>
    <w:rsid w:val="001A4733"/>
    <w:rsid w:val="001A47A7"/>
    <w:rsid w:val="001A49A6"/>
    <w:rsid w:val="001A4A60"/>
    <w:rsid w:val="001A4CD1"/>
    <w:rsid w:val="001A4E65"/>
    <w:rsid w:val="001A5240"/>
    <w:rsid w:val="001A528B"/>
    <w:rsid w:val="001A52A0"/>
    <w:rsid w:val="001A532C"/>
    <w:rsid w:val="001A5352"/>
    <w:rsid w:val="001A543A"/>
    <w:rsid w:val="001A553E"/>
    <w:rsid w:val="001A560A"/>
    <w:rsid w:val="001A5855"/>
    <w:rsid w:val="001A5A91"/>
    <w:rsid w:val="001A5AA3"/>
    <w:rsid w:val="001A5ADD"/>
    <w:rsid w:val="001A5CEC"/>
    <w:rsid w:val="001A61A9"/>
    <w:rsid w:val="001A6958"/>
    <w:rsid w:val="001A6A5C"/>
    <w:rsid w:val="001A6A5F"/>
    <w:rsid w:val="001A6AAA"/>
    <w:rsid w:val="001A6AFF"/>
    <w:rsid w:val="001A6DD1"/>
    <w:rsid w:val="001A6DF8"/>
    <w:rsid w:val="001A7259"/>
    <w:rsid w:val="001A741F"/>
    <w:rsid w:val="001A74CC"/>
    <w:rsid w:val="001A7557"/>
    <w:rsid w:val="001A7679"/>
    <w:rsid w:val="001A782B"/>
    <w:rsid w:val="001A7864"/>
    <w:rsid w:val="001A78AD"/>
    <w:rsid w:val="001A78F0"/>
    <w:rsid w:val="001A7945"/>
    <w:rsid w:val="001A7A1C"/>
    <w:rsid w:val="001A7DA7"/>
    <w:rsid w:val="001A7FC9"/>
    <w:rsid w:val="001B0127"/>
    <w:rsid w:val="001B02CE"/>
    <w:rsid w:val="001B0339"/>
    <w:rsid w:val="001B0393"/>
    <w:rsid w:val="001B03EA"/>
    <w:rsid w:val="001B0486"/>
    <w:rsid w:val="001B0569"/>
    <w:rsid w:val="001B0664"/>
    <w:rsid w:val="001B06A5"/>
    <w:rsid w:val="001B08E7"/>
    <w:rsid w:val="001B0DEB"/>
    <w:rsid w:val="001B0EEB"/>
    <w:rsid w:val="001B10B2"/>
    <w:rsid w:val="001B11DC"/>
    <w:rsid w:val="001B1425"/>
    <w:rsid w:val="001B1660"/>
    <w:rsid w:val="001B16D4"/>
    <w:rsid w:val="001B1804"/>
    <w:rsid w:val="001B193A"/>
    <w:rsid w:val="001B1BFC"/>
    <w:rsid w:val="001B1D85"/>
    <w:rsid w:val="001B1E3F"/>
    <w:rsid w:val="001B202A"/>
    <w:rsid w:val="001B2188"/>
    <w:rsid w:val="001B23D6"/>
    <w:rsid w:val="001B2561"/>
    <w:rsid w:val="001B2A60"/>
    <w:rsid w:val="001B2ACB"/>
    <w:rsid w:val="001B2B13"/>
    <w:rsid w:val="001B2BAA"/>
    <w:rsid w:val="001B2BB3"/>
    <w:rsid w:val="001B2E49"/>
    <w:rsid w:val="001B3941"/>
    <w:rsid w:val="001B3C4D"/>
    <w:rsid w:val="001B3E3C"/>
    <w:rsid w:val="001B3F44"/>
    <w:rsid w:val="001B3F4D"/>
    <w:rsid w:val="001B4069"/>
    <w:rsid w:val="001B40E5"/>
    <w:rsid w:val="001B42C0"/>
    <w:rsid w:val="001B4523"/>
    <w:rsid w:val="001B475B"/>
    <w:rsid w:val="001B477D"/>
    <w:rsid w:val="001B47CE"/>
    <w:rsid w:val="001B4BBA"/>
    <w:rsid w:val="001B4D17"/>
    <w:rsid w:val="001B50BF"/>
    <w:rsid w:val="001B52AE"/>
    <w:rsid w:val="001B5373"/>
    <w:rsid w:val="001B5435"/>
    <w:rsid w:val="001B56D1"/>
    <w:rsid w:val="001B56EC"/>
    <w:rsid w:val="001B57DA"/>
    <w:rsid w:val="001B5A84"/>
    <w:rsid w:val="001B5AA0"/>
    <w:rsid w:val="001B5F91"/>
    <w:rsid w:val="001B5FF8"/>
    <w:rsid w:val="001B60C8"/>
    <w:rsid w:val="001B62B6"/>
    <w:rsid w:val="001B6510"/>
    <w:rsid w:val="001B6515"/>
    <w:rsid w:val="001B6667"/>
    <w:rsid w:val="001B674B"/>
    <w:rsid w:val="001B6769"/>
    <w:rsid w:val="001B67B4"/>
    <w:rsid w:val="001B68BE"/>
    <w:rsid w:val="001B6BA6"/>
    <w:rsid w:val="001B6C4A"/>
    <w:rsid w:val="001B6CF7"/>
    <w:rsid w:val="001B6DCA"/>
    <w:rsid w:val="001B7005"/>
    <w:rsid w:val="001B71F7"/>
    <w:rsid w:val="001B736E"/>
    <w:rsid w:val="001B75EB"/>
    <w:rsid w:val="001B76DA"/>
    <w:rsid w:val="001B78FC"/>
    <w:rsid w:val="001B795B"/>
    <w:rsid w:val="001B7995"/>
    <w:rsid w:val="001B7A92"/>
    <w:rsid w:val="001B7B0B"/>
    <w:rsid w:val="001B7B9A"/>
    <w:rsid w:val="001B7BAD"/>
    <w:rsid w:val="001B7C5F"/>
    <w:rsid w:val="001B7D16"/>
    <w:rsid w:val="001B7F73"/>
    <w:rsid w:val="001C004E"/>
    <w:rsid w:val="001C0063"/>
    <w:rsid w:val="001C013A"/>
    <w:rsid w:val="001C02CF"/>
    <w:rsid w:val="001C059D"/>
    <w:rsid w:val="001C0795"/>
    <w:rsid w:val="001C09C1"/>
    <w:rsid w:val="001C0B39"/>
    <w:rsid w:val="001C0BB7"/>
    <w:rsid w:val="001C0CC9"/>
    <w:rsid w:val="001C0D19"/>
    <w:rsid w:val="001C0DB6"/>
    <w:rsid w:val="001C0EFF"/>
    <w:rsid w:val="001C0F17"/>
    <w:rsid w:val="001C12F3"/>
    <w:rsid w:val="001C14AF"/>
    <w:rsid w:val="001C179A"/>
    <w:rsid w:val="001C17FA"/>
    <w:rsid w:val="001C18AD"/>
    <w:rsid w:val="001C19B1"/>
    <w:rsid w:val="001C1AB0"/>
    <w:rsid w:val="001C1F9B"/>
    <w:rsid w:val="001C20A1"/>
    <w:rsid w:val="001C2483"/>
    <w:rsid w:val="001C25E9"/>
    <w:rsid w:val="001C2953"/>
    <w:rsid w:val="001C2AAC"/>
    <w:rsid w:val="001C302E"/>
    <w:rsid w:val="001C3343"/>
    <w:rsid w:val="001C3391"/>
    <w:rsid w:val="001C34A7"/>
    <w:rsid w:val="001C3616"/>
    <w:rsid w:val="001C3683"/>
    <w:rsid w:val="001C37AF"/>
    <w:rsid w:val="001C3AAD"/>
    <w:rsid w:val="001C3B9C"/>
    <w:rsid w:val="001C3D17"/>
    <w:rsid w:val="001C3D41"/>
    <w:rsid w:val="001C3F3C"/>
    <w:rsid w:val="001C3FF1"/>
    <w:rsid w:val="001C418C"/>
    <w:rsid w:val="001C4219"/>
    <w:rsid w:val="001C42FA"/>
    <w:rsid w:val="001C42FE"/>
    <w:rsid w:val="001C435B"/>
    <w:rsid w:val="001C44BD"/>
    <w:rsid w:val="001C4934"/>
    <w:rsid w:val="001C49B7"/>
    <w:rsid w:val="001C4A3F"/>
    <w:rsid w:val="001C4A76"/>
    <w:rsid w:val="001C4AE2"/>
    <w:rsid w:val="001C4BAB"/>
    <w:rsid w:val="001C4CFB"/>
    <w:rsid w:val="001C508D"/>
    <w:rsid w:val="001C513C"/>
    <w:rsid w:val="001C523A"/>
    <w:rsid w:val="001C541E"/>
    <w:rsid w:val="001C5427"/>
    <w:rsid w:val="001C56EA"/>
    <w:rsid w:val="001C5BAD"/>
    <w:rsid w:val="001C5BF0"/>
    <w:rsid w:val="001C5E12"/>
    <w:rsid w:val="001C5F32"/>
    <w:rsid w:val="001C638F"/>
    <w:rsid w:val="001C659C"/>
    <w:rsid w:val="001C65DB"/>
    <w:rsid w:val="001C66B8"/>
    <w:rsid w:val="001C6716"/>
    <w:rsid w:val="001C6885"/>
    <w:rsid w:val="001C692C"/>
    <w:rsid w:val="001C6970"/>
    <w:rsid w:val="001C6A20"/>
    <w:rsid w:val="001C6A6C"/>
    <w:rsid w:val="001C6C38"/>
    <w:rsid w:val="001C6C45"/>
    <w:rsid w:val="001C6FD6"/>
    <w:rsid w:val="001C729B"/>
    <w:rsid w:val="001C7345"/>
    <w:rsid w:val="001C786D"/>
    <w:rsid w:val="001C79C6"/>
    <w:rsid w:val="001C7A5E"/>
    <w:rsid w:val="001C7CE9"/>
    <w:rsid w:val="001C7E28"/>
    <w:rsid w:val="001C7EFD"/>
    <w:rsid w:val="001C7FCA"/>
    <w:rsid w:val="001D0080"/>
    <w:rsid w:val="001D0478"/>
    <w:rsid w:val="001D0C05"/>
    <w:rsid w:val="001D0C6B"/>
    <w:rsid w:val="001D0D4E"/>
    <w:rsid w:val="001D0F89"/>
    <w:rsid w:val="001D0FC5"/>
    <w:rsid w:val="001D15B1"/>
    <w:rsid w:val="001D165E"/>
    <w:rsid w:val="001D167C"/>
    <w:rsid w:val="001D1837"/>
    <w:rsid w:val="001D1872"/>
    <w:rsid w:val="001D1A31"/>
    <w:rsid w:val="001D1B78"/>
    <w:rsid w:val="001D1C24"/>
    <w:rsid w:val="001D1CDB"/>
    <w:rsid w:val="001D1D08"/>
    <w:rsid w:val="001D1E1C"/>
    <w:rsid w:val="001D210D"/>
    <w:rsid w:val="001D21ED"/>
    <w:rsid w:val="001D21FD"/>
    <w:rsid w:val="001D25AB"/>
    <w:rsid w:val="001D2891"/>
    <w:rsid w:val="001D2B90"/>
    <w:rsid w:val="001D2D25"/>
    <w:rsid w:val="001D3057"/>
    <w:rsid w:val="001D31D1"/>
    <w:rsid w:val="001D3229"/>
    <w:rsid w:val="001D32AC"/>
    <w:rsid w:val="001D3395"/>
    <w:rsid w:val="001D34E2"/>
    <w:rsid w:val="001D35AF"/>
    <w:rsid w:val="001D365D"/>
    <w:rsid w:val="001D3874"/>
    <w:rsid w:val="001D3D40"/>
    <w:rsid w:val="001D3D9C"/>
    <w:rsid w:val="001D3E32"/>
    <w:rsid w:val="001D3E3B"/>
    <w:rsid w:val="001D3E6B"/>
    <w:rsid w:val="001D3EFE"/>
    <w:rsid w:val="001D403C"/>
    <w:rsid w:val="001D4267"/>
    <w:rsid w:val="001D428F"/>
    <w:rsid w:val="001D4657"/>
    <w:rsid w:val="001D469D"/>
    <w:rsid w:val="001D47D9"/>
    <w:rsid w:val="001D489C"/>
    <w:rsid w:val="001D4BD2"/>
    <w:rsid w:val="001D4C53"/>
    <w:rsid w:val="001D4C62"/>
    <w:rsid w:val="001D531A"/>
    <w:rsid w:val="001D563F"/>
    <w:rsid w:val="001D57AC"/>
    <w:rsid w:val="001D58D6"/>
    <w:rsid w:val="001D59AD"/>
    <w:rsid w:val="001D5E87"/>
    <w:rsid w:val="001D5ECF"/>
    <w:rsid w:val="001D5EE5"/>
    <w:rsid w:val="001D5EEB"/>
    <w:rsid w:val="001D6031"/>
    <w:rsid w:val="001D606C"/>
    <w:rsid w:val="001D615D"/>
    <w:rsid w:val="001D6257"/>
    <w:rsid w:val="001D6676"/>
    <w:rsid w:val="001D66CB"/>
    <w:rsid w:val="001D68B4"/>
    <w:rsid w:val="001D6B33"/>
    <w:rsid w:val="001D6B83"/>
    <w:rsid w:val="001D6BD3"/>
    <w:rsid w:val="001D6D6A"/>
    <w:rsid w:val="001D7039"/>
    <w:rsid w:val="001D70F7"/>
    <w:rsid w:val="001D736F"/>
    <w:rsid w:val="001D7540"/>
    <w:rsid w:val="001D79CE"/>
    <w:rsid w:val="001D7A79"/>
    <w:rsid w:val="001D7B13"/>
    <w:rsid w:val="001D7C53"/>
    <w:rsid w:val="001E00FA"/>
    <w:rsid w:val="001E00FB"/>
    <w:rsid w:val="001E01B7"/>
    <w:rsid w:val="001E029E"/>
    <w:rsid w:val="001E07DC"/>
    <w:rsid w:val="001E08D5"/>
    <w:rsid w:val="001E0B25"/>
    <w:rsid w:val="001E0B85"/>
    <w:rsid w:val="001E0C70"/>
    <w:rsid w:val="001E1014"/>
    <w:rsid w:val="001E107E"/>
    <w:rsid w:val="001E10FD"/>
    <w:rsid w:val="001E13CC"/>
    <w:rsid w:val="001E1860"/>
    <w:rsid w:val="001E1C92"/>
    <w:rsid w:val="001E1D4C"/>
    <w:rsid w:val="001E1E0A"/>
    <w:rsid w:val="001E202F"/>
    <w:rsid w:val="001E203E"/>
    <w:rsid w:val="001E2278"/>
    <w:rsid w:val="001E2299"/>
    <w:rsid w:val="001E24B0"/>
    <w:rsid w:val="001E24BC"/>
    <w:rsid w:val="001E2537"/>
    <w:rsid w:val="001E264A"/>
    <w:rsid w:val="001E26ED"/>
    <w:rsid w:val="001E276D"/>
    <w:rsid w:val="001E27B2"/>
    <w:rsid w:val="001E2A23"/>
    <w:rsid w:val="001E2A47"/>
    <w:rsid w:val="001E2B39"/>
    <w:rsid w:val="001E2B78"/>
    <w:rsid w:val="001E2BF8"/>
    <w:rsid w:val="001E2D52"/>
    <w:rsid w:val="001E2FAC"/>
    <w:rsid w:val="001E3017"/>
    <w:rsid w:val="001E30D2"/>
    <w:rsid w:val="001E31E8"/>
    <w:rsid w:val="001E325B"/>
    <w:rsid w:val="001E3612"/>
    <w:rsid w:val="001E36D8"/>
    <w:rsid w:val="001E389F"/>
    <w:rsid w:val="001E3A03"/>
    <w:rsid w:val="001E3A61"/>
    <w:rsid w:val="001E3A7C"/>
    <w:rsid w:val="001E3AD4"/>
    <w:rsid w:val="001E3AD7"/>
    <w:rsid w:val="001E3B9A"/>
    <w:rsid w:val="001E3BE1"/>
    <w:rsid w:val="001E3DD9"/>
    <w:rsid w:val="001E3ECA"/>
    <w:rsid w:val="001E3FB8"/>
    <w:rsid w:val="001E428E"/>
    <w:rsid w:val="001E4315"/>
    <w:rsid w:val="001E4373"/>
    <w:rsid w:val="001E44C7"/>
    <w:rsid w:val="001E4611"/>
    <w:rsid w:val="001E4737"/>
    <w:rsid w:val="001E48F6"/>
    <w:rsid w:val="001E49B3"/>
    <w:rsid w:val="001E4B52"/>
    <w:rsid w:val="001E4BB6"/>
    <w:rsid w:val="001E4C33"/>
    <w:rsid w:val="001E4D18"/>
    <w:rsid w:val="001E4DE7"/>
    <w:rsid w:val="001E4E63"/>
    <w:rsid w:val="001E5096"/>
    <w:rsid w:val="001E50C0"/>
    <w:rsid w:val="001E50EE"/>
    <w:rsid w:val="001E566D"/>
    <w:rsid w:val="001E5748"/>
    <w:rsid w:val="001E59A7"/>
    <w:rsid w:val="001E5B9A"/>
    <w:rsid w:val="001E5BB2"/>
    <w:rsid w:val="001E5EBB"/>
    <w:rsid w:val="001E5F0A"/>
    <w:rsid w:val="001E6691"/>
    <w:rsid w:val="001E66DE"/>
    <w:rsid w:val="001E6725"/>
    <w:rsid w:val="001E6777"/>
    <w:rsid w:val="001E6820"/>
    <w:rsid w:val="001E6899"/>
    <w:rsid w:val="001E68D8"/>
    <w:rsid w:val="001E68FF"/>
    <w:rsid w:val="001E6BB4"/>
    <w:rsid w:val="001E6CDC"/>
    <w:rsid w:val="001E6D8C"/>
    <w:rsid w:val="001E6E21"/>
    <w:rsid w:val="001E6EFA"/>
    <w:rsid w:val="001E71B1"/>
    <w:rsid w:val="001E73D1"/>
    <w:rsid w:val="001E7415"/>
    <w:rsid w:val="001E7484"/>
    <w:rsid w:val="001E748F"/>
    <w:rsid w:val="001E74B8"/>
    <w:rsid w:val="001E755A"/>
    <w:rsid w:val="001E769F"/>
    <w:rsid w:val="001E770C"/>
    <w:rsid w:val="001E77AF"/>
    <w:rsid w:val="001E77DE"/>
    <w:rsid w:val="001E7A40"/>
    <w:rsid w:val="001E7AEA"/>
    <w:rsid w:val="001E7C7B"/>
    <w:rsid w:val="001E7DBA"/>
    <w:rsid w:val="001E7DE1"/>
    <w:rsid w:val="001F001F"/>
    <w:rsid w:val="001F0348"/>
    <w:rsid w:val="001F06D9"/>
    <w:rsid w:val="001F0708"/>
    <w:rsid w:val="001F0AA7"/>
    <w:rsid w:val="001F0C09"/>
    <w:rsid w:val="001F0C38"/>
    <w:rsid w:val="001F0C66"/>
    <w:rsid w:val="001F0DAF"/>
    <w:rsid w:val="001F0DC0"/>
    <w:rsid w:val="001F0F6C"/>
    <w:rsid w:val="001F1834"/>
    <w:rsid w:val="001F1931"/>
    <w:rsid w:val="001F1942"/>
    <w:rsid w:val="001F1B3C"/>
    <w:rsid w:val="001F1CEE"/>
    <w:rsid w:val="001F1DFC"/>
    <w:rsid w:val="001F1E60"/>
    <w:rsid w:val="001F1F71"/>
    <w:rsid w:val="001F224D"/>
    <w:rsid w:val="001F2322"/>
    <w:rsid w:val="001F24D6"/>
    <w:rsid w:val="001F260A"/>
    <w:rsid w:val="001F2632"/>
    <w:rsid w:val="001F2652"/>
    <w:rsid w:val="001F28FA"/>
    <w:rsid w:val="001F2D41"/>
    <w:rsid w:val="001F2F9B"/>
    <w:rsid w:val="001F3114"/>
    <w:rsid w:val="001F31B2"/>
    <w:rsid w:val="001F35B8"/>
    <w:rsid w:val="001F378A"/>
    <w:rsid w:val="001F37C9"/>
    <w:rsid w:val="001F3824"/>
    <w:rsid w:val="001F3861"/>
    <w:rsid w:val="001F38E6"/>
    <w:rsid w:val="001F3A44"/>
    <w:rsid w:val="001F3AFA"/>
    <w:rsid w:val="001F41F5"/>
    <w:rsid w:val="001F42A0"/>
    <w:rsid w:val="001F43EB"/>
    <w:rsid w:val="001F45E1"/>
    <w:rsid w:val="001F4773"/>
    <w:rsid w:val="001F481C"/>
    <w:rsid w:val="001F4CF7"/>
    <w:rsid w:val="001F4D61"/>
    <w:rsid w:val="001F4F88"/>
    <w:rsid w:val="001F51AE"/>
    <w:rsid w:val="001F52AD"/>
    <w:rsid w:val="001F52FF"/>
    <w:rsid w:val="001F5398"/>
    <w:rsid w:val="001F59BC"/>
    <w:rsid w:val="001F5A90"/>
    <w:rsid w:val="001F5B56"/>
    <w:rsid w:val="001F5BE6"/>
    <w:rsid w:val="001F5C34"/>
    <w:rsid w:val="001F5C93"/>
    <w:rsid w:val="001F5CD3"/>
    <w:rsid w:val="001F5D3E"/>
    <w:rsid w:val="001F5D6F"/>
    <w:rsid w:val="001F5F4B"/>
    <w:rsid w:val="001F603D"/>
    <w:rsid w:val="001F6343"/>
    <w:rsid w:val="001F63A5"/>
    <w:rsid w:val="001F640D"/>
    <w:rsid w:val="001F6523"/>
    <w:rsid w:val="001F6595"/>
    <w:rsid w:val="001F6CF5"/>
    <w:rsid w:val="001F6E3D"/>
    <w:rsid w:val="001F6F4A"/>
    <w:rsid w:val="001F6F9E"/>
    <w:rsid w:val="001F711E"/>
    <w:rsid w:val="001F7193"/>
    <w:rsid w:val="001F7243"/>
    <w:rsid w:val="001F73EC"/>
    <w:rsid w:val="001F7A2F"/>
    <w:rsid w:val="001F7BBD"/>
    <w:rsid w:val="001F7CD1"/>
    <w:rsid w:val="001F7D03"/>
    <w:rsid w:val="001F7FB5"/>
    <w:rsid w:val="00200098"/>
    <w:rsid w:val="00200312"/>
    <w:rsid w:val="0020040C"/>
    <w:rsid w:val="002004F6"/>
    <w:rsid w:val="00200555"/>
    <w:rsid w:val="00200B0C"/>
    <w:rsid w:val="00200EB1"/>
    <w:rsid w:val="00200F2A"/>
    <w:rsid w:val="002010C0"/>
    <w:rsid w:val="00201217"/>
    <w:rsid w:val="00201279"/>
    <w:rsid w:val="0020156A"/>
    <w:rsid w:val="002015A9"/>
    <w:rsid w:val="00201770"/>
    <w:rsid w:val="00201804"/>
    <w:rsid w:val="002018D9"/>
    <w:rsid w:val="002019AE"/>
    <w:rsid w:val="002019CB"/>
    <w:rsid w:val="00201A48"/>
    <w:rsid w:val="00201B0E"/>
    <w:rsid w:val="00201B12"/>
    <w:rsid w:val="00201CFA"/>
    <w:rsid w:val="00201DA3"/>
    <w:rsid w:val="00201DD9"/>
    <w:rsid w:val="00202379"/>
    <w:rsid w:val="00202437"/>
    <w:rsid w:val="002028E9"/>
    <w:rsid w:val="00202906"/>
    <w:rsid w:val="00202B95"/>
    <w:rsid w:val="00202D17"/>
    <w:rsid w:val="00202EDD"/>
    <w:rsid w:val="00202F6B"/>
    <w:rsid w:val="002031BC"/>
    <w:rsid w:val="0020342F"/>
    <w:rsid w:val="0020363B"/>
    <w:rsid w:val="0020367A"/>
    <w:rsid w:val="00203715"/>
    <w:rsid w:val="002037D6"/>
    <w:rsid w:val="002037F2"/>
    <w:rsid w:val="002039CE"/>
    <w:rsid w:val="00203A48"/>
    <w:rsid w:val="00203ACB"/>
    <w:rsid w:val="00203B96"/>
    <w:rsid w:val="00203FA2"/>
    <w:rsid w:val="00203FC5"/>
    <w:rsid w:val="002043A1"/>
    <w:rsid w:val="00204430"/>
    <w:rsid w:val="0020449C"/>
    <w:rsid w:val="0020454D"/>
    <w:rsid w:val="002045A8"/>
    <w:rsid w:val="002045B3"/>
    <w:rsid w:val="002046B6"/>
    <w:rsid w:val="0020480F"/>
    <w:rsid w:val="0020494A"/>
    <w:rsid w:val="00204DA8"/>
    <w:rsid w:val="00204E6C"/>
    <w:rsid w:val="00204EB2"/>
    <w:rsid w:val="00204F12"/>
    <w:rsid w:val="00204FBA"/>
    <w:rsid w:val="00205018"/>
    <w:rsid w:val="0020525B"/>
    <w:rsid w:val="002055D4"/>
    <w:rsid w:val="002057A8"/>
    <w:rsid w:val="00205945"/>
    <w:rsid w:val="002059FB"/>
    <w:rsid w:val="00205AC9"/>
    <w:rsid w:val="00205AF1"/>
    <w:rsid w:val="00205C12"/>
    <w:rsid w:val="00205C2D"/>
    <w:rsid w:val="00205D4D"/>
    <w:rsid w:val="00205F09"/>
    <w:rsid w:val="00206290"/>
    <w:rsid w:val="0020631D"/>
    <w:rsid w:val="00206488"/>
    <w:rsid w:val="0020653C"/>
    <w:rsid w:val="00206714"/>
    <w:rsid w:val="00206721"/>
    <w:rsid w:val="0020686B"/>
    <w:rsid w:val="00206B88"/>
    <w:rsid w:val="00206C04"/>
    <w:rsid w:val="00206CE1"/>
    <w:rsid w:val="00206D9F"/>
    <w:rsid w:val="00207033"/>
    <w:rsid w:val="0020725A"/>
    <w:rsid w:val="002072DA"/>
    <w:rsid w:val="00207387"/>
    <w:rsid w:val="002073C4"/>
    <w:rsid w:val="00207562"/>
    <w:rsid w:val="00207AF3"/>
    <w:rsid w:val="00207B06"/>
    <w:rsid w:val="00207E22"/>
    <w:rsid w:val="002100FA"/>
    <w:rsid w:val="002102CE"/>
    <w:rsid w:val="002102F3"/>
    <w:rsid w:val="0021030D"/>
    <w:rsid w:val="00210310"/>
    <w:rsid w:val="00210417"/>
    <w:rsid w:val="0021042A"/>
    <w:rsid w:val="002105FE"/>
    <w:rsid w:val="00210602"/>
    <w:rsid w:val="002107B5"/>
    <w:rsid w:val="002109C2"/>
    <w:rsid w:val="00210AFD"/>
    <w:rsid w:val="00210D10"/>
    <w:rsid w:val="00210E1A"/>
    <w:rsid w:val="00210E30"/>
    <w:rsid w:val="0021111D"/>
    <w:rsid w:val="00211175"/>
    <w:rsid w:val="00211298"/>
    <w:rsid w:val="002114B4"/>
    <w:rsid w:val="00211523"/>
    <w:rsid w:val="00211556"/>
    <w:rsid w:val="002116A1"/>
    <w:rsid w:val="00211804"/>
    <w:rsid w:val="002119F7"/>
    <w:rsid w:val="00211A71"/>
    <w:rsid w:val="00211B8F"/>
    <w:rsid w:val="00211B9D"/>
    <w:rsid w:val="00211C3F"/>
    <w:rsid w:val="00211F9A"/>
    <w:rsid w:val="0021259E"/>
    <w:rsid w:val="00212638"/>
    <w:rsid w:val="00212645"/>
    <w:rsid w:val="002126FA"/>
    <w:rsid w:val="00212715"/>
    <w:rsid w:val="00212905"/>
    <w:rsid w:val="002129F2"/>
    <w:rsid w:val="00212BDF"/>
    <w:rsid w:val="00212C35"/>
    <w:rsid w:val="00212CB3"/>
    <w:rsid w:val="00212D61"/>
    <w:rsid w:val="00212F5C"/>
    <w:rsid w:val="00213233"/>
    <w:rsid w:val="002134A0"/>
    <w:rsid w:val="002134B5"/>
    <w:rsid w:val="0021355B"/>
    <w:rsid w:val="00213922"/>
    <w:rsid w:val="00213CAE"/>
    <w:rsid w:val="00213E77"/>
    <w:rsid w:val="002141C7"/>
    <w:rsid w:val="002143CE"/>
    <w:rsid w:val="00214674"/>
    <w:rsid w:val="00214D1E"/>
    <w:rsid w:val="00214D71"/>
    <w:rsid w:val="002150AE"/>
    <w:rsid w:val="002150EF"/>
    <w:rsid w:val="002152F8"/>
    <w:rsid w:val="00215448"/>
    <w:rsid w:val="002154BD"/>
    <w:rsid w:val="0021551A"/>
    <w:rsid w:val="002158D0"/>
    <w:rsid w:val="00215FDD"/>
    <w:rsid w:val="002160D4"/>
    <w:rsid w:val="00216362"/>
    <w:rsid w:val="002163BE"/>
    <w:rsid w:val="00216690"/>
    <w:rsid w:val="002166AE"/>
    <w:rsid w:val="00216799"/>
    <w:rsid w:val="00216862"/>
    <w:rsid w:val="0021687C"/>
    <w:rsid w:val="00216930"/>
    <w:rsid w:val="00216BEE"/>
    <w:rsid w:val="00216D45"/>
    <w:rsid w:val="00216F02"/>
    <w:rsid w:val="002173FD"/>
    <w:rsid w:val="002174FB"/>
    <w:rsid w:val="002176F7"/>
    <w:rsid w:val="00217871"/>
    <w:rsid w:val="002178CF"/>
    <w:rsid w:val="00217A4A"/>
    <w:rsid w:val="00217B2D"/>
    <w:rsid w:val="00217C2C"/>
    <w:rsid w:val="00217CBB"/>
    <w:rsid w:val="00217D45"/>
    <w:rsid w:val="00217E7D"/>
    <w:rsid w:val="00217F70"/>
    <w:rsid w:val="00220124"/>
    <w:rsid w:val="002201CD"/>
    <w:rsid w:val="0022034C"/>
    <w:rsid w:val="0022055B"/>
    <w:rsid w:val="00220853"/>
    <w:rsid w:val="00220A36"/>
    <w:rsid w:val="00220C75"/>
    <w:rsid w:val="00220C8C"/>
    <w:rsid w:val="00220EDA"/>
    <w:rsid w:val="002212E7"/>
    <w:rsid w:val="0022157E"/>
    <w:rsid w:val="0022158A"/>
    <w:rsid w:val="00221936"/>
    <w:rsid w:val="00221A67"/>
    <w:rsid w:val="00221AAE"/>
    <w:rsid w:val="00221B70"/>
    <w:rsid w:val="00221BDD"/>
    <w:rsid w:val="00221BE8"/>
    <w:rsid w:val="00221D3F"/>
    <w:rsid w:val="00221FC9"/>
    <w:rsid w:val="002220CC"/>
    <w:rsid w:val="00222248"/>
    <w:rsid w:val="002222F4"/>
    <w:rsid w:val="00222581"/>
    <w:rsid w:val="00222626"/>
    <w:rsid w:val="0022277F"/>
    <w:rsid w:val="002228E2"/>
    <w:rsid w:val="00222A96"/>
    <w:rsid w:val="00222B9D"/>
    <w:rsid w:val="00222CB8"/>
    <w:rsid w:val="00222DD9"/>
    <w:rsid w:val="00223093"/>
    <w:rsid w:val="0022339C"/>
    <w:rsid w:val="002237EF"/>
    <w:rsid w:val="00223889"/>
    <w:rsid w:val="00223B55"/>
    <w:rsid w:val="00223C38"/>
    <w:rsid w:val="00223E90"/>
    <w:rsid w:val="00223F5F"/>
    <w:rsid w:val="00224043"/>
    <w:rsid w:val="00224052"/>
    <w:rsid w:val="002240E5"/>
    <w:rsid w:val="002242BB"/>
    <w:rsid w:val="0022499A"/>
    <w:rsid w:val="00224AE1"/>
    <w:rsid w:val="00224B93"/>
    <w:rsid w:val="00224C38"/>
    <w:rsid w:val="0022517B"/>
    <w:rsid w:val="00225344"/>
    <w:rsid w:val="00225372"/>
    <w:rsid w:val="00225675"/>
    <w:rsid w:val="002259B6"/>
    <w:rsid w:val="00225A43"/>
    <w:rsid w:val="00225E1C"/>
    <w:rsid w:val="00225E54"/>
    <w:rsid w:val="002261FD"/>
    <w:rsid w:val="002263BF"/>
    <w:rsid w:val="002264A3"/>
    <w:rsid w:val="002265DB"/>
    <w:rsid w:val="00226681"/>
    <w:rsid w:val="00226723"/>
    <w:rsid w:val="00226773"/>
    <w:rsid w:val="002267D7"/>
    <w:rsid w:val="00226D9D"/>
    <w:rsid w:val="00226E3C"/>
    <w:rsid w:val="0022708F"/>
    <w:rsid w:val="002272AB"/>
    <w:rsid w:val="002272B8"/>
    <w:rsid w:val="00227328"/>
    <w:rsid w:val="00227388"/>
    <w:rsid w:val="002273CD"/>
    <w:rsid w:val="00227458"/>
    <w:rsid w:val="00227534"/>
    <w:rsid w:val="002275A7"/>
    <w:rsid w:val="002277C9"/>
    <w:rsid w:val="0022783A"/>
    <w:rsid w:val="002279E3"/>
    <w:rsid w:val="00227A19"/>
    <w:rsid w:val="00227BC1"/>
    <w:rsid w:val="00227D7E"/>
    <w:rsid w:val="00227D85"/>
    <w:rsid w:val="0023018C"/>
    <w:rsid w:val="00230476"/>
    <w:rsid w:val="00230596"/>
    <w:rsid w:val="00230648"/>
    <w:rsid w:val="00230736"/>
    <w:rsid w:val="00230802"/>
    <w:rsid w:val="00230A6E"/>
    <w:rsid w:val="00230BA1"/>
    <w:rsid w:val="00230CC2"/>
    <w:rsid w:val="00230D28"/>
    <w:rsid w:val="00231386"/>
    <w:rsid w:val="002313BA"/>
    <w:rsid w:val="002317D0"/>
    <w:rsid w:val="002318D7"/>
    <w:rsid w:val="0023195A"/>
    <w:rsid w:val="00231C47"/>
    <w:rsid w:val="00231E57"/>
    <w:rsid w:val="00231FF3"/>
    <w:rsid w:val="00232057"/>
    <w:rsid w:val="0023211E"/>
    <w:rsid w:val="00232203"/>
    <w:rsid w:val="00232C5A"/>
    <w:rsid w:val="00232C9E"/>
    <w:rsid w:val="00232CFB"/>
    <w:rsid w:val="00232D71"/>
    <w:rsid w:val="00232DA2"/>
    <w:rsid w:val="002330F0"/>
    <w:rsid w:val="00233183"/>
    <w:rsid w:val="00233186"/>
    <w:rsid w:val="0023328E"/>
    <w:rsid w:val="0023345C"/>
    <w:rsid w:val="00233944"/>
    <w:rsid w:val="00233DCC"/>
    <w:rsid w:val="00233E0A"/>
    <w:rsid w:val="00233E38"/>
    <w:rsid w:val="00234228"/>
    <w:rsid w:val="002342F8"/>
    <w:rsid w:val="00234798"/>
    <w:rsid w:val="00234A82"/>
    <w:rsid w:val="00234C94"/>
    <w:rsid w:val="00234F19"/>
    <w:rsid w:val="00234F7B"/>
    <w:rsid w:val="00234F9D"/>
    <w:rsid w:val="00235025"/>
    <w:rsid w:val="00235372"/>
    <w:rsid w:val="002354EE"/>
    <w:rsid w:val="002355D5"/>
    <w:rsid w:val="00235684"/>
    <w:rsid w:val="00235B65"/>
    <w:rsid w:val="00235B7F"/>
    <w:rsid w:val="00235BFF"/>
    <w:rsid w:val="00235CC6"/>
    <w:rsid w:val="00235E0B"/>
    <w:rsid w:val="00235EAB"/>
    <w:rsid w:val="00235FE1"/>
    <w:rsid w:val="002362C1"/>
    <w:rsid w:val="0023636A"/>
    <w:rsid w:val="00236789"/>
    <w:rsid w:val="002367F3"/>
    <w:rsid w:val="00236907"/>
    <w:rsid w:val="00236A71"/>
    <w:rsid w:val="00236A9B"/>
    <w:rsid w:val="00236B2D"/>
    <w:rsid w:val="00236F60"/>
    <w:rsid w:val="00236FBB"/>
    <w:rsid w:val="0023703B"/>
    <w:rsid w:val="00237091"/>
    <w:rsid w:val="0023728B"/>
    <w:rsid w:val="002374FE"/>
    <w:rsid w:val="00237654"/>
    <w:rsid w:val="00237808"/>
    <w:rsid w:val="002379D8"/>
    <w:rsid w:val="00237AA3"/>
    <w:rsid w:val="00237D30"/>
    <w:rsid w:val="00237D6E"/>
    <w:rsid w:val="00237DAC"/>
    <w:rsid w:val="00237DFC"/>
    <w:rsid w:val="00240195"/>
    <w:rsid w:val="002403F1"/>
    <w:rsid w:val="00240521"/>
    <w:rsid w:val="0024071B"/>
    <w:rsid w:val="0024071F"/>
    <w:rsid w:val="0024084F"/>
    <w:rsid w:val="00240863"/>
    <w:rsid w:val="002408D1"/>
    <w:rsid w:val="00240AA1"/>
    <w:rsid w:val="00240CF9"/>
    <w:rsid w:val="00240E39"/>
    <w:rsid w:val="00240EFB"/>
    <w:rsid w:val="00240F19"/>
    <w:rsid w:val="00241583"/>
    <w:rsid w:val="00241926"/>
    <w:rsid w:val="002419D8"/>
    <w:rsid w:val="00241E97"/>
    <w:rsid w:val="00241F5B"/>
    <w:rsid w:val="002420A9"/>
    <w:rsid w:val="00242241"/>
    <w:rsid w:val="00242600"/>
    <w:rsid w:val="002426A7"/>
    <w:rsid w:val="002426DF"/>
    <w:rsid w:val="002426F8"/>
    <w:rsid w:val="00242927"/>
    <w:rsid w:val="00242B56"/>
    <w:rsid w:val="00242BF0"/>
    <w:rsid w:val="00242E36"/>
    <w:rsid w:val="00242F55"/>
    <w:rsid w:val="00242F8A"/>
    <w:rsid w:val="00242FE6"/>
    <w:rsid w:val="00243071"/>
    <w:rsid w:val="0024315E"/>
    <w:rsid w:val="002434EF"/>
    <w:rsid w:val="00243562"/>
    <w:rsid w:val="00243E25"/>
    <w:rsid w:val="00244060"/>
    <w:rsid w:val="00244139"/>
    <w:rsid w:val="0024492E"/>
    <w:rsid w:val="00244BFF"/>
    <w:rsid w:val="00244CA8"/>
    <w:rsid w:val="00244D8D"/>
    <w:rsid w:val="00244DC4"/>
    <w:rsid w:val="00244E33"/>
    <w:rsid w:val="00244E48"/>
    <w:rsid w:val="00245199"/>
    <w:rsid w:val="002453E6"/>
    <w:rsid w:val="0024554A"/>
    <w:rsid w:val="00245804"/>
    <w:rsid w:val="00245884"/>
    <w:rsid w:val="002459F7"/>
    <w:rsid w:val="00245A03"/>
    <w:rsid w:val="00245DB7"/>
    <w:rsid w:val="00245DF9"/>
    <w:rsid w:val="00245ED0"/>
    <w:rsid w:val="00245F87"/>
    <w:rsid w:val="002460F7"/>
    <w:rsid w:val="002461FF"/>
    <w:rsid w:val="002465EF"/>
    <w:rsid w:val="002466C6"/>
    <w:rsid w:val="002466E9"/>
    <w:rsid w:val="00246AA3"/>
    <w:rsid w:val="00246CF9"/>
    <w:rsid w:val="00246E8B"/>
    <w:rsid w:val="00246EDB"/>
    <w:rsid w:val="00246F57"/>
    <w:rsid w:val="00247005"/>
    <w:rsid w:val="00247143"/>
    <w:rsid w:val="00247167"/>
    <w:rsid w:val="002471E5"/>
    <w:rsid w:val="00247268"/>
    <w:rsid w:val="00247493"/>
    <w:rsid w:val="0024783C"/>
    <w:rsid w:val="002478FB"/>
    <w:rsid w:val="00247A26"/>
    <w:rsid w:val="00247A70"/>
    <w:rsid w:val="00247B0F"/>
    <w:rsid w:val="00247BCD"/>
    <w:rsid w:val="00247D53"/>
    <w:rsid w:val="00247DF8"/>
    <w:rsid w:val="00247F71"/>
    <w:rsid w:val="002501B9"/>
    <w:rsid w:val="0025033F"/>
    <w:rsid w:val="0025045A"/>
    <w:rsid w:val="0025045D"/>
    <w:rsid w:val="00250484"/>
    <w:rsid w:val="00250683"/>
    <w:rsid w:val="002506EA"/>
    <w:rsid w:val="002509EC"/>
    <w:rsid w:val="00250A34"/>
    <w:rsid w:val="00250AC2"/>
    <w:rsid w:val="00250BE9"/>
    <w:rsid w:val="00250C9C"/>
    <w:rsid w:val="00250D57"/>
    <w:rsid w:val="00250D8E"/>
    <w:rsid w:val="00250ED1"/>
    <w:rsid w:val="00251070"/>
    <w:rsid w:val="00251602"/>
    <w:rsid w:val="00251680"/>
    <w:rsid w:val="0025197A"/>
    <w:rsid w:val="0025197B"/>
    <w:rsid w:val="00251DDF"/>
    <w:rsid w:val="00251E75"/>
    <w:rsid w:val="00251F2C"/>
    <w:rsid w:val="00251F6A"/>
    <w:rsid w:val="00251FA3"/>
    <w:rsid w:val="00252381"/>
    <w:rsid w:val="002525D3"/>
    <w:rsid w:val="0025261F"/>
    <w:rsid w:val="00252635"/>
    <w:rsid w:val="0025277D"/>
    <w:rsid w:val="0025278C"/>
    <w:rsid w:val="002529AA"/>
    <w:rsid w:val="00252A54"/>
    <w:rsid w:val="00252B4F"/>
    <w:rsid w:val="00252F2D"/>
    <w:rsid w:val="00252F44"/>
    <w:rsid w:val="00253186"/>
    <w:rsid w:val="0025321F"/>
    <w:rsid w:val="00253336"/>
    <w:rsid w:val="002533D4"/>
    <w:rsid w:val="002533EF"/>
    <w:rsid w:val="00253444"/>
    <w:rsid w:val="0025346B"/>
    <w:rsid w:val="002538AA"/>
    <w:rsid w:val="002539EE"/>
    <w:rsid w:val="00253BD7"/>
    <w:rsid w:val="00253D33"/>
    <w:rsid w:val="00253D80"/>
    <w:rsid w:val="00253F46"/>
    <w:rsid w:val="0025418C"/>
    <w:rsid w:val="00254322"/>
    <w:rsid w:val="00254392"/>
    <w:rsid w:val="002547CA"/>
    <w:rsid w:val="002547E1"/>
    <w:rsid w:val="00254872"/>
    <w:rsid w:val="00254A70"/>
    <w:rsid w:val="00254CC7"/>
    <w:rsid w:val="0025501B"/>
    <w:rsid w:val="00255060"/>
    <w:rsid w:val="00255349"/>
    <w:rsid w:val="00255363"/>
    <w:rsid w:val="0025536B"/>
    <w:rsid w:val="002553A9"/>
    <w:rsid w:val="002556E0"/>
    <w:rsid w:val="0025581D"/>
    <w:rsid w:val="00255C2C"/>
    <w:rsid w:val="00255C51"/>
    <w:rsid w:val="00255ECE"/>
    <w:rsid w:val="00255F12"/>
    <w:rsid w:val="00255FE4"/>
    <w:rsid w:val="00256288"/>
    <w:rsid w:val="0025632E"/>
    <w:rsid w:val="002563B9"/>
    <w:rsid w:val="00256623"/>
    <w:rsid w:val="0025671E"/>
    <w:rsid w:val="00256A64"/>
    <w:rsid w:val="00256D45"/>
    <w:rsid w:val="00256E52"/>
    <w:rsid w:val="002570F4"/>
    <w:rsid w:val="002571C3"/>
    <w:rsid w:val="00257239"/>
    <w:rsid w:val="0025732E"/>
    <w:rsid w:val="002573B6"/>
    <w:rsid w:val="002574DC"/>
    <w:rsid w:val="002578F4"/>
    <w:rsid w:val="00257A6D"/>
    <w:rsid w:val="00257B7A"/>
    <w:rsid w:val="00257C36"/>
    <w:rsid w:val="00257E05"/>
    <w:rsid w:val="00257E88"/>
    <w:rsid w:val="00260209"/>
    <w:rsid w:val="00260427"/>
    <w:rsid w:val="0026046A"/>
    <w:rsid w:val="00260627"/>
    <w:rsid w:val="00260B11"/>
    <w:rsid w:val="00260B81"/>
    <w:rsid w:val="00260CA0"/>
    <w:rsid w:val="00260E95"/>
    <w:rsid w:val="00260F01"/>
    <w:rsid w:val="00260FFE"/>
    <w:rsid w:val="0026119B"/>
    <w:rsid w:val="00261241"/>
    <w:rsid w:val="002612EA"/>
    <w:rsid w:val="0026150E"/>
    <w:rsid w:val="0026163B"/>
    <w:rsid w:val="00261833"/>
    <w:rsid w:val="00261CB7"/>
    <w:rsid w:val="00261DCC"/>
    <w:rsid w:val="00261F10"/>
    <w:rsid w:val="002620B8"/>
    <w:rsid w:val="002621C3"/>
    <w:rsid w:val="0026221D"/>
    <w:rsid w:val="00262366"/>
    <w:rsid w:val="002623A1"/>
    <w:rsid w:val="00262428"/>
    <w:rsid w:val="00262509"/>
    <w:rsid w:val="0026266B"/>
    <w:rsid w:val="0026268E"/>
    <w:rsid w:val="002626D9"/>
    <w:rsid w:val="002627BC"/>
    <w:rsid w:val="0026280F"/>
    <w:rsid w:val="002628B9"/>
    <w:rsid w:val="00262D5C"/>
    <w:rsid w:val="002631C1"/>
    <w:rsid w:val="002632D0"/>
    <w:rsid w:val="00263306"/>
    <w:rsid w:val="00263364"/>
    <w:rsid w:val="002635B4"/>
    <w:rsid w:val="0026360B"/>
    <w:rsid w:val="00263701"/>
    <w:rsid w:val="002637C3"/>
    <w:rsid w:val="00263868"/>
    <w:rsid w:val="002638CA"/>
    <w:rsid w:val="002638E5"/>
    <w:rsid w:val="00263FA5"/>
    <w:rsid w:val="00263FDF"/>
    <w:rsid w:val="00264000"/>
    <w:rsid w:val="00264299"/>
    <w:rsid w:val="002642A5"/>
    <w:rsid w:val="00264526"/>
    <w:rsid w:val="00264542"/>
    <w:rsid w:val="0026470C"/>
    <w:rsid w:val="00264A80"/>
    <w:rsid w:val="00264E85"/>
    <w:rsid w:val="00265331"/>
    <w:rsid w:val="00265428"/>
    <w:rsid w:val="002657E2"/>
    <w:rsid w:val="00265857"/>
    <w:rsid w:val="00265A91"/>
    <w:rsid w:val="00265E92"/>
    <w:rsid w:val="00265EB4"/>
    <w:rsid w:val="00265EC6"/>
    <w:rsid w:val="00265F18"/>
    <w:rsid w:val="00265F7F"/>
    <w:rsid w:val="0026612E"/>
    <w:rsid w:val="00266188"/>
    <w:rsid w:val="00266282"/>
    <w:rsid w:val="00266348"/>
    <w:rsid w:val="00266429"/>
    <w:rsid w:val="00266434"/>
    <w:rsid w:val="00266555"/>
    <w:rsid w:val="00266725"/>
    <w:rsid w:val="002667FC"/>
    <w:rsid w:val="00266852"/>
    <w:rsid w:val="00266B4F"/>
    <w:rsid w:val="00266CA0"/>
    <w:rsid w:val="00266CF0"/>
    <w:rsid w:val="00266E7E"/>
    <w:rsid w:val="00267092"/>
    <w:rsid w:val="002670D3"/>
    <w:rsid w:val="002671F1"/>
    <w:rsid w:val="002673FA"/>
    <w:rsid w:val="00267561"/>
    <w:rsid w:val="002675FA"/>
    <w:rsid w:val="00267618"/>
    <w:rsid w:val="0026772B"/>
    <w:rsid w:val="00267778"/>
    <w:rsid w:val="00267A34"/>
    <w:rsid w:val="00267CA7"/>
    <w:rsid w:val="00267E3E"/>
    <w:rsid w:val="002701C1"/>
    <w:rsid w:val="0027024A"/>
    <w:rsid w:val="002702EF"/>
    <w:rsid w:val="0027042D"/>
    <w:rsid w:val="002706F6"/>
    <w:rsid w:val="00270A46"/>
    <w:rsid w:val="00270A61"/>
    <w:rsid w:val="00270D30"/>
    <w:rsid w:val="00270FC1"/>
    <w:rsid w:val="00270FE0"/>
    <w:rsid w:val="00271254"/>
    <w:rsid w:val="0027132A"/>
    <w:rsid w:val="00271392"/>
    <w:rsid w:val="002715B6"/>
    <w:rsid w:val="0027178F"/>
    <w:rsid w:val="002718AC"/>
    <w:rsid w:val="00271977"/>
    <w:rsid w:val="00271CD3"/>
    <w:rsid w:val="00271CFC"/>
    <w:rsid w:val="00271DA7"/>
    <w:rsid w:val="00272660"/>
    <w:rsid w:val="0027274E"/>
    <w:rsid w:val="00272763"/>
    <w:rsid w:val="002727E4"/>
    <w:rsid w:val="00272811"/>
    <w:rsid w:val="00272989"/>
    <w:rsid w:val="002729C5"/>
    <w:rsid w:val="00272B42"/>
    <w:rsid w:val="00272B44"/>
    <w:rsid w:val="00272B59"/>
    <w:rsid w:val="00272B97"/>
    <w:rsid w:val="00272D59"/>
    <w:rsid w:val="00273360"/>
    <w:rsid w:val="002733FB"/>
    <w:rsid w:val="0027358F"/>
    <w:rsid w:val="00273626"/>
    <w:rsid w:val="00273630"/>
    <w:rsid w:val="00273705"/>
    <w:rsid w:val="00273B6E"/>
    <w:rsid w:val="00273EE5"/>
    <w:rsid w:val="00273EE8"/>
    <w:rsid w:val="00273EF7"/>
    <w:rsid w:val="00274017"/>
    <w:rsid w:val="002740C0"/>
    <w:rsid w:val="0027410A"/>
    <w:rsid w:val="002741BE"/>
    <w:rsid w:val="00274259"/>
    <w:rsid w:val="002742AC"/>
    <w:rsid w:val="00274521"/>
    <w:rsid w:val="00274741"/>
    <w:rsid w:val="00274943"/>
    <w:rsid w:val="002749C3"/>
    <w:rsid w:val="00274EF8"/>
    <w:rsid w:val="0027504C"/>
    <w:rsid w:val="0027507E"/>
    <w:rsid w:val="0027518B"/>
    <w:rsid w:val="002751A7"/>
    <w:rsid w:val="00275385"/>
    <w:rsid w:val="00275593"/>
    <w:rsid w:val="00275988"/>
    <w:rsid w:val="00275ACC"/>
    <w:rsid w:val="00275EBC"/>
    <w:rsid w:val="00275EF0"/>
    <w:rsid w:val="00275FBE"/>
    <w:rsid w:val="002760F8"/>
    <w:rsid w:val="0027610A"/>
    <w:rsid w:val="00276162"/>
    <w:rsid w:val="002761BB"/>
    <w:rsid w:val="00276266"/>
    <w:rsid w:val="002762DE"/>
    <w:rsid w:val="002766FC"/>
    <w:rsid w:val="00276886"/>
    <w:rsid w:val="00276A6F"/>
    <w:rsid w:val="00276A75"/>
    <w:rsid w:val="00276A7F"/>
    <w:rsid w:val="00276B58"/>
    <w:rsid w:val="00276CE0"/>
    <w:rsid w:val="00276F6B"/>
    <w:rsid w:val="00277023"/>
    <w:rsid w:val="002770F0"/>
    <w:rsid w:val="00277532"/>
    <w:rsid w:val="00277593"/>
    <w:rsid w:val="00277611"/>
    <w:rsid w:val="002778B9"/>
    <w:rsid w:val="0027790A"/>
    <w:rsid w:val="00277911"/>
    <w:rsid w:val="00277913"/>
    <w:rsid w:val="0027796F"/>
    <w:rsid w:val="00277A94"/>
    <w:rsid w:val="00277DBD"/>
    <w:rsid w:val="00277DF1"/>
    <w:rsid w:val="00277E8C"/>
    <w:rsid w:val="0028015D"/>
    <w:rsid w:val="00280924"/>
    <w:rsid w:val="00280962"/>
    <w:rsid w:val="00280A58"/>
    <w:rsid w:val="00280B1C"/>
    <w:rsid w:val="00280C64"/>
    <w:rsid w:val="00280D22"/>
    <w:rsid w:val="00280DA4"/>
    <w:rsid w:val="00280E5A"/>
    <w:rsid w:val="00280F2A"/>
    <w:rsid w:val="00280F54"/>
    <w:rsid w:val="002810B1"/>
    <w:rsid w:val="0028126A"/>
    <w:rsid w:val="00281521"/>
    <w:rsid w:val="002815ED"/>
    <w:rsid w:val="00281666"/>
    <w:rsid w:val="00281AC1"/>
    <w:rsid w:val="00281DCA"/>
    <w:rsid w:val="00281DF4"/>
    <w:rsid w:val="0028214C"/>
    <w:rsid w:val="002821D6"/>
    <w:rsid w:val="00282335"/>
    <w:rsid w:val="0028248A"/>
    <w:rsid w:val="0028263B"/>
    <w:rsid w:val="002826DC"/>
    <w:rsid w:val="00282921"/>
    <w:rsid w:val="00282967"/>
    <w:rsid w:val="00282A53"/>
    <w:rsid w:val="00282B6F"/>
    <w:rsid w:val="00282E28"/>
    <w:rsid w:val="00282E38"/>
    <w:rsid w:val="00282F98"/>
    <w:rsid w:val="002830F6"/>
    <w:rsid w:val="002831EB"/>
    <w:rsid w:val="0028324D"/>
    <w:rsid w:val="002832B7"/>
    <w:rsid w:val="002834C6"/>
    <w:rsid w:val="0028360F"/>
    <w:rsid w:val="00283715"/>
    <w:rsid w:val="0028388F"/>
    <w:rsid w:val="00283A39"/>
    <w:rsid w:val="00283B62"/>
    <w:rsid w:val="00283C34"/>
    <w:rsid w:val="00283D34"/>
    <w:rsid w:val="00283D83"/>
    <w:rsid w:val="00283F01"/>
    <w:rsid w:val="00284205"/>
    <w:rsid w:val="002842D3"/>
    <w:rsid w:val="00284308"/>
    <w:rsid w:val="0028441F"/>
    <w:rsid w:val="00284496"/>
    <w:rsid w:val="002844C8"/>
    <w:rsid w:val="0028461A"/>
    <w:rsid w:val="002847C2"/>
    <w:rsid w:val="00284935"/>
    <w:rsid w:val="00284AD7"/>
    <w:rsid w:val="00284B20"/>
    <w:rsid w:val="00284D55"/>
    <w:rsid w:val="00284E25"/>
    <w:rsid w:val="00284E95"/>
    <w:rsid w:val="00284F1F"/>
    <w:rsid w:val="00284F28"/>
    <w:rsid w:val="00285119"/>
    <w:rsid w:val="00285314"/>
    <w:rsid w:val="00285559"/>
    <w:rsid w:val="00285A3C"/>
    <w:rsid w:val="00285B8D"/>
    <w:rsid w:val="00285BC1"/>
    <w:rsid w:val="00285E44"/>
    <w:rsid w:val="00285E46"/>
    <w:rsid w:val="00285F39"/>
    <w:rsid w:val="00285FEB"/>
    <w:rsid w:val="00286336"/>
    <w:rsid w:val="0028633E"/>
    <w:rsid w:val="00286434"/>
    <w:rsid w:val="002867A3"/>
    <w:rsid w:val="00286968"/>
    <w:rsid w:val="002869E0"/>
    <w:rsid w:val="00286A55"/>
    <w:rsid w:val="00286C9F"/>
    <w:rsid w:val="0028715E"/>
    <w:rsid w:val="002871BA"/>
    <w:rsid w:val="002873D4"/>
    <w:rsid w:val="00287479"/>
    <w:rsid w:val="002874FE"/>
    <w:rsid w:val="00287543"/>
    <w:rsid w:val="0028755E"/>
    <w:rsid w:val="00287777"/>
    <w:rsid w:val="002878F7"/>
    <w:rsid w:val="002879CB"/>
    <w:rsid w:val="00287B65"/>
    <w:rsid w:val="00287C70"/>
    <w:rsid w:val="00287E1F"/>
    <w:rsid w:val="00287FE6"/>
    <w:rsid w:val="00290132"/>
    <w:rsid w:val="0029017D"/>
    <w:rsid w:val="002901C8"/>
    <w:rsid w:val="00290459"/>
    <w:rsid w:val="002906FD"/>
    <w:rsid w:val="0029088A"/>
    <w:rsid w:val="0029096D"/>
    <w:rsid w:val="00290A0E"/>
    <w:rsid w:val="00290AB4"/>
    <w:rsid w:val="00290B08"/>
    <w:rsid w:val="00290BA9"/>
    <w:rsid w:val="00290E98"/>
    <w:rsid w:val="0029108D"/>
    <w:rsid w:val="002911D0"/>
    <w:rsid w:val="002913C0"/>
    <w:rsid w:val="0029167B"/>
    <w:rsid w:val="002916CB"/>
    <w:rsid w:val="002917A8"/>
    <w:rsid w:val="00291B5A"/>
    <w:rsid w:val="00291C70"/>
    <w:rsid w:val="00291CEE"/>
    <w:rsid w:val="00291CF3"/>
    <w:rsid w:val="00291FB4"/>
    <w:rsid w:val="00292645"/>
    <w:rsid w:val="0029279E"/>
    <w:rsid w:val="002927D0"/>
    <w:rsid w:val="0029287E"/>
    <w:rsid w:val="00292A0C"/>
    <w:rsid w:val="00292B30"/>
    <w:rsid w:val="00292DEB"/>
    <w:rsid w:val="00292ECD"/>
    <w:rsid w:val="00292FA3"/>
    <w:rsid w:val="00292FF4"/>
    <w:rsid w:val="00293051"/>
    <w:rsid w:val="0029316A"/>
    <w:rsid w:val="0029323D"/>
    <w:rsid w:val="00293312"/>
    <w:rsid w:val="002938F0"/>
    <w:rsid w:val="002939D3"/>
    <w:rsid w:val="00293AFC"/>
    <w:rsid w:val="00293B20"/>
    <w:rsid w:val="00293B4C"/>
    <w:rsid w:val="00293DB8"/>
    <w:rsid w:val="00293F0D"/>
    <w:rsid w:val="0029405A"/>
    <w:rsid w:val="002943F9"/>
    <w:rsid w:val="002945E3"/>
    <w:rsid w:val="00294A3F"/>
    <w:rsid w:val="00294AAD"/>
    <w:rsid w:val="00294AC3"/>
    <w:rsid w:val="00294BC9"/>
    <w:rsid w:val="00294F8F"/>
    <w:rsid w:val="0029501E"/>
    <w:rsid w:val="002950E7"/>
    <w:rsid w:val="00295216"/>
    <w:rsid w:val="002954DB"/>
    <w:rsid w:val="002955C5"/>
    <w:rsid w:val="0029570B"/>
    <w:rsid w:val="00295A1B"/>
    <w:rsid w:val="00295A23"/>
    <w:rsid w:val="00295AAB"/>
    <w:rsid w:val="00295BCF"/>
    <w:rsid w:val="00295E0D"/>
    <w:rsid w:val="00295E62"/>
    <w:rsid w:val="002964AF"/>
    <w:rsid w:val="0029682A"/>
    <w:rsid w:val="00296A14"/>
    <w:rsid w:val="00296B34"/>
    <w:rsid w:val="00296CD3"/>
    <w:rsid w:val="00296F1C"/>
    <w:rsid w:val="0029707E"/>
    <w:rsid w:val="0029713B"/>
    <w:rsid w:val="00297329"/>
    <w:rsid w:val="00297566"/>
    <w:rsid w:val="002976C7"/>
    <w:rsid w:val="002976E2"/>
    <w:rsid w:val="002978B3"/>
    <w:rsid w:val="002979D8"/>
    <w:rsid w:val="002979DB"/>
    <w:rsid w:val="00297A9E"/>
    <w:rsid w:val="00297DD7"/>
    <w:rsid w:val="00297E6C"/>
    <w:rsid w:val="00297EF7"/>
    <w:rsid w:val="002A0359"/>
    <w:rsid w:val="002A0538"/>
    <w:rsid w:val="002A0677"/>
    <w:rsid w:val="002A076F"/>
    <w:rsid w:val="002A092A"/>
    <w:rsid w:val="002A0A2E"/>
    <w:rsid w:val="002A0A88"/>
    <w:rsid w:val="002A0C67"/>
    <w:rsid w:val="002A0E41"/>
    <w:rsid w:val="002A13D5"/>
    <w:rsid w:val="002A1404"/>
    <w:rsid w:val="002A1508"/>
    <w:rsid w:val="002A154F"/>
    <w:rsid w:val="002A1761"/>
    <w:rsid w:val="002A188F"/>
    <w:rsid w:val="002A1947"/>
    <w:rsid w:val="002A19FB"/>
    <w:rsid w:val="002A1AD2"/>
    <w:rsid w:val="002A1D48"/>
    <w:rsid w:val="002A1D7F"/>
    <w:rsid w:val="002A209F"/>
    <w:rsid w:val="002A20B1"/>
    <w:rsid w:val="002A2478"/>
    <w:rsid w:val="002A257B"/>
    <w:rsid w:val="002A2868"/>
    <w:rsid w:val="002A2999"/>
    <w:rsid w:val="002A2E59"/>
    <w:rsid w:val="002A2F6A"/>
    <w:rsid w:val="002A2FEF"/>
    <w:rsid w:val="002A360C"/>
    <w:rsid w:val="002A3669"/>
    <w:rsid w:val="002A39AC"/>
    <w:rsid w:val="002A3CBF"/>
    <w:rsid w:val="002A3CC9"/>
    <w:rsid w:val="002A3DF9"/>
    <w:rsid w:val="002A3F00"/>
    <w:rsid w:val="002A3F0A"/>
    <w:rsid w:val="002A4069"/>
    <w:rsid w:val="002A40E7"/>
    <w:rsid w:val="002A4258"/>
    <w:rsid w:val="002A425D"/>
    <w:rsid w:val="002A4324"/>
    <w:rsid w:val="002A432B"/>
    <w:rsid w:val="002A449E"/>
    <w:rsid w:val="002A44A5"/>
    <w:rsid w:val="002A4579"/>
    <w:rsid w:val="002A488D"/>
    <w:rsid w:val="002A4A84"/>
    <w:rsid w:val="002A4AE9"/>
    <w:rsid w:val="002A4B9C"/>
    <w:rsid w:val="002A4DD9"/>
    <w:rsid w:val="002A5076"/>
    <w:rsid w:val="002A50EE"/>
    <w:rsid w:val="002A5373"/>
    <w:rsid w:val="002A57A0"/>
    <w:rsid w:val="002A584F"/>
    <w:rsid w:val="002A5EE2"/>
    <w:rsid w:val="002A60FB"/>
    <w:rsid w:val="002A6501"/>
    <w:rsid w:val="002A6505"/>
    <w:rsid w:val="002A6630"/>
    <w:rsid w:val="002A66AE"/>
    <w:rsid w:val="002A66D4"/>
    <w:rsid w:val="002A67C3"/>
    <w:rsid w:val="002A6AA6"/>
    <w:rsid w:val="002A6B1F"/>
    <w:rsid w:val="002A6CAD"/>
    <w:rsid w:val="002A6F91"/>
    <w:rsid w:val="002A7033"/>
    <w:rsid w:val="002A7274"/>
    <w:rsid w:val="002A72FA"/>
    <w:rsid w:val="002A7388"/>
    <w:rsid w:val="002A74D7"/>
    <w:rsid w:val="002A7803"/>
    <w:rsid w:val="002A7A00"/>
    <w:rsid w:val="002A7BD7"/>
    <w:rsid w:val="002A7C26"/>
    <w:rsid w:val="002A7E16"/>
    <w:rsid w:val="002B02B2"/>
    <w:rsid w:val="002B0313"/>
    <w:rsid w:val="002B099C"/>
    <w:rsid w:val="002B0D48"/>
    <w:rsid w:val="002B0E88"/>
    <w:rsid w:val="002B0EAD"/>
    <w:rsid w:val="002B106E"/>
    <w:rsid w:val="002B1101"/>
    <w:rsid w:val="002B121B"/>
    <w:rsid w:val="002B1524"/>
    <w:rsid w:val="002B16E1"/>
    <w:rsid w:val="002B18BC"/>
    <w:rsid w:val="002B18D0"/>
    <w:rsid w:val="002B1900"/>
    <w:rsid w:val="002B1B78"/>
    <w:rsid w:val="002B1D44"/>
    <w:rsid w:val="002B1DD3"/>
    <w:rsid w:val="002B1EDF"/>
    <w:rsid w:val="002B220E"/>
    <w:rsid w:val="002B25FC"/>
    <w:rsid w:val="002B275F"/>
    <w:rsid w:val="002B27B7"/>
    <w:rsid w:val="002B28ED"/>
    <w:rsid w:val="002B2A91"/>
    <w:rsid w:val="002B2C01"/>
    <w:rsid w:val="002B2EED"/>
    <w:rsid w:val="002B2F3F"/>
    <w:rsid w:val="002B2FC8"/>
    <w:rsid w:val="002B31DA"/>
    <w:rsid w:val="002B3302"/>
    <w:rsid w:val="002B353A"/>
    <w:rsid w:val="002B36CD"/>
    <w:rsid w:val="002B3907"/>
    <w:rsid w:val="002B3A3A"/>
    <w:rsid w:val="002B3A5E"/>
    <w:rsid w:val="002B3C0C"/>
    <w:rsid w:val="002B3D68"/>
    <w:rsid w:val="002B3F46"/>
    <w:rsid w:val="002B414E"/>
    <w:rsid w:val="002B4229"/>
    <w:rsid w:val="002B4476"/>
    <w:rsid w:val="002B4535"/>
    <w:rsid w:val="002B480F"/>
    <w:rsid w:val="002B488C"/>
    <w:rsid w:val="002B4A6A"/>
    <w:rsid w:val="002B4C59"/>
    <w:rsid w:val="002B4E09"/>
    <w:rsid w:val="002B51DC"/>
    <w:rsid w:val="002B52F7"/>
    <w:rsid w:val="002B5424"/>
    <w:rsid w:val="002B5544"/>
    <w:rsid w:val="002B5753"/>
    <w:rsid w:val="002B582C"/>
    <w:rsid w:val="002B5A14"/>
    <w:rsid w:val="002B5AE1"/>
    <w:rsid w:val="002B5B52"/>
    <w:rsid w:val="002B5BF9"/>
    <w:rsid w:val="002B6012"/>
    <w:rsid w:val="002B607F"/>
    <w:rsid w:val="002B6234"/>
    <w:rsid w:val="002B6632"/>
    <w:rsid w:val="002B671B"/>
    <w:rsid w:val="002B68D8"/>
    <w:rsid w:val="002B6BA4"/>
    <w:rsid w:val="002B6CD8"/>
    <w:rsid w:val="002B6D19"/>
    <w:rsid w:val="002B6E32"/>
    <w:rsid w:val="002B6FB1"/>
    <w:rsid w:val="002B6FC1"/>
    <w:rsid w:val="002B73A9"/>
    <w:rsid w:val="002B75D0"/>
    <w:rsid w:val="002B75EB"/>
    <w:rsid w:val="002B79D2"/>
    <w:rsid w:val="002B7E20"/>
    <w:rsid w:val="002B7EC8"/>
    <w:rsid w:val="002C014A"/>
    <w:rsid w:val="002C0353"/>
    <w:rsid w:val="002C04F4"/>
    <w:rsid w:val="002C0532"/>
    <w:rsid w:val="002C07C3"/>
    <w:rsid w:val="002C0830"/>
    <w:rsid w:val="002C0879"/>
    <w:rsid w:val="002C0AAE"/>
    <w:rsid w:val="002C0BFC"/>
    <w:rsid w:val="002C0ECF"/>
    <w:rsid w:val="002C0FBA"/>
    <w:rsid w:val="002C1023"/>
    <w:rsid w:val="002C104B"/>
    <w:rsid w:val="002C106B"/>
    <w:rsid w:val="002C1151"/>
    <w:rsid w:val="002C1305"/>
    <w:rsid w:val="002C1502"/>
    <w:rsid w:val="002C15DE"/>
    <w:rsid w:val="002C16DA"/>
    <w:rsid w:val="002C185B"/>
    <w:rsid w:val="002C1CE3"/>
    <w:rsid w:val="002C1D2F"/>
    <w:rsid w:val="002C1F60"/>
    <w:rsid w:val="002C1FB6"/>
    <w:rsid w:val="002C2093"/>
    <w:rsid w:val="002C2182"/>
    <w:rsid w:val="002C2422"/>
    <w:rsid w:val="002C252B"/>
    <w:rsid w:val="002C28CA"/>
    <w:rsid w:val="002C2A77"/>
    <w:rsid w:val="002C2DF1"/>
    <w:rsid w:val="002C2F1A"/>
    <w:rsid w:val="002C2F58"/>
    <w:rsid w:val="002C2F68"/>
    <w:rsid w:val="002C2FE3"/>
    <w:rsid w:val="002C30A0"/>
    <w:rsid w:val="002C319A"/>
    <w:rsid w:val="002C3306"/>
    <w:rsid w:val="002C33D2"/>
    <w:rsid w:val="002C3524"/>
    <w:rsid w:val="002C36A4"/>
    <w:rsid w:val="002C373B"/>
    <w:rsid w:val="002C3927"/>
    <w:rsid w:val="002C3958"/>
    <w:rsid w:val="002C3C8E"/>
    <w:rsid w:val="002C3CBF"/>
    <w:rsid w:val="002C3D0E"/>
    <w:rsid w:val="002C3DBF"/>
    <w:rsid w:val="002C4015"/>
    <w:rsid w:val="002C4148"/>
    <w:rsid w:val="002C4221"/>
    <w:rsid w:val="002C4229"/>
    <w:rsid w:val="002C426E"/>
    <w:rsid w:val="002C4297"/>
    <w:rsid w:val="002C4487"/>
    <w:rsid w:val="002C4669"/>
    <w:rsid w:val="002C4671"/>
    <w:rsid w:val="002C4677"/>
    <w:rsid w:val="002C4869"/>
    <w:rsid w:val="002C4D57"/>
    <w:rsid w:val="002C4EAA"/>
    <w:rsid w:val="002C4ECF"/>
    <w:rsid w:val="002C506F"/>
    <w:rsid w:val="002C524A"/>
    <w:rsid w:val="002C5254"/>
    <w:rsid w:val="002C5473"/>
    <w:rsid w:val="002C5496"/>
    <w:rsid w:val="002C54FD"/>
    <w:rsid w:val="002C59A6"/>
    <w:rsid w:val="002C5C6C"/>
    <w:rsid w:val="002C5CA0"/>
    <w:rsid w:val="002C5D04"/>
    <w:rsid w:val="002C5DA0"/>
    <w:rsid w:val="002C60FE"/>
    <w:rsid w:val="002C6326"/>
    <w:rsid w:val="002C6515"/>
    <w:rsid w:val="002C655D"/>
    <w:rsid w:val="002C65A4"/>
    <w:rsid w:val="002C660F"/>
    <w:rsid w:val="002C66E8"/>
    <w:rsid w:val="002C66FD"/>
    <w:rsid w:val="002C674E"/>
    <w:rsid w:val="002C6A21"/>
    <w:rsid w:val="002C6A7D"/>
    <w:rsid w:val="002C6B65"/>
    <w:rsid w:val="002C6FBD"/>
    <w:rsid w:val="002C71D3"/>
    <w:rsid w:val="002C7246"/>
    <w:rsid w:val="002C727E"/>
    <w:rsid w:val="002C7332"/>
    <w:rsid w:val="002C746C"/>
    <w:rsid w:val="002C7491"/>
    <w:rsid w:val="002C74CB"/>
    <w:rsid w:val="002C7739"/>
    <w:rsid w:val="002C7A89"/>
    <w:rsid w:val="002C7C64"/>
    <w:rsid w:val="002C7D2A"/>
    <w:rsid w:val="002C7DD7"/>
    <w:rsid w:val="002C7DED"/>
    <w:rsid w:val="002C7F92"/>
    <w:rsid w:val="002C7FDB"/>
    <w:rsid w:val="002D00F8"/>
    <w:rsid w:val="002D01C0"/>
    <w:rsid w:val="002D05CF"/>
    <w:rsid w:val="002D0722"/>
    <w:rsid w:val="002D080C"/>
    <w:rsid w:val="002D0815"/>
    <w:rsid w:val="002D08E4"/>
    <w:rsid w:val="002D090C"/>
    <w:rsid w:val="002D093F"/>
    <w:rsid w:val="002D09E2"/>
    <w:rsid w:val="002D0A64"/>
    <w:rsid w:val="002D0BA7"/>
    <w:rsid w:val="002D0D42"/>
    <w:rsid w:val="002D0D6F"/>
    <w:rsid w:val="002D0DA6"/>
    <w:rsid w:val="002D0E4F"/>
    <w:rsid w:val="002D0E5B"/>
    <w:rsid w:val="002D0E8B"/>
    <w:rsid w:val="002D104A"/>
    <w:rsid w:val="002D14E9"/>
    <w:rsid w:val="002D1576"/>
    <w:rsid w:val="002D1613"/>
    <w:rsid w:val="002D1699"/>
    <w:rsid w:val="002D1A39"/>
    <w:rsid w:val="002D1AC1"/>
    <w:rsid w:val="002D1B08"/>
    <w:rsid w:val="002D1B47"/>
    <w:rsid w:val="002D1B5D"/>
    <w:rsid w:val="002D1C80"/>
    <w:rsid w:val="002D1E1F"/>
    <w:rsid w:val="002D1EE9"/>
    <w:rsid w:val="002D201C"/>
    <w:rsid w:val="002D287D"/>
    <w:rsid w:val="002D2896"/>
    <w:rsid w:val="002D32D2"/>
    <w:rsid w:val="002D33A6"/>
    <w:rsid w:val="002D353D"/>
    <w:rsid w:val="002D3555"/>
    <w:rsid w:val="002D3A5D"/>
    <w:rsid w:val="002D3C51"/>
    <w:rsid w:val="002D3E8D"/>
    <w:rsid w:val="002D4018"/>
    <w:rsid w:val="002D415E"/>
    <w:rsid w:val="002D4317"/>
    <w:rsid w:val="002D439F"/>
    <w:rsid w:val="002D47EC"/>
    <w:rsid w:val="002D4805"/>
    <w:rsid w:val="002D486C"/>
    <w:rsid w:val="002D488B"/>
    <w:rsid w:val="002D49AE"/>
    <w:rsid w:val="002D49F7"/>
    <w:rsid w:val="002D4A15"/>
    <w:rsid w:val="002D4AA5"/>
    <w:rsid w:val="002D4CC5"/>
    <w:rsid w:val="002D4DBB"/>
    <w:rsid w:val="002D55F1"/>
    <w:rsid w:val="002D56D7"/>
    <w:rsid w:val="002D586B"/>
    <w:rsid w:val="002D5B22"/>
    <w:rsid w:val="002D5BB7"/>
    <w:rsid w:val="002D5CE2"/>
    <w:rsid w:val="002D5F1E"/>
    <w:rsid w:val="002D618F"/>
    <w:rsid w:val="002D622A"/>
    <w:rsid w:val="002D6253"/>
    <w:rsid w:val="002D6499"/>
    <w:rsid w:val="002D6573"/>
    <w:rsid w:val="002D6610"/>
    <w:rsid w:val="002D6646"/>
    <w:rsid w:val="002D66F0"/>
    <w:rsid w:val="002D6733"/>
    <w:rsid w:val="002D683A"/>
    <w:rsid w:val="002D6D86"/>
    <w:rsid w:val="002D72A5"/>
    <w:rsid w:val="002D7714"/>
    <w:rsid w:val="002D7A25"/>
    <w:rsid w:val="002D7BA2"/>
    <w:rsid w:val="002D7D11"/>
    <w:rsid w:val="002D7E79"/>
    <w:rsid w:val="002E0096"/>
    <w:rsid w:val="002E0127"/>
    <w:rsid w:val="002E01C6"/>
    <w:rsid w:val="002E0326"/>
    <w:rsid w:val="002E05A5"/>
    <w:rsid w:val="002E0932"/>
    <w:rsid w:val="002E0CC5"/>
    <w:rsid w:val="002E0F3A"/>
    <w:rsid w:val="002E10D6"/>
    <w:rsid w:val="002E10E0"/>
    <w:rsid w:val="002E1104"/>
    <w:rsid w:val="002E115A"/>
    <w:rsid w:val="002E125E"/>
    <w:rsid w:val="002E1463"/>
    <w:rsid w:val="002E17B6"/>
    <w:rsid w:val="002E182F"/>
    <w:rsid w:val="002E186F"/>
    <w:rsid w:val="002E1C58"/>
    <w:rsid w:val="002E1C6D"/>
    <w:rsid w:val="002E1D74"/>
    <w:rsid w:val="002E1E02"/>
    <w:rsid w:val="002E1E83"/>
    <w:rsid w:val="002E2125"/>
    <w:rsid w:val="002E238F"/>
    <w:rsid w:val="002E2455"/>
    <w:rsid w:val="002E25B7"/>
    <w:rsid w:val="002E2667"/>
    <w:rsid w:val="002E26C7"/>
    <w:rsid w:val="002E29F8"/>
    <w:rsid w:val="002E2BA5"/>
    <w:rsid w:val="002E2CA8"/>
    <w:rsid w:val="002E2DAA"/>
    <w:rsid w:val="002E3156"/>
    <w:rsid w:val="002E31F2"/>
    <w:rsid w:val="002E3413"/>
    <w:rsid w:val="002E360B"/>
    <w:rsid w:val="002E367B"/>
    <w:rsid w:val="002E36D8"/>
    <w:rsid w:val="002E36DB"/>
    <w:rsid w:val="002E38E9"/>
    <w:rsid w:val="002E3923"/>
    <w:rsid w:val="002E3C00"/>
    <w:rsid w:val="002E3F43"/>
    <w:rsid w:val="002E40FC"/>
    <w:rsid w:val="002E457E"/>
    <w:rsid w:val="002E459B"/>
    <w:rsid w:val="002E45C2"/>
    <w:rsid w:val="002E45E5"/>
    <w:rsid w:val="002E4635"/>
    <w:rsid w:val="002E49F3"/>
    <w:rsid w:val="002E5197"/>
    <w:rsid w:val="002E520A"/>
    <w:rsid w:val="002E5283"/>
    <w:rsid w:val="002E53E7"/>
    <w:rsid w:val="002E5432"/>
    <w:rsid w:val="002E552A"/>
    <w:rsid w:val="002E55AB"/>
    <w:rsid w:val="002E57BF"/>
    <w:rsid w:val="002E58EF"/>
    <w:rsid w:val="002E59EC"/>
    <w:rsid w:val="002E5B9E"/>
    <w:rsid w:val="002E5CF7"/>
    <w:rsid w:val="002E5D22"/>
    <w:rsid w:val="002E5FB6"/>
    <w:rsid w:val="002E5FE7"/>
    <w:rsid w:val="002E60EC"/>
    <w:rsid w:val="002E61F8"/>
    <w:rsid w:val="002E63B6"/>
    <w:rsid w:val="002E65FD"/>
    <w:rsid w:val="002E6601"/>
    <w:rsid w:val="002E6697"/>
    <w:rsid w:val="002E67C2"/>
    <w:rsid w:val="002E6825"/>
    <w:rsid w:val="002E6924"/>
    <w:rsid w:val="002E6A00"/>
    <w:rsid w:val="002E6AA8"/>
    <w:rsid w:val="002E6B47"/>
    <w:rsid w:val="002E6B7F"/>
    <w:rsid w:val="002E6E7B"/>
    <w:rsid w:val="002E6EAE"/>
    <w:rsid w:val="002E6F21"/>
    <w:rsid w:val="002E6F44"/>
    <w:rsid w:val="002E7126"/>
    <w:rsid w:val="002E71C0"/>
    <w:rsid w:val="002E724C"/>
    <w:rsid w:val="002E72CC"/>
    <w:rsid w:val="002E73EF"/>
    <w:rsid w:val="002E7518"/>
    <w:rsid w:val="002E7798"/>
    <w:rsid w:val="002E7ADF"/>
    <w:rsid w:val="002E7B3B"/>
    <w:rsid w:val="002E7BF4"/>
    <w:rsid w:val="002E7DDC"/>
    <w:rsid w:val="002E7E33"/>
    <w:rsid w:val="002F0183"/>
    <w:rsid w:val="002F0573"/>
    <w:rsid w:val="002F0620"/>
    <w:rsid w:val="002F080F"/>
    <w:rsid w:val="002F0877"/>
    <w:rsid w:val="002F08BE"/>
    <w:rsid w:val="002F0980"/>
    <w:rsid w:val="002F09FE"/>
    <w:rsid w:val="002F0A0A"/>
    <w:rsid w:val="002F0A22"/>
    <w:rsid w:val="002F0ACD"/>
    <w:rsid w:val="002F0BF7"/>
    <w:rsid w:val="002F0D9F"/>
    <w:rsid w:val="002F0DE2"/>
    <w:rsid w:val="002F0E61"/>
    <w:rsid w:val="002F0F29"/>
    <w:rsid w:val="002F113C"/>
    <w:rsid w:val="002F137F"/>
    <w:rsid w:val="002F1494"/>
    <w:rsid w:val="002F14D0"/>
    <w:rsid w:val="002F1676"/>
    <w:rsid w:val="002F16BE"/>
    <w:rsid w:val="002F1715"/>
    <w:rsid w:val="002F18C0"/>
    <w:rsid w:val="002F18DC"/>
    <w:rsid w:val="002F18EA"/>
    <w:rsid w:val="002F1AD8"/>
    <w:rsid w:val="002F1BD1"/>
    <w:rsid w:val="002F1C93"/>
    <w:rsid w:val="002F1CC0"/>
    <w:rsid w:val="002F20D8"/>
    <w:rsid w:val="002F20E8"/>
    <w:rsid w:val="002F21ED"/>
    <w:rsid w:val="002F2464"/>
    <w:rsid w:val="002F274E"/>
    <w:rsid w:val="002F2791"/>
    <w:rsid w:val="002F27C9"/>
    <w:rsid w:val="002F2A6A"/>
    <w:rsid w:val="002F2B75"/>
    <w:rsid w:val="002F2C03"/>
    <w:rsid w:val="002F2C26"/>
    <w:rsid w:val="002F2CD7"/>
    <w:rsid w:val="002F2D4E"/>
    <w:rsid w:val="002F30E1"/>
    <w:rsid w:val="002F31CA"/>
    <w:rsid w:val="002F31F7"/>
    <w:rsid w:val="002F3381"/>
    <w:rsid w:val="002F34DB"/>
    <w:rsid w:val="002F366F"/>
    <w:rsid w:val="002F37E6"/>
    <w:rsid w:val="002F3807"/>
    <w:rsid w:val="002F3875"/>
    <w:rsid w:val="002F38B9"/>
    <w:rsid w:val="002F3A9F"/>
    <w:rsid w:val="002F3AA6"/>
    <w:rsid w:val="002F3BF4"/>
    <w:rsid w:val="002F3E6A"/>
    <w:rsid w:val="002F3F45"/>
    <w:rsid w:val="002F3F48"/>
    <w:rsid w:val="002F3F67"/>
    <w:rsid w:val="002F41BF"/>
    <w:rsid w:val="002F4452"/>
    <w:rsid w:val="002F4697"/>
    <w:rsid w:val="002F46D8"/>
    <w:rsid w:val="002F4725"/>
    <w:rsid w:val="002F485A"/>
    <w:rsid w:val="002F49CB"/>
    <w:rsid w:val="002F4B19"/>
    <w:rsid w:val="002F4BB2"/>
    <w:rsid w:val="002F4CAD"/>
    <w:rsid w:val="002F4F6B"/>
    <w:rsid w:val="002F513B"/>
    <w:rsid w:val="002F51D6"/>
    <w:rsid w:val="002F5349"/>
    <w:rsid w:val="002F53E9"/>
    <w:rsid w:val="002F54F3"/>
    <w:rsid w:val="002F55C5"/>
    <w:rsid w:val="002F5B3E"/>
    <w:rsid w:val="002F5BAF"/>
    <w:rsid w:val="002F5E5D"/>
    <w:rsid w:val="002F5EA3"/>
    <w:rsid w:val="002F6013"/>
    <w:rsid w:val="002F60B7"/>
    <w:rsid w:val="002F612F"/>
    <w:rsid w:val="002F61A7"/>
    <w:rsid w:val="002F6206"/>
    <w:rsid w:val="002F6329"/>
    <w:rsid w:val="002F6410"/>
    <w:rsid w:val="002F66C9"/>
    <w:rsid w:val="002F6709"/>
    <w:rsid w:val="002F6934"/>
    <w:rsid w:val="002F6BCF"/>
    <w:rsid w:val="002F6CDE"/>
    <w:rsid w:val="002F6D52"/>
    <w:rsid w:val="002F7063"/>
    <w:rsid w:val="002F70ED"/>
    <w:rsid w:val="002F70FA"/>
    <w:rsid w:val="002F712A"/>
    <w:rsid w:val="002F7438"/>
    <w:rsid w:val="002F76B0"/>
    <w:rsid w:val="002F76F6"/>
    <w:rsid w:val="002F7B6C"/>
    <w:rsid w:val="002F7FEC"/>
    <w:rsid w:val="00300099"/>
    <w:rsid w:val="00300137"/>
    <w:rsid w:val="003002BA"/>
    <w:rsid w:val="003006A6"/>
    <w:rsid w:val="00300860"/>
    <w:rsid w:val="0030087F"/>
    <w:rsid w:val="003009A5"/>
    <w:rsid w:val="00300AE2"/>
    <w:rsid w:val="00300D9D"/>
    <w:rsid w:val="00300E2A"/>
    <w:rsid w:val="00300F91"/>
    <w:rsid w:val="00301438"/>
    <w:rsid w:val="003015B7"/>
    <w:rsid w:val="00301907"/>
    <w:rsid w:val="00301BA0"/>
    <w:rsid w:val="00301C0B"/>
    <w:rsid w:val="00301C13"/>
    <w:rsid w:val="00301D60"/>
    <w:rsid w:val="00302074"/>
    <w:rsid w:val="003022CB"/>
    <w:rsid w:val="00302308"/>
    <w:rsid w:val="003023FA"/>
    <w:rsid w:val="003025A6"/>
    <w:rsid w:val="0030282F"/>
    <w:rsid w:val="00302859"/>
    <w:rsid w:val="00302899"/>
    <w:rsid w:val="003029A8"/>
    <w:rsid w:val="00302D4C"/>
    <w:rsid w:val="00303013"/>
    <w:rsid w:val="003031A9"/>
    <w:rsid w:val="00303308"/>
    <w:rsid w:val="0030333C"/>
    <w:rsid w:val="00303617"/>
    <w:rsid w:val="00303646"/>
    <w:rsid w:val="00303717"/>
    <w:rsid w:val="003038CE"/>
    <w:rsid w:val="003039B9"/>
    <w:rsid w:val="00303ADF"/>
    <w:rsid w:val="00303B71"/>
    <w:rsid w:val="00303DFF"/>
    <w:rsid w:val="003041B3"/>
    <w:rsid w:val="0030423F"/>
    <w:rsid w:val="00304409"/>
    <w:rsid w:val="0030475D"/>
    <w:rsid w:val="0030486A"/>
    <w:rsid w:val="00304A54"/>
    <w:rsid w:val="00304A68"/>
    <w:rsid w:val="00304ED9"/>
    <w:rsid w:val="00305328"/>
    <w:rsid w:val="00305334"/>
    <w:rsid w:val="00305498"/>
    <w:rsid w:val="00305549"/>
    <w:rsid w:val="003056C6"/>
    <w:rsid w:val="003057A3"/>
    <w:rsid w:val="00305890"/>
    <w:rsid w:val="00305BF8"/>
    <w:rsid w:val="00305C74"/>
    <w:rsid w:val="00305D9B"/>
    <w:rsid w:val="00306369"/>
    <w:rsid w:val="003063F7"/>
    <w:rsid w:val="003066FD"/>
    <w:rsid w:val="003069B0"/>
    <w:rsid w:val="00306F15"/>
    <w:rsid w:val="003073C7"/>
    <w:rsid w:val="0030763C"/>
    <w:rsid w:val="003076C6"/>
    <w:rsid w:val="00307A22"/>
    <w:rsid w:val="00307BA4"/>
    <w:rsid w:val="00307D58"/>
    <w:rsid w:val="00307E05"/>
    <w:rsid w:val="003100B2"/>
    <w:rsid w:val="00310245"/>
    <w:rsid w:val="003103E1"/>
    <w:rsid w:val="00310417"/>
    <w:rsid w:val="0031045D"/>
    <w:rsid w:val="0031050A"/>
    <w:rsid w:val="0031075A"/>
    <w:rsid w:val="0031096B"/>
    <w:rsid w:val="00310A1A"/>
    <w:rsid w:val="00310C3D"/>
    <w:rsid w:val="00310DB3"/>
    <w:rsid w:val="00311040"/>
    <w:rsid w:val="00311076"/>
    <w:rsid w:val="003113B2"/>
    <w:rsid w:val="00311481"/>
    <w:rsid w:val="003114D8"/>
    <w:rsid w:val="0031158A"/>
    <w:rsid w:val="00311C58"/>
    <w:rsid w:val="00311D9D"/>
    <w:rsid w:val="00311DD1"/>
    <w:rsid w:val="00311ED4"/>
    <w:rsid w:val="00312350"/>
    <w:rsid w:val="00312445"/>
    <w:rsid w:val="003124EE"/>
    <w:rsid w:val="00312572"/>
    <w:rsid w:val="0031279F"/>
    <w:rsid w:val="003128BE"/>
    <w:rsid w:val="00312959"/>
    <w:rsid w:val="00312C89"/>
    <w:rsid w:val="00312E66"/>
    <w:rsid w:val="003130BE"/>
    <w:rsid w:val="003131E9"/>
    <w:rsid w:val="00313278"/>
    <w:rsid w:val="00313306"/>
    <w:rsid w:val="00313478"/>
    <w:rsid w:val="0031381F"/>
    <w:rsid w:val="0031398D"/>
    <w:rsid w:val="0031399F"/>
    <w:rsid w:val="003139DF"/>
    <w:rsid w:val="00313A91"/>
    <w:rsid w:val="00313ACD"/>
    <w:rsid w:val="00313D98"/>
    <w:rsid w:val="0031410C"/>
    <w:rsid w:val="0031443E"/>
    <w:rsid w:val="00314518"/>
    <w:rsid w:val="00314530"/>
    <w:rsid w:val="003146A0"/>
    <w:rsid w:val="003146D1"/>
    <w:rsid w:val="003146FB"/>
    <w:rsid w:val="00314A21"/>
    <w:rsid w:val="00314AF9"/>
    <w:rsid w:val="00314F2B"/>
    <w:rsid w:val="00314F6C"/>
    <w:rsid w:val="00314F7C"/>
    <w:rsid w:val="003150F5"/>
    <w:rsid w:val="00315269"/>
    <w:rsid w:val="0031538A"/>
    <w:rsid w:val="0031547F"/>
    <w:rsid w:val="003154A6"/>
    <w:rsid w:val="003154B0"/>
    <w:rsid w:val="003154BE"/>
    <w:rsid w:val="00315527"/>
    <w:rsid w:val="0031581D"/>
    <w:rsid w:val="00315845"/>
    <w:rsid w:val="003158FB"/>
    <w:rsid w:val="0031590F"/>
    <w:rsid w:val="003159D5"/>
    <w:rsid w:val="00315A13"/>
    <w:rsid w:val="00315A9A"/>
    <w:rsid w:val="00315AEA"/>
    <w:rsid w:val="00315C51"/>
    <w:rsid w:val="00315F6F"/>
    <w:rsid w:val="00316593"/>
    <w:rsid w:val="0031666B"/>
    <w:rsid w:val="00316804"/>
    <w:rsid w:val="00316BD0"/>
    <w:rsid w:val="00316C0D"/>
    <w:rsid w:val="00316E98"/>
    <w:rsid w:val="00316EFD"/>
    <w:rsid w:val="00316F80"/>
    <w:rsid w:val="00316FDF"/>
    <w:rsid w:val="003170B8"/>
    <w:rsid w:val="00317568"/>
    <w:rsid w:val="003177BA"/>
    <w:rsid w:val="00317C37"/>
    <w:rsid w:val="00317CE4"/>
    <w:rsid w:val="00317D73"/>
    <w:rsid w:val="00320112"/>
    <w:rsid w:val="0032013C"/>
    <w:rsid w:val="003201C1"/>
    <w:rsid w:val="00320213"/>
    <w:rsid w:val="0032026F"/>
    <w:rsid w:val="00320513"/>
    <w:rsid w:val="0032053D"/>
    <w:rsid w:val="0032057E"/>
    <w:rsid w:val="003205CB"/>
    <w:rsid w:val="00320736"/>
    <w:rsid w:val="003207D7"/>
    <w:rsid w:val="00320A68"/>
    <w:rsid w:val="0032110C"/>
    <w:rsid w:val="0032129F"/>
    <w:rsid w:val="003213D8"/>
    <w:rsid w:val="00321497"/>
    <w:rsid w:val="0032162C"/>
    <w:rsid w:val="003216F3"/>
    <w:rsid w:val="003217A6"/>
    <w:rsid w:val="003217F4"/>
    <w:rsid w:val="003218FE"/>
    <w:rsid w:val="00321B67"/>
    <w:rsid w:val="00321BF8"/>
    <w:rsid w:val="00321F85"/>
    <w:rsid w:val="00322231"/>
    <w:rsid w:val="003222CE"/>
    <w:rsid w:val="003222F9"/>
    <w:rsid w:val="003225C9"/>
    <w:rsid w:val="00322601"/>
    <w:rsid w:val="00322607"/>
    <w:rsid w:val="0032267B"/>
    <w:rsid w:val="00322798"/>
    <w:rsid w:val="00322896"/>
    <w:rsid w:val="003229DC"/>
    <w:rsid w:val="00322A31"/>
    <w:rsid w:val="00322A5C"/>
    <w:rsid w:val="00322BA9"/>
    <w:rsid w:val="00322F3E"/>
    <w:rsid w:val="00322FF2"/>
    <w:rsid w:val="003230AD"/>
    <w:rsid w:val="00323353"/>
    <w:rsid w:val="00323448"/>
    <w:rsid w:val="00323711"/>
    <w:rsid w:val="00323914"/>
    <w:rsid w:val="00323C57"/>
    <w:rsid w:val="00323D04"/>
    <w:rsid w:val="00323E3F"/>
    <w:rsid w:val="00323F93"/>
    <w:rsid w:val="00324013"/>
    <w:rsid w:val="00324184"/>
    <w:rsid w:val="0032432E"/>
    <w:rsid w:val="003243AF"/>
    <w:rsid w:val="00324508"/>
    <w:rsid w:val="0032460B"/>
    <w:rsid w:val="0032495C"/>
    <w:rsid w:val="00324991"/>
    <w:rsid w:val="00324B94"/>
    <w:rsid w:val="00324D16"/>
    <w:rsid w:val="00324E91"/>
    <w:rsid w:val="00324F2E"/>
    <w:rsid w:val="00325115"/>
    <w:rsid w:val="0032547C"/>
    <w:rsid w:val="0032565B"/>
    <w:rsid w:val="0032568B"/>
    <w:rsid w:val="0032579C"/>
    <w:rsid w:val="003258BC"/>
    <w:rsid w:val="00325B26"/>
    <w:rsid w:val="00325CEB"/>
    <w:rsid w:val="00325E8D"/>
    <w:rsid w:val="003261E6"/>
    <w:rsid w:val="0032631A"/>
    <w:rsid w:val="00326390"/>
    <w:rsid w:val="003265CB"/>
    <w:rsid w:val="0032661E"/>
    <w:rsid w:val="003268C5"/>
    <w:rsid w:val="00326A18"/>
    <w:rsid w:val="00326DA9"/>
    <w:rsid w:val="00326E44"/>
    <w:rsid w:val="00326E8F"/>
    <w:rsid w:val="00327152"/>
    <w:rsid w:val="00327247"/>
    <w:rsid w:val="00327445"/>
    <w:rsid w:val="003275D3"/>
    <w:rsid w:val="00327673"/>
    <w:rsid w:val="003276AF"/>
    <w:rsid w:val="003276E0"/>
    <w:rsid w:val="00327A06"/>
    <w:rsid w:val="00327C77"/>
    <w:rsid w:val="00327FE5"/>
    <w:rsid w:val="0033002E"/>
    <w:rsid w:val="003300A2"/>
    <w:rsid w:val="0033020B"/>
    <w:rsid w:val="0033025E"/>
    <w:rsid w:val="00330847"/>
    <w:rsid w:val="00330854"/>
    <w:rsid w:val="00330A46"/>
    <w:rsid w:val="00330B90"/>
    <w:rsid w:val="00330F74"/>
    <w:rsid w:val="0033127E"/>
    <w:rsid w:val="00331294"/>
    <w:rsid w:val="00331383"/>
    <w:rsid w:val="00331497"/>
    <w:rsid w:val="003314B4"/>
    <w:rsid w:val="00331565"/>
    <w:rsid w:val="00331679"/>
    <w:rsid w:val="00331997"/>
    <w:rsid w:val="003319A5"/>
    <w:rsid w:val="00331A9E"/>
    <w:rsid w:val="00331AAD"/>
    <w:rsid w:val="00331C8C"/>
    <w:rsid w:val="00331CA8"/>
    <w:rsid w:val="00331FC7"/>
    <w:rsid w:val="00331FF8"/>
    <w:rsid w:val="00332323"/>
    <w:rsid w:val="0033238F"/>
    <w:rsid w:val="00332390"/>
    <w:rsid w:val="00332485"/>
    <w:rsid w:val="003327BB"/>
    <w:rsid w:val="003328B3"/>
    <w:rsid w:val="00332B13"/>
    <w:rsid w:val="00332BBF"/>
    <w:rsid w:val="00332CCB"/>
    <w:rsid w:val="00332DD6"/>
    <w:rsid w:val="00332DDD"/>
    <w:rsid w:val="00332E25"/>
    <w:rsid w:val="00332E69"/>
    <w:rsid w:val="00332FDB"/>
    <w:rsid w:val="0033306F"/>
    <w:rsid w:val="00333238"/>
    <w:rsid w:val="003335E9"/>
    <w:rsid w:val="003335F3"/>
    <w:rsid w:val="0033389A"/>
    <w:rsid w:val="00333DBD"/>
    <w:rsid w:val="00333F73"/>
    <w:rsid w:val="003340C4"/>
    <w:rsid w:val="003341DB"/>
    <w:rsid w:val="003341EF"/>
    <w:rsid w:val="003343F5"/>
    <w:rsid w:val="00334476"/>
    <w:rsid w:val="00334517"/>
    <w:rsid w:val="003345C5"/>
    <w:rsid w:val="003345E9"/>
    <w:rsid w:val="003348B5"/>
    <w:rsid w:val="00334966"/>
    <w:rsid w:val="0033496A"/>
    <w:rsid w:val="003349C1"/>
    <w:rsid w:val="00334AB9"/>
    <w:rsid w:val="00334B4C"/>
    <w:rsid w:val="00334BE3"/>
    <w:rsid w:val="00334E8D"/>
    <w:rsid w:val="00334EF5"/>
    <w:rsid w:val="00334F93"/>
    <w:rsid w:val="00335105"/>
    <w:rsid w:val="00335340"/>
    <w:rsid w:val="00335609"/>
    <w:rsid w:val="0033577B"/>
    <w:rsid w:val="0033591F"/>
    <w:rsid w:val="00335A44"/>
    <w:rsid w:val="00335BBF"/>
    <w:rsid w:val="00335C4D"/>
    <w:rsid w:val="00335C8B"/>
    <w:rsid w:val="00335CA7"/>
    <w:rsid w:val="0033605B"/>
    <w:rsid w:val="003362C0"/>
    <w:rsid w:val="0033658A"/>
    <w:rsid w:val="003368EB"/>
    <w:rsid w:val="00336BAC"/>
    <w:rsid w:val="00336CDB"/>
    <w:rsid w:val="00336E15"/>
    <w:rsid w:val="00336EA6"/>
    <w:rsid w:val="00337120"/>
    <w:rsid w:val="00337385"/>
    <w:rsid w:val="00337387"/>
    <w:rsid w:val="003373F6"/>
    <w:rsid w:val="003373FB"/>
    <w:rsid w:val="00337552"/>
    <w:rsid w:val="003375D7"/>
    <w:rsid w:val="00337750"/>
    <w:rsid w:val="0033779F"/>
    <w:rsid w:val="003377C3"/>
    <w:rsid w:val="00337882"/>
    <w:rsid w:val="00337888"/>
    <w:rsid w:val="003378C8"/>
    <w:rsid w:val="00337981"/>
    <w:rsid w:val="00337A76"/>
    <w:rsid w:val="00337BEC"/>
    <w:rsid w:val="00337C84"/>
    <w:rsid w:val="00337D9B"/>
    <w:rsid w:val="00337F74"/>
    <w:rsid w:val="003402D7"/>
    <w:rsid w:val="00340835"/>
    <w:rsid w:val="0034098D"/>
    <w:rsid w:val="00340AB9"/>
    <w:rsid w:val="00340B6B"/>
    <w:rsid w:val="00340B9F"/>
    <w:rsid w:val="00340CB7"/>
    <w:rsid w:val="00341050"/>
    <w:rsid w:val="0034112F"/>
    <w:rsid w:val="0034141F"/>
    <w:rsid w:val="003415AF"/>
    <w:rsid w:val="003415C3"/>
    <w:rsid w:val="003415D3"/>
    <w:rsid w:val="003416C7"/>
    <w:rsid w:val="003419C0"/>
    <w:rsid w:val="00341A4D"/>
    <w:rsid w:val="00341AD7"/>
    <w:rsid w:val="00341D50"/>
    <w:rsid w:val="00341E21"/>
    <w:rsid w:val="00341FAA"/>
    <w:rsid w:val="003422D9"/>
    <w:rsid w:val="00342381"/>
    <w:rsid w:val="003423A1"/>
    <w:rsid w:val="003424AF"/>
    <w:rsid w:val="00342AC9"/>
    <w:rsid w:val="00342B12"/>
    <w:rsid w:val="00342C4B"/>
    <w:rsid w:val="00342DAA"/>
    <w:rsid w:val="00342F2A"/>
    <w:rsid w:val="00342F3B"/>
    <w:rsid w:val="0034324B"/>
    <w:rsid w:val="00343330"/>
    <w:rsid w:val="00343491"/>
    <w:rsid w:val="003435FE"/>
    <w:rsid w:val="0034386C"/>
    <w:rsid w:val="003438D5"/>
    <w:rsid w:val="003438F5"/>
    <w:rsid w:val="003438FB"/>
    <w:rsid w:val="00343978"/>
    <w:rsid w:val="00343990"/>
    <w:rsid w:val="003439D5"/>
    <w:rsid w:val="00343A77"/>
    <w:rsid w:val="00343AB7"/>
    <w:rsid w:val="00343C9F"/>
    <w:rsid w:val="003440C5"/>
    <w:rsid w:val="003440D7"/>
    <w:rsid w:val="00344147"/>
    <w:rsid w:val="00344198"/>
    <w:rsid w:val="00344460"/>
    <w:rsid w:val="00344596"/>
    <w:rsid w:val="0034492C"/>
    <w:rsid w:val="00344B54"/>
    <w:rsid w:val="00344C64"/>
    <w:rsid w:val="00344CFF"/>
    <w:rsid w:val="00344D80"/>
    <w:rsid w:val="00345078"/>
    <w:rsid w:val="003450BE"/>
    <w:rsid w:val="0034540C"/>
    <w:rsid w:val="00345436"/>
    <w:rsid w:val="0034549D"/>
    <w:rsid w:val="003454CE"/>
    <w:rsid w:val="00345505"/>
    <w:rsid w:val="003455A5"/>
    <w:rsid w:val="00345643"/>
    <w:rsid w:val="003456EE"/>
    <w:rsid w:val="0034585D"/>
    <w:rsid w:val="00345B71"/>
    <w:rsid w:val="00345BD5"/>
    <w:rsid w:val="00345C6F"/>
    <w:rsid w:val="00345E37"/>
    <w:rsid w:val="00345EA1"/>
    <w:rsid w:val="00346044"/>
    <w:rsid w:val="00346811"/>
    <w:rsid w:val="00346AAF"/>
    <w:rsid w:val="00346AF4"/>
    <w:rsid w:val="00346DFD"/>
    <w:rsid w:val="00347123"/>
    <w:rsid w:val="00347444"/>
    <w:rsid w:val="00347624"/>
    <w:rsid w:val="00347648"/>
    <w:rsid w:val="00347691"/>
    <w:rsid w:val="0034790D"/>
    <w:rsid w:val="00347CCA"/>
    <w:rsid w:val="00347D0E"/>
    <w:rsid w:val="00347DCC"/>
    <w:rsid w:val="00347FA5"/>
    <w:rsid w:val="00350034"/>
    <w:rsid w:val="0035022A"/>
    <w:rsid w:val="00350488"/>
    <w:rsid w:val="003506A4"/>
    <w:rsid w:val="00350979"/>
    <w:rsid w:val="00350CA9"/>
    <w:rsid w:val="00350CDC"/>
    <w:rsid w:val="00351092"/>
    <w:rsid w:val="00351208"/>
    <w:rsid w:val="0035156B"/>
    <w:rsid w:val="00351727"/>
    <w:rsid w:val="00351AF3"/>
    <w:rsid w:val="00351E32"/>
    <w:rsid w:val="00351F5A"/>
    <w:rsid w:val="00352187"/>
    <w:rsid w:val="003522CA"/>
    <w:rsid w:val="003523FE"/>
    <w:rsid w:val="0035289B"/>
    <w:rsid w:val="00352AA6"/>
    <w:rsid w:val="00352F98"/>
    <w:rsid w:val="00353034"/>
    <w:rsid w:val="0035314C"/>
    <w:rsid w:val="0035331A"/>
    <w:rsid w:val="0035349C"/>
    <w:rsid w:val="0035351F"/>
    <w:rsid w:val="00353526"/>
    <w:rsid w:val="0035398B"/>
    <w:rsid w:val="00353A10"/>
    <w:rsid w:val="00353ABB"/>
    <w:rsid w:val="00353B31"/>
    <w:rsid w:val="00353CF7"/>
    <w:rsid w:val="00353D85"/>
    <w:rsid w:val="00353DBF"/>
    <w:rsid w:val="00353DF1"/>
    <w:rsid w:val="00354028"/>
    <w:rsid w:val="00354115"/>
    <w:rsid w:val="00354405"/>
    <w:rsid w:val="00354522"/>
    <w:rsid w:val="003545D2"/>
    <w:rsid w:val="003545F6"/>
    <w:rsid w:val="003546A6"/>
    <w:rsid w:val="003546E0"/>
    <w:rsid w:val="0035482B"/>
    <w:rsid w:val="003548FE"/>
    <w:rsid w:val="00354A18"/>
    <w:rsid w:val="00354D89"/>
    <w:rsid w:val="00354DA1"/>
    <w:rsid w:val="00355009"/>
    <w:rsid w:val="00355654"/>
    <w:rsid w:val="003559AA"/>
    <w:rsid w:val="00355A62"/>
    <w:rsid w:val="00355AAE"/>
    <w:rsid w:val="00355AFA"/>
    <w:rsid w:val="00355C0A"/>
    <w:rsid w:val="00355D50"/>
    <w:rsid w:val="00355DDB"/>
    <w:rsid w:val="00356199"/>
    <w:rsid w:val="0035621B"/>
    <w:rsid w:val="00356270"/>
    <w:rsid w:val="00356351"/>
    <w:rsid w:val="00356418"/>
    <w:rsid w:val="003564C9"/>
    <w:rsid w:val="0035674E"/>
    <w:rsid w:val="003569DB"/>
    <w:rsid w:val="00356A6C"/>
    <w:rsid w:val="00356D36"/>
    <w:rsid w:val="00356DE4"/>
    <w:rsid w:val="003570A3"/>
    <w:rsid w:val="0035748A"/>
    <w:rsid w:val="00357563"/>
    <w:rsid w:val="0035772E"/>
    <w:rsid w:val="003578C0"/>
    <w:rsid w:val="00357A57"/>
    <w:rsid w:val="00357AB6"/>
    <w:rsid w:val="00357AFC"/>
    <w:rsid w:val="00357D5B"/>
    <w:rsid w:val="00357F16"/>
    <w:rsid w:val="00357F2E"/>
    <w:rsid w:val="003605DE"/>
    <w:rsid w:val="0036060C"/>
    <w:rsid w:val="0036085C"/>
    <w:rsid w:val="00360B4A"/>
    <w:rsid w:val="00360E37"/>
    <w:rsid w:val="0036102E"/>
    <w:rsid w:val="00361109"/>
    <w:rsid w:val="00361132"/>
    <w:rsid w:val="0036128C"/>
    <w:rsid w:val="00361339"/>
    <w:rsid w:val="00361368"/>
    <w:rsid w:val="00361432"/>
    <w:rsid w:val="003615B6"/>
    <w:rsid w:val="00361741"/>
    <w:rsid w:val="003617EE"/>
    <w:rsid w:val="00361823"/>
    <w:rsid w:val="0036183B"/>
    <w:rsid w:val="00361994"/>
    <w:rsid w:val="00361C54"/>
    <w:rsid w:val="00361D5D"/>
    <w:rsid w:val="00361E40"/>
    <w:rsid w:val="00361F8D"/>
    <w:rsid w:val="00361FBA"/>
    <w:rsid w:val="003620C1"/>
    <w:rsid w:val="00362157"/>
    <w:rsid w:val="0036236B"/>
    <w:rsid w:val="003624DF"/>
    <w:rsid w:val="003626BA"/>
    <w:rsid w:val="0036289E"/>
    <w:rsid w:val="00362904"/>
    <w:rsid w:val="003629B5"/>
    <w:rsid w:val="00362DAB"/>
    <w:rsid w:val="00362DB7"/>
    <w:rsid w:val="00362DFC"/>
    <w:rsid w:val="0036302E"/>
    <w:rsid w:val="00363142"/>
    <w:rsid w:val="003631A4"/>
    <w:rsid w:val="003631ED"/>
    <w:rsid w:val="0036321B"/>
    <w:rsid w:val="003634F9"/>
    <w:rsid w:val="00363651"/>
    <w:rsid w:val="003636CD"/>
    <w:rsid w:val="003638D6"/>
    <w:rsid w:val="00363AB2"/>
    <w:rsid w:val="00363B53"/>
    <w:rsid w:val="00364151"/>
    <w:rsid w:val="00364230"/>
    <w:rsid w:val="00364281"/>
    <w:rsid w:val="003642BA"/>
    <w:rsid w:val="00364368"/>
    <w:rsid w:val="00364464"/>
    <w:rsid w:val="003644F5"/>
    <w:rsid w:val="00364890"/>
    <w:rsid w:val="00364937"/>
    <w:rsid w:val="00364946"/>
    <w:rsid w:val="003649E3"/>
    <w:rsid w:val="00364B99"/>
    <w:rsid w:val="00364BF4"/>
    <w:rsid w:val="00364C82"/>
    <w:rsid w:val="00364CD0"/>
    <w:rsid w:val="00364D3C"/>
    <w:rsid w:val="00364D87"/>
    <w:rsid w:val="00364D94"/>
    <w:rsid w:val="00364FAE"/>
    <w:rsid w:val="0036544A"/>
    <w:rsid w:val="00365A0D"/>
    <w:rsid w:val="00365BE6"/>
    <w:rsid w:val="00365BED"/>
    <w:rsid w:val="00365C21"/>
    <w:rsid w:val="00365C8B"/>
    <w:rsid w:val="00365D22"/>
    <w:rsid w:val="00365E4C"/>
    <w:rsid w:val="00365FCD"/>
    <w:rsid w:val="003664AF"/>
    <w:rsid w:val="0036675D"/>
    <w:rsid w:val="003669BA"/>
    <w:rsid w:val="00366A37"/>
    <w:rsid w:val="00366A47"/>
    <w:rsid w:val="00366C86"/>
    <w:rsid w:val="00366CC7"/>
    <w:rsid w:val="00366D0A"/>
    <w:rsid w:val="00366E3D"/>
    <w:rsid w:val="00367534"/>
    <w:rsid w:val="0036755B"/>
    <w:rsid w:val="00367706"/>
    <w:rsid w:val="003678E9"/>
    <w:rsid w:val="00367AB0"/>
    <w:rsid w:val="00367C43"/>
    <w:rsid w:val="00367CAE"/>
    <w:rsid w:val="00367CCB"/>
    <w:rsid w:val="00367CF5"/>
    <w:rsid w:val="00367D05"/>
    <w:rsid w:val="0037030B"/>
    <w:rsid w:val="003703A1"/>
    <w:rsid w:val="00370552"/>
    <w:rsid w:val="0037086C"/>
    <w:rsid w:val="00370B67"/>
    <w:rsid w:val="00370C16"/>
    <w:rsid w:val="00370E13"/>
    <w:rsid w:val="003710DB"/>
    <w:rsid w:val="003711DE"/>
    <w:rsid w:val="0037122E"/>
    <w:rsid w:val="00371363"/>
    <w:rsid w:val="003716BE"/>
    <w:rsid w:val="003716C2"/>
    <w:rsid w:val="0037178E"/>
    <w:rsid w:val="00371A21"/>
    <w:rsid w:val="00371A8F"/>
    <w:rsid w:val="00371B36"/>
    <w:rsid w:val="00371B62"/>
    <w:rsid w:val="00371C19"/>
    <w:rsid w:val="00371CF6"/>
    <w:rsid w:val="00371DA4"/>
    <w:rsid w:val="00371E62"/>
    <w:rsid w:val="003720C6"/>
    <w:rsid w:val="00372174"/>
    <w:rsid w:val="00372636"/>
    <w:rsid w:val="003726DC"/>
    <w:rsid w:val="0037274E"/>
    <w:rsid w:val="0037276B"/>
    <w:rsid w:val="003727D5"/>
    <w:rsid w:val="003728A7"/>
    <w:rsid w:val="003728D5"/>
    <w:rsid w:val="003729BF"/>
    <w:rsid w:val="00373184"/>
    <w:rsid w:val="00373298"/>
    <w:rsid w:val="0037332B"/>
    <w:rsid w:val="003733ED"/>
    <w:rsid w:val="003735CF"/>
    <w:rsid w:val="003735E5"/>
    <w:rsid w:val="00373B56"/>
    <w:rsid w:val="00373C34"/>
    <w:rsid w:val="00373E16"/>
    <w:rsid w:val="0037403B"/>
    <w:rsid w:val="003740BE"/>
    <w:rsid w:val="0037414A"/>
    <w:rsid w:val="0037488E"/>
    <w:rsid w:val="0037500E"/>
    <w:rsid w:val="00375089"/>
    <w:rsid w:val="00375258"/>
    <w:rsid w:val="00375307"/>
    <w:rsid w:val="00375405"/>
    <w:rsid w:val="0037547C"/>
    <w:rsid w:val="00375505"/>
    <w:rsid w:val="00375555"/>
    <w:rsid w:val="00375575"/>
    <w:rsid w:val="00375710"/>
    <w:rsid w:val="00375881"/>
    <w:rsid w:val="00375935"/>
    <w:rsid w:val="00375B84"/>
    <w:rsid w:val="00375C0A"/>
    <w:rsid w:val="00375CFF"/>
    <w:rsid w:val="00375E52"/>
    <w:rsid w:val="00375E79"/>
    <w:rsid w:val="00375F4B"/>
    <w:rsid w:val="00375F86"/>
    <w:rsid w:val="00376092"/>
    <w:rsid w:val="00376367"/>
    <w:rsid w:val="00376402"/>
    <w:rsid w:val="00376806"/>
    <w:rsid w:val="003768A9"/>
    <w:rsid w:val="003768CF"/>
    <w:rsid w:val="0037697E"/>
    <w:rsid w:val="00376D36"/>
    <w:rsid w:val="00376E4D"/>
    <w:rsid w:val="003770C4"/>
    <w:rsid w:val="003770F6"/>
    <w:rsid w:val="0037717A"/>
    <w:rsid w:val="00377269"/>
    <w:rsid w:val="003772E8"/>
    <w:rsid w:val="00377497"/>
    <w:rsid w:val="003774E8"/>
    <w:rsid w:val="003775C2"/>
    <w:rsid w:val="0037763A"/>
    <w:rsid w:val="0037764D"/>
    <w:rsid w:val="00377707"/>
    <w:rsid w:val="00377796"/>
    <w:rsid w:val="003777D8"/>
    <w:rsid w:val="00377849"/>
    <w:rsid w:val="003778A9"/>
    <w:rsid w:val="00377935"/>
    <w:rsid w:val="00377A26"/>
    <w:rsid w:val="00377AD6"/>
    <w:rsid w:val="00377BDE"/>
    <w:rsid w:val="00380232"/>
    <w:rsid w:val="003802F0"/>
    <w:rsid w:val="0038031B"/>
    <w:rsid w:val="00380689"/>
    <w:rsid w:val="003807ED"/>
    <w:rsid w:val="0038095C"/>
    <w:rsid w:val="00380A42"/>
    <w:rsid w:val="00380B9B"/>
    <w:rsid w:val="00380D08"/>
    <w:rsid w:val="00380D0A"/>
    <w:rsid w:val="00380DE4"/>
    <w:rsid w:val="00381003"/>
    <w:rsid w:val="00381037"/>
    <w:rsid w:val="003811E0"/>
    <w:rsid w:val="0038120F"/>
    <w:rsid w:val="0038124C"/>
    <w:rsid w:val="0038149E"/>
    <w:rsid w:val="003814EA"/>
    <w:rsid w:val="00381601"/>
    <w:rsid w:val="003816EE"/>
    <w:rsid w:val="0038183D"/>
    <w:rsid w:val="00381A51"/>
    <w:rsid w:val="00381AE6"/>
    <w:rsid w:val="00381BD2"/>
    <w:rsid w:val="00381DAA"/>
    <w:rsid w:val="00381E79"/>
    <w:rsid w:val="00381E8B"/>
    <w:rsid w:val="00381EC9"/>
    <w:rsid w:val="00381FB7"/>
    <w:rsid w:val="00382347"/>
    <w:rsid w:val="003824AF"/>
    <w:rsid w:val="00382787"/>
    <w:rsid w:val="00382915"/>
    <w:rsid w:val="00382A20"/>
    <w:rsid w:val="00382B5A"/>
    <w:rsid w:val="00382F07"/>
    <w:rsid w:val="00382F0C"/>
    <w:rsid w:val="0038302C"/>
    <w:rsid w:val="003830E4"/>
    <w:rsid w:val="003833D4"/>
    <w:rsid w:val="003834BA"/>
    <w:rsid w:val="003837AD"/>
    <w:rsid w:val="00383911"/>
    <w:rsid w:val="00383F66"/>
    <w:rsid w:val="00384288"/>
    <w:rsid w:val="003842CE"/>
    <w:rsid w:val="003845BA"/>
    <w:rsid w:val="003845C6"/>
    <w:rsid w:val="003846B4"/>
    <w:rsid w:val="00384771"/>
    <w:rsid w:val="0038480A"/>
    <w:rsid w:val="0038482A"/>
    <w:rsid w:val="00384A15"/>
    <w:rsid w:val="00384B51"/>
    <w:rsid w:val="00384DC9"/>
    <w:rsid w:val="0038514F"/>
    <w:rsid w:val="00385189"/>
    <w:rsid w:val="0038557C"/>
    <w:rsid w:val="003855D4"/>
    <w:rsid w:val="003855F3"/>
    <w:rsid w:val="00385753"/>
    <w:rsid w:val="003858F7"/>
    <w:rsid w:val="00385961"/>
    <w:rsid w:val="00385C4C"/>
    <w:rsid w:val="00385D97"/>
    <w:rsid w:val="00385D99"/>
    <w:rsid w:val="0038609F"/>
    <w:rsid w:val="003860B3"/>
    <w:rsid w:val="00386240"/>
    <w:rsid w:val="003863EE"/>
    <w:rsid w:val="0038652F"/>
    <w:rsid w:val="0038661A"/>
    <w:rsid w:val="00386765"/>
    <w:rsid w:val="00386829"/>
    <w:rsid w:val="00386D55"/>
    <w:rsid w:val="00386E25"/>
    <w:rsid w:val="00386F83"/>
    <w:rsid w:val="00387111"/>
    <w:rsid w:val="0038726A"/>
    <w:rsid w:val="00387380"/>
    <w:rsid w:val="00387665"/>
    <w:rsid w:val="00387684"/>
    <w:rsid w:val="003876B8"/>
    <w:rsid w:val="0038778A"/>
    <w:rsid w:val="003877CA"/>
    <w:rsid w:val="00387814"/>
    <w:rsid w:val="00387906"/>
    <w:rsid w:val="0038794A"/>
    <w:rsid w:val="00387A05"/>
    <w:rsid w:val="00387C05"/>
    <w:rsid w:val="00387C85"/>
    <w:rsid w:val="00387EC7"/>
    <w:rsid w:val="00387F83"/>
    <w:rsid w:val="003901DB"/>
    <w:rsid w:val="0039025C"/>
    <w:rsid w:val="003903E4"/>
    <w:rsid w:val="003904EB"/>
    <w:rsid w:val="00390541"/>
    <w:rsid w:val="003906B0"/>
    <w:rsid w:val="003907E3"/>
    <w:rsid w:val="00390912"/>
    <w:rsid w:val="00390989"/>
    <w:rsid w:val="00390CBA"/>
    <w:rsid w:val="00390DA3"/>
    <w:rsid w:val="00390DDE"/>
    <w:rsid w:val="00390E58"/>
    <w:rsid w:val="00390F15"/>
    <w:rsid w:val="00390FD1"/>
    <w:rsid w:val="00391070"/>
    <w:rsid w:val="003911DC"/>
    <w:rsid w:val="00391213"/>
    <w:rsid w:val="0039126D"/>
    <w:rsid w:val="003913D1"/>
    <w:rsid w:val="003915F7"/>
    <w:rsid w:val="0039160D"/>
    <w:rsid w:val="00391707"/>
    <w:rsid w:val="00391802"/>
    <w:rsid w:val="003919E8"/>
    <w:rsid w:val="00391ABB"/>
    <w:rsid w:val="00391AE5"/>
    <w:rsid w:val="00391BDF"/>
    <w:rsid w:val="00391D10"/>
    <w:rsid w:val="00391E9B"/>
    <w:rsid w:val="00391F3F"/>
    <w:rsid w:val="00391F7E"/>
    <w:rsid w:val="00392155"/>
    <w:rsid w:val="0039222F"/>
    <w:rsid w:val="00392312"/>
    <w:rsid w:val="00392536"/>
    <w:rsid w:val="00392689"/>
    <w:rsid w:val="003929F3"/>
    <w:rsid w:val="00392E87"/>
    <w:rsid w:val="0039306F"/>
    <w:rsid w:val="003930A2"/>
    <w:rsid w:val="00393351"/>
    <w:rsid w:val="00393691"/>
    <w:rsid w:val="00393942"/>
    <w:rsid w:val="00393B3E"/>
    <w:rsid w:val="00393BE4"/>
    <w:rsid w:val="003944C6"/>
    <w:rsid w:val="0039488B"/>
    <w:rsid w:val="00394C6C"/>
    <w:rsid w:val="00394CB7"/>
    <w:rsid w:val="00394FA5"/>
    <w:rsid w:val="003951B2"/>
    <w:rsid w:val="003952B4"/>
    <w:rsid w:val="00395425"/>
    <w:rsid w:val="00395966"/>
    <w:rsid w:val="0039598B"/>
    <w:rsid w:val="00395E0C"/>
    <w:rsid w:val="00396290"/>
    <w:rsid w:val="00396372"/>
    <w:rsid w:val="003966F0"/>
    <w:rsid w:val="0039674F"/>
    <w:rsid w:val="00396C52"/>
    <w:rsid w:val="00396EA6"/>
    <w:rsid w:val="00396EFB"/>
    <w:rsid w:val="00397048"/>
    <w:rsid w:val="00397149"/>
    <w:rsid w:val="003971A3"/>
    <w:rsid w:val="003976E0"/>
    <w:rsid w:val="0039770A"/>
    <w:rsid w:val="00397835"/>
    <w:rsid w:val="00397867"/>
    <w:rsid w:val="00397917"/>
    <w:rsid w:val="00397BC2"/>
    <w:rsid w:val="00397BF6"/>
    <w:rsid w:val="00397DC8"/>
    <w:rsid w:val="003A0008"/>
    <w:rsid w:val="003A01E9"/>
    <w:rsid w:val="003A07B2"/>
    <w:rsid w:val="003A08A8"/>
    <w:rsid w:val="003A0922"/>
    <w:rsid w:val="003A0A47"/>
    <w:rsid w:val="003A0AAB"/>
    <w:rsid w:val="003A0B40"/>
    <w:rsid w:val="003A0B5F"/>
    <w:rsid w:val="003A0B90"/>
    <w:rsid w:val="003A0C11"/>
    <w:rsid w:val="003A0C7D"/>
    <w:rsid w:val="003A0ECB"/>
    <w:rsid w:val="003A0EE6"/>
    <w:rsid w:val="003A123F"/>
    <w:rsid w:val="003A12A5"/>
    <w:rsid w:val="003A1342"/>
    <w:rsid w:val="003A1704"/>
    <w:rsid w:val="003A1867"/>
    <w:rsid w:val="003A1A81"/>
    <w:rsid w:val="003A1B99"/>
    <w:rsid w:val="003A1BF7"/>
    <w:rsid w:val="003A1D30"/>
    <w:rsid w:val="003A1DB3"/>
    <w:rsid w:val="003A1F88"/>
    <w:rsid w:val="003A200F"/>
    <w:rsid w:val="003A2268"/>
    <w:rsid w:val="003A22C1"/>
    <w:rsid w:val="003A2564"/>
    <w:rsid w:val="003A258E"/>
    <w:rsid w:val="003A25B5"/>
    <w:rsid w:val="003A25D1"/>
    <w:rsid w:val="003A25E6"/>
    <w:rsid w:val="003A27C9"/>
    <w:rsid w:val="003A2888"/>
    <w:rsid w:val="003A28A9"/>
    <w:rsid w:val="003A2C11"/>
    <w:rsid w:val="003A2C52"/>
    <w:rsid w:val="003A2D42"/>
    <w:rsid w:val="003A2DFE"/>
    <w:rsid w:val="003A2EC5"/>
    <w:rsid w:val="003A3093"/>
    <w:rsid w:val="003A3328"/>
    <w:rsid w:val="003A3337"/>
    <w:rsid w:val="003A338F"/>
    <w:rsid w:val="003A37AE"/>
    <w:rsid w:val="003A3E67"/>
    <w:rsid w:val="003A40FD"/>
    <w:rsid w:val="003A420B"/>
    <w:rsid w:val="003A43FB"/>
    <w:rsid w:val="003A44B1"/>
    <w:rsid w:val="003A469A"/>
    <w:rsid w:val="003A4789"/>
    <w:rsid w:val="003A47EE"/>
    <w:rsid w:val="003A482D"/>
    <w:rsid w:val="003A4A0B"/>
    <w:rsid w:val="003A51B9"/>
    <w:rsid w:val="003A5501"/>
    <w:rsid w:val="003A55D4"/>
    <w:rsid w:val="003A5786"/>
    <w:rsid w:val="003A5993"/>
    <w:rsid w:val="003A59B2"/>
    <w:rsid w:val="003A59CD"/>
    <w:rsid w:val="003A5CA1"/>
    <w:rsid w:val="003A5D07"/>
    <w:rsid w:val="003A613A"/>
    <w:rsid w:val="003A637A"/>
    <w:rsid w:val="003A6469"/>
    <w:rsid w:val="003A66BE"/>
    <w:rsid w:val="003A6957"/>
    <w:rsid w:val="003A6D06"/>
    <w:rsid w:val="003A6D80"/>
    <w:rsid w:val="003A6E1D"/>
    <w:rsid w:val="003A6FB8"/>
    <w:rsid w:val="003A730C"/>
    <w:rsid w:val="003A73B5"/>
    <w:rsid w:val="003A73F4"/>
    <w:rsid w:val="003A7429"/>
    <w:rsid w:val="003A74B6"/>
    <w:rsid w:val="003A7519"/>
    <w:rsid w:val="003A7538"/>
    <w:rsid w:val="003A7573"/>
    <w:rsid w:val="003A764D"/>
    <w:rsid w:val="003A774A"/>
    <w:rsid w:val="003A7995"/>
    <w:rsid w:val="003A7C12"/>
    <w:rsid w:val="003A7DDC"/>
    <w:rsid w:val="003A7E3E"/>
    <w:rsid w:val="003B0374"/>
    <w:rsid w:val="003B067E"/>
    <w:rsid w:val="003B07DC"/>
    <w:rsid w:val="003B0845"/>
    <w:rsid w:val="003B088E"/>
    <w:rsid w:val="003B093C"/>
    <w:rsid w:val="003B099A"/>
    <w:rsid w:val="003B0B90"/>
    <w:rsid w:val="003B0BC8"/>
    <w:rsid w:val="003B0CEE"/>
    <w:rsid w:val="003B0D8C"/>
    <w:rsid w:val="003B0FDD"/>
    <w:rsid w:val="003B10EF"/>
    <w:rsid w:val="003B150B"/>
    <w:rsid w:val="003B1799"/>
    <w:rsid w:val="003B19D1"/>
    <w:rsid w:val="003B19EF"/>
    <w:rsid w:val="003B1B1C"/>
    <w:rsid w:val="003B1DEC"/>
    <w:rsid w:val="003B1E89"/>
    <w:rsid w:val="003B2149"/>
    <w:rsid w:val="003B2389"/>
    <w:rsid w:val="003B23C5"/>
    <w:rsid w:val="003B260C"/>
    <w:rsid w:val="003B2643"/>
    <w:rsid w:val="003B2773"/>
    <w:rsid w:val="003B2969"/>
    <w:rsid w:val="003B29B4"/>
    <w:rsid w:val="003B2A70"/>
    <w:rsid w:val="003B2B6D"/>
    <w:rsid w:val="003B2B7E"/>
    <w:rsid w:val="003B2E1A"/>
    <w:rsid w:val="003B3041"/>
    <w:rsid w:val="003B35D1"/>
    <w:rsid w:val="003B3653"/>
    <w:rsid w:val="003B36E9"/>
    <w:rsid w:val="003B3805"/>
    <w:rsid w:val="003B381F"/>
    <w:rsid w:val="003B39A6"/>
    <w:rsid w:val="003B3A9C"/>
    <w:rsid w:val="003B3AD6"/>
    <w:rsid w:val="003B3BBF"/>
    <w:rsid w:val="003B3F4B"/>
    <w:rsid w:val="003B4123"/>
    <w:rsid w:val="003B43A4"/>
    <w:rsid w:val="003B4477"/>
    <w:rsid w:val="003B449F"/>
    <w:rsid w:val="003B4864"/>
    <w:rsid w:val="003B49AF"/>
    <w:rsid w:val="003B4A8A"/>
    <w:rsid w:val="003B4CFE"/>
    <w:rsid w:val="003B4D19"/>
    <w:rsid w:val="003B5036"/>
    <w:rsid w:val="003B5420"/>
    <w:rsid w:val="003B55F6"/>
    <w:rsid w:val="003B5604"/>
    <w:rsid w:val="003B5790"/>
    <w:rsid w:val="003B5857"/>
    <w:rsid w:val="003B5898"/>
    <w:rsid w:val="003B5BDB"/>
    <w:rsid w:val="003B5E09"/>
    <w:rsid w:val="003B5FEC"/>
    <w:rsid w:val="003B6115"/>
    <w:rsid w:val="003B652E"/>
    <w:rsid w:val="003B66D0"/>
    <w:rsid w:val="003B6B7A"/>
    <w:rsid w:val="003B6BF6"/>
    <w:rsid w:val="003B6E51"/>
    <w:rsid w:val="003B6E68"/>
    <w:rsid w:val="003B6FB9"/>
    <w:rsid w:val="003B7108"/>
    <w:rsid w:val="003B7152"/>
    <w:rsid w:val="003B71A5"/>
    <w:rsid w:val="003B735E"/>
    <w:rsid w:val="003B736F"/>
    <w:rsid w:val="003B7370"/>
    <w:rsid w:val="003B7407"/>
    <w:rsid w:val="003B745A"/>
    <w:rsid w:val="003B74F7"/>
    <w:rsid w:val="003B7611"/>
    <w:rsid w:val="003B7628"/>
    <w:rsid w:val="003B7868"/>
    <w:rsid w:val="003B7F0C"/>
    <w:rsid w:val="003C033D"/>
    <w:rsid w:val="003C0560"/>
    <w:rsid w:val="003C0650"/>
    <w:rsid w:val="003C067D"/>
    <w:rsid w:val="003C06F6"/>
    <w:rsid w:val="003C0733"/>
    <w:rsid w:val="003C079F"/>
    <w:rsid w:val="003C087B"/>
    <w:rsid w:val="003C0AFC"/>
    <w:rsid w:val="003C0D87"/>
    <w:rsid w:val="003C0E27"/>
    <w:rsid w:val="003C0EBA"/>
    <w:rsid w:val="003C10D2"/>
    <w:rsid w:val="003C120C"/>
    <w:rsid w:val="003C1360"/>
    <w:rsid w:val="003C1378"/>
    <w:rsid w:val="003C13A6"/>
    <w:rsid w:val="003C16D7"/>
    <w:rsid w:val="003C19B7"/>
    <w:rsid w:val="003C19D1"/>
    <w:rsid w:val="003C1D5E"/>
    <w:rsid w:val="003C1E14"/>
    <w:rsid w:val="003C1FD2"/>
    <w:rsid w:val="003C2161"/>
    <w:rsid w:val="003C2755"/>
    <w:rsid w:val="003C27C0"/>
    <w:rsid w:val="003C2A12"/>
    <w:rsid w:val="003C2B3D"/>
    <w:rsid w:val="003C3145"/>
    <w:rsid w:val="003C31CF"/>
    <w:rsid w:val="003C321C"/>
    <w:rsid w:val="003C32A0"/>
    <w:rsid w:val="003C32D1"/>
    <w:rsid w:val="003C3393"/>
    <w:rsid w:val="003C33F6"/>
    <w:rsid w:val="003C34F2"/>
    <w:rsid w:val="003C35A7"/>
    <w:rsid w:val="003C35CF"/>
    <w:rsid w:val="003C3607"/>
    <w:rsid w:val="003C3A9D"/>
    <w:rsid w:val="003C3BB8"/>
    <w:rsid w:val="003C3BC2"/>
    <w:rsid w:val="003C3EAE"/>
    <w:rsid w:val="003C3FFA"/>
    <w:rsid w:val="003C40D9"/>
    <w:rsid w:val="003C437A"/>
    <w:rsid w:val="003C463B"/>
    <w:rsid w:val="003C46A0"/>
    <w:rsid w:val="003C4717"/>
    <w:rsid w:val="003C48F0"/>
    <w:rsid w:val="003C4923"/>
    <w:rsid w:val="003C4C34"/>
    <w:rsid w:val="003C4F35"/>
    <w:rsid w:val="003C50F4"/>
    <w:rsid w:val="003C513F"/>
    <w:rsid w:val="003C558F"/>
    <w:rsid w:val="003C5650"/>
    <w:rsid w:val="003C565F"/>
    <w:rsid w:val="003C57E6"/>
    <w:rsid w:val="003C5A23"/>
    <w:rsid w:val="003C5A65"/>
    <w:rsid w:val="003C5D0A"/>
    <w:rsid w:val="003C5E33"/>
    <w:rsid w:val="003C602A"/>
    <w:rsid w:val="003C646A"/>
    <w:rsid w:val="003C6477"/>
    <w:rsid w:val="003C64A4"/>
    <w:rsid w:val="003C66DD"/>
    <w:rsid w:val="003C6869"/>
    <w:rsid w:val="003C6966"/>
    <w:rsid w:val="003C6A42"/>
    <w:rsid w:val="003C6B40"/>
    <w:rsid w:val="003C7042"/>
    <w:rsid w:val="003C7090"/>
    <w:rsid w:val="003C7105"/>
    <w:rsid w:val="003C72F9"/>
    <w:rsid w:val="003C77F6"/>
    <w:rsid w:val="003C7A18"/>
    <w:rsid w:val="003C7A7E"/>
    <w:rsid w:val="003C7B99"/>
    <w:rsid w:val="003C7E17"/>
    <w:rsid w:val="003C7EE9"/>
    <w:rsid w:val="003C7F37"/>
    <w:rsid w:val="003C7F6F"/>
    <w:rsid w:val="003D04F9"/>
    <w:rsid w:val="003D052F"/>
    <w:rsid w:val="003D06B6"/>
    <w:rsid w:val="003D077B"/>
    <w:rsid w:val="003D08CB"/>
    <w:rsid w:val="003D0AD2"/>
    <w:rsid w:val="003D0BC5"/>
    <w:rsid w:val="003D0D53"/>
    <w:rsid w:val="003D0F0A"/>
    <w:rsid w:val="003D0F13"/>
    <w:rsid w:val="003D1002"/>
    <w:rsid w:val="003D11F3"/>
    <w:rsid w:val="003D13FB"/>
    <w:rsid w:val="003D14A9"/>
    <w:rsid w:val="003D16B9"/>
    <w:rsid w:val="003D1725"/>
    <w:rsid w:val="003D17D0"/>
    <w:rsid w:val="003D18E3"/>
    <w:rsid w:val="003D1C1E"/>
    <w:rsid w:val="003D1C7D"/>
    <w:rsid w:val="003D1EEA"/>
    <w:rsid w:val="003D21E3"/>
    <w:rsid w:val="003D23EF"/>
    <w:rsid w:val="003D25AE"/>
    <w:rsid w:val="003D2648"/>
    <w:rsid w:val="003D26A9"/>
    <w:rsid w:val="003D26E0"/>
    <w:rsid w:val="003D27F7"/>
    <w:rsid w:val="003D2845"/>
    <w:rsid w:val="003D2DFE"/>
    <w:rsid w:val="003D2F6B"/>
    <w:rsid w:val="003D2F9B"/>
    <w:rsid w:val="003D2FD7"/>
    <w:rsid w:val="003D30B1"/>
    <w:rsid w:val="003D3183"/>
    <w:rsid w:val="003D319D"/>
    <w:rsid w:val="003D3495"/>
    <w:rsid w:val="003D36CA"/>
    <w:rsid w:val="003D36ED"/>
    <w:rsid w:val="003D3755"/>
    <w:rsid w:val="003D379C"/>
    <w:rsid w:val="003D3854"/>
    <w:rsid w:val="003D388F"/>
    <w:rsid w:val="003D38CD"/>
    <w:rsid w:val="003D39CF"/>
    <w:rsid w:val="003D3A1D"/>
    <w:rsid w:val="003D3A96"/>
    <w:rsid w:val="003D3DFD"/>
    <w:rsid w:val="003D3E7C"/>
    <w:rsid w:val="003D40D8"/>
    <w:rsid w:val="003D4190"/>
    <w:rsid w:val="003D42B5"/>
    <w:rsid w:val="003D42DF"/>
    <w:rsid w:val="003D4A02"/>
    <w:rsid w:val="003D4A74"/>
    <w:rsid w:val="003D4C35"/>
    <w:rsid w:val="003D4D4E"/>
    <w:rsid w:val="003D507D"/>
    <w:rsid w:val="003D5162"/>
    <w:rsid w:val="003D5339"/>
    <w:rsid w:val="003D5396"/>
    <w:rsid w:val="003D55F9"/>
    <w:rsid w:val="003D562B"/>
    <w:rsid w:val="003D56A7"/>
    <w:rsid w:val="003D56F9"/>
    <w:rsid w:val="003D5704"/>
    <w:rsid w:val="003D580B"/>
    <w:rsid w:val="003D582C"/>
    <w:rsid w:val="003D585E"/>
    <w:rsid w:val="003D5861"/>
    <w:rsid w:val="003D588D"/>
    <w:rsid w:val="003D58F9"/>
    <w:rsid w:val="003D59F5"/>
    <w:rsid w:val="003D5CAC"/>
    <w:rsid w:val="003D5CE0"/>
    <w:rsid w:val="003D5E36"/>
    <w:rsid w:val="003D5EB8"/>
    <w:rsid w:val="003D5F3B"/>
    <w:rsid w:val="003D6062"/>
    <w:rsid w:val="003D60F4"/>
    <w:rsid w:val="003D6231"/>
    <w:rsid w:val="003D65DA"/>
    <w:rsid w:val="003D673F"/>
    <w:rsid w:val="003D682B"/>
    <w:rsid w:val="003D6D32"/>
    <w:rsid w:val="003D6ED5"/>
    <w:rsid w:val="003D709D"/>
    <w:rsid w:val="003D71A3"/>
    <w:rsid w:val="003D72C7"/>
    <w:rsid w:val="003D77C8"/>
    <w:rsid w:val="003D77DC"/>
    <w:rsid w:val="003D782D"/>
    <w:rsid w:val="003E023A"/>
    <w:rsid w:val="003E03C5"/>
    <w:rsid w:val="003E03D6"/>
    <w:rsid w:val="003E0596"/>
    <w:rsid w:val="003E071E"/>
    <w:rsid w:val="003E0A17"/>
    <w:rsid w:val="003E0AC6"/>
    <w:rsid w:val="003E0C29"/>
    <w:rsid w:val="003E0CAD"/>
    <w:rsid w:val="003E0DA9"/>
    <w:rsid w:val="003E10D4"/>
    <w:rsid w:val="003E117B"/>
    <w:rsid w:val="003E14B3"/>
    <w:rsid w:val="003E1525"/>
    <w:rsid w:val="003E16D3"/>
    <w:rsid w:val="003E175C"/>
    <w:rsid w:val="003E1820"/>
    <w:rsid w:val="003E191E"/>
    <w:rsid w:val="003E1B58"/>
    <w:rsid w:val="003E1BDF"/>
    <w:rsid w:val="003E1CA3"/>
    <w:rsid w:val="003E20B8"/>
    <w:rsid w:val="003E245D"/>
    <w:rsid w:val="003E253D"/>
    <w:rsid w:val="003E261A"/>
    <w:rsid w:val="003E27C2"/>
    <w:rsid w:val="003E27EA"/>
    <w:rsid w:val="003E285A"/>
    <w:rsid w:val="003E28F5"/>
    <w:rsid w:val="003E28FB"/>
    <w:rsid w:val="003E297B"/>
    <w:rsid w:val="003E2A3A"/>
    <w:rsid w:val="003E2B4D"/>
    <w:rsid w:val="003E2B5C"/>
    <w:rsid w:val="003E2B6F"/>
    <w:rsid w:val="003E2BAF"/>
    <w:rsid w:val="003E2BD4"/>
    <w:rsid w:val="003E2D13"/>
    <w:rsid w:val="003E2D99"/>
    <w:rsid w:val="003E2E5F"/>
    <w:rsid w:val="003E31AA"/>
    <w:rsid w:val="003E31CD"/>
    <w:rsid w:val="003E32A4"/>
    <w:rsid w:val="003E34A7"/>
    <w:rsid w:val="003E354E"/>
    <w:rsid w:val="003E362F"/>
    <w:rsid w:val="003E3698"/>
    <w:rsid w:val="003E39D2"/>
    <w:rsid w:val="003E3AC1"/>
    <w:rsid w:val="003E3B96"/>
    <w:rsid w:val="003E3BAE"/>
    <w:rsid w:val="003E3F0F"/>
    <w:rsid w:val="003E3F85"/>
    <w:rsid w:val="003E3F8F"/>
    <w:rsid w:val="003E4092"/>
    <w:rsid w:val="003E4297"/>
    <w:rsid w:val="003E4390"/>
    <w:rsid w:val="003E451F"/>
    <w:rsid w:val="003E454D"/>
    <w:rsid w:val="003E4560"/>
    <w:rsid w:val="003E4676"/>
    <w:rsid w:val="003E478F"/>
    <w:rsid w:val="003E47A4"/>
    <w:rsid w:val="003E4BDB"/>
    <w:rsid w:val="003E4C00"/>
    <w:rsid w:val="003E4C2D"/>
    <w:rsid w:val="003E4E45"/>
    <w:rsid w:val="003E5202"/>
    <w:rsid w:val="003E5697"/>
    <w:rsid w:val="003E574F"/>
    <w:rsid w:val="003E5A9A"/>
    <w:rsid w:val="003E5CE1"/>
    <w:rsid w:val="003E5DC3"/>
    <w:rsid w:val="003E5E69"/>
    <w:rsid w:val="003E5FD6"/>
    <w:rsid w:val="003E600C"/>
    <w:rsid w:val="003E6016"/>
    <w:rsid w:val="003E607D"/>
    <w:rsid w:val="003E60B8"/>
    <w:rsid w:val="003E6422"/>
    <w:rsid w:val="003E652A"/>
    <w:rsid w:val="003E66E0"/>
    <w:rsid w:val="003E6762"/>
    <w:rsid w:val="003E67D5"/>
    <w:rsid w:val="003E6880"/>
    <w:rsid w:val="003E69D6"/>
    <w:rsid w:val="003E6BCA"/>
    <w:rsid w:val="003E6DD8"/>
    <w:rsid w:val="003E6E0F"/>
    <w:rsid w:val="003E6ED9"/>
    <w:rsid w:val="003E6EF4"/>
    <w:rsid w:val="003E7040"/>
    <w:rsid w:val="003E70DC"/>
    <w:rsid w:val="003E745C"/>
    <w:rsid w:val="003E788E"/>
    <w:rsid w:val="003E78BB"/>
    <w:rsid w:val="003E7B64"/>
    <w:rsid w:val="003E7C85"/>
    <w:rsid w:val="003F002D"/>
    <w:rsid w:val="003F04BC"/>
    <w:rsid w:val="003F0774"/>
    <w:rsid w:val="003F08F8"/>
    <w:rsid w:val="003F0AA9"/>
    <w:rsid w:val="003F0AF0"/>
    <w:rsid w:val="003F0B2C"/>
    <w:rsid w:val="003F0C82"/>
    <w:rsid w:val="003F0F6E"/>
    <w:rsid w:val="003F1351"/>
    <w:rsid w:val="003F15E4"/>
    <w:rsid w:val="003F182D"/>
    <w:rsid w:val="003F18AE"/>
    <w:rsid w:val="003F19CF"/>
    <w:rsid w:val="003F1A53"/>
    <w:rsid w:val="003F1B5C"/>
    <w:rsid w:val="003F1C1D"/>
    <w:rsid w:val="003F1C4D"/>
    <w:rsid w:val="003F1CDF"/>
    <w:rsid w:val="003F1D17"/>
    <w:rsid w:val="003F1EA6"/>
    <w:rsid w:val="003F1FCD"/>
    <w:rsid w:val="003F2146"/>
    <w:rsid w:val="003F224C"/>
    <w:rsid w:val="003F22BD"/>
    <w:rsid w:val="003F2326"/>
    <w:rsid w:val="003F233D"/>
    <w:rsid w:val="003F2518"/>
    <w:rsid w:val="003F2E57"/>
    <w:rsid w:val="003F2ECD"/>
    <w:rsid w:val="003F2F07"/>
    <w:rsid w:val="003F300F"/>
    <w:rsid w:val="003F326E"/>
    <w:rsid w:val="003F35E2"/>
    <w:rsid w:val="003F3670"/>
    <w:rsid w:val="003F3687"/>
    <w:rsid w:val="003F382B"/>
    <w:rsid w:val="003F3998"/>
    <w:rsid w:val="003F3E57"/>
    <w:rsid w:val="003F4033"/>
    <w:rsid w:val="003F40C6"/>
    <w:rsid w:val="003F43A1"/>
    <w:rsid w:val="003F4404"/>
    <w:rsid w:val="003F4608"/>
    <w:rsid w:val="003F4919"/>
    <w:rsid w:val="003F49B7"/>
    <w:rsid w:val="003F4E34"/>
    <w:rsid w:val="003F4FDA"/>
    <w:rsid w:val="003F53C1"/>
    <w:rsid w:val="003F5502"/>
    <w:rsid w:val="003F5626"/>
    <w:rsid w:val="003F57C0"/>
    <w:rsid w:val="003F5987"/>
    <w:rsid w:val="003F5DF4"/>
    <w:rsid w:val="003F5E0A"/>
    <w:rsid w:val="003F5EFC"/>
    <w:rsid w:val="003F5F8C"/>
    <w:rsid w:val="003F607A"/>
    <w:rsid w:val="003F60BA"/>
    <w:rsid w:val="003F617A"/>
    <w:rsid w:val="003F61CD"/>
    <w:rsid w:val="003F6205"/>
    <w:rsid w:val="003F625A"/>
    <w:rsid w:val="003F6343"/>
    <w:rsid w:val="003F68E1"/>
    <w:rsid w:val="003F6B46"/>
    <w:rsid w:val="003F6B73"/>
    <w:rsid w:val="003F6C14"/>
    <w:rsid w:val="003F6EEF"/>
    <w:rsid w:val="003F6FF0"/>
    <w:rsid w:val="003F721E"/>
    <w:rsid w:val="003F7251"/>
    <w:rsid w:val="003F72C6"/>
    <w:rsid w:val="003F7381"/>
    <w:rsid w:val="003F76CE"/>
    <w:rsid w:val="003F7789"/>
    <w:rsid w:val="003F77E3"/>
    <w:rsid w:val="003F7CE8"/>
    <w:rsid w:val="003F7DE9"/>
    <w:rsid w:val="00400030"/>
    <w:rsid w:val="0040015D"/>
    <w:rsid w:val="004002A0"/>
    <w:rsid w:val="0040061A"/>
    <w:rsid w:val="00400738"/>
    <w:rsid w:val="00400808"/>
    <w:rsid w:val="00400BD2"/>
    <w:rsid w:val="00400C4A"/>
    <w:rsid w:val="00400CBC"/>
    <w:rsid w:val="00400D1D"/>
    <w:rsid w:val="00400DA5"/>
    <w:rsid w:val="00400E3F"/>
    <w:rsid w:val="00400F2A"/>
    <w:rsid w:val="00400FA0"/>
    <w:rsid w:val="00401083"/>
    <w:rsid w:val="0040132B"/>
    <w:rsid w:val="00401336"/>
    <w:rsid w:val="00401402"/>
    <w:rsid w:val="0040165C"/>
    <w:rsid w:val="0040177E"/>
    <w:rsid w:val="00401A26"/>
    <w:rsid w:val="00401B07"/>
    <w:rsid w:val="00401CB3"/>
    <w:rsid w:val="00401D5A"/>
    <w:rsid w:val="00401F43"/>
    <w:rsid w:val="004024FE"/>
    <w:rsid w:val="0040288A"/>
    <w:rsid w:val="004029FF"/>
    <w:rsid w:val="00402A55"/>
    <w:rsid w:val="00402C7C"/>
    <w:rsid w:val="004034C2"/>
    <w:rsid w:val="00403739"/>
    <w:rsid w:val="0040379D"/>
    <w:rsid w:val="00403899"/>
    <w:rsid w:val="004039B3"/>
    <w:rsid w:val="00403AFF"/>
    <w:rsid w:val="00403EED"/>
    <w:rsid w:val="00403F33"/>
    <w:rsid w:val="00404013"/>
    <w:rsid w:val="0040422D"/>
    <w:rsid w:val="0040453C"/>
    <w:rsid w:val="00404557"/>
    <w:rsid w:val="0040459C"/>
    <w:rsid w:val="004046D9"/>
    <w:rsid w:val="004049B8"/>
    <w:rsid w:val="00404A9F"/>
    <w:rsid w:val="00404DCA"/>
    <w:rsid w:val="00404F88"/>
    <w:rsid w:val="0040505D"/>
    <w:rsid w:val="00405242"/>
    <w:rsid w:val="0040536A"/>
    <w:rsid w:val="004053BD"/>
    <w:rsid w:val="0040553A"/>
    <w:rsid w:val="00405675"/>
    <w:rsid w:val="004057AB"/>
    <w:rsid w:val="00405B64"/>
    <w:rsid w:val="004062C2"/>
    <w:rsid w:val="00406367"/>
    <w:rsid w:val="00406552"/>
    <w:rsid w:val="004067D4"/>
    <w:rsid w:val="00406804"/>
    <w:rsid w:val="004069DC"/>
    <w:rsid w:val="00406B17"/>
    <w:rsid w:val="00406C37"/>
    <w:rsid w:val="00406D2E"/>
    <w:rsid w:val="00406F4A"/>
    <w:rsid w:val="004071BA"/>
    <w:rsid w:val="004072A8"/>
    <w:rsid w:val="004073DA"/>
    <w:rsid w:val="0040741D"/>
    <w:rsid w:val="004074ED"/>
    <w:rsid w:val="00407513"/>
    <w:rsid w:val="004076F0"/>
    <w:rsid w:val="004078BB"/>
    <w:rsid w:val="0040796A"/>
    <w:rsid w:val="00407B34"/>
    <w:rsid w:val="00410092"/>
    <w:rsid w:val="00410301"/>
    <w:rsid w:val="004103B1"/>
    <w:rsid w:val="00410523"/>
    <w:rsid w:val="00410595"/>
    <w:rsid w:val="00410649"/>
    <w:rsid w:val="004107FB"/>
    <w:rsid w:val="004108E7"/>
    <w:rsid w:val="004109CA"/>
    <w:rsid w:val="00410B3B"/>
    <w:rsid w:val="00410F54"/>
    <w:rsid w:val="00411037"/>
    <w:rsid w:val="004114AF"/>
    <w:rsid w:val="00411891"/>
    <w:rsid w:val="00411E58"/>
    <w:rsid w:val="00411ED2"/>
    <w:rsid w:val="00411FC8"/>
    <w:rsid w:val="00412193"/>
    <w:rsid w:val="004123B7"/>
    <w:rsid w:val="004123FA"/>
    <w:rsid w:val="004125A2"/>
    <w:rsid w:val="0041262D"/>
    <w:rsid w:val="00412C1B"/>
    <w:rsid w:val="00412C33"/>
    <w:rsid w:val="00412DA4"/>
    <w:rsid w:val="004130D5"/>
    <w:rsid w:val="004131A6"/>
    <w:rsid w:val="00413278"/>
    <w:rsid w:val="0041345B"/>
    <w:rsid w:val="0041349C"/>
    <w:rsid w:val="0041352B"/>
    <w:rsid w:val="0041366D"/>
    <w:rsid w:val="0041369A"/>
    <w:rsid w:val="00413879"/>
    <w:rsid w:val="00413AA4"/>
    <w:rsid w:val="00413BD8"/>
    <w:rsid w:val="00413C9C"/>
    <w:rsid w:val="00413CF3"/>
    <w:rsid w:val="00413D8D"/>
    <w:rsid w:val="00414007"/>
    <w:rsid w:val="0041405C"/>
    <w:rsid w:val="00414063"/>
    <w:rsid w:val="00414158"/>
    <w:rsid w:val="00414235"/>
    <w:rsid w:val="00414280"/>
    <w:rsid w:val="004142E8"/>
    <w:rsid w:val="004145F8"/>
    <w:rsid w:val="0041475D"/>
    <w:rsid w:val="00414972"/>
    <w:rsid w:val="00414E1E"/>
    <w:rsid w:val="00414F1D"/>
    <w:rsid w:val="00414F27"/>
    <w:rsid w:val="004150DC"/>
    <w:rsid w:val="004153DC"/>
    <w:rsid w:val="00415841"/>
    <w:rsid w:val="00415897"/>
    <w:rsid w:val="00415B32"/>
    <w:rsid w:val="00415B41"/>
    <w:rsid w:val="00415C8B"/>
    <w:rsid w:val="00415CD1"/>
    <w:rsid w:val="00416115"/>
    <w:rsid w:val="00416130"/>
    <w:rsid w:val="0041614F"/>
    <w:rsid w:val="004166B1"/>
    <w:rsid w:val="00416832"/>
    <w:rsid w:val="004168DE"/>
    <w:rsid w:val="004169DE"/>
    <w:rsid w:val="00416A49"/>
    <w:rsid w:val="00416AA0"/>
    <w:rsid w:val="00416CA7"/>
    <w:rsid w:val="00416D9C"/>
    <w:rsid w:val="00416E5B"/>
    <w:rsid w:val="0041703A"/>
    <w:rsid w:val="0041738B"/>
    <w:rsid w:val="004174AF"/>
    <w:rsid w:val="004175D0"/>
    <w:rsid w:val="00417690"/>
    <w:rsid w:val="0041769F"/>
    <w:rsid w:val="004177E2"/>
    <w:rsid w:val="00417AC0"/>
    <w:rsid w:val="00417C0F"/>
    <w:rsid w:val="00417D55"/>
    <w:rsid w:val="00417D6A"/>
    <w:rsid w:val="00417DA0"/>
    <w:rsid w:val="00420162"/>
    <w:rsid w:val="00420319"/>
    <w:rsid w:val="0042037F"/>
    <w:rsid w:val="0042047A"/>
    <w:rsid w:val="004207A2"/>
    <w:rsid w:val="00420874"/>
    <w:rsid w:val="00420ADB"/>
    <w:rsid w:val="00420C18"/>
    <w:rsid w:val="00420D2F"/>
    <w:rsid w:val="004211B7"/>
    <w:rsid w:val="004212EB"/>
    <w:rsid w:val="0042163D"/>
    <w:rsid w:val="0042166B"/>
    <w:rsid w:val="00421876"/>
    <w:rsid w:val="00421A52"/>
    <w:rsid w:val="00421AA3"/>
    <w:rsid w:val="00421B24"/>
    <w:rsid w:val="00421BF6"/>
    <w:rsid w:val="00421C92"/>
    <w:rsid w:val="00421D94"/>
    <w:rsid w:val="00422032"/>
    <w:rsid w:val="00422052"/>
    <w:rsid w:val="00422120"/>
    <w:rsid w:val="0042270C"/>
    <w:rsid w:val="00422723"/>
    <w:rsid w:val="0042296E"/>
    <w:rsid w:val="00422A15"/>
    <w:rsid w:val="00422DE9"/>
    <w:rsid w:val="00422F17"/>
    <w:rsid w:val="00423017"/>
    <w:rsid w:val="0042304A"/>
    <w:rsid w:val="0042342D"/>
    <w:rsid w:val="004236DD"/>
    <w:rsid w:val="00423990"/>
    <w:rsid w:val="00423AB9"/>
    <w:rsid w:val="00423B38"/>
    <w:rsid w:val="00423E0E"/>
    <w:rsid w:val="00423ED1"/>
    <w:rsid w:val="00423F57"/>
    <w:rsid w:val="00423FBE"/>
    <w:rsid w:val="00424009"/>
    <w:rsid w:val="00424388"/>
    <w:rsid w:val="00424507"/>
    <w:rsid w:val="0042455E"/>
    <w:rsid w:val="004247AF"/>
    <w:rsid w:val="00424872"/>
    <w:rsid w:val="0042493A"/>
    <w:rsid w:val="00424941"/>
    <w:rsid w:val="00424A3F"/>
    <w:rsid w:val="00424E5F"/>
    <w:rsid w:val="00424E72"/>
    <w:rsid w:val="00424F91"/>
    <w:rsid w:val="004251DE"/>
    <w:rsid w:val="004252EF"/>
    <w:rsid w:val="00425404"/>
    <w:rsid w:val="004255D7"/>
    <w:rsid w:val="00425863"/>
    <w:rsid w:val="00425D4C"/>
    <w:rsid w:val="00425E9C"/>
    <w:rsid w:val="00425F29"/>
    <w:rsid w:val="00425FAA"/>
    <w:rsid w:val="00425FD5"/>
    <w:rsid w:val="00426036"/>
    <w:rsid w:val="0042605B"/>
    <w:rsid w:val="0042614F"/>
    <w:rsid w:val="0042629A"/>
    <w:rsid w:val="00426338"/>
    <w:rsid w:val="0042640D"/>
    <w:rsid w:val="0042641C"/>
    <w:rsid w:val="00426491"/>
    <w:rsid w:val="00426653"/>
    <w:rsid w:val="0042669C"/>
    <w:rsid w:val="004268EB"/>
    <w:rsid w:val="004270F0"/>
    <w:rsid w:val="00427307"/>
    <w:rsid w:val="004273A0"/>
    <w:rsid w:val="00427714"/>
    <w:rsid w:val="0042773E"/>
    <w:rsid w:val="004278CA"/>
    <w:rsid w:val="00427E72"/>
    <w:rsid w:val="00427ED6"/>
    <w:rsid w:val="00427F7D"/>
    <w:rsid w:val="00427FD2"/>
    <w:rsid w:val="004300D6"/>
    <w:rsid w:val="0043023D"/>
    <w:rsid w:val="0043028F"/>
    <w:rsid w:val="00430426"/>
    <w:rsid w:val="00430529"/>
    <w:rsid w:val="00430839"/>
    <w:rsid w:val="00430965"/>
    <w:rsid w:val="00430C8B"/>
    <w:rsid w:val="00430E4A"/>
    <w:rsid w:val="00430E6C"/>
    <w:rsid w:val="00430ECC"/>
    <w:rsid w:val="00430F50"/>
    <w:rsid w:val="00431009"/>
    <w:rsid w:val="00431027"/>
    <w:rsid w:val="004310CB"/>
    <w:rsid w:val="0043111B"/>
    <w:rsid w:val="00431332"/>
    <w:rsid w:val="004315E2"/>
    <w:rsid w:val="00431730"/>
    <w:rsid w:val="00431BDD"/>
    <w:rsid w:val="00431C45"/>
    <w:rsid w:val="00431CA2"/>
    <w:rsid w:val="00431CEB"/>
    <w:rsid w:val="00431D11"/>
    <w:rsid w:val="00431D25"/>
    <w:rsid w:val="00431E55"/>
    <w:rsid w:val="00431F56"/>
    <w:rsid w:val="00432124"/>
    <w:rsid w:val="0043212C"/>
    <w:rsid w:val="004321A0"/>
    <w:rsid w:val="0043224C"/>
    <w:rsid w:val="004322AB"/>
    <w:rsid w:val="0043246E"/>
    <w:rsid w:val="00432732"/>
    <w:rsid w:val="00432769"/>
    <w:rsid w:val="004329AB"/>
    <w:rsid w:val="00432DAE"/>
    <w:rsid w:val="00432DE9"/>
    <w:rsid w:val="00432EB2"/>
    <w:rsid w:val="00432ED7"/>
    <w:rsid w:val="00432F91"/>
    <w:rsid w:val="004332AC"/>
    <w:rsid w:val="004335B2"/>
    <w:rsid w:val="00433734"/>
    <w:rsid w:val="00433872"/>
    <w:rsid w:val="00433A4B"/>
    <w:rsid w:val="00433A53"/>
    <w:rsid w:val="00433A5B"/>
    <w:rsid w:val="00433BDB"/>
    <w:rsid w:val="00433C3C"/>
    <w:rsid w:val="00433CDC"/>
    <w:rsid w:val="00433D57"/>
    <w:rsid w:val="00433F30"/>
    <w:rsid w:val="00433FC3"/>
    <w:rsid w:val="00433FC6"/>
    <w:rsid w:val="004340CD"/>
    <w:rsid w:val="00434206"/>
    <w:rsid w:val="00434413"/>
    <w:rsid w:val="00434447"/>
    <w:rsid w:val="004344FC"/>
    <w:rsid w:val="0043454C"/>
    <w:rsid w:val="00434616"/>
    <w:rsid w:val="004346F8"/>
    <w:rsid w:val="00434719"/>
    <w:rsid w:val="0043471C"/>
    <w:rsid w:val="00434833"/>
    <w:rsid w:val="004348E7"/>
    <w:rsid w:val="00434B44"/>
    <w:rsid w:val="00434BEC"/>
    <w:rsid w:val="00434DA5"/>
    <w:rsid w:val="00434F05"/>
    <w:rsid w:val="00434F58"/>
    <w:rsid w:val="004350A5"/>
    <w:rsid w:val="00435165"/>
    <w:rsid w:val="004351A9"/>
    <w:rsid w:val="004352E6"/>
    <w:rsid w:val="00435366"/>
    <w:rsid w:val="004355D1"/>
    <w:rsid w:val="00435860"/>
    <w:rsid w:val="004358FD"/>
    <w:rsid w:val="00435968"/>
    <w:rsid w:val="00435A40"/>
    <w:rsid w:val="00435DD6"/>
    <w:rsid w:val="00435ED9"/>
    <w:rsid w:val="00436125"/>
    <w:rsid w:val="0043620C"/>
    <w:rsid w:val="0043635A"/>
    <w:rsid w:val="00436479"/>
    <w:rsid w:val="004364BC"/>
    <w:rsid w:val="004365DB"/>
    <w:rsid w:val="0043666B"/>
    <w:rsid w:val="00436772"/>
    <w:rsid w:val="0043691C"/>
    <w:rsid w:val="00436B68"/>
    <w:rsid w:val="00436C4D"/>
    <w:rsid w:val="00436C9D"/>
    <w:rsid w:val="00436ED1"/>
    <w:rsid w:val="00437218"/>
    <w:rsid w:val="0043733B"/>
    <w:rsid w:val="004374F6"/>
    <w:rsid w:val="00437521"/>
    <w:rsid w:val="0043752E"/>
    <w:rsid w:val="004376A5"/>
    <w:rsid w:val="00437CF3"/>
    <w:rsid w:val="00437D3B"/>
    <w:rsid w:val="00437E09"/>
    <w:rsid w:val="00440115"/>
    <w:rsid w:val="00440150"/>
    <w:rsid w:val="004403C2"/>
    <w:rsid w:val="00440462"/>
    <w:rsid w:val="004405C2"/>
    <w:rsid w:val="00440642"/>
    <w:rsid w:val="0044075D"/>
    <w:rsid w:val="0044091F"/>
    <w:rsid w:val="00440B2B"/>
    <w:rsid w:val="00440DA1"/>
    <w:rsid w:val="00440DFF"/>
    <w:rsid w:val="00440FE4"/>
    <w:rsid w:val="004412C7"/>
    <w:rsid w:val="00441309"/>
    <w:rsid w:val="004414CE"/>
    <w:rsid w:val="0044151A"/>
    <w:rsid w:val="00441829"/>
    <w:rsid w:val="004419F3"/>
    <w:rsid w:val="00441B22"/>
    <w:rsid w:val="00441DA5"/>
    <w:rsid w:val="00442039"/>
    <w:rsid w:val="004420FD"/>
    <w:rsid w:val="0044214C"/>
    <w:rsid w:val="00442192"/>
    <w:rsid w:val="004421A2"/>
    <w:rsid w:val="00442259"/>
    <w:rsid w:val="00442289"/>
    <w:rsid w:val="004422A4"/>
    <w:rsid w:val="0044234C"/>
    <w:rsid w:val="004423D6"/>
    <w:rsid w:val="0044260F"/>
    <w:rsid w:val="004426DC"/>
    <w:rsid w:val="00442796"/>
    <w:rsid w:val="00442835"/>
    <w:rsid w:val="00442871"/>
    <w:rsid w:val="004428FF"/>
    <w:rsid w:val="0044297C"/>
    <w:rsid w:val="00442B85"/>
    <w:rsid w:val="00442C98"/>
    <w:rsid w:val="00443292"/>
    <w:rsid w:val="004432D9"/>
    <w:rsid w:val="00443572"/>
    <w:rsid w:val="00443692"/>
    <w:rsid w:val="004439F1"/>
    <w:rsid w:val="00443B98"/>
    <w:rsid w:val="00443DF5"/>
    <w:rsid w:val="0044420B"/>
    <w:rsid w:val="004443E5"/>
    <w:rsid w:val="004444B5"/>
    <w:rsid w:val="004444EA"/>
    <w:rsid w:val="004445A6"/>
    <w:rsid w:val="004445D3"/>
    <w:rsid w:val="0044460A"/>
    <w:rsid w:val="0044476C"/>
    <w:rsid w:val="00444994"/>
    <w:rsid w:val="00444BCC"/>
    <w:rsid w:val="00444F23"/>
    <w:rsid w:val="004451CB"/>
    <w:rsid w:val="00445219"/>
    <w:rsid w:val="00445248"/>
    <w:rsid w:val="0044538E"/>
    <w:rsid w:val="004453E4"/>
    <w:rsid w:val="00445410"/>
    <w:rsid w:val="00445687"/>
    <w:rsid w:val="00445724"/>
    <w:rsid w:val="004457A5"/>
    <w:rsid w:val="00445886"/>
    <w:rsid w:val="004458A0"/>
    <w:rsid w:val="00445A9D"/>
    <w:rsid w:val="00445AED"/>
    <w:rsid w:val="00445C47"/>
    <w:rsid w:val="00445CD4"/>
    <w:rsid w:val="00445D44"/>
    <w:rsid w:val="00446061"/>
    <w:rsid w:val="0044620E"/>
    <w:rsid w:val="00446245"/>
    <w:rsid w:val="00446352"/>
    <w:rsid w:val="0044661D"/>
    <w:rsid w:val="004467A3"/>
    <w:rsid w:val="00446828"/>
    <w:rsid w:val="00446910"/>
    <w:rsid w:val="0044692C"/>
    <w:rsid w:val="0044698D"/>
    <w:rsid w:val="00447093"/>
    <w:rsid w:val="004470D2"/>
    <w:rsid w:val="0044719F"/>
    <w:rsid w:val="004474A1"/>
    <w:rsid w:val="004476B5"/>
    <w:rsid w:val="004479E1"/>
    <w:rsid w:val="00447BCD"/>
    <w:rsid w:val="00447D71"/>
    <w:rsid w:val="00447ED2"/>
    <w:rsid w:val="00447EFB"/>
    <w:rsid w:val="00450056"/>
    <w:rsid w:val="00450081"/>
    <w:rsid w:val="004501EE"/>
    <w:rsid w:val="00450216"/>
    <w:rsid w:val="00450247"/>
    <w:rsid w:val="00450303"/>
    <w:rsid w:val="00450713"/>
    <w:rsid w:val="0045086E"/>
    <w:rsid w:val="0045099B"/>
    <w:rsid w:val="00450A23"/>
    <w:rsid w:val="00450A80"/>
    <w:rsid w:val="00450AF2"/>
    <w:rsid w:val="00450AF7"/>
    <w:rsid w:val="00450B1D"/>
    <w:rsid w:val="00450F16"/>
    <w:rsid w:val="00450F18"/>
    <w:rsid w:val="00451139"/>
    <w:rsid w:val="004512CC"/>
    <w:rsid w:val="0045142B"/>
    <w:rsid w:val="0045146E"/>
    <w:rsid w:val="004514B8"/>
    <w:rsid w:val="00451737"/>
    <w:rsid w:val="004518B2"/>
    <w:rsid w:val="0045199F"/>
    <w:rsid w:val="004519A0"/>
    <w:rsid w:val="00451B85"/>
    <w:rsid w:val="00451C26"/>
    <w:rsid w:val="00451D7D"/>
    <w:rsid w:val="00451E9E"/>
    <w:rsid w:val="00451ED4"/>
    <w:rsid w:val="004521BC"/>
    <w:rsid w:val="004521C5"/>
    <w:rsid w:val="004522AB"/>
    <w:rsid w:val="004526DE"/>
    <w:rsid w:val="004529E9"/>
    <w:rsid w:val="00452ABE"/>
    <w:rsid w:val="00452BC1"/>
    <w:rsid w:val="00452D1F"/>
    <w:rsid w:val="00452E46"/>
    <w:rsid w:val="00453088"/>
    <w:rsid w:val="00453211"/>
    <w:rsid w:val="00453358"/>
    <w:rsid w:val="004534B3"/>
    <w:rsid w:val="00453A43"/>
    <w:rsid w:val="00453AC5"/>
    <w:rsid w:val="00453C95"/>
    <w:rsid w:val="00453CE3"/>
    <w:rsid w:val="00453D6C"/>
    <w:rsid w:val="00453E44"/>
    <w:rsid w:val="00453F32"/>
    <w:rsid w:val="004540DE"/>
    <w:rsid w:val="0045417D"/>
    <w:rsid w:val="00454193"/>
    <w:rsid w:val="0045438D"/>
    <w:rsid w:val="00454392"/>
    <w:rsid w:val="004543F5"/>
    <w:rsid w:val="00454703"/>
    <w:rsid w:val="00454886"/>
    <w:rsid w:val="004549E5"/>
    <w:rsid w:val="00454A0E"/>
    <w:rsid w:val="00454A61"/>
    <w:rsid w:val="00454A6A"/>
    <w:rsid w:val="00454A9F"/>
    <w:rsid w:val="00454E0C"/>
    <w:rsid w:val="00454EA8"/>
    <w:rsid w:val="00454F4E"/>
    <w:rsid w:val="00455116"/>
    <w:rsid w:val="0045520E"/>
    <w:rsid w:val="00455299"/>
    <w:rsid w:val="004552DD"/>
    <w:rsid w:val="004553DC"/>
    <w:rsid w:val="004556F0"/>
    <w:rsid w:val="004559A4"/>
    <w:rsid w:val="00455A70"/>
    <w:rsid w:val="00455B13"/>
    <w:rsid w:val="00455B3D"/>
    <w:rsid w:val="00455BB2"/>
    <w:rsid w:val="00455C23"/>
    <w:rsid w:val="00455D81"/>
    <w:rsid w:val="00455F34"/>
    <w:rsid w:val="004560F1"/>
    <w:rsid w:val="00456444"/>
    <w:rsid w:val="004564C3"/>
    <w:rsid w:val="004565DA"/>
    <w:rsid w:val="00456632"/>
    <w:rsid w:val="00456900"/>
    <w:rsid w:val="00456C69"/>
    <w:rsid w:val="00456CAD"/>
    <w:rsid w:val="00456DEA"/>
    <w:rsid w:val="00457214"/>
    <w:rsid w:val="0045725D"/>
    <w:rsid w:val="004573DC"/>
    <w:rsid w:val="004574D0"/>
    <w:rsid w:val="0045754B"/>
    <w:rsid w:val="004576F3"/>
    <w:rsid w:val="00457728"/>
    <w:rsid w:val="00457C95"/>
    <w:rsid w:val="00457EFE"/>
    <w:rsid w:val="0046000F"/>
    <w:rsid w:val="00460081"/>
    <w:rsid w:val="00460108"/>
    <w:rsid w:val="0046024A"/>
    <w:rsid w:val="0046034E"/>
    <w:rsid w:val="0046047B"/>
    <w:rsid w:val="004604FE"/>
    <w:rsid w:val="0046051F"/>
    <w:rsid w:val="0046055B"/>
    <w:rsid w:val="004605EB"/>
    <w:rsid w:val="004606B3"/>
    <w:rsid w:val="00460716"/>
    <w:rsid w:val="004609E0"/>
    <w:rsid w:val="00460A57"/>
    <w:rsid w:val="00460B23"/>
    <w:rsid w:val="00460BD0"/>
    <w:rsid w:val="00460CEF"/>
    <w:rsid w:val="00460DD5"/>
    <w:rsid w:val="00460EE9"/>
    <w:rsid w:val="00461081"/>
    <w:rsid w:val="004610C4"/>
    <w:rsid w:val="0046161A"/>
    <w:rsid w:val="00461925"/>
    <w:rsid w:val="00461B00"/>
    <w:rsid w:val="00461C2F"/>
    <w:rsid w:val="00461CB8"/>
    <w:rsid w:val="00461F70"/>
    <w:rsid w:val="00461FE7"/>
    <w:rsid w:val="00462101"/>
    <w:rsid w:val="00462118"/>
    <w:rsid w:val="004623B3"/>
    <w:rsid w:val="00462602"/>
    <w:rsid w:val="00462624"/>
    <w:rsid w:val="004626F3"/>
    <w:rsid w:val="004627BF"/>
    <w:rsid w:val="00462847"/>
    <w:rsid w:val="0046297F"/>
    <w:rsid w:val="004629E6"/>
    <w:rsid w:val="00462AB5"/>
    <w:rsid w:val="00462B39"/>
    <w:rsid w:val="00462D7C"/>
    <w:rsid w:val="00462F49"/>
    <w:rsid w:val="004630FF"/>
    <w:rsid w:val="004633F5"/>
    <w:rsid w:val="004634B8"/>
    <w:rsid w:val="00463563"/>
    <w:rsid w:val="00463577"/>
    <w:rsid w:val="00463607"/>
    <w:rsid w:val="0046366D"/>
    <w:rsid w:val="004636A0"/>
    <w:rsid w:val="00463768"/>
    <w:rsid w:val="00463982"/>
    <w:rsid w:val="00463A73"/>
    <w:rsid w:val="00463AE7"/>
    <w:rsid w:val="00463FA4"/>
    <w:rsid w:val="0046437D"/>
    <w:rsid w:val="0046460D"/>
    <w:rsid w:val="00464A80"/>
    <w:rsid w:val="00464ACC"/>
    <w:rsid w:val="00464D0D"/>
    <w:rsid w:val="00464D2D"/>
    <w:rsid w:val="00464F94"/>
    <w:rsid w:val="0046501F"/>
    <w:rsid w:val="00465079"/>
    <w:rsid w:val="004650C5"/>
    <w:rsid w:val="004653D4"/>
    <w:rsid w:val="004654D3"/>
    <w:rsid w:val="00465601"/>
    <w:rsid w:val="004656A9"/>
    <w:rsid w:val="004658B2"/>
    <w:rsid w:val="00465D8C"/>
    <w:rsid w:val="00465DCD"/>
    <w:rsid w:val="00465F1B"/>
    <w:rsid w:val="00465F80"/>
    <w:rsid w:val="0046634C"/>
    <w:rsid w:val="00466381"/>
    <w:rsid w:val="00466455"/>
    <w:rsid w:val="004665B3"/>
    <w:rsid w:val="0046681E"/>
    <w:rsid w:val="004668F6"/>
    <w:rsid w:val="0046692C"/>
    <w:rsid w:val="0046697A"/>
    <w:rsid w:val="00466F1B"/>
    <w:rsid w:val="00466F7C"/>
    <w:rsid w:val="0046723C"/>
    <w:rsid w:val="004672B0"/>
    <w:rsid w:val="004672C8"/>
    <w:rsid w:val="00467377"/>
    <w:rsid w:val="00467404"/>
    <w:rsid w:val="004675C5"/>
    <w:rsid w:val="00467A0A"/>
    <w:rsid w:val="00467B02"/>
    <w:rsid w:val="00467B1E"/>
    <w:rsid w:val="00467B61"/>
    <w:rsid w:val="0047019F"/>
    <w:rsid w:val="0047021A"/>
    <w:rsid w:val="004703C5"/>
    <w:rsid w:val="004705F4"/>
    <w:rsid w:val="004706BE"/>
    <w:rsid w:val="0047071E"/>
    <w:rsid w:val="004708F8"/>
    <w:rsid w:val="00470A8D"/>
    <w:rsid w:val="00470C61"/>
    <w:rsid w:val="00470FD0"/>
    <w:rsid w:val="00470FFD"/>
    <w:rsid w:val="00471169"/>
    <w:rsid w:val="0047129B"/>
    <w:rsid w:val="004712A6"/>
    <w:rsid w:val="0047139D"/>
    <w:rsid w:val="004713A3"/>
    <w:rsid w:val="0047172A"/>
    <w:rsid w:val="00471791"/>
    <w:rsid w:val="00471848"/>
    <w:rsid w:val="00471933"/>
    <w:rsid w:val="00471A0F"/>
    <w:rsid w:val="00471B58"/>
    <w:rsid w:val="00471D2F"/>
    <w:rsid w:val="00471E7A"/>
    <w:rsid w:val="0047201F"/>
    <w:rsid w:val="00472222"/>
    <w:rsid w:val="004723BA"/>
    <w:rsid w:val="00472565"/>
    <w:rsid w:val="00472621"/>
    <w:rsid w:val="0047267A"/>
    <w:rsid w:val="00472789"/>
    <w:rsid w:val="004728BC"/>
    <w:rsid w:val="004729A6"/>
    <w:rsid w:val="004729ED"/>
    <w:rsid w:val="00472A1E"/>
    <w:rsid w:val="00472A40"/>
    <w:rsid w:val="00472A71"/>
    <w:rsid w:val="00472D4D"/>
    <w:rsid w:val="0047314B"/>
    <w:rsid w:val="00473229"/>
    <w:rsid w:val="0047337C"/>
    <w:rsid w:val="00473473"/>
    <w:rsid w:val="004738B3"/>
    <w:rsid w:val="00473A08"/>
    <w:rsid w:val="00473B52"/>
    <w:rsid w:val="00473B9A"/>
    <w:rsid w:val="00473C46"/>
    <w:rsid w:val="00473DAE"/>
    <w:rsid w:val="00473EAF"/>
    <w:rsid w:val="00473F6A"/>
    <w:rsid w:val="00473F7A"/>
    <w:rsid w:val="0047416C"/>
    <w:rsid w:val="00474324"/>
    <w:rsid w:val="004744BA"/>
    <w:rsid w:val="0047454C"/>
    <w:rsid w:val="0047463F"/>
    <w:rsid w:val="00474BB3"/>
    <w:rsid w:val="00474E27"/>
    <w:rsid w:val="00474E5B"/>
    <w:rsid w:val="00474E71"/>
    <w:rsid w:val="00474E7C"/>
    <w:rsid w:val="00474F8F"/>
    <w:rsid w:val="00475298"/>
    <w:rsid w:val="004752D8"/>
    <w:rsid w:val="004752FF"/>
    <w:rsid w:val="004754BD"/>
    <w:rsid w:val="00475651"/>
    <w:rsid w:val="00475810"/>
    <w:rsid w:val="004758E2"/>
    <w:rsid w:val="00475991"/>
    <w:rsid w:val="00475BEE"/>
    <w:rsid w:val="00475F46"/>
    <w:rsid w:val="00475FA5"/>
    <w:rsid w:val="00476351"/>
    <w:rsid w:val="004766D5"/>
    <w:rsid w:val="00476808"/>
    <w:rsid w:val="0047691E"/>
    <w:rsid w:val="004769E9"/>
    <w:rsid w:val="00476E04"/>
    <w:rsid w:val="004772EF"/>
    <w:rsid w:val="00477B12"/>
    <w:rsid w:val="00477C23"/>
    <w:rsid w:val="00477DAD"/>
    <w:rsid w:val="00477ED8"/>
    <w:rsid w:val="00480334"/>
    <w:rsid w:val="004803A1"/>
    <w:rsid w:val="004803A9"/>
    <w:rsid w:val="00480664"/>
    <w:rsid w:val="00480A04"/>
    <w:rsid w:val="00480A22"/>
    <w:rsid w:val="00480AAF"/>
    <w:rsid w:val="00480B62"/>
    <w:rsid w:val="00480E74"/>
    <w:rsid w:val="00481308"/>
    <w:rsid w:val="0048144C"/>
    <w:rsid w:val="00481665"/>
    <w:rsid w:val="004817DB"/>
    <w:rsid w:val="00481845"/>
    <w:rsid w:val="00481899"/>
    <w:rsid w:val="00481CB5"/>
    <w:rsid w:val="00481EE2"/>
    <w:rsid w:val="00482096"/>
    <w:rsid w:val="0048249C"/>
    <w:rsid w:val="00482781"/>
    <w:rsid w:val="004827B3"/>
    <w:rsid w:val="00482A89"/>
    <w:rsid w:val="00482C08"/>
    <w:rsid w:val="00482C39"/>
    <w:rsid w:val="00482CC5"/>
    <w:rsid w:val="00482FBB"/>
    <w:rsid w:val="00483032"/>
    <w:rsid w:val="004830A1"/>
    <w:rsid w:val="00483111"/>
    <w:rsid w:val="004832AB"/>
    <w:rsid w:val="00483453"/>
    <w:rsid w:val="00483518"/>
    <w:rsid w:val="004835D3"/>
    <w:rsid w:val="0048365A"/>
    <w:rsid w:val="004836AB"/>
    <w:rsid w:val="004837A2"/>
    <w:rsid w:val="00483959"/>
    <w:rsid w:val="004839C2"/>
    <w:rsid w:val="00483B52"/>
    <w:rsid w:val="00483E30"/>
    <w:rsid w:val="00483F84"/>
    <w:rsid w:val="004842B8"/>
    <w:rsid w:val="00484410"/>
    <w:rsid w:val="0048444B"/>
    <w:rsid w:val="0048457F"/>
    <w:rsid w:val="00484724"/>
    <w:rsid w:val="0048472A"/>
    <w:rsid w:val="004848FD"/>
    <w:rsid w:val="0048491C"/>
    <w:rsid w:val="00484A89"/>
    <w:rsid w:val="00484CF8"/>
    <w:rsid w:val="00485025"/>
    <w:rsid w:val="00485189"/>
    <w:rsid w:val="00485479"/>
    <w:rsid w:val="00485552"/>
    <w:rsid w:val="0048560F"/>
    <w:rsid w:val="00485B02"/>
    <w:rsid w:val="00485D4F"/>
    <w:rsid w:val="00485E7F"/>
    <w:rsid w:val="0048620B"/>
    <w:rsid w:val="0048684D"/>
    <w:rsid w:val="0048695F"/>
    <w:rsid w:val="0048696D"/>
    <w:rsid w:val="00486ACF"/>
    <w:rsid w:val="00486B6A"/>
    <w:rsid w:val="00486CA5"/>
    <w:rsid w:val="00486CDE"/>
    <w:rsid w:val="004870BF"/>
    <w:rsid w:val="004870E7"/>
    <w:rsid w:val="00487303"/>
    <w:rsid w:val="0048737D"/>
    <w:rsid w:val="004875A9"/>
    <w:rsid w:val="004878F9"/>
    <w:rsid w:val="00487994"/>
    <w:rsid w:val="00487BE9"/>
    <w:rsid w:val="00487D5E"/>
    <w:rsid w:val="00487ECA"/>
    <w:rsid w:val="00487FC1"/>
    <w:rsid w:val="00490219"/>
    <w:rsid w:val="0049034B"/>
    <w:rsid w:val="00490737"/>
    <w:rsid w:val="00490738"/>
    <w:rsid w:val="00490816"/>
    <w:rsid w:val="0049093C"/>
    <w:rsid w:val="004909C1"/>
    <w:rsid w:val="00490C89"/>
    <w:rsid w:val="00491018"/>
    <w:rsid w:val="00491079"/>
    <w:rsid w:val="004910AC"/>
    <w:rsid w:val="00491125"/>
    <w:rsid w:val="0049112D"/>
    <w:rsid w:val="00491193"/>
    <w:rsid w:val="004911DC"/>
    <w:rsid w:val="004915CF"/>
    <w:rsid w:val="00491881"/>
    <w:rsid w:val="004919E7"/>
    <w:rsid w:val="00491A66"/>
    <w:rsid w:val="00491BBE"/>
    <w:rsid w:val="00491BE1"/>
    <w:rsid w:val="00491E5F"/>
    <w:rsid w:val="00491E93"/>
    <w:rsid w:val="004921D9"/>
    <w:rsid w:val="00492243"/>
    <w:rsid w:val="004922DC"/>
    <w:rsid w:val="00492477"/>
    <w:rsid w:val="00492582"/>
    <w:rsid w:val="00492666"/>
    <w:rsid w:val="004927D9"/>
    <w:rsid w:val="00492881"/>
    <w:rsid w:val="00492A36"/>
    <w:rsid w:val="00492B36"/>
    <w:rsid w:val="00492B4C"/>
    <w:rsid w:val="00492B89"/>
    <w:rsid w:val="004930BC"/>
    <w:rsid w:val="00493339"/>
    <w:rsid w:val="00493446"/>
    <w:rsid w:val="004935CE"/>
    <w:rsid w:val="00493771"/>
    <w:rsid w:val="00493879"/>
    <w:rsid w:val="004938ED"/>
    <w:rsid w:val="0049396E"/>
    <w:rsid w:val="004942C3"/>
    <w:rsid w:val="00494463"/>
    <w:rsid w:val="0049452E"/>
    <w:rsid w:val="004948A7"/>
    <w:rsid w:val="0049491A"/>
    <w:rsid w:val="00494946"/>
    <w:rsid w:val="00494AAF"/>
    <w:rsid w:val="00494AF3"/>
    <w:rsid w:val="00494C42"/>
    <w:rsid w:val="0049543F"/>
    <w:rsid w:val="004954D5"/>
    <w:rsid w:val="00495B63"/>
    <w:rsid w:val="00495B9A"/>
    <w:rsid w:val="00495BFE"/>
    <w:rsid w:val="00495C05"/>
    <w:rsid w:val="00495C36"/>
    <w:rsid w:val="00495DE1"/>
    <w:rsid w:val="00495EA5"/>
    <w:rsid w:val="004960CB"/>
    <w:rsid w:val="004962C0"/>
    <w:rsid w:val="0049632B"/>
    <w:rsid w:val="0049656A"/>
    <w:rsid w:val="0049667D"/>
    <w:rsid w:val="004966AE"/>
    <w:rsid w:val="0049684F"/>
    <w:rsid w:val="004969E6"/>
    <w:rsid w:val="00496A50"/>
    <w:rsid w:val="00496B28"/>
    <w:rsid w:val="00496CF9"/>
    <w:rsid w:val="00496D32"/>
    <w:rsid w:val="00496E61"/>
    <w:rsid w:val="00496E6F"/>
    <w:rsid w:val="00496FDF"/>
    <w:rsid w:val="004970DD"/>
    <w:rsid w:val="0049715E"/>
    <w:rsid w:val="00497563"/>
    <w:rsid w:val="00497690"/>
    <w:rsid w:val="00497773"/>
    <w:rsid w:val="00497935"/>
    <w:rsid w:val="00497BAE"/>
    <w:rsid w:val="00497BC0"/>
    <w:rsid w:val="00497CDF"/>
    <w:rsid w:val="00497E2A"/>
    <w:rsid w:val="00497F18"/>
    <w:rsid w:val="004A024A"/>
    <w:rsid w:val="004A03B0"/>
    <w:rsid w:val="004A0522"/>
    <w:rsid w:val="004A05AA"/>
    <w:rsid w:val="004A0621"/>
    <w:rsid w:val="004A0A31"/>
    <w:rsid w:val="004A0B72"/>
    <w:rsid w:val="004A0DE7"/>
    <w:rsid w:val="004A0E78"/>
    <w:rsid w:val="004A1020"/>
    <w:rsid w:val="004A10D2"/>
    <w:rsid w:val="004A13CF"/>
    <w:rsid w:val="004A1593"/>
    <w:rsid w:val="004A16A0"/>
    <w:rsid w:val="004A17E8"/>
    <w:rsid w:val="004A1907"/>
    <w:rsid w:val="004A1A7F"/>
    <w:rsid w:val="004A1BB2"/>
    <w:rsid w:val="004A1D8F"/>
    <w:rsid w:val="004A2014"/>
    <w:rsid w:val="004A2127"/>
    <w:rsid w:val="004A25DC"/>
    <w:rsid w:val="004A261B"/>
    <w:rsid w:val="004A26F9"/>
    <w:rsid w:val="004A2890"/>
    <w:rsid w:val="004A2C66"/>
    <w:rsid w:val="004A2CCC"/>
    <w:rsid w:val="004A2ED9"/>
    <w:rsid w:val="004A30BF"/>
    <w:rsid w:val="004A31A9"/>
    <w:rsid w:val="004A3384"/>
    <w:rsid w:val="004A33DF"/>
    <w:rsid w:val="004A373B"/>
    <w:rsid w:val="004A377F"/>
    <w:rsid w:val="004A387D"/>
    <w:rsid w:val="004A38AE"/>
    <w:rsid w:val="004A3915"/>
    <w:rsid w:val="004A3921"/>
    <w:rsid w:val="004A3CB8"/>
    <w:rsid w:val="004A3E5F"/>
    <w:rsid w:val="004A3EC5"/>
    <w:rsid w:val="004A3FC1"/>
    <w:rsid w:val="004A3FEF"/>
    <w:rsid w:val="004A410C"/>
    <w:rsid w:val="004A41A7"/>
    <w:rsid w:val="004A4273"/>
    <w:rsid w:val="004A4B24"/>
    <w:rsid w:val="004A4F19"/>
    <w:rsid w:val="004A5048"/>
    <w:rsid w:val="004A51AF"/>
    <w:rsid w:val="004A5221"/>
    <w:rsid w:val="004A5362"/>
    <w:rsid w:val="004A54C0"/>
    <w:rsid w:val="004A5831"/>
    <w:rsid w:val="004A5B17"/>
    <w:rsid w:val="004A5BFF"/>
    <w:rsid w:val="004A5D96"/>
    <w:rsid w:val="004A5D97"/>
    <w:rsid w:val="004A6005"/>
    <w:rsid w:val="004A60EB"/>
    <w:rsid w:val="004A624C"/>
    <w:rsid w:val="004A628C"/>
    <w:rsid w:val="004A6392"/>
    <w:rsid w:val="004A6B28"/>
    <w:rsid w:val="004A6C83"/>
    <w:rsid w:val="004A6E2E"/>
    <w:rsid w:val="004A6E7E"/>
    <w:rsid w:val="004A6EB8"/>
    <w:rsid w:val="004A6F0C"/>
    <w:rsid w:val="004A7148"/>
    <w:rsid w:val="004A7265"/>
    <w:rsid w:val="004A742A"/>
    <w:rsid w:val="004A7470"/>
    <w:rsid w:val="004A7472"/>
    <w:rsid w:val="004A749A"/>
    <w:rsid w:val="004A7515"/>
    <w:rsid w:val="004A763C"/>
    <w:rsid w:val="004A791D"/>
    <w:rsid w:val="004A79B1"/>
    <w:rsid w:val="004A79C8"/>
    <w:rsid w:val="004A7A79"/>
    <w:rsid w:val="004A7C15"/>
    <w:rsid w:val="004A7C45"/>
    <w:rsid w:val="004A7CFE"/>
    <w:rsid w:val="004A7DB4"/>
    <w:rsid w:val="004B018C"/>
    <w:rsid w:val="004B019A"/>
    <w:rsid w:val="004B0472"/>
    <w:rsid w:val="004B05BF"/>
    <w:rsid w:val="004B074D"/>
    <w:rsid w:val="004B086C"/>
    <w:rsid w:val="004B09EF"/>
    <w:rsid w:val="004B0AF2"/>
    <w:rsid w:val="004B0E0B"/>
    <w:rsid w:val="004B0F62"/>
    <w:rsid w:val="004B149B"/>
    <w:rsid w:val="004B16AD"/>
    <w:rsid w:val="004B16F6"/>
    <w:rsid w:val="004B172F"/>
    <w:rsid w:val="004B1AFF"/>
    <w:rsid w:val="004B1CB1"/>
    <w:rsid w:val="004B204B"/>
    <w:rsid w:val="004B205E"/>
    <w:rsid w:val="004B21D6"/>
    <w:rsid w:val="004B26D5"/>
    <w:rsid w:val="004B2946"/>
    <w:rsid w:val="004B2C55"/>
    <w:rsid w:val="004B2CC2"/>
    <w:rsid w:val="004B2F76"/>
    <w:rsid w:val="004B2FC1"/>
    <w:rsid w:val="004B3116"/>
    <w:rsid w:val="004B34A5"/>
    <w:rsid w:val="004B3635"/>
    <w:rsid w:val="004B3752"/>
    <w:rsid w:val="004B37C1"/>
    <w:rsid w:val="004B38B6"/>
    <w:rsid w:val="004B3AF1"/>
    <w:rsid w:val="004B3C19"/>
    <w:rsid w:val="004B3F05"/>
    <w:rsid w:val="004B4057"/>
    <w:rsid w:val="004B4127"/>
    <w:rsid w:val="004B413A"/>
    <w:rsid w:val="004B433E"/>
    <w:rsid w:val="004B43BD"/>
    <w:rsid w:val="004B4433"/>
    <w:rsid w:val="004B4507"/>
    <w:rsid w:val="004B4982"/>
    <w:rsid w:val="004B4BF5"/>
    <w:rsid w:val="004B4EA4"/>
    <w:rsid w:val="004B4F42"/>
    <w:rsid w:val="004B51BA"/>
    <w:rsid w:val="004B526E"/>
    <w:rsid w:val="004B564A"/>
    <w:rsid w:val="004B5721"/>
    <w:rsid w:val="004B57FD"/>
    <w:rsid w:val="004B5AE6"/>
    <w:rsid w:val="004B5B5B"/>
    <w:rsid w:val="004B5C10"/>
    <w:rsid w:val="004B5C2F"/>
    <w:rsid w:val="004B5E1A"/>
    <w:rsid w:val="004B5F6E"/>
    <w:rsid w:val="004B5F83"/>
    <w:rsid w:val="004B6040"/>
    <w:rsid w:val="004B60CC"/>
    <w:rsid w:val="004B63A5"/>
    <w:rsid w:val="004B63FE"/>
    <w:rsid w:val="004B6416"/>
    <w:rsid w:val="004B64FA"/>
    <w:rsid w:val="004B653E"/>
    <w:rsid w:val="004B6559"/>
    <w:rsid w:val="004B6B2D"/>
    <w:rsid w:val="004B6F17"/>
    <w:rsid w:val="004B7233"/>
    <w:rsid w:val="004B72B2"/>
    <w:rsid w:val="004B72C1"/>
    <w:rsid w:val="004B7607"/>
    <w:rsid w:val="004B7626"/>
    <w:rsid w:val="004B7823"/>
    <w:rsid w:val="004B7AA7"/>
    <w:rsid w:val="004B7D8E"/>
    <w:rsid w:val="004B7FA6"/>
    <w:rsid w:val="004C0071"/>
    <w:rsid w:val="004C03C3"/>
    <w:rsid w:val="004C03FA"/>
    <w:rsid w:val="004C042B"/>
    <w:rsid w:val="004C04B3"/>
    <w:rsid w:val="004C04D9"/>
    <w:rsid w:val="004C0965"/>
    <w:rsid w:val="004C0A46"/>
    <w:rsid w:val="004C0C15"/>
    <w:rsid w:val="004C0D90"/>
    <w:rsid w:val="004C0E8A"/>
    <w:rsid w:val="004C1075"/>
    <w:rsid w:val="004C113F"/>
    <w:rsid w:val="004C1281"/>
    <w:rsid w:val="004C133E"/>
    <w:rsid w:val="004C1373"/>
    <w:rsid w:val="004C13A8"/>
    <w:rsid w:val="004C13D5"/>
    <w:rsid w:val="004C13D6"/>
    <w:rsid w:val="004C14F5"/>
    <w:rsid w:val="004C152C"/>
    <w:rsid w:val="004C18C4"/>
    <w:rsid w:val="004C1AA5"/>
    <w:rsid w:val="004C1B82"/>
    <w:rsid w:val="004C1D56"/>
    <w:rsid w:val="004C21B0"/>
    <w:rsid w:val="004C2311"/>
    <w:rsid w:val="004C232C"/>
    <w:rsid w:val="004C269A"/>
    <w:rsid w:val="004C2718"/>
    <w:rsid w:val="004C2733"/>
    <w:rsid w:val="004C2A9B"/>
    <w:rsid w:val="004C2B7F"/>
    <w:rsid w:val="004C2C5C"/>
    <w:rsid w:val="004C3069"/>
    <w:rsid w:val="004C3081"/>
    <w:rsid w:val="004C317B"/>
    <w:rsid w:val="004C325A"/>
    <w:rsid w:val="004C33CD"/>
    <w:rsid w:val="004C33FB"/>
    <w:rsid w:val="004C344B"/>
    <w:rsid w:val="004C34F0"/>
    <w:rsid w:val="004C3563"/>
    <w:rsid w:val="004C371A"/>
    <w:rsid w:val="004C38ED"/>
    <w:rsid w:val="004C3AC3"/>
    <w:rsid w:val="004C3CD9"/>
    <w:rsid w:val="004C4052"/>
    <w:rsid w:val="004C405B"/>
    <w:rsid w:val="004C40E9"/>
    <w:rsid w:val="004C410F"/>
    <w:rsid w:val="004C4287"/>
    <w:rsid w:val="004C4474"/>
    <w:rsid w:val="004C4538"/>
    <w:rsid w:val="004C456E"/>
    <w:rsid w:val="004C4625"/>
    <w:rsid w:val="004C4742"/>
    <w:rsid w:val="004C47C5"/>
    <w:rsid w:val="004C4994"/>
    <w:rsid w:val="004C4A59"/>
    <w:rsid w:val="004C4A63"/>
    <w:rsid w:val="004C4CD9"/>
    <w:rsid w:val="004C4DC9"/>
    <w:rsid w:val="004C4F4C"/>
    <w:rsid w:val="004C4F9F"/>
    <w:rsid w:val="004C517C"/>
    <w:rsid w:val="004C532F"/>
    <w:rsid w:val="004C53B1"/>
    <w:rsid w:val="004C5633"/>
    <w:rsid w:val="004C56AC"/>
    <w:rsid w:val="004C5743"/>
    <w:rsid w:val="004C57DA"/>
    <w:rsid w:val="004C583D"/>
    <w:rsid w:val="004C589F"/>
    <w:rsid w:val="004C5A49"/>
    <w:rsid w:val="004C5AA5"/>
    <w:rsid w:val="004C5B23"/>
    <w:rsid w:val="004C5BED"/>
    <w:rsid w:val="004C5ED8"/>
    <w:rsid w:val="004C5FD9"/>
    <w:rsid w:val="004C60E1"/>
    <w:rsid w:val="004C6110"/>
    <w:rsid w:val="004C6347"/>
    <w:rsid w:val="004C63E4"/>
    <w:rsid w:val="004C669B"/>
    <w:rsid w:val="004C6729"/>
    <w:rsid w:val="004C6B69"/>
    <w:rsid w:val="004C6E34"/>
    <w:rsid w:val="004C6FA6"/>
    <w:rsid w:val="004C70E0"/>
    <w:rsid w:val="004C70FB"/>
    <w:rsid w:val="004C7144"/>
    <w:rsid w:val="004C7252"/>
    <w:rsid w:val="004C737B"/>
    <w:rsid w:val="004C743A"/>
    <w:rsid w:val="004C7884"/>
    <w:rsid w:val="004C7B23"/>
    <w:rsid w:val="004C7BAD"/>
    <w:rsid w:val="004C7BC3"/>
    <w:rsid w:val="004C7C4C"/>
    <w:rsid w:val="004C7EB4"/>
    <w:rsid w:val="004C7EE7"/>
    <w:rsid w:val="004C7F5B"/>
    <w:rsid w:val="004CF965"/>
    <w:rsid w:val="004D03FA"/>
    <w:rsid w:val="004D065D"/>
    <w:rsid w:val="004D076D"/>
    <w:rsid w:val="004D0864"/>
    <w:rsid w:val="004D0DBC"/>
    <w:rsid w:val="004D1017"/>
    <w:rsid w:val="004D1466"/>
    <w:rsid w:val="004D1655"/>
    <w:rsid w:val="004D1737"/>
    <w:rsid w:val="004D1910"/>
    <w:rsid w:val="004D1B7D"/>
    <w:rsid w:val="004D1D90"/>
    <w:rsid w:val="004D1E35"/>
    <w:rsid w:val="004D1FE4"/>
    <w:rsid w:val="004D20A3"/>
    <w:rsid w:val="004D217C"/>
    <w:rsid w:val="004D23A1"/>
    <w:rsid w:val="004D23B2"/>
    <w:rsid w:val="004D283A"/>
    <w:rsid w:val="004D2A5A"/>
    <w:rsid w:val="004D2B53"/>
    <w:rsid w:val="004D2C61"/>
    <w:rsid w:val="004D2D05"/>
    <w:rsid w:val="004D2DD1"/>
    <w:rsid w:val="004D2E0A"/>
    <w:rsid w:val="004D2E20"/>
    <w:rsid w:val="004D2FB2"/>
    <w:rsid w:val="004D30AC"/>
    <w:rsid w:val="004D3146"/>
    <w:rsid w:val="004D321F"/>
    <w:rsid w:val="004D3275"/>
    <w:rsid w:val="004D3741"/>
    <w:rsid w:val="004D388E"/>
    <w:rsid w:val="004D3AAF"/>
    <w:rsid w:val="004D3BB9"/>
    <w:rsid w:val="004D3CC4"/>
    <w:rsid w:val="004D3E3E"/>
    <w:rsid w:val="004D40AA"/>
    <w:rsid w:val="004D437A"/>
    <w:rsid w:val="004D4786"/>
    <w:rsid w:val="004D4804"/>
    <w:rsid w:val="004D48D2"/>
    <w:rsid w:val="004D49BD"/>
    <w:rsid w:val="004D4FB7"/>
    <w:rsid w:val="004D508C"/>
    <w:rsid w:val="004D578D"/>
    <w:rsid w:val="004D57AB"/>
    <w:rsid w:val="004D5825"/>
    <w:rsid w:val="004D586E"/>
    <w:rsid w:val="004D5C68"/>
    <w:rsid w:val="004D5D94"/>
    <w:rsid w:val="004D5DD4"/>
    <w:rsid w:val="004D5E36"/>
    <w:rsid w:val="004D5E54"/>
    <w:rsid w:val="004D5E5F"/>
    <w:rsid w:val="004D607A"/>
    <w:rsid w:val="004D617D"/>
    <w:rsid w:val="004D61B0"/>
    <w:rsid w:val="004D6314"/>
    <w:rsid w:val="004D652B"/>
    <w:rsid w:val="004D65B6"/>
    <w:rsid w:val="004D66AC"/>
    <w:rsid w:val="004D69EB"/>
    <w:rsid w:val="004D6C0E"/>
    <w:rsid w:val="004D6D7C"/>
    <w:rsid w:val="004D6F25"/>
    <w:rsid w:val="004D6F3D"/>
    <w:rsid w:val="004D6FD5"/>
    <w:rsid w:val="004D70AB"/>
    <w:rsid w:val="004D70BE"/>
    <w:rsid w:val="004D7340"/>
    <w:rsid w:val="004D73AD"/>
    <w:rsid w:val="004D74A8"/>
    <w:rsid w:val="004D74C2"/>
    <w:rsid w:val="004D76A5"/>
    <w:rsid w:val="004D7AED"/>
    <w:rsid w:val="004D7D54"/>
    <w:rsid w:val="004D7DA5"/>
    <w:rsid w:val="004D7F9D"/>
    <w:rsid w:val="004D7FBB"/>
    <w:rsid w:val="004E0099"/>
    <w:rsid w:val="004E014F"/>
    <w:rsid w:val="004E0176"/>
    <w:rsid w:val="004E0341"/>
    <w:rsid w:val="004E0400"/>
    <w:rsid w:val="004E05F4"/>
    <w:rsid w:val="004E06BC"/>
    <w:rsid w:val="004E08C4"/>
    <w:rsid w:val="004E0AE7"/>
    <w:rsid w:val="004E0B7F"/>
    <w:rsid w:val="004E0C5A"/>
    <w:rsid w:val="004E0F35"/>
    <w:rsid w:val="004E0FB6"/>
    <w:rsid w:val="004E11BE"/>
    <w:rsid w:val="004E146F"/>
    <w:rsid w:val="004E1810"/>
    <w:rsid w:val="004E197F"/>
    <w:rsid w:val="004E1C37"/>
    <w:rsid w:val="004E1F97"/>
    <w:rsid w:val="004E2149"/>
    <w:rsid w:val="004E2240"/>
    <w:rsid w:val="004E2500"/>
    <w:rsid w:val="004E2583"/>
    <w:rsid w:val="004E25B0"/>
    <w:rsid w:val="004E25F5"/>
    <w:rsid w:val="004E263E"/>
    <w:rsid w:val="004E2AF3"/>
    <w:rsid w:val="004E2C65"/>
    <w:rsid w:val="004E2C6D"/>
    <w:rsid w:val="004E2CA2"/>
    <w:rsid w:val="004E2E8E"/>
    <w:rsid w:val="004E2E9E"/>
    <w:rsid w:val="004E2FC9"/>
    <w:rsid w:val="004E3013"/>
    <w:rsid w:val="004E302B"/>
    <w:rsid w:val="004E314C"/>
    <w:rsid w:val="004E3549"/>
    <w:rsid w:val="004E3673"/>
    <w:rsid w:val="004E3844"/>
    <w:rsid w:val="004E3C0D"/>
    <w:rsid w:val="004E3CD1"/>
    <w:rsid w:val="004E3D09"/>
    <w:rsid w:val="004E3D6F"/>
    <w:rsid w:val="004E3F40"/>
    <w:rsid w:val="004E42AB"/>
    <w:rsid w:val="004E4305"/>
    <w:rsid w:val="004E463A"/>
    <w:rsid w:val="004E46BC"/>
    <w:rsid w:val="004E46C0"/>
    <w:rsid w:val="004E4723"/>
    <w:rsid w:val="004E489A"/>
    <w:rsid w:val="004E498D"/>
    <w:rsid w:val="004E4A5C"/>
    <w:rsid w:val="004E4CB5"/>
    <w:rsid w:val="004E515C"/>
    <w:rsid w:val="004E51ED"/>
    <w:rsid w:val="004E5368"/>
    <w:rsid w:val="004E53CC"/>
    <w:rsid w:val="004E5495"/>
    <w:rsid w:val="004E55D2"/>
    <w:rsid w:val="004E59C9"/>
    <w:rsid w:val="004E5F15"/>
    <w:rsid w:val="004E5F44"/>
    <w:rsid w:val="004E6147"/>
    <w:rsid w:val="004E61DE"/>
    <w:rsid w:val="004E6408"/>
    <w:rsid w:val="004E64C9"/>
    <w:rsid w:val="004E6DC2"/>
    <w:rsid w:val="004E7148"/>
    <w:rsid w:val="004E7270"/>
    <w:rsid w:val="004E72E9"/>
    <w:rsid w:val="004E7355"/>
    <w:rsid w:val="004E738A"/>
    <w:rsid w:val="004E73AF"/>
    <w:rsid w:val="004E753B"/>
    <w:rsid w:val="004E76C1"/>
    <w:rsid w:val="004E7726"/>
    <w:rsid w:val="004E7ADD"/>
    <w:rsid w:val="004E7BA7"/>
    <w:rsid w:val="004E7C40"/>
    <w:rsid w:val="004E7C83"/>
    <w:rsid w:val="004E7EEC"/>
    <w:rsid w:val="004E7F24"/>
    <w:rsid w:val="004E7F36"/>
    <w:rsid w:val="004F01F0"/>
    <w:rsid w:val="004F030F"/>
    <w:rsid w:val="004F036C"/>
    <w:rsid w:val="004F0403"/>
    <w:rsid w:val="004F04EC"/>
    <w:rsid w:val="004F079C"/>
    <w:rsid w:val="004F0B0A"/>
    <w:rsid w:val="004F0FA1"/>
    <w:rsid w:val="004F1291"/>
    <w:rsid w:val="004F1474"/>
    <w:rsid w:val="004F14AC"/>
    <w:rsid w:val="004F14CF"/>
    <w:rsid w:val="004F1502"/>
    <w:rsid w:val="004F1503"/>
    <w:rsid w:val="004F1645"/>
    <w:rsid w:val="004F16AB"/>
    <w:rsid w:val="004F1797"/>
    <w:rsid w:val="004F17E7"/>
    <w:rsid w:val="004F192E"/>
    <w:rsid w:val="004F1945"/>
    <w:rsid w:val="004F2104"/>
    <w:rsid w:val="004F2262"/>
    <w:rsid w:val="004F2397"/>
    <w:rsid w:val="004F23B0"/>
    <w:rsid w:val="004F2440"/>
    <w:rsid w:val="004F265B"/>
    <w:rsid w:val="004F2990"/>
    <w:rsid w:val="004F2A46"/>
    <w:rsid w:val="004F2A8B"/>
    <w:rsid w:val="004F2B50"/>
    <w:rsid w:val="004F3136"/>
    <w:rsid w:val="004F32EA"/>
    <w:rsid w:val="004F3750"/>
    <w:rsid w:val="004F3799"/>
    <w:rsid w:val="004F383E"/>
    <w:rsid w:val="004F388F"/>
    <w:rsid w:val="004F3921"/>
    <w:rsid w:val="004F3985"/>
    <w:rsid w:val="004F398F"/>
    <w:rsid w:val="004F3993"/>
    <w:rsid w:val="004F3D64"/>
    <w:rsid w:val="004F3DB4"/>
    <w:rsid w:val="004F3FE4"/>
    <w:rsid w:val="004F41C3"/>
    <w:rsid w:val="004F45D7"/>
    <w:rsid w:val="004F4789"/>
    <w:rsid w:val="004F4839"/>
    <w:rsid w:val="004F4978"/>
    <w:rsid w:val="004F4A40"/>
    <w:rsid w:val="004F4B6B"/>
    <w:rsid w:val="004F4B90"/>
    <w:rsid w:val="004F511F"/>
    <w:rsid w:val="004F5129"/>
    <w:rsid w:val="004F5170"/>
    <w:rsid w:val="004F51B1"/>
    <w:rsid w:val="004F549B"/>
    <w:rsid w:val="004F54BF"/>
    <w:rsid w:val="004F565E"/>
    <w:rsid w:val="004F574E"/>
    <w:rsid w:val="004F591E"/>
    <w:rsid w:val="004F5BBD"/>
    <w:rsid w:val="004F5BBF"/>
    <w:rsid w:val="004F5CB6"/>
    <w:rsid w:val="004F5E7E"/>
    <w:rsid w:val="004F5EBB"/>
    <w:rsid w:val="004F5F31"/>
    <w:rsid w:val="004F617F"/>
    <w:rsid w:val="004F6182"/>
    <w:rsid w:val="004F66CB"/>
    <w:rsid w:val="004F685C"/>
    <w:rsid w:val="004F6867"/>
    <w:rsid w:val="004F68B7"/>
    <w:rsid w:val="004F699E"/>
    <w:rsid w:val="004F6CF9"/>
    <w:rsid w:val="004F6F49"/>
    <w:rsid w:val="004F708E"/>
    <w:rsid w:val="004F7165"/>
    <w:rsid w:val="004F7204"/>
    <w:rsid w:val="004F7482"/>
    <w:rsid w:val="004F76AF"/>
    <w:rsid w:val="004F76FC"/>
    <w:rsid w:val="004F77F3"/>
    <w:rsid w:val="004F7BFE"/>
    <w:rsid w:val="004F7CFF"/>
    <w:rsid w:val="004F7D3A"/>
    <w:rsid w:val="004F7FF1"/>
    <w:rsid w:val="00500022"/>
    <w:rsid w:val="00500034"/>
    <w:rsid w:val="0050030D"/>
    <w:rsid w:val="005005CA"/>
    <w:rsid w:val="00500946"/>
    <w:rsid w:val="005009A4"/>
    <w:rsid w:val="00500B87"/>
    <w:rsid w:val="00500C27"/>
    <w:rsid w:val="00500C57"/>
    <w:rsid w:val="00500D4E"/>
    <w:rsid w:val="00501304"/>
    <w:rsid w:val="005013E1"/>
    <w:rsid w:val="005014DD"/>
    <w:rsid w:val="00501615"/>
    <w:rsid w:val="00501616"/>
    <w:rsid w:val="0050167E"/>
    <w:rsid w:val="00501924"/>
    <w:rsid w:val="00501A29"/>
    <w:rsid w:val="00501ACD"/>
    <w:rsid w:val="00501B24"/>
    <w:rsid w:val="00501C4A"/>
    <w:rsid w:val="00501D97"/>
    <w:rsid w:val="00501E88"/>
    <w:rsid w:val="00501EAE"/>
    <w:rsid w:val="00502023"/>
    <w:rsid w:val="005021FF"/>
    <w:rsid w:val="00502354"/>
    <w:rsid w:val="005026F1"/>
    <w:rsid w:val="0050279B"/>
    <w:rsid w:val="00502A36"/>
    <w:rsid w:val="00502C98"/>
    <w:rsid w:val="00502F5B"/>
    <w:rsid w:val="00502F69"/>
    <w:rsid w:val="0050318B"/>
    <w:rsid w:val="00503334"/>
    <w:rsid w:val="00503ADF"/>
    <w:rsid w:val="00503F01"/>
    <w:rsid w:val="0050402B"/>
    <w:rsid w:val="00504048"/>
    <w:rsid w:val="0050428D"/>
    <w:rsid w:val="0050469B"/>
    <w:rsid w:val="0050488F"/>
    <w:rsid w:val="00504A4A"/>
    <w:rsid w:val="00504A8F"/>
    <w:rsid w:val="00504C50"/>
    <w:rsid w:val="00504C90"/>
    <w:rsid w:val="00504D44"/>
    <w:rsid w:val="00504D52"/>
    <w:rsid w:val="00504DEB"/>
    <w:rsid w:val="005050AC"/>
    <w:rsid w:val="005050E9"/>
    <w:rsid w:val="005051B0"/>
    <w:rsid w:val="0050522D"/>
    <w:rsid w:val="005053ED"/>
    <w:rsid w:val="00505450"/>
    <w:rsid w:val="0050555D"/>
    <w:rsid w:val="00505685"/>
    <w:rsid w:val="0050568F"/>
    <w:rsid w:val="00505896"/>
    <w:rsid w:val="0050598B"/>
    <w:rsid w:val="00505A8A"/>
    <w:rsid w:val="00505CBD"/>
    <w:rsid w:val="00505D6B"/>
    <w:rsid w:val="00505D73"/>
    <w:rsid w:val="00505E56"/>
    <w:rsid w:val="00505E6F"/>
    <w:rsid w:val="00505FA1"/>
    <w:rsid w:val="00505FAC"/>
    <w:rsid w:val="00505FEC"/>
    <w:rsid w:val="00506122"/>
    <w:rsid w:val="005061F6"/>
    <w:rsid w:val="005062D2"/>
    <w:rsid w:val="00506460"/>
    <w:rsid w:val="005066CE"/>
    <w:rsid w:val="00506934"/>
    <w:rsid w:val="00506A31"/>
    <w:rsid w:val="00506B3E"/>
    <w:rsid w:val="00506BE6"/>
    <w:rsid w:val="00506C3D"/>
    <w:rsid w:val="00506E0D"/>
    <w:rsid w:val="00506FA2"/>
    <w:rsid w:val="00506FCE"/>
    <w:rsid w:val="00507046"/>
    <w:rsid w:val="0050704C"/>
    <w:rsid w:val="005074AC"/>
    <w:rsid w:val="00507BD8"/>
    <w:rsid w:val="00507C04"/>
    <w:rsid w:val="00507D01"/>
    <w:rsid w:val="00507E5F"/>
    <w:rsid w:val="00507F57"/>
    <w:rsid w:val="00510067"/>
    <w:rsid w:val="00510211"/>
    <w:rsid w:val="00510335"/>
    <w:rsid w:val="00510399"/>
    <w:rsid w:val="005106DB"/>
    <w:rsid w:val="0051076A"/>
    <w:rsid w:val="0051099F"/>
    <w:rsid w:val="00510A67"/>
    <w:rsid w:val="00510A8F"/>
    <w:rsid w:val="00510CE5"/>
    <w:rsid w:val="00510F5C"/>
    <w:rsid w:val="00510F76"/>
    <w:rsid w:val="00510FAD"/>
    <w:rsid w:val="005110DB"/>
    <w:rsid w:val="00511100"/>
    <w:rsid w:val="0051120D"/>
    <w:rsid w:val="00511425"/>
    <w:rsid w:val="005115C1"/>
    <w:rsid w:val="00511735"/>
    <w:rsid w:val="00511881"/>
    <w:rsid w:val="00511908"/>
    <w:rsid w:val="00511C7E"/>
    <w:rsid w:val="005121D4"/>
    <w:rsid w:val="00512311"/>
    <w:rsid w:val="00512357"/>
    <w:rsid w:val="005123AF"/>
    <w:rsid w:val="0051248D"/>
    <w:rsid w:val="005124A3"/>
    <w:rsid w:val="00512614"/>
    <w:rsid w:val="00512981"/>
    <w:rsid w:val="00512A90"/>
    <w:rsid w:val="00512CCA"/>
    <w:rsid w:val="00512D4F"/>
    <w:rsid w:val="00512D9A"/>
    <w:rsid w:val="00512E68"/>
    <w:rsid w:val="00512EB2"/>
    <w:rsid w:val="00513080"/>
    <w:rsid w:val="0051326F"/>
    <w:rsid w:val="00513278"/>
    <w:rsid w:val="0051331B"/>
    <w:rsid w:val="0051341A"/>
    <w:rsid w:val="00513508"/>
    <w:rsid w:val="00513535"/>
    <w:rsid w:val="00513687"/>
    <w:rsid w:val="005136D1"/>
    <w:rsid w:val="00513882"/>
    <w:rsid w:val="00513C16"/>
    <w:rsid w:val="00513C54"/>
    <w:rsid w:val="00513CAA"/>
    <w:rsid w:val="00513FD6"/>
    <w:rsid w:val="00513FFA"/>
    <w:rsid w:val="00514734"/>
    <w:rsid w:val="00514894"/>
    <w:rsid w:val="005148E6"/>
    <w:rsid w:val="00514A9F"/>
    <w:rsid w:val="00514AAA"/>
    <w:rsid w:val="00514E00"/>
    <w:rsid w:val="00514ED3"/>
    <w:rsid w:val="00514EFB"/>
    <w:rsid w:val="00514F82"/>
    <w:rsid w:val="00514F8C"/>
    <w:rsid w:val="0051500E"/>
    <w:rsid w:val="0051506C"/>
    <w:rsid w:val="005150A6"/>
    <w:rsid w:val="0051521F"/>
    <w:rsid w:val="00515242"/>
    <w:rsid w:val="0051560B"/>
    <w:rsid w:val="00515910"/>
    <w:rsid w:val="00515945"/>
    <w:rsid w:val="00515AF9"/>
    <w:rsid w:val="00515B46"/>
    <w:rsid w:val="00515B68"/>
    <w:rsid w:val="00515BAA"/>
    <w:rsid w:val="00515C6B"/>
    <w:rsid w:val="00515E84"/>
    <w:rsid w:val="00515EEF"/>
    <w:rsid w:val="00515FDD"/>
    <w:rsid w:val="00516044"/>
    <w:rsid w:val="005163C2"/>
    <w:rsid w:val="0051647F"/>
    <w:rsid w:val="0051650B"/>
    <w:rsid w:val="0051652C"/>
    <w:rsid w:val="0051667B"/>
    <w:rsid w:val="005166D3"/>
    <w:rsid w:val="00516732"/>
    <w:rsid w:val="005167F5"/>
    <w:rsid w:val="0051690A"/>
    <w:rsid w:val="0051697E"/>
    <w:rsid w:val="005169EE"/>
    <w:rsid w:val="00516B81"/>
    <w:rsid w:val="00516CAB"/>
    <w:rsid w:val="005170BE"/>
    <w:rsid w:val="00517454"/>
    <w:rsid w:val="0051752F"/>
    <w:rsid w:val="005175DA"/>
    <w:rsid w:val="00517740"/>
    <w:rsid w:val="00517770"/>
    <w:rsid w:val="005177FB"/>
    <w:rsid w:val="00517803"/>
    <w:rsid w:val="00517842"/>
    <w:rsid w:val="00517A87"/>
    <w:rsid w:val="00517C5B"/>
    <w:rsid w:val="00517CFC"/>
    <w:rsid w:val="00517DE5"/>
    <w:rsid w:val="00517FD6"/>
    <w:rsid w:val="0052010B"/>
    <w:rsid w:val="0052013D"/>
    <w:rsid w:val="00520240"/>
    <w:rsid w:val="0052069E"/>
    <w:rsid w:val="005206AF"/>
    <w:rsid w:val="005209A1"/>
    <w:rsid w:val="00520BE9"/>
    <w:rsid w:val="005210B3"/>
    <w:rsid w:val="00521139"/>
    <w:rsid w:val="00521293"/>
    <w:rsid w:val="005213D5"/>
    <w:rsid w:val="00521584"/>
    <w:rsid w:val="005216E6"/>
    <w:rsid w:val="005217D4"/>
    <w:rsid w:val="00521C93"/>
    <w:rsid w:val="00521E0A"/>
    <w:rsid w:val="00521E3C"/>
    <w:rsid w:val="00521FDF"/>
    <w:rsid w:val="0052218C"/>
    <w:rsid w:val="005223B8"/>
    <w:rsid w:val="005224DC"/>
    <w:rsid w:val="00522572"/>
    <w:rsid w:val="0052262A"/>
    <w:rsid w:val="0052290D"/>
    <w:rsid w:val="0052295D"/>
    <w:rsid w:val="00522983"/>
    <w:rsid w:val="00522C52"/>
    <w:rsid w:val="00522C56"/>
    <w:rsid w:val="00522F2E"/>
    <w:rsid w:val="00522F65"/>
    <w:rsid w:val="00523035"/>
    <w:rsid w:val="005230CE"/>
    <w:rsid w:val="005232E0"/>
    <w:rsid w:val="005235B1"/>
    <w:rsid w:val="005236F7"/>
    <w:rsid w:val="005237F3"/>
    <w:rsid w:val="00523930"/>
    <w:rsid w:val="00523987"/>
    <w:rsid w:val="005239F5"/>
    <w:rsid w:val="00523A4E"/>
    <w:rsid w:val="00523B84"/>
    <w:rsid w:val="00523D91"/>
    <w:rsid w:val="00523E9B"/>
    <w:rsid w:val="00524027"/>
    <w:rsid w:val="0052425B"/>
    <w:rsid w:val="005243AF"/>
    <w:rsid w:val="005243E7"/>
    <w:rsid w:val="00524569"/>
    <w:rsid w:val="00524613"/>
    <w:rsid w:val="00524634"/>
    <w:rsid w:val="005246C5"/>
    <w:rsid w:val="005247ED"/>
    <w:rsid w:val="00524C23"/>
    <w:rsid w:val="00524F13"/>
    <w:rsid w:val="00524F3C"/>
    <w:rsid w:val="00524F3F"/>
    <w:rsid w:val="00525211"/>
    <w:rsid w:val="00525313"/>
    <w:rsid w:val="005255BD"/>
    <w:rsid w:val="005255C7"/>
    <w:rsid w:val="00525726"/>
    <w:rsid w:val="005258BD"/>
    <w:rsid w:val="0052596F"/>
    <w:rsid w:val="00525ABC"/>
    <w:rsid w:val="00525B32"/>
    <w:rsid w:val="00525B45"/>
    <w:rsid w:val="00525EFC"/>
    <w:rsid w:val="00525F62"/>
    <w:rsid w:val="00525FC1"/>
    <w:rsid w:val="00526045"/>
    <w:rsid w:val="005261C2"/>
    <w:rsid w:val="005261EE"/>
    <w:rsid w:val="005262C9"/>
    <w:rsid w:val="00526316"/>
    <w:rsid w:val="005263F1"/>
    <w:rsid w:val="00526402"/>
    <w:rsid w:val="0052644D"/>
    <w:rsid w:val="005264C1"/>
    <w:rsid w:val="00526549"/>
    <w:rsid w:val="005266E3"/>
    <w:rsid w:val="0052686F"/>
    <w:rsid w:val="005269B6"/>
    <w:rsid w:val="005269C9"/>
    <w:rsid w:val="00526A47"/>
    <w:rsid w:val="00526A7B"/>
    <w:rsid w:val="00526AA4"/>
    <w:rsid w:val="00526DCD"/>
    <w:rsid w:val="00526EA5"/>
    <w:rsid w:val="00526FE1"/>
    <w:rsid w:val="00527078"/>
    <w:rsid w:val="00527314"/>
    <w:rsid w:val="0052733C"/>
    <w:rsid w:val="00527812"/>
    <w:rsid w:val="00527A2F"/>
    <w:rsid w:val="00527ABD"/>
    <w:rsid w:val="00527AD7"/>
    <w:rsid w:val="00527C8B"/>
    <w:rsid w:val="00527D5E"/>
    <w:rsid w:val="0053001E"/>
    <w:rsid w:val="00530179"/>
    <w:rsid w:val="00530216"/>
    <w:rsid w:val="00530404"/>
    <w:rsid w:val="005304DD"/>
    <w:rsid w:val="0053052B"/>
    <w:rsid w:val="005307EC"/>
    <w:rsid w:val="0053082E"/>
    <w:rsid w:val="005308B9"/>
    <w:rsid w:val="005308E8"/>
    <w:rsid w:val="005309E1"/>
    <w:rsid w:val="00530D8D"/>
    <w:rsid w:val="00530F6B"/>
    <w:rsid w:val="005314BA"/>
    <w:rsid w:val="005315CF"/>
    <w:rsid w:val="0053166D"/>
    <w:rsid w:val="005316CB"/>
    <w:rsid w:val="005317A0"/>
    <w:rsid w:val="00531852"/>
    <w:rsid w:val="00531A8B"/>
    <w:rsid w:val="00531BBC"/>
    <w:rsid w:val="00531C3C"/>
    <w:rsid w:val="00531DA3"/>
    <w:rsid w:val="00531ECF"/>
    <w:rsid w:val="00531FA8"/>
    <w:rsid w:val="00531FB1"/>
    <w:rsid w:val="00531FEB"/>
    <w:rsid w:val="0053240D"/>
    <w:rsid w:val="005324C3"/>
    <w:rsid w:val="00532615"/>
    <w:rsid w:val="00532627"/>
    <w:rsid w:val="0053266C"/>
    <w:rsid w:val="0053295B"/>
    <w:rsid w:val="00532AA7"/>
    <w:rsid w:val="00532B50"/>
    <w:rsid w:val="00532CA5"/>
    <w:rsid w:val="00532D3B"/>
    <w:rsid w:val="00532E7A"/>
    <w:rsid w:val="00532F05"/>
    <w:rsid w:val="0053304C"/>
    <w:rsid w:val="00533719"/>
    <w:rsid w:val="005337AE"/>
    <w:rsid w:val="005337FC"/>
    <w:rsid w:val="00533BD3"/>
    <w:rsid w:val="0053408B"/>
    <w:rsid w:val="00534664"/>
    <w:rsid w:val="00534774"/>
    <w:rsid w:val="00534A07"/>
    <w:rsid w:val="00534B39"/>
    <w:rsid w:val="00534B83"/>
    <w:rsid w:val="00534DCB"/>
    <w:rsid w:val="00534EA6"/>
    <w:rsid w:val="00534F54"/>
    <w:rsid w:val="0053518E"/>
    <w:rsid w:val="00535255"/>
    <w:rsid w:val="005352A2"/>
    <w:rsid w:val="00535332"/>
    <w:rsid w:val="005357BF"/>
    <w:rsid w:val="005359D4"/>
    <w:rsid w:val="00535AF4"/>
    <w:rsid w:val="00535C21"/>
    <w:rsid w:val="00535E9B"/>
    <w:rsid w:val="00536020"/>
    <w:rsid w:val="005360F7"/>
    <w:rsid w:val="005365F3"/>
    <w:rsid w:val="0053693A"/>
    <w:rsid w:val="00536A51"/>
    <w:rsid w:val="00536C56"/>
    <w:rsid w:val="00536D11"/>
    <w:rsid w:val="00536D15"/>
    <w:rsid w:val="00536DD4"/>
    <w:rsid w:val="00536DE4"/>
    <w:rsid w:val="00536F56"/>
    <w:rsid w:val="0053705C"/>
    <w:rsid w:val="00537515"/>
    <w:rsid w:val="00537554"/>
    <w:rsid w:val="005377BF"/>
    <w:rsid w:val="005378F4"/>
    <w:rsid w:val="005378FF"/>
    <w:rsid w:val="00537ABC"/>
    <w:rsid w:val="00537B2B"/>
    <w:rsid w:val="00537B5F"/>
    <w:rsid w:val="00537E37"/>
    <w:rsid w:val="00537E3C"/>
    <w:rsid w:val="00537EA6"/>
    <w:rsid w:val="00540014"/>
    <w:rsid w:val="005400C7"/>
    <w:rsid w:val="00540128"/>
    <w:rsid w:val="005401F2"/>
    <w:rsid w:val="005402FC"/>
    <w:rsid w:val="005409B7"/>
    <w:rsid w:val="00540A4B"/>
    <w:rsid w:val="00540B5F"/>
    <w:rsid w:val="00540C9C"/>
    <w:rsid w:val="00540D3F"/>
    <w:rsid w:val="00540DF5"/>
    <w:rsid w:val="00540EAB"/>
    <w:rsid w:val="005410A6"/>
    <w:rsid w:val="005410E9"/>
    <w:rsid w:val="005411D2"/>
    <w:rsid w:val="00541335"/>
    <w:rsid w:val="00541346"/>
    <w:rsid w:val="005417D8"/>
    <w:rsid w:val="00541C3C"/>
    <w:rsid w:val="00542160"/>
    <w:rsid w:val="005421EB"/>
    <w:rsid w:val="00542339"/>
    <w:rsid w:val="00542435"/>
    <w:rsid w:val="00542517"/>
    <w:rsid w:val="0054285C"/>
    <w:rsid w:val="00542CB8"/>
    <w:rsid w:val="00542EB0"/>
    <w:rsid w:val="00543234"/>
    <w:rsid w:val="00543268"/>
    <w:rsid w:val="00543318"/>
    <w:rsid w:val="0054338A"/>
    <w:rsid w:val="0054353C"/>
    <w:rsid w:val="005435FD"/>
    <w:rsid w:val="005439BF"/>
    <w:rsid w:val="00543A1A"/>
    <w:rsid w:val="00543B3C"/>
    <w:rsid w:val="00543CE7"/>
    <w:rsid w:val="00544323"/>
    <w:rsid w:val="00544521"/>
    <w:rsid w:val="0054466E"/>
    <w:rsid w:val="005447F9"/>
    <w:rsid w:val="00544844"/>
    <w:rsid w:val="00544C68"/>
    <w:rsid w:val="00544D1A"/>
    <w:rsid w:val="00544DCD"/>
    <w:rsid w:val="00545034"/>
    <w:rsid w:val="005451E9"/>
    <w:rsid w:val="005453BA"/>
    <w:rsid w:val="005454F5"/>
    <w:rsid w:val="005455C1"/>
    <w:rsid w:val="005456B9"/>
    <w:rsid w:val="00545719"/>
    <w:rsid w:val="0054571F"/>
    <w:rsid w:val="00545763"/>
    <w:rsid w:val="00545933"/>
    <w:rsid w:val="00545E74"/>
    <w:rsid w:val="00546087"/>
    <w:rsid w:val="0054614D"/>
    <w:rsid w:val="00546250"/>
    <w:rsid w:val="0054681C"/>
    <w:rsid w:val="005468A6"/>
    <w:rsid w:val="005469F5"/>
    <w:rsid w:val="00546B30"/>
    <w:rsid w:val="00546D22"/>
    <w:rsid w:val="00546DE9"/>
    <w:rsid w:val="005470F4"/>
    <w:rsid w:val="0054712B"/>
    <w:rsid w:val="00547132"/>
    <w:rsid w:val="005472AC"/>
    <w:rsid w:val="0054761C"/>
    <w:rsid w:val="005476BB"/>
    <w:rsid w:val="00547765"/>
    <w:rsid w:val="005477A1"/>
    <w:rsid w:val="00547895"/>
    <w:rsid w:val="005478D4"/>
    <w:rsid w:val="00547974"/>
    <w:rsid w:val="0054799E"/>
    <w:rsid w:val="00547AF8"/>
    <w:rsid w:val="00547BB9"/>
    <w:rsid w:val="00547DAC"/>
    <w:rsid w:val="00547E46"/>
    <w:rsid w:val="00547EC0"/>
    <w:rsid w:val="00547EE8"/>
    <w:rsid w:val="00547FB8"/>
    <w:rsid w:val="00547FD9"/>
    <w:rsid w:val="0055000F"/>
    <w:rsid w:val="005500C0"/>
    <w:rsid w:val="00550148"/>
    <w:rsid w:val="00550159"/>
    <w:rsid w:val="00550241"/>
    <w:rsid w:val="0055041F"/>
    <w:rsid w:val="0055055C"/>
    <w:rsid w:val="00550612"/>
    <w:rsid w:val="00550703"/>
    <w:rsid w:val="005507AA"/>
    <w:rsid w:val="00550E8C"/>
    <w:rsid w:val="0055133E"/>
    <w:rsid w:val="00551607"/>
    <w:rsid w:val="00551613"/>
    <w:rsid w:val="005516D2"/>
    <w:rsid w:val="00551787"/>
    <w:rsid w:val="0055189D"/>
    <w:rsid w:val="005518CF"/>
    <w:rsid w:val="00551A27"/>
    <w:rsid w:val="00551AF6"/>
    <w:rsid w:val="00551B1C"/>
    <w:rsid w:val="00551CD1"/>
    <w:rsid w:val="00551FA0"/>
    <w:rsid w:val="00551FF6"/>
    <w:rsid w:val="00552005"/>
    <w:rsid w:val="0055220C"/>
    <w:rsid w:val="0055225B"/>
    <w:rsid w:val="00552605"/>
    <w:rsid w:val="005526FF"/>
    <w:rsid w:val="0055270C"/>
    <w:rsid w:val="00552749"/>
    <w:rsid w:val="005528B2"/>
    <w:rsid w:val="0055291A"/>
    <w:rsid w:val="00552A0C"/>
    <w:rsid w:val="00552AE4"/>
    <w:rsid w:val="00552C14"/>
    <w:rsid w:val="00552E43"/>
    <w:rsid w:val="00552EC3"/>
    <w:rsid w:val="00552FEB"/>
    <w:rsid w:val="00553002"/>
    <w:rsid w:val="005530FE"/>
    <w:rsid w:val="0055313F"/>
    <w:rsid w:val="00553531"/>
    <w:rsid w:val="00553755"/>
    <w:rsid w:val="00553917"/>
    <w:rsid w:val="0055391E"/>
    <w:rsid w:val="005539C2"/>
    <w:rsid w:val="00553B9D"/>
    <w:rsid w:val="00553BF5"/>
    <w:rsid w:val="00553D1B"/>
    <w:rsid w:val="00553D1D"/>
    <w:rsid w:val="00553D5A"/>
    <w:rsid w:val="00553E1F"/>
    <w:rsid w:val="00554067"/>
    <w:rsid w:val="0055421F"/>
    <w:rsid w:val="0055438E"/>
    <w:rsid w:val="00554410"/>
    <w:rsid w:val="00554582"/>
    <w:rsid w:val="005547BD"/>
    <w:rsid w:val="005548F2"/>
    <w:rsid w:val="00554A7C"/>
    <w:rsid w:val="00554AF8"/>
    <w:rsid w:val="00554E81"/>
    <w:rsid w:val="00554F2F"/>
    <w:rsid w:val="00554FC9"/>
    <w:rsid w:val="00554FFF"/>
    <w:rsid w:val="00555124"/>
    <w:rsid w:val="0055518B"/>
    <w:rsid w:val="005551FD"/>
    <w:rsid w:val="005553AF"/>
    <w:rsid w:val="005553C1"/>
    <w:rsid w:val="0055546F"/>
    <w:rsid w:val="00555680"/>
    <w:rsid w:val="005557EE"/>
    <w:rsid w:val="00555BA4"/>
    <w:rsid w:val="00555C40"/>
    <w:rsid w:val="00555C42"/>
    <w:rsid w:val="00555CF9"/>
    <w:rsid w:val="00555DA6"/>
    <w:rsid w:val="005561C0"/>
    <w:rsid w:val="0055640E"/>
    <w:rsid w:val="005564A5"/>
    <w:rsid w:val="005567E2"/>
    <w:rsid w:val="00556810"/>
    <w:rsid w:val="00556880"/>
    <w:rsid w:val="0055689F"/>
    <w:rsid w:val="00556A4D"/>
    <w:rsid w:val="00556DBD"/>
    <w:rsid w:val="00556EB7"/>
    <w:rsid w:val="00556F11"/>
    <w:rsid w:val="005572BE"/>
    <w:rsid w:val="005574A0"/>
    <w:rsid w:val="005574D9"/>
    <w:rsid w:val="0055755A"/>
    <w:rsid w:val="00557685"/>
    <w:rsid w:val="0055778D"/>
    <w:rsid w:val="00557939"/>
    <w:rsid w:val="005579E7"/>
    <w:rsid w:val="00557A26"/>
    <w:rsid w:val="00557AD6"/>
    <w:rsid w:val="00557B50"/>
    <w:rsid w:val="00557E37"/>
    <w:rsid w:val="005600B7"/>
    <w:rsid w:val="005600BA"/>
    <w:rsid w:val="005606B8"/>
    <w:rsid w:val="0056086A"/>
    <w:rsid w:val="005609D4"/>
    <w:rsid w:val="00560B6A"/>
    <w:rsid w:val="00560BBE"/>
    <w:rsid w:val="00560BC3"/>
    <w:rsid w:val="00560CDA"/>
    <w:rsid w:val="00560DE7"/>
    <w:rsid w:val="00560E76"/>
    <w:rsid w:val="00560FA6"/>
    <w:rsid w:val="00561354"/>
    <w:rsid w:val="0056155B"/>
    <w:rsid w:val="0056166A"/>
    <w:rsid w:val="0056168D"/>
    <w:rsid w:val="00561753"/>
    <w:rsid w:val="005619C3"/>
    <w:rsid w:val="00561BF2"/>
    <w:rsid w:val="00561C4F"/>
    <w:rsid w:val="00561E3A"/>
    <w:rsid w:val="00561E8A"/>
    <w:rsid w:val="00561ED3"/>
    <w:rsid w:val="00561FEA"/>
    <w:rsid w:val="005625B7"/>
    <w:rsid w:val="005627B1"/>
    <w:rsid w:val="00562800"/>
    <w:rsid w:val="005628D7"/>
    <w:rsid w:val="00562903"/>
    <w:rsid w:val="00562AA9"/>
    <w:rsid w:val="00562ADD"/>
    <w:rsid w:val="00562BBF"/>
    <w:rsid w:val="00563195"/>
    <w:rsid w:val="005634BA"/>
    <w:rsid w:val="005634DD"/>
    <w:rsid w:val="005634FE"/>
    <w:rsid w:val="005635EA"/>
    <w:rsid w:val="0056370D"/>
    <w:rsid w:val="00563A0E"/>
    <w:rsid w:val="00563B95"/>
    <w:rsid w:val="005640E6"/>
    <w:rsid w:val="005641AE"/>
    <w:rsid w:val="00564228"/>
    <w:rsid w:val="00564242"/>
    <w:rsid w:val="0056429A"/>
    <w:rsid w:val="005642F0"/>
    <w:rsid w:val="0056433A"/>
    <w:rsid w:val="005643B4"/>
    <w:rsid w:val="005645F6"/>
    <w:rsid w:val="0056488B"/>
    <w:rsid w:val="00564990"/>
    <w:rsid w:val="00564DC5"/>
    <w:rsid w:val="00564F17"/>
    <w:rsid w:val="00564F21"/>
    <w:rsid w:val="00564FAC"/>
    <w:rsid w:val="00565008"/>
    <w:rsid w:val="0056519C"/>
    <w:rsid w:val="00565450"/>
    <w:rsid w:val="00565490"/>
    <w:rsid w:val="005654FD"/>
    <w:rsid w:val="00565536"/>
    <w:rsid w:val="005659E8"/>
    <w:rsid w:val="00565A5E"/>
    <w:rsid w:val="00565B03"/>
    <w:rsid w:val="00565BFE"/>
    <w:rsid w:val="00565D2D"/>
    <w:rsid w:val="00565D35"/>
    <w:rsid w:val="00565E43"/>
    <w:rsid w:val="00565EE3"/>
    <w:rsid w:val="00565FF8"/>
    <w:rsid w:val="00566037"/>
    <w:rsid w:val="005660BF"/>
    <w:rsid w:val="0056622D"/>
    <w:rsid w:val="00566584"/>
    <w:rsid w:val="0056663F"/>
    <w:rsid w:val="005668DD"/>
    <w:rsid w:val="00566B4B"/>
    <w:rsid w:val="00566BB9"/>
    <w:rsid w:val="00566BEE"/>
    <w:rsid w:val="00566E14"/>
    <w:rsid w:val="00566E4B"/>
    <w:rsid w:val="005670A5"/>
    <w:rsid w:val="005670E8"/>
    <w:rsid w:val="0056710D"/>
    <w:rsid w:val="00567138"/>
    <w:rsid w:val="0056718B"/>
    <w:rsid w:val="005675AD"/>
    <w:rsid w:val="0056774A"/>
    <w:rsid w:val="005678DB"/>
    <w:rsid w:val="005679C0"/>
    <w:rsid w:val="00567AD9"/>
    <w:rsid w:val="00567D4F"/>
    <w:rsid w:val="00567DBD"/>
    <w:rsid w:val="00567E0E"/>
    <w:rsid w:val="005700AE"/>
    <w:rsid w:val="005701F5"/>
    <w:rsid w:val="0057022A"/>
    <w:rsid w:val="00570472"/>
    <w:rsid w:val="005704A2"/>
    <w:rsid w:val="0057050D"/>
    <w:rsid w:val="005705C6"/>
    <w:rsid w:val="00570630"/>
    <w:rsid w:val="00570802"/>
    <w:rsid w:val="00570A45"/>
    <w:rsid w:val="00570C65"/>
    <w:rsid w:val="00570CB8"/>
    <w:rsid w:val="00570D48"/>
    <w:rsid w:val="00570D80"/>
    <w:rsid w:val="00571019"/>
    <w:rsid w:val="0057110B"/>
    <w:rsid w:val="00571156"/>
    <w:rsid w:val="005712E1"/>
    <w:rsid w:val="00571379"/>
    <w:rsid w:val="00571810"/>
    <w:rsid w:val="0057192B"/>
    <w:rsid w:val="00571A1C"/>
    <w:rsid w:val="00571A78"/>
    <w:rsid w:val="00571C17"/>
    <w:rsid w:val="00571C5C"/>
    <w:rsid w:val="00571C74"/>
    <w:rsid w:val="00571E62"/>
    <w:rsid w:val="00571FED"/>
    <w:rsid w:val="0057212E"/>
    <w:rsid w:val="005723F9"/>
    <w:rsid w:val="00572522"/>
    <w:rsid w:val="0057258B"/>
    <w:rsid w:val="00572615"/>
    <w:rsid w:val="005726CD"/>
    <w:rsid w:val="005728C0"/>
    <w:rsid w:val="00572BA3"/>
    <w:rsid w:val="00572D7F"/>
    <w:rsid w:val="00572E47"/>
    <w:rsid w:val="00573025"/>
    <w:rsid w:val="00573161"/>
    <w:rsid w:val="00573173"/>
    <w:rsid w:val="005732CA"/>
    <w:rsid w:val="00573373"/>
    <w:rsid w:val="00573415"/>
    <w:rsid w:val="005734BD"/>
    <w:rsid w:val="005734C5"/>
    <w:rsid w:val="00573689"/>
    <w:rsid w:val="00573880"/>
    <w:rsid w:val="00573A1D"/>
    <w:rsid w:val="00573C9A"/>
    <w:rsid w:val="00573D5B"/>
    <w:rsid w:val="00573FAC"/>
    <w:rsid w:val="00574146"/>
    <w:rsid w:val="005743F5"/>
    <w:rsid w:val="0057455B"/>
    <w:rsid w:val="005746BB"/>
    <w:rsid w:val="00574702"/>
    <w:rsid w:val="005748AD"/>
    <w:rsid w:val="005748D6"/>
    <w:rsid w:val="00574A64"/>
    <w:rsid w:val="00574A89"/>
    <w:rsid w:val="00574C74"/>
    <w:rsid w:val="00574CD7"/>
    <w:rsid w:val="00574D0A"/>
    <w:rsid w:val="00574D32"/>
    <w:rsid w:val="00574DD7"/>
    <w:rsid w:val="00574E28"/>
    <w:rsid w:val="00574EE0"/>
    <w:rsid w:val="00574F93"/>
    <w:rsid w:val="00574F99"/>
    <w:rsid w:val="0057502E"/>
    <w:rsid w:val="00575045"/>
    <w:rsid w:val="0057530B"/>
    <w:rsid w:val="00575396"/>
    <w:rsid w:val="00575523"/>
    <w:rsid w:val="005755BA"/>
    <w:rsid w:val="00575B3F"/>
    <w:rsid w:val="00575C05"/>
    <w:rsid w:val="00575C3F"/>
    <w:rsid w:val="00575DAE"/>
    <w:rsid w:val="00575ED6"/>
    <w:rsid w:val="00575EE8"/>
    <w:rsid w:val="00575EEA"/>
    <w:rsid w:val="0057638D"/>
    <w:rsid w:val="005767B5"/>
    <w:rsid w:val="005767ED"/>
    <w:rsid w:val="00576828"/>
    <w:rsid w:val="0057694E"/>
    <w:rsid w:val="00576A54"/>
    <w:rsid w:val="00576ACF"/>
    <w:rsid w:val="00576B58"/>
    <w:rsid w:val="00576BBE"/>
    <w:rsid w:val="00576C71"/>
    <w:rsid w:val="00576D93"/>
    <w:rsid w:val="00576DEE"/>
    <w:rsid w:val="00576E2F"/>
    <w:rsid w:val="00577137"/>
    <w:rsid w:val="005772CA"/>
    <w:rsid w:val="005772DD"/>
    <w:rsid w:val="00577320"/>
    <w:rsid w:val="00577383"/>
    <w:rsid w:val="00577392"/>
    <w:rsid w:val="0057743F"/>
    <w:rsid w:val="00577521"/>
    <w:rsid w:val="00577568"/>
    <w:rsid w:val="0057767A"/>
    <w:rsid w:val="00577693"/>
    <w:rsid w:val="00577834"/>
    <w:rsid w:val="005778B1"/>
    <w:rsid w:val="00577970"/>
    <w:rsid w:val="005802D6"/>
    <w:rsid w:val="005803D8"/>
    <w:rsid w:val="005804BF"/>
    <w:rsid w:val="00580605"/>
    <w:rsid w:val="00580708"/>
    <w:rsid w:val="00580793"/>
    <w:rsid w:val="00580A57"/>
    <w:rsid w:val="00580A59"/>
    <w:rsid w:val="00580F2C"/>
    <w:rsid w:val="00580FDE"/>
    <w:rsid w:val="00581213"/>
    <w:rsid w:val="005814E5"/>
    <w:rsid w:val="0058156B"/>
    <w:rsid w:val="0058177C"/>
    <w:rsid w:val="005817FC"/>
    <w:rsid w:val="005818DC"/>
    <w:rsid w:val="00582008"/>
    <w:rsid w:val="0058230D"/>
    <w:rsid w:val="00582338"/>
    <w:rsid w:val="005827A7"/>
    <w:rsid w:val="005829EB"/>
    <w:rsid w:val="00582DD6"/>
    <w:rsid w:val="00582EE1"/>
    <w:rsid w:val="00583094"/>
    <w:rsid w:val="00583152"/>
    <w:rsid w:val="005831FB"/>
    <w:rsid w:val="005831FF"/>
    <w:rsid w:val="005832DE"/>
    <w:rsid w:val="0058345F"/>
    <w:rsid w:val="00583B1E"/>
    <w:rsid w:val="00583CDA"/>
    <w:rsid w:val="00583E7D"/>
    <w:rsid w:val="0058401E"/>
    <w:rsid w:val="00584049"/>
    <w:rsid w:val="00584133"/>
    <w:rsid w:val="005841F4"/>
    <w:rsid w:val="00584239"/>
    <w:rsid w:val="00584672"/>
    <w:rsid w:val="0058490D"/>
    <w:rsid w:val="00584A7C"/>
    <w:rsid w:val="00584A99"/>
    <w:rsid w:val="00584BDC"/>
    <w:rsid w:val="00584D2C"/>
    <w:rsid w:val="005852A2"/>
    <w:rsid w:val="005852EA"/>
    <w:rsid w:val="00585334"/>
    <w:rsid w:val="00585397"/>
    <w:rsid w:val="005854F0"/>
    <w:rsid w:val="00585932"/>
    <w:rsid w:val="005859AC"/>
    <w:rsid w:val="00585A89"/>
    <w:rsid w:val="00585B07"/>
    <w:rsid w:val="00585F97"/>
    <w:rsid w:val="0058603B"/>
    <w:rsid w:val="00586077"/>
    <w:rsid w:val="0058618C"/>
    <w:rsid w:val="00586A42"/>
    <w:rsid w:val="00586B33"/>
    <w:rsid w:val="00586BAE"/>
    <w:rsid w:val="00586CF6"/>
    <w:rsid w:val="00586F9F"/>
    <w:rsid w:val="00587006"/>
    <w:rsid w:val="00587566"/>
    <w:rsid w:val="005875AD"/>
    <w:rsid w:val="005875C7"/>
    <w:rsid w:val="00587763"/>
    <w:rsid w:val="0058778C"/>
    <w:rsid w:val="0058781A"/>
    <w:rsid w:val="00587882"/>
    <w:rsid w:val="005878AA"/>
    <w:rsid w:val="005878D3"/>
    <w:rsid w:val="00587951"/>
    <w:rsid w:val="00587B1F"/>
    <w:rsid w:val="00587BCB"/>
    <w:rsid w:val="00587C40"/>
    <w:rsid w:val="00587CB7"/>
    <w:rsid w:val="00587D55"/>
    <w:rsid w:val="00587D8A"/>
    <w:rsid w:val="00587EE7"/>
    <w:rsid w:val="00590011"/>
    <w:rsid w:val="005900BA"/>
    <w:rsid w:val="005900EC"/>
    <w:rsid w:val="00590192"/>
    <w:rsid w:val="005901F6"/>
    <w:rsid w:val="0059022D"/>
    <w:rsid w:val="00590370"/>
    <w:rsid w:val="00590386"/>
    <w:rsid w:val="00590448"/>
    <w:rsid w:val="0059046A"/>
    <w:rsid w:val="005905F7"/>
    <w:rsid w:val="00590724"/>
    <w:rsid w:val="00590771"/>
    <w:rsid w:val="005907CB"/>
    <w:rsid w:val="00590BE4"/>
    <w:rsid w:val="00590C8A"/>
    <w:rsid w:val="00590F49"/>
    <w:rsid w:val="00590F94"/>
    <w:rsid w:val="005911CE"/>
    <w:rsid w:val="0059122A"/>
    <w:rsid w:val="005912B1"/>
    <w:rsid w:val="005912CD"/>
    <w:rsid w:val="005912F0"/>
    <w:rsid w:val="00591394"/>
    <w:rsid w:val="00591481"/>
    <w:rsid w:val="00591838"/>
    <w:rsid w:val="005919AA"/>
    <w:rsid w:val="00591B89"/>
    <w:rsid w:val="00591F28"/>
    <w:rsid w:val="00591FBE"/>
    <w:rsid w:val="005922B4"/>
    <w:rsid w:val="0059274D"/>
    <w:rsid w:val="005929D4"/>
    <w:rsid w:val="00592A0C"/>
    <w:rsid w:val="00592AAE"/>
    <w:rsid w:val="00592D8C"/>
    <w:rsid w:val="00592E51"/>
    <w:rsid w:val="00593297"/>
    <w:rsid w:val="005932F1"/>
    <w:rsid w:val="0059359F"/>
    <w:rsid w:val="00593640"/>
    <w:rsid w:val="005936D9"/>
    <w:rsid w:val="0059383E"/>
    <w:rsid w:val="00593898"/>
    <w:rsid w:val="00593904"/>
    <w:rsid w:val="0059391B"/>
    <w:rsid w:val="00593D5C"/>
    <w:rsid w:val="00593E76"/>
    <w:rsid w:val="0059404F"/>
    <w:rsid w:val="00594089"/>
    <w:rsid w:val="00594315"/>
    <w:rsid w:val="005943DC"/>
    <w:rsid w:val="00594472"/>
    <w:rsid w:val="00594564"/>
    <w:rsid w:val="005946A5"/>
    <w:rsid w:val="0059491E"/>
    <w:rsid w:val="005949A2"/>
    <w:rsid w:val="00594C98"/>
    <w:rsid w:val="00594CC8"/>
    <w:rsid w:val="00594CFC"/>
    <w:rsid w:val="00594EEE"/>
    <w:rsid w:val="00594F72"/>
    <w:rsid w:val="00594F95"/>
    <w:rsid w:val="0059501A"/>
    <w:rsid w:val="005950E2"/>
    <w:rsid w:val="00595166"/>
    <w:rsid w:val="005951C5"/>
    <w:rsid w:val="005952FA"/>
    <w:rsid w:val="00595305"/>
    <w:rsid w:val="0059546F"/>
    <w:rsid w:val="00595683"/>
    <w:rsid w:val="00595793"/>
    <w:rsid w:val="0059594C"/>
    <w:rsid w:val="00595A33"/>
    <w:rsid w:val="00595B33"/>
    <w:rsid w:val="00595C7E"/>
    <w:rsid w:val="0059606E"/>
    <w:rsid w:val="00596095"/>
    <w:rsid w:val="005960CB"/>
    <w:rsid w:val="00596491"/>
    <w:rsid w:val="005964B1"/>
    <w:rsid w:val="005968D0"/>
    <w:rsid w:val="00596A72"/>
    <w:rsid w:val="00596BE2"/>
    <w:rsid w:val="00596C4B"/>
    <w:rsid w:val="00596C4E"/>
    <w:rsid w:val="00596D75"/>
    <w:rsid w:val="00596E18"/>
    <w:rsid w:val="00596E33"/>
    <w:rsid w:val="005970DC"/>
    <w:rsid w:val="005971E4"/>
    <w:rsid w:val="005972A1"/>
    <w:rsid w:val="005972B3"/>
    <w:rsid w:val="0059732D"/>
    <w:rsid w:val="00597459"/>
    <w:rsid w:val="00597642"/>
    <w:rsid w:val="005977A2"/>
    <w:rsid w:val="00597851"/>
    <w:rsid w:val="00597A0D"/>
    <w:rsid w:val="00597D87"/>
    <w:rsid w:val="00597DCA"/>
    <w:rsid w:val="005A05D7"/>
    <w:rsid w:val="005A0A14"/>
    <w:rsid w:val="005A0A4B"/>
    <w:rsid w:val="005A0A9A"/>
    <w:rsid w:val="005A0ACF"/>
    <w:rsid w:val="005A0B3F"/>
    <w:rsid w:val="005A0BCF"/>
    <w:rsid w:val="005A0CD9"/>
    <w:rsid w:val="005A0DA0"/>
    <w:rsid w:val="005A0FE4"/>
    <w:rsid w:val="005A0FED"/>
    <w:rsid w:val="005A113A"/>
    <w:rsid w:val="005A11C2"/>
    <w:rsid w:val="005A1238"/>
    <w:rsid w:val="005A1250"/>
    <w:rsid w:val="005A12BD"/>
    <w:rsid w:val="005A158B"/>
    <w:rsid w:val="005A1677"/>
    <w:rsid w:val="005A1692"/>
    <w:rsid w:val="005A171E"/>
    <w:rsid w:val="005A19F6"/>
    <w:rsid w:val="005A1BEB"/>
    <w:rsid w:val="005A1D4E"/>
    <w:rsid w:val="005A1E2E"/>
    <w:rsid w:val="005A1E50"/>
    <w:rsid w:val="005A219C"/>
    <w:rsid w:val="005A2364"/>
    <w:rsid w:val="005A2446"/>
    <w:rsid w:val="005A2464"/>
    <w:rsid w:val="005A24DD"/>
    <w:rsid w:val="005A2663"/>
    <w:rsid w:val="005A29AF"/>
    <w:rsid w:val="005A2A85"/>
    <w:rsid w:val="005A3131"/>
    <w:rsid w:val="005A3170"/>
    <w:rsid w:val="005A320F"/>
    <w:rsid w:val="005A349B"/>
    <w:rsid w:val="005A34C5"/>
    <w:rsid w:val="005A34CE"/>
    <w:rsid w:val="005A35DC"/>
    <w:rsid w:val="005A3684"/>
    <w:rsid w:val="005A38A0"/>
    <w:rsid w:val="005A38BD"/>
    <w:rsid w:val="005A3A50"/>
    <w:rsid w:val="005A3AAF"/>
    <w:rsid w:val="005A3C7B"/>
    <w:rsid w:val="005A3D87"/>
    <w:rsid w:val="005A3DA0"/>
    <w:rsid w:val="005A3F2A"/>
    <w:rsid w:val="005A4066"/>
    <w:rsid w:val="005A40E3"/>
    <w:rsid w:val="005A43E2"/>
    <w:rsid w:val="005A44B7"/>
    <w:rsid w:val="005A4D72"/>
    <w:rsid w:val="005A4E1B"/>
    <w:rsid w:val="005A4E46"/>
    <w:rsid w:val="005A4ED9"/>
    <w:rsid w:val="005A585E"/>
    <w:rsid w:val="005A59D9"/>
    <w:rsid w:val="005A5A66"/>
    <w:rsid w:val="005A5B9D"/>
    <w:rsid w:val="005A5CA6"/>
    <w:rsid w:val="005A5D6D"/>
    <w:rsid w:val="005A5F21"/>
    <w:rsid w:val="005A6383"/>
    <w:rsid w:val="005A6456"/>
    <w:rsid w:val="005A66A8"/>
    <w:rsid w:val="005A683A"/>
    <w:rsid w:val="005A6BD5"/>
    <w:rsid w:val="005A6CC4"/>
    <w:rsid w:val="005A6F93"/>
    <w:rsid w:val="005A6FB2"/>
    <w:rsid w:val="005A7112"/>
    <w:rsid w:val="005A7265"/>
    <w:rsid w:val="005A7353"/>
    <w:rsid w:val="005A73D8"/>
    <w:rsid w:val="005A742E"/>
    <w:rsid w:val="005A74BF"/>
    <w:rsid w:val="005A7639"/>
    <w:rsid w:val="005A76DA"/>
    <w:rsid w:val="005A77B8"/>
    <w:rsid w:val="005A7B51"/>
    <w:rsid w:val="005A7E44"/>
    <w:rsid w:val="005A7E8C"/>
    <w:rsid w:val="005A7FE4"/>
    <w:rsid w:val="005B003F"/>
    <w:rsid w:val="005B0119"/>
    <w:rsid w:val="005B032C"/>
    <w:rsid w:val="005B040F"/>
    <w:rsid w:val="005B04BA"/>
    <w:rsid w:val="005B0515"/>
    <w:rsid w:val="005B05BD"/>
    <w:rsid w:val="005B06B9"/>
    <w:rsid w:val="005B0971"/>
    <w:rsid w:val="005B0A72"/>
    <w:rsid w:val="005B0CB7"/>
    <w:rsid w:val="005B0DFF"/>
    <w:rsid w:val="005B128A"/>
    <w:rsid w:val="005B1555"/>
    <w:rsid w:val="005B1673"/>
    <w:rsid w:val="005B17A2"/>
    <w:rsid w:val="005B1CB4"/>
    <w:rsid w:val="005B1D95"/>
    <w:rsid w:val="005B1DA6"/>
    <w:rsid w:val="005B2141"/>
    <w:rsid w:val="005B21E8"/>
    <w:rsid w:val="005B225C"/>
    <w:rsid w:val="005B22F3"/>
    <w:rsid w:val="005B230C"/>
    <w:rsid w:val="005B2496"/>
    <w:rsid w:val="005B25DD"/>
    <w:rsid w:val="005B26D7"/>
    <w:rsid w:val="005B27DD"/>
    <w:rsid w:val="005B2948"/>
    <w:rsid w:val="005B2ADA"/>
    <w:rsid w:val="005B2B02"/>
    <w:rsid w:val="005B2B51"/>
    <w:rsid w:val="005B2B56"/>
    <w:rsid w:val="005B2B8C"/>
    <w:rsid w:val="005B2D1D"/>
    <w:rsid w:val="005B2ED2"/>
    <w:rsid w:val="005B31F4"/>
    <w:rsid w:val="005B3291"/>
    <w:rsid w:val="005B3610"/>
    <w:rsid w:val="005B378E"/>
    <w:rsid w:val="005B37E3"/>
    <w:rsid w:val="005B37F3"/>
    <w:rsid w:val="005B3856"/>
    <w:rsid w:val="005B3908"/>
    <w:rsid w:val="005B39D9"/>
    <w:rsid w:val="005B39FB"/>
    <w:rsid w:val="005B3C25"/>
    <w:rsid w:val="005B3CE3"/>
    <w:rsid w:val="005B3D27"/>
    <w:rsid w:val="005B3D7C"/>
    <w:rsid w:val="005B3D93"/>
    <w:rsid w:val="005B3EA9"/>
    <w:rsid w:val="005B3F49"/>
    <w:rsid w:val="005B3F59"/>
    <w:rsid w:val="005B4038"/>
    <w:rsid w:val="005B4282"/>
    <w:rsid w:val="005B467A"/>
    <w:rsid w:val="005B468C"/>
    <w:rsid w:val="005B46FB"/>
    <w:rsid w:val="005B48AD"/>
    <w:rsid w:val="005B4956"/>
    <w:rsid w:val="005B4A5C"/>
    <w:rsid w:val="005B4B2A"/>
    <w:rsid w:val="005B4E4F"/>
    <w:rsid w:val="005B52F1"/>
    <w:rsid w:val="005B538B"/>
    <w:rsid w:val="005B53FB"/>
    <w:rsid w:val="005B578A"/>
    <w:rsid w:val="005B59A5"/>
    <w:rsid w:val="005B59A7"/>
    <w:rsid w:val="005B59D0"/>
    <w:rsid w:val="005B5A85"/>
    <w:rsid w:val="005B5AE5"/>
    <w:rsid w:val="005B5B7C"/>
    <w:rsid w:val="005B5BC5"/>
    <w:rsid w:val="005B5BC9"/>
    <w:rsid w:val="005B5C49"/>
    <w:rsid w:val="005B5C7D"/>
    <w:rsid w:val="005B5CA3"/>
    <w:rsid w:val="005B5CBD"/>
    <w:rsid w:val="005B5DE4"/>
    <w:rsid w:val="005B5E52"/>
    <w:rsid w:val="005B5E73"/>
    <w:rsid w:val="005B5F36"/>
    <w:rsid w:val="005B5F7A"/>
    <w:rsid w:val="005B6170"/>
    <w:rsid w:val="005B62D1"/>
    <w:rsid w:val="005B634D"/>
    <w:rsid w:val="005B6470"/>
    <w:rsid w:val="005B657E"/>
    <w:rsid w:val="005B65BB"/>
    <w:rsid w:val="005B66C9"/>
    <w:rsid w:val="005B6964"/>
    <w:rsid w:val="005B6EFE"/>
    <w:rsid w:val="005B6FA6"/>
    <w:rsid w:val="005B73B5"/>
    <w:rsid w:val="005B7684"/>
    <w:rsid w:val="005B786B"/>
    <w:rsid w:val="005B7F4D"/>
    <w:rsid w:val="005C003F"/>
    <w:rsid w:val="005C0196"/>
    <w:rsid w:val="005C0291"/>
    <w:rsid w:val="005C03A2"/>
    <w:rsid w:val="005C03AD"/>
    <w:rsid w:val="005C05ED"/>
    <w:rsid w:val="005C065E"/>
    <w:rsid w:val="005C0708"/>
    <w:rsid w:val="005C0963"/>
    <w:rsid w:val="005C0A9F"/>
    <w:rsid w:val="005C0D0A"/>
    <w:rsid w:val="005C0FDB"/>
    <w:rsid w:val="005C1248"/>
    <w:rsid w:val="005C16AF"/>
    <w:rsid w:val="005C19E6"/>
    <w:rsid w:val="005C19F1"/>
    <w:rsid w:val="005C1A22"/>
    <w:rsid w:val="005C1C36"/>
    <w:rsid w:val="005C1F6A"/>
    <w:rsid w:val="005C1FC2"/>
    <w:rsid w:val="005C20D2"/>
    <w:rsid w:val="005C211B"/>
    <w:rsid w:val="005C21D4"/>
    <w:rsid w:val="005C2375"/>
    <w:rsid w:val="005C237C"/>
    <w:rsid w:val="005C237D"/>
    <w:rsid w:val="005C25AF"/>
    <w:rsid w:val="005C2AE9"/>
    <w:rsid w:val="005C2D1C"/>
    <w:rsid w:val="005C2ECC"/>
    <w:rsid w:val="005C2F70"/>
    <w:rsid w:val="005C2FDF"/>
    <w:rsid w:val="005C313C"/>
    <w:rsid w:val="005C317A"/>
    <w:rsid w:val="005C32D1"/>
    <w:rsid w:val="005C3531"/>
    <w:rsid w:val="005C3863"/>
    <w:rsid w:val="005C39FD"/>
    <w:rsid w:val="005C3C11"/>
    <w:rsid w:val="005C3D13"/>
    <w:rsid w:val="005C3F14"/>
    <w:rsid w:val="005C4035"/>
    <w:rsid w:val="005C41FE"/>
    <w:rsid w:val="005C42DF"/>
    <w:rsid w:val="005C44B5"/>
    <w:rsid w:val="005C44CC"/>
    <w:rsid w:val="005C46B5"/>
    <w:rsid w:val="005C4796"/>
    <w:rsid w:val="005C48FD"/>
    <w:rsid w:val="005C4977"/>
    <w:rsid w:val="005C4AF2"/>
    <w:rsid w:val="005C4CF3"/>
    <w:rsid w:val="005C4EF2"/>
    <w:rsid w:val="005C4F54"/>
    <w:rsid w:val="005C5507"/>
    <w:rsid w:val="005C555C"/>
    <w:rsid w:val="005C55F6"/>
    <w:rsid w:val="005C5703"/>
    <w:rsid w:val="005C5B6B"/>
    <w:rsid w:val="005C5B72"/>
    <w:rsid w:val="005C60EB"/>
    <w:rsid w:val="005C6138"/>
    <w:rsid w:val="005C619D"/>
    <w:rsid w:val="005C635F"/>
    <w:rsid w:val="005C641B"/>
    <w:rsid w:val="005C65A4"/>
    <w:rsid w:val="005C678C"/>
    <w:rsid w:val="005C68CB"/>
    <w:rsid w:val="005C6914"/>
    <w:rsid w:val="005C6B84"/>
    <w:rsid w:val="005C6BF7"/>
    <w:rsid w:val="005C6C4D"/>
    <w:rsid w:val="005C6C8C"/>
    <w:rsid w:val="005C7002"/>
    <w:rsid w:val="005C7229"/>
    <w:rsid w:val="005C741E"/>
    <w:rsid w:val="005C7494"/>
    <w:rsid w:val="005C75C1"/>
    <w:rsid w:val="005C7738"/>
    <w:rsid w:val="005C7926"/>
    <w:rsid w:val="005C79B6"/>
    <w:rsid w:val="005C7A45"/>
    <w:rsid w:val="005C7A9B"/>
    <w:rsid w:val="005C7CFB"/>
    <w:rsid w:val="005C7EE6"/>
    <w:rsid w:val="005C7EF8"/>
    <w:rsid w:val="005C7F48"/>
    <w:rsid w:val="005C7FB1"/>
    <w:rsid w:val="005D01D3"/>
    <w:rsid w:val="005D0326"/>
    <w:rsid w:val="005D04B9"/>
    <w:rsid w:val="005D04C7"/>
    <w:rsid w:val="005D0517"/>
    <w:rsid w:val="005D0518"/>
    <w:rsid w:val="005D0547"/>
    <w:rsid w:val="005D07B4"/>
    <w:rsid w:val="005D0807"/>
    <w:rsid w:val="005D0940"/>
    <w:rsid w:val="005D098C"/>
    <w:rsid w:val="005D0A63"/>
    <w:rsid w:val="005D0BAE"/>
    <w:rsid w:val="005D0D60"/>
    <w:rsid w:val="005D0F15"/>
    <w:rsid w:val="005D1083"/>
    <w:rsid w:val="005D1249"/>
    <w:rsid w:val="005D12D3"/>
    <w:rsid w:val="005D14EC"/>
    <w:rsid w:val="005D15EA"/>
    <w:rsid w:val="005D1680"/>
    <w:rsid w:val="005D1948"/>
    <w:rsid w:val="005D1A67"/>
    <w:rsid w:val="005D1B19"/>
    <w:rsid w:val="005D1F04"/>
    <w:rsid w:val="005D1F4F"/>
    <w:rsid w:val="005D200B"/>
    <w:rsid w:val="005D203C"/>
    <w:rsid w:val="005D220D"/>
    <w:rsid w:val="005D2309"/>
    <w:rsid w:val="005D2365"/>
    <w:rsid w:val="005D242B"/>
    <w:rsid w:val="005D244B"/>
    <w:rsid w:val="005D2610"/>
    <w:rsid w:val="005D2619"/>
    <w:rsid w:val="005D2A6A"/>
    <w:rsid w:val="005D2C3A"/>
    <w:rsid w:val="005D2F78"/>
    <w:rsid w:val="005D2F98"/>
    <w:rsid w:val="005D3241"/>
    <w:rsid w:val="005D35C4"/>
    <w:rsid w:val="005D3625"/>
    <w:rsid w:val="005D3892"/>
    <w:rsid w:val="005D38F5"/>
    <w:rsid w:val="005D3C93"/>
    <w:rsid w:val="005D3E16"/>
    <w:rsid w:val="005D3E77"/>
    <w:rsid w:val="005D3EF9"/>
    <w:rsid w:val="005D3F9D"/>
    <w:rsid w:val="005D4267"/>
    <w:rsid w:val="005D4289"/>
    <w:rsid w:val="005D43CC"/>
    <w:rsid w:val="005D448E"/>
    <w:rsid w:val="005D45CD"/>
    <w:rsid w:val="005D474B"/>
    <w:rsid w:val="005D47A8"/>
    <w:rsid w:val="005D482D"/>
    <w:rsid w:val="005D4AB2"/>
    <w:rsid w:val="005D4CF3"/>
    <w:rsid w:val="005D4FCC"/>
    <w:rsid w:val="005D4FCE"/>
    <w:rsid w:val="005D5020"/>
    <w:rsid w:val="005D51A7"/>
    <w:rsid w:val="005D5361"/>
    <w:rsid w:val="005D537D"/>
    <w:rsid w:val="005D5565"/>
    <w:rsid w:val="005D55BA"/>
    <w:rsid w:val="005D5673"/>
    <w:rsid w:val="005D58FA"/>
    <w:rsid w:val="005D59E7"/>
    <w:rsid w:val="005D5D2C"/>
    <w:rsid w:val="005D5DCC"/>
    <w:rsid w:val="005D5E38"/>
    <w:rsid w:val="005D5E68"/>
    <w:rsid w:val="005D5E7C"/>
    <w:rsid w:val="005D5F73"/>
    <w:rsid w:val="005D5F89"/>
    <w:rsid w:val="005D5FB5"/>
    <w:rsid w:val="005D614B"/>
    <w:rsid w:val="005D61A7"/>
    <w:rsid w:val="005D626F"/>
    <w:rsid w:val="005D6562"/>
    <w:rsid w:val="005D6587"/>
    <w:rsid w:val="005D65A0"/>
    <w:rsid w:val="005D68F6"/>
    <w:rsid w:val="005D6A74"/>
    <w:rsid w:val="005D6BE1"/>
    <w:rsid w:val="005D6E37"/>
    <w:rsid w:val="005D7190"/>
    <w:rsid w:val="005D71F2"/>
    <w:rsid w:val="005D7254"/>
    <w:rsid w:val="005D7369"/>
    <w:rsid w:val="005D7419"/>
    <w:rsid w:val="005D7532"/>
    <w:rsid w:val="005D75C8"/>
    <w:rsid w:val="005D7609"/>
    <w:rsid w:val="005D762B"/>
    <w:rsid w:val="005D78FB"/>
    <w:rsid w:val="005D7976"/>
    <w:rsid w:val="005D7F8B"/>
    <w:rsid w:val="005E001A"/>
    <w:rsid w:val="005E0053"/>
    <w:rsid w:val="005E00E6"/>
    <w:rsid w:val="005E0245"/>
    <w:rsid w:val="005E0467"/>
    <w:rsid w:val="005E06F3"/>
    <w:rsid w:val="005E0C5B"/>
    <w:rsid w:val="005E1054"/>
    <w:rsid w:val="005E107C"/>
    <w:rsid w:val="005E1123"/>
    <w:rsid w:val="005E11A2"/>
    <w:rsid w:val="005E18B0"/>
    <w:rsid w:val="005E19A8"/>
    <w:rsid w:val="005E1B2D"/>
    <w:rsid w:val="005E1B55"/>
    <w:rsid w:val="005E1BBD"/>
    <w:rsid w:val="005E1DD0"/>
    <w:rsid w:val="005E1E50"/>
    <w:rsid w:val="005E20F1"/>
    <w:rsid w:val="005E22EE"/>
    <w:rsid w:val="005E2525"/>
    <w:rsid w:val="005E2806"/>
    <w:rsid w:val="005E2C0A"/>
    <w:rsid w:val="005E2D5B"/>
    <w:rsid w:val="005E2DF6"/>
    <w:rsid w:val="005E2F62"/>
    <w:rsid w:val="005E30E5"/>
    <w:rsid w:val="005E3208"/>
    <w:rsid w:val="005E3379"/>
    <w:rsid w:val="005E3731"/>
    <w:rsid w:val="005E37DD"/>
    <w:rsid w:val="005E383F"/>
    <w:rsid w:val="005E391F"/>
    <w:rsid w:val="005E3C2F"/>
    <w:rsid w:val="005E3D6C"/>
    <w:rsid w:val="005E3FB0"/>
    <w:rsid w:val="005E4157"/>
    <w:rsid w:val="005E4296"/>
    <w:rsid w:val="005E42BB"/>
    <w:rsid w:val="005E43A4"/>
    <w:rsid w:val="005E43B5"/>
    <w:rsid w:val="005E4633"/>
    <w:rsid w:val="005E4693"/>
    <w:rsid w:val="005E48C6"/>
    <w:rsid w:val="005E49E7"/>
    <w:rsid w:val="005E4BA1"/>
    <w:rsid w:val="005E4D81"/>
    <w:rsid w:val="005E4F70"/>
    <w:rsid w:val="005E508D"/>
    <w:rsid w:val="005E5108"/>
    <w:rsid w:val="005E51B3"/>
    <w:rsid w:val="005E522A"/>
    <w:rsid w:val="005E5331"/>
    <w:rsid w:val="005E57CD"/>
    <w:rsid w:val="005E59AE"/>
    <w:rsid w:val="005E59F4"/>
    <w:rsid w:val="005E5CD5"/>
    <w:rsid w:val="005E5DC9"/>
    <w:rsid w:val="005E5F18"/>
    <w:rsid w:val="005E6016"/>
    <w:rsid w:val="005E6135"/>
    <w:rsid w:val="005E6539"/>
    <w:rsid w:val="005E65E9"/>
    <w:rsid w:val="005E6601"/>
    <w:rsid w:val="005E69BA"/>
    <w:rsid w:val="005E6A47"/>
    <w:rsid w:val="005E6A48"/>
    <w:rsid w:val="005E6A6A"/>
    <w:rsid w:val="005E6DDD"/>
    <w:rsid w:val="005E6F82"/>
    <w:rsid w:val="005E73B4"/>
    <w:rsid w:val="005E7491"/>
    <w:rsid w:val="005E7595"/>
    <w:rsid w:val="005E76AF"/>
    <w:rsid w:val="005E777A"/>
    <w:rsid w:val="005E7AA8"/>
    <w:rsid w:val="005E7B10"/>
    <w:rsid w:val="005E7C25"/>
    <w:rsid w:val="005E7EED"/>
    <w:rsid w:val="005F0005"/>
    <w:rsid w:val="005F008A"/>
    <w:rsid w:val="005F0621"/>
    <w:rsid w:val="005F0707"/>
    <w:rsid w:val="005F0774"/>
    <w:rsid w:val="005F0C45"/>
    <w:rsid w:val="005F0CC2"/>
    <w:rsid w:val="005F0CCD"/>
    <w:rsid w:val="005F0CE1"/>
    <w:rsid w:val="005F0DDB"/>
    <w:rsid w:val="005F0E06"/>
    <w:rsid w:val="005F0E15"/>
    <w:rsid w:val="005F14C0"/>
    <w:rsid w:val="005F1D3C"/>
    <w:rsid w:val="005F1E3A"/>
    <w:rsid w:val="005F1F6D"/>
    <w:rsid w:val="005F1F78"/>
    <w:rsid w:val="005F1F8F"/>
    <w:rsid w:val="005F2151"/>
    <w:rsid w:val="005F2158"/>
    <w:rsid w:val="005F21AB"/>
    <w:rsid w:val="005F221E"/>
    <w:rsid w:val="005F231E"/>
    <w:rsid w:val="005F2551"/>
    <w:rsid w:val="005F2B0B"/>
    <w:rsid w:val="005F2C03"/>
    <w:rsid w:val="005F2EDE"/>
    <w:rsid w:val="005F2F3A"/>
    <w:rsid w:val="005F2F49"/>
    <w:rsid w:val="005F2F6B"/>
    <w:rsid w:val="005F2FE5"/>
    <w:rsid w:val="005F3225"/>
    <w:rsid w:val="005F3258"/>
    <w:rsid w:val="005F3309"/>
    <w:rsid w:val="005F3573"/>
    <w:rsid w:val="005F3584"/>
    <w:rsid w:val="005F36CA"/>
    <w:rsid w:val="005F38C4"/>
    <w:rsid w:val="005F3983"/>
    <w:rsid w:val="005F3BBC"/>
    <w:rsid w:val="005F3D01"/>
    <w:rsid w:val="005F3DB2"/>
    <w:rsid w:val="005F3EB2"/>
    <w:rsid w:val="005F3F57"/>
    <w:rsid w:val="005F411A"/>
    <w:rsid w:val="005F4124"/>
    <w:rsid w:val="005F412E"/>
    <w:rsid w:val="005F420B"/>
    <w:rsid w:val="005F4347"/>
    <w:rsid w:val="005F4785"/>
    <w:rsid w:val="005F4B47"/>
    <w:rsid w:val="005F4E42"/>
    <w:rsid w:val="005F4EA7"/>
    <w:rsid w:val="005F4ECE"/>
    <w:rsid w:val="005F4F7B"/>
    <w:rsid w:val="005F507C"/>
    <w:rsid w:val="005F5301"/>
    <w:rsid w:val="005F54B8"/>
    <w:rsid w:val="005F567F"/>
    <w:rsid w:val="005F56F0"/>
    <w:rsid w:val="005F577A"/>
    <w:rsid w:val="005F5A5F"/>
    <w:rsid w:val="005F5CBD"/>
    <w:rsid w:val="005F608D"/>
    <w:rsid w:val="005F62CA"/>
    <w:rsid w:val="005F63A2"/>
    <w:rsid w:val="005F6405"/>
    <w:rsid w:val="005F669A"/>
    <w:rsid w:val="005F6808"/>
    <w:rsid w:val="005F69B0"/>
    <w:rsid w:val="005F6B1B"/>
    <w:rsid w:val="005F6D97"/>
    <w:rsid w:val="005F6E03"/>
    <w:rsid w:val="005F6E1D"/>
    <w:rsid w:val="005F6FB7"/>
    <w:rsid w:val="005F707E"/>
    <w:rsid w:val="005F715C"/>
    <w:rsid w:val="005F7178"/>
    <w:rsid w:val="005F73B5"/>
    <w:rsid w:val="005F7564"/>
    <w:rsid w:val="005F76C6"/>
    <w:rsid w:val="005F7993"/>
    <w:rsid w:val="005F7A00"/>
    <w:rsid w:val="005F7BE2"/>
    <w:rsid w:val="005F7DA5"/>
    <w:rsid w:val="005F7EBC"/>
    <w:rsid w:val="005FFDDA"/>
    <w:rsid w:val="006000AC"/>
    <w:rsid w:val="00600151"/>
    <w:rsid w:val="00600198"/>
    <w:rsid w:val="00600A44"/>
    <w:rsid w:val="00600A88"/>
    <w:rsid w:val="00600DE2"/>
    <w:rsid w:val="00600E92"/>
    <w:rsid w:val="006010FA"/>
    <w:rsid w:val="00601487"/>
    <w:rsid w:val="00601488"/>
    <w:rsid w:val="006014F4"/>
    <w:rsid w:val="00601577"/>
    <w:rsid w:val="006017CA"/>
    <w:rsid w:val="00601ADC"/>
    <w:rsid w:val="00601B71"/>
    <w:rsid w:val="00601BE7"/>
    <w:rsid w:val="00601D42"/>
    <w:rsid w:val="00601F00"/>
    <w:rsid w:val="006020C0"/>
    <w:rsid w:val="00602254"/>
    <w:rsid w:val="00602593"/>
    <w:rsid w:val="006025DD"/>
    <w:rsid w:val="006026BD"/>
    <w:rsid w:val="006026E2"/>
    <w:rsid w:val="0060295D"/>
    <w:rsid w:val="006029AE"/>
    <w:rsid w:val="00602B26"/>
    <w:rsid w:val="00602B86"/>
    <w:rsid w:val="00602C26"/>
    <w:rsid w:val="00602C5A"/>
    <w:rsid w:val="00602D31"/>
    <w:rsid w:val="00602DEF"/>
    <w:rsid w:val="00602F3B"/>
    <w:rsid w:val="00603052"/>
    <w:rsid w:val="0060337C"/>
    <w:rsid w:val="006033FC"/>
    <w:rsid w:val="00603435"/>
    <w:rsid w:val="0060347C"/>
    <w:rsid w:val="00603516"/>
    <w:rsid w:val="0060365A"/>
    <w:rsid w:val="0060375E"/>
    <w:rsid w:val="00603A14"/>
    <w:rsid w:val="00603A16"/>
    <w:rsid w:val="00603B13"/>
    <w:rsid w:val="00603CCE"/>
    <w:rsid w:val="00603FA5"/>
    <w:rsid w:val="006040B8"/>
    <w:rsid w:val="006040BA"/>
    <w:rsid w:val="00604166"/>
    <w:rsid w:val="00604220"/>
    <w:rsid w:val="00604689"/>
    <w:rsid w:val="006048FD"/>
    <w:rsid w:val="00604C2E"/>
    <w:rsid w:val="00604DBA"/>
    <w:rsid w:val="006052E1"/>
    <w:rsid w:val="0060535F"/>
    <w:rsid w:val="00605552"/>
    <w:rsid w:val="00605629"/>
    <w:rsid w:val="0060582C"/>
    <w:rsid w:val="0060595C"/>
    <w:rsid w:val="00605C46"/>
    <w:rsid w:val="00605D4A"/>
    <w:rsid w:val="00605E37"/>
    <w:rsid w:val="00605EDC"/>
    <w:rsid w:val="0060624D"/>
    <w:rsid w:val="0060666C"/>
    <w:rsid w:val="006069DD"/>
    <w:rsid w:val="00606B46"/>
    <w:rsid w:val="00606B8C"/>
    <w:rsid w:val="00606D2F"/>
    <w:rsid w:val="00606EE9"/>
    <w:rsid w:val="0060719C"/>
    <w:rsid w:val="0060738C"/>
    <w:rsid w:val="006074CE"/>
    <w:rsid w:val="00607695"/>
    <w:rsid w:val="00607776"/>
    <w:rsid w:val="006077F3"/>
    <w:rsid w:val="0060782A"/>
    <w:rsid w:val="0060783F"/>
    <w:rsid w:val="0060788B"/>
    <w:rsid w:val="006079B0"/>
    <w:rsid w:val="00607D69"/>
    <w:rsid w:val="00607DD6"/>
    <w:rsid w:val="00607FB8"/>
    <w:rsid w:val="00610103"/>
    <w:rsid w:val="006102BE"/>
    <w:rsid w:val="006103C8"/>
    <w:rsid w:val="0061040C"/>
    <w:rsid w:val="00610493"/>
    <w:rsid w:val="00610543"/>
    <w:rsid w:val="0061065C"/>
    <w:rsid w:val="00610824"/>
    <w:rsid w:val="00610ADB"/>
    <w:rsid w:val="006110DB"/>
    <w:rsid w:val="006111AB"/>
    <w:rsid w:val="0061127B"/>
    <w:rsid w:val="00611535"/>
    <w:rsid w:val="00611587"/>
    <w:rsid w:val="00611825"/>
    <w:rsid w:val="0061217B"/>
    <w:rsid w:val="0061231F"/>
    <w:rsid w:val="006123C5"/>
    <w:rsid w:val="0061256C"/>
    <w:rsid w:val="006125CA"/>
    <w:rsid w:val="006125DA"/>
    <w:rsid w:val="006129AA"/>
    <w:rsid w:val="00612C41"/>
    <w:rsid w:val="006131CB"/>
    <w:rsid w:val="0061327E"/>
    <w:rsid w:val="006134DC"/>
    <w:rsid w:val="006135C4"/>
    <w:rsid w:val="00613967"/>
    <w:rsid w:val="00613A9D"/>
    <w:rsid w:val="00613D0D"/>
    <w:rsid w:val="00613EBF"/>
    <w:rsid w:val="00613F98"/>
    <w:rsid w:val="00614080"/>
    <w:rsid w:val="006140A9"/>
    <w:rsid w:val="006145DF"/>
    <w:rsid w:val="00614AD6"/>
    <w:rsid w:val="00614E84"/>
    <w:rsid w:val="0061500B"/>
    <w:rsid w:val="006150EA"/>
    <w:rsid w:val="00615548"/>
    <w:rsid w:val="00615745"/>
    <w:rsid w:val="00615783"/>
    <w:rsid w:val="006157E8"/>
    <w:rsid w:val="00615800"/>
    <w:rsid w:val="0061589E"/>
    <w:rsid w:val="0061599D"/>
    <w:rsid w:val="00615ADE"/>
    <w:rsid w:val="00615B10"/>
    <w:rsid w:val="00615B8D"/>
    <w:rsid w:val="00615D7E"/>
    <w:rsid w:val="00615E72"/>
    <w:rsid w:val="00615F23"/>
    <w:rsid w:val="00615FCA"/>
    <w:rsid w:val="006160EC"/>
    <w:rsid w:val="0061633D"/>
    <w:rsid w:val="0061637E"/>
    <w:rsid w:val="00616838"/>
    <w:rsid w:val="006168D8"/>
    <w:rsid w:val="00616A13"/>
    <w:rsid w:val="00616BA4"/>
    <w:rsid w:val="00616BBA"/>
    <w:rsid w:val="00616C83"/>
    <w:rsid w:val="00616DB7"/>
    <w:rsid w:val="006170E6"/>
    <w:rsid w:val="00617122"/>
    <w:rsid w:val="00617179"/>
    <w:rsid w:val="006171CA"/>
    <w:rsid w:val="006172A0"/>
    <w:rsid w:val="006172A8"/>
    <w:rsid w:val="006172AC"/>
    <w:rsid w:val="006173E2"/>
    <w:rsid w:val="00617548"/>
    <w:rsid w:val="006175ED"/>
    <w:rsid w:val="006176DD"/>
    <w:rsid w:val="006178D5"/>
    <w:rsid w:val="0061790A"/>
    <w:rsid w:val="006179A5"/>
    <w:rsid w:val="00617A01"/>
    <w:rsid w:val="00617BE4"/>
    <w:rsid w:val="00617BE7"/>
    <w:rsid w:val="00617CE8"/>
    <w:rsid w:val="00617F7E"/>
    <w:rsid w:val="0062003A"/>
    <w:rsid w:val="00620241"/>
    <w:rsid w:val="00620412"/>
    <w:rsid w:val="00620859"/>
    <w:rsid w:val="00620F13"/>
    <w:rsid w:val="00620F7A"/>
    <w:rsid w:val="00621022"/>
    <w:rsid w:val="0062151D"/>
    <w:rsid w:val="0062187F"/>
    <w:rsid w:val="006218E7"/>
    <w:rsid w:val="00621959"/>
    <w:rsid w:val="0062196B"/>
    <w:rsid w:val="006219C3"/>
    <w:rsid w:val="00621CE2"/>
    <w:rsid w:val="00621D2B"/>
    <w:rsid w:val="00621E8C"/>
    <w:rsid w:val="00621F55"/>
    <w:rsid w:val="006220C2"/>
    <w:rsid w:val="0062212F"/>
    <w:rsid w:val="00622391"/>
    <w:rsid w:val="0062241D"/>
    <w:rsid w:val="00622668"/>
    <w:rsid w:val="006226D4"/>
    <w:rsid w:val="006227AF"/>
    <w:rsid w:val="00622A32"/>
    <w:rsid w:val="00622A5E"/>
    <w:rsid w:val="00622AE3"/>
    <w:rsid w:val="00622B5D"/>
    <w:rsid w:val="00622EDD"/>
    <w:rsid w:val="00623101"/>
    <w:rsid w:val="00623412"/>
    <w:rsid w:val="0062347F"/>
    <w:rsid w:val="006234AD"/>
    <w:rsid w:val="00623529"/>
    <w:rsid w:val="006235C4"/>
    <w:rsid w:val="00623821"/>
    <w:rsid w:val="00623824"/>
    <w:rsid w:val="00623A51"/>
    <w:rsid w:val="0062430A"/>
    <w:rsid w:val="006244F0"/>
    <w:rsid w:val="00624534"/>
    <w:rsid w:val="00624C06"/>
    <w:rsid w:val="00624C93"/>
    <w:rsid w:val="00624D41"/>
    <w:rsid w:val="00624F3E"/>
    <w:rsid w:val="00625105"/>
    <w:rsid w:val="0062515D"/>
    <w:rsid w:val="0062515F"/>
    <w:rsid w:val="006251A6"/>
    <w:rsid w:val="0062532C"/>
    <w:rsid w:val="0062562C"/>
    <w:rsid w:val="00625B52"/>
    <w:rsid w:val="00625B5D"/>
    <w:rsid w:val="00625C83"/>
    <w:rsid w:val="00625CF6"/>
    <w:rsid w:val="006260B6"/>
    <w:rsid w:val="006260C1"/>
    <w:rsid w:val="00626457"/>
    <w:rsid w:val="006264EA"/>
    <w:rsid w:val="006266DC"/>
    <w:rsid w:val="006267DF"/>
    <w:rsid w:val="00626828"/>
    <w:rsid w:val="0062694D"/>
    <w:rsid w:val="00626956"/>
    <w:rsid w:val="0062696F"/>
    <w:rsid w:val="00626C2E"/>
    <w:rsid w:val="00626E62"/>
    <w:rsid w:val="00627115"/>
    <w:rsid w:val="0062719D"/>
    <w:rsid w:val="006271A1"/>
    <w:rsid w:val="00627378"/>
    <w:rsid w:val="006273DA"/>
    <w:rsid w:val="00627547"/>
    <w:rsid w:val="00627894"/>
    <w:rsid w:val="00627D99"/>
    <w:rsid w:val="00627F48"/>
    <w:rsid w:val="0062B95D"/>
    <w:rsid w:val="00630381"/>
    <w:rsid w:val="006309EB"/>
    <w:rsid w:val="00630AE0"/>
    <w:rsid w:val="00630C1C"/>
    <w:rsid w:val="00630D97"/>
    <w:rsid w:val="00630FCE"/>
    <w:rsid w:val="00631218"/>
    <w:rsid w:val="0063123E"/>
    <w:rsid w:val="006313B2"/>
    <w:rsid w:val="00631526"/>
    <w:rsid w:val="006317AE"/>
    <w:rsid w:val="006317D7"/>
    <w:rsid w:val="00631851"/>
    <w:rsid w:val="00631A52"/>
    <w:rsid w:val="0063201F"/>
    <w:rsid w:val="006320B5"/>
    <w:rsid w:val="00632124"/>
    <w:rsid w:val="00632342"/>
    <w:rsid w:val="00632541"/>
    <w:rsid w:val="006329EC"/>
    <w:rsid w:val="00632AB7"/>
    <w:rsid w:val="00632DA6"/>
    <w:rsid w:val="00632FD3"/>
    <w:rsid w:val="00633318"/>
    <w:rsid w:val="0063349D"/>
    <w:rsid w:val="006334D7"/>
    <w:rsid w:val="00633701"/>
    <w:rsid w:val="00633734"/>
    <w:rsid w:val="00633877"/>
    <w:rsid w:val="0063394F"/>
    <w:rsid w:val="00633B79"/>
    <w:rsid w:val="00633BFE"/>
    <w:rsid w:val="00633EDF"/>
    <w:rsid w:val="00633F03"/>
    <w:rsid w:val="00633F55"/>
    <w:rsid w:val="00634130"/>
    <w:rsid w:val="00634769"/>
    <w:rsid w:val="00634B53"/>
    <w:rsid w:val="00634BE3"/>
    <w:rsid w:val="00634DAC"/>
    <w:rsid w:val="00634F33"/>
    <w:rsid w:val="00634FAB"/>
    <w:rsid w:val="00635041"/>
    <w:rsid w:val="00635192"/>
    <w:rsid w:val="0063562A"/>
    <w:rsid w:val="006357E0"/>
    <w:rsid w:val="00635C59"/>
    <w:rsid w:val="00635CA4"/>
    <w:rsid w:val="00635D9A"/>
    <w:rsid w:val="00635E27"/>
    <w:rsid w:val="00635E50"/>
    <w:rsid w:val="00636280"/>
    <w:rsid w:val="00636422"/>
    <w:rsid w:val="0063647E"/>
    <w:rsid w:val="00636764"/>
    <w:rsid w:val="0063686C"/>
    <w:rsid w:val="006368F6"/>
    <w:rsid w:val="006369F5"/>
    <w:rsid w:val="00636B29"/>
    <w:rsid w:val="00636BD2"/>
    <w:rsid w:val="00636D4D"/>
    <w:rsid w:val="00636DDA"/>
    <w:rsid w:val="00636EA8"/>
    <w:rsid w:val="00636EE3"/>
    <w:rsid w:val="006372CA"/>
    <w:rsid w:val="0063735B"/>
    <w:rsid w:val="00637403"/>
    <w:rsid w:val="00637A73"/>
    <w:rsid w:val="00637AAD"/>
    <w:rsid w:val="00637AB1"/>
    <w:rsid w:val="00637DA6"/>
    <w:rsid w:val="00637F87"/>
    <w:rsid w:val="00640079"/>
    <w:rsid w:val="006400D2"/>
    <w:rsid w:val="00640320"/>
    <w:rsid w:val="00640520"/>
    <w:rsid w:val="00640801"/>
    <w:rsid w:val="0064096F"/>
    <w:rsid w:val="00640C5D"/>
    <w:rsid w:val="00640DE5"/>
    <w:rsid w:val="00640ECA"/>
    <w:rsid w:val="00640F70"/>
    <w:rsid w:val="00640FEF"/>
    <w:rsid w:val="00641026"/>
    <w:rsid w:val="006411C8"/>
    <w:rsid w:val="006413F1"/>
    <w:rsid w:val="00641623"/>
    <w:rsid w:val="006418D7"/>
    <w:rsid w:val="00641921"/>
    <w:rsid w:val="00641B0D"/>
    <w:rsid w:val="00641D28"/>
    <w:rsid w:val="00641EE1"/>
    <w:rsid w:val="00642028"/>
    <w:rsid w:val="00642267"/>
    <w:rsid w:val="0064227C"/>
    <w:rsid w:val="00642341"/>
    <w:rsid w:val="00642738"/>
    <w:rsid w:val="00642772"/>
    <w:rsid w:val="006427BC"/>
    <w:rsid w:val="0064289C"/>
    <w:rsid w:val="006429F0"/>
    <w:rsid w:val="00642A36"/>
    <w:rsid w:val="00642F3F"/>
    <w:rsid w:val="00642FA0"/>
    <w:rsid w:val="0064301C"/>
    <w:rsid w:val="00643025"/>
    <w:rsid w:val="006432C6"/>
    <w:rsid w:val="00643384"/>
    <w:rsid w:val="00643659"/>
    <w:rsid w:val="0064365B"/>
    <w:rsid w:val="00643B09"/>
    <w:rsid w:val="00643C7B"/>
    <w:rsid w:val="00643E89"/>
    <w:rsid w:val="00643FAC"/>
    <w:rsid w:val="0064416B"/>
    <w:rsid w:val="006441B0"/>
    <w:rsid w:val="00644347"/>
    <w:rsid w:val="0064463E"/>
    <w:rsid w:val="006449E0"/>
    <w:rsid w:val="00644A9E"/>
    <w:rsid w:val="00644B46"/>
    <w:rsid w:val="00644D92"/>
    <w:rsid w:val="00644E60"/>
    <w:rsid w:val="00644F7F"/>
    <w:rsid w:val="00645074"/>
    <w:rsid w:val="006450B8"/>
    <w:rsid w:val="00645306"/>
    <w:rsid w:val="00645637"/>
    <w:rsid w:val="00645751"/>
    <w:rsid w:val="006459B2"/>
    <w:rsid w:val="006459FD"/>
    <w:rsid w:val="00645A0E"/>
    <w:rsid w:val="00645A14"/>
    <w:rsid w:val="00645B49"/>
    <w:rsid w:val="00645B6B"/>
    <w:rsid w:val="00645BB3"/>
    <w:rsid w:val="00645BC1"/>
    <w:rsid w:val="00645D3C"/>
    <w:rsid w:val="00645FE1"/>
    <w:rsid w:val="00646278"/>
    <w:rsid w:val="00646296"/>
    <w:rsid w:val="006464FB"/>
    <w:rsid w:val="00646590"/>
    <w:rsid w:val="00646698"/>
    <w:rsid w:val="006469E4"/>
    <w:rsid w:val="00646AEE"/>
    <w:rsid w:val="00646B25"/>
    <w:rsid w:val="00646B7B"/>
    <w:rsid w:val="00646BD5"/>
    <w:rsid w:val="00646D2D"/>
    <w:rsid w:val="00646FE2"/>
    <w:rsid w:val="006470F4"/>
    <w:rsid w:val="0064711F"/>
    <w:rsid w:val="00647184"/>
    <w:rsid w:val="006471F9"/>
    <w:rsid w:val="006473B1"/>
    <w:rsid w:val="0064758D"/>
    <w:rsid w:val="006475FA"/>
    <w:rsid w:val="00647924"/>
    <w:rsid w:val="00647BA0"/>
    <w:rsid w:val="00647BBA"/>
    <w:rsid w:val="00647DD4"/>
    <w:rsid w:val="00647E75"/>
    <w:rsid w:val="00647EDE"/>
    <w:rsid w:val="00650190"/>
    <w:rsid w:val="006504CE"/>
    <w:rsid w:val="00650668"/>
    <w:rsid w:val="00650782"/>
    <w:rsid w:val="006507BE"/>
    <w:rsid w:val="006508BB"/>
    <w:rsid w:val="00650A18"/>
    <w:rsid w:val="0065106C"/>
    <w:rsid w:val="006513CD"/>
    <w:rsid w:val="0065146F"/>
    <w:rsid w:val="00651718"/>
    <w:rsid w:val="00651890"/>
    <w:rsid w:val="00651987"/>
    <w:rsid w:val="00651B48"/>
    <w:rsid w:val="00651BB3"/>
    <w:rsid w:val="00651CF8"/>
    <w:rsid w:val="006520F4"/>
    <w:rsid w:val="0065219F"/>
    <w:rsid w:val="0065223A"/>
    <w:rsid w:val="00652337"/>
    <w:rsid w:val="006523E5"/>
    <w:rsid w:val="006526FF"/>
    <w:rsid w:val="0065274B"/>
    <w:rsid w:val="006527B9"/>
    <w:rsid w:val="006527EA"/>
    <w:rsid w:val="006529CE"/>
    <w:rsid w:val="00652A35"/>
    <w:rsid w:val="00652AF6"/>
    <w:rsid w:val="00652B53"/>
    <w:rsid w:val="00652E62"/>
    <w:rsid w:val="0065312E"/>
    <w:rsid w:val="00653160"/>
    <w:rsid w:val="0065325F"/>
    <w:rsid w:val="006533E2"/>
    <w:rsid w:val="00653515"/>
    <w:rsid w:val="0065357B"/>
    <w:rsid w:val="006535A0"/>
    <w:rsid w:val="006536B6"/>
    <w:rsid w:val="006539FA"/>
    <w:rsid w:val="00653C92"/>
    <w:rsid w:val="00653E03"/>
    <w:rsid w:val="006540BB"/>
    <w:rsid w:val="00654256"/>
    <w:rsid w:val="0065430A"/>
    <w:rsid w:val="00654433"/>
    <w:rsid w:val="006544C9"/>
    <w:rsid w:val="006544D7"/>
    <w:rsid w:val="006545DF"/>
    <w:rsid w:val="00654600"/>
    <w:rsid w:val="00654B5D"/>
    <w:rsid w:val="00654BEA"/>
    <w:rsid w:val="00654CD5"/>
    <w:rsid w:val="00654E75"/>
    <w:rsid w:val="006555D1"/>
    <w:rsid w:val="0065564A"/>
    <w:rsid w:val="00655653"/>
    <w:rsid w:val="006556D2"/>
    <w:rsid w:val="006558DD"/>
    <w:rsid w:val="00655907"/>
    <w:rsid w:val="00655BE6"/>
    <w:rsid w:val="00655C0C"/>
    <w:rsid w:val="00656151"/>
    <w:rsid w:val="00656205"/>
    <w:rsid w:val="0065641B"/>
    <w:rsid w:val="006564D3"/>
    <w:rsid w:val="0065671B"/>
    <w:rsid w:val="00656873"/>
    <w:rsid w:val="0065699C"/>
    <w:rsid w:val="00656D4D"/>
    <w:rsid w:val="00656DEA"/>
    <w:rsid w:val="00656EAD"/>
    <w:rsid w:val="00656FA1"/>
    <w:rsid w:val="00656FFE"/>
    <w:rsid w:val="0065743F"/>
    <w:rsid w:val="006578EC"/>
    <w:rsid w:val="00657A6E"/>
    <w:rsid w:val="00657AAC"/>
    <w:rsid w:val="00657AD7"/>
    <w:rsid w:val="00657B30"/>
    <w:rsid w:val="00657BDC"/>
    <w:rsid w:val="00657C0F"/>
    <w:rsid w:val="00657E5B"/>
    <w:rsid w:val="00660096"/>
    <w:rsid w:val="00660339"/>
    <w:rsid w:val="006606C7"/>
    <w:rsid w:val="006606D4"/>
    <w:rsid w:val="00660727"/>
    <w:rsid w:val="00660904"/>
    <w:rsid w:val="00660B0D"/>
    <w:rsid w:val="00660B3A"/>
    <w:rsid w:val="00660B6A"/>
    <w:rsid w:val="00660D60"/>
    <w:rsid w:val="00660F33"/>
    <w:rsid w:val="006610CD"/>
    <w:rsid w:val="00661108"/>
    <w:rsid w:val="0066135D"/>
    <w:rsid w:val="00661369"/>
    <w:rsid w:val="00661520"/>
    <w:rsid w:val="00661582"/>
    <w:rsid w:val="00661704"/>
    <w:rsid w:val="0066192A"/>
    <w:rsid w:val="006619A5"/>
    <w:rsid w:val="00661AF4"/>
    <w:rsid w:val="00661B18"/>
    <w:rsid w:val="00661DEB"/>
    <w:rsid w:val="00661E4D"/>
    <w:rsid w:val="00661F86"/>
    <w:rsid w:val="006620A3"/>
    <w:rsid w:val="00662131"/>
    <w:rsid w:val="00662256"/>
    <w:rsid w:val="00662447"/>
    <w:rsid w:val="00662665"/>
    <w:rsid w:val="0066266F"/>
    <w:rsid w:val="00662757"/>
    <w:rsid w:val="00662AE0"/>
    <w:rsid w:val="00662B53"/>
    <w:rsid w:val="00662FC5"/>
    <w:rsid w:val="006632A8"/>
    <w:rsid w:val="006634A3"/>
    <w:rsid w:val="006634FC"/>
    <w:rsid w:val="00663523"/>
    <w:rsid w:val="00663964"/>
    <w:rsid w:val="00663BA1"/>
    <w:rsid w:val="00663E20"/>
    <w:rsid w:val="00663F9E"/>
    <w:rsid w:val="00664090"/>
    <w:rsid w:val="00664288"/>
    <w:rsid w:val="00664308"/>
    <w:rsid w:val="00664328"/>
    <w:rsid w:val="00664355"/>
    <w:rsid w:val="00664684"/>
    <w:rsid w:val="006648F9"/>
    <w:rsid w:val="00664D66"/>
    <w:rsid w:val="00665003"/>
    <w:rsid w:val="0066530F"/>
    <w:rsid w:val="006655CF"/>
    <w:rsid w:val="00665C08"/>
    <w:rsid w:val="00665C81"/>
    <w:rsid w:val="00665D29"/>
    <w:rsid w:val="00665F65"/>
    <w:rsid w:val="00665F99"/>
    <w:rsid w:val="00665FC0"/>
    <w:rsid w:val="006660A6"/>
    <w:rsid w:val="00666369"/>
    <w:rsid w:val="006664B8"/>
    <w:rsid w:val="006668D6"/>
    <w:rsid w:val="006669C6"/>
    <w:rsid w:val="00666F27"/>
    <w:rsid w:val="0066735C"/>
    <w:rsid w:val="00667363"/>
    <w:rsid w:val="00667456"/>
    <w:rsid w:val="00667492"/>
    <w:rsid w:val="006674BD"/>
    <w:rsid w:val="0066755A"/>
    <w:rsid w:val="00667699"/>
    <w:rsid w:val="0066773D"/>
    <w:rsid w:val="006677E1"/>
    <w:rsid w:val="00667B61"/>
    <w:rsid w:val="00667BFC"/>
    <w:rsid w:val="00667C8B"/>
    <w:rsid w:val="00667D05"/>
    <w:rsid w:val="00667E2B"/>
    <w:rsid w:val="00667E33"/>
    <w:rsid w:val="00670025"/>
    <w:rsid w:val="006701F5"/>
    <w:rsid w:val="0067048A"/>
    <w:rsid w:val="00670549"/>
    <w:rsid w:val="006705A3"/>
    <w:rsid w:val="006706FA"/>
    <w:rsid w:val="00670728"/>
    <w:rsid w:val="006709DE"/>
    <w:rsid w:val="00670DD8"/>
    <w:rsid w:val="006710E8"/>
    <w:rsid w:val="006712C7"/>
    <w:rsid w:val="006717E1"/>
    <w:rsid w:val="00671A8D"/>
    <w:rsid w:val="00671F56"/>
    <w:rsid w:val="006720A1"/>
    <w:rsid w:val="006720A8"/>
    <w:rsid w:val="0067217F"/>
    <w:rsid w:val="0067228D"/>
    <w:rsid w:val="006724F6"/>
    <w:rsid w:val="00672587"/>
    <w:rsid w:val="006726D5"/>
    <w:rsid w:val="00672BCE"/>
    <w:rsid w:val="00672F0B"/>
    <w:rsid w:val="00672F47"/>
    <w:rsid w:val="00672F92"/>
    <w:rsid w:val="006731E5"/>
    <w:rsid w:val="0067334C"/>
    <w:rsid w:val="0067362C"/>
    <w:rsid w:val="00673636"/>
    <w:rsid w:val="00673969"/>
    <w:rsid w:val="006739D0"/>
    <w:rsid w:val="00673AED"/>
    <w:rsid w:val="00673B7C"/>
    <w:rsid w:val="00673D6C"/>
    <w:rsid w:val="00673EB1"/>
    <w:rsid w:val="0067403D"/>
    <w:rsid w:val="006742BA"/>
    <w:rsid w:val="0067431D"/>
    <w:rsid w:val="0067443A"/>
    <w:rsid w:val="006745A4"/>
    <w:rsid w:val="006747CC"/>
    <w:rsid w:val="00674839"/>
    <w:rsid w:val="00674864"/>
    <w:rsid w:val="0067492B"/>
    <w:rsid w:val="006749C1"/>
    <w:rsid w:val="00674DF4"/>
    <w:rsid w:val="00674E77"/>
    <w:rsid w:val="00674EC3"/>
    <w:rsid w:val="00674EE9"/>
    <w:rsid w:val="0067505B"/>
    <w:rsid w:val="0067512F"/>
    <w:rsid w:val="00675248"/>
    <w:rsid w:val="0067531E"/>
    <w:rsid w:val="006753A9"/>
    <w:rsid w:val="0067551B"/>
    <w:rsid w:val="006755FA"/>
    <w:rsid w:val="006756FA"/>
    <w:rsid w:val="00675725"/>
    <w:rsid w:val="00675789"/>
    <w:rsid w:val="0067598E"/>
    <w:rsid w:val="006759BE"/>
    <w:rsid w:val="00675A46"/>
    <w:rsid w:val="00675E6A"/>
    <w:rsid w:val="00675F19"/>
    <w:rsid w:val="00676157"/>
    <w:rsid w:val="006762BA"/>
    <w:rsid w:val="006766FE"/>
    <w:rsid w:val="00676766"/>
    <w:rsid w:val="00676774"/>
    <w:rsid w:val="00676E07"/>
    <w:rsid w:val="00676EFC"/>
    <w:rsid w:val="00676F42"/>
    <w:rsid w:val="006771D0"/>
    <w:rsid w:val="0067724F"/>
    <w:rsid w:val="006772CE"/>
    <w:rsid w:val="00677503"/>
    <w:rsid w:val="00677692"/>
    <w:rsid w:val="00677902"/>
    <w:rsid w:val="00677CC7"/>
    <w:rsid w:val="00677F46"/>
    <w:rsid w:val="00677F8F"/>
    <w:rsid w:val="006802BC"/>
    <w:rsid w:val="006803BC"/>
    <w:rsid w:val="006803C9"/>
    <w:rsid w:val="0068050E"/>
    <w:rsid w:val="00680546"/>
    <w:rsid w:val="00680583"/>
    <w:rsid w:val="00680607"/>
    <w:rsid w:val="00680721"/>
    <w:rsid w:val="006809EC"/>
    <w:rsid w:val="00680A35"/>
    <w:rsid w:val="00680A39"/>
    <w:rsid w:val="00680B13"/>
    <w:rsid w:val="00680B37"/>
    <w:rsid w:val="00680B5B"/>
    <w:rsid w:val="00680E5B"/>
    <w:rsid w:val="00680F24"/>
    <w:rsid w:val="006810F7"/>
    <w:rsid w:val="00681165"/>
    <w:rsid w:val="006814DF"/>
    <w:rsid w:val="006814F1"/>
    <w:rsid w:val="0068155C"/>
    <w:rsid w:val="00681BDE"/>
    <w:rsid w:val="00681C40"/>
    <w:rsid w:val="00681CB9"/>
    <w:rsid w:val="00681CD7"/>
    <w:rsid w:val="00681EDA"/>
    <w:rsid w:val="00681F08"/>
    <w:rsid w:val="00681F14"/>
    <w:rsid w:val="0068219C"/>
    <w:rsid w:val="0068221A"/>
    <w:rsid w:val="006823DF"/>
    <w:rsid w:val="006824D1"/>
    <w:rsid w:val="00682598"/>
    <w:rsid w:val="00682762"/>
    <w:rsid w:val="00682A11"/>
    <w:rsid w:val="00682BC8"/>
    <w:rsid w:val="00682BF2"/>
    <w:rsid w:val="0068304C"/>
    <w:rsid w:val="00683127"/>
    <w:rsid w:val="006834DF"/>
    <w:rsid w:val="00683808"/>
    <w:rsid w:val="00683A50"/>
    <w:rsid w:val="00683D06"/>
    <w:rsid w:val="00683F30"/>
    <w:rsid w:val="006842A2"/>
    <w:rsid w:val="00684325"/>
    <w:rsid w:val="0068433F"/>
    <w:rsid w:val="006844BE"/>
    <w:rsid w:val="0068455A"/>
    <w:rsid w:val="00684616"/>
    <w:rsid w:val="00684707"/>
    <w:rsid w:val="006848DF"/>
    <w:rsid w:val="00684972"/>
    <w:rsid w:val="006849F4"/>
    <w:rsid w:val="00684A52"/>
    <w:rsid w:val="00684AF8"/>
    <w:rsid w:val="00684C9E"/>
    <w:rsid w:val="006850C7"/>
    <w:rsid w:val="00685262"/>
    <w:rsid w:val="006854D3"/>
    <w:rsid w:val="006855C2"/>
    <w:rsid w:val="006855F3"/>
    <w:rsid w:val="00685743"/>
    <w:rsid w:val="006857B5"/>
    <w:rsid w:val="00685850"/>
    <w:rsid w:val="00685871"/>
    <w:rsid w:val="00685919"/>
    <w:rsid w:val="006859FC"/>
    <w:rsid w:val="00685C26"/>
    <w:rsid w:val="00685F0D"/>
    <w:rsid w:val="00685F5A"/>
    <w:rsid w:val="00686032"/>
    <w:rsid w:val="006860BB"/>
    <w:rsid w:val="0068615B"/>
    <w:rsid w:val="006861AE"/>
    <w:rsid w:val="00686228"/>
    <w:rsid w:val="00686363"/>
    <w:rsid w:val="00686388"/>
    <w:rsid w:val="006867E8"/>
    <w:rsid w:val="00686847"/>
    <w:rsid w:val="00686C7D"/>
    <w:rsid w:val="00686D57"/>
    <w:rsid w:val="00686E79"/>
    <w:rsid w:val="00686E82"/>
    <w:rsid w:val="00687242"/>
    <w:rsid w:val="00687244"/>
    <w:rsid w:val="0068725A"/>
    <w:rsid w:val="00687397"/>
    <w:rsid w:val="006873C6"/>
    <w:rsid w:val="00687408"/>
    <w:rsid w:val="00687470"/>
    <w:rsid w:val="00687598"/>
    <w:rsid w:val="006875F7"/>
    <w:rsid w:val="00687648"/>
    <w:rsid w:val="0068766B"/>
    <w:rsid w:val="0068773F"/>
    <w:rsid w:val="00687779"/>
    <w:rsid w:val="006879AD"/>
    <w:rsid w:val="00687B7B"/>
    <w:rsid w:val="00687B92"/>
    <w:rsid w:val="00687C24"/>
    <w:rsid w:val="0069012A"/>
    <w:rsid w:val="0069027D"/>
    <w:rsid w:val="006902FC"/>
    <w:rsid w:val="006908F7"/>
    <w:rsid w:val="00690BE4"/>
    <w:rsid w:val="00690CC4"/>
    <w:rsid w:val="00690D77"/>
    <w:rsid w:val="00690E5E"/>
    <w:rsid w:val="00691159"/>
    <w:rsid w:val="006911BB"/>
    <w:rsid w:val="006913B3"/>
    <w:rsid w:val="0069175E"/>
    <w:rsid w:val="00691A18"/>
    <w:rsid w:val="00691A6D"/>
    <w:rsid w:val="00691B9E"/>
    <w:rsid w:val="00691CDF"/>
    <w:rsid w:val="00691D15"/>
    <w:rsid w:val="00691EDA"/>
    <w:rsid w:val="006920F5"/>
    <w:rsid w:val="006924CE"/>
    <w:rsid w:val="0069274C"/>
    <w:rsid w:val="00692803"/>
    <w:rsid w:val="00692858"/>
    <w:rsid w:val="00692AF1"/>
    <w:rsid w:val="00692D95"/>
    <w:rsid w:val="00692DC4"/>
    <w:rsid w:val="00692EA2"/>
    <w:rsid w:val="00693180"/>
    <w:rsid w:val="00693631"/>
    <w:rsid w:val="006936EC"/>
    <w:rsid w:val="0069375A"/>
    <w:rsid w:val="00693D9A"/>
    <w:rsid w:val="00693E5D"/>
    <w:rsid w:val="00693FC8"/>
    <w:rsid w:val="0069410A"/>
    <w:rsid w:val="0069424A"/>
    <w:rsid w:val="00694405"/>
    <w:rsid w:val="006944E8"/>
    <w:rsid w:val="00694791"/>
    <w:rsid w:val="006947ED"/>
    <w:rsid w:val="00694825"/>
    <w:rsid w:val="00694B28"/>
    <w:rsid w:val="00694B99"/>
    <w:rsid w:val="00694C15"/>
    <w:rsid w:val="00695052"/>
    <w:rsid w:val="00695300"/>
    <w:rsid w:val="00695395"/>
    <w:rsid w:val="006953F6"/>
    <w:rsid w:val="006954BC"/>
    <w:rsid w:val="006954E0"/>
    <w:rsid w:val="0069578A"/>
    <w:rsid w:val="00695792"/>
    <w:rsid w:val="00695B8C"/>
    <w:rsid w:val="00695BF3"/>
    <w:rsid w:val="00695C43"/>
    <w:rsid w:val="00695CA6"/>
    <w:rsid w:val="00695CB3"/>
    <w:rsid w:val="00695E7C"/>
    <w:rsid w:val="0069605E"/>
    <w:rsid w:val="0069611F"/>
    <w:rsid w:val="0069624C"/>
    <w:rsid w:val="0069632A"/>
    <w:rsid w:val="00696630"/>
    <w:rsid w:val="006966AC"/>
    <w:rsid w:val="0069677D"/>
    <w:rsid w:val="0069681C"/>
    <w:rsid w:val="00696827"/>
    <w:rsid w:val="006968D5"/>
    <w:rsid w:val="00696B10"/>
    <w:rsid w:val="00696B27"/>
    <w:rsid w:val="00696B48"/>
    <w:rsid w:val="00696D37"/>
    <w:rsid w:val="00696E14"/>
    <w:rsid w:val="00696E18"/>
    <w:rsid w:val="00696F20"/>
    <w:rsid w:val="00697145"/>
    <w:rsid w:val="006971EA"/>
    <w:rsid w:val="0069728B"/>
    <w:rsid w:val="0069746B"/>
    <w:rsid w:val="006975C1"/>
    <w:rsid w:val="00697806"/>
    <w:rsid w:val="0069787F"/>
    <w:rsid w:val="00697941"/>
    <w:rsid w:val="00697A8A"/>
    <w:rsid w:val="00697AE6"/>
    <w:rsid w:val="00697C58"/>
    <w:rsid w:val="00697CE9"/>
    <w:rsid w:val="00697DDC"/>
    <w:rsid w:val="00697E21"/>
    <w:rsid w:val="00697E33"/>
    <w:rsid w:val="00697F0D"/>
    <w:rsid w:val="006A002D"/>
    <w:rsid w:val="006A0423"/>
    <w:rsid w:val="006A042E"/>
    <w:rsid w:val="006A0431"/>
    <w:rsid w:val="006A0471"/>
    <w:rsid w:val="006A06B9"/>
    <w:rsid w:val="006A07A7"/>
    <w:rsid w:val="006A0A35"/>
    <w:rsid w:val="006A0BAC"/>
    <w:rsid w:val="006A0C47"/>
    <w:rsid w:val="006A0E6F"/>
    <w:rsid w:val="006A1039"/>
    <w:rsid w:val="006A11A8"/>
    <w:rsid w:val="006A15BF"/>
    <w:rsid w:val="006A1747"/>
    <w:rsid w:val="006A181B"/>
    <w:rsid w:val="006A1977"/>
    <w:rsid w:val="006A1A27"/>
    <w:rsid w:val="006A1E9A"/>
    <w:rsid w:val="006A2032"/>
    <w:rsid w:val="006A22A8"/>
    <w:rsid w:val="006A24AB"/>
    <w:rsid w:val="006A2681"/>
    <w:rsid w:val="006A26FA"/>
    <w:rsid w:val="006A29B0"/>
    <w:rsid w:val="006A2D99"/>
    <w:rsid w:val="006A2F25"/>
    <w:rsid w:val="006A3055"/>
    <w:rsid w:val="006A318C"/>
    <w:rsid w:val="006A31A1"/>
    <w:rsid w:val="006A3237"/>
    <w:rsid w:val="006A32CD"/>
    <w:rsid w:val="006A34D6"/>
    <w:rsid w:val="006A38E1"/>
    <w:rsid w:val="006A3C3C"/>
    <w:rsid w:val="006A3CCD"/>
    <w:rsid w:val="006A409F"/>
    <w:rsid w:val="006A40C9"/>
    <w:rsid w:val="006A4196"/>
    <w:rsid w:val="006A41B7"/>
    <w:rsid w:val="006A4332"/>
    <w:rsid w:val="006A43CD"/>
    <w:rsid w:val="006A4477"/>
    <w:rsid w:val="006A48C8"/>
    <w:rsid w:val="006A48EF"/>
    <w:rsid w:val="006A4DDB"/>
    <w:rsid w:val="006A5255"/>
    <w:rsid w:val="006A538C"/>
    <w:rsid w:val="006A53AC"/>
    <w:rsid w:val="006A53EB"/>
    <w:rsid w:val="006A54A1"/>
    <w:rsid w:val="006A57F9"/>
    <w:rsid w:val="006A5845"/>
    <w:rsid w:val="006A5A43"/>
    <w:rsid w:val="006A5B44"/>
    <w:rsid w:val="006A5B4F"/>
    <w:rsid w:val="006A5B52"/>
    <w:rsid w:val="006A5B8B"/>
    <w:rsid w:val="006A5BFA"/>
    <w:rsid w:val="006A5DC4"/>
    <w:rsid w:val="006A6045"/>
    <w:rsid w:val="006A607A"/>
    <w:rsid w:val="006A607B"/>
    <w:rsid w:val="006A61E1"/>
    <w:rsid w:val="006A61FE"/>
    <w:rsid w:val="006A6454"/>
    <w:rsid w:val="006A64CD"/>
    <w:rsid w:val="006A6600"/>
    <w:rsid w:val="006A6693"/>
    <w:rsid w:val="006A6720"/>
    <w:rsid w:val="006A68CD"/>
    <w:rsid w:val="006A68F5"/>
    <w:rsid w:val="006A6A5E"/>
    <w:rsid w:val="006A6B41"/>
    <w:rsid w:val="006A6BBC"/>
    <w:rsid w:val="006A71C9"/>
    <w:rsid w:val="006A7361"/>
    <w:rsid w:val="006A74FB"/>
    <w:rsid w:val="006A759D"/>
    <w:rsid w:val="006A7606"/>
    <w:rsid w:val="006A766A"/>
    <w:rsid w:val="006A772A"/>
    <w:rsid w:val="006A7D9E"/>
    <w:rsid w:val="006A7E2A"/>
    <w:rsid w:val="006A7EB3"/>
    <w:rsid w:val="006AE245"/>
    <w:rsid w:val="006B0131"/>
    <w:rsid w:val="006B0317"/>
    <w:rsid w:val="006B064F"/>
    <w:rsid w:val="006B08C2"/>
    <w:rsid w:val="006B08E0"/>
    <w:rsid w:val="006B0A0A"/>
    <w:rsid w:val="006B0B96"/>
    <w:rsid w:val="006B0DD9"/>
    <w:rsid w:val="006B0E8A"/>
    <w:rsid w:val="006B0FAA"/>
    <w:rsid w:val="006B1001"/>
    <w:rsid w:val="006B10E7"/>
    <w:rsid w:val="006B134A"/>
    <w:rsid w:val="006B178C"/>
    <w:rsid w:val="006B18A7"/>
    <w:rsid w:val="006B1CED"/>
    <w:rsid w:val="006B1DB3"/>
    <w:rsid w:val="006B1E57"/>
    <w:rsid w:val="006B1F51"/>
    <w:rsid w:val="006B1FB4"/>
    <w:rsid w:val="006B233C"/>
    <w:rsid w:val="006B2355"/>
    <w:rsid w:val="006B2375"/>
    <w:rsid w:val="006B284B"/>
    <w:rsid w:val="006B3006"/>
    <w:rsid w:val="006B34F1"/>
    <w:rsid w:val="006B3532"/>
    <w:rsid w:val="006B35D7"/>
    <w:rsid w:val="006B3653"/>
    <w:rsid w:val="006B3948"/>
    <w:rsid w:val="006B396F"/>
    <w:rsid w:val="006B3B06"/>
    <w:rsid w:val="006B3BF3"/>
    <w:rsid w:val="006B3EEC"/>
    <w:rsid w:val="006B3F91"/>
    <w:rsid w:val="006B3FE4"/>
    <w:rsid w:val="006B44EE"/>
    <w:rsid w:val="006B47B4"/>
    <w:rsid w:val="006B4A0A"/>
    <w:rsid w:val="006B4AC7"/>
    <w:rsid w:val="006B4BE9"/>
    <w:rsid w:val="006B4D40"/>
    <w:rsid w:val="006B4D48"/>
    <w:rsid w:val="006B4E65"/>
    <w:rsid w:val="006B4FAE"/>
    <w:rsid w:val="006B5196"/>
    <w:rsid w:val="006B52F9"/>
    <w:rsid w:val="006B5340"/>
    <w:rsid w:val="006B55CB"/>
    <w:rsid w:val="006B58FE"/>
    <w:rsid w:val="006B5AF9"/>
    <w:rsid w:val="006B5BC6"/>
    <w:rsid w:val="006B5BE6"/>
    <w:rsid w:val="006B5D6F"/>
    <w:rsid w:val="006B6349"/>
    <w:rsid w:val="006B63F0"/>
    <w:rsid w:val="006B63F8"/>
    <w:rsid w:val="006B66AF"/>
    <w:rsid w:val="006B66B9"/>
    <w:rsid w:val="006B6827"/>
    <w:rsid w:val="006B695A"/>
    <w:rsid w:val="006B6AF9"/>
    <w:rsid w:val="006B6B58"/>
    <w:rsid w:val="006B6BE1"/>
    <w:rsid w:val="006B6CEC"/>
    <w:rsid w:val="006B6E3B"/>
    <w:rsid w:val="006B6E4D"/>
    <w:rsid w:val="006B6F32"/>
    <w:rsid w:val="006B6FAC"/>
    <w:rsid w:val="006B7071"/>
    <w:rsid w:val="006B714B"/>
    <w:rsid w:val="006B7173"/>
    <w:rsid w:val="006B71B1"/>
    <w:rsid w:val="006B726F"/>
    <w:rsid w:val="006B73EE"/>
    <w:rsid w:val="006B7587"/>
    <w:rsid w:val="006B78F3"/>
    <w:rsid w:val="006B7B15"/>
    <w:rsid w:val="006B7D5D"/>
    <w:rsid w:val="006B7F41"/>
    <w:rsid w:val="006C0121"/>
    <w:rsid w:val="006C012B"/>
    <w:rsid w:val="006C0163"/>
    <w:rsid w:val="006C01A9"/>
    <w:rsid w:val="006C0203"/>
    <w:rsid w:val="006C02B0"/>
    <w:rsid w:val="006C0304"/>
    <w:rsid w:val="006C0593"/>
    <w:rsid w:val="006C05EC"/>
    <w:rsid w:val="006C0682"/>
    <w:rsid w:val="006C069B"/>
    <w:rsid w:val="006C0835"/>
    <w:rsid w:val="006C0A48"/>
    <w:rsid w:val="006C0C9C"/>
    <w:rsid w:val="006C0D2A"/>
    <w:rsid w:val="006C1048"/>
    <w:rsid w:val="006C1281"/>
    <w:rsid w:val="006C1301"/>
    <w:rsid w:val="006C14F6"/>
    <w:rsid w:val="006C16AF"/>
    <w:rsid w:val="006C178F"/>
    <w:rsid w:val="006C1A02"/>
    <w:rsid w:val="006C1BE7"/>
    <w:rsid w:val="006C1C04"/>
    <w:rsid w:val="006C1D75"/>
    <w:rsid w:val="006C1DC5"/>
    <w:rsid w:val="006C228A"/>
    <w:rsid w:val="006C251E"/>
    <w:rsid w:val="006C255F"/>
    <w:rsid w:val="006C26B3"/>
    <w:rsid w:val="006C273C"/>
    <w:rsid w:val="006C2906"/>
    <w:rsid w:val="006C2A42"/>
    <w:rsid w:val="006C2B81"/>
    <w:rsid w:val="006C2BCE"/>
    <w:rsid w:val="006C2C3F"/>
    <w:rsid w:val="006C2DE1"/>
    <w:rsid w:val="006C2E11"/>
    <w:rsid w:val="006C2F8F"/>
    <w:rsid w:val="006C3281"/>
    <w:rsid w:val="006C32FB"/>
    <w:rsid w:val="006C3325"/>
    <w:rsid w:val="006C3470"/>
    <w:rsid w:val="006C35D9"/>
    <w:rsid w:val="006C361B"/>
    <w:rsid w:val="006C3703"/>
    <w:rsid w:val="006C381C"/>
    <w:rsid w:val="006C386E"/>
    <w:rsid w:val="006C39F0"/>
    <w:rsid w:val="006C3A01"/>
    <w:rsid w:val="006C3AF4"/>
    <w:rsid w:val="006C3DBE"/>
    <w:rsid w:val="006C3E46"/>
    <w:rsid w:val="006C3FAF"/>
    <w:rsid w:val="006C40DB"/>
    <w:rsid w:val="006C4318"/>
    <w:rsid w:val="006C43ED"/>
    <w:rsid w:val="006C4442"/>
    <w:rsid w:val="006C460E"/>
    <w:rsid w:val="006C47A7"/>
    <w:rsid w:val="006C49A6"/>
    <w:rsid w:val="006C4A9D"/>
    <w:rsid w:val="006C4AC2"/>
    <w:rsid w:val="006C4AEA"/>
    <w:rsid w:val="006C4B76"/>
    <w:rsid w:val="006C4C9B"/>
    <w:rsid w:val="006C4C9F"/>
    <w:rsid w:val="006C52EC"/>
    <w:rsid w:val="006C54E2"/>
    <w:rsid w:val="006C5592"/>
    <w:rsid w:val="006C55A1"/>
    <w:rsid w:val="006C58C0"/>
    <w:rsid w:val="006C59F1"/>
    <w:rsid w:val="006C5C47"/>
    <w:rsid w:val="006C5E97"/>
    <w:rsid w:val="006C61B3"/>
    <w:rsid w:val="006C63F0"/>
    <w:rsid w:val="006C644F"/>
    <w:rsid w:val="006C64B2"/>
    <w:rsid w:val="006C6676"/>
    <w:rsid w:val="006C6CC2"/>
    <w:rsid w:val="006C6DB4"/>
    <w:rsid w:val="006C7021"/>
    <w:rsid w:val="006C7107"/>
    <w:rsid w:val="006C718E"/>
    <w:rsid w:val="006C7A43"/>
    <w:rsid w:val="006C7D2E"/>
    <w:rsid w:val="006C7E45"/>
    <w:rsid w:val="006C7F1E"/>
    <w:rsid w:val="006C7F71"/>
    <w:rsid w:val="006D00A9"/>
    <w:rsid w:val="006D00E0"/>
    <w:rsid w:val="006D0106"/>
    <w:rsid w:val="006D0197"/>
    <w:rsid w:val="006D0341"/>
    <w:rsid w:val="006D03CF"/>
    <w:rsid w:val="006D04EB"/>
    <w:rsid w:val="006D061A"/>
    <w:rsid w:val="006D0C3C"/>
    <w:rsid w:val="006D0F64"/>
    <w:rsid w:val="006D105D"/>
    <w:rsid w:val="006D1153"/>
    <w:rsid w:val="006D1190"/>
    <w:rsid w:val="006D1346"/>
    <w:rsid w:val="006D167D"/>
    <w:rsid w:val="006D183E"/>
    <w:rsid w:val="006D1E84"/>
    <w:rsid w:val="006D1FE3"/>
    <w:rsid w:val="006D2093"/>
    <w:rsid w:val="006D2305"/>
    <w:rsid w:val="006D23F4"/>
    <w:rsid w:val="006D2428"/>
    <w:rsid w:val="006D2988"/>
    <w:rsid w:val="006D2B26"/>
    <w:rsid w:val="006D2FAC"/>
    <w:rsid w:val="006D307E"/>
    <w:rsid w:val="006D3099"/>
    <w:rsid w:val="006D34D7"/>
    <w:rsid w:val="006D3576"/>
    <w:rsid w:val="006D3706"/>
    <w:rsid w:val="006D38BD"/>
    <w:rsid w:val="006D3A6E"/>
    <w:rsid w:val="006D3ABB"/>
    <w:rsid w:val="006D3CFA"/>
    <w:rsid w:val="006D41D1"/>
    <w:rsid w:val="006D4472"/>
    <w:rsid w:val="006D465A"/>
    <w:rsid w:val="006D488A"/>
    <w:rsid w:val="006D490F"/>
    <w:rsid w:val="006D4B79"/>
    <w:rsid w:val="006D4BBE"/>
    <w:rsid w:val="006D4F7B"/>
    <w:rsid w:val="006D4F86"/>
    <w:rsid w:val="006D5092"/>
    <w:rsid w:val="006D5127"/>
    <w:rsid w:val="006D5318"/>
    <w:rsid w:val="006D5353"/>
    <w:rsid w:val="006D5406"/>
    <w:rsid w:val="006D543A"/>
    <w:rsid w:val="006D54B3"/>
    <w:rsid w:val="006D555A"/>
    <w:rsid w:val="006D57AD"/>
    <w:rsid w:val="006D5880"/>
    <w:rsid w:val="006D5AE7"/>
    <w:rsid w:val="006D5BBF"/>
    <w:rsid w:val="006D60E8"/>
    <w:rsid w:val="006D621B"/>
    <w:rsid w:val="006D6229"/>
    <w:rsid w:val="006D63B0"/>
    <w:rsid w:val="006D64AC"/>
    <w:rsid w:val="006D6688"/>
    <w:rsid w:val="006D66AD"/>
    <w:rsid w:val="006D69F8"/>
    <w:rsid w:val="006D6A9C"/>
    <w:rsid w:val="006D6B1D"/>
    <w:rsid w:val="006D6B98"/>
    <w:rsid w:val="006D6C11"/>
    <w:rsid w:val="006D6CAF"/>
    <w:rsid w:val="006D6CFF"/>
    <w:rsid w:val="006D6D78"/>
    <w:rsid w:val="006D6FF0"/>
    <w:rsid w:val="006D73C5"/>
    <w:rsid w:val="006D75D8"/>
    <w:rsid w:val="006D797F"/>
    <w:rsid w:val="006D79AF"/>
    <w:rsid w:val="006D7C63"/>
    <w:rsid w:val="006D7C9E"/>
    <w:rsid w:val="006D7CB8"/>
    <w:rsid w:val="006D7D09"/>
    <w:rsid w:val="006D7E1D"/>
    <w:rsid w:val="006D7E7B"/>
    <w:rsid w:val="006E00AD"/>
    <w:rsid w:val="006E017E"/>
    <w:rsid w:val="006E0378"/>
    <w:rsid w:val="006E043B"/>
    <w:rsid w:val="006E04BE"/>
    <w:rsid w:val="006E0533"/>
    <w:rsid w:val="006E067F"/>
    <w:rsid w:val="006E06D9"/>
    <w:rsid w:val="006E07D3"/>
    <w:rsid w:val="006E07DB"/>
    <w:rsid w:val="006E08A2"/>
    <w:rsid w:val="006E08B7"/>
    <w:rsid w:val="006E09B8"/>
    <w:rsid w:val="006E0B5E"/>
    <w:rsid w:val="006E0B6B"/>
    <w:rsid w:val="006E0C44"/>
    <w:rsid w:val="006E0E3B"/>
    <w:rsid w:val="006E0EE8"/>
    <w:rsid w:val="006E0F0C"/>
    <w:rsid w:val="006E0F12"/>
    <w:rsid w:val="006E0F15"/>
    <w:rsid w:val="006E0F49"/>
    <w:rsid w:val="006E103A"/>
    <w:rsid w:val="006E1185"/>
    <w:rsid w:val="006E1203"/>
    <w:rsid w:val="006E121A"/>
    <w:rsid w:val="006E156F"/>
    <w:rsid w:val="006E160B"/>
    <w:rsid w:val="006E166E"/>
    <w:rsid w:val="006E1699"/>
    <w:rsid w:val="006E16CD"/>
    <w:rsid w:val="006E18AC"/>
    <w:rsid w:val="006E18F6"/>
    <w:rsid w:val="006E1D81"/>
    <w:rsid w:val="006E1FAF"/>
    <w:rsid w:val="006E200A"/>
    <w:rsid w:val="006E21D4"/>
    <w:rsid w:val="006E2383"/>
    <w:rsid w:val="006E23D2"/>
    <w:rsid w:val="006E246D"/>
    <w:rsid w:val="006E275F"/>
    <w:rsid w:val="006E2848"/>
    <w:rsid w:val="006E297C"/>
    <w:rsid w:val="006E2D5C"/>
    <w:rsid w:val="006E2DB0"/>
    <w:rsid w:val="006E2EA2"/>
    <w:rsid w:val="006E2ED1"/>
    <w:rsid w:val="006E304B"/>
    <w:rsid w:val="006E3077"/>
    <w:rsid w:val="006E3294"/>
    <w:rsid w:val="006E32BF"/>
    <w:rsid w:val="006E34E2"/>
    <w:rsid w:val="006E3812"/>
    <w:rsid w:val="006E3973"/>
    <w:rsid w:val="006E39A2"/>
    <w:rsid w:val="006E3C05"/>
    <w:rsid w:val="006E3D84"/>
    <w:rsid w:val="006E3DBB"/>
    <w:rsid w:val="006E4449"/>
    <w:rsid w:val="006E4914"/>
    <w:rsid w:val="006E492B"/>
    <w:rsid w:val="006E497C"/>
    <w:rsid w:val="006E4980"/>
    <w:rsid w:val="006E4C09"/>
    <w:rsid w:val="006E4C7E"/>
    <w:rsid w:val="006E4CAC"/>
    <w:rsid w:val="006E4F18"/>
    <w:rsid w:val="006E5093"/>
    <w:rsid w:val="006E51EE"/>
    <w:rsid w:val="006E5216"/>
    <w:rsid w:val="006E527F"/>
    <w:rsid w:val="006E577D"/>
    <w:rsid w:val="006E5999"/>
    <w:rsid w:val="006E59B0"/>
    <w:rsid w:val="006E5DB8"/>
    <w:rsid w:val="006E5E8A"/>
    <w:rsid w:val="006E61B4"/>
    <w:rsid w:val="006E621F"/>
    <w:rsid w:val="006E658E"/>
    <w:rsid w:val="006E662F"/>
    <w:rsid w:val="006E672C"/>
    <w:rsid w:val="006E6A29"/>
    <w:rsid w:val="006E6AF9"/>
    <w:rsid w:val="006E6B4C"/>
    <w:rsid w:val="006E6B91"/>
    <w:rsid w:val="006E6C6C"/>
    <w:rsid w:val="006E6D5C"/>
    <w:rsid w:val="006E6EE8"/>
    <w:rsid w:val="006E70A9"/>
    <w:rsid w:val="006E72E1"/>
    <w:rsid w:val="006E75EE"/>
    <w:rsid w:val="006E7A3A"/>
    <w:rsid w:val="006E7D14"/>
    <w:rsid w:val="006E7EBC"/>
    <w:rsid w:val="006E7FA1"/>
    <w:rsid w:val="006E7FB8"/>
    <w:rsid w:val="006E7FD7"/>
    <w:rsid w:val="006F02D0"/>
    <w:rsid w:val="006F0545"/>
    <w:rsid w:val="006F0600"/>
    <w:rsid w:val="006F0776"/>
    <w:rsid w:val="006F0792"/>
    <w:rsid w:val="006F0937"/>
    <w:rsid w:val="006F09BB"/>
    <w:rsid w:val="006F0A28"/>
    <w:rsid w:val="006F0A55"/>
    <w:rsid w:val="006F0BDF"/>
    <w:rsid w:val="006F0F5B"/>
    <w:rsid w:val="006F0F67"/>
    <w:rsid w:val="006F0FB5"/>
    <w:rsid w:val="006F10B6"/>
    <w:rsid w:val="006F113D"/>
    <w:rsid w:val="006F116E"/>
    <w:rsid w:val="006F13F0"/>
    <w:rsid w:val="006F1479"/>
    <w:rsid w:val="006F1506"/>
    <w:rsid w:val="006F1618"/>
    <w:rsid w:val="006F1780"/>
    <w:rsid w:val="006F1A9D"/>
    <w:rsid w:val="006F1C72"/>
    <w:rsid w:val="006F1CA8"/>
    <w:rsid w:val="006F1D62"/>
    <w:rsid w:val="006F1F12"/>
    <w:rsid w:val="006F1F53"/>
    <w:rsid w:val="006F20FB"/>
    <w:rsid w:val="006F23D7"/>
    <w:rsid w:val="006F2518"/>
    <w:rsid w:val="006F25AF"/>
    <w:rsid w:val="006F2782"/>
    <w:rsid w:val="006F28E2"/>
    <w:rsid w:val="006F29CA"/>
    <w:rsid w:val="006F2BD4"/>
    <w:rsid w:val="006F2C69"/>
    <w:rsid w:val="006F2CA1"/>
    <w:rsid w:val="006F2DB1"/>
    <w:rsid w:val="006F2E09"/>
    <w:rsid w:val="006F2E61"/>
    <w:rsid w:val="006F3113"/>
    <w:rsid w:val="006F35EF"/>
    <w:rsid w:val="006F36D8"/>
    <w:rsid w:val="006F36DC"/>
    <w:rsid w:val="006F36FA"/>
    <w:rsid w:val="006F37B0"/>
    <w:rsid w:val="006F3810"/>
    <w:rsid w:val="006F3836"/>
    <w:rsid w:val="006F39DB"/>
    <w:rsid w:val="006F3A5B"/>
    <w:rsid w:val="006F3CE0"/>
    <w:rsid w:val="006F3D99"/>
    <w:rsid w:val="006F41D0"/>
    <w:rsid w:val="006F4402"/>
    <w:rsid w:val="006F4486"/>
    <w:rsid w:val="006F45D7"/>
    <w:rsid w:val="006F477A"/>
    <w:rsid w:val="006F48CF"/>
    <w:rsid w:val="006F4909"/>
    <w:rsid w:val="006F4917"/>
    <w:rsid w:val="006F4A7F"/>
    <w:rsid w:val="006F4CAD"/>
    <w:rsid w:val="006F4D07"/>
    <w:rsid w:val="006F50A9"/>
    <w:rsid w:val="006F51B7"/>
    <w:rsid w:val="006F5434"/>
    <w:rsid w:val="006F54A7"/>
    <w:rsid w:val="006F54A9"/>
    <w:rsid w:val="006F54BA"/>
    <w:rsid w:val="006F5527"/>
    <w:rsid w:val="006F553D"/>
    <w:rsid w:val="006F571D"/>
    <w:rsid w:val="006F5B57"/>
    <w:rsid w:val="006F5D95"/>
    <w:rsid w:val="006F61C1"/>
    <w:rsid w:val="006F620E"/>
    <w:rsid w:val="006F62A6"/>
    <w:rsid w:val="006F648F"/>
    <w:rsid w:val="006F6624"/>
    <w:rsid w:val="006F67D9"/>
    <w:rsid w:val="006F683F"/>
    <w:rsid w:val="006F6A01"/>
    <w:rsid w:val="006F6D6F"/>
    <w:rsid w:val="006F6E1D"/>
    <w:rsid w:val="006F6E88"/>
    <w:rsid w:val="006F6F3F"/>
    <w:rsid w:val="006F6F7E"/>
    <w:rsid w:val="006F7299"/>
    <w:rsid w:val="006F72E1"/>
    <w:rsid w:val="006F754B"/>
    <w:rsid w:val="006F7904"/>
    <w:rsid w:val="006F7A28"/>
    <w:rsid w:val="006F7A43"/>
    <w:rsid w:val="006F7AD5"/>
    <w:rsid w:val="006F7C2C"/>
    <w:rsid w:val="006F7C78"/>
    <w:rsid w:val="006F7CB2"/>
    <w:rsid w:val="006F7CC6"/>
    <w:rsid w:val="006F7D5D"/>
    <w:rsid w:val="007000AD"/>
    <w:rsid w:val="007004F5"/>
    <w:rsid w:val="00700549"/>
    <w:rsid w:val="0070056B"/>
    <w:rsid w:val="00700BE4"/>
    <w:rsid w:val="00700F42"/>
    <w:rsid w:val="0070107C"/>
    <w:rsid w:val="00701351"/>
    <w:rsid w:val="00701908"/>
    <w:rsid w:val="00701987"/>
    <w:rsid w:val="00701BA5"/>
    <w:rsid w:val="00701E59"/>
    <w:rsid w:val="00701EC3"/>
    <w:rsid w:val="007020B5"/>
    <w:rsid w:val="00702285"/>
    <w:rsid w:val="00702378"/>
    <w:rsid w:val="007024CF"/>
    <w:rsid w:val="007025C0"/>
    <w:rsid w:val="00702633"/>
    <w:rsid w:val="00702AC0"/>
    <w:rsid w:val="00702C2A"/>
    <w:rsid w:val="00702CA4"/>
    <w:rsid w:val="00702CA6"/>
    <w:rsid w:val="00702E0A"/>
    <w:rsid w:val="00702E22"/>
    <w:rsid w:val="00702E7D"/>
    <w:rsid w:val="00702ED9"/>
    <w:rsid w:val="0070385C"/>
    <w:rsid w:val="00703A84"/>
    <w:rsid w:val="00703BAE"/>
    <w:rsid w:val="00703CC9"/>
    <w:rsid w:val="00703DBA"/>
    <w:rsid w:val="0070448C"/>
    <w:rsid w:val="0070450A"/>
    <w:rsid w:val="0070452C"/>
    <w:rsid w:val="007045D4"/>
    <w:rsid w:val="00704741"/>
    <w:rsid w:val="007047CE"/>
    <w:rsid w:val="00704D2D"/>
    <w:rsid w:val="00704E20"/>
    <w:rsid w:val="0070501F"/>
    <w:rsid w:val="007050F7"/>
    <w:rsid w:val="007051EB"/>
    <w:rsid w:val="00705715"/>
    <w:rsid w:val="0070593F"/>
    <w:rsid w:val="007059F0"/>
    <w:rsid w:val="00705AEF"/>
    <w:rsid w:val="00705D9D"/>
    <w:rsid w:val="00705E0C"/>
    <w:rsid w:val="00705F4E"/>
    <w:rsid w:val="00705FF5"/>
    <w:rsid w:val="007060CE"/>
    <w:rsid w:val="00706352"/>
    <w:rsid w:val="00706457"/>
    <w:rsid w:val="00706468"/>
    <w:rsid w:val="00706532"/>
    <w:rsid w:val="0070665C"/>
    <w:rsid w:val="00706779"/>
    <w:rsid w:val="00706B25"/>
    <w:rsid w:val="00706B59"/>
    <w:rsid w:val="00706E63"/>
    <w:rsid w:val="00706F6F"/>
    <w:rsid w:val="00706FC1"/>
    <w:rsid w:val="0070707D"/>
    <w:rsid w:val="00707192"/>
    <w:rsid w:val="007071AC"/>
    <w:rsid w:val="007071BD"/>
    <w:rsid w:val="00707589"/>
    <w:rsid w:val="007075A1"/>
    <w:rsid w:val="007079A4"/>
    <w:rsid w:val="00707AC9"/>
    <w:rsid w:val="00707EBE"/>
    <w:rsid w:val="00707FAF"/>
    <w:rsid w:val="00709CEF"/>
    <w:rsid w:val="00710088"/>
    <w:rsid w:val="007104B3"/>
    <w:rsid w:val="007106D8"/>
    <w:rsid w:val="00710B65"/>
    <w:rsid w:val="007114EF"/>
    <w:rsid w:val="0071181D"/>
    <w:rsid w:val="007118AE"/>
    <w:rsid w:val="00711AB4"/>
    <w:rsid w:val="00711B3E"/>
    <w:rsid w:val="00711BBA"/>
    <w:rsid w:val="00711BFD"/>
    <w:rsid w:val="00711D02"/>
    <w:rsid w:val="00711DF0"/>
    <w:rsid w:val="00711E06"/>
    <w:rsid w:val="007121A5"/>
    <w:rsid w:val="007123BB"/>
    <w:rsid w:val="00712513"/>
    <w:rsid w:val="0071267A"/>
    <w:rsid w:val="007126E0"/>
    <w:rsid w:val="007127AB"/>
    <w:rsid w:val="00712914"/>
    <w:rsid w:val="00712B5D"/>
    <w:rsid w:val="00712C5A"/>
    <w:rsid w:val="00712DFE"/>
    <w:rsid w:val="00713010"/>
    <w:rsid w:val="00713270"/>
    <w:rsid w:val="00713367"/>
    <w:rsid w:val="007133E7"/>
    <w:rsid w:val="0071342F"/>
    <w:rsid w:val="007134EC"/>
    <w:rsid w:val="00713607"/>
    <w:rsid w:val="007136A9"/>
    <w:rsid w:val="007136E2"/>
    <w:rsid w:val="00713CB1"/>
    <w:rsid w:val="00713E00"/>
    <w:rsid w:val="007140D2"/>
    <w:rsid w:val="007140FC"/>
    <w:rsid w:val="0071413A"/>
    <w:rsid w:val="007148A8"/>
    <w:rsid w:val="00714A3C"/>
    <w:rsid w:val="00714B92"/>
    <w:rsid w:val="00714CE3"/>
    <w:rsid w:val="00714E2F"/>
    <w:rsid w:val="00715054"/>
    <w:rsid w:val="00715101"/>
    <w:rsid w:val="0071527C"/>
    <w:rsid w:val="00715507"/>
    <w:rsid w:val="00715601"/>
    <w:rsid w:val="00715717"/>
    <w:rsid w:val="00715876"/>
    <w:rsid w:val="0071595C"/>
    <w:rsid w:val="007159F9"/>
    <w:rsid w:val="00715B44"/>
    <w:rsid w:val="00715D48"/>
    <w:rsid w:val="00715DA0"/>
    <w:rsid w:val="00715E1C"/>
    <w:rsid w:val="00715F02"/>
    <w:rsid w:val="007161B4"/>
    <w:rsid w:val="007164CD"/>
    <w:rsid w:val="0071657A"/>
    <w:rsid w:val="0071670C"/>
    <w:rsid w:val="00716732"/>
    <w:rsid w:val="0071677E"/>
    <w:rsid w:val="007168D9"/>
    <w:rsid w:val="00716A5E"/>
    <w:rsid w:val="00716A6B"/>
    <w:rsid w:val="00716D97"/>
    <w:rsid w:val="00716FEE"/>
    <w:rsid w:val="007170F9"/>
    <w:rsid w:val="007172DA"/>
    <w:rsid w:val="00717545"/>
    <w:rsid w:val="0071766F"/>
    <w:rsid w:val="007176FC"/>
    <w:rsid w:val="007176FE"/>
    <w:rsid w:val="00717716"/>
    <w:rsid w:val="00717719"/>
    <w:rsid w:val="007177BE"/>
    <w:rsid w:val="00717852"/>
    <w:rsid w:val="00717B66"/>
    <w:rsid w:val="00717B9F"/>
    <w:rsid w:val="00717BAA"/>
    <w:rsid w:val="00717C1E"/>
    <w:rsid w:val="00717C46"/>
    <w:rsid w:val="00717EC6"/>
    <w:rsid w:val="00720083"/>
    <w:rsid w:val="007200BE"/>
    <w:rsid w:val="007200EE"/>
    <w:rsid w:val="007202EB"/>
    <w:rsid w:val="0072095C"/>
    <w:rsid w:val="0072098E"/>
    <w:rsid w:val="007209B4"/>
    <w:rsid w:val="00720A4E"/>
    <w:rsid w:val="00720A68"/>
    <w:rsid w:val="00720C24"/>
    <w:rsid w:val="00720CD8"/>
    <w:rsid w:val="00721128"/>
    <w:rsid w:val="007211C5"/>
    <w:rsid w:val="007211CA"/>
    <w:rsid w:val="00721205"/>
    <w:rsid w:val="007212FA"/>
    <w:rsid w:val="00721466"/>
    <w:rsid w:val="007214A5"/>
    <w:rsid w:val="007214AA"/>
    <w:rsid w:val="007214C6"/>
    <w:rsid w:val="00721510"/>
    <w:rsid w:val="0072169C"/>
    <w:rsid w:val="007216CA"/>
    <w:rsid w:val="00721711"/>
    <w:rsid w:val="00721895"/>
    <w:rsid w:val="00721CA9"/>
    <w:rsid w:val="00721DA6"/>
    <w:rsid w:val="00721E35"/>
    <w:rsid w:val="007220DA"/>
    <w:rsid w:val="007220FF"/>
    <w:rsid w:val="00722136"/>
    <w:rsid w:val="0072223B"/>
    <w:rsid w:val="007225BC"/>
    <w:rsid w:val="0072269D"/>
    <w:rsid w:val="00722751"/>
    <w:rsid w:val="00722A75"/>
    <w:rsid w:val="00722B5E"/>
    <w:rsid w:val="00722D52"/>
    <w:rsid w:val="00722D89"/>
    <w:rsid w:val="00722F2D"/>
    <w:rsid w:val="00722FE6"/>
    <w:rsid w:val="00723099"/>
    <w:rsid w:val="007230ED"/>
    <w:rsid w:val="0072329E"/>
    <w:rsid w:val="0072376B"/>
    <w:rsid w:val="00723A0A"/>
    <w:rsid w:val="00723A24"/>
    <w:rsid w:val="00723A99"/>
    <w:rsid w:val="00723DA8"/>
    <w:rsid w:val="00723E17"/>
    <w:rsid w:val="00723FF8"/>
    <w:rsid w:val="007240AF"/>
    <w:rsid w:val="007240BC"/>
    <w:rsid w:val="00724339"/>
    <w:rsid w:val="00724601"/>
    <w:rsid w:val="00724660"/>
    <w:rsid w:val="007246A9"/>
    <w:rsid w:val="00724853"/>
    <w:rsid w:val="007248C6"/>
    <w:rsid w:val="00724AB8"/>
    <w:rsid w:val="00724B2E"/>
    <w:rsid w:val="00724C41"/>
    <w:rsid w:val="00724D01"/>
    <w:rsid w:val="00724D15"/>
    <w:rsid w:val="00724DE4"/>
    <w:rsid w:val="00725053"/>
    <w:rsid w:val="007251DA"/>
    <w:rsid w:val="007251F3"/>
    <w:rsid w:val="00725204"/>
    <w:rsid w:val="00725452"/>
    <w:rsid w:val="0072545C"/>
    <w:rsid w:val="007255CF"/>
    <w:rsid w:val="00725639"/>
    <w:rsid w:val="007256EC"/>
    <w:rsid w:val="00725707"/>
    <w:rsid w:val="0072578D"/>
    <w:rsid w:val="00725856"/>
    <w:rsid w:val="00725B43"/>
    <w:rsid w:val="00725C9F"/>
    <w:rsid w:val="00725D38"/>
    <w:rsid w:val="00726221"/>
    <w:rsid w:val="007262EF"/>
    <w:rsid w:val="0072630A"/>
    <w:rsid w:val="007263FA"/>
    <w:rsid w:val="007264CF"/>
    <w:rsid w:val="007266B3"/>
    <w:rsid w:val="007266ED"/>
    <w:rsid w:val="0072677E"/>
    <w:rsid w:val="007267DD"/>
    <w:rsid w:val="00726861"/>
    <w:rsid w:val="00726877"/>
    <w:rsid w:val="00726974"/>
    <w:rsid w:val="00726B35"/>
    <w:rsid w:val="00726BB4"/>
    <w:rsid w:val="00726CE9"/>
    <w:rsid w:val="00726D13"/>
    <w:rsid w:val="0072704F"/>
    <w:rsid w:val="007270CB"/>
    <w:rsid w:val="00727207"/>
    <w:rsid w:val="00727393"/>
    <w:rsid w:val="007274E7"/>
    <w:rsid w:val="007275F6"/>
    <w:rsid w:val="00727849"/>
    <w:rsid w:val="007279BB"/>
    <w:rsid w:val="00727A94"/>
    <w:rsid w:val="00727E3D"/>
    <w:rsid w:val="00727EEF"/>
    <w:rsid w:val="00727F84"/>
    <w:rsid w:val="00727FF9"/>
    <w:rsid w:val="0073003D"/>
    <w:rsid w:val="00730097"/>
    <w:rsid w:val="0073009A"/>
    <w:rsid w:val="00730103"/>
    <w:rsid w:val="00730300"/>
    <w:rsid w:val="00730368"/>
    <w:rsid w:val="0073045E"/>
    <w:rsid w:val="007307CE"/>
    <w:rsid w:val="007309E5"/>
    <w:rsid w:val="00730AF0"/>
    <w:rsid w:val="00730D88"/>
    <w:rsid w:val="0073118D"/>
    <w:rsid w:val="007311B0"/>
    <w:rsid w:val="0073185B"/>
    <w:rsid w:val="00731879"/>
    <w:rsid w:val="00731A87"/>
    <w:rsid w:val="0073203E"/>
    <w:rsid w:val="007320B8"/>
    <w:rsid w:val="007321AD"/>
    <w:rsid w:val="007321E4"/>
    <w:rsid w:val="007323A4"/>
    <w:rsid w:val="007324CE"/>
    <w:rsid w:val="00732777"/>
    <w:rsid w:val="0073291F"/>
    <w:rsid w:val="00732BB5"/>
    <w:rsid w:val="00732CC1"/>
    <w:rsid w:val="0073305D"/>
    <w:rsid w:val="007332EC"/>
    <w:rsid w:val="007333F8"/>
    <w:rsid w:val="007335C0"/>
    <w:rsid w:val="0073373D"/>
    <w:rsid w:val="007337B2"/>
    <w:rsid w:val="00733AD0"/>
    <w:rsid w:val="00733D9F"/>
    <w:rsid w:val="00733DFE"/>
    <w:rsid w:val="00733ECE"/>
    <w:rsid w:val="00733F85"/>
    <w:rsid w:val="00733FB8"/>
    <w:rsid w:val="00734057"/>
    <w:rsid w:val="00734134"/>
    <w:rsid w:val="007343F3"/>
    <w:rsid w:val="0073445A"/>
    <w:rsid w:val="00734657"/>
    <w:rsid w:val="00734A49"/>
    <w:rsid w:val="00734D9C"/>
    <w:rsid w:val="00734EBC"/>
    <w:rsid w:val="0073519D"/>
    <w:rsid w:val="00735238"/>
    <w:rsid w:val="00735274"/>
    <w:rsid w:val="007355F0"/>
    <w:rsid w:val="007357BC"/>
    <w:rsid w:val="00735895"/>
    <w:rsid w:val="007358E8"/>
    <w:rsid w:val="007359B0"/>
    <w:rsid w:val="00735C9F"/>
    <w:rsid w:val="00735F42"/>
    <w:rsid w:val="00736041"/>
    <w:rsid w:val="00736132"/>
    <w:rsid w:val="00736291"/>
    <w:rsid w:val="0073635B"/>
    <w:rsid w:val="0073650D"/>
    <w:rsid w:val="0073653C"/>
    <w:rsid w:val="007367DF"/>
    <w:rsid w:val="007369F6"/>
    <w:rsid w:val="00736A37"/>
    <w:rsid w:val="00736A63"/>
    <w:rsid w:val="00736A83"/>
    <w:rsid w:val="00736B65"/>
    <w:rsid w:val="00736E7B"/>
    <w:rsid w:val="00736EF3"/>
    <w:rsid w:val="00736FD7"/>
    <w:rsid w:val="00737033"/>
    <w:rsid w:val="00737249"/>
    <w:rsid w:val="007373AE"/>
    <w:rsid w:val="007373C9"/>
    <w:rsid w:val="00737928"/>
    <w:rsid w:val="00737985"/>
    <w:rsid w:val="00737CF2"/>
    <w:rsid w:val="00740005"/>
    <w:rsid w:val="00740053"/>
    <w:rsid w:val="0074009D"/>
    <w:rsid w:val="0074074D"/>
    <w:rsid w:val="00740850"/>
    <w:rsid w:val="00740976"/>
    <w:rsid w:val="00740B40"/>
    <w:rsid w:val="00740BA8"/>
    <w:rsid w:val="00740C9C"/>
    <w:rsid w:val="00740CC6"/>
    <w:rsid w:val="00740D03"/>
    <w:rsid w:val="00740E55"/>
    <w:rsid w:val="0074154F"/>
    <w:rsid w:val="007415C6"/>
    <w:rsid w:val="0074165F"/>
    <w:rsid w:val="0074175D"/>
    <w:rsid w:val="0074186C"/>
    <w:rsid w:val="007419CB"/>
    <w:rsid w:val="00741D85"/>
    <w:rsid w:val="00741ED9"/>
    <w:rsid w:val="00741EE7"/>
    <w:rsid w:val="0074246E"/>
    <w:rsid w:val="00742554"/>
    <w:rsid w:val="007426E6"/>
    <w:rsid w:val="00742835"/>
    <w:rsid w:val="0074287A"/>
    <w:rsid w:val="007428B7"/>
    <w:rsid w:val="00742A22"/>
    <w:rsid w:val="00742A43"/>
    <w:rsid w:val="00742AC1"/>
    <w:rsid w:val="00742CC1"/>
    <w:rsid w:val="00742CEA"/>
    <w:rsid w:val="00742DCA"/>
    <w:rsid w:val="00742E6B"/>
    <w:rsid w:val="00742ED9"/>
    <w:rsid w:val="0074316C"/>
    <w:rsid w:val="00743186"/>
    <w:rsid w:val="00743562"/>
    <w:rsid w:val="007436A6"/>
    <w:rsid w:val="00743732"/>
    <w:rsid w:val="00743983"/>
    <w:rsid w:val="00743A3D"/>
    <w:rsid w:val="00743D01"/>
    <w:rsid w:val="00743D25"/>
    <w:rsid w:val="00743E6B"/>
    <w:rsid w:val="007440B7"/>
    <w:rsid w:val="007440F8"/>
    <w:rsid w:val="00744168"/>
    <w:rsid w:val="00744296"/>
    <w:rsid w:val="007444CD"/>
    <w:rsid w:val="0074468E"/>
    <w:rsid w:val="007446BA"/>
    <w:rsid w:val="00744889"/>
    <w:rsid w:val="0074493A"/>
    <w:rsid w:val="00744CB4"/>
    <w:rsid w:val="00744D27"/>
    <w:rsid w:val="00744D9A"/>
    <w:rsid w:val="0074511C"/>
    <w:rsid w:val="0074511F"/>
    <w:rsid w:val="00745150"/>
    <w:rsid w:val="00745163"/>
    <w:rsid w:val="007451F5"/>
    <w:rsid w:val="0074526A"/>
    <w:rsid w:val="00745308"/>
    <w:rsid w:val="0074542C"/>
    <w:rsid w:val="007459F6"/>
    <w:rsid w:val="00745D65"/>
    <w:rsid w:val="00745D94"/>
    <w:rsid w:val="00746170"/>
    <w:rsid w:val="007461EC"/>
    <w:rsid w:val="0074629B"/>
    <w:rsid w:val="00746334"/>
    <w:rsid w:val="00746364"/>
    <w:rsid w:val="007463E8"/>
    <w:rsid w:val="007464FE"/>
    <w:rsid w:val="00746639"/>
    <w:rsid w:val="007468CD"/>
    <w:rsid w:val="00746A28"/>
    <w:rsid w:val="00746B1E"/>
    <w:rsid w:val="00746BAD"/>
    <w:rsid w:val="00746F55"/>
    <w:rsid w:val="00746FA5"/>
    <w:rsid w:val="00746FF7"/>
    <w:rsid w:val="00747004"/>
    <w:rsid w:val="00747038"/>
    <w:rsid w:val="00747271"/>
    <w:rsid w:val="00747273"/>
    <w:rsid w:val="007472C0"/>
    <w:rsid w:val="00747638"/>
    <w:rsid w:val="007476E9"/>
    <w:rsid w:val="00747B10"/>
    <w:rsid w:val="00747CC7"/>
    <w:rsid w:val="00747DE5"/>
    <w:rsid w:val="00747E28"/>
    <w:rsid w:val="007502E7"/>
    <w:rsid w:val="00750387"/>
    <w:rsid w:val="007504EF"/>
    <w:rsid w:val="00750552"/>
    <w:rsid w:val="0075091A"/>
    <w:rsid w:val="00750E1D"/>
    <w:rsid w:val="0075113E"/>
    <w:rsid w:val="00751348"/>
    <w:rsid w:val="007515EB"/>
    <w:rsid w:val="007518D2"/>
    <w:rsid w:val="00751905"/>
    <w:rsid w:val="00751B96"/>
    <w:rsid w:val="00751BDE"/>
    <w:rsid w:val="00751CB1"/>
    <w:rsid w:val="00751D45"/>
    <w:rsid w:val="00752323"/>
    <w:rsid w:val="00752382"/>
    <w:rsid w:val="00752795"/>
    <w:rsid w:val="00752A22"/>
    <w:rsid w:val="00752B54"/>
    <w:rsid w:val="00752C35"/>
    <w:rsid w:val="00752E20"/>
    <w:rsid w:val="00752ECB"/>
    <w:rsid w:val="0075300B"/>
    <w:rsid w:val="00753048"/>
    <w:rsid w:val="007531CE"/>
    <w:rsid w:val="00753294"/>
    <w:rsid w:val="007535C3"/>
    <w:rsid w:val="007536A4"/>
    <w:rsid w:val="007539B4"/>
    <w:rsid w:val="00753A79"/>
    <w:rsid w:val="00753BF7"/>
    <w:rsid w:val="00753D49"/>
    <w:rsid w:val="00753D7C"/>
    <w:rsid w:val="0075400E"/>
    <w:rsid w:val="007541EB"/>
    <w:rsid w:val="0075447D"/>
    <w:rsid w:val="0075448B"/>
    <w:rsid w:val="007544F8"/>
    <w:rsid w:val="007545CA"/>
    <w:rsid w:val="007548BC"/>
    <w:rsid w:val="007548F3"/>
    <w:rsid w:val="00754935"/>
    <w:rsid w:val="00754996"/>
    <w:rsid w:val="00754A28"/>
    <w:rsid w:val="00754A37"/>
    <w:rsid w:val="00754D90"/>
    <w:rsid w:val="0075504A"/>
    <w:rsid w:val="00755051"/>
    <w:rsid w:val="007554F2"/>
    <w:rsid w:val="00755553"/>
    <w:rsid w:val="00755558"/>
    <w:rsid w:val="00755568"/>
    <w:rsid w:val="007558C6"/>
    <w:rsid w:val="007559D4"/>
    <w:rsid w:val="00755AA8"/>
    <w:rsid w:val="00755BA8"/>
    <w:rsid w:val="007560E7"/>
    <w:rsid w:val="007561FB"/>
    <w:rsid w:val="00756345"/>
    <w:rsid w:val="00756420"/>
    <w:rsid w:val="007564C3"/>
    <w:rsid w:val="007565B0"/>
    <w:rsid w:val="0075696D"/>
    <w:rsid w:val="00756A2E"/>
    <w:rsid w:val="00756A9A"/>
    <w:rsid w:val="00756B5E"/>
    <w:rsid w:val="00756C3C"/>
    <w:rsid w:val="00756D17"/>
    <w:rsid w:val="00756D4A"/>
    <w:rsid w:val="00756E43"/>
    <w:rsid w:val="00756F04"/>
    <w:rsid w:val="00756F54"/>
    <w:rsid w:val="00756F7F"/>
    <w:rsid w:val="00757063"/>
    <w:rsid w:val="0075711B"/>
    <w:rsid w:val="00757424"/>
    <w:rsid w:val="0075752D"/>
    <w:rsid w:val="00757626"/>
    <w:rsid w:val="00757838"/>
    <w:rsid w:val="00757B1C"/>
    <w:rsid w:val="00757E67"/>
    <w:rsid w:val="00757EE1"/>
    <w:rsid w:val="00760007"/>
    <w:rsid w:val="007601AE"/>
    <w:rsid w:val="007601BE"/>
    <w:rsid w:val="00760493"/>
    <w:rsid w:val="0076057C"/>
    <w:rsid w:val="007605D1"/>
    <w:rsid w:val="007606A7"/>
    <w:rsid w:val="0076092B"/>
    <w:rsid w:val="007609D8"/>
    <w:rsid w:val="007609F7"/>
    <w:rsid w:val="00760AC3"/>
    <w:rsid w:val="00760E9A"/>
    <w:rsid w:val="00760FC5"/>
    <w:rsid w:val="00760FDC"/>
    <w:rsid w:val="00761132"/>
    <w:rsid w:val="00761147"/>
    <w:rsid w:val="007614AD"/>
    <w:rsid w:val="00761549"/>
    <w:rsid w:val="007618A6"/>
    <w:rsid w:val="00761A62"/>
    <w:rsid w:val="00761B46"/>
    <w:rsid w:val="00761C31"/>
    <w:rsid w:val="00761D01"/>
    <w:rsid w:val="00761DBB"/>
    <w:rsid w:val="00762047"/>
    <w:rsid w:val="007620A5"/>
    <w:rsid w:val="00762218"/>
    <w:rsid w:val="00762275"/>
    <w:rsid w:val="007622F8"/>
    <w:rsid w:val="0076249D"/>
    <w:rsid w:val="007624E3"/>
    <w:rsid w:val="007626F4"/>
    <w:rsid w:val="00762872"/>
    <w:rsid w:val="00762969"/>
    <w:rsid w:val="00762ADC"/>
    <w:rsid w:val="00762C00"/>
    <w:rsid w:val="00762C5E"/>
    <w:rsid w:val="00762C78"/>
    <w:rsid w:val="0076323C"/>
    <w:rsid w:val="00763279"/>
    <w:rsid w:val="007632FC"/>
    <w:rsid w:val="0076339D"/>
    <w:rsid w:val="007635DF"/>
    <w:rsid w:val="007636E7"/>
    <w:rsid w:val="007637A0"/>
    <w:rsid w:val="007637D7"/>
    <w:rsid w:val="00763947"/>
    <w:rsid w:val="00763C7A"/>
    <w:rsid w:val="00763C9F"/>
    <w:rsid w:val="00763E2B"/>
    <w:rsid w:val="00764129"/>
    <w:rsid w:val="00764134"/>
    <w:rsid w:val="00764147"/>
    <w:rsid w:val="0076415F"/>
    <w:rsid w:val="007641AD"/>
    <w:rsid w:val="007643BB"/>
    <w:rsid w:val="00764444"/>
    <w:rsid w:val="00764638"/>
    <w:rsid w:val="00764737"/>
    <w:rsid w:val="007649B6"/>
    <w:rsid w:val="00764AB7"/>
    <w:rsid w:val="00764E24"/>
    <w:rsid w:val="00764E64"/>
    <w:rsid w:val="00764FA1"/>
    <w:rsid w:val="00765029"/>
    <w:rsid w:val="0076506A"/>
    <w:rsid w:val="007650BC"/>
    <w:rsid w:val="007650D6"/>
    <w:rsid w:val="0076523D"/>
    <w:rsid w:val="007652F1"/>
    <w:rsid w:val="007654F8"/>
    <w:rsid w:val="007657FA"/>
    <w:rsid w:val="0076581C"/>
    <w:rsid w:val="00765938"/>
    <w:rsid w:val="00765AC8"/>
    <w:rsid w:val="00765F8E"/>
    <w:rsid w:val="007660A0"/>
    <w:rsid w:val="007665FB"/>
    <w:rsid w:val="007669D7"/>
    <w:rsid w:val="00766A21"/>
    <w:rsid w:val="00766B20"/>
    <w:rsid w:val="00766D5E"/>
    <w:rsid w:val="00766E58"/>
    <w:rsid w:val="00766FC4"/>
    <w:rsid w:val="00766FC9"/>
    <w:rsid w:val="00767042"/>
    <w:rsid w:val="007673BA"/>
    <w:rsid w:val="007674AD"/>
    <w:rsid w:val="007676AA"/>
    <w:rsid w:val="007676DA"/>
    <w:rsid w:val="00767789"/>
    <w:rsid w:val="00767820"/>
    <w:rsid w:val="0076785E"/>
    <w:rsid w:val="00767D30"/>
    <w:rsid w:val="00767DCB"/>
    <w:rsid w:val="00767F3A"/>
    <w:rsid w:val="00767FB7"/>
    <w:rsid w:val="007700C8"/>
    <w:rsid w:val="007701F0"/>
    <w:rsid w:val="007702D8"/>
    <w:rsid w:val="00770570"/>
    <w:rsid w:val="007706F4"/>
    <w:rsid w:val="00770807"/>
    <w:rsid w:val="00770B2F"/>
    <w:rsid w:val="00770F60"/>
    <w:rsid w:val="00770FD7"/>
    <w:rsid w:val="00771193"/>
    <w:rsid w:val="007711E6"/>
    <w:rsid w:val="0077132D"/>
    <w:rsid w:val="007716B1"/>
    <w:rsid w:val="0077172F"/>
    <w:rsid w:val="0077174F"/>
    <w:rsid w:val="00771810"/>
    <w:rsid w:val="00771905"/>
    <w:rsid w:val="00771B67"/>
    <w:rsid w:val="00771C82"/>
    <w:rsid w:val="00771CE9"/>
    <w:rsid w:val="00771DAA"/>
    <w:rsid w:val="00771F55"/>
    <w:rsid w:val="0077203E"/>
    <w:rsid w:val="00772134"/>
    <w:rsid w:val="0077223D"/>
    <w:rsid w:val="007722B8"/>
    <w:rsid w:val="007722F9"/>
    <w:rsid w:val="0077230C"/>
    <w:rsid w:val="00772391"/>
    <w:rsid w:val="007724C0"/>
    <w:rsid w:val="00772531"/>
    <w:rsid w:val="0077257B"/>
    <w:rsid w:val="007726B3"/>
    <w:rsid w:val="0077272D"/>
    <w:rsid w:val="0077291F"/>
    <w:rsid w:val="00772AC6"/>
    <w:rsid w:val="00772ACC"/>
    <w:rsid w:val="00772B89"/>
    <w:rsid w:val="00772BA0"/>
    <w:rsid w:val="00772E15"/>
    <w:rsid w:val="00772E69"/>
    <w:rsid w:val="00772F32"/>
    <w:rsid w:val="0077302E"/>
    <w:rsid w:val="007732C4"/>
    <w:rsid w:val="007734F0"/>
    <w:rsid w:val="0077354C"/>
    <w:rsid w:val="0077355E"/>
    <w:rsid w:val="007739D4"/>
    <w:rsid w:val="00773B72"/>
    <w:rsid w:val="00773C3E"/>
    <w:rsid w:val="00773C54"/>
    <w:rsid w:val="00773CCE"/>
    <w:rsid w:val="00773E97"/>
    <w:rsid w:val="0077415E"/>
    <w:rsid w:val="0077420F"/>
    <w:rsid w:val="007745F3"/>
    <w:rsid w:val="007746FA"/>
    <w:rsid w:val="0077472C"/>
    <w:rsid w:val="00774A00"/>
    <w:rsid w:val="00774C03"/>
    <w:rsid w:val="00774D40"/>
    <w:rsid w:val="00774D55"/>
    <w:rsid w:val="00774DAA"/>
    <w:rsid w:val="00774DB5"/>
    <w:rsid w:val="00774E43"/>
    <w:rsid w:val="00774FD6"/>
    <w:rsid w:val="00775159"/>
    <w:rsid w:val="00775172"/>
    <w:rsid w:val="007756CA"/>
    <w:rsid w:val="007757A8"/>
    <w:rsid w:val="00775922"/>
    <w:rsid w:val="00775AAC"/>
    <w:rsid w:val="00775D46"/>
    <w:rsid w:val="00775DA7"/>
    <w:rsid w:val="00775DEA"/>
    <w:rsid w:val="00775F3E"/>
    <w:rsid w:val="00775FDC"/>
    <w:rsid w:val="007763C8"/>
    <w:rsid w:val="007766DE"/>
    <w:rsid w:val="00776728"/>
    <w:rsid w:val="00776BF5"/>
    <w:rsid w:val="00776CA3"/>
    <w:rsid w:val="00776E1A"/>
    <w:rsid w:val="00776E37"/>
    <w:rsid w:val="00777301"/>
    <w:rsid w:val="007773C0"/>
    <w:rsid w:val="00777448"/>
    <w:rsid w:val="007774C0"/>
    <w:rsid w:val="0077779F"/>
    <w:rsid w:val="00777963"/>
    <w:rsid w:val="00777AD1"/>
    <w:rsid w:val="00777C23"/>
    <w:rsid w:val="00777E66"/>
    <w:rsid w:val="00777EF5"/>
    <w:rsid w:val="00780148"/>
    <w:rsid w:val="007801F7"/>
    <w:rsid w:val="00780389"/>
    <w:rsid w:val="007804E7"/>
    <w:rsid w:val="0078052C"/>
    <w:rsid w:val="007805BC"/>
    <w:rsid w:val="0078097F"/>
    <w:rsid w:val="00780A34"/>
    <w:rsid w:val="00780B98"/>
    <w:rsid w:val="00780C9A"/>
    <w:rsid w:val="00780FD2"/>
    <w:rsid w:val="00781035"/>
    <w:rsid w:val="00781094"/>
    <w:rsid w:val="00781255"/>
    <w:rsid w:val="0078140E"/>
    <w:rsid w:val="0078152E"/>
    <w:rsid w:val="007817BA"/>
    <w:rsid w:val="00781972"/>
    <w:rsid w:val="00781D78"/>
    <w:rsid w:val="00781FB4"/>
    <w:rsid w:val="0078222A"/>
    <w:rsid w:val="0078240D"/>
    <w:rsid w:val="0078254E"/>
    <w:rsid w:val="0078276E"/>
    <w:rsid w:val="00782880"/>
    <w:rsid w:val="007829C3"/>
    <w:rsid w:val="00782B07"/>
    <w:rsid w:val="00782D1A"/>
    <w:rsid w:val="00782D9B"/>
    <w:rsid w:val="007830F4"/>
    <w:rsid w:val="00783306"/>
    <w:rsid w:val="007834DB"/>
    <w:rsid w:val="007835BA"/>
    <w:rsid w:val="00783A03"/>
    <w:rsid w:val="00783A7D"/>
    <w:rsid w:val="00783D53"/>
    <w:rsid w:val="00783DC9"/>
    <w:rsid w:val="0078414B"/>
    <w:rsid w:val="0078418F"/>
    <w:rsid w:val="00784191"/>
    <w:rsid w:val="00784286"/>
    <w:rsid w:val="00784358"/>
    <w:rsid w:val="00784458"/>
    <w:rsid w:val="00784632"/>
    <w:rsid w:val="00784A75"/>
    <w:rsid w:val="00784D73"/>
    <w:rsid w:val="00784E98"/>
    <w:rsid w:val="00784FFC"/>
    <w:rsid w:val="0078501F"/>
    <w:rsid w:val="00785050"/>
    <w:rsid w:val="0078545A"/>
    <w:rsid w:val="0078564A"/>
    <w:rsid w:val="007856D2"/>
    <w:rsid w:val="007856EB"/>
    <w:rsid w:val="00785FEA"/>
    <w:rsid w:val="00785FFB"/>
    <w:rsid w:val="00786007"/>
    <w:rsid w:val="0078616F"/>
    <w:rsid w:val="0078623E"/>
    <w:rsid w:val="007862B1"/>
    <w:rsid w:val="00786314"/>
    <w:rsid w:val="00786732"/>
    <w:rsid w:val="0078696A"/>
    <w:rsid w:val="007869AD"/>
    <w:rsid w:val="00786A16"/>
    <w:rsid w:val="00787251"/>
    <w:rsid w:val="007874DA"/>
    <w:rsid w:val="0078756B"/>
    <w:rsid w:val="00787765"/>
    <w:rsid w:val="007878AD"/>
    <w:rsid w:val="00787B2A"/>
    <w:rsid w:val="00787DC4"/>
    <w:rsid w:val="00790143"/>
    <w:rsid w:val="00790413"/>
    <w:rsid w:val="007907A8"/>
    <w:rsid w:val="007909EF"/>
    <w:rsid w:val="007909F2"/>
    <w:rsid w:val="00790A74"/>
    <w:rsid w:val="00790EC2"/>
    <w:rsid w:val="007911B1"/>
    <w:rsid w:val="007911B7"/>
    <w:rsid w:val="00791562"/>
    <w:rsid w:val="007915AD"/>
    <w:rsid w:val="007915B1"/>
    <w:rsid w:val="00791714"/>
    <w:rsid w:val="007918C9"/>
    <w:rsid w:val="00791A0F"/>
    <w:rsid w:val="00791BBF"/>
    <w:rsid w:val="00791C13"/>
    <w:rsid w:val="00791D1B"/>
    <w:rsid w:val="00791D8D"/>
    <w:rsid w:val="00791F4B"/>
    <w:rsid w:val="00792077"/>
    <w:rsid w:val="00792184"/>
    <w:rsid w:val="00792389"/>
    <w:rsid w:val="007923B0"/>
    <w:rsid w:val="007924DA"/>
    <w:rsid w:val="007927CA"/>
    <w:rsid w:val="00792818"/>
    <w:rsid w:val="007929A4"/>
    <w:rsid w:val="007929FE"/>
    <w:rsid w:val="00792A0E"/>
    <w:rsid w:val="00792A6D"/>
    <w:rsid w:val="00792B4E"/>
    <w:rsid w:val="00792C07"/>
    <w:rsid w:val="00792F35"/>
    <w:rsid w:val="00793076"/>
    <w:rsid w:val="00793155"/>
    <w:rsid w:val="007931CB"/>
    <w:rsid w:val="0079328A"/>
    <w:rsid w:val="00793382"/>
    <w:rsid w:val="0079341F"/>
    <w:rsid w:val="00793552"/>
    <w:rsid w:val="00793844"/>
    <w:rsid w:val="0079386F"/>
    <w:rsid w:val="007938D3"/>
    <w:rsid w:val="0079393C"/>
    <w:rsid w:val="00793ABA"/>
    <w:rsid w:val="00793B14"/>
    <w:rsid w:val="00793BB1"/>
    <w:rsid w:val="00793F82"/>
    <w:rsid w:val="00793FE3"/>
    <w:rsid w:val="00794045"/>
    <w:rsid w:val="00794151"/>
    <w:rsid w:val="00794252"/>
    <w:rsid w:val="007945B9"/>
    <w:rsid w:val="00794660"/>
    <w:rsid w:val="00794ACB"/>
    <w:rsid w:val="00794B2A"/>
    <w:rsid w:val="00794B7A"/>
    <w:rsid w:val="00794C5D"/>
    <w:rsid w:val="00794F6D"/>
    <w:rsid w:val="00795208"/>
    <w:rsid w:val="007952B5"/>
    <w:rsid w:val="007952D8"/>
    <w:rsid w:val="007953E9"/>
    <w:rsid w:val="00795599"/>
    <w:rsid w:val="007956E2"/>
    <w:rsid w:val="00795858"/>
    <w:rsid w:val="0079589C"/>
    <w:rsid w:val="007958AD"/>
    <w:rsid w:val="0079594E"/>
    <w:rsid w:val="00795B29"/>
    <w:rsid w:val="00795C0D"/>
    <w:rsid w:val="00795CE9"/>
    <w:rsid w:val="007960FA"/>
    <w:rsid w:val="0079613E"/>
    <w:rsid w:val="007961F2"/>
    <w:rsid w:val="0079636A"/>
    <w:rsid w:val="007963F9"/>
    <w:rsid w:val="007965C3"/>
    <w:rsid w:val="007965FB"/>
    <w:rsid w:val="0079673E"/>
    <w:rsid w:val="00796787"/>
    <w:rsid w:val="00796B11"/>
    <w:rsid w:val="00796C30"/>
    <w:rsid w:val="00796CD6"/>
    <w:rsid w:val="00796F0B"/>
    <w:rsid w:val="0079712D"/>
    <w:rsid w:val="00797157"/>
    <w:rsid w:val="00797180"/>
    <w:rsid w:val="0079782D"/>
    <w:rsid w:val="00797837"/>
    <w:rsid w:val="007978AF"/>
    <w:rsid w:val="00797A72"/>
    <w:rsid w:val="00797E1A"/>
    <w:rsid w:val="00797FB2"/>
    <w:rsid w:val="007A0237"/>
    <w:rsid w:val="007A0439"/>
    <w:rsid w:val="007A0582"/>
    <w:rsid w:val="007A065B"/>
    <w:rsid w:val="007A076C"/>
    <w:rsid w:val="007A0B09"/>
    <w:rsid w:val="007A0B64"/>
    <w:rsid w:val="007A0B6F"/>
    <w:rsid w:val="007A0B70"/>
    <w:rsid w:val="007A0FDF"/>
    <w:rsid w:val="007A13B2"/>
    <w:rsid w:val="007A1565"/>
    <w:rsid w:val="007A159F"/>
    <w:rsid w:val="007A1614"/>
    <w:rsid w:val="007A1AA6"/>
    <w:rsid w:val="007A1BF1"/>
    <w:rsid w:val="007A1D6C"/>
    <w:rsid w:val="007A1D82"/>
    <w:rsid w:val="007A1EE6"/>
    <w:rsid w:val="007A1F06"/>
    <w:rsid w:val="007A20BD"/>
    <w:rsid w:val="007A20D7"/>
    <w:rsid w:val="007A2308"/>
    <w:rsid w:val="007A2577"/>
    <w:rsid w:val="007A262E"/>
    <w:rsid w:val="007A2695"/>
    <w:rsid w:val="007A29BA"/>
    <w:rsid w:val="007A29C5"/>
    <w:rsid w:val="007A29D9"/>
    <w:rsid w:val="007A2A49"/>
    <w:rsid w:val="007A2AD9"/>
    <w:rsid w:val="007A2B99"/>
    <w:rsid w:val="007A2E90"/>
    <w:rsid w:val="007A2F22"/>
    <w:rsid w:val="007A2F34"/>
    <w:rsid w:val="007A2F7A"/>
    <w:rsid w:val="007A300C"/>
    <w:rsid w:val="007A3218"/>
    <w:rsid w:val="007A3502"/>
    <w:rsid w:val="007A3520"/>
    <w:rsid w:val="007A356C"/>
    <w:rsid w:val="007A3762"/>
    <w:rsid w:val="007A37DF"/>
    <w:rsid w:val="007A393A"/>
    <w:rsid w:val="007A3A0C"/>
    <w:rsid w:val="007A3AEC"/>
    <w:rsid w:val="007A3D6C"/>
    <w:rsid w:val="007A400E"/>
    <w:rsid w:val="007A4161"/>
    <w:rsid w:val="007A4215"/>
    <w:rsid w:val="007A44B3"/>
    <w:rsid w:val="007A4514"/>
    <w:rsid w:val="007A4668"/>
    <w:rsid w:val="007A4934"/>
    <w:rsid w:val="007A4BC8"/>
    <w:rsid w:val="007A4C09"/>
    <w:rsid w:val="007A4DA5"/>
    <w:rsid w:val="007A4DC6"/>
    <w:rsid w:val="007A4E17"/>
    <w:rsid w:val="007A4FD4"/>
    <w:rsid w:val="007A5226"/>
    <w:rsid w:val="007A5247"/>
    <w:rsid w:val="007A52EB"/>
    <w:rsid w:val="007A54BF"/>
    <w:rsid w:val="007A580C"/>
    <w:rsid w:val="007A5845"/>
    <w:rsid w:val="007A5AAB"/>
    <w:rsid w:val="007A5C15"/>
    <w:rsid w:val="007A5C7A"/>
    <w:rsid w:val="007A5ED1"/>
    <w:rsid w:val="007A6003"/>
    <w:rsid w:val="007A6078"/>
    <w:rsid w:val="007A61A8"/>
    <w:rsid w:val="007A6248"/>
    <w:rsid w:val="007A638F"/>
    <w:rsid w:val="007A6440"/>
    <w:rsid w:val="007A64F0"/>
    <w:rsid w:val="007A6582"/>
    <w:rsid w:val="007A65C3"/>
    <w:rsid w:val="007A68E2"/>
    <w:rsid w:val="007A6928"/>
    <w:rsid w:val="007A6C19"/>
    <w:rsid w:val="007A6E01"/>
    <w:rsid w:val="007A6E6B"/>
    <w:rsid w:val="007A715C"/>
    <w:rsid w:val="007A7322"/>
    <w:rsid w:val="007A73A1"/>
    <w:rsid w:val="007A752E"/>
    <w:rsid w:val="007A75C7"/>
    <w:rsid w:val="007A7865"/>
    <w:rsid w:val="007A7883"/>
    <w:rsid w:val="007A79D9"/>
    <w:rsid w:val="007A7C17"/>
    <w:rsid w:val="007A7C9B"/>
    <w:rsid w:val="007A7E5F"/>
    <w:rsid w:val="007A7F07"/>
    <w:rsid w:val="007B0196"/>
    <w:rsid w:val="007B0478"/>
    <w:rsid w:val="007B07A6"/>
    <w:rsid w:val="007B08D3"/>
    <w:rsid w:val="007B093C"/>
    <w:rsid w:val="007B0A1B"/>
    <w:rsid w:val="007B0A3F"/>
    <w:rsid w:val="007B0C47"/>
    <w:rsid w:val="007B0C6E"/>
    <w:rsid w:val="007B14F0"/>
    <w:rsid w:val="007B1634"/>
    <w:rsid w:val="007B164A"/>
    <w:rsid w:val="007B1678"/>
    <w:rsid w:val="007B1693"/>
    <w:rsid w:val="007B169C"/>
    <w:rsid w:val="007B16DE"/>
    <w:rsid w:val="007B1AF1"/>
    <w:rsid w:val="007B1BF4"/>
    <w:rsid w:val="007B1F4F"/>
    <w:rsid w:val="007B2125"/>
    <w:rsid w:val="007B22BB"/>
    <w:rsid w:val="007B2372"/>
    <w:rsid w:val="007B23A1"/>
    <w:rsid w:val="007B246E"/>
    <w:rsid w:val="007B2711"/>
    <w:rsid w:val="007B29DE"/>
    <w:rsid w:val="007B2ABF"/>
    <w:rsid w:val="007B2DB4"/>
    <w:rsid w:val="007B3028"/>
    <w:rsid w:val="007B30AC"/>
    <w:rsid w:val="007B3356"/>
    <w:rsid w:val="007B3362"/>
    <w:rsid w:val="007B356A"/>
    <w:rsid w:val="007B36A5"/>
    <w:rsid w:val="007B3820"/>
    <w:rsid w:val="007B392C"/>
    <w:rsid w:val="007B39B5"/>
    <w:rsid w:val="007B3B6A"/>
    <w:rsid w:val="007B3D16"/>
    <w:rsid w:val="007B3D9B"/>
    <w:rsid w:val="007B3D9D"/>
    <w:rsid w:val="007B3E9F"/>
    <w:rsid w:val="007B401A"/>
    <w:rsid w:val="007B4224"/>
    <w:rsid w:val="007B4468"/>
    <w:rsid w:val="007B45C8"/>
    <w:rsid w:val="007B45D6"/>
    <w:rsid w:val="007B4778"/>
    <w:rsid w:val="007B47FE"/>
    <w:rsid w:val="007B4856"/>
    <w:rsid w:val="007B492D"/>
    <w:rsid w:val="007B4ACC"/>
    <w:rsid w:val="007B4D97"/>
    <w:rsid w:val="007B4E38"/>
    <w:rsid w:val="007B4E82"/>
    <w:rsid w:val="007B5045"/>
    <w:rsid w:val="007B511C"/>
    <w:rsid w:val="007B5163"/>
    <w:rsid w:val="007B5406"/>
    <w:rsid w:val="007B543D"/>
    <w:rsid w:val="007B5497"/>
    <w:rsid w:val="007B552E"/>
    <w:rsid w:val="007B555C"/>
    <w:rsid w:val="007B56B8"/>
    <w:rsid w:val="007B56C6"/>
    <w:rsid w:val="007B57B9"/>
    <w:rsid w:val="007B590E"/>
    <w:rsid w:val="007B5971"/>
    <w:rsid w:val="007B59B4"/>
    <w:rsid w:val="007B5AC7"/>
    <w:rsid w:val="007B5ACA"/>
    <w:rsid w:val="007B5D22"/>
    <w:rsid w:val="007B5D34"/>
    <w:rsid w:val="007B5E70"/>
    <w:rsid w:val="007B5F80"/>
    <w:rsid w:val="007B5FBB"/>
    <w:rsid w:val="007B6182"/>
    <w:rsid w:val="007B6398"/>
    <w:rsid w:val="007B6657"/>
    <w:rsid w:val="007B6708"/>
    <w:rsid w:val="007B6893"/>
    <w:rsid w:val="007B69EF"/>
    <w:rsid w:val="007B6B10"/>
    <w:rsid w:val="007B6CB7"/>
    <w:rsid w:val="007B6CBE"/>
    <w:rsid w:val="007B6CD4"/>
    <w:rsid w:val="007B6F20"/>
    <w:rsid w:val="007B6F94"/>
    <w:rsid w:val="007B6FE5"/>
    <w:rsid w:val="007B70A8"/>
    <w:rsid w:val="007B737C"/>
    <w:rsid w:val="007B73D7"/>
    <w:rsid w:val="007B74C0"/>
    <w:rsid w:val="007B7586"/>
    <w:rsid w:val="007B765E"/>
    <w:rsid w:val="007B76AC"/>
    <w:rsid w:val="007B79AD"/>
    <w:rsid w:val="007B79E7"/>
    <w:rsid w:val="007B7ACB"/>
    <w:rsid w:val="007B7F2E"/>
    <w:rsid w:val="007C0112"/>
    <w:rsid w:val="007C02A0"/>
    <w:rsid w:val="007C0793"/>
    <w:rsid w:val="007C0980"/>
    <w:rsid w:val="007C09AA"/>
    <w:rsid w:val="007C0A91"/>
    <w:rsid w:val="007C0F80"/>
    <w:rsid w:val="007C1065"/>
    <w:rsid w:val="007C112B"/>
    <w:rsid w:val="007C1315"/>
    <w:rsid w:val="007C15B5"/>
    <w:rsid w:val="007C15B6"/>
    <w:rsid w:val="007C15B7"/>
    <w:rsid w:val="007C1BD2"/>
    <w:rsid w:val="007C1C06"/>
    <w:rsid w:val="007C1D27"/>
    <w:rsid w:val="007C1D2E"/>
    <w:rsid w:val="007C1F7C"/>
    <w:rsid w:val="007C2068"/>
    <w:rsid w:val="007C20BE"/>
    <w:rsid w:val="007C22F1"/>
    <w:rsid w:val="007C23CC"/>
    <w:rsid w:val="007C240F"/>
    <w:rsid w:val="007C2743"/>
    <w:rsid w:val="007C277C"/>
    <w:rsid w:val="007C2915"/>
    <w:rsid w:val="007C2A4C"/>
    <w:rsid w:val="007C2CD3"/>
    <w:rsid w:val="007C30F1"/>
    <w:rsid w:val="007C324E"/>
    <w:rsid w:val="007C35F2"/>
    <w:rsid w:val="007C37DC"/>
    <w:rsid w:val="007C38FC"/>
    <w:rsid w:val="007C39F4"/>
    <w:rsid w:val="007C3AB8"/>
    <w:rsid w:val="007C3D5C"/>
    <w:rsid w:val="007C3D63"/>
    <w:rsid w:val="007C3D7D"/>
    <w:rsid w:val="007C3E8D"/>
    <w:rsid w:val="007C3EAA"/>
    <w:rsid w:val="007C3F08"/>
    <w:rsid w:val="007C3FD5"/>
    <w:rsid w:val="007C40DC"/>
    <w:rsid w:val="007C4374"/>
    <w:rsid w:val="007C457E"/>
    <w:rsid w:val="007C45A7"/>
    <w:rsid w:val="007C45DC"/>
    <w:rsid w:val="007C479A"/>
    <w:rsid w:val="007C4B91"/>
    <w:rsid w:val="007C4E91"/>
    <w:rsid w:val="007C4EF1"/>
    <w:rsid w:val="007C4FC5"/>
    <w:rsid w:val="007C5004"/>
    <w:rsid w:val="007C5009"/>
    <w:rsid w:val="007C51CE"/>
    <w:rsid w:val="007C524E"/>
    <w:rsid w:val="007C556A"/>
    <w:rsid w:val="007C5756"/>
    <w:rsid w:val="007C58F3"/>
    <w:rsid w:val="007C5C75"/>
    <w:rsid w:val="007C5CEC"/>
    <w:rsid w:val="007C5EC2"/>
    <w:rsid w:val="007C66AD"/>
    <w:rsid w:val="007C699C"/>
    <w:rsid w:val="007C6B6C"/>
    <w:rsid w:val="007C6D94"/>
    <w:rsid w:val="007C6E71"/>
    <w:rsid w:val="007C707C"/>
    <w:rsid w:val="007C734E"/>
    <w:rsid w:val="007C74E0"/>
    <w:rsid w:val="007C758F"/>
    <w:rsid w:val="007C7772"/>
    <w:rsid w:val="007C7788"/>
    <w:rsid w:val="007C789E"/>
    <w:rsid w:val="007C7B96"/>
    <w:rsid w:val="007C7D05"/>
    <w:rsid w:val="007C7D64"/>
    <w:rsid w:val="007D015B"/>
    <w:rsid w:val="007D0197"/>
    <w:rsid w:val="007D0264"/>
    <w:rsid w:val="007D035F"/>
    <w:rsid w:val="007D0507"/>
    <w:rsid w:val="007D06DA"/>
    <w:rsid w:val="007D07E5"/>
    <w:rsid w:val="007D087F"/>
    <w:rsid w:val="007D0890"/>
    <w:rsid w:val="007D09B2"/>
    <w:rsid w:val="007D1378"/>
    <w:rsid w:val="007D14A5"/>
    <w:rsid w:val="007D15BD"/>
    <w:rsid w:val="007D193C"/>
    <w:rsid w:val="007D19FF"/>
    <w:rsid w:val="007D1BA4"/>
    <w:rsid w:val="007D1E76"/>
    <w:rsid w:val="007D1E83"/>
    <w:rsid w:val="007D2387"/>
    <w:rsid w:val="007D23EB"/>
    <w:rsid w:val="007D2470"/>
    <w:rsid w:val="007D2487"/>
    <w:rsid w:val="007D282E"/>
    <w:rsid w:val="007D2874"/>
    <w:rsid w:val="007D2A6A"/>
    <w:rsid w:val="007D2B8D"/>
    <w:rsid w:val="007D2DBC"/>
    <w:rsid w:val="007D2DF6"/>
    <w:rsid w:val="007D2E9D"/>
    <w:rsid w:val="007D2EE9"/>
    <w:rsid w:val="007D301E"/>
    <w:rsid w:val="007D3043"/>
    <w:rsid w:val="007D351F"/>
    <w:rsid w:val="007D372B"/>
    <w:rsid w:val="007D3B68"/>
    <w:rsid w:val="007D3D94"/>
    <w:rsid w:val="007D3FEF"/>
    <w:rsid w:val="007D4155"/>
    <w:rsid w:val="007D42EB"/>
    <w:rsid w:val="007D43BF"/>
    <w:rsid w:val="007D441A"/>
    <w:rsid w:val="007D4470"/>
    <w:rsid w:val="007D45EA"/>
    <w:rsid w:val="007D4869"/>
    <w:rsid w:val="007D48CF"/>
    <w:rsid w:val="007D4EAD"/>
    <w:rsid w:val="007D50CE"/>
    <w:rsid w:val="007D516D"/>
    <w:rsid w:val="007D52B8"/>
    <w:rsid w:val="007D544C"/>
    <w:rsid w:val="007D55B9"/>
    <w:rsid w:val="007D59A4"/>
    <w:rsid w:val="007D59B1"/>
    <w:rsid w:val="007D59BC"/>
    <w:rsid w:val="007D5B75"/>
    <w:rsid w:val="007D5E22"/>
    <w:rsid w:val="007D5E88"/>
    <w:rsid w:val="007D6123"/>
    <w:rsid w:val="007D6134"/>
    <w:rsid w:val="007D6158"/>
    <w:rsid w:val="007D62D9"/>
    <w:rsid w:val="007D63BF"/>
    <w:rsid w:val="007D6516"/>
    <w:rsid w:val="007D6790"/>
    <w:rsid w:val="007D6828"/>
    <w:rsid w:val="007D6A15"/>
    <w:rsid w:val="007D6B31"/>
    <w:rsid w:val="007D6B7E"/>
    <w:rsid w:val="007D6BF1"/>
    <w:rsid w:val="007D6DED"/>
    <w:rsid w:val="007D6E90"/>
    <w:rsid w:val="007D6F5C"/>
    <w:rsid w:val="007D6F8C"/>
    <w:rsid w:val="007D721A"/>
    <w:rsid w:val="007D722B"/>
    <w:rsid w:val="007D73F0"/>
    <w:rsid w:val="007D77E2"/>
    <w:rsid w:val="007D7901"/>
    <w:rsid w:val="007D7C4F"/>
    <w:rsid w:val="007D7D5D"/>
    <w:rsid w:val="007E0546"/>
    <w:rsid w:val="007E05BE"/>
    <w:rsid w:val="007E06A0"/>
    <w:rsid w:val="007E08DB"/>
    <w:rsid w:val="007E0AC0"/>
    <w:rsid w:val="007E0C12"/>
    <w:rsid w:val="007E0CA7"/>
    <w:rsid w:val="007E0D14"/>
    <w:rsid w:val="007E0E11"/>
    <w:rsid w:val="007E0E99"/>
    <w:rsid w:val="007E114A"/>
    <w:rsid w:val="007E1334"/>
    <w:rsid w:val="007E1413"/>
    <w:rsid w:val="007E1462"/>
    <w:rsid w:val="007E15CF"/>
    <w:rsid w:val="007E16F9"/>
    <w:rsid w:val="007E17FD"/>
    <w:rsid w:val="007E19CA"/>
    <w:rsid w:val="007E1AA3"/>
    <w:rsid w:val="007E1F13"/>
    <w:rsid w:val="007E1F78"/>
    <w:rsid w:val="007E215F"/>
    <w:rsid w:val="007E219E"/>
    <w:rsid w:val="007E21A5"/>
    <w:rsid w:val="007E21FA"/>
    <w:rsid w:val="007E2323"/>
    <w:rsid w:val="007E2601"/>
    <w:rsid w:val="007E27ED"/>
    <w:rsid w:val="007E29CA"/>
    <w:rsid w:val="007E2A8E"/>
    <w:rsid w:val="007E2AC1"/>
    <w:rsid w:val="007E2C8B"/>
    <w:rsid w:val="007E2D63"/>
    <w:rsid w:val="007E31CD"/>
    <w:rsid w:val="007E3218"/>
    <w:rsid w:val="007E32F4"/>
    <w:rsid w:val="007E37B0"/>
    <w:rsid w:val="007E38AE"/>
    <w:rsid w:val="007E39BF"/>
    <w:rsid w:val="007E3C57"/>
    <w:rsid w:val="007E3D19"/>
    <w:rsid w:val="007E3D2D"/>
    <w:rsid w:val="007E3D2E"/>
    <w:rsid w:val="007E4150"/>
    <w:rsid w:val="007E41A6"/>
    <w:rsid w:val="007E420B"/>
    <w:rsid w:val="007E43DC"/>
    <w:rsid w:val="007E4410"/>
    <w:rsid w:val="007E4413"/>
    <w:rsid w:val="007E471E"/>
    <w:rsid w:val="007E4942"/>
    <w:rsid w:val="007E4B6F"/>
    <w:rsid w:val="007E4C7E"/>
    <w:rsid w:val="007E4DAB"/>
    <w:rsid w:val="007E4FFC"/>
    <w:rsid w:val="007E5063"/>
    <w:rsid w:val="007E511D"/>
    <w:rsid w:val="007E5172"/>
    <w:rsid w:val="007E5786"/>
    <w:rsid w:val="007E5866"/>
    <w:rsid w:val="007E5BAC"/>
    <w:rsid w:val="007E5DED"/>
    <w:rsid w:val="007E5E50"/>
    <w:rsid w:val="007E5F7F"/>
    <w:rsid w:val="007E6016"/>
    <w:rsid w:val="007E6203"/>
    <w:rsid w:val="007E6515"/>
    <w:rsid w:val="007E667D"/>
    <w:rsid w:val="007E66EB"/>
    <w:rsid w:val="007E6737"/>
    <w:rsid w:val="007E67EA"/>
    <w:rsid w:val="007E68EC"/>
    <w:rsid w:val="007E6946"/>
    <w:rsid w:val="007E6AAC"/>
    <w:rsid w:val="007E6B60"/>
    <w:rsid w:val="007E6C8F"/>
    <w:rsid w:val="007E7126"/>
    <w:rsid w:val="007E7148"/>
    <w:rsid w:val="007E7245"/>
    <w:rsid w:val="007E7352"/>
    <w:rsid w:val="007E76F3"/>
    <w:rsid w:val="007E7908"/>
    <w:rsid w:val="007E7A38"/>
    <w:rsid w:val="007E7B89"/>
    <w:rsid w:val="007E7D9F"/>
    <w:rsid w:val="007F009F"/>
    <w:rsid w:val="007F0307"/>
    <w:rsid w:val="007F03B7"/>
    <w:rsid w:val="007F04C4"/>
    <w:rsid w:val="007F04E5"/>
    <w:rsid w:val="007F05AB"/>
    <w:rsid w:val="007F0608"/>
    <w:rsid w:val="007F0694"/>
    <w:rsid w:val="007F0933"/>
    <w:rsid w:val="007F0C90"/>
    <w:rsid w:val="007F0CA2"/>
    <w:rsid w:val="007F0CFA"/>
    <w:rsid w:val="007F0DA8"/>
    <w:rsid w:val="007F0FF3"/>
    <w:rsid w:val="007F112A"/>
    <w:rsid w:val="007F120E"/>
    <w:rsid w:val="007F1640"/>
    <w:rsid w:val="007F1849"/>
    <w:rsid w:val="007F18A3"/>
    <w:rsid w:val="007F1B5B"/>
    <w:rsid w:val="007F1B7B"/>
    <w:rsid w:val="007F1C89"/>
    <w:rsid w:val="007F1DAF"/>
    <w:rsid w:val="007F20B9"/>
    <w:rsid w:val="007F2179"/>
    <w:rsid w:val="007F220D"/>
    <w:rsid w:val="007F2381"/>
    <w:rsid w:val="007F23C2"/>
    <w:rsid w:val="007F2844"/>
    <w:rsid w:val="007F2861"/>
    <w:rsid w:val="007F2974"/>
    <w:rsid w:val="007F2B25"/>
    <w:rsid w:val="007F2CFF"/>
    <w:rsid w:val="007F2E23"/>
    <w:rsid w:val="007F2E6E"/>
    <w:rsid w:val="007F2F90"/>
    <w:rsid w:val="007F2FFE"/>
    <w:rsid w:val="007F30FA"/>
    <w:rsid w:val="007F3180"/>
    <w:rsid w:val="007F3540"/>
    <w:rsid w:val="007F361A"/>
    <w:rsid w:val="007F3669"/>
    <w:rsid w:val="007F37A5"/>
    <w:rsid w:val="007F381B"/>
    <w:rsid w:val="007F3877"/>
    <w:rsid w:val="007F38F2"/>
    <w:rsid w:val="007F39D2"/>
    <w:rsid w:val="007F3A08"/>
    <w:rsid w:val="007F3AD9"/>
    <w:rsid w:val="007F3CD3"/>
    <w:rsid w:val="007F3DC0"/>
    <w:rsid w:val="007F3E9E"/>
    <w:rsid w:val="007F3EA0"/>
    <w:rsid w:val="007F401E"/>
    <w:rsid w:val="007F40EE"/>
    <w:rsid w:val="007F4125"/>
    <w:rsid w:val="007F4279"/>
    <w:rsid w:val="007F428C"/>
    <w:rsid w:val="007F42E6"/>
    <w:rsid w:val="007F448C"/>
    <w:rsid w:val="007F45B2"/>
    <w:rsid w:val="007F4645"/>
    <w:rsid w:val="007F46A6"/>
    <w:rsid w:val="007F4908"/>
    <w:rsid w:val="007F491E"/>
    <w:rsid w:val="007F4A38"/>
    <w:rsid w:val="007F4BB4"/>
    <w:rsid w:val="007F4C65"/>
    <w:rsid w:val="007F4D13"/>
    <w:rsid w:val="007F537F"/>
    <w:rsid w:val="007F57C0"/>
    <w:rsid w:val="007F5870"/>
    <w:rsid w:val="007F5A64"/>
    <w:rsid w:val="007F5AA2"/>
    <w:rsid w:val="007F5D6B"/>
    <w:rsid w:val="007F5DA6"/>
    <w:rsid w:val="007F5E1D"/>
    <w:rsid w:val="007F62FD"/>
    <w:rsid w:val="007F6426"/>
    <w:rsid w:val="007F6833"/>
    <w:rsid w:val="007F68E0"/>
    <w:rsid w:val="007F6A1A"/>
    <w:rsid w:val="007F6AC9"/>
    <w:rsid w:val="007F6E07"/>
    <w:rsid w:val="007F6E93"/>
    <w:rsid w:val="007F6F64"/>
    <w:rsid w:val="007F70D3"/>
    <w:rsid w:val="007F719B"/>
    <w:rsid w:val="007F737C"/>
    <w:rsid w:val="007F73B8"/>
    <w:rsid w:val="007F7454"/>
    <w:rsid w:val="007F76D7"/>
    <w:rsid w:val="007F76F0"/>
    <w:rsid w:val="007F777B"/>
    <w:rsid w:val="007F77DD"/>
    <w:rsid w:val="007F7896"/>
    <w:rsid w:val="007F7979"/>
    <w:rsid w:val="007F7B4C"/>
    <w:rsid w:val="007F7E06"/>
    <w:rsid w:val="008000F5"/>
    <w:rsid w:val="008002BD"/>
    <w:rsid w:val="00800387"/>
    <w:rsid w:val="008003EC"/>
    <w:rsid w:val="0080045C"/>
    <w:rsid w:val="008004F1"/>
    <w:rsid w:val="008005DD"/>
    <w:rsid w:val="00800655"/>
    <w:rsid w:val="00800A07"/>
    <w:rsid w:val="00800B83"/>
    <w:rsid w:val="00801179"/>
    <w:rsid w:val="008011FE"/>
    <w:rsid w:val="0080120E"/>
    <w:rsid w:val="008012B6"/>
    <w:rsid w:val="00801499"/>
    <w:rsid w:val="00801586"/>
    <w:rsid w:val="0080169A"/>
    <w:rsid w:val="008016B9"/>
    <w:rsid w:val="0080172E"/>
    <w:rsid w:val="00801792"/>
    <w:rsid w:val="00801879"/>
    <w:rsid w:val="0080195F"/>
    <w:rsid w:val="00801A9E"/>
    <w:rsid w:val="00801C08"/>
    <w:rsid w:val="00801E5C"/>
    <w:rsid w:val="0080219C"/>
    <w:rsid w:val="008022E4"/>
    <w:rsid w:val="008022EE"/>
    <w:rsid w:val="00802317"/>
    <w:rsid w:val="008025CB"/>
    <w:rsid w:val="0080286B"/>
    <w:rsid w:val="008029E6"/>
    <w:rsid w:val="00802A0F"/>
    <w:rsid w:val="00802B09"/>
    <w:rsid w:val="00802FC9"/>
    <w:rsid w:val="008030C6"/>
    <w:rsid w:val="0080329A"/>
    <w:rsid w:val="00803318"/>
    <w:rsid w:val="008034F1"/>
    <w:rsid w:val="008035F4"/>
    <w:rsid w:val="0080365A"/>
    <w:rsid w:val="008038CD"/>
    <w:rsid w:val="00803AB8"/>
    <w:rsid w:val="00803C20"/>
    <w:rsid w:val="00803E18"/>
    <w:rsid w:val="0080418F"/>
    <w:rsid w:val="008043BC"/>
    <w:rsid w:val="00804709"/>
    <w:rsid w:val="00804829"/>
    <w:rsid w:val="008048E4"/>
    <w:rsid w:val="00804950"/>
    <w:rsid w:val="00804C11"/>
    <w:rsid w:val="00804C7C"/>
    <w:rsid w:val="00804CD3"/>
    <w:rsid w:val="00804DBD"/>
    <w:rsid w:val="00804EB6"/>
    <w:rsid w:val="008050DB"/>
    <w:rsid w:val="008052A3"/>
    <w:rsid w:val="008053A0"/>
    <w:rsid w:val="008054D4"/>
    <w:rsid w:val="0080596A"/>
    <w:rsid w:val="00805C0D"/>
    <w:rsid w:val="00805D7C"/>
    <w:rsid w:val="00805DF9"/>
    <w:rsid w:val="0080601F"/>
    <w:rsid w:val="00806186"/>
    <w:rsid w:val="008063E8"/>
    <w:rsid w:val="0080652D"/>
    <w:rsid w:val="008069F5"/>
    <w:rsid w:val="00806B29"/>
    <w:rsid w:val="00806DE2"/>
    <w:rsid w:val="00806E2D"/>
    <w:rsid w:val="00806E51"/>
    <w:rsid w:val="0080706C"/>
    <w:rsid w:val="00807083"/>
    <w:rsid w:val="0080714F"/>
    <w:rsid w:val="00807191"/>
    <w:rsid w:val="008071A9"/>
    <w:rsid w:val="00807369"/>
    <w:rsid w:val="008073A3"/>
    <w:rsid w:val="008078F2"/>
    <w:rsid w:val="00807C25"/>
    <w:rsid w:val="00807DC7"/>
    <w:rsid w:val="00807E00"/>
    <w:rsid w:val="00807F95"/>
    <w:rsid w:val="00810107"/>
    <w:rsid w:val="008102D9"/>
    <w:rsid w:val="008104C5"/>
    <w:rsid w:val="00810822"/>
    <w:rsid w:val="00810D60"/>
    <w:rsid w:val="00810DD3"/>
    <w:rsid w:val="00810F85"/>
    <w:rsid w:val="00811452"/>
    <w:rsid w:val="0081147E"/>
    <w:rsid w:val="008114E6"/>
    <w:rsid w:val="0081156D"/>
    <w:rsid w:val="0081188F"/>
    <w:rsid w:val="00811B90"/>
    <w:rsid w:val="00811C45"/>
    <w:rsid w:val="00811CF2"/>
    <w:rsid w:val="00812009"/>
    <w:rsid w:val="008120DB"/>
    <w:rsid w:val="008121C7"/>
    <w:rsid w:val="00812281"/>
    <w:rsid w:val="0081233E"/>
    <w:rsid w:val="008123B6"/>
    <w:rsid w:val="00812416"/>
    <w:rsid w:val="00812537"/>
    <w:rsid w:val="00812810"/>
    <w:rsid w:val="00812822"/>
    <w:rsid w:val="0081283A"/>
    <w:rsid w:val="0081290A"/>
    <w:rsid w:val="00812AAD"/>
    <w:rsid w:val="00812E78"/>
    <w:rsid w:val="0081317D"/>
    <w:rsid w:val="008131F6"/>
    <w:rsid w:val="00813201"/>
    <w:rsid w:val="008132DC"/>
    <w:rsid w:val="008135D6"/>
    <w:rsid w:val="00813AD4"/>
    <w:rsid w:val="00813B23"/>
    <w:rsid w:val="00813CF1"/>
    <w:rsid w:val="00813D40"/>
    <w:rsid w:val="00813E40"/>
    <w:rsid w:val="008149B2"/>
    <w:rsid w:val="00814B68"/>
    <w:rsid w:val="00814BEE"/>
    <w:rsid w:val="00814C7E"/>
    <w:rsid w:val="00814D56"/>
    <w:rsid w:val="00814F62"/>
    <w:rsid w:val="008150CA"/>
    <w:rsid w:val="008154EE"/>
    <w:rsid w:val="00815618"/>
    <w:rsid w:val="008159A9"/>
    <w:rsid w:val="00815A5B"/>
    <w:rsid w:val="0081610B"/>
    <w:rsid w:val="00816129"/>
    <w:rsid w:val="0081627F"/>
    <w:rsid w:val="00816294"/>
    <w:rsid w:val="0081667C"/>
    <w:rsid w:val="0081676B"/>
    <w:rsid w:val="00816AD3"/>
    <w:rsid w:val="00816E6D"/>
    <w:rsid w:val="008172FB"/>
    <w:rsid w:val="0081747D"/>
    <w:rsid w:val="00817544"/>
    <w:rsid w:val="008177AA"/>
    <w:rsid w:val="0081782A"/>
    <w:rsid w:val="00817A19"/>
    <w:rsid w:val="00817EBB"/>
    <w:rsid w:val="00817F7F"/>
    <w:rsid w:val="00817FFC"/>
    <w:rsid w:val="00820280"/>
    <w:rsid w:val="0082028F"/>
    <w:rsid w:val="0082032C"/>
    <w:rsid w:val="008203A7"/>
    <w:rsid w:val="008205AD"/>
    <w:rsid w:val="0082081E"/>
    <w:rsid w:val="008208A9"/>
    <w:rsid w:val="00820A05"/>
    <w:rsid w:val="00820A2B"/>
    <w:rsid w:val="00820A8B"/>
    <w:rsid w:val="00820BD2"/>
    <w:rsid w:val="00820D65"/>
    <w:rsid w:val="00820F76"/>
    <w:rsid w:val="00820FB9"/>
    <w:rsid w:val="0082101E"/>
    <w:rsid w:val="008213B9"/>
    <w:rsid w:val="00821956"/>
    <w:rsid w:val="00821D96"/>
    <w:rsid w:val="0082233E"/>
    <w:rsid w:val="0082241F"/>
    <w:rsid w:val="00822473"/>
    <w:rsid w:val="008226B2"/>
    <w:rsid w:val="00822A88"/>
    <w:rsid w:val="00822F1D"/>
    <w:rsid w:val="0082301F"/>
    <w:rsid w:val="00823030"/>
    <w:rsid w:val="008231A7"/>
    <w:rsid w:val="0082321F"/>
    <w:rsid w:val="0082325E"/>
    <w:rsid w:val="00823656"/>
    <w:rsid w:val="008237B0"/>
    <w:rsid w:val="008237D1"/>
    <w:rsid w:val="008237D4"/>
    <w:rsid w:val="008238C4"/>
    <w:rsid w:val="00823A5A"/>
    <w:rsid w:val="00823A94"/>
    <w:rsid w:val="00823A98"/>
    <w:rsid w:val="00823AF5"/>
    <w:rsid w:val="00823B05"/>
    <w:rsid w:val="00823BB9"/>
    <w:rsid w:val="00823BCB"/>
    <w:rsid w:val="00823C3E"/>
    <w:rsid w:val="00823D08"/>
    <w:rsid w:val="00823E9F"/>
    <w:rsid w:val="0082418D"/>
    <w:rsid w:val="0082419D"/>
    <w:rsid w:val="008242EE"/>
    <w:rsid w:val="0082432A"/>
    <w:rsid w:val="00824396"/>
    <w:rsid w:val="00824469"/>
    <w:rsid w:val="008245F2"/>
    <w:rsid w:val="00824618"/>
    <w:rsid w:val="008247DA"/>
    <w:rsid w:val="008249CC"/>
    <w:rsid w:val="008249F2"/>
    <w:rsid w:val="00824B51"/>
    <w:rsid w:val="00824B5A"/>
    <w:rsid w:val="00824E5C"/>
    <w:rsid w:val="00824E78"/>
    <w:rsid w:val="00825138"/>
    <w:rsid w:val="00825236"/>
    <w:rsid w:val="008253A5"/>
    <w:rsid w:val="00825478"/>
    <w:rsid w:val="008254E0"/>
    <w:rsid w:val="008255F9"/>
    <w:rsid w:val="00825C3C"/>
    <w:rsid w:val="00825D89"/>
    <w:rsid w:val="00825F4F"/>
    <w:rsid w:val="00825F63"/>
    <w:rsid w:val="0082609D"/>
    <w:rsid w:val="008263C4"/>
    <w:rsid w:val="008264F5"/>
    <w:rsid w:val="008265B4"/>
    <w:rsid w:val="00826690"/>
    <w:rsid w:val="008266F5"/>
    <w:rsid w:val="008267C6"/>
    <w:rsid w:val="00826874"/>
    <w:rsid w:val="00826932"/>
    <w:rsid w:val="00826B4D"/>
    <w:rsid w:val="00826D63"/>
    <w:rsid w:val="00826E07"/>
    <w:rsid w:val="00826EBE"/>
    <w:rsid w:val="00826EF6"/>
    <w:rsid w:val="008271A8"/>
    <w:rsid w:val="00827296"/>
    <w:rsid w:val="0082734E"/>
    <w:rsid w:val="0082736C"/>
    <w:rsid w:val="00827681"/>
    <w:rsid w:val="00827702"/>
    <w:rsid w:val="00827941"/>
    <w:rsid w:val="00827947"/>
    <w:rsid w:val="00827C91"/>
    <w:rsid w:val="00827D4F"/>
    <w:rsid w:val="00827ED2"/>
    <w:rsid w:val="00827F08"/>
    <w:rsid w:val="0083001E"/>
    <w:rsid w:val="0083011A"/>
    <w:rsid w:val="008301FD"/>
    <w:rsid w:val="008302D9"/>
    <w:rsid w:val="00830676"/>
    <w:rsid w:val="008307E3"/>
    <w:rsid w:val="00830828"/>
    <w:rsid w:val="008308F4"/>
    <w:rsid w:val="00830A01"/>
    <w:rsid w:val="00830A94"/>
    <w:rsid w:val="00830B09"/>
    <w:rsid w:val="00830B9F"/>
    <w:rsid w:val="00830C28"/>
    <w:rsid w:val="00830E74"/>
    <w:rsid w:val="008311F9"/>
    <w:rsid w:val="008316DA"/>
    <w:rsid w:val="008317AF"/>
    <w:rsid w:val="0083184E"/>
    <w:rsid w:val="00831972"/>
    <w:rsid w:val="008319A1"/>
    <w:rsid w:val="00831A2E"/>
    <w:rsid w:val="00831D7B"/>
    <w:rsid w:val="00831D9A"/>
    <w:rsid w:val="00831ECC"/>
    <w:rsid w:val="0083201D"/>
    <w:rsid w:val="00832075"/>
    <w:rsid w:val="00832103"/>
    <w:rsid w:val="0083210B"/>
    <w:rsid w:val="0083222C"/>
    <w:rsid w:val="00832294"/>
    <w:rsid w:val="008322E9"/>
    <w:rsid w:val="00832570"/>
    <w:rsid w:val="0083278B"/>
    <w:rsid w:val="00832DC5"/>
    <w:rsid w:val="00832E07"/>
    <w:rsid w:val="00832F06"/>
    <w:rsid w:val="00833345"/>
    <w:rsid w:val="00833597"/>
    <w:rsid w:val="0083364A"/>
    <w:rsid w:val="00833651"/>
    <w:rsid w:val="00833819"/>
    <w:rsid w:val="0083388C"/>
    <w:rsid w:val="00833A6B"/>
    <w:rsid w:val="00833B9F"/>
    <w:rsid w:val="00833C4D"/>
    <w:rsid w:val="00834053"/>
    <w:rsid w:val="0083408F"/>
    <w:rsid w:val="008340F3"/>
    <w:rsid w:val="00834252"/>
    <w:rsid w:val="008342E8"/>
    <w:rsid w:val="008342F8"/>
    <w:rsid w:val="00834430"/>
    <w:rsid w:val="00834654"/>
    <w:rsid w:val="00834D67"/>
    <w:rsid w:val="00835025"/>
    <w:rsid w:val="00835307"/>
    <w:rsid w:val="00835398"/>
    <w:rsid w:val="008354A8"/>
    <w:rsid w:val="00835503"/>
    <w:rsid w:val="00835590"/>
    <w:rsid w:val="008358EC"/>
    <w:rsid w:val="0083593E"/>
    <w:rsid w:val="00835AEC"/>
    <w:rsid w:val="00835B4A"/>
    <w:rsid w:val="00835B4C"/>
    <w:rsid w:val="00835F25"/>
    <w:rsid w:val="00835FD7"/>
    <w:rsid w:val="00836380"/>
    <w:rsid w:val="008363BC"/>
    <w:rsid w:val="008364A1"/>
    <w:rsid w:val="008364B9"/>
    <w:rsid w:val="00836563"/>
    <w:rsid w:val="00836600"/>
    <w:rsid w:val="00836699"/>
    <w:rsid w:val="00836860"/>
    <w:rsid w:val="00836863"/>
    <w:rsid w:val="00836ADA"/>
    <w:rsid w:val="00836C6F"/>
    <w:rsid w:val="00836D98"/>
    <w:rsid w:val="00836EAF"/>
    <w:rsid w:val="00836EFE"/>
    <w:rsid w:val="00836F52"/>
    <w:rsid w:val="00836FF7"/>
    <w:rsid w:val="008370E9"/>
    <w:rsid w:val="008372B6"/>
    <w:rsid w:val="008373E5"/>
    <w:rsid w:val="0083753F"/>
    <w:rsid w:val="008375CE"/>
    <w:rsid w:val="00837AEB"/>
    <w:rsid w:val="00837B32"/>
    <w:rsid w:val="00837B52"/>
    <w:rsid w:val="00837C71"/>
    <w:rsid w:val="008401B0"/>
    <w:rsid w:val="00840244"/>
    <w:rsid w:val="00840391"/>
    <w:rsid w:val="008405A9"/>
    <w:rsid w:val="0084088B"/>
    <w:rsid w:val="00840997"/>
    <w:rsid w:val="008409B4"/>
    <w:rsid w:val="00840A6D"/>
    <w:rsid w:val="00840B6A"/>
    <w:rsid w:val="00840D6E"/>
    <w:rsid w:val="00840E55"/>
    <w:rsid w:val="00841118"/>
    <w:rsid w:val="00841253"/>
    <w:rsid w:val="00841443"/>
    <w:rsid w:val="0084146D"/>
    <w:rsid w:val="008417B9"/>
    <w:rsid w:val="00841893"/>
    <w:rsid w:val="008418A8"/>
    <w:rsid w:val="00841E1B"/>
    <w:rsid w:val="00841EF5"/>
    <w:rsid w:val="00841FA5"/>
    <w:rsid w:val="0084227C"/>
    <w:rsid w:val="008422C5"/>
    <w:rsid w:val="0084287B"/>
    <w:rsid w:val="00842981"/>
    <w:rsid w:val="00842A21"/>
    <w:rsid w:val="00842BC9"/>
    <w:rsid w:val="00842D38"/>
    <w:rsid w:val="008432D6"/>
    <w:rsid w:val="00843535"/>
    <w:rsid w:val="00843861"/>
    <w:rsid w:val="0084399F"/>
    <w:rsid w:val="00843A7F"/>
    <w:rsid w:val="00843ADB"/>
    <w:rsid w:val="00843C2F"/>
    <w:rsid w:val="00843D65"/>
    <w:rsid w:val="00843E86"/>
    <w:rsid w:val="00843EFF"/>
    <w:rsid w:val="00844045"/>
    <w:rsid w:val="008440CF"/>
    <w:rsid w:val="0084431A"/>
    <w:rsid w:val="0084431B"/>
    <w:rsid w:val="00844406"/>
    <w:rsid w:val="00844639"/>
    <w:rsid w:val="0084498E"/>
    <w:rsid w:val="00844A0A"/>
    <w:rsid w:val="00844AA5"/>
    <w:rsid w:val="00844B94"/>
    <w:rsid w:val="00844BCE"/>
    <w:rsid w:val="00844C11"/>
    <w:rsid w:val="00844E22"/>
    <w:rsid w:val="00844E3D"/>
    <w:rsid w:val="00844F65"/>
    <w:rsid w:val="00845204"/>
    <w:rsid w:val="00845239"/>
    <w:rsid w:val="00845421"/>
    <w:rsid w:val="00845539"/>
    <w:rsid w:val="0084570F"/>
    <w:rsid w:val="00845739"/>
    <w:rsid w:val="0084573B"/>
    <w:rsid w:val="00845776"/>
    <w:rsid w:val="008459AE"/>
    <w:rsid w:val="008459D5"/>
    <w:rsid w:val="00845A4B"/>
    <w:rsid w:val="00845B5C"/>
    <w:rsid w:val="00845B7B"/>
    <w:rsid w:val="00845B8E"/>
    <w:rsid w:val="00845BBA"/>
    <w:rsid w:val="00845BED"/>
    <w:rsid w:val="00845BF7"/>
    <w:rsid w:val="00845C78"/>
    <w:rsid w:val="00845D73"/>
    <w:rsid w:val="00845EB4"/>
    <w:rsid w:val="00845F93"/>
    <w:rsid w:val="00845FEA"/>
    <w:rsid w:val="008461F3"/>
    <w:rsid w:val="008462D5"/>
    <w:rsid w:val="0084639F"/>
    <w:rsid w:val="008463BF"/>
    <w:rsid w:val="0084673D"/>
    <w:rsid w:val="008468BD"/>
    <w:rsid w:val="00846B26"/>
    <w:rsid w:val="00846D85"/>
    <w:rsid w:val="00846E57"/>
    <w:rsid w:val="00846E8C"/>
    <w:rsid w:val="00846E8F"/>
    <w:rsid w:val="00846FC3"/>
    <w:rsid w:val="00846FC6"/>
    <w:rsid w:val="00847074"/>
    <w:rsid w:val="008478EF"/>
    <w:rsid w:val="00847B8A"/>
    <w:rsid w:val="00847C27"/>
    <w:rsid w:val="00847DCF"/>
    <w:rsid w:val="00847FA0"/>
    <w:rsid w:val="00850087"/>
    <w:rsid w:val="00850105"/>
    <w:rsid w:val="00850906"/>
    <w:rsid w:val="00850A95"/>
    <w:rsid w:val="00850B98"/>
    <w:rsid w:val="00850B99"/>
    <w:rsid w:val="00850CE1"/>
    <w:rsid w:val="00850D4F"/>
    <w:rsid w:val="00850E61"/>
    <w:rsid w:val="00850F48"/>
    <w:rsid w:val="00850FD0"/>
    <w:rsid w:val="008510F3"/>
    <w:rsid w:val="00851151"/>
    <w:rsid w:val="00851295"/>
    <w:rsid w:val="008516DA"/>
    <w:rsid w:val="008517AF"/>
    <w:rsid w:val="0085181A"/>
    <w:rsid w:val="0085197F"/>
    <w:rsid w:val="00851ABE"/>
    <w:rsid w:val="00851C2C"/>
    <w:rsid w:val="00851D3C"/>
    <w:rsid w:val="00851E6C"/>
    <w:rsid w:val="00851F1F"/>
    <w:rsid w:val="0085221C"/>
    <w:rsid w:val="008522F5"/>
    <w:rsid w:val="0085241F"/>
    <w:rsid w:val="00852486"/>
    <w:rsid w:val="008525DA"/>
    <w:rsid w:val="00852739"/>
    <w:rsid w:val="0085288E"/>
    <w:rsid w:val="00852897"/>
    <w:rsid w:val="00852B3E"/>
    <w:rsid w:val="00852C8D"/>
    <w:rsid w:val="00852DB6"/>
    <w:rsid w:val="00852E2D"/>
    <w:rsid w:val="0085330D"/>
    <w:rsid w:val="0085333F"/>
    <w:rsid w:val="0085346C"/>
    <w:rsid w:val="00853628"/>
    <w:rsid w:val="008538E6"/>
    <w:rsid w:val="00853995"/>
    <w:rsid w:val="00853A5A"/>
    <w:rsid w:val="00853BDC"/>
    <w:rsid w:val="00853C2B"/>
    <w:rsid w:val="00853C42"/>
    <w:rsid w:val="00853CE2"/>
    <w:rsid w:val="00853E16"/>
    <w:rsid w:val="00853EA9"/>
    <w:rsid w:val="00853F9D"/>
    <w:rsid w:val="00854081"/>
    <w:rsid w:val="00854332"/>
    <w:rsid w:val="00854538"/>
    <w:rsid w:val="008546E5"/>
    <w:rsid w:val="008548F3"/>
    <w:rsid w:val="00854B08"/>
    <w:rsid w:val="00854D92"/>
    <w:rsid w:val="00854D9F"/>
    <w:rsid w:val="00854E7D"/>
    <w:rsid w:val="0085508D"/>
    <w:rsid w:val="008551B2"/>
    <w:rsid w:val="008554AA"/>
    <w:rsid w:val="008556C8"/>
    <w:rsid w:val="00855881"/>
    <w:rsid w:val="0085588A"/>
    <w:rsid w:val="00855CB4"/>
    <w:rsid w:val="00855CB9"/>
    <w:rsid w:val="00855F03"/>
    <w:rsid w:val="00856001"/>
    <w:rsid w:val="008561F7"/>
    <w:rsid w:val="00856291"/>
    <w:rsid w:val="008564BE"/>
    <w:rsid w:val="0085657E"/>
    <w:rsid w:val="00856589"/>
    <w:rsid w:val="0085664F"/>
    <w:rsid w:val="00856657"/>
    <w:rsid w:val="00856701"/>
    <w:rsid w:val="0085687E"/>
    <w:rsid w:val="0085696B"/>
    <w:rsid w:val="0085697E"/>
    <w:rsid w:val="008569C6"/>
    <w:rsid w:val="00856AC7"/>
    <w:rsid w:val="00856C0D"/>
    <w:rsid w:val="00856C16"/>
    <w:rsid w:val="00856E75"/>
    <w:rsid w:val="00856F1E"/>
    <w:rsid w:val="00856F51"/>
    <w:rsid w:val="00857003"/>
    <w:rsid w:val="00857139"/>
    <w:rsid w:val="0085748C"/>
    <w:rsid w:val="0085748D"/>
    <w:rsid w:val="008574EB"/>
    <w:rsid w:val="008576CC"/>
    <w:rsid w:val="008578C7"/>
    <w:rsid w:val="00857CAB"/>
    <w:rsid w:val="00857E54"/>
    <w:rsid w:val="008600A1"/>
    <w:rsid w:val="008600BF"/>
    <w:rsid w:val="00860236"/>
    <w:rsid w:val="008602E6"/>
    <w:rsid w:val="00860335"/>
    <w:rsid w:val="0086039C"/>
    <w:rsid w:val="008603DF"/>
    <w:rsid w:val="0086041C"/>
    <w:rsid w:val="008604FE"/>
    <w:rsid w:val="00860CBF"/>
    <w:rsid w:val="00860D05"/>
    <w:rsid w:val="00860D17"/>
    <w:rsid w:val="00860DF7"/>
    <w:rsid w:val="00860EA0"/>
    <w:rsid w:val="008612FD"/>
    <w:rsid w:val="00861903"/>
    <w:rsid w:val="00861A25"/>
    <w:rsid w:val="00861D47"/>
    <w:rsid w:val="00861D4D"/>
    <w:rsid w:val="00861DA9"/>
    <w:rsid w:val="00861FC4"/>
    <w:rsid w:val="00862147"/>
    <w:rsid w:val="00862148"/>
    <w:rsid w:val="00862191"/>
    <w:rsid w:val="008625C6"/>
    <w:rsid w:val="0086266F"/>
    <w:rsid w:val="008626AD"/>
    <w:rsid w:val="00862840"/>
    <w:rsid w:val="008629B6"/>
    <w:rsid w:val="00862AF5"/>
    <w:rsid w:val="00862B72"/>
    <w:rsid w:val="00862C68"/>
    <w:rsid w:val="00862CB1"/>
    <w:rsid w:val="00862D40"/>
    <w:rsid w:val="00862F81"/>
    <w:rsid w:val="00863165"/>
    <w:rsid w:val="008632D3"/>
    <w:rsid w:val="00863500"/>
    <w:rsid w:val="0086350C"/>
    <w:rsid w:val="0086357C"/>
    <w:rsid w:val="008637DF"/>
    <w:rsid w:val="00863928"/>
    <w:rsid w:val="0086398E"/>
    <w:rsid w:val="00863D19"/>
    <w:rsid w:val="0086401E"/>
    <w:rsid w:val="00864148"/>
    <w:rsid w:val="008641D9"/>
    <w:rsid w:val="00864215"/>
    <w:rsid w:val="00864220"/>
    <w:rsid w:val="00864268"/>
    <w:rsid w:val="008642E4"/>
    <w:rsid w:val="00864428"/>
    <w:rsid w:val="0086445E"/>
    <w:rsid w:val="008644A2"/>
    <w:rsid w:val="008644DC"/>
    <w:rsid w:val="008645AE"/>
    <w:rsid w:val="008645DF"/>
    <w:rsid w:val="00864667"/>
    <w:rsid w:val="0086477A"/>
    <w:rsid w:val="00864929"/>
    <w:rsid w:val="0086496A"/>
    <w:rsid w:val="00864A30"/>
    <w:rsid w:val="00864B2F"/>
    <w:rsid w:val="00864D93"/>
    <w:rsid w:val="00864E1F"/>
    <w:rsid w:val="00864FF8"/>
    <w:rsid w:val="008650DA"/>
    <w:rsid w:val="008650EF"/>
    <w:rsid w:val="00865156"/>
    <w:rsid w:val="00865288"/>
    <w:rsid w:val="008652D4"/>
    <w:rsid w:val="00865332"/>
    <w:rsid w:val="00865399"/>
    <w:rsid w:val="0086551C"/>
    <w:rsid w:val="008656EF"/>
    <w:rsid w:val="0086575D"/>
    <w:rsid w:val="00865809"/>
    <w:rsid w:val="008658B4"/>
    <w:rsid w:val="00865A59"/>
    <w:rsid w:val="00865BE1"/>
    <w:rsid w:val="00865D5A"/>
    <w:rsid w:val="00866215"/>
    <w:rsid w:val="00866249"/>
    <w:rsid w:val="008663C0"/>
    <w:rsid w:val="008665AD"/>
    <w:rsid w:val="008665C6"/>
    <w:rsid w:val="008665E6"/>
    <w:rsid w:val="0086666E"/>
    <w:rsid w:val="008666DF"/>
    <w:rsid w:val="00866AA1"/>
    <w:rsid w:val="00866B23"/>
    <w:rsid w:val="00866D75"/>
    <w:rsid w:val="00866EE3"/>
    <w:rsid w:val="00866F60"/>
    <w:rsid w:val="008670D0"/>
    <w:rsid w:val="00867292"/>
    <w:rsid w:val="008673F2"/>
    <w:rsid w:val="008674DC"/>
    <w:rsid w:val="008679C0"/>
    <w:rsid w:val="00867A11"/>
    <w:rsid w:val="00867A42"/>
    <w:rsid w:val="00867A59"/>
    <w:rsid w:val="00867C3E"/>
    <w:rsid w:val="00867D19"/>
    <w:rsid w:val="00867D2D"/>
    <w:rsid w:val="00867D32"/>
    <w:rsid w:val="00867FEE"/>
    <w:rsid w:val="008700EA"/>
    <w:rsid w:val="008701D1"/>
    <w:rsid w:val="0087024B"/>
    <w:rsid w:val="00870343"/>
    <w:rsid w:val="00870412"/>
    <w:rsid w:val="00870479"/>
    <w:rsid w:val="00870649"/>
    <w:rsid w:val="00870978"/>
    <w:rsid w:val="00870BAE"/>
    <w:rsid w:val="00870CE5"/>
    <w:rsid w:val="00870D65"/>
    <w:rsid w:val="00871003"/>
    <w:rsid w:val="00871010"/>
    <w:rsid w:val="00871186"/>
    <w:rsid w:val="00871468"/>
    <w:rsid w:val="0087153F"/>
    <w:rsid w:val="0087166E"/>
    <w:rsid w:val="0087172F"/>
    <w:rsid w:val="0087182D"/>
    <w:rsid w:val="00871992"/>
    <w:rsid w:val="008719AE"/>
    <w:rsid w:val="00871CC6"/>
    <w:rsid w:val="00871CDD"/>
    <w:rsid w:val="00872010"/>
    <w:rsid w:val="00872536"/>
    <w:rsid w:val="00872543"/>
    <w:rsid w:val="00872649"/>
    <w:rsid w:val="00872765"/>
    <w:rsid w:val="00872831"/>
    <w:rsid w:val="0087297F"/>
    <w:rsid w:val="00872C1F"/>
    <w:rsid w:val="00872F9E"/>
    <w:rsid w:val="00872FDE"/>
    <w:rsid w:val="00872FF0"/>
    <w:rsid w:val="008731BE"/>
    <w:rsid w:val="008732B1"/>
    <w:rsid w:val="008732E3"/>
    <w:rsid w:val="008733E6"/>
    <w:rsid w:val="008734B7"/>
    <w:rsid w:val="0087355D"/>
    <w:rsid w:val="008735CE"/>
    <w:rsid w:val="008736C0"/>
    <w:rsid w:val="00873853"/>
    <w:rsid w:val="00873959"/>
    <w:rsid w:val="00873AB9"/>
    <w:rsid w:val="00873B56"/>
    <w:rsid w:val="00873CDA"/>
    <w:rsid w:val="00873ED0"/>
    <w:rsid w:val="0087415E"/>
    <w:rsid w:val="00874215"/>
    <w:rsid w:val="00874253"/>
    <w:rsid w:val="0087425A"/>
    <w:rsid w:val="008744D7"/>
    <w:rsid w:val="008744F4"/>
    <w:rsid w:val="008747CB"/>
    <w:rsid w:val="00874CEA"/>
    <w:rsid w:val="00874E7A"/>
    <w:rsid w:val="0087506F"/>
    <w:rsid w:val="00875235"/>
    <w:rsid w:val="00875412"/>
    <w:rsid w:val="008755A0"/>
    <w:rsid w:val="008755A3"/>
    <w:rsid w:val="00875A33"/>
    <w:rsid w:val="00875E89"/>
    <w:rsid w:val="00876248"/>
    <w:rsid w:val="00876253"/>
    <w:rsid w:val="00876278"/>
    <w:rsid w:val="008762D6"/>
    <w:rsid w:val="008762FC"/>
    <w:rsid w:val="0087653B"/>
    <w:rsid w:val="008769CB"/>
    <w:rsid w:val="00876A7E"/>
    <w:rsid w:val="00876AF6"/>
    <w:rsid w:val="00876B23"/>
    <w:rsid w:val="00876C94"/>
    <w:rsid w:val="00876CC0"/>
    <w:rsid w:val="00876D24"/>
    <w:rsid w:val="00876E97"/>
    <w:rsid w:val="00876ED3"/>
    <w:rsid w:val="00876FE0"/>
    <w:rsid w:val="00876FFC"/>
    <w:rsid w:val="00877001"/>
    <w:rsid w:val="00877037"/>
    <w:rsid w:val="0087732B"/>
    <w:rsid w:val="00877431"/>
    <w:rsid w:val="00877464"/>
    <w:rsid w:val="00877498"/>
    <w:rsid w:val="008774D2"/>
    <w:rsid w:val="00877536"/>
    <w:rsid w:val="008775A0"/>
    <w:rsid w:val="008775E6"/>
    <w:rsid w:val="0087761A"/>
    <w:rsid w:val="00877743"/>
    <w:rsid w:val="00877AFA"/>
    <w:rsid w:val="00877BEA"/>
    <w:rsid w:val="00877C87"/>
    <w:rsid w:val="00877CF7"/>
    <w:rsid w:val="00877D8A"/>
    <w:rsid w:val="00877DEB"/>
    <w:rsid w:val="0088034E"/>
    <w:rsid w:val="008803B8"/>
    <w:rsid w:val="00880765"/>
    <w:rsid w:val="008807F8"/>
    <w:rsid w:val="008808D5"/>
    <w:rsid w:val="008809D6"/>
    <w:rsid w:val="00880F8A"/>
    <w:rsid w:val="00880FB2"/>
    <w:rsid w:val="00881106"/>
    <w:rsid w:val="0088122F"/>
    <w:rsid w:val="008812FA"/>
    <w:rsid w:val="0088132F"/>
    <w:rsid w:val="00881526"/>
    <w:rsid w:val="008816CF"/>
    <w:rsid w:val="00881799"/>
    <w:rsid w:val="0088181D"/>
    <w:rsid w:val="00881865"/>
    <w:rsid w:val="0088192A"/>
    <w:rsid w:val="00881AF8"/>
    <w:rsid w:val="00881B34"/>
    <w:rsid w:val="00881E00"/>
    <w:rsid w:val="00881E9C"/>
    <w:rsid w:val="00881F9E"/>
    <w:rsid w:val="00881FEB"/>
    <w:rsid w:val="0088241A"/>
    <w:rsid w:val="0088257E"/>
    <w:rsid w:val="0088297C"/>
    <w:rsid w:val="00882A0B"/>
    <w:rsid w:val="00882C12"/>
    <w:rsid w:val="00882E16"/>
    <w:rsid w:val="00882EB8"/>
    <w:rsid w:val="00883657"/>
    <w:rsid w:val="008837BF"/>
    <w:rsid w:val="008838D2"/>
    <w:rsid w:val="00883A1C"/>
    <w:rsid w:val="00883A68"/>
    <w:rsid w:val="00883B2D"/>
    <w:rsid w:val="00883B38"/>
    <w:rsid w:val="00883BF2"/>
    <w:rsid w:val="00883CFD"/>
    <w:rsid w:val="00883F0A"/>
    <w:rsid w:val="008845CE"/>
    <w:rsid w:val="008847C9"/>
    <w:rsid w:val="0088481C"/>
    <w:rsid w:val="00884853"/>
    <w:rsid w:val="00884957"/>
    <w:rsid w:val="0088497A"/>
    <w:rsid w:val="008849D0"/>
    <w:rsid w:val="00884F48"/>
    <w:rsid w:val="00884FEC"/>
    <w:rsid w:val="0088518B"/>
    <w:rsid w:val="008851BD"/>
    <w:rsid w:val="008852E4"/>
    <w:rsid w:val="00885370"/>
    <w:rsid w:val="00885513"/>
    <w:rsid w:val="0088574F"/>
    <w:rsid w:val="008857ED"/>
    <w:rsid w:val="00885B04"/>
    <w:rsid w:val="00885B14"/>
    <w:rsid w:val="00885CB5"/>
    <w:rsid w:val="00885D20"/>
    <w:rsid w:val="00886125"/>
    <w:rsid w:val="008863BA"/>
    <w:rsid w:val="008863F0"/>
    <w:rsid w:val="0088645F"/>
    <w:rsid w:val="008866CF"/>
    <w:rsid w:val="008869B1"/>
    <w:rsid w:val="008869E3"/>
    <w:rsid w:val="00886B66"/>
    <w:rsid w:val="00886BDF"/>
    <w:rsid w:val="00886C19"/>
    <w:rsid w:val="00886D84"/>
    <w:rsid w:val="00886E2E"/>
    <w:rsid w:val="00886E96"/>
    <w:rsid w:val="00887220"/>
    <w:rsid w:val="00887485"/>
    <w:rsid w:val="00887487"/>
    <w:rsid w:val="008874F4"/>
    <w:rsid w:val="0088767F"/>
    <w:rsid w:val="008876A8"/>
    <w:rsid w:val="008876EB"/>
    <w:rsid w:val="0088781A"/>
    <w:rsid w:val="00887825"/>
    <w:rsid w:val="00887A85"/>
    <w:rsid w:val="00887AE8"/>
    <w:rsid w:val="00887B55"/>
    <w:rsid w:val="00887B5A"/>
    <w:rsid w:val="00887C43"/>
    <w:rsid w:val="00887D68"/>
    <w:rsid w:val="00887F23"/>
    <w:rsid w:val="0089007F"/>
    <w:rsid w:val="008902D3"/>
    <w:rsid w:val="0089059E"/>
    <w:rsid w:val="008906F1"/>
    <w:rsid w:val="0089082C"/>
    <w:rsid w:val="00890849"/>
    <w:rsid w:val="00890869"/>
    <w:rsid w:val="00890957"/>
    <w:rsid w:val="008909C0"/>
    <w:rsid w:val="008909C7"/>
    <w:rsid w:val="00890B87"/>
    <w:rsid w:val="00890EA7"/>
    <w:rsid w:val="0089104C"/>
    <w:rsid w:val="008911CE"/>
    <w:rsid w:val="0089131D"/>
    <w:rsid w:val="00891499"/>
    <w:rsid w:val="008914F7"/>
    <w:rsid w:val="00891907"/>
    <w:rsid w:val="00891AEF"/>
    <w:rsid w:val="00891D7E"/>
    <w:rsid w:val="00891DD6"/>
    <w:rsid w:val="00891F2E"/>
    <w:rsid w:val="00891FAE"/>
    <w:rsid w:val="008923D2"/>
    <w:rsid w:val="00892424"/>
    <w:rsid w:val="0089266B"/>
    <w:rsid w:val="008926E5"/>
    <w:rsid w:val="0089278B"/>
    <w:rsid w:val="00892ADD"/>
    <w:rsid w:val="00892C70"/>
    <w:rsid w:val="00892CA6"/>
    <w:rsid w:val="00892CA9"/>
    <w:rsid w:val="00893026"/>
    <w:rsid w:val="00893357"/>
    <w:rsid w:val="00893487"/>
    <w:rsid w:val="00893540"/>
    <w:rsid w:val="00893565"/>
    <w:rsid w:val="008935EB"/>
    <w:rsid w:val="00893617"/>
    <w:rsid w:val="0089375E"/>
    <w:rsid w:val="00893809"/>
    <w:rsid w:val="008939D2"/>
    <w:rsid w:val="00893A6A"/>
    <w:rsid w:val="00893A82"/>
    <w:rsid w:val="00893CCF"/>
    <w:rsid w:val="00893D75"/>
    <w:rsid w:val="00894099"/>
    <w:rsid w:val="00894148"/>
    <w:rsid w:val="0089419A"/>
    <w:rsid w:val="00894404"/>
    <w:rsid w:val="008945B3"/>
    <w:rsid w:val="00894604"/>
    <w:rsid w:val="00894681"/>
    <w:rsid w:val="0089474A"/>
    <w:rsid w:val="008947A4"/>
    <w:rsid w:val="0089480A"/>
    <w:rsid w:val="00894A29"/>
    <w:rsid w:val="00894BE1"/>
    <w:rsid w:val="00894D52"/>
    <w:rsid w:val="00894D9C"/>
    <w:rsid w:val="00894DB4"/>
    <w:rsid w:val="00894EAD"/>
    <w:rsid w:val="00895006"/>
    <w:rsid w:val="0089502B"/>
    <w:rsid w:val="00895099"/>
    <w:rsid w:val="00895124"/>
    <w:rsid w:val="008951A1"/>
    <w:rsid w:val="008951BD"/>
    <w:rsid w:val="008951D3"/>
    <w:rsid w:val="008952EE"/>
    <w:rsid w:val="008953ED"/>
    <w:rsid w:val="008954EC"/>
    <w:rsid w:val="008957B2"/>
    <w:rsid w:val="00895AAB"/>
    <w:rsid w:val="00895CED"/>
    <w:rsid w:val="00895E63"/>
    <w:rsid w:val="00895FA9"/>
    <w:rsid w:val="008960D7"/>
    <w:rsid w:val="008962FE"/>
    <w:rsid w:val="00896324"/>
    <w:rsid w:val="008963E5"/>
    <w:rsid w:val="008965B7"/>
    <w:rsid w:val="00896756"/>
    <w:rsid w:val="00896B22"/>
    <w:rsid w:val="00896E31"/>
    <w:rsid w:val="00896E8E"/>
    <w:rsid w:val="00897002"/>
    <w:rsid w:val="00897008"/>
    <w:rsid w:val="008976D8"/>
    <w:rsid w:val="0089778E"/>
    <w:rsid w:val="0089781F"/>
    <w:rsid w:val="00897840"/>
    <w:rsid w:val="008978BA"/>
    <w:rsid w:val="00897976"/>
    <w:rsid w:val="00897AB4"/>
    <w:rsid w:val="00897B75"/>
    <w:rsid w:val="00897D49"/>
    <w:rsid w:val="00897E30"/>
    <w:rsid w:val="00897FAE"/>
    <w:rsid w:val="008A01C7"/>
    <w:rsid w:val="008A02D9"/>
    <w:rsid w:val="008A0762"/>
    <w:rsid w:val="008A084A"/>
    <w:rsid w:val="008A0EF1"/>
    <w:rsid w:val="008A0F4F"/>
    <w:rsid w:val="008A0F9D"/>
    <w:rsid w:val="008A1128"/>
    <w:rsid w:val="008A15F8"/>
    <w:rsid w:val="008A163D"/>
    <w:rsid w:val="008A178E"/>
    <w:rsid w:val="008A17F7"/>
    <w:rsid w:val="008A18ED"/>
    <w:rsid w:val="008A19D7"/>
    <w:rsid w:val="008A1AD1"/>
    <w:rsid w:val="008A1B8C"/>
    <w:rsid w:val="008A2074"/>
    <w:rsid w:val="008A20B3"/>
    <w:rsid w:val="008A210F"/>
    <w:rsid w:val="008A21E7"/>
    <w:rsid w:val="008A24DD"/>
    <w:rsid w:val="008A2535"/>
    <w:rsid w:val="008A258A"/>
    <w:rsid w:val="008A2648"/>
    <w:rsid w:val="008A26A3"/>
    <w:rsid w:val="008A2817"/>
    <w:rsid w:val="008A28C6"/>
    <w:rsid w:val="008A2B1C"/>
    <w:rsid w:val="008A2EC3"/>
    <w:rsid w:val="008A319A"/>
    <w:rsid w:val="008A32B7"/>
    <w:rsid w:val="008A342A"/>
    <w:rsid w:val="008A366C"/>
    <w:rsid w:val="008A3691"/>
    <w:rsid w:val="008A3719"/>
    <w:rsid w:val="008A372F"/>
    <w:rsid w:val="008A386A"/>
    <w:rsid w:val="008A3892"/>
    <w:rsid w:val="008A3973"/>
    <w:rsid w:val="008A3B13"/>
    <w:rsid w:val="008A3BD9"/>
    <w:rsid w:val="008A3C9E"/>
    <w:rsid w:val="008A3FDE"/>
    <w:rsid w:val="008A3FFF"/>
    <w:rsid w:val="008A40F6"/>
    <w:rsid w:val="008A41AA"/>
    <w:rsid w:val="008A41C8"/>
    <w:rsid w:val="008A4246"/>
    <w:rsid w:val="008A430A"/>
    <w:rsid w:val="008A4386"/>
    <w:rsid w:val="008A4516"/>
    <w:rsid w:val="008A45C7"/>
    <w:rsid w:val="008A487D"/>
    <w:rsid w:val="008A48B2"/>
    <w:rsid w:val="008A4AB0"/>
    <w:rsid w:val="008A4B33"/>
    <w:rsid w:val="008A4C25"/>
    <w:rsid w:val="008A5091"/>
    <w:rsid w:val="008A5146"/>
    <w:rsid w:val="008A5202"/>
    <w:rsid w:val="008A525B"/>
    <w:rsid w:val="008A52AC"/>
    <w:rsid w:val="008A52F4"/>
    <w:rsid w:val="008A5438"/>
    <w:rsid w:val="008A5660"/>
    <w:rsid w:val="008A56C3"/>
    <w:rsid w:val="008A5718"/>
    <w:rsid w:val="008A5773"/>
    <w:rsid w:val="008A5877"/>
    <w:rsid w:val="008A58C2"/>
    <w:rsid w:val="008A591C"/>
    <w:rsid w:val="008A5C20"/>
    <w:rsid w:val="008A5E41"/>
    <w:rsid w:val="008A5EF1"/>
    <w:rsid w:val="008A621F"/>
    <w:rsid w:val="008A6277"/>
    <w:rsid w:val="008A63C0"/>
    <w:rsid w:val="008A67FF"/>
    <w:rsid w:val="008A692F"/>
    <w:rsid w:val="008A69A9"/>
    <w:rsid w:val="008A6A90"/>
    <w:rsid w:val="008A6DCE"/>
    <w:rsid w:val="008A6DD1"/>
    <w:rsid w:val="008A7169"/>
    <w:rsid w:val="008A7834"/>
    <w:rsid w:val="008A7925"/>
    <w:rsid w:val="008A7E22"/>
    <w:rsid w:val="008B0034"/>
    <w:rsid w:val="008B0161"/>
    <w:rsid w:val="008B01F6"/>
    <w:rsid w:val="008B0437"/>
    <w:rsid w:val="008B07B5"/>
    <w:rsid w:val="008B0918"/>
    <w:rsid w:val="008B0970"/>
    <w:rsid w:val="008B0B0C"/>
    <w:rsid w:val="008B0C76"/>
    <w:rsid w:val="008B0C78"/>
    <w:rsid w:val="008B0F71"/>
    <w:rsid w:val="008B101D"/>
    <w:rsid w:val="008B1152"/>
    <w:rsid w:val="008B1194"/>
    <w:rsid w:val="008B11E7"/>
    <w:rsid w:val="008B1244"/>
    <w:rsid w:val="008B14AD"/>
    <w:rsid w:val="008B15DB"/>
    <w:rsid w:val="008B1640"/>
    <w:rsid w:val="008B16FD"/>
    <w:rsid w:val="008B18E1"/>
    <w:rsid w:val="008B1968"/>
    <w:rsid w:val="008B1A44"/>
    <w:rsid w:val="008B2030"/>
    <w:rsid w:val="008B2035"/>
    <w:rsid w:val="008B2289"/>
    <w:rsid w:val="008B22E6"/>
    <w:rsid w:val="008B2336"/>
    <w:rsid w:val="008B2381"/>
    <w:rsid w:val="008B24EB"/>
    <w:rsid w:val="008B2658"/>
    <w:rsid w:val="008B266F"/>
    <w:rsid w:val="008B2718"/>
    <w:rsid w:val="008B275A"/>
    <w:rsid w:val="008B2926"/>
    <w:rsid w:val="008B2D88"/>
    <w:rsid w:val="008B2FC2"/>
    <w:rsid w:val="008B2FEA"/>
    <w:rsid w:val="008B300F"/>
    <w:rsid w:val="008B3132"/>
    <w:rsid w:val="008B3706"/>
    <w:rsid w:val="008B3B1E"/>
    <w:rsid w:val="008B3BAD"/>
    <w:rsid w:val="008B3BE7"/>
    <w:rsid w:val="008B3D05"/>
    <w:rsid w:val="008B3D99"/>
    <w:rsid w:val="008B3DFE"/>
    <w:rsid w:val="008B3E17"/>
    <w:rsid w:val="008B3E7F"/>
    <w:rsid w:val="008B3EF1"/>
    <w:rsid w:val="008B402C"/>
    <w:rsid w:val="008B40EF"/>
    <w:rsid w:val="008B4289"/>
    <w:rsid w:val="008B432F"/>
    <w:rsid w:val="008B43B2"/>
    <w:rsid w:val="008B4509"/>
    <w:rsid w:val="008B4676"/>
    <w:rsid w:val="008B48C1"/>
    <w:rsid w:val="008B49E0"/>
    <w:rsid w:val="008B4A93"/>
    <w:rsid w:val="008B4D2D"/>
    <w:rsid w:val="008B504D"/>
    <w:rsid w:val="008B50A2"/>
    <w:rsid w:val="008B512A"/>
    <w:rsid w:val="008B531C"/>
    <w:rsid w:val="008B543C"/>
    <w:rsid w:val="008B54F7"/>
    <w:rsid w:val="008B5554"/>
    <w:rsid w:val="008B56B0"/>
    <w:rsid w:val="008B5725"/>
    <w:rsid w:val="008B5AAA"/>
    <w:rsid w:val="008B5B63"/>
    <w:rsid w:val="008B5DC0"/>
    <w:rsid w:val="008B5EB2"/>
    <w:rsid w:val="008B5F1A"/>
    <w:rsid w:val="008B5F85"/>
    <w:rsid w:val="008B5F9A"/>
    <w:rsid w:val="008B6215"/>
    <w:rsid w:val="008B658D"/>
    <w:rsid w:val="008B67F8"/>
    <w:rsid w:val="008B6880"/>
    <w:rsid w:val="008B6918"/>
    <w:rsid w:val="008B6A7F"/>
    <w:rsid w:val="008B6B4C"/>
    <w:rsid w:val="008B6C19"/>
    <w:rsid w:val="008B6C80"/>
    <w:rsid w:val="008B6CAF"/>
    <w:rsid w:val="008B6CCA"/>
    <w:rsid w:val="008B6D26"/>
    <w:rsid w:val="008B6F1D"/>
    <w:rsid w:val="008B7121"/>
    <w:rsid w:val="008B71C5"/>
    <w:rsid w:val="008B724E"/>
    <w:rsid w:val="008B73A1"/>
    <w:rsid w:val="008B74AB"/>
    <w:rsid w:val="008B74BC"/>
    <w:rsid w:val="008B74FA"/>
    <w:rsid w:val="008B76D8"/>
    <w:rsid w:val="008B77C6"/>
    <w:rsid w:val="008B7AF9"/>
    <w:rsid w:val="008B7EE4"/>
    <w:rsid w:val="008B7EE5"/>
    <w:rsid w:val="008C038C"/>
    <w:rsid w:val="008C0504"/>
    <w:rsid w:val="008C06BE"/>
    <w:rsid w:val="008C0729"/>
    <w:rsid w:val="008C0978"/>
    <w:rsid w:val="008C0B3F"/>
    <w:rsid w:val="008C0CA9"/>
    <w:rsid w:val="008C0E31"/>
    <w:rsid w:val="008C1074"/>
    <w:rsid w:val="008C10CB"/>
    <w:rsid w:val="008C1255"/>
    <w:rsid w:val="008C1367"/>
    <w:rsid w:val="008C168C"/>
    <w:rsid w:val="008C1989"/>
    <w:rsid w:val="008C1AE9"/>
    <w:rsid w:val="008C1C96"/>
    <w:rsid w:val="008C1E12"/>
    <w:rsid w:val="008C1E32"/>
    <w:rsid w:val="008C1F9A"/>
    <w:rsid w:val="008C22E8"/>
    <w:rsid w:val="008C2313"/>
    <w:rsid w:val="008C235F"/>
    <w:rsid w:val="008C2400"/>
    <w:rsid w:val="008C243F"/>
    <w:rsid w:val="008C283D"/>
    <w:rsid w:val="008C2A0E"/>
    <w:rsid w:val="008C2B7A"/>
    <w:rsid w:val="008C33F7"/>
    <w:rsid w:val="008C3401"/>
    <w:rsid w:val="008C343D"/>
    <w:rsid w:val="008C35C2"/>
    <w:rsid w:val="008C3D2C"/>
    <w:rsid w:val="008C3D79"/>
    <w:rsid w:val="008C3E61"/>
    <w:rsid w:val="008C41D1"/>
    <w:rsid w:val="008C4360"/>
    <w:rsid w:val="008C4461"/>
    <w:rsid w:val="008C4740"/>
    <w:rsid w:val="008C4BB2"/>
    <w:rsid w:val="008C4E3E"/>
    <w:rsid w:val="008C4FE4"/>
    <w:rsid w:val="008C54FC"/>
    <w:rsid w:val="008C5536"/>
    <w:rsid w:val="008C5B0C"/>
    <w:rsid w:val="008C5E16"/>
    <w:rsid w:val="008C605D"/>
    <w:rsid w:val="008C6273"/>
    <w:rsid w:val="008C6318"/>
    <w:rsid w:val="008C63C7"/>
    <w:rsid w:val="008C6599"/>
    <w:rsid w:val="008C6E7C"/>
    <w:rsid w:val="008C6F51"/>
    <w:rsid w:val="008C6FBD"/>
    <w:rsid w:val="008C7145"/>
    <w:rsid w:val="008C73E4"/>
    <w:rsid w:val="008C74D6"/>
    <w:rsid w:val="008C783E"/>
    <w:rsid w:val="008C7C2E"/>
    <w:rsid w:val="008C7C77"/>
    <w:rsid w:val="008C7C99"/>
    <w:rsid w:val="008C7D18"/>
    <w:rsid w:val="008D017E"/>
    <w:rsid w:val="008D01FB"/>
    <w:rsid w:val="008D0557"/>
    <w:rsid w:val="008D0610"/>
    <w:rsid w:val="008D0694"/>
    <w:rsid w:val="008D0737"/>
    <w:rsid w:val="008D0796"/>
    <w:rsid w:val="008D0821"/>
    <w:rsid w:val="008D0929"/>
    <w:rsid w:val="008D0BF2"/>
    <w:rsid w:val="008D0CCA"/>
    <w:rsid w:val="008D0E2E"/>
    <w:rsid w:val="008D1191"/>
    <w:rsid w:val="008D120D"/>
    <w:rsid w:val="008D133E"/>
    <w:rsid w:val="008D1380"/>
    <w:rsid w:val="008D1462"/>
    <w:rsid w:val="008D1941"/>
    <w:rsid w:val="008D19CF"/>
    <w:rsid w:val="008D19D4"/>
    <w:rsid w:val="008D1A56"/>
    <w:rsid w:val="008D1BA5"/>
    <w:rsid w:val="008D1C77"/>
    <w:rsid w:val="008D1D41"/>
    <w:rsid w:val="008D1F2A"/>
    <w:rsid w:val="008D2087"/>
    <w:rsid w:val="008D22D7"/>
    <w:rsid w:val="008D2479"/>
    <w:rsid w:val="008D2550"/>
    <w:rsid w:val="008D281E"/>
    <w:rsid w:val="008D2B4F"/>
    <w:rsid w:val="008D2C06"/>
    <w:rsid w:val="008D2DC6"/>
    <w:rsid w:val="008D2E05"/>
    <w:rsid w:val="008D2E76"/>
    <w:rsid w:val="008D2EFA"/>
    <w:rsid w:val="008D2FBA"/>
    <w:rsid w:val="008D3158"/>
    <w:rsid w:val="008D33A9"/>
    <w:rsid w:val="008D34FA"/>
    <w:rsid w:val="008D352A"/>
    <w:rsid w:val="008D3AE7"/>
    <w:rsid w:val="008D3BE4"/>
    <w:rsid w:val="008D3C02"/>
    <w:rsid w:val="008D4393"/>
    <w:rsid w:val="008D443A"/>
    <w:rsid w:val="008D4612"/>
    <w:rsid w:val="008D4976"/>
    <w:rsid w:val="008D4C3C"/>
    <w:rsid w:val="008D4CB0"/>
    <w:rsid w:val="008D4E37"/>
    <w:rsid w:val="008D4E69"/>
    <w:rsid w:val="008D5069"/>
    <w:rsid w:val="008D50D7"/>
    <w:rsid w:val="008D539F"/>
    <w:rsid w:val="008D54C8"/>
    <w:rsid w:val="008D5504"/>
    <w:rsid w:val="008D57B9"/>
    <w:rsid w:val="008D5B88"/>
    <w:rsid w:val="008D5C57"/>
    <w:rsid w:val="008D5DBA"/>
    <w:rsid w:val="008D5DF4"/>
    <w:rsid w:val="008D6094"/>
    <w:rsid w:val="008D637E"/>
    <w:rsid w:val="008D63AD"/>
    <w:rsid w:val="008D660F"/>
    <w:rsid w:val="008D6618"/>
    <w:rsid w:val="008D68E4"/>
    <w:rsid w:val="008D6D7C"/>
    <w:rsid w:val="008D6F14"/>
    <w:rsid w:val="008D6F1E"/>
    <w:rsid w:val="008D70A7"/>
    <w:rsid w:val="008D7432"/>
    <w:rsid w:val="008D7547"/>
    <w:rsid w:val="008D7742"/>
    <w:rsid w:val="008D7764"/>
    <w:rsid w:val="008D792B"/>
    <w:rsid w:val="008D7DB6"/>
    <w:rsid w:val="008D7F7C"/>
    <w:rsid w:val="008D9003"/>
    <w:rsid w:val="008E00E1"/>
    <w:rsid w:val="008E0125"/>
    <w:rsid w:val="008E02CF"/>
    <w:rsid w:val="008E0369"/>
    <w:rsid w:val="008E04CB"/>
    <w:rsid w:val="008E080D"/>
    <w:rsid w:val="008E0B54"/>
    <w:rsid w:val="008E0C53"/>
    <w:rsid w:val="008E0E3A"/>
    <w:rsid w:val="008E106B"/>
    <w:rsid w:val="008E12DA"/>
    <w:rsid w:val="008E12FD"/>
    <w:rsid w:val="008E162D"/>
    <w:rsid w:val="008E1BA5"/>
    <w:rsid w:val="008E1BEE"/>
    <w:rsid w:val="008E1C30"/>
    <w:rsid w:val="008E1DA7"/>
    <w:rsid w:val="008E1EA5"/>
    <w:rsid w:val="008E2185"/>
    <w:rsid w:val="008E21B9"/>
    <w:rsid w:val="008E23AC"/>
    <w:rsid w:val="008E2508"/>
    <w:rsid w:val="008E2795"/>
    <w:rsid w:val="008E296D"/>
    <w:rsid w:val="008E2A74"/>
    <w:rsid w:val="008E2E4F"/>
    <w:rsid w:val="008E3174"/>
    <w:rsid w:val="008E3191"/>
    <w:rsid w:val="008E319B"/>
    <w:rsid w:val="008E31B4"/>
    <w:rsid w:val="008E37C1"/>
    <w:rsid w:val="008E37CD"/>
    <w:rsid w:val="008E382F"/>
    <w:rsid w:val="008E3C9F"/>
    <w:rsid w:val="008E3D5B"/>
    <w:rsid w:val="008E3E81"/>
    <w:rsid w:val="008E3F28"/>
    <w:rsid w:val="008E3FDE"/>
    <w:rsid w:val="008E3FE1"/>
    <w:rsid w:val="008E4098"/>
    <w:rsid w:val="008E41EE"/>
    <w:rsid w:val="008E442F"/>
    <w:rsid w:val="008E460F"/>
    <w:rsid w:val="008E461B"/>
    <w:rsid w:val="008E4712"/>
    <w:rsid w:val="008E4C22"/>
    <w:rsid w:val="008E4CF2"/>
    <w:rsid w:val="008E4D05"/>
    <w:rsid w:val="008E4EFE"/>
    <w:rsid w:val="008E504C"/>
    <w:rsid w:val="008E5255"/>
    <w:rsid w:val="008E5262"/>
    <w:rsid w:val="008E52B3"/>
    <w:rsid w:val="008E533E"/>
    <w:rsid w:val="008E53A0"/>
    <w:rsid w:val="008E53F6"/>
    <w:rsid w:val="008E5423"/>
    <w:rsid w:val="008E54EE"/>
    <w:rsid w:val="008E5755"/>
    <w:rsid w:val="008E586F"/>
    <w:rsid w:val="008E58B9"/>
    <w:rsid w:val="008E5AA7"/>
    <w:rsid w:val="008E5AC3"/>
    <w:rsid w:val="008E5F51"/>
    <w:rsid w:val="008E61E4"/>
    <w:rsid w:val="008E6399"/>
    <w:rsid w:val="008E65CC"/>
    <w:rsid w:val="008E6721"/>
    <w:rsid w:val="008E675C"/>
    <w:rsid w:val="008E68F9"/>
    <w:rsid w:val="008E6A79"/>
    <w:rsid w:val="008E6AF2"/>
    <w:rsid w:val="008E6C86"/>
    <w:rsid w:val="008E750B"/>
    <w:rsid w:val="008E7574"/>
    <w:rsid w:val="008E7628"/>
    <w:rsid w:val="008E77E5"/>
    <w:rsid w:val="008E7882"/>
    <w:rsid w:val="008E7928"/>
    <w:rsid w:val="008E7A5D"/>
    <w:rsid w:val="008E7B5D"/>
    <w:rsid w:val="008E7B8F"/>
    <w:rsid w:val="008E7C04"/>
    <w:rsid w:val="008E7C47"/>
    <w:rsid w:val="008E7C4C"/>
    <w:rsid w:val="008E7C68"/>
    <w:rsid w:val="008E7E0E"/>
    <w:rsid w:val="008E7F0A"/>
    <w:rsid w:val="008E7FCC"/>
    <w:rsid w:val="008F008B"/>
    <w:rsid w:val="008F0265"/>
    <w:rsid w:val="008F0352"/>
    <w:rsid w:val="008F0378"/>
    <w:rsid w:val="008F03F1"/>
    <w:rsid w:val="008F046F"/>
    <w:rsid w:val="008F060D"/>
    <w:rsid w:val="008F06A4"/>
    <w:rsid w:val="008F0747"/>
    <w:rsid w:val="008F0BB2"/>
    <w:rsid w:val="008F0F5B"/>
    <w:rsid w:val="008F1217"/>
    <w:rsid w:val="008F1533"/>
    <w:rsid w:val="008F1665"/>
    <w:rsid w:val="008F196A"/>
    <w:rsid w:val="008F1975"/>
    <w:rsid w:val="008F1C90"/>
    <w:rsid w:val="008F1D3E"/>
    <w:rsid w:val="008F1D94"/>
    <w:rsid w:val="008F1F3B"/>
    <w:rsid w:val="008F2207"/>
    <w:rsid w:val="008F242F"/>
    <w:rsid w:val="008F25C4"/>
    <w:rsid w:val="008F276B"/>
    <w:rsid w:val="008F27CB"/>
    <w:rsid w:val="008F2936"/>
    <w:rsid w:val="008F2953"/>
    <w:rsid w:val="008F2976"/>
    <w:rsid w:val="008F2D1F"/>
    <w:rsid w:val="008F2F06"/>
    <w:rsid w:val="008F2FD3"/>
    <w:rsid w:val="008F3127"/>
    <w:rsid w:val="008F32BB"/>
    <w:rsid w:val="008F33CC"/>
    <w:rsid w:val="008F3974"/>
    <w:rsid w:val="008F3979"/>
    <w:rsid w:val="008F3C7A"/>
    <w:rsid w:val="008F3CE7"/>
    <w:rsid w:val="008F3F71"/>
    <w:rsid w:val="008F4063"/>
    <w:rsid w:val="008F412A"/>
    <w:rsid w:val="008F43D3"/>
    <w:rsid w:val="008F43E0"/>
    <w:rsid w:val="008F449E"/>
    <w:rsid w:val="008F4657"/>
    <w:rsid w:val="008F4757"/>
    <w:rsid w:val="008F47BD"/>
    <w:rsid w:val="008F4836"/>
    <w:rsid w:val="008F488C"/>
    <w:rsid w:val="008F496B"/>
    <w:rsid w:val="008F49BE"/>
    <w:rsid w:val="008F4A10"/>
    <w:rsid w:val="008F4CE7"/>
    <w:rsid w:val="008F4F86"/>
    <w:rsid w:val="008F546B"/>
    <w:rsid w:val="008F5635"/>
    <w:rsid w:val="008F569D"/>
    <w:rsid w:val="008F5808"/>
    <w:rsid w:val="008F5A64"/>
    <w:rsid w:val="008F5B6E"/>
    <w:rsid w:val="008F5D60"/>
    <w:rsid w:val="008F5E70"/>
    <w:rsid w:val="008F5E81"/>
    <w:rsid w:val="008F5F54"/>
    <w:rsid w:val="008F5FF6"/>
    <w:rsid w:val="008F604E"/>
    <w:rsid w:val="008F605C"/>
    <w:rsid w:val="008F6162"/>
    <w:rsid w:val="008F632C"/>
    <w:rsid w:val="008F63AC"/>
    <w:rsid w:val="008F6653"/>
    <w:rsid w:val="008F685F"/>
    <w:rsid w:val="008F68F4"/>
    <w:rsid w:val="008F6DB6"/>
    <w:rsid w:val="008F6FDE"/>
    <w:rsid w:val="008F70E1"/>
    <w:rsid w:val="008F7123"/>
    <w:rsid w:val="008F71B0"/>
    <w:rsid w:val="008F72B5"/>
    <w:rsid w:val="008F72C8"/>
    <w:rsid w:val="008F750C"/>
    <w:rsid w:val="008F779C"/>
    <w:rsid w:val="008F7865"/>
    <w:rsid w:val="008F7E0F"/>
    <w:rsid w:val="008F7ED5"/>
    <w:rsid w:val="008F7F34"/>
    <w:rsid w:val="008F7FD2"/>
    <w:rsid w:val="009000E4"/>
    <w:rsid w:val="00900195"/>
    <w:rsid w:val="009001F4"/>
    <w:rsid w:val="0090022B"/>
    <w:rsid w:val="009002B0"/>
    <w:rsid w:val="00900416"/>
    <w:rsid w:val="00900510"/>
    <w:rsid w:val="009005D1"/>
    <w:rsid w:val="0090094D"/>
    <w:rsid w:val="00900B1A"/>
    <w:rsid w:val="00900C1F"/>
    <w:rsid w:val="00900C4D"/>
    <w:rsid w:val="00900C4E"/>
    <w:rsid w:val="00900FA6"/>
    <w:rsid w:val="00900FBC"/>
    <w:rsid w:val="009015C8"/>
    <w:rsid w:val="00901692"/>
    <w:rsid w:val="00901AB7"/>
    <w:rsid w:val="00901C37"/>
    <w:rsid w:val="00901DC4"/>
    <w:rsid w:val="00901E33"/>
    <w:rsid w:val="00901EBD"/>
    <w:rsid w:val="00901FE3"/>
    <w:rsid w:val="00902491"/>
    <w:rsid w:val="009024C7"/>
    <w:rsid w:val="009026B5"/>
    <w:rsid w:val="00902749"/>
    <w:rsid w:val="0090280A"/>
    <w:rsid w:val="00902AA8"/>
    <w:rsid w:val="00902C59"/>
    <w:rsid w:val="00902CEE"/>
    <w:rsid w:val="00902D9C"/>
    <w:rsid w:val="00902DAB"/>
    <w:rsid w:val="00902EA0"/>
    <w:rsid w:val="00902F66"/>
    <w:rsid w:val="00902F6A"/>
    <w:rsid w:val="00903029"/>
    <w:rsid w:val="0090318B"/>
    <w:rsid w:val="0090328A"/>
    <w:rsid w:val="009035DA"/>
    <w:rsid w:val="00903B57"/>
    <w:rsid w:val="00903C7F"/>
    <w:rsid w:val="00903D1E"/>
    <w:rsid w:val="00903DE4"/>
    <w:rsid w:val="00903E76"/>
    <w:rsid w:val="00904056"/>
    <w:rsid w:val="009040BD"/>
    <w:rsid w:val="009040E1"/>
    <w:rsid w:val="009043C9"/>
    <w:rsid w:val="009044D1"/>
    <w:rsid w:val="0090475F"/>
    <w:rsid w:val="00904E24"/>
    <w:rsid w:val="00904E8A"/>
    <w:rsid w:val="0090509F"/>
    <w:rsid w:val="00905317"/>
    <w:rsid w:val="0090542B"/>
    <w:rsid w:val="0090577B"/>
    <w:rsid w:val="00905A30"/>
    <w:rsid w:val="00905B96"/>
    <w:rsid w:val="00905C72"/>
    <w:rsid w:val="00905CE7"/>
    <w:rsid w:val="00905E9B"/>
    <w:rsid w:val="00906781"/>
    <w:rsid w:val="009068EB"/>
    <w:rsid w:val="009069F2"/>
    <w:rsid w:val="00906A0D"/>
    <w:rsid w:val="00906A47"/>
    <w:rsid w:val="00906B8C"/>
    <w:rsid w:val="00906D38"/>
    <w:rsid w:val="00907000"/>
    <w:rsid w:val="00907176"/>
    <w:rsid w:val="009073A7"/>
    <w:rsid w:val="009075DD"/>
    <w:rsid w:val="00907615"/>
    <w:rsid w:val="0090761E"/>
    <w:rsid w:val="009076EC"/>
    <w:rsid w:val="009077BB"/>
    <w:rsid w:val="0090792B"/>
    <w:rsid w:val="00907D38"/>
    <w:rsid w:val="00907EC9"/>
    <w:rsid w:val="00907F10"/>
    <w:rsid w:val="009101B8"/>
    <w:rsid w:val="00910442"/>
    <w:rsid w:val="009105C9"/>
    <w:rsid w:val="009108B1"/>
    <w:rsid w:val="00910910"/>
    <w:rsid w:val="00910A9F"/>
    <w:rsid w:val="00910AFE"/>
    <w:rsid w:val="00910D61"/>
    <w:rsid w:val="00910E81"/>
    <w:rsid w:val="00910FF8"/>
    <w:rsid w:val="00911118"/>
    <w:rsid w:val="00911278"/>
    <w:rsid w:val="0091139C"/>
    <w:rsid w:val="009118C7"/>
    <w:rsid w:val="0091193E"/>
    <w:rsid w:val="00911CB1"/>
    <w:rsid w:val="00911CCA"/>
    <w:rsid w:val="00911CD0"/>
    <w:rsid w:val="00911D2F"/>
    <w:rsid w:val="00911EF3"/>
    <w:rsid w:val="00911FCA"/>
    <w:rsid w:val="009123BE"/>
    <w:rsid w:val="009124A3"/>
    <w:rsid w:val="00912637"/>
    <w:rsid w:val="00912735"/>
    <w:rsid w:val="009127FC"/>
    <w:rsid w:val="00912FFF"/>
    <w:rsid w:val="00913159"/>
    <w:rsid w:val="00913212"/>
    <w:rsid w:val="0091339F"/>
    <w:rsid w:val="0091348E"/>
    <w:rsid w:val="00913723"/>
    <w:rsid w:val="00913819"/>
    <w:rsid w:val="009139D7"/>
    <w:rsid w:val="00913ACE"/>
    <w:rsid w:val="00913B36"/>
    <w:rsid w:val="00913B42"/>
    <w:rsid w:val="00913B4C"/>
    <w:rsid w:val="00913CFB"/>
    <w:rsid w:val="00913E01"/>
    <w:rsid w:val="00913E44"/>
    <w:rsid w:val="00914090"/>
    <w:rsid w:val="009140F0"/>
    <w:rsid w:val="00914174"/>
    <w:rsid w:val="0091417F"/>
    <w:rsid w:val="00914328"/>
    <w:rsid w:val="009143BB"/>
    <w:rsid w:val="009146E2"/>
    <w:rsid w:val="00914811"/>
    <w:rsid w:val="009148B4"/>
    <w:rsid w:val="00914BA5"/>
    <w:rsid w:val="00914C01"/>
    <w:rsid w:val="00914D01"/>
    <w:rsid w:val="00914DA3"/>
    <w:rsid w:val="00914F4E"/>
    <w:rsid w:val="00915406"/>
    <w:rsid w:val="009154FB"/>
    <w:rsid w:val="0091572D"/>
    <w:rsid w:val="00915A49"/>
    <w:rsid w:val="00915B7D"/>
    <w:rsid w:val="00915D0F"/>
    <w:rsid w:val="00915EDD"/>
    <w:rsid w:val="00915FE7"/>
    <w:rsid w:val="0091612D"/>
    <w:rsid w:val="00916406"/>
    <w:rsid w:val="0091644C"/>
    <w:rsid w:val="009165F8"/>
    <w:rsid w:val="0091676C"/>
    <w:rsid w:val="009167FC"/>
    <w:rsid w:val="00916898"/>
    <w:rsid w:val="009168D6"/>
    <w:rsid w:val="00916A4F"/>
    <w:rsid w:val="00916DCC"/>
    <w:rsid w:val="00917217"/>
    <w:rsid w:val="009172C8"/>
    <w:rsid w:val="0091740B"/>
    <w:rsid w:val="00917484"/>
    <w:rsid w:val="00917534"/>
    <w:rsid w:val="0091774E"/>
    <w:rsid w:val="009177DF"/>
    <w:rsid w:val="0091795F"/>
    <w:rsid w:val="00917B54"/>
    <w:rsid w:val="00917EB1"/>
    <w:rsid w:val="00917ECD"/>
    <w:rsid w:val="00917EE9"/>
    <w:rsid w:val="00917F69"/>
    <w:rsid w:val="00920121"/>
    <w:rsid w:val="00920137"/>
    <w:rsid w:val="009203C6"/>
    <w:rsid w:val="009204E9"/>
    <w:rsid w:val="009204EE"/>
    <w:rsid w:val="00920911"/>
    <w:rsid w:val="00920955"/>
    <w:rsid w:val="00920A6F"/>
    <w:rsid w:val="00920C4A"/>
    <w:rsid w:val="00920E1B"/>
    <w:rsid w:val="00920E95"/>
    <w:rsid w:val="00920F9C"/>
    <w:rsid w:val="009211EC"/>
    <w:rsid w:val="00921763"/>
    <w:rsid w:val="00921888"/>
    <w:rsid w:val="00921A58"/>
    <w:rsid w:val="00921A71"/>
    <w:rsid w:val="00921C1C"/>
    <w:rsid w:val="00921E73"/>
    <w:rsid w:val="00921ECD"/>
    <w:rsid w:val="0092204C"/>
    <w:rsid w:val="00922172"/>
    <w:rsid w:val="009223D3"/>
    <w:rsid w:val="0092261B"/>
    <w:rsid w:val="009227A3"/>
    <w:rsid w:val="009227A8"/>
    <w:rsid w:val="009228A9"/>
    <w:rsid w:val="00922B6E"/>
    <w:rsid w:val="00922E08"/>
    <w:rsid w:val="00922FB7"/>
    <w:rsid w:val="00922FEB"/>
    <w:rsid w:val="009231A1"/>
    <w:rsid w:val="00923440"/>
    <w:rsid w:val="009235C1"/>
    <w:rsid w:val="009238BB"/>
    <w:rsid w:val="00923926"/>
    <w:rsid w:val="00923948"/>
    <w:rsid w:val="00923BDD"/>
    <w:rsid w:val="00923C79"/>
    <w:rsid w:val="00923D21"/>
    <w:rsid w:val="00923DF6"/>
    <w:rsid w:val="00923EE5"/>
    <w:rsid w:val="00923F94"/>
    <w:rsid w:val="009244C0"/>
    <w:rsid w:val="00924548"/>
    <w:rsid w:val="0092454D"/>
    <w:rsid w:val="00924664"/>
    <w:rsid w:val="00924697"/>
    <w:rsid w:val="0092474F"/>
    <w:rsid w:val="009247B7"/>
    <w:rsid w:val="00924AAB"/>
    <w:rsid w:val="00924C53"/>
    <w:rsid w:val="00924E4F"/>
    <w:rsid w:val="00925062"/>
    <w:rsid w:val="00925088"/>
    <w:rsid w:val="009250F4"/>
    <w:rsid w:val="00925203"/>
    <w:rsid w:val="0092520E"/>
    <w:rsid w:val="00925222"/>
    <w:rsid w:val="00925454"/>
    <w:rsid w:val="009255C1"/>
    <w:rsid w:val="009255F6"/>
    <w:rsid w:val="0092570F"/>
    <w:rsid w:val="00925835"/>
    <w:rsid w:val="0092590D"/>
    <w:rsid w:val="00925918"/>
    <w:rsid w:val="00925A3A"/>
    <w:rsid w:val="00925AAB"/>
    <w:rsid w:val="00925C17"/>
    <w:rsid w:val="00925E8B"/>
    <w:rsid w:val="00925F0A"/>
    <w:rsid w:val="00925FA3"/>
    <w:rsid w:val="00926182"/>
    <w:rsid w:val="009261CA"/>
    <w:rsid w:val="009262F1"/>
    <w:rsid w:val="009263CB"/>
    <w:rsid w:val="0092652E"/>
    <w:rsid w:val="00926541"/>
    <w:rsid w:val="00926613"/>
    <w:rsid w:val="009268CA"/>
    <w:rsid w:val="00926928"/>
    <w:rsid w:val="00926956"/>
    <w:rsid w:val="0092698E"/>
    <w:rsid w:val="00926B3B"/>
    <w:rsid w:val="00926DD1"/>
    <w:rsid w:val="00926F57"/>
    <w:rsid w:val="009273C6"/>
    <w:rsid w:val="009273D4"/>
    <w:rsid w:val="009275F4"/>
    <w:rsid w:val="009277D8"/>
    <w:rsid w:val="009278ED"/>
    <w:rsid w:val="009279D3"/>
    <w:rsid w:val="00927A4F"/>
    <w:rsid w:val="00927AD3"/>
    <w:rsid w:val="00927B1C"/>
    <w:rsid w:val="00927BF2"/>
    <w:rsid w:val="00927DFD"/>
    <w:rsid w:val="00927E0C"/>
    <w:rsid w:val="00927E3A"/>
    <w:rsid w:val="00927E3E"/>
    <w:rsid w:val="00927E4D"/>
    <w:rsid w:val="00927F71"/>
    <w:rsid w:val="009300C0"/>
    <w:rsid w:val="009300DC"/>
    <w:rsid w:val="00930194"/>
    <w:rsid w:val="00930347"/>
    <w:rsid w:val="00930381"/>
    <w:rsid w:val="00930390"/>
    <w:rsid w:val="00930441"/>
    <w:rsid w:val="0093057C"/>
    <w:rsid w:val="0093058E"/>
    <w:rsid w:val="00930651"/>
    <w:rsid w:val="00930718"/>
    <w:rsid w:val="009308F9"/>
    <w:rsid w:val="0093091F"/>
    <w:rsid w:val="00930BF6"/>
    <w:rsid w:val="00930C6F"/>
    <w:rsid w:val="00930C90"/>
    <w:rsid w:val="00930CBC"/>
    <w:rsid w:val="00930DF8"/>
    <w:rsid w:val="0093166E"/>
    <w:rsid w:val="009316F9"/>
    <w:rsid w:val="00931738"/>
    <w:rsid w:val="00931A04"/>
    <w:rsid w:val="00931A33"/>
    <w:rsid w:val="00931AE1"/>
    <w:rsid w:val="00931E38"/>
    <w:rsid w:val="00932301"/>
    <w:rsid w:val="009323D1"/>
    <w:rsid w:val="0093244D"/>
    <w:rsid w:val="009324F7"/>
    <w:rsid w:val="009325BD"/>
    <w:rsid w:val="00932657"/>
    <w:rsid w:val="009326C4"/>
    <w:rsid w:val="00932914"/>
    <w:rsid w:val="00932935"/>
    <w:rsid w:val="00933450"/>
    <w:rsid w:val="00933A4A"/>
    <w:rsid w:val="00933AC1"/>
    <w:rsid w:val="00933C46"/>
    <w:rsid w:val="00933E68"/>
    <w:rsid w:val="00933F58"/>
    <w:rsid w:val="00933FD5"/>
    <w:rsid w:val="00934052"/>
    <w:rsid w:val="009340C7"/>
    <w:rsid w:val="00934448"/>
    <w:rsid w:val="009344B6"/>
    <w:rsid w:val="009344DA"/>
    <w:rsid w:val="0093451D"/>
    <w:rsid w:val="0093472A"/>
    <w:rsid w:val="009347C8"/>
    <w:rsid w:val="00934B65"/>
    <w:rsid w:val="00934BBA"/>
    <w:rsid w:val="00934D4E"/>
    <w:rsid w:val="00934E86"/>
    <w:rsid w:val="00935157"/>
    <w:rsid w:val="009351D9"/>
    <w:rsid w:val="00935385"/>
    <w:rsid w:val="009353C5"/>
    <w:rsid w:val="00935456"/>
    <w:rsid w:val="009358E9"/>
    <w:rsid w:val="0093594E"/>
    <w:rsid w:val="00935CA2"/>
    <w:rsid w:val="00935E11"/>
    <w:rsid w:val="00935F50"/>
    <w:rsid w:val="00935FFB"/>
    <w:rsid w:val="0093629A"/>
    <w:rsid w:val="0093639C"/>
    <w:rsid w:val="0093675B"/>
    <w:rsid w:val="00936845"/>
    <w:rsid w:val="009368A4"/>
    <w:rsid w:val="00936964"/>
    <w:rsid w:val="00936991"/>
    <w:rsid w:val="00936A09"/>
    <w:rsid w:val="00936A72"/>
    <w:rsid w:val="00936BEB"/>
    <w:rsid w:val="00936BF5"/>
    <w:rsid w:val="00936E78"/>
    <w:rsid w:val="00936FBC"/>
    <w:rsid w:val="00936FF6"/>
    <w:rsid w:val="00937017"/>
    <w:rsid w:val="009372FD"/>
    <w:rsid w:val="009373BC"/>
    <w:rsid w:val="00937456"/>
    <w:rsid w:val="0093745A"/>
    <w:rsid w:val="0093771D"/>
    <w:rsid w:val="00937915"/>
    <w:rsid w:val="009379A3"/>
    <w:rsid w:val="00937A7D"/>
    <w:rsid w:val="00937C7C"/>
    <w:rsid w:val="00937CB1"/>
    <w:rsid w:val="00937DFF"/>
    <w:rsid w:val="0094032E"/>
    <w:rsid w:val="0094032F"/>
    <w:rsid w:val="00940BA1"/>
    <w:rsid w:val="00940C48"/>
    <w:rsid w:val="00940D39"/>
    <w:rsid w:val="00940EE8"/>
    <w:rsid w:val="00940F29"/>
    <w:rsid w:val="0094101B"/>
    <w:rsid w:val="00941138"/>
    <w:rsid w:val="009412D9"/>
    <w:rsid w:val="0094135E"/>
    <w:rsid w:val="00941385"/>
    <w:rsid w:val="009414EC"/>
    <w:rsid w:val="00941578"/>
    <w:rsid w:val="00941787"/>
    <w:rsid w:val="009417B0"/>
    <w:rsid w:val="009418C5"/>
    <w:rsid w:val="00941AF0"/>
    <w:rsid w:val="00941B26"/>
    <w:rsid w:val="00941D9E"/>
    <w:rsid w:val="00941E3E"/>
    <w:rsid w:val="009420FC"/>
    <w:rsid w:val="00942257"/>
    <w:rsid w:val="00942265"/>
    <w:rsid w:val="00942276"/>
    <w:rsid w:val="009423E8"/>
    <w:rsid w:val="00942670"/>
    <w:rsid w:val="00942903"/>
    <w:rsid w:val="00942927"/>
    <w:rsid w:val="00942C45"/>
    <w:rsid w:val="00942CCB"/>
    <w:rsid w:val="00942DA4"/>
    <w:rsid w:val="009434DD"/>
    <w:rsid w:val="0094350F"/>
    <w:rsid w:val="0094358D"/>
    <w:rsid w:val="009436C7"/>
    <w:rsid w:val="00943C60"/>
    <w:rsid w:val="00943CBE"/>
    <w:rsid w:val="00943CFD"/>
    <w:rsid w:val="00943DA6"/>
    <w:rsid w:val="00943EAF"/>
    <w:rsid w:val="00943F2B"/>
    <w:rsid w:val="00943FC8"/>
    <w:rsid w:val="00944544"/>
    <w:rsid w:val="00944625"/>
    <w:rsid w:val="0094478E"/>
    <w:rsid w:val="00944A8E"/>
    <w:rsid w:val="00944CE1"/>
    <w:rsid w:val="00944DB8"/>
    <w:rsid w:val="00944EA1"/>
    <w:rsid w:val="009450DB"/>
    <w:rsid w:val="0094519E"/>
    <w:rsid w:val="00945329"/>
    <w:rsid w:val="0094552E"/>
    <w:rsid w:val="0094553A"/>
    <w:rsid w:val="00945634"/>
    <w:rsid w:val="00945833"/>
    <w:rsid w:val="00945A2A"/>
    <w:rsid w:val="00945C6D"/>
    <w:rsid w:val="00945E74"/>
    <w:rsid w:val="00946400"/>
    <w:rsid w:val="00946433"/>
    <w:rsid w:val="00946621"/>
    <w:rsid w:val="00946709"/>
    <w:rsid w:val="009468A0"/>
    <w:rsid w:val="0094692E"/>
    <w:rsid w:val="009469BC"/>
    <w:rsid w:val="00946B34"/>
    <w:rsid w:val="00946BA8"/>
    <w:rsid w:val="00946C2A"/>
    <w:rsid w:val="00946CDF"/>
    <w:rsid w:val="00946E2D"/>
    <w:rsid w:val="00946E6A"/>
    <w:rsid w:val="0094705D"/>
    <w:rsid w:val="00947251"/>
    <w:rsid w:val="009476EA"/>
    <w:rsid w:val="00947854"/>
    <w:rsid w:val="0094795A"/>
    <w:rsid w:val="00947C46"/>
    <w:rsid w:val="00947C8F"/>
    <w:rsid w:val="00947D86"/>
    <w:rsid w:val="00947E29"/>
    <w:rsid w:val="00947FBE"/>
    <w:rsid w:val="00950167"/>
    <w:rsid w:val="00950472"/>
    <w:rsid w:val="00950563"/>
    <w:rsid w:val="00950861"/>
    <w:rsid w:val="00950CE6"/>
    <w:rsid w:val="00950DDD"/>
    <w:rsid w:val="00950E8D"/>
    <w:rsid w:val="00950EBD"/>
    <w:rsid w:val="00950F6F"/>
    <w:rsid w:val="009511FB"/>
    <w:rsid w:val="0095158B"/>
    <w:rsid w:val="00951705"/>
    <w:rsid w:val="00951DE3"/>
    <w:rsid w:val="00951EF0"/>
    <w:rsid w:val="00951FC7"/>
    <w:rsid w:val="00951FD7"/>
    <w:rsid w:val="00952032"/>
    <w:rsid w:val="00952144"/>
    <w:rsid w:val="00952328"/>
    <w:rsid w:val="0095239C"/>
    <w:rsid w:val="009524DB"/>
    <w:rsid w:val="009525C4"/>
    <w:rsid w:val="00952625"/>
    <w:rsid w:val="00952826"/>
    <w:rsid w:val="009528F0"/>
    <w:rsid w:val="00952ACE"/>
    <w:rsid w:val="00952BE7"/>
    <w:rsid w:val="00952BFF"/>
    <w:rsid w:val="00952CA7"/>
    <w:rsid w:val="00952D0F"/>
    <w:rsid w:val="00952E4B"/>
    <w:rsid w:val="00952E6A"/>
    <w:rsid w:val="00953423"/>
    <w:rsid w:val="0095342A"/>
    <w:rsid w:val="0095345A"/>
    <w:rsid w:val="009534D1"/>
    <w:rsid w:val="0095350D"/>
    <w:rsid w:val="009535DC"/>
    <w:rsid w:val="00953699"/>
    <w:rsid w:val="009537D1"/>
    <w:rsid w:val="00953879"/>
    <w:rsid w:val="009538E3"/>
    <w:rsid w:val="00953BA2"/>
    <w:rsid w:val="00953BBE"/>
    <w:rsid w:val="00953C95"/>
    <w:rsid w:val="00954000"/>
    <w:rsid w:val="0095400B"/>
    <w:rsid w:val="009542BC"/>
    <w:rsid w:val="00954528"/>
    <w:rsid w:val="009545C8"/>
    <w:rsid w:val="0095472B"/>
    <w:rsid w:val="00954797"/>
    <w:rsid w:val="00954BE5"/>
    <w:rsid w:val="00954D35"/>
    <w:rsid w:val="00954D98"/>
    <w:rsid w:val="00954FDE"/>
    <w:rsid w:val="00954FFB"/>
    <w:rsid w:val="00955042"/>
    <w:rsid w:val="009552DC"/>
    <w:rsid w:val="0095555A"/>
    <w:rsid w:val="00955618"/>
    <w:rsid w:val="00955884"/>
    <w:rsid w:val="00955C79"/>
    <w:rsid w:val="00955E9C"/>
    <w:rsid w:val="00955EC4"/>
    <w:rsid w:val="0095609F"/>
    <w:rsid w:val="009560B3"/>
    <w:rsid w:val="009562F2"/>
    <w:rsid w:val="0095636D"/>
    <w:rsid w:val="009564AA"/>
    <w:rsid w:val="009566D9"/>
    <w:rsid w:val="0095680A"/>
    <w:rsid w:val="009568A9"/>
    <w:rsid w:val="0095702F"/>
    <w:rsid w:val="009570F4"/>
    <w:rsid w:val="00957258"/>
    <w:rsid w:val="0095728E"/>
    <w:rsid w:val="00957823"/>
    <w:rsid w:val="00957946"/>
    <w:rsid w:val="009579DD"/>
    <w:rsid w:val="00957B20"/>
    <w:rsid w:val="00957C6B"/>
    <w:rsid w:val="00957CB9"/>
    <w:rsid w:val="00957D51"/>
    <w:rsid w:val="00957D6D"/>
    <w:rsid w:val="00957F58"/>
    <w:rsid w:val="0096000D"/>
    <w:rsid w:val="00960400"/>
    <w:rsid w:val="00960421"/>
    <w:rsid w:val="00960559"/>
    <w:rsid w:val="009605D5"/>
    <w:rsid w:val="0096068E"/>
    <w:rsid w:val="009609F1"/>
    <w:rsid w:val="00960AEA"/>
    <w:rsid w:val="00960BC6"/>
    <w:rsid w:val="00960DB1"/>
    <w:rsid w:val="00960F1F"/>
    <w:rsid w:val="0096115C"/>
    <w:rsid w:val="00961266"/>
    <w:rsid w:val="0096134D"/>
    <w:rsid w:val="00961884"/>
    <w:rsid w:val="009619B2"/>
    <w:rsid w:val="00961B75"/>
    <w:rsid w:val="00961C0F"/>
    <w:rsid w:val="00961D3F"/>
    <w:rsid w:val="00961E31"/>
    <w:rsid w:val="00962184"/>
    <w:rsid w:val="00962193"/>
    <w:rsid w:val="009624F7"/>
    <w:rsid w:val="0096252F"/>
    <w:rsid w:val="009625C7"/>
    <w:rsid w:val="009627CF"/>
    <w:rsid w:val="00962805"/>
    <w:rsid w:val="00962985"/>
    <w:rsid w:val="00962AA5"/>
    <w:rsid w:val="009630D7"/>
    <w:rsid w:val="0096322C"/>
    <w:rsid w:val="0096327B"/>
    <w:rsid w:val="0096392C"/>
    <w:rsid w:val="0096396C"/>
    <w:rsid w:val="00963A58"/>
    <w:rsid w:val="00963CD6"/>
    <w:rsid w:val="00963DFD"/>
    <w:rsid w:val="00963ECB"/>
    <w:rsid w:val="00964808"/>
    <w:rsid w:val="0096495F"/>
    <w:rsid w:val="00964A84"/>
    <w:rsid w:val="00964C12"/>
    <w:rsid w:val="00964EC5"/>
    <w:rsid w:val="0096525B"/>
    <w:rsid w:val="009652DB"/>
    <w:rsid w:val="009653F1"/>
    <w:rsid w:val="00965658"/>
    <w:rsid w:val="009656B1"/>
    <w:rsid w:val="009656F2"/>
    <w:rsid w:val="009657FF"/>
    <w:rsid w:val="009658A1"/>
    <w:rsid w:val="00965A0A"/>
    <w:rsid w:val="00965C09"/>
    <w:rsid w:val="00965ED7"/>
    <w:rsid w:val="00965F2F"/>
    <w:rsid w:val="00965F64"/>
    <w:rsid w:val="00965FC8"/>
    <w:rsid w:val="0096602C"/>
    <w:rsid w:val="009663AE"/>
    <w:rsid w:val="00966401"/>
    <w:rsid w:val="00966667"/>
    <w:rsid w:val="0096685C"/>
    <w:rsid w:val="00966A49"/>
    <w:rsid w:val="00966BCD"/>
    <w:rsid w:val="00966D54"/>
    <w:rsid w:val="00966D75"/>
    <w:rsid w:val="00966D84"/>
    <w:rsid w:val="00966E1B"/>
    <w:rsid w:val="00966EA9"/>
    <w:rsid w:val="00966ED4"/>
    <w:rsid w:val="009671F5"/>
    <w:rsid w:val="0096722D"/>
    <w:rsid w:val="009673E5"/>
    <w:rsid w:val="009677B1"/>
    <w:rsid w:val="009677FD"/>
    <w:rsid w:val="00967C42"/>
    <w:rsid w:val="00967E19"/>
    <w:rsid w:val="00967E5D"/>
    <w:rsid w:val="00970181"/>
    <w:rsid w:val="009703B7"/>
    <w:rsid w:val="009705E6"/>
    <w:rsid w:val="0097065F"/>
    <w:rsid w:val="009706DD"/>
    <w:rsid w:val="009707AB"/>
    <w:rsid w:val="009707ED"/>
    <w:rsid w:val="00970811"/>
    <w:rsid w:val="00970894"/>
    <w:rsid w:val="009708B2"/>
    <w:rsid w:val="00970963"/>
    <w:rsid w:val="00970A0A"/>
    <w:rsid w:val="00970BBE"/>
    <w:rsid w:val="00970EC0"/>
    <w:rsid w:val="009710DE"/>
    <w:rsid w:val="009713AF"/>
    <w:rsid w:val="009713E2"/>
    <w:rsid w:val="00971544"/>
    <w:rsid w:val="00971A53"/>
    <w:rsid w:val="00971BDE"/>
    <w:rsid w:val="00971C09"/>
    <w:rsid w:val="00972066"/>
    <w:rsid w:val="009720CD"/>
    <w:rsid w:val="009724B5"/>
    <w:rsid w:val="00972523"/>
    <w:rsid w:val="0097275B"/>
    <w:rsid w:val="00972A11"/>
    <w:rsid w:val="00972A37"/>
    <w:rsid w:val="00972B72"/>
    <w:rsid w:val="00972BA6"/>
    <w:rsid w:val="00972CA6"/>
    <w:rsid w:val="00972CEB"/>
    <w:rsid w:val="009733E9"/>
    <w:rsid w:val="009735F7"/>
    <w:rsid w:val="009737C9"/>
    <w:rsid w:val="0097383B"/>
    <w:rsid w:val="00973842"/>
    <w:rsid w:val="00973879"/>
    <w:rsid w:val="009738F8"/>
    <w:rsid w:val="0097395C"/>
    <w:rsid w:val="00973B64"/>
    <w:rsid w:val="00973C59"/>
    <w:rsid w:val="00973D86"/>
    <w:rsid w:val="00973DBE"/>
    <w:rsid w:val="00974196"/>
    <w:rsid w:val="009742BB"/>
    <w:rsid w:val="009743AE"/>
    <w:rsid w:val="00974406"/>
    <w:rsid w:val="009744F0"/>
    <w:rsid w:val="0097464D"/>
    <w:rsid w:val="00974904"/>
    <w:rsid w:val="00974979"/>
    <w:rsid w:val="009749AC"/>
    <w:rsid w:val="00974B2C"/>
    <w:rsid w:val="00974FA8"/>
    <w:rsid w:val="009750D9"/>
    <w:rsid w:val="009751E2"/>
    <w:rsid w:val="009753EE"/>
    <w:rsid w:val="00975437"/>
    <w:rsid w:val="009754E4"/>
    <w:rsid w:val="009755D3"/>
    <w:rsid w:val="00975920"/>
    <w:rsid w:val="00976076"/>
    <w:rsid w:val="009760A6"/>
    <w:rsid w:val="009760D4"/>
    <w:rsid w:val="00976151"/>
    <w:rsid w:val="009764A6"/>
    <w:rsid w:val="009767B4"/>
    <w:rsid w:val="00976B15"/>
    <w:rsid w:val="00976B48"/>
    <w:rsid w:val="00976EED"/>
    <w:rsid w:val="0097717C"/>
    <w:rsid w:val="009771DD"/>
    <w:rsid w:val="009772E0"/>
    <w:rsid w:val="0097753B"/>
    <w:rsid w:val="00977587"/>
    <w:rsid w:val="00977664"/>
    <w:rsid w:val="00977819"/>
    <w:rsid w:val="009778F1"/>
    <w:rsid w:val="00977CE1"/>
    <w:rsid w:val="00977E76"/>
    <w:rsid w:val="0098028F"/>
    <w:rsid w:val="0098050E"/>
    <w:rsid w:val="00980512"/>
    <w:rsid w:val="00980603"/>
    <w:rsid w:val="00980676"/>
    <w:rsid w:val="0098068E"/>
    <w:rsid w:val="00980712"/>
    <w:rsid w:val="009808A4"/>
    <w:rsid w:val="00980958"/>
    <w:rsid w:val="00980BA9"/>
    <w:rsid w:val="00980E42"/>
    <w:rsid w:val="00980E4A"/>
    <w:rsid w:val="00980EFE"/>
    <w:rsid w:val="00980F61"/>
    <w:rsid w:val="009811D7"/>
    <w:rsid w:val="009812FD"/>
    <w:rsid w:val="009814F2"/>
    <w:rsid w:val="00981622"/>
    <w:rsid w:val="00981969"/>
    <w:rsid w:val="00981AB5"/>
    <w:rsid w:val="00981B80"/>
    <w:rsid w:val="00981BA6"/>
    <w:rsid w:val="00981BEC"/>
    <w:rsid w:val="00981CF1"/>
    <w:rsid w:val="00981DEB"/>
    <w:rsid w:val="0098201B"/>
    <w:rsid w:val="00982130"/>
    <w:rsid w:val="00982354"/>
    <w:rsid w:val="00982520"/>
    <w:rsid w:val="0098275B"/>
    <w:rsid w:val="009827F0"/>
    <w:rsid w:val="00982BC8"/>
    <w:rsid w:val="00982CF6"/>
    <w:rsid w:val="00982DB7"/>
    <w:rsid w:val="00982FDD"/>
    <w:rsid w:val="00982FF5"/>
    <w:rsid w:val="009830EC"/>
    <w:rsid w:val="00983130"/>
    <w:rsid w:val="009831E7"/>
    <w:rsid w:val="00983205"/>
    <w:rsid w:val="00983266"/>
    <w:rsid w:val="00983676"/>
    <w:rsid w:val="009836C2"/>
    <w:rsid w:val="009837CB"/>
    <w:rsid w:val="009839B3"/>
    <w:rsid w:val="00983A27"/>
    <w:rsid w:val="00983BFA"/>
    <w:rsid w:val="00983DD2"/>
    <w:rsid w:val="00983F3D"/>
    <w:rsid w:val="00984412"/>
    <w:rsid w:val="009844D1"/>
    <w:rsid w:val="0098456F"/>
    <w:rsid w:val="00984659"/>
    <w:rsid w:val="0098482E"/>
    <w:rsid w:val="009849B1"/>
    <w:rsid w:val="00984A11"/>
    <w:rsid w:val="00984C05"/>
    <w:rsid w:val="00984C16"/>
    <w:rsid w:val="009850BC"/>
    <w:rsid w:val="00985274"/>
    <w:rsid w:val="0098535B"/>
    <w:rsid w:val="0098535E"/>
    <w:rsid w:val="009853C5"/>
    <w:rsid w:val="009853CD"/>
    <w:rsid w:val="009853CF"/>
    <w:rsid w:val="0098548C"/>
    <w:rsid w:val="00985603"/>
    <w:rsid w:val="0098567B"/>
    <w:rsid w:val="00985730"/>
    <w:rsid w:val="00985911"/>
    <w:rsid w:val="00985925"/>
    <w:rsid w:val="00985ED3"/>
    <w:rsid w:val="00986017"/>
    <w:rsid w:val="00986040"/>
    <w:rsid w:val="009860F6"/>
    <w:rsid w:val="0098616B"/>
    <w:rsid w:val="009861A3"/>
    <w:rsid w:val="009865B5"/>
    <w:rsid w:val="00986961"/>
    <w:rsid w:val="00986A69"/>
    <w:rsid w:val="00986AEB"/>
    <w:rsid w:val="00986E16"/>
    <w:rsid w:val="00987230"/>
    <w:rsid w:val="00987655"/>
    <w:rsid w:val="00987660"/>
    <w:rsid w:val="00987672"/>
    <w:rsid w:val="00987965"/>
    <w:rsid w:val="00987991"/>
    <w:rsid w:val="00987AA1"/>
    <w:rsid w:val="00987D40"/>
    <w:rsid w:val="00987DF8"/>
    <w:rsid w:val="00987FDB"/>
    <w:rsid w:val="00990074"/>
    <w:rsid w:val="00990568"/>
    <w:rsid w:val="0099064C"/>
    <w:rsid w:val="0099070C"/>
    <w:rsid w:val="00990920"/>
    <w:rsid w:val="009909E8"/>
    <w:rsid w:val="00990C0C"/>
    <w:rsid w:val="00990C38"/>
    <w:rsid w:val="00990CC4"/>
    <w:rsid w:val="00990CED"/>
    <w:rsid w:val="00990D01"/>
    <w:rsid w:val="00990D9D"/>
    <w:rsid w:val="0099102B"/>
    <w:rsid w:val="00991060"/>
    <w:rsid w:val="009912BF"/>
    <w:rsid w:val="00991386"/>
    <w:rsid w:val="00991478"/>
    <w:rsid w:val="0099150F"/>
    <w:rsid w:val="00991630"/>
    <w:rsid w:val="00991BF7"/>
    <w:rsid w:val="00991DA4"/>
    <w:rsid w:val="009922A4"/>
    <w:rsid w:val="00992418"/>
    <w:rsid w:val="00992674"/>
    <w:rsid w:val="00992798"/>
    <w:rsid w:val="009928E9"/>
    <w:rsid w:val="00992C4E"/>
    <w:rsid w:val="00992CB0"/>
    <w:rsid w:val="00992D4D"/>
    <w:rsid w:val="00992EF5"/>
    <w:rsid w:val="00993164"/>
    <w:rsid w:val="00993389"/>
    <w:rsid w:val="009933A9"/>
    <w:rsid w:val="00993466"/>
    <w:rsid w:val="00993551"/>
    <w:rsid w:val="009935EA"/>
    <w:rsid w:val="00993608"/>
    <w:rsid w:val="0099369A"/>
    <w:rsid w:val="009936E8"/>
    <w:rsid w:val="0099377F"/>
    <w:rsid w:val="009938AF"/>
    <w:rsid w:val="00993C6F"/>
    <w:rsid w:val="00993D65"/>
    <w:rsid w:val="00993E73"/>
    <w:rsid w:val="00993EE7"/>
    <w:rsid w:val="00993F8A"/>
    <w:rsid w:val="0099401E"/>
    <w:rsid w:val="00994038"/>
    <w:rsid w:val="009940F1"/>
    <w:rsid w:val="009942A6"/>
    <w:rsid w:val="00994542"/>
    <w:rsid w:val="0099455B"/>
    <w:rsid w:val="00994615"/>
    <w:rsid w:val="0099481A"/>
    <w:rsid w:val="00994862"/>
    <w:rsid w:val="00994877"/>
    <w:rsid w:val="009948E4"/>
    <w:rsid w:val="009949A0"/>
    <w:rsid w:val="00994DA9"/>
    <w:rsid w:val="00994E88"/>
    <w:rsid w:val="009955B1"/>
    <w:rsid w:val="009956AB"/>
    <w:rsid w:val="009956AF"/>
    <w:rsid w:val="009956C4"/>
    <w:rsid w:val="00995835"/>
    <w:rsid w:val="00995B35"/>
    <w:rsid w:val="00995D16"/>
    <w:rsid w:val="00995D5B"/>
    <w:rsid w:val="00995DC2"/>
    <w:rsid w:val="00995E04"/>
    <w:rsid w:val="00995EE2"/>
    <w:rsid w:val="0099618A"/>
    <w:rsid w:val="0099627C"/>
    <w:rsid w:val="00996AF0"/>
    <w:rsid w:val="00996BB6"/>
    <w:rsid w:val="00996CBF"/>
    <w:rsid w:val="00996ECD"/>
    <w:rsid w:val="00996F41"/>
    <w:rsid w:val="0099701C"/>
    <w:rsid w:val="00997384"/>
    <w:rsid w:val="00997516"/>
    <w:rsid w:val="009975CA"/>
    <w:rsid w:val="00997B53"/>
    <w:rsid w:val="00997D61"/>
    <w:rsid w:val="00997F7B"/>
    <w:rsid w:val="009A0030"/>
    <w:rsid w:val="009A011D"/>
    <w:rsid w:val="009A015A"/>
    <w:rsid w:val="009A024E"/>
    <w:rsid w:val="009A02F5"/>
    <w:rsid w:val="009A0312"/>
    <w:rsid w:val="009A03A5"/>
    <w:rsid w:val="009A0529"/>
    <w:rsid w:val="009A05C4"/>
    <w:rsid w:val="009A06DB"/>
    <w:rsid w:val="009A0732"/>
    <w:rsid w:val="009A0766"/>
    <w:rsid w:val="009A07B3"/>
    <w:rsid w:val="009A087A"/>
    <w:rsid w:val="009A0974"/>
    <w:rsid w:val="009A0A57"/>
    <w:rsid w:val="009A0AAC"/>
    <w:rsid w:val="009A0AB9"/>
    <w:rsid w:val="009A1137"/>
    <w:rsid w:val="009A114C"/>
    <w:rsid w:val="009A15E2"/>
    <w:rsid w:val="009A1945"/>
    <w:rsid w:val="009A1CEF"/>
    <w:rsid w:val="009A1F2C"/>
    <w:rsid w:val="009A1F2D"/>
    <w:rsid w:val="009A1F45"/>
    <w:rsid w:val="009A1FF8"/>
    <w:rsid w:val="009A2029"/>
    <w:rsid w:val="009A2212"/>
    <w:rsid w:val="009A235F"/>
    <w:rsid w:val="009A249D"/>
    <w:rsid w:val="009A2571"/>
    <w:rsid w:val="009A2592"/>
    <w:rsid w:val="009A25CB"/>
    <w:rsid w:val="009A2674"/>
    <w:rsid w:val="009A26D5"/>
    <w:rsid w:val="009A2717"/>
    <w:rsid w:val="009A2854"/>
    <w:rsid w:val="009A298A"/>
    <w:rsid w:val="009A29E6"/>
    <w:rsid w:val="009A2B22"/>
    <w:rsid w:val="009A2B96"/>
    <w:rsid w:val="009A2DDA"/>
    <w:rsid w:val="009A2F27"/>
    <w:rsid w:val="009A2F62"/>
    <w:rsid w:val="009A2F8C"/>
    <w:rsid w:val="009A30AA"/>
    <w:rsid w:val="009A31D6"/>
    <w:rsid w:val="009A33CF"/>
    <w:rsid w:val="009A353E"/>
    <w:rsid w:val="009A3819"/>
    <w:rsid w:val="009A3A3A"/>
    <w:rsid w:val="009A3CED"/>
    <w:rsid w:val="009A3F1D"/>
    <w:rsid w:val="009A3FCD"/>
    <w:rsid w:val="009A3FDF"/>
    <w:rsid w:val="009A40EF"/>
    <w:rsid w:val="009A4125"/>
    <w:rsid w:val="009A413A"/>
    <w:rsid w:val="009A41B6"/>
    <w:rsid w:val="009A436D"/>
    <w:rsid w:val="009A47C6"/>
    <w:rsid w:val="009A4DFC"/>
    <w:rsid w:val="009A4E84"/>
    <w:rsid w:val="009A5346"/>
    <w:rsid w:val="009A53BD"/>
    <w:rsid w:val="009A53CB"/>
    <w:rsid w:val="009A5415"/>
    <w:rsid w:val="009A5752"/>
    <w:rsid w:val="009A5AC5"/>
    <w:rsid w:val="009A6065"/>
    <w:rsid w:val="009A60DE"/>
    <w:rsid w:val="009A6540"/>
    <w:rsid w:val="009A65E4"/>
    <w:rsid w:val="009A67E5"/>
    <w:rsid w:val="009A68D4"/>
    <w:rsid w:val="009A68EC"/>
    <w:rsid w:val="009A697C"/>
    <w:rsid w:val="009A69C5"/>
    <w:rsid w:val="009A6C78"/>
    <w:rsid w:val="009A6CC1"/>
    <w:rsid w:val="009A6FB8"/>
    <w:rsid w:val="009A71DA"/>
    <w:rsid w:val="009A7260"/>
    <w:rsid w:val="009A7493"/>
    <w:rsid w:val="009A7574"/>
    <w:rsid w:val="009A75F4"/>
    <w:rsid w:val="009A7632"/>
    <w:rsid w:val="009A7B13"/>
    <w:rsid w:val="009A7D5F"/>
    <w:rsid w:val="009A7E6F"/>
    <w:rsid w:val="009A994B"/>
    <w:rsid w:val="009B0136"/>
    <w:rsid w:val="009B078D"/>
    <w:rsid w:val="009B07B4"/>
    <w:rsid w:val="009B0958"/>
    <w:rsid w:val="009B098F"/>
    <w:rsid w:val="009B0B71"/>
    <w:rsid w:val="009B0D7F"/>
    <w:rsid w:val="009B0FDA"/>
    <w:rsid w:val="009B12BF"/>
    <w:rsid w:val="009B1657"/>
    <w:rsid w:val="009B1712"/>
    <w:rsid w:val="009B19E0"/>
    <w:rsid w:val="009B1BBA"/>
    <w:rsid w:val="009B1C6A"/>
    <w:rsid w:val="009B1C8A"/>
    <w:rsid w:val="009B1DF7"/>
    <w:rsid w:val="009B1F33"/>
    <w:rsid w:val="009B207F"/>
    <w:rsid w:val="009B208C"/>
    <w:rsid w:val="009B2160"/>
    <w:rsid w:val="009B22D2"/>
    <w:rsid w:val="009B2323"/>
    <w:rsid w:val="009B2360"/>
    <w:rsid w:val="009B2649"/>
    <w:rsid w:val="009B2772"/>
    <w:rsid w:val="009B280E"/>
    <w:rsid w:val="009B29B9"/>
    <w:rsid w:val="009B2CBC"/>
    <w:rsid w:val="009B2CE3"/>
    <w:rsid w:val="009B2E83"/>
    <w:rsid w:val="009B2ED5"/>
    <w:rsid w:val="009B2F38"/>
    <w:rsid w:val="009B2FAD"/>
    <w:rsid w:val="009B2FE1"/>
    <w:rsid w:val="009B3087"/>
    <w:rsid w:val="009B312F"/>
    <w:rsid w:val="009B321F"/>
    <w:rsid w:val="009B34C3"/>
    <w:rsid w:val="009B352C"/>
    <w:rsid w:val="009B3625"/>
    <w:rsid w:val="009B368D"/>
    <w:rsid w:val="009B36E3"/>
    <w:rsid w:val="009B3A5E"/>
    <w:rsid w:val="009B3D4C"/>
    <w:rsid w:val="009B4282"/>
    <w:rsid w:val="009B43F5"/>
    <w:rsid w:val="009B43FB"/>
    <w:rsid w:val="009B4419"/>
    <w:rsid w:val="009B4656"/>
    <w:rsid w:val="009B49B3"/>
    <w:rsid w:val="009B4A09"/>
    <w:rsid w:val="009B4A5A"/>
    <w:rsid w:val="009B4A91"/>
    <w:rsid w:val="009B4AB4"/>
    <w:rsid w:val="009B4DB7"/>
    <w:rsid w:val="009B4DE5"/>
    <w:rsid w:val="009B4EED"/>
    <w:rsid w:val="009B504E"/>
    <w:rsid w:val="009B50ED"/>
    <w:rsid w:val="009B538C"/>
    <w:rsid w:val="009B5498"/>
    <w:rsid w:val="009B56DA"/>
    <w:rsid w:val="009B589A"/>
    <w:rsid w:val="009B5B2E"/>
    <w:rsid w:val="009B5D26"/>
    <w:rsid w:val="009B5D7C"/>
    <w:rsid w:val="009B5E4A"/>
    <w:rsid w:val="009B5F6F"/>
    <w:rsid w:val="009B6026"/>
    <w:rsid w:val="009B640C"/>
    <w:rsid w:val="009B642A"/>
    <w:rsid w:val="009B64AE"/>
    <w:rsid w:val="009B6D02"/>
    <w:rsid w:val="009B6D71"/>
    <w:rsid w:val="009B701D"/>
    <w:rsid w:val="009B734F"/>
    <w:rsid w:val="009B75C2"/>
    <w:rsid w:val="009B77FD"/>
    <w:rsid w:val="009B7B0F"/>
    <w:rsid w:val="009B7C68"/>
    <w:rsid w:val="009B7D1D"/>
    <w:rsid w:val="009C03C1"/>
    <w:rsid w:val="009C0510"/>
    <w:rsid w:val="009C0520"/>
    <w:rsid w:val="009C06B7"/>
    <w:rsid w:val="009C0E56"/>
    <w:rsid w:val="009C0E8F"/>
    <w:rsid w:val="009C0EF9"/>
    <w:rsid w:val="009C1007"/>
    <w:rsid w:val="009C1009"/>
    <w:rsid w:val="009C1274"/>
    <w:rsid w:val="009C1350"/>
    <w:rsid w:val="009C184F"/>
    <w:rsid w:val="009C186B"/>
    <w:rsid w:val="009C1888"/>
    <w:rsid w:val="009C197C"/>
    <w:rsid w:val="009C19E7"/>
    <w:rsid w:val="009C1C8C"/>
    <w:rsid w:val="009C1C8F"/>
    <w:rsid w:val="009C1CC4"/>
    <w:rsid w:val="009C1E41"/>
    <w:rsid w:val="009C1E8F"/>
    <w:rsid w:val="009C1EAC"/>
    <w:rsid w:val="009C1FEA"/>
    <w:rsid w:val="009C2236"/>
    <w:rsid w:val="009C2377"/>
    <w:rsid w:val="009C244A"/>
    <w:rsid w:val="009C2501"/>
    <w:rsid w:val="009C260E"/>
    <w:rsid w:val="009C269F"/>
    <w:rsid w:val="009C26AD"/>
    <w:rsid w:val="009C2712"/>
    <w:rsid w:val="009C2795"/>
    <w:rsid w:val="009C2820"/>
    <w:rsid w:val="009C2BB2"/>
    <w:rsid w:val="009C2C04"/>
    <w:rsid w:val="009C2C8F"/>
    <w:rsid w:val="009C322E"/>
    <w:rsid w:val="009C33C9"/>
    <w:rsid w:val="009C346C"/>
    <w:rsid w:val="009C37C5"/>
    <w:rsid w:val="009C3890"/>
    <w:rsid w:val="009C3919"/>
    <w:rsid w:val="009C3985"/>
    <w:rsid w:val="009C3AF8"/>
    <w:rsid w:val="009C3CFB"/>
    <w:rsid w:val="009C3EB0"/>
    <w:rsid w:val="009C424A"/>
    <w:rsid w:val="009C4587"/>
    <w:rsid w:val="009C4605"/>
    <w:rsid w:val="009C4720"/>
    <w:rsid w:val="009C49D2"/>
    <w:rsid w:val="009C4E7D"/>
    <w:rsid w:val="009C4F63"/>
    <w:rsid w:val="009C511E"/>
    <w:rsid w:val="009C52F8"/>
    <w:rsid w:val="009C5473"/>
    <w:rsid w:val="009C5565"/>
    <w:rsid w:val="009C557B"/>
    <w:rsid w:val="009C5A3E"/>
    <w:rsid w:val="009C5A74"/>
    <w:rsid w:val="009C5C89"/>
    <w:rsid w:val="009C5DC6"/>
    <w:rsid w:val="009C632B"/>
    <w:rsid w:val="009C66FD"/>
    <w:rsid w:val="009C66FE"/>
    <w:rsid w:val="009C6A22"/>
    <w:rsid w:val="009C6CF6"/>
    <w:rsid w:val="009C6D16"/>
    <w:rsid w:val="009C6D2B"/>
    <w:rsid w:val="009C700D"/>
    <w:rsid w:val="009C70AD"/>
    <w:rsid w:val="009C70FB"/>
    <w:rsid w:val="009C7114"/>
    <w:rsid w:val="009C730D"/>
    <w:rsid w:val="009C7359"/>
    <w:rsid w:val="009C75B8"/>
    <w:rsid w:val="009C76FD"/>
    <w:rsid w:val="009C7805"/>
    <w:rsid w:val="009C7ABD"/>
    <w:rsid w:val="009C7D20"/>
    <w:rsid w:val="009C7DEE"/>
    <w:rsid w:val="009C7E7C"/>
    <w:rsid w:val="009D023C"/>
    <w:rsid w:val="009D03BB"/>
    <w:rsid w:val="009D0466"/>
    <w:rsid w:val="009D051D"/>
    <w:rsid w:val="009D09CD"/>
    <w:rsid w:val="009D0A2C"/>
    <w:rsid w:val="009D0A8E"/>
    <w:rsid w:val="009D0B29"/>
    <w:rsid w:val="009D0B36"/>
    <w:rsid w:val="009D0C4D"/>
    <w:rsid w:val="009D0C74"/>
    <w:rsid w:val="009D0CC5"/>
    <w:rsid w:val="009D0D37"/>
    <w:rsid w:val="009D0E34"/>
    <w:rsid w:val="009D0E91"/>
    <w:rsid w:val="009D101B"/>
    <w:rsid w:val="009D11A8"/>
    <w:rsid w:val="009D11F4"/>
    <w:rsid w:val="009D12F2"/>
    <w:rsid w:val="009D1502"/>
    <w:rsid w:val="009D1A6A"/>
    <w:rsid w:val="009D1AC7"/>
    <w:rsid w:val="009D1DBA"/>
    <w:rsid w:val="009D1EF5"/>
    <w:rsid w:val="009D1FF8"/>
    <w:rsid w:val="009D2063"/>
    <w:rsid w:val="009D2136"/>
    <w:rsid w:val="009D2184"/>
    <w:rsid w:val="009D221E"/>
    <w:rsid w:val="009D22B1"/>
    <w:rsid w:val="009D22BD"/>
    <w:rsid w:val="009D2539"/>
    <w:rsid w:val="009D27BF"/>
    <w:rsid w:val="009D2955"/>
    <w:rsid w:val="009D29AD"/>
    <w:rsid w:val="009D29D4"/>
    <w:rsid w:val="009D2A04"/>
    <w:rsid w:val="009D2D00"/>
    <w:rsid w:val="009D2D4B"/>
    <w:rsid w:val="009D2EB3"/>
    <w:rsid w:val="009D2F76"/>
    <w:rsid w:val="009D3048"/>
    <w:rsid w:val="009D3259"/>
    <w:rsid w:val="009D32B8"/>
    <w:rsid w:val="009D36C8"/>
    <w:rsid w:val="009D3772"/>
    <w:rsid w:val="009D3844"/>
    <w:rsid w:val="009D38F5"/>
    <w:rsid w:val="009D3975"/>
    <w:rsid w:val="009D3978"/>
    <w:rsid w:val="009D3A2A"/>
    <w:rsid w:val="009D3D37"/>
    <w:rsid w:val="009D3E7B"/>
    <w:rsid w:val="009D4117"/>
    <w:rsid w:val="009D42A4"/>
    <w:rsid w:val="009D42BC"/>
    <w:rsid w:val="009D4315"/>
    <w:rsid w:val="009D44A4"/>
    <w:rsid w:val="009D44C4"/>
    <w:rsid w:val="009D46FE"/>
    <w:rsid w:val="009D47CB"/>
    <w:rsid w:val="009D47E6"/>
    <w:rsid w:val="009D4902"/>
    <w:rsid w:val="009D4A33"/>
    <w:rsid w:val="009D4B3A"/>
    <w:rsid w:val="009D4B83"/>
    <w:rsid w:val="009D4F0A"/>
    <w:rsid w:val="009D525C"/>
    <w:rsid w:val="009D5714"/>
    <w:rsid w:val="009D57CC"/>
    <w:rsid w:val="009D5ACE"/>
    <w:rsid w:val="009D5BB2"/>
    <w:rsid w:val="009D5BEA"/>
    <w:rsid w:val="009D5D86"/>
    <w:rsid w:val="009D5E53"/>
    <w:rsid w:val="009D5FAC"/>
    <w:rsid w:val="009D6180"/>
    <w:rsid w:val="009D6388"/>
    <w:rsid w:val="009D63CA"/>
    <w:rsid w:val="009D63F0"/>
    <w:rsid w:val="009D6448"/>
    <w:rsid w:val="009D6563"/>
    <w:rsid w:val="009D669D"/>
    <w:rsid w:val="009D68FC"/>
    <w:rsid w:val="009D6A2C"/>
    <w:rsid w:val="009D6C6D"/>
    <w:rsid w:val="009D6D2E"/>
    <w:rsid w:val="009D6EB4"/>
    <w:rsid w:val="009D6EEC"/>
    <w:rsid w:val="009D6F7B"/>
    <w:rsid w:val="009D7142"/>
    <w:rsid w:val="009D7208"/>
    <w:rsid w:val="009D7223"/>
    <w:rsid w:val="009D7664"/>
    <w:rsid w:val="009D7691"/>
    <w:rsid w:val="009D77A1"/>
    <w:rsid w:val="009D77FF"/>
    <w:rsid w:val="009D7865"/>
    <w:rsid w:val="009D79E4"/>
    <w:rsid w:val="009D7B60"/>
    <w:rsid w:val="009D7CB2"/>
    <w:rsid w:val="009D7FD4"/>
    <w:rsid w:val="009E0159"/>
    <w:rsid w:val="009E03BF"/>
    <w:rsid w:val="009E03D5"/>
    <w:rsid w:val="009E045D"/>
    <w:rsid w:val="009E04A2"/>
    <w:rsid w:val="009E0502"/>
    <w:rsid w:val="009E0630"/>
    <w:rsid w:val="009E06EB"/>
    <w:rsid w:val="009E07E1"/>
    <w:rsid w:val="009E0820"/>
    <w:rsid w:val="009E0A7C"/>
    <w:rsid w:val="009E0AC7"/>
    <w:rsid w:val="009E0CC9"/>
    <w:rsid w:val="009E0FC8"/>
    <w:rsid w:val="009E1010"/>
    <w:rsid w:val="009E1294"/>
    <w:rsid w:val="009E12CA"/>
    <w:rsid w:val="009E1385"/>
    <w:rsid w:val="009E1538"/>
    <w:rsid w:val="009E156D"/>
    <w:rsid w:val="009E1680"/>
    <w:rsid w:val="009E172B"/>
    <w:rsid w:val="009E17BD"/>
    <w:rsid w:val="009E194E"/>
    <w:rsid w:val="009E1AC2"/>
    <w:rsid w:val="009E1BBC"/>
    <w:rsid w:val="009E1C13"/>
    <w:rsid w:val="009E1F61"/>
    <w:rsid w:val="009E2002"/>
    <w:rsid w:val="009E2106"/>
    <w:rsid w:val="009E239F"/>
    <w:rsid w:val="009E2405"/>
    <w:rsid w:val="009E247C"/>
    <w:rsid w:val="009E24EF"/>
    <w:rsid w:val="009E272D"/>
    <w:rsid w:val="009E2928"/>
    <w:rsid w:val="009E2972"/>
    <w:rsid w:val="009E2A17"/>
    <w:rsid w:val="009E2A3E"/>
    <w:rsid w:val="009E2BE1"/>
    <w:rsid w:val="009E2D57"/>
    <w:rsid w:val="009E313C"/>
    <w:rsid w:val="009E3566"/>
    <w:rsid w:val="009E35D4"/>
    <w:rsid w:val="009E35D8"/>
    <w:rsid w:val="009E3882"/>
    <w:rsid w:val="009E3932"/>
    <w:rsid w:val="009E3AA8"/>
    <w:rsid w:val="009E3D63"/>
    <w:rsid w:val="009E3D82"/>
    <w:rsid w:val="009E3E3D"/>
    <w:rsid w:val="009E3E64"/>
    <w:rsid w:val="009E3F4D"/>
    <w:rsid w:val="009E4135"/>
    <w:rsid w:val="009E4270"/>
    <w:rsid w:val="009E434D"/>
    <w:rsid w:val="009E446A"/>
    <w:rsid w:val="009E449A"/>
    <w:rsid w:val="009E471B"/>
    <w:rsid w:val="009E47EB"/>
    <w:rsid w:val="009E4BAE"/>
    <w:rsid w:val="009E4C1F"/>
    <w:rsid w:val="009E4CBF"/>
    <w:rsid w:val="009E4E35"/>
    <w:rsid w:val="009E5083"/>
    <w:rsid w:val="009E57C0"/>
    <w:rsid w:val="009E5A5C"/>
    <w:rsid w:val="009E5D0C"/>
    <w:rsid w:val="009E634B"/>
    <w:rsid w:val="009E6452"/>
    <w:rsid w:val="009E6515"/>
    <w:rsid w:val="009E6683"/>
    <w:rsid w:val="009E673A"/>
    <w:rsid w:val="009E6AAF"/>
    <w:rsid w:val="009E6C23"/>
    <w:rsid w:val="009E6CCD"/>
    <w:rsid w:val="009E6CFE"/>
    <w:rsid w:val="009E6EB9"/>
    <w:rsid w:val="009E6FDE"/>
    <w:rsid w:val="009E70BA"/>
    <w:rsid w:val="009E7138"/>
    <w:rsid w:val="009E73B3"/>
    <w:rsid w:val="009E7505"/>
    <w:rsid w:val="009E7544"/>
    <w:rsid w:val="009E754F"/>
    <w:rsid w:val="009E7609"/>
    <w:rsid w:val="009E7A8C"/>
    <w:rsid w:val="009E7CD7"/>
    <w:rsid w:val="009F0057"/>
    <w:rsid w:val="009F044D"/>
    <w:rsid w:val="009F050E"/>
    <w:rsid w:val="009F08D6"/>
    <w:rsid w:val="009F0953"/>
    <w:rsid w:val="009F09DC"/>
    <w:rsid w:val="009F0A00"/>
    <w:rsid w:val="009F0A18"/>
    <w:rsid w:val="009F0A30"/>
    <w:rsid w:val="009F0B8F"/>
    <w:rsid w:val="009F0E6C"/>
    <w:rsid w:val="009F105B"/>
    <w:rsid w:val="009F13DF"/>
    <w:rsid w:val="009F14BB"/>
    <w:rsid w:val="009F14BD"/>
    <w:rsid w:val="009F1523"/>
    <w:rsid w:val="009F1581"/>
    <w:rsid w:val="009F16CD"/>
    <w:rsid w:val="009F1798"/>
    <w:rsid w:val="009F1939"/>
    <w:rsid w:val="009F196C"/>
    <w:rsid w:val="009F1AA4"/>
    <w:rsid w:val="009F1AB3"/>
    <w:rsid w:val="009F1BB1"/>
    <w:rsid w:val="009F1C9A"/>
    <w:rsid w:val="009F1CDB"/>
    <w:rsid w:val="009F1D39"/>
    <w:rsid w:val="009F1DE5"/>
    <w:rsid w:val="009F1F6C"/>
    <w:rsid w:val="009F20DF"/>
    <w:rsid w:val="009F21F7"/>
    <w:rsid w:val="009F227C"/>
    <w:rsid w:val="009F227D"/>
    <w:rsid w:val="009F24A4"/>
    <w:rsid w:val="009F24C2"/>
    <w:rsid w:val="009F26A3"/>
    <w:rsid w:val="009F26B4"/>
    <w:rsid w:val="009F271A"/>
    <w:rsid w:val="009F2723"/>
    <w:rsid w:val="009F275A"/>
    <w:rsid w:val="009F283A"/>
    <w:rsid w:val="009F295F"/>
    <w:rsid w:val="009F2A4F"/>
    <w:rsid w:val="009F2DE8"/>
    <w:rsid w:val="009F2F5B"/>
    <w:rsid w:val="009F324F"/>
    <w:rsid w:val="009F355D"/>
    <w:rsid w:val="009F365D"/>
    <w:rsid w:val="009F3674"/>
    <w:rsid w:val="009F392F"/>
    <w:rsid w:val="009F3AAE"/>
    <w:rsid w:val="009F3AF4"/>
    <w:rsid w:val="009F3D30"/>
    <w:rsid w:val="009F3E2E"/>
    <w:rsid w:val="009F3E78"/>
    <w:rsid w:val="009F3FC8"/>
    <w:rsid w:val="009F400F"/>
    <w:rsid w:val="009F40D3"/>
    <w:rsid w:val="009F41AB"/>
    <w:rsid w:val="009F4541"/>
    <w:rsid w:val="009F4563"/>
    <w:rsid w:val="009F4695"/>
    <w:rsid w:val="009F470C"/>
    <w:rsid w:val="009F4869"/>
    <w:rsid w:val="009F4B61"/>
    <w:rsid w:val="009F4BC0"/>
    <w:rsid w:val="009F4BF6"/>
    <w:rsid w:val="009F4E3A"/>
    <w:rsid w:val="009F4EDF"/>
    <w:rsid w:val="009F4FBF"/>
    <w:rsid w:val="009F5286"/>
    <w:rsid w:val="009F52F2"/>
    <w:rsid w:val="009F546D"/>
    <w:rsid w:val="009F550F"/>
    <w:rsid w:val="009F55E2"/>
    <w:rsid w:val="009F56E8"/>
    <w:rsid w:val="009F583E"/>
    <w:rsid w:val="009F5DF4"/>
    <w:rsid w:val="009F6037"/>
    <w:rsid w:val="009F610C"/>
    <w:rsid w:val="009F6205"/>
    <w:rsid w:val="009F62F6"/>
    <w:rsid w:val="009F6655"/>
    <w:rsid w:val="009F6712"/>
    <w:rsid w:val="009F68A5"/>
    <w:rsid w:val="009F697F"/>
    <w:rsid w:val="009F69BA"/>
    <w:rsid w:val="009F69D3"/>
    <w:rsid w:val="009F6EEA"/>
    <w:rsid w:val="009F6F0D"/>
    <w:rsid w:val="009F7365"/>
    <w:rsid w:val="009F75FB"/>
    <w:rsid w:val="009F762E"/>
    <w:rsid w:val="009F7783"/>
    <w:rsid w:val="009F77DC"/>
    <w:rsid w:val="009F7851"/>
    <w:rsid w:val="009F7999"/>
    <w:rsid w:val="009F7CA5"/>
    <w:rsid w:val="009F7CBC"/>
    <w:rsid w:val="009F7DB7"/>
    <w:rsid w:val="009F7EC2"/>
    <w:rsid w:val="00A00431"/>
    <w:rsid w:val="00A005C4"/>
    <w:rsid w:val="00A00A7D"/>
    <w:rsid w:val="00A00AAC"/>
    <w:rsid w:val="00A00B02"/>
    <w:rsid w:val="00A00E75"/>
    <w:rsid w:val="00A00F3C"/>
    <w:rsid w:val="00A01213"/>
    <w:rsid w:val="00A012C8"/>
    <w:rsid w:val="00A01439"/>
    <w:rsid w:val="00A014AA"/>
    <w:rsid w:val="00A016E8"/>
    <w:rsid w:val="00A01828"/>
    <w:rsid w:val="00A01880"/>
    <w:rsid w:val="00A019D5"/>
    <w:rsid w:val="00A01BE7"/>
    <w:rsid w:val="00A01C06"/>
    <w:rsid w:val="00A01F6C"/>
    <w:rsid w:val="00A022F7"/>
    <w:rsid w:val="00A0281E"/>
    <w:rsid w:val="00A029C4"/>
    <w:rsid w:val="00A02B2F"/>
    <w:rsid w:val="00A02C4B"/>
    <w:rsid w:val="00A02CB7"/>
    <w:rsid w:val="00A02DB1"/>
    <w:rsid w:val="00A02E9D"/>
    <w:rsid w:val="00A0311C"/>
    <w:rsid w:val="00A031C2"/>
    <w:rsid w:val="00A037F5"/>
    <w:rsid w:val="00A0387E"/>
    <w:rsid w:val="00A03B0F"/>
    <w:rsid w:val="00A03B5F"/>
    <w:rsid w:val="00A03B93"/>
    <w:rsid w:val="00A03C3C"/>
    <w:rsid w:val="00A03D6A"/>
    <w:rsid w:val="00A03E08"/>
    <w:rsid w:val="00A03E98"/>
    <w:rsid w:val="00A03EC9"/>
    <w:rsid w:val="00A03FED"/>
    <w:rsid w:val="00A04099"/>
    <w:rsid w:val="00A04257"/>
    <w:rsid w:val="00A0433F"/>
    <w:rsid w:val="00A0438E"/>
    <w:rsid w:val="00A044A7"/>
    <w:rsid w:val="00A04685"/>
    <w:rsid w:val="00A04771"/>
    <w:rsid w:val="00A047DB"/>
    <w:rsid w:val="00A04930"/>
    <w:rsid w:val="00A049B1"/>
    <w:rsid w:val="00A04A78"/>
    <w:rsid w:val="00A04C1A"/>
    <w:rsid w:val="00A04D6A"/>
    <w:rsid w:val="00A04D7A"/>
    <w:rsid w:val="00A04D8E"/>
    <w:rsid w:val="00A04E94"/>
    <w:rsid w:val="00A050C0"/>
    <w:rsid w:val="00A05157"/>
    <w:rsid w:val="00A05224"/>
    <w:rsid w:val="00A0522D"/>
    <w:rsid w:val="00A0522F"/>
    <w:rsid w:val="00A052D4"/>
    <w:rsid w:val="00A05421"/>
    <w:rsid w:val="00A0543E"/>
    <w:rsid w:val="00A054EA"/>
    <w:rsid w:val="00A0566A"/>
    <w:rsid w:val="00A05ABE"/>
    <w:rsid w:val="00A05B31"/>
    <w:rsid w:val="00A05C01"/>
    <w:rsid w:val="00A05D76"/>
    <w:rsid w:val="00A05E40"/>
    <w:rsid w:val="00A05E80"/>
    <w:rsid w:val="00A05F81"/>
    <w:rsid w:val="00A0602D"/>
    <w:rsid w:val="00A061ED"/>
    <w:rsid w:val="00A0633D"/>
    <w:rsid w:val="00A06396"/>
    <w:rsid w:val="00A066EB"/>
    <w:rsid w:val="00A067D4"/>
    <w:rsid w:val="00A067E1"/>
    <w:rsid w:val="00A0683D"/>
    <w:rsid w:val="00A06BDF"/>
    <w:rsid w:val="00A06BF0"/>
    <w:rsid w:val="00A06CA9"/>
    <w:rsid w:val="00A06D91"/>
    <w:rsid w:val="00A06E64"/>
    <w:rsid w:val="00A06F8A"/>
    <w:rsid w:val="00A070C8"/>
    <w:rsid w:val="00A07800"/>
    <w:rsid w:val="00A0794C"/>
    <w:rsid w:val="00A079D8"/>
    <w:rsid w:val="00A07BFA"/>
    <w:rsid w:val="00A07E6A"/>
    <w:rsid w:val="00A10034"/>
    <w:rsid w:val="00A100A1"/>
    <w:rsid w:val="00A102C8"/>
    <w:rsid w:val="00A104DC"/>
    <w:rsid w:val="00A10544"/>
    <w:rsid w:val="00A10599"/>
    <w:rsid w:val="00A106F2"/>
    <w:rsid w:val="00A10A8A"/>
    <w:rsid w:val="00A10B37"/>
    <w:rsid w:val="00A10B62"/>
    <w:rsid w:val="00A10C28"/>
    <w:rsid w:val="00A10C8D"/>
    <w:rsid w:val="00A10DBE"/>
    <w:rsid w:val="00A10DE3"/>
    <w:rsid w:val="00A10EC2"/>
    <w:rsid w:val="00A10F16"/>
    <w:rsid w:val="00A11065"/>
    <w:rsid w:val="00A11332"/>
    <w:rsid w:val="00A113DE"/>
    <w:rsid w:val="00A11445"/>
    <w:rsid w:val="00A114A8"/>
    <w:rsid w:val="00A114E4"/>
    <w:rsid w:val="00A116F2"/>
    <w:rsid w:val="00A116F5"/>
    <w:rsid w:val="00A11860"/>
    <w:rsid w:val="00A119BC"/>
    <w:rsid w:val="00A11C9E"/>
    <w:rsid w:val="00A11E43"/>
    <w:rsid w:val="00A11EF6"/>
    <w:rsid w:val="00A11F9C"/>
    <w:rsid w:val="00A1210A"/>
    <w:rsid w:val="00A12146"/>
    <w:rsid w:val="00A12187"/>
    <w:rsid w:val="00A12200"/>
    <w:rsid w:val="00A122B3"/>
    <w:rsid w:val="00A122EE"/>
    <w:rsid w:val="00A123D9"/>
    <w:rsid w:val="00A12414"/>
    <w:rsid w:val="00A128C5"/>
    <w:rsid w:val="00A129DA"/>
    <w:rsid w:val="00A12AFF"/>
    <w:rsid w:val="00A12C24"/>
    <w:rsid w:val="00A12E21"/>
    <w:rsid w:val="00A12F3B"/>
    <w:rsid w:val="00A12F94"/>
    <w:rsid w:val="00A13076"/>
    <w:rsid w:val="00A1326C"/>
    <w:rsid w:val="00A132EF"/>
    <w:rsid w:val="00A132FF"/>
    <w:rsid w:val="00A13409"/>
    <w:rsid w:val="00A13554"/>
    <w:rsid w:val="00A1360D"/>
    <w:rsid w:val="00A1374E"/>
    <w:rsid w:val="00A13779"/>
    <w:rsid w:val="00A13D0B"/>
    <w:rsid w:val="00A13FBA"/>
    <w:rsid w:val="00A14150"/>
    <w:rsid w:val="00A143BC"/>
    <w:rsid w:val="00A147D8"/>
    <w:rsid w:val="00A148AC"/>
    <w:rsid w:val="00A14A12"/>
    <w:rsid w:val="00A14A48"/>
    <w:rsid w:val="00A14A65"/>
    <w:rsid w:val="00A14B89"/>
    <w:rsid w:val="00A14BCF"/>
    <w:rsid w:val="00A14C50"/>
    <w:rsid w:val="00A14C64"/>
    <w:rsid w:val="00A151C8"/>
    <w:rsid w:val="00A1536C"/>
    <w:rsid w:val="00A15580"/>
    <w:rsid w:val="00A155CA"/>
    <w:rsid w:val="00A1618B"/>
    <w:rsid w:val="00A161B2"/>
    <w:rsid w:val="00A161D4"/>
    <w:rsid w:val="00A162ED"/>
    <w:rsid w:val="00A163A8"/>
    <w:rsid w:val="00A16414"/>
    <w:rsid w:val="00A16484"/>
    <w:rsid w:val="00A16641"/>
    <w:rsid w:val="00A167DA"/>
    <w:rsid w:val="00A168B2"/>
    <w:rsid w:val="00A16913"/>
    <w:rsid w:val="00A169D0"/>
    <w:rsid w:val="00A16A2D"/>
    <w:rsid w:val="00A16BC1"/>
    <w:rsid w:val="00A16D8C"/>
    <w:rsid w:val="00A16E0B"/>
    <w:rsid w:val="00A174CA"/>
    <w:rsid w:val="00A176D9"/>
    <w:rsid w:val="00A176EF"/>
    <w:rsid w:val="00A178B0"/>
    <w:rsid w:val="00A178D4"/>
    <w:rsid w:val="00A1790A"/>
    <w:rsid w:val="00A17933"/>
    <w:rsid w:val="00A17A95"/>
    <w:rsid w:val="00A17DD3"/>
    <w:rsid w:val="00A17E95"/>
    <w:rsid w:val="00A2055E"/>
    <w:rsid w:val="00A2073D"/>
    <w:rsid w:val="00A2079D"/>
    <w:rsid w:val="00A20945"/>
    <w:rsid w:val="00A209F5"/>
    <w:rsid w:val="00A20AA3"/>
    <w:rsid w:val="00A20B64"/>
    <w:rsid w:val="00A20E44"/>
    <w:rsid w:val="00A211F7"/>
    <w:rsid w:val="00A2143C"/>
    <w:rsid w:val="00A21601"/>
    <w:rsid w:val="00A21720"/>
    <w:rsid w:val="00A218BA"/>
    <w:rsid w:val="00A21BE1"/>
    <w:rsid w:val="00A21C57"/>
    <w:rsid w:val="00A21FC4"/>
    <w:rsid w:val="00A221C0"/>
    <w:rsid w:val="00A223EA"/>
    <w:rsid w:val="00A2249F"/>
    <w:rsid w:val="00A2277F"/>
    <w:rsid w:val="00A227C3"/>
    <w:rsid w:val="00A2299D"/>
    <w:rsid w:val="00A229A2"/>
    <w:rsid w:val="00A22CAC"/>
    <w:rsid w:val="00A22D26"/>
    <w:rsid w:val="00A2330C"/>
    <w:rsid w:val="00A2356D"/>
    <w:rsid w:val="00A2371B"/>
    <w:rsid w:val="00A23801"/>
    <w:rsid w:val="00A23893"/>
    <w:rsid w:val="00A23936"/>
    <w:rsid w:val="00A23960"/>
    <w:rsid w:val="00A23BC0"/>
    <w:rsid w:val="00A23BF2"/>
    <w:rsid w:val="00A23D3B"/>
    <w:rsid w:val="00A2439A"/>
    <w:rsid w:val="00A24700"/>
    <w:rsid w:val="00A249A4"/>
    <w:rsid w:val="00A24A20"/>
    <w:rsid w:val="00A24B1F"/>
    <w:rsid w:val="00A24BE0"/>
    <w:rsid w:val="00A24E5C"/>
    <w:rsid w:val="00A24EBF"/>
    <w:rsid w:val="00A253B0"/>
    <w:rsid w:val="00A259AB"/>
    <w:rsid w:val="00A25A7C"/>
    <w:rsid w:val="00A25BEF"/>
    <w:rsid w:val="00A25D31"/>
    <w:rsid w:val="00A25E44"/>
    <w:rsid w:val="00A25E81"/>
    <w:rsid w:val="00A25E94"/>
    <w:rsid w:val="00A260BF"/>
    <w:rsid w:val="00A26248"/>
    <w:rsid w:val="00A266D2"/>
    <w:rsid w:val="00A26801"/>
    <w:rsid w:val="00A26ACE"/>
    <w:rsid w:val="00A26BC3"/>
    <w:rsid w:val="00A26E5F"/>
    <w:rsid w:val="00A26F82"/>
    <w:rsid w:val="00A26FBF"/>
    <w:rsid w:val="00A270FA"/>
    <w:rsid w:val="00A2722B"/>
    <w:rsid w:val="00A272D5"/>
    <w:rsid w:val="00A27371"/>
    <w:rsid w:val="00A27887"/>
    <w:rsid w:val="00A27BA4"/>
    <w:rsid w:val="00A27C25"/>
    <w:rsid w:val="00A27C38"/>
    <w:rsid w:val="00A27DA4"/>
    <w:rsid w:val="00A27E8C"/>
    <w:rsid w:val="00A27E97"/>
    <w:rsid w:val="00A27EE8"/>
    <w:rsid w:val="00A27F13"/>
    <w:rsid w:val="00A30029"/>
    <w:rsid w:val="00A3021E"/>
    <w:rsid w:val="00A30272"/>
    <w:rsid w:val="00A303F0"/>
    <w:rsid w:val="00A3040D"/>
    <w:rsid w:val="00A3042A"/>
    <w:rsid w:val="00A30561"/>
    <w:rsid w:val="00A30737"/>
    <w:rsid w:val="00A30799"/>
    <w:rsid w:val="00A30860"/>
    <w:rsid w:val="00A30AB9"/>
    <w:rsid w:val="00A30BFE"/>
    <w:rsid w:val="00A30E02"/>
    <w:rsid w:val="00A30ED0"/>
    <w:rsid w:val="00A31245"/>
    <w:rsid w:val="00A312AF"/>
    <w:rsid w:val="00A312B5"/>
    <w:rsid w:val="00A31352"/>
    <w:rsid w:val="00A313A8"/>
    <w:rsid w:val="00A31505"/>
    <w:rsid w:val="00A31506"/>
    <w:rsid w:val="00A31537"/>
    <w:rsid w:val="00A31635"/>
    <w:rsid w:val="00A318C8"/>
    <w:rsid w:val="00A3194D"/>
    <w:rsid w:val="00A31DED"/>
    <w:rsid w:val="00A31E40"/>
    <w:rsid w:val="00A31E82"/>
    <w:rsid w:val="00A31FC4"/>
    <w:rsid w:val="00A320FA"/>
    <w:rsid w:val="00A322E0"/>
    <w:rsid w:val="00A3241C"/>
    <w:rsid w:val="00A324DE"/>
    <w:rsid w:val="00A3273C"/>
    <w:rsid w:val="00A327EA"/>
    <w:rsid w:val="00A3284C"/>
    <w:rsid w:val="00A3284E"/>
    <w:rsid w:val="00A32870"/>
    <w:rsid w:val="00A32C94"/>
    <w:rsid w:val="00A32D10"/>
    <w:rsid w:val="00A32E91"/>
    <w:rsid w:val="00A330FE"/>
    <w:rsid w:val="00A3347D"/>
    <w:rsid w:val="00A338C9"/>
    <w:rsid w:val="00A33915"/>
    <w:rsid w:val="00A33A52"/>
    <w:rsid w:val="00A33A6B"/>
    <w:rsid w:val="00A33C1A"/>
    <w:rsid w:val="00A340C4"/>
    <w:rsid w:val="00A341A4"/>
    <w:rsid w:val="00A34495"/>
    <w:rsid w:val="00A34756"/>
    <w:rsid w:val="00A349D5"/>
    <w:rsid w:val="00A34AC3"/>
    <w:rsid w:val="00A34E52"/>
    <w:rsid w:val="00A34F91"/>
    <w:rsid w:val="00A35001"/>
    <w:rsid w:val="00A3511E"/>
    <w:rsid w:val="00A3519E"/>
    <w:rsid w:val="00A35599"/>
    <w:rsid w:val="00A35813"/>
    <w:rsid w:val="00A35843"/>
    <w:rsid w:val="00A358D7"/>
    <w:rsid w:val="00A3595D"/>
    <w:rsid w:val="00A35A09"/>
    <w:rsid w:val="00A35BA9"/>
    <w:rsid w:val="00A35C68"/>
    <w:rsid w:val="00A35C7C"/>
    <w:rsid w:val="00A35D2E"/>
    <w:rsid w:val="00A35D4B"/>
    <w:rsid w:val="00A35DDE"/>
    <w:rsid w:val="00A35E4D"/>
    <w:rsid w:val="00A36104"/>
    <w:rsid w:val="00A363EA"/>
    <w:rsid w:val="00A36608"/>
    <w:rsid w:val="00A3677E"/>
    <w:rsid w:val="00A367A7"/>
    <w:rsid w:val="00A367A8"/>
    <w:rsid w:val="00A367B3"/>
    <w:rsid w:val="00A369BA"/>
    <w:rsid w:val="00A36AAD"/>
    <w:rsid w:val="00A36B05"/>
    <w:rsid w:val="00A36FCF"/>
    <w:rsid w:val="00A37081"/>
    <w:rsid w:val="00A372CC"/>
    <w:rsid w:val="00A3731C"/>
    <w:rsid w:val="00A37436"/>
    <w:rsid w:val="00A37558"/>
    <w:rsid w:val="00A37650"/>
    <w:rsid w:val="00A37746"/>
    <w:rsid w:val="00A3797F"/>
    <w:rsid w:val="00A37AD8"/>
    <w:rsid w:val="00A37BFF"/>
    <w:rsid w:val="00A37C63"/>
    <w:rsid w:val="00A37CE4"/>
    <w:rsid w:val="00A37D59"/>
    <w:rsid w:val="00A37D7E"/>
    <w:rsid w:val="00A37DA0"/>
    <w:rsid w:val="00A37DD0"/>
    <w:rsid w:val="00A37DE4"/>
    <w:rsid w:val="00A37E52"/>
    <w:rsid w:val="00A4002F"/>
    <w:rsid w:val="00A400FE"/>
    <w:rsid w:val="00A401C7"/>
    <w:rsid w:val="00A403B1"/>
    <w:rsid w:val="00A4042E"/>
    <w:rsid w:val="00A40550"/>
    <w:rsid w:val="00A406CB"/>
    <w:rsid w:val="00A408BC"/>
    <w:rsid w:val="00A40BBE"/>
    <w:rsid w:val="00A40DB4"/>
    <w:rsid w:val="00A40FB3"/>
    <w:rsid w:val="00A41013"/>
    <w:rsid w:val="00A41125"/>
    <w:rsid w:val="00A4115B"/>
    <w:rsid w:val="00A411EA"/>
    <w:rsid w:val="00A41214"/>
    <w:rsid w:val="00A4132B"/>
    <w:rsid w:val="00A413B5"/>
    <w:rsid w:val="00A415EE"/>
    <w:rsid w:val="00A41785"/>
    <w:rsid w:val="00A417E1"/>
    <w:rsid w:val="00A41971"/>
    <w:rsid w:val="00A41B03"/>
    <w:rsid w:val="00A41B75"/>
    <w:rsid w:val="00A41BE6"/>
    <w:rsid w:val="00A41DC9"/>
    <w:rsid w:val="00A41E1A"/>
    <w:rsid w:val="00A420BC"/>
    <w:rsid w:val="00A42127"/>
    <w:rsid w:val="00A421BE"/>
    <w:rsid w:val="00A4245A"/>
    <w:rsid w:val="00A42487"/>
    <w:rsid w:val="00A427F3"/>
    <w:rsid w:val="00A42A38"/>
    <w:rsid w:val="00A42BE0"/>
    <w:rsid w:val="00A42F08"/>
    <w:rsid w:val="00A433F5"/>
    <w:rsid w:val="00A4343D"/>
    <w:rsid w:val="00A43474"/>
    <w:rsid w:val="00A43548"/>
    <w:rsid w:val="00A4368E"/>
    <w:rsid w:val="00A4388D"/>
    <w:rsid w:val="00A438EE"/>
    <w:rsid w:val="00A4390B"/>
    <w:rsid w:val="00A43C55"/>
    <w:rsid w:val="00A43CAD"/>
    <w:rsid w:val="00A43DA5"/>
    <w:rsid w:val="00A43FA7"/>
    <w:rsid w:val="00A44056"/>
    <w:rsid w:val="00A4407C"/>
    <w:rsid w:val="00A44191"/>
    <w:rsid w:val="00A441C9"/>
    <w:rsid w:val="00A441EF"/>
    <w:rsid w:val="00A4431D"/>
    <w:rsid w:val="00A443B3"/>
    <w:rsid w:val="00A44775"/>
    <w:rsid w:val="00A44A3A"/>
    <w:rsid w:val="00A44BA5"/>
    <w:rsid w:val="00A44CBE"/>
    <w:rsid w:val="00A44CEE"/>
    <w:rsid w:val="00A44E6C"/>
    <w:rsid w:val="00A44FFA"/>
    <w:rsid w:val="00A4519C"/>
    <w:rsid w:val="00A45530"/>
    <w:rsid w:val="00A45847"/>
    <w:rsid w:val="00A458C9"/>
    <w:rsid w:val="00A45A99"/>
    <w:rsid w:val="00A45AF3"/>
    <w:rsid w:val="00A45D2E"/>
    <w:rsid w:val="00A46044"/>
    <w:rsid w:val="00A46471"/>
    <w:rsid w:val="00A4653C"/>
    <w:rsid w:val="00A46C5F"/>
    <w:rsid w:val="00A46DE8"/>
    <w:rsid w:val="00A46E93"/>
    <w:rsid w:val="00A47069"/>
    <w:rsid w:val="00A4722B"/>
    <w:rsid w:val="00A47314"/>
    <w:rsid w:val="00A47388"/>
    <w:rsid w:val="00A474D8"/>
    <w:rsid w:val="00A47589"/>
    <w:rsid w:val="00A475EB"/>
    <w:rsid w:val="00A47C9A"/>
    <w:rsid w:val="00A47CBB"/>
    <w:rsid w:val="00A47D6E"/>
    <w:rsid w:val="00A47F0A"/>
    <w:rsid w:val="00A47F57"/>
    <w:rsid w:val="00A47F7A"/>
    <w:rsid w:val="00A47FFB"/>
    <w:rsid w:val="00A500E4"/>
    <w:rsid w:val="00A500E5"/>
    <w:rsid w:val="00A50424"/>
    <w:rsid w:val="00A50874"/>
    <w:rsid w:val="00A5088D"/>
    <w:rsid w:val="00A5095A"/>
    <w:rsid w:val="00A5096A"/>
    <w:rsid w:val="00A5096D"/>
    <w:rsid w:val="00A509A0"/>
    <w:rsid w:val="00A50A8C"/>
    <w:rsid w:val="00A50C22"/>
    <w:rsid w:val="00A50D58"/>
    <w:rsid w:val="00A50D7D"/>
    <w:rsid w:val="00A50DED"/>
    <w:rsid w:val="00A5113D"/>
    <w:rsid w:val="00A511F3"/>
    <w:rsid w:val="00A51208"/>
    <w:rsid w:val="00A514FC"/>
    <w:rsid w:val="00A518AE"/>
    <w:rsid w:val="00A51D15"/>
    <w:rsid w:val="00A51D1F"/>
    <w:rsid w:val="00A51E32"/>
    <w:rsid w:val="00A51E8B"/>
    <w:rsid w:val="00A521E0"/>
    <w:rsid w:val="00A52591"/>
    <w:rsid w:val="00A5264F"/>
    <w:rsid w:val="00A526C0"/>
    <w:rsid w:val="00A52771"/>
    <w:rsid w:val="00A52779"/>
    <w:rsid w:val="00A52800"/>
    <w:rsid w:val="00A528DD"/>
    <w:rsid w:val="00A52B68"/>
    <w:rsid w:val="00A52B79"/>
    <w:rsid w:val="00A52D8F"/>
    <w:rsid w:val="00A52E52"/>
    <w:rsid w:val="00A531E2"/>
    <w:rsid w:val="00A53236"/>
    <w:rsid w:val="00A532DE"/>
    <w:rsid w:val="00A5332A"/>
    <w:rsid w:val="00A53506"/>
    <w:rsid w:val="00A53862"/>
    <w:rsid w:val="00A53903"/>
    <w:rsid w:val="00A53AC0"/>
    <w:rsid w:val="00A53C98"/>
    <w:rsid w:val="00A53D9D"/>
    <w:rsid w:val="00A53DD3"/>
    <w:rsid w:val="00A540A4"/>
    <w:rsid w:val="00A541A9"/>
    <w:rsid w:val="00A541CD"/>
    <w:rsid w:val="00A54272"/>
    <w:rsid w:val="00A5435C"/>
    <w:rsid w:val="00A544AF"/>
    <w:rsid w:val="00A54804"/>
    <w:rsid w:val="00A548AD"/>
    <w:rsid w:val="00A548DC"/>
    <w:rsid w:val="00A54941"/>
    <w:rsid w:val="00A54A7A"/>
    <w:rsid w:val="00A54D8F"/>
    <w:rsid w:val="00A54E02"/>
    <w:rsid w:val="00A55376"/>
    <w:rsid w:val="00A55418"/>
    <w:rsid w:val="00A55638"/>
    <w:rsid w:val="00A55664"/>
    <w:rsid w:val="00A5581C"/>
    <w:rsid w:val="00A55931"/>
    <w:rsid w:val="00A55A37"/>
    <w:rsid w:val="00A55BD1"/>
    <w:rsid w:val="00A55D7D"/>
    <w:rsid w:val="00A55EAC"/>
    <w:rsid w:val="00A55FF3"/>
    <w:rsid w:val="00A561F3"/>
    <w:rsid w:val="00A562B3"/>
    <w:rsid w:val="00A5642D"/>
    <w:rsid w:val="00A56888"/>
    <w:rsid w:val="00A56894"/>
    <w:rsid w:val="00A568BB"/>
    <w:rsid w:val="00A56A12"/>
    <w:rsid w:val="00A56B1F"/>
    <w:rsid w:val="00A56BD3"/>
    <w:rsid w:val="00A56CB8"/>
    <w:rsid w:val="00A57203"/>
    <w:rsid w:val="00A57264"/>
    <w:rsid w:val="00A578E6"/>
    <w:rsid w:val="00A579AB"/>
    <w:rsid w:val="00A57DBD"/>
    <w:rsid w:val="00A57EAB"/>
    <w:rsid w:val="00A57F36"/>
    <w:rsid w:val="00A6012D"/>
    <w:rsid w:val="00A6037B"/>
    <w:rsid w:val="00A603B1"/>
    <w:rsid w:val="00A60609"/>
    <w:rsid w:val="00A607B5"/>
    <w:rsid w:val="00A607C7"/>
    <w:rsid w:val="00A60854"/>
    <w:rsid w:val="00A60E18"/>
    <w:rsid w:val="00A60E34"/>
    <w:rsid w:val="00A60FC6"/>
    <w:rsid w:val="00A61144"/>
    <w:rsid w:val="00A6122F"/>
    <w:rsid w:val="00A6123B"/>
    <w:rsid w:val="00A613F2"/>
    <w:rsid w:val="00A6140B"/>
    <w:rsid w:val="00A61449"/>
    <w:rsid w:val="00A61462"/>
    <w:rsid w:val="00A614F8"/>
    <w:rsid w:val="00A615C5"/>
    <w:rsid w:val="00A61740"/>
    <w:rsid w:val="00A61828"/>
    <w:rsid w:val="00A618A8"/>
    <w:rsid w:val="00A61AD2"/>
    <w:rsid w:val="00A61D4E"/>
    <w:rsid w:val="00A61D63"/>
    <w:rsid w:val="00A61D8E"/>
    <w:rsid w:val="00A61E7B"/>
    <w:rsid w:val="00A61FE8"/>
    <w:rsid w:val="00A62089"/>
    <w:rsid w:val="00A62174"/>
    <w:rsid w:val="00A62304"/>
    <w:rsid w:val="00A62576"/>
    <w:rsid w:val="00A627D0"/>
    <w:rsid w:val="00A62AD1"/>
    <w:rsid w:val="00A62B6A"/>
    <w:rsid w:val="00A62D23"/>
    <w:rsid w:val="00A62D4E"/>
    <w:rsid w:val="00A62D8D"/>
    <w:rsid w:val="00A63129"/>
    <w:rsid w:val="00A6338E"/>
    <w:rsid w:val="00A63408"/>
    <w:rsid w:val="00A63594"/>
    <w:rsid w:val="00A636F5"/>
    <w:rsid w:val="00A638C9"/>
    <w:rsid w:val="00A6391A"/>
    <w:rsid w:val="00A63A3D"/>
    <w:rsid w:val="00A63B65"/>
    <w:rsid w:val="00A63B6E"/>
    <w:rsid w:val="00A63C01"/>
    <w:rsid w:val="00A63C47"/>
    <w:rsid w:val="00A63D0D"/>
    <w:rsid w:val="00A63FFC"/>
    <w:rsid w:val="00A642A8"/>
    <w:rsid w:val="00A643E9"/>
    <w:rsid w:val="00A644C3"/>
    <w:rsid w:val="00A647A0"/>
    <w:rsid w:val="00A64876"/>
    <w:rsid w:val="00A6487F"/>
    <w:rsid w:val="00A64A32"/>
    <w:rsid w:val="00A64A83"/>
    <w:rsid w:val="00A64DCF"/>
    <w:rsid w:val="00A64F54"/>
    <w:rsid w:val="00A65114"/>
    <w:rsid w:val="00A65688"/>
    <w:rsid w:val="00A658B1"/>
    <w:rsid w:val="00A65A41"/>
    <w:rsid w:val="00A65BC3"/>
    <w:rsid w:val="00A65C3A"/>
    <w:rsid w:val="00A65C4E"/>
    <w:rsid w:val="00A65CEB"/>
    <w:rsid w:val="00A65D8F"/>
    <w:rsid w:val="00A6613D"/>
    <w:rsid w:val="00A661BB"/>
    <w:rsid w:val="00A662FB"/>
    <w:rsid w:val="00A6649C"/>
    <w:rsid w:val="00A664CD"/>
    <w:rsid w:val="00A66725"/>
    <w:rsid w:val="00A6684C"/>
    <w:rsid w:val="00A6690D"/>
    <w:rsid w:val="00A669F7"/>
    <w:rsid w:val="00A66BF3"/>
    <w:rsid w:val="00A66C47"/>
    <w:rsid w:val="00A66DE5"/>
    <w:rsid w:val="00A66F1B"/>
    <w:rsid w:val="00A6707B"/>
    <w:rsid w:val="00A6711A"/>
    <w:rsid w:val="00A677FA"/>
    <w:rsid w:val="00A679B7"/>
    <w:rsid w:val="00A67A28"/>
    <w:rsid w:val="00A70145"/>
    <w:rsid w:val="00A7053D"/>
    <w:rsid w:val="00A7082B"/>
    <w:rsid w:val="00A70949"/>
    <w:rsid w:val="00A709B9"/>
    <w:rsid w:val="00A709C3"/>
    <w:rsid w:val="00A70D3C"/>
    <w:rsid w:val="00A70DA1"/>
    <w:rsid w:val="00A71000"/>
    <w:rsid w:val="00A710DA"/>
    <w:rsid w:val="00A71153"/>
    <w:rsid w:val="00A71180"/>
    <w:rsid w:val="00A7141E"/>
    <w:rsid w:val="00A71680"/>
    <w:rsid w:val="00A717A3"/>
    <w:rsid w:val="00A71814"/>
    <w:rsid w:val="00A7190F"/>
    <w:rsid w:val="00A71A4D"/>
    <w:rsid w:val="00A71B98"/>
    <w:rsid w:val="00A71BC2"/>
    <w:rsid w:val="00A71C08"/>
    <w:rsid w:val="00A71C47"/>
    <w:rsid w:val="00A71C78"/>
    <w:rsid w:val="00A71E15"/>
    <w:rsid w:val="00A71EC8"/>
    <w:rsid w:val="00A71EDE"/>
    <w:rsid w:val="00A7201F"/>
    <w:rsid w:val="00A721B9"/>
    <w:rsid w:val="00A722EF"/>
    <w:rsid w:val="00A72551"/>
    <w:rsid w:val="00A726A3"/>
    <w:rsid w:val="00A726F0"/>
    <w:rsid w:val="00A7284D"/>
    <w:rsid w:val="00A728C4"/>
    <w:rsid w:val="00A7298E"/>
    <w:rsid w:val="00A72C60"/>
    <w:rsid w:val="00A72CD7"/>
    <w:rsid w:val="00A72D4B"/>
    <w:rsid w:val="00A72F42"/>
    <w:rsid w:val="00A7307F"/>
    <w:rsid w:val="00A7310C"/>
    <w:rsid w:val="00A731B4"/>
    <w:rsid w:val="00A734EB"/>
    <w:rsid w:val="00A73547"/>
    <w:rsid w:val="00A73598"/>
    <w:rsid w:val="00A73A65"/>
    <w:rsid w:val="00A73ABF"/>
    <w:rsid w:val="00A73DB8"/>
    <w:rsid w:val="00A740DC"/>
    <w:rsid w:val="00A745AE"/>
    <w:rsid w:val="00A74745"/>
    <w:rsid w:val="00A747A4"/>
    <w:rsid w:val="00A747E9"/>
    <w:rsid w:val="00A74E0A"/>
    <w:rsid w:val="00A74E28"/>
    <w:rsid w:val="00A74E6D"/>
    <w:rsid w:val="00A75029"/>
    <w:rsid w:val="00A751CB"/>
    <w:rsid w:val="00A754AD"/>
    <w:rsid w:val="00A757E8"/>
    <w:rsid w:val="00A75AA7"/>
    <w:rsid w:val="00A75C06"/>
    <w:rsid w:val="00A75C52"/>
    <w:rsid w:val="00A75CD6"/>
    <w:rsid w:val="00A75FA5"/>
    <w:rsid w:val="00A760DD"/>
    <w:rsid w:val="00A7618A"/>
    <w:rsid w:val="00A7623B"/>
    <w:rsid w:val="00A762D6"/>
    <w:rsid w:val="00A764DF"/>
    <w:rsid w:val="00A76853"/>
    <w:rsid w:val="00A76943"/>
    <w:rsid w:val="00A769E1"/>
    <w:rsid w:val="00A76B87"/>
    <w:rsid w:val="00A76BEB"/>
    <w:rsid w:val="00A76E08"/>
    <w:rsid w:val="00A76F81"/>
    <w:rsid w:val="00A76FC5"/>
    <w:rsid w:val="00A76FED"/>
    <w:rsid w:val="00A77075"/>
    <w:rsid w:val="00A77231"/>
    <w:rsid w:val="00A77385"/>
    <w:rsid w:val="00A773F9"/>
    <w:rsid w:val="00A773FB"/>
    <w:rsid w:val="00A77469"/>
    <w:rsid w:val="00A775EF"/>
    <w:rsid w:val="00A776E2"/>
    <w:rsid w:val="00A7784F"/>
    <w:rsid w:val="00A77953"/>
    <w:rsid w:val="00A77AD8"/>
    <w:rsid w:val="00A77B6E"/>
    <w:rsid w:val="00A77B9A"/>
    <w:rsid w:val="00A77BDB"/>
    <w:rsid w:val="00A77C0C"/>
    <w:rsid w:val="00A77E3E"/>
    <w:rsid w:val="00A77EC1"/>
    <w:rsid w:val="00A77FE0"/>
    <w:rsid w:val="00A80664"/>
    <w:rsid w:val="00A80C67"/>
    <w:rsid w:val="00A80E2B"/>
    <w:rsid w:val="00A80F69"/>
    <w:rsid w:val="00A80FC5"/>
    <w:rsid w:val="00A81133"/>
    <w:rsid w:val="00A813C5"/>
    <w:rsid w:val="00A81744"/>
    <w:rsid w:val="00A817F6"/>
    <w:rsid w:val="00A818AF"/>
    <w:rsid w:val="00A81971"/>
    <w:rsid w:val="00A81A3D"/>
    <w:rsid w:val="00A81C8A"/>
    <w:rsid w:val="00A81D8D"/>
    <w:rsid w:val="00A81EB8"/>
    <w:rsid w:val="00A81F33"/>
    <w:rsid w:val="00A81FA6"/>
    <w:rsid w:val="00A82367"/>
    <w:rsid w:val="00A82398"/>
    <w:rsid w:val="00A82494"/>
    <w:rsid w:val="00A82636"/>
    <w:rsid w:val="00A826B6"/>
    <w:rsid w:val="00A82819"/>
    <w:rsid w:val="00A82869"/>
    <w:rsid w:val="00A82920"/>
    <w:rsid w:val="00A82BD8"/>
    <w:rsid w:val="00A82E48"/>
    <w:rsid w:val="00A82ECA"/>
    <w:rsid w:val="00A82F0A"/>
    <w:rsid w:val="00A8307A"/>
    <w:rsid w:val="00A830DA"/>
    <w:rsid w:val="00A8310A"/>
    <w:rsid w:val="00A833CB"/>
    <w:rsid w:val="00A83542"/>
    <w:rsid w:val="00A835DB"/>
    <w:rsid w:val="00A8362F"/>
    <w:rsid w:val="00A83FBB"/>
    <w:rsid w:val="00A84001"/>
    <w:rsid w:val="00A841DF"/>
    <w:rsid w:val="00A84687"/>
    <w:rsid w:val="00A84915"/>
    <w:rsid w:val="00A84DE0"/>
    <w:rsid w:val="00A84F60"/>
    <w:rsid w:val="00A84F73"/>
    <w:rsid w:val="00A853AE"/>
    <w:rsid w:val="00A85417"/>
    <w:rsid w:val="00A8561B"/>
    <w:rsid w:val="00A857DD"/>
    <w:rsid w:val="00A8607E"/>
    <w:rsid w:val="00A8621F"/>
    <w:rsid w:val="00A86222"/>
    <w:rsid w:val="00A864A7"/>
    <w:rsid w:val="00A86720"/>
    <w:rsid w:val="00A86998"/>
    <w:rsid w:val="00A86CDF"/>
    <w:rsid w:val="00A86E02"/>
    <w:rsid w:val="00A86E38"/>
    <w:rsid w:val="00A86E74"/>
    <w:rsid w:val="00A870C1"/>
    <w:rsid w:val="00A8713B"/>
    <w:rsid w:val="00A872B4"/>
    <w:rsid w:val="00A874D3"/>
    <w:rsid w:val="00A87506"/>
    <w:rsid w:val="00A87951"/>
    <w:rsid w:val="00A8799E"/>
    <w:rsid w:val="00A879A1"/>
    <w:rsid w:val="00A87BF2"/>
    <w:rsid w:val="00A87C2D"/>
    <w:rsid w:val="00A87C7A"/>
    <w:rsid w:val="00A87C7B"/>
    <w:rsid w:val="00A90119"/>
    <w:rsid w:val="00A90147"/>
    <w:rsid w:val="00A9015C"/>
    <w:rsid w:val="00A9025F"/>
    <w:rsid w:val="00A903EA"/>
    <w:rsid w:val="00A903F8"/>
    <w:rsid w:val="00A90899"/>
    <w:rsid w:val="00A908DD"/>
    <w:rsid w:val="00A908E2"/>
    <w:rsid w:val="00A90930"/>
    <w:rsid w:val="00A90A85"/>
    <w:rsid w:val="00A90B0A"/>
    <w:rsid w:val="00A90CB5"/>
    <w:rsid w:val="00A90CE6"/>
    <w:rsid w:val="00A90E50"/>
    <w:rsid w:val="00A90F4E"/>
    <w:rsid w:val="00A90F8D"/>
    <w:rsid w:val="00A90FA9"/>
    <w:rsid w:val="00A91085"/>
    <w:rsid w:val="00A914E5"/>
    <w:rsid w:val="00A91585"/>
    <w:rsid w:val="00A91697"/>
    <w:rsid w:val="00A91A25"/>
    <w:rsid w:val="00A91A40"/>
    <w:rsid w:val="00A91B1C"/>
    <w:rsid w:val="00A91CBE"/>
    <w:rsid w:val="00A91CF8"/>
    <w:rsid w:val="00A91D1A"/>
    <w:rsid w:val="00A91D47"/>
    <w:rsid w:val="00A91FD0"/>
    <w:rsid w:val="00A92056"/>
    <w:rsid w:val="00A92081"/>
    <w:rsid w:val="00A92119"/>
    <w:rsid w:val="00A9249B"/>
    <w:rsid w:val="00A92655"/>
    <w:rsid w:val="00A9268C"/>
    <w:rsid w:val="00A929CF"/>
    <w:rsid w:val="00A92B13"/>
    <w:rsid w:val="00A92F40"/>
    <w:rsid w:val="00A93024"/>
    <w:rsid w:val="00A930FC"/>
    <w:rsid w:val="00A93104"/>
    <w:rsid w:val="00A934C9"/>
    <w:rsid w:val="00A93712"/>
    <w:rsid w:val="00A938BE"/>
    <w:rsid w:val="00A938F1"/>
    <w:rsid w:val="00A93A17"/>
    <w:rsid w:val="00A93A8E"/>
    <w:rsid w:val="00A93A92"/>
    <w:rsid w:val="00A93C9E"/>
    <w:rsid w:val="00A93DD5"/>
    <w:rsid w:val="00A93E15"/>
    <w:rsid w:val="00A93E35"/>
    <w:rsid w:val="00A93E9E"/>
    <w:rsid w:val="00A93F7E"/>
    <w:rsid w:val="00A9431F"/>
    <w:rsid w:val="00A9436A"/>
    <w:rsid w:val="00A945B0"/>
    <w:rsid w:val="00A949D2"/>
    <w:rsid w:val="00A94A52"/>
    <w:rsid w:val="00A94AA5"/>
    <w:rsid w:val="00A94B15"/>
    <w:rsid w:val="00A94C44"/>
    <w:rsid w:val="00A94CBE"/>
    <w:rsid w:val="00A94CCC"/>
    <w:rsid w:val="00A94D33"/>
    <w:rsid w:val="00A94DBC"/>
    <w:rsid w:val="00A94F36"/>
    <w:rsid w:val="00A950A4"/>
    <w:rsid w:val="00A950B5"/>
    <w:rsid w:val="00A950E0"/>
    <w:rsid w:val="00A95628"/>
    <w:rsid w:val="00A95648"/>
    <w:rsid w:val="00A958E3"/>
    <w:rsid w:val="00A95906"/>
    <w:rsid w:val="00A95921"/>
    <w:rsid w:val="00A95985"/>
    <w:rsid w:val="00A95B4A"/>
    <w:rsid w:val="00A95F32"/>
    <w:rsid w:val="00A9609E"/>
    <w:rsid w:val="00A96199"/>
    <w:rsid w:val="00A9627B"/>
    <w:rsid w:val="00A9627E"/>
    <w:rsid w:val="00A963ED"/>
    <w:rsid w:val="00A965C7"/>
    <w:rsid w:val="00A965CC"/>
    <w:rsid w:val="00A96A1B"/>
    <w:rsid w:val="00A96AB9"/>
    <w:rsid w:val="00A96AF2"/>
    <w:rsid w:val="00A96AF8"/>
    <w:rsid w:val="00A97030"/>
    <w:rsid w:val="00A9710F"/>
    <w:rsid w:val="00A97535"/>
    <w:rsid w:val="00A976B1"/>
    <w:rsid w:val="00A97794"/>
    <w:rsid w:val="00A977C7"/>
    <w:rsid w:val="00A97B7C"/>
    <w:rsid w:val="00A97C8D"/>
    <w:rsid w:val="00A97CDF"/>
    <w:rsid w:val="00AA0189"/>
    <w:rsid w:val="00AA02B9"/>
    <w:rsid w:val="00AA035D"/>
    <w:rsid w:val="00AA043F"/>
    <w:rsid w:val="00AA05D1"/>
    <w:rsid w:val="00AA0940"/>
    <w:rsid w:val="00AA0BBE"/>
    <w:rsid w:val="00AA0C16"/>
    <w:rsid w:val="00AA0C3A"/>
    <w:rsid w:val="00AA0DCB"/>
    <w:rsid w:val="00AA11C6"/>
    <w:rsid w:val="00AA13CE"/>
    <w:rsid w:val="00AA151A"/>
    <w:rsid w:val="00AA1555"/>
    <w:rsid w:val="00AA15D2"/>
    <w:rsid w:val="00AA1621"/>
    <w:rsid w:val="00AA164F"/>
    <w:rsid w:val="00AA1697"/>
    <w:rsid w:val="00AA1A5D"/>
    <w:rsid w:val="00AA1AC5"/>
    <w:rsid w:val="00AA1AC6"/>
    <w:rsid w:val="00AA1B33"/>
    <w:rsid w:val="00AA1B51"/>
    <w:rsid w:val="00AA1CC8"/>
    <w:rsid w:val="00AA1D27"/>
    <w:rsid w:val="00AA1E09"/>
    <w:rsid w:val="00AA21FE"/>
    <w:rsid w:val="00AA2328"/>
    <w:rsid w:val="00AA23D9"/>
    <w:rsid w:val="00AA241E"/>
    <w:rsid w:val="00AA249B"/>
    <w:rsid w:val="00AA249E"/>
    <w:rsid w:val="00AA2556"/>
    <w:rsid w:val="00AA25D4"/>
    <w:rsid w:val="00AA278D"/>
    <w:rsid w:val="00AA28FE"/>
    <w:rsid w:val="00AA292D"/>
    <w:rsid w:val="00AA2AF7"/>
    <w:rsid w:val="00AA2B0D"/>
    <w:rsid w:val="00AA2B98"/>
    <w:rsid w:val="00AA2C10"/>
    <w:rsid w:val="00AA2CC0"/>
    <w:rsid w:val="00AA2CE6"/>
    <w:rsid w:val="00AA2E1B"/>
    <w:rsid w:val="00AA2EC0"/>
    <w:rsid w:val="00AA2F53"/>
    <w:rsid w:val="00AA3008"/>
    <w:rsid w:val="00AA3019"/>
    <w:rsid w:val="00AA3045"/>
    <w:rsid w:val="00AA32BC"/>
    <w:rsid w:val="00AA336D"/>
    <w:rsid w:val="00AA340B"/>
    <w:rsid w:val="00AA3419"/>
    <w:rsid w:val="00AA341E"/>
    <w:rsid w:val="00AA34C6"/>
    <w:rsid w:val="00AA3537"/>
    <w:rsid w:val="00AA36C8"/>
    <w:rsid w:val="00AA37EC"/>
    <w:rsid w:val="00AA3A0E"/>
    <w:rsid w:val="00AA3B23"/>
    <w:rsid w:val="00AA3F03"/>
    <w:rsid w:val="00AA3F0D"/>
    <w:rsid w:val="00AA3F62"/>
    <w:rsid w:val="00AA40A4"/>
    <w:rsid w:val="00AA421F"/>
    <w:rsid w:val="00AA447F"/>
    <w:rsid w:val="00AA449A"/>
    <w:rsid w:val="00AA457F"/>
    <w:rsid w:val="00AA465A"/>
    <w:rsid w:val="00AA47E8"/>
    <w:rsid w:val="00AA4DC7"/>
    <w:rsid w:val="00AA4FED"/>
    <w:rsid w:val="00AA4FF1"/>
    <w:rsid w:val="00AA51D7"/>
    <w:rsid w:val="00AA5236"/>
    <w:rsid w:val="00AA5364"/>
    <w:rsid w:val="00AA5A99"/>
    <w:rsid w:val="00AA5AAC"/>
    <w:rsid w:val="00AA5AC2"/>
    <w:rsid w:val="00AA5B92"/>
    <w:rsid w:val="00AA5BAB"/>
    <w:rsid w:val="00AA5ED8"/>
    <w:rsid w:val="00AA5FCB"/>
    <w:rsid w:val="00AA6067"/>
    <w:rsid w:val="00AA60D4"/>
    <w:rsid w:val="00AA6223"/>
    <w:rsid w:val="00AA6585"/>
    <w:rsid w:val="00AA65A6"/>
    <w:rsid w:val="00AA661B"/>
    <w:rsid w:val="00AA669D"/>
    <w:rsid w:val="00AA66B9"/>
    <w:rsid w:val="00AA66BF"/>
    <w:rsid w:val="00AA676F"/>
    <w:rsid w:val="00AA685B"/>
    <w:rsid w:val="00AA6FF9"/>
    <w:rsid w:val="00AA79E6"/>
    <w:rsid w:val="00AA7A00"/>
    <w:rsid w:val="00AA7CEF"/>
    <w:rsid w:val="00AA7EF7"/>
    <w:rsid w:val="00AB01B0"/>
    <w:rsid w:val="00AB0251"/>
    <w:rsid w:val="00AB0338"/>
    <w:rsid w:val="00AB0446"/>
    <w:rsid w:val="00AB0482"/>
    <w:rsid w:val="00AB0486"/>
    <w:rsid w:val="00AB06A5"/>
    <w:rsid w:val="00AB0A69"/>
    <w:rsid w:val="00AB0C2D"/>
    <w:rsid w:val="00AB0DDB"/>
    <w:rsid w:val="00AB0FA6"/>
    <w:rsid w:val="00AB1053"/>
    <w:rsid w:val="00AB1063"/>
    <w:rsid w:val="00AB1253"/>
    <w:rsid w:val="00AB1616"/>
    <w:rsid w:val="00AB1677"/>
    <w:rsid w:val="00AB16E5"/>
    <w:rsid w:val="00AB18B9"/>
    <w:rsid w:val="00AB1A3B"/>
    <w:rsid w:val="00AB1BBF"/>
    <w:rsid w:val="00AB1C24"/>
    <w:rsid w:val="00AB1CE6"/>
    <w:rsid w:val="00AB1D56"/>
    <w:rsid w:val="00AB1D65"/>
    <w:rsid w:val="00AB1DC3"/>
    <w:rsid w:val="00AB1E2D"/>
    <w:rsid w:val="00AB1EEE"/>
    <w:rsid w:val="00AB20A3"/>
    <w:rsid w:val="00AB20EE"/>
    <w:rsid w:val="00AB214F"/>
    <w:rsid w:val="00AB21E8"/>
    <w:rsid w:val="00AB2274"/>
    <w:rsid w:val="00AB2494"/>
    <w:rsid w:val="00AB24AA"/>
    <w:rsid w:val="00AB24F4"/>
    <w:rsid w:val="00AB26D2"/>
    <w:rsid w:val="00AB2A06"/>
    <w:rsid w:val="00AB2ADE"/>
    <w:rsid w:val="00AB2B43"/>
    <w:rsid w:val="00AB2CAB"/>
    <w:rsid w:val="00AB2DBE"/>
    <w:rsid w:val="00AB2DF3"/>
    <w:rsid w:val="00AB2E0E"/>
    <w:rsid w:val="00AB2F79"/>
    <w:rsid w:val="00AB302F"/>
    <w:rsid w:val="00AB31F1"/>
    <w:rsid w:val="00AB32D8"/>
    <w:rsid w:val="00AB3395"/>
    <w:rsid w:val="00AB33C8"/>
    <w:rsid w:val="00AB3615"/>
    <w:rsid w:val="00AB3728"/>
    <w:rsid w:val="00AB37AE"/>
    <w:rsid w:val="00AB3CA4"/>
    <w:rsid w:val="00AB3DCD"/>
    <w:rsid w:val="00AB3F15"/>
    <w:rsid w:val="00AB3F58"/>
    <w:rsid w:val="00AB3F61"/>
    <w:rsid w:val="00AB408C"/>
    <w:rsid w:val="00AB4185"/>
    <w:rsid w:val="00AB442A"/>
    <w:rsid w:val="00AB4444"/>
    <w:rsid w:val="00AB44DE"/>
    <w:rsid w:val="00AB4561"/>
    <w:rsid w:val="00AB46C3"/>
    <w:rsid w:val="00AB47A4"/>
    <w:rsid w:val="00AB4810"/>
    <w:rsid w:val="00AB4B7C"/>
    <w:rsid w:val="00AB4DF6"/>
    <w:rsid w:val="00AB5239"/>
    <w:rsid w:val="00AB5436"/>
    <w:rsid w:val="00AB55B0"/>
    <w:rsid w:val="00AB5752"/>
    <w:rsid w:val="00AB57BE"/>
    <w:rsid w:val="00AB5837"/>
    <w:rsid w:val="00AB5A48"/>
    <w:rsid w:val="00AB5B3A"/>
    <w:rsid w:val="00AB620C"/>
    <w:rsid w:val="00AB646F"/>
    <w:rsid w:val="00AB66C3"/>
    <w:rsid w:val="00AB6CF3"/>
    <w:rsid w:val="00AB6D52"/>
    <w:rsid w:val="00AB76D1"/>
    <w:rsid w:val="00AB76F0"/>
    <w:rsid w:val="00AB78C3"/>
    <w:rsid w:val="00AB7B0D"/>
    <w:rsid w:val="00AB7CA1"/>
    <w:rsid w:val="00AB7E0D"/>
    <w:rsid w:val="00AB7F2C"/>
    <w:rsid w:val="00AB7F7F"/>
    <w:rsid w:val="00AC02B5"/>
    <w:rsid w:val="00AC0798"/>
    <w:rsid w:val="00AC08F3"/>
    <w:rsid w:val="00AC09CA"/>
    <w:rsid w:val="00AC0A7F"/>
    <w:rsid w:val="00AC0B3E"/>
    <w:rsid w:val="00AC0CAA"/>
    <w:rsid w:val="00AC0E6A"/>
    <w:rsid w:val="00AC1354"/>
    <w:rsid w:val="00AC1358"/>
    <w:rsid w:val="00AC13C8"/>
    <w:rsid w:val="00AC148A"/>
    <w:rsid w:val="00AC16F8"/>
    <w:rsid w:val="00AC173E"/>
    <w:rsid w:val="00AC1B5B"/>
    <w:rsid w:val="00AC1BEC"/>
    <w:rsid w:val="00AC1DE2"/>
    <w:rsid w:val="00AC20BC"/>
    <w:rsid w:val="00AC214A"/>
    <w:rsid w:val="00AC2353"/>
    <w:rsid w:val="00AC25D8"/>
    <w:rsid w:val="00AC2862"/>
    <w:rsid w:val="00AC2876"/>
    <w:rsid w:val="00AC2972"/>
    <w:rsid w:val="00AC29C6"/>
    <w:rsid w:val="00AC29F1"/>
    <w:rsid w:val="00AC2B75"/>
    <w:rsid w:val="00AC2D73"/>
    <w:rsid w:val="00AC2E08"/>
    <w:rsid w:val="00AC2EE3"/>
    <w:rsid w:val="00AC2EFC"/>
    <w:rsid w:val="00AC2FAA"/>
    <w:rsid w:val="00AC328C"/>
    <w:rsid w:val="00AC329D"/>
    <w:rsid w:val="00AC32EB"/>
    <w:rsid w:val="00AC3330"/>
    <w:rsid w:val="00AC373F"/>
    <w:rsid w:val="00AC37D7"/>
    <w:rsid w:val="00AC38EF"/>
    <w:rsid w:val="00AC3AC8"/>
    <w:rsid w:val="00AC3B09"/>
    <w:rsid w:val="00AC3C55"/>
    <w:rsid w:val="00AC3C97"/>
    <w:rsid w:val="00AC3D4E"/>
    <w:rsid w:val="00AC41C4"/>
    <w:rsid w:val="00AC41F9"/>
    <w:rsid w:val="00AC4201"/>
    <w:rsid w:val="00AC4225"/>
    <w:rsid w:val="00AC42B3"/>
    <w:rsid w:val="00AC42C1"/>
    <w:rsid w:val="00AC439B"/>
    <w:rsid w:val="00AC43E4"/>
    <w:rsid w:val="00AC446C"/>
    <w:rsid w:val="00AC447F"/>
    <w:rsid w:val="00AC455C"/>
    <w:rsid w:val="00AC48C6"/>
    <w:rsid w:val="00AC4D1E"/>
    <w:rsid w:val="00AC4DA4"/>
    <w:rsid w:val="00AC4E2D"/>
    <w:rsid w:val="00AC4E4D"/>
    <w:rsid w:val="00AC4E62"/>
    <w:rsid w:val="00AC4F8C"/>
    <w:rsid w:val="00AC5499"/>
    <w:rsid w:val="00AC5502"/>
    <w:rsid w:val="00AC55DC"/>
    <w:rsid w:val="00AC5821"/>
    <w:rsid w:val="00AC594E"/>
    <w:rsid w:val="00AC5A2B"/>
    <w:rsid w:val="00AC5AB8"/>
    <w:rsid w:val="00AC5BBF"/>
    <w:rsid w:val="00AC5CCF"/>
    <w:rsid w:val="00AC5EC8"/>
    <w:rsid w:val="00AC6121"/>
    <w:rsid w:val="00AC61B4"/>
    <w:rsid w:val="00AC63EF"/>
    <w:rsid w:val="00AC6512"/>
    <w:rsid w:val="00AC6562"/>
    <w:rsid w:val="00AC6703"/>
    <w:rsid w:val="00AC6806"/>
    <w:rsid w:val="00AC68FE"/>
    <w:rsid w:val="00AC6C12"/>
    <w:rsid w:val="00AC6C4B"/>
    <w:rsid w:val="00AC6C9C"/>
    <w:rsid w:val="00AC6D98"/>
    <w:rsid w:val="00AC6EFC"/>
    <w:rsid w:val="00AC70A7"/>
    <w:rsid w:val="00AC7433"/>
    <w:rsid w:val="00AC755A"/>
    <w:rsid w:val="00AC7713"/>
    <w:rsid w:val="00AC7729"/>
    <w:rsid w:val="00AC7779"/>
    <w:rsid w:val="00AC78C2"/>
    <w:rsid w:val="00AC7909"/>
    <w:rsid w:val="00AC7ADD"/>
    <w:rsid w:val="00AC7AEC"/>
    <w:rsid w:val="00AC7BD7"/>
    <w:rsid w:val="00AC7D94"/>
    <w:rsid w:val="00AC7DCB"/>
    <w:rsid w:val="00AC7E42"/>
    <w:rsid w:val="00ACCA5A"/>
    <w:rsid w:val="00AD00F0"/>
    <w:rsid w:val="00AD010B"/>
    <w:rsid w:val="00AD0156"/>
    <w:rsid w:val="00AD0178"/>
    <w:rsid w:val="00AD02E0"/>
    <w:rsid w:val="00AD0678"/>
    <w:rsid w:val="00AD069C"/>
    <w:rsid w:val="00AD06D0"/>
    <w:rsid w:val="00AD0A2A"/>
    <w:rsid w:val="00AD0F0B"/>
    <w:rsid w:val="00AD0F90"/>
    <w:rsid w:val="00AD0FB0"/>
    <w:rsid w:val="00AD119C"/>
    <w:rsid w:val="00AD1233"/>
    <w:rsid w:val="00AD128F"/>
    <w:rsid w:val="00AD14A9"/>
    <w:rsid w:val="00AD1860"/>
    <w:rsid w:val="00AD18B4"/>
    <w:rsid w:val="00AD19FE"/>
    <w:rsid w:val="00AD1A8B"/>
    <w:rsid w:val="00AD1C41"/>
    <w:rsid w:val="00AD217E"/>
    <w:rsid w:val="00AD2267"/>
    <w:rsid w:val="00AD248A"/>
    <w:rsid w:val="00AD2584"/>
    <w:rsid w:val="00AD29B1"/>
    <w:rsid w:val="00AD2A96"/>
    <w:rsid w:val="00AD2C06"/>
    <w:rsid w:val="00AD2DD0"/>
    <w:rsid w:val="00AD2E4C"/>
    <w:rsid w:val="00AD3046"/>
    <w:rsid w:val="00AD3078"/>
    <w:rsid w:val="00AD31FD"/>
    <w:rsid w:val="00AD3226"/>
    <w:rsid w:val="00AD35C8"/>
    <w:rsid w:val="00AD391C"/>
    <w:rsid w:val="00AD3B2B"/>
    <w:rsid w:val="00AD3BEF"/>
    <w:rsid w:val="00AD3CCD"/>
    <w:rsid w:val="00AD3F52"/>
    <w:rsid w:val="00AD3F96"/>
    <w:rsid w:val="00AD412D"/>
    <w:rsid w:val="00AD4380"/>
    <w:rsid w:val="00AD45ED"/>
    <w:rsid w:val="00AD479B"/>
    <w:rsid w:val="00AD4869"/>
    <w:rsid w:val="00AD48C1"/>
    <w:rsid w:val="00AD49DB"/>
    <w:rsid w:val="00AD4A4F"/>
    <w:rsid w:val="00AD4AA9"/>
    <w:rsid w:val="00AD4AEF"/>
    <w:rsid w:val="00AD4C25"/>
    <w:rsid w:val="00AD52A9"/>
    <w:rsid w:val="00AD5396"/>
    <w:rsid w:val="00AD555E"/>
    <w:rsid w:val="00AD5838"/>
    <w:rsid w:val="00AD5921"/>
    <w:rsid w:val="00AD5950"/>
    <w:rsid w:val="00AD5B25"/>
    <w:rsid w:val="00AD5BEF"/>
    <w:rsid w:val="00AD5D57"/>
    <w:rsid w:val="00AD5D96"/>
    <w:rsid w:val="00AD5EBA"/>
    <w:rsid w:val="00AD5F8A"/>
    <w:rsid w:val="00AD5FAB"/>
    <w:rsid w:val="00AD648B"/>
    <w:rsid w:val="00AD64A8"/>
    <w:rsid w:val="00AD673F"/>
    <w:rsid w:val="00AD68AB"/>
    <w:rsid w:val="00AD6A06"/>
    <w:rsid w:val="00AD6C95"/>
    <w:rsid w:val="00AD6CAF"/>
    <w:rsid w:val="00AD6D2D"/>
    <w:rsid w:val="00AD6D5E"/>
    <w:rsid w:val="00AD6D71"/>
    <w:rsid w:val="00AD6E45"/>
    <w:rsid w:val="00AD6FBD"/>
    <w:rsid w:val="00AD70D7"/>
    <w:rsid w:val="00AD713F"/>
    <w:rsid w:val="00AD7379"/>
    <w:rsid w:val="00AD7449"/>
    <w:rsid w:val="00AD77FA"/>
    <w:rsid w:val="00AD7A40"/>
    <w:rsid w:val="00AD7B03"/>
    <w:rsid w:val="00AD7C3D"/>
    <w:rsid w:val="00AD7EFC"/>
    <w:rsid w:val="00AD7FF8"/>
    <w:rsid w:val="00AE0253"/>
    <w:rsid w:val="00AE0359"/>
    <w:rsid w:val="00AE0D50"/>
    <w:rsid w:val="00AE0F66"/>
    <w:rsid w:val="00AE0F7C"/>
    <w:rsid w:val="00AE0F8F"/>
    <w:rsid w:val="00AE1002"/>
    <w:rsid w:val="00AE10AB"/>
    <w:rsid w:val="00AE153D"/>
    <w:rsid w:val="00AE16BA"/>
    <w:rsid w:val="00AE16ED"/>
    <w:rsid w:val="00AE172D"/>
    <w:rsid w:val="00AE186D"/>
    <w:rsid w:val="00AE1914"/>
    <w:rsid w:val="00AE1C42"/>
    <w:rsid w:val="00AE1C60"/>
    <w:rsid w:val="00AE1D6D"/>
    <w:rsid w:val="00AE1EFF"/>
    <w:rsid w:val="00AE27EB"/>
    <w:rsid w:val="00AE2CF7"/>
    <w:rsid w:val="00AE2DA7"/>
    <w:rsid w:val="00AE2DE6"/>
    <w:rsid w:val="00AE2F13"/>
    <w:rsid w:val="00AE2FE2"/>
    <w:rsid w:val="00AE3039"/>
    <w:rsid w:val="00AE355E"/>
    <w:rsid w:val="00AE35A2"/>
    <w:rsid w:val="00AE35A7"/>
    <w:rsid w:val="00AE3709"/>
    <w:rsid w:val="00AE3743"/>
    <w:rsid w:val="00AE376D"/>
    <w:rsid w:val="00AE39FD"/>
    <w:rsid w:val="00AE3B33"/>
    <w:rsid w:val="00AE3C0F"/>
    <w:rsid w:val="00AE3C8D"/>
    <w:rsid w:val="00AE3F83"/>
    <w:rsid w:val="00AE403E"/>
    <w:rsid w:val="00AE43EC"/>
    <w:rsid w:val="00AE4468"/>
    <w:rsid w:val="00AE45EE"/>
    <w:rsid w:val="00AE45FC"/>
    <w:rsid w:val="00AE4984"/>
    <w:rsid w:val="00AE4AC4"/>
    <w:rsid w:val="00AE4BDD"/>
    <w:rsid w:val="00AE4CF2"/>
    <w:rsid w:val="00AE4D8E"/>
    <w:rsid w:val="00AE4DAE"/>
    <w:rsid w:val="00AE4E1A"/>
    <w:rsid w:val="00AE4E79"/>
    <w:rsid w:val="00AE4F02"/>
    <w:rsid w:val="00AE4F36"/>
    <w:rsid w:val="00AE5024"/>
    <w:rsid w:val="00AE517D"/>
    <w:rsid w:val="00AE51EC"/>
    <w:rsid w:val="00AE5244"/>
    <w:rsid w:val="00AE53A0"/>
    <w:rsid w:val="00AE55EA"/>
    <w:rsid w:val="00AE567C"/>
    <w:rsid w:val="00AE582E"/>
    <w:rsid w:val="00AE596D"/>
    <w:rsid w:val="00AE59A7"/>
    <w:rsid w:val="00AE5AA6"/>
    <w:rsid w:val="00AE5ABC"/>
    <w:rsid w:val="00AE5C5C"/>
    <w:rsid w:val="00AE5E4B"/>
    <w:rsid w:val="00AE602D"/>
    <w:rsid w:val="00AE610A"/>
    <w:rsid w:val="00AE63A7"/>
    <w:rsid w:val="00AE640C"/>
    <w:rsid w:val="00AE6613"/>
    <w:rsid w:val="00AE671A"/>
    <w:rsid w:val="00AE6821"/>
    <w:rsid w:val="00AE6BC2"/>
    <w:rsid w:val="00AE6C63"/>
    <w:rsid w:val="00AE6EDA"/>
    <w:rsid w:val="00AE7175"/>
    <w:rsid w:val="00AE7295"/>
    <w:rsid w:val="00AE729D"/>
    <w:rsid w:val="00AE7394"/>
    <w:rsid w:val="00AE7983"/>
    <w:rsid w:val="00AE799F"/>
    <w:rsid w:val="00AE7ADC"/>
    <w:rsid w:val="00AE7C03"/>
    <w:rsid w:val="00AE7C1F"/>
    <w:rsid w:val="00AE7C9D"/>
    <w:rsid w:val="00AF0388"/>
    <w:rsid w:val="00AF0647"/>
    <w:rsid w:val="00AF079A"/>
    <w:rsid w:val="00AF0847"/>
    <w:rsid w:val="00AF084D"/>
    <w:rsid w:val="00AF09A3"/>
    <w:rsid w:val="00AF0A2A"/>
    <w:rsid w:val="00AF0D22"/>
    <w:rsid w:val="00AF0E8A"/>
    <w:rsid w:val="00AF1113"/>
    <w:rsid w:val="00AF125F"/>
    <w:rsid w:val="00AF12FE"/>
    <w:rsid w:val="00AF1504"/>
    <w:rsid w:val="00AF1AF1"/>
    <w:rsid w:val="00AF1E69"/>
    <w:rsid w:val="00AF20C5"/>
    <w:rsid w:val="00AF2175"/>
    <w:rsid w:val="00AF2207"/>
    <w:rsid w:val="00AF2282"/>
    <w:rsid w:val="00AF22EF"/>
    <w:rsid w:val="00AF2528"/>
    <w:rsid w:val="00AF2782"/>
    <w:rsid w:val="00AF2BFA"/>
    <w:rsid w:val="00AF2F4F"/>
    <w:rsid w:val="00AF31CA"/>
    <w:rsid w:val="00AF32DC"/>
    <w:rsid w:val="00AF3317"/>
    <w:rsid w:val="00AF35CD"/>
    <w:rsid w:val="00AF3608"/>
    <w:rsid w:val="00AF36D5"/>
    <w:rsid w:val="00AF3B72"/>
    <w:rsid w:val="00AF42BC"/>
    <w:rsid w:val="00AF4320"/>
    <w:rsid w:val="00AF43A4"/>
    <w:rsid w:val="00AF4483"/>
    <w:rsid w:val="00AF47BB"/>
    <w:rsid w:val="00AF4BB4"/>
    <w:rsid w:val="00AF4EE6"/>
    <w:rsid w:val="00AF4EE7"/>
    <w:rsid w:val="00AF5316"/>
    <w:rsid w:val="00AF5414"/>
    <w:rsid w:val="00AF54D8"/>
    <w:rsid w:val="00AF5574"/>
    <w:rsid w:val="00AF5597"/>
    <w:rsid w:val="00AF55FE"/>
    <w:rsid w:val="00AF56AF"/>
    <w:rsid w:val="00AF5989"/>
    <w:rsid w:val="00AF59D1"/>
    <w:rsid w:val="00AF5B68"/>
    <w:rsid w:val="00AF5C5C"/>
    <w:rsid w:val="00AF5CEE"/>
    <w:rsid w:val="00AF5CF8"/>
    <w:rsid w:val="00AF5E91"/>
    <w:rsid w:val="00AF6329"/>
    <w:rsid w:val="00AF6521"/>
    <w:rsid w:val="00AF6735"/>
    <w:rsid w:val="00AF6873"/>
    <w:rsid w:val="00AF6A5A"/>
    <w:rsid w:val="00AF6B59"/>
    <w:rsid w:val="00AF6BAC"/>
    <w:rsid w:val="00AF6DFD"/>
    <w:rsid w:val="00AF6F2F"/>
    <w:rsid w:val="00AF6F91"/>
    <w:rsid w:val="00AF6FEE"/>
    <w:rsid w:val="00AF70CB"/>
    <w:rsid w:val="00AF72D3"/>
    <w:rsid w:val="00AF7538"/>
    <w:rsid w:val="00AF75B1"/>
    <w:rsid w:val="00AF7A68"/>
    <w:rsid w:val="00AF7AAF"/>
    <w:rsid w:val="00AF7BD8"/>
    <w:rsid w:val="00AF7C20"/>
    <w:rsid w:val="00AF7C22"/>
    <w:rsid w:val="00AF7DF3"/>
    <w:rsid w:val="00B00079"/>
    <w:rsid w:val="00B0018D"/>
    <w:rsid w:val="00B00665"/>
    <w:rsid w:val="00B00769"/>
    <w:rsid w:val="00B0076A"/>
    <w:rsid w:val="00B0083E"/>
    <w:rsid w:val="00B0090B"/>
    <w:rsid w:val="00B00910"/>
    <w:rsid w:val="00B00938"/>
    <w:rsid w:val="00B00B3E"/>
    <w:rsid w:val="00B00C69"/>
    <w:rsid w:val="00B00CF4"/>
    <w:rsid w:val="00B00E45"/>
    <w:rsid w:val="00B00E5E"/>
    <w:rsid w:val="00B0101E"/>
    <w:rsid w:val="00B01334"/>
    <w:rsid w:val="00B0138F"/>
    <w:rsid w:val="00B013C9"/>
    <w:rsid w:val="00B0146B"/>
    <w:rsid w:val="00B014C3"/>
    <w:rsid w:val="00B0156B"/>
    <w:rsid w:val="00B0162C"/>
    <w:rsid w:val="00B01671"/>
    <w:rsid w:val="00B0169F"/>
    <w:rsid w:val="00B016A8"/>
    <w:rsid w:val="00B016A9"/>
    <w:rsid w:val="00B017C2"/>
    <w:rsid w:val="00B01A69"/>
    <w:rsid w:val="00B01AE0"/>
    <w:rsid w:val="00B01BD4"/>
    <w:rsid w:val="00B02576"/>
    <w:rsid w:val="00B02584"/>
    <w:rsid w:val="00B02880"/>
    <w:rsid w:val="00B02A12"/>
    <w:rsid w:val="00B02B67"/>
    <w:rsid w:val="00B02C23"/>
    <w:rsid w:val="00B02C33"/>
    <w:rsid w:val="00B02D9E"/>
    <w:rsid w:val="00B030A7"/>
    <w:rsid w:val="00B03204"/>
    <w:rsid w:val="00B032CC"/>
    <w:rsid w:val="00B03390"/>
    <w:rsid w:val="00B033A9"/>
    <w:rsid w:val="00B03445"/>
    <w:rsid w:val="00B0369B"/>
    <w:rsid w:val="00B03824"/>
    <w:rsid w:val="00B0385D"/>
    <w:rsid w:val="00B039C9"/>
    <w:rsid w:val="00B03A0F"/>
    <w:rsid w:val="00B03B12"/>
    <w:rsid w:val="00B03B5B"/>
    <w:rsid w:val="00B03DA0"/>
    <w:rsid w:val="00B03E4B"/>
    <w:rsid w:val="00B03FEC"/>
    <w:rsid w:val="00B0427D"/>
    <w:rsid w:val="00B043DF"/>
    <w:rsid w:val="00B04433"/>
    <w:rsid w:val="00B04454"/>
    <w:rsid w:val="00B0450F"/>
    <w:rsid w:val="00B04607"/>
    <w:rsid w:val="00B0488B"/>
    <w:rsid w:val="00B04A1B"/>
    <w:rsid w:val="00B04A7C"/>
    <w:rsid w:val="00B04BA4"/>
    <w:rsid w:val="00B04C13"/>
    <w:rsid w:val="00B04E58"/>
    <w:rsid w:val="00B04F43"/>
    <w:rsid w:val="00B04F8F"/>
    <w:rsid w:val="00B04FA7"/>
    <w:rsid w:val="00B05201"/>
    <w:rsid w:val="00B0525A"/>
    <w:rsid w:val="00B054AE"/>
    <w:rsid w:val="00B0559B"/>
    <w:rsid w:val="00B05656"/>
    <w:rsid w:val="00B05860"/>
    <w:rsid w:val="00B05901"/>
    <w:rsid w:val="00B0599B"/>
    <w:rsid w:val="00B05A31"/>
    <w:rsid w:val="00B05A72"/>
    <w:rsid w:val="00B05B65"/>
    <w:rsid w:val="00B06124"/>
    <w:rsid w:val="00B0624B"/>
    <w:rsid w:val="00B0629E"/>
    <w:rsid w:val="00B062DF"/>
    <w:rsid w:val="00B063A8"/>
    <w:rsid w:val="00B06600"/>
    <w:rsid w:val="00B06867"/>
    <w:rsid w:val="00B06B8C"/>
    <w:rsid w:val="00B06C74"/>
    <w:rsid w:val="00B070C1"/>
    <w:rsid w:val="00B07396"/>
    <w:rsid w:val="00B07673"/>
    <w:rsid w:val="00B07901"/>
    <w:rsid w:val="00B07A33"/>
    <w:rsid w:val="00B07E40"/>
    <w:rsid w:val="00B07F63"/>
    <w:rsid w:val="00B07FC1"/>
    <w:rsid w:val="00B100BC"/>
    <w:rsid w:val="00B10232"/>
    <w:rsid w:val="00B1029C"/>
    <w:rsid w:val="00B102AE"/>
    <w:rsid w:val="00B103E0"/>
    <w:rsid w:val="00B103FA"/>
    <w:rsid w:val="00B104EE"/>
    <w:rsid w:val="00B10567"/>
    <w:rsid w:val="00B106DC"/>
    <w:rsid w:val="00B10735"/>
    <w:rsid w:val="00B10963"/>
    <w:rsid w:val="00B10B04"/>
    <w:rsid w:val="00B10BAD"/>
    <w:rsid w:val="00B10E0B"/>
    <w:rsid w:val="00B111D7"/>
    <w:rsid w:val="00B11477"/>
    <w:rsid w:val="00B11489"/>
    <w:rsid w:val="00B11546"/>
    <w:rsid w:val="00B11857"/>
    <w:rsid w:val="00B11A33"/>
    <w:rsid w:val="00B11B2E"/>
    <w:rsid w:val="00B11BB2"/>
    <w:rsid w:val="00B11CC8"/>
    <w:rsid w:val="00B11DBA"/>
    <w:rsid w:val="00B120EB"/>
    <w:rsid w:val="00B12225"/>
    <w:rsid w:val="00B122FD"/>
    <w:rsid w:val="00B1242E"/>
    <w:rsid w:val="00B12509"/>
    <w:rsid w:val="00B127E4"/>
    <w:rsid w:val="00B128CC"/>
    <w:rsid w:val="00B128E9"/>
    <w:rsid w:val="00B12987"/>
    <w:rsid w:val="00B12A65"/>
    <w:rsid w:val="00B12D40"/>
    <w:rsid w:val="00B12D56"/>
    <w:rsid w:val="00B12D69"/>
    <w:rsid w:val="00B12DC9"/>
    <w:rsid w:val="00B13313"/>
    <w:rsid w:val="00B137D6"/>
    <w:rsid w:val="00B1395C"/>
    <w:rsid w:val="00B13C47"/>
    <w:rsid w:val="00B13C8A"/>
    <w:rsid w:val="00B13E55"/>
    <w:rsid w:val="00B13EB0"/>
    <w:rsid w:val="00B14317"/>
    <w:rsid w:val="00B14437"/>
    <w:rsid w:val="00B14612"/>
    <w:rsid w:val="00B147BC"/>
    <w:rsid w:val="00B148A6"/>
    <w:rsid w:val="00B149A2"/>
    <w:rsid w:val="00B14A19"/>
    <w:rsid w:val="00B14C0B"/>
    <w:rsid w:val="00B14E78"/>
    <w:rsid w:val="00B15002"/>
    <w:rsid w:val="00B15261"/>
    <w:rsid w:val="00B152E4"/>
    <w:rsid w:val="00B154A1"/>
    <w:rsid w:val="00B15843"/>
    <w:rsid w:val="00B158DC"/>
    <w:rsid w:val="00B159DA"/>
    <w:rsid w:val="00B15A40"/>
    <w:rsid w:val="00B15D42"/>
    <w:rsid w:val="00B15D9D"/>
    <w:rsid w:val="00B15DE3"/>
    <w:rsid w:val="00B16014"/>
    <w:rsid w:val="00B16032"/>
    <w:rsid w:val="00B16417"/>
    <w:rsid w:val="00B16559"/>
    <w:rsid w:val="00B165EE"/>
    <w:rsid w:val="00B166A9"/>
    <w:rsid w:val="00B169DB"/>
    <w:rsid w:val="00B169E9"/>
    <w:rsid w:val="00B16A99"/>
    <w:rsid w:val="00B16B90"/>
    <w:rsid w:val="00B16BC1"/>
    <w:rsid w:val="00B16C21"/>
    <w:rsid w:val="00B16EDD"/>
    <w:rsid w:val="00B171FB"/>
    <w:rsid w:val="00B17317"/>
    <w:rsid w:val="00B17364"/>
    <w:rsid w:val="00B174A5"/>
    <w:rsid w:val="00B175DC"/>
    <w:rsid w:val="00B17655"/>
    <w:rsid w:val="00B176E7"/>
    <w:rsid w:val="00B17963"/>
    <w:rsid w:val="00B17AA4"/>
    <w:rsid w:val="00B17C56"/>
    <w:rsid w:val="00B17CBF"/>
    <w:rsid w:val="00B17D5C"/>
    <w:rsid w:val="00B17FF3"/>
    <w:rsid w:val="00B2036E"/>
    <w:rsid w:val="00B203DF"/>
    <w:rsid w:val="00B2045B"/>
    <w:rsid w:val="00B20701"/>
    <w:rsid w:val="00B2070D"/>
    <w:rsid w:val="00B2078B"/>
    <w:rsid w:val="00B20831"/>
    <w:rsid w:val="00B2090E"/>
    <w:rsid w:val="00B20972"/>
    <w:rsid w:val="00B20BEC"/>
    <w:rsid w:val="00B20C24"/>
    <w:rsid w:val="00B20D94"/>
    <w:rsid w:val="00B21070"/>
    <w:rsid w:val="00B21185"/>
    <w:rsid w:val="00B21452"/>
    <w:rsid w:val="00B217DF"/>
    <w:rsid w:val="00B21830"/>
    <w:rsid w:val="00B2198E"/>
    <w:rsid w:val="00B21BDD"/>
    <w:rsid w:val="00B21D88"/>
    <w:rsid w:val="00B21E8D"/>
    <w:rsid w:val="00B21F7D"/>
    <w:rsid w:val="00B22190"/>
    <w:rsid w:val="00B2229B"/>
    <w:rsid w:val="00B222B4"/>
    <w:rsid w:val="00B2235C"/>
    <w:rsid w:val="00B22361"/>
    <w:rsid w:val="00B223CB"/>
    <w:rsid w:val="00B2247A"/>
    <w:rsid w:val="00B225C9"/>
    <w:rsid w:val="00B2278F"/>
    <w:rsid w:val="00B228CB"/>
    <w:rsid w:val="00B2293E"/>
    <w:rsid w:val="00B22DF9"/>
    <w:rsid w:val="00B22FF0"/>
    <w:rsid w:val="00B230CA"/>
    <w:rsid w:val="00B2317D"/>
    <w:rsid w:val="00B231FB"/>
    <w:rsid w:val="00B232F6"/>
    <w:rsid w:val="00B23308"/>
    <w:rsid w:val="00B23471"/>
    <w:rsid w:val="00B23479"/>
    <w:rsid w:val="00B2357D"/>
    <w:rsid w:val="00B235B2"/>
    <w:rsid w:val="00B236FA"/>
    <w:rsid w:val="00B23700"/>
    <w:rsid w:val="00B23770"/>
    <w:rsid w:val="00B237F3"/>
    <w:rsid w:val="00B241A3"/>
    <w:rsid w:val="00B242F8"/>
    <w:rsid w:val="00B2441F"/>
    <w:rsid w:val="00B24515"/>
    <w:rsid w:val="00B2478D"/>
    <w:rsid w:val="00B2495C"/>
    <w:rsid w:val="00B24A67"/>
    <w:rsid w:val="00B24A7B"/>
    <w:rsid w:val="00B24DF2"/>
    <w:rsid w:val="00B25006"/>
    <w:rsid w:val="00B2500B"/>
    <w:rsid w:val="00B2508F"/>
    <w:rsid w:val="00B25259"/>
    <w:rsid w:val="00B25604"/>
    <w:rsid w:val="00B25615"/>
    <w:rsid w:val="00B25CA8"/>
    <w:rsid w:val="00B25CE3"/>
    <w:rsid w:val="00B25EF2"/>
    <w:rsid w:val="00B26AEF"/>
    <w:rsid w:val="00B26B1C"/>
    <w:rsid w:val="00B26B20"/>
    <w:rsid w:val="00B26D26"/>
    <w:rsid w:val="00B26D4C"/>
    <w:rsid w:val="00B26E2F"/>
    <w:rsid w:val="00B26F75"/>
    <w:rsid w:val="00B2703D"/>
    <w:rsid w:val="00B27979"/>
    <w:rsid w:val="00B279F8"/>
    <w:rsid w:val="00B27BBB"/>
    <w:rsid w:val="00B27BE4"/>
    <w:rsid w:val="00B27FED"/>
    <w:rsid w:val="00B3017B"/>
    <w:rsid w:val="00B30335"/>
    <w:rsid w:val="00B30365"/>
    <w:rsid w:val="00B304F5"/>
    <w:rsid w:val="00B305C5"/>
    <w:rsid w:val="00B30987"/>
    <w:rsid w:val="00B30D03"/>
    <w:rsid w:val="00B30D3E"/>
    <w:rsid w:val="00B30DD5"/>
    <w:rsid w:val="00B30F46"/>
    <w:rsid w:val="00B30F81"/>
    <w:rsid w:val="00B31517"/>
    <w:rsid w:val="00B316E3"/>
    <w:rsid w:val="00B31838"/>
    <w:rsid w:val="00B31859"/>
    <w:rsid w:val="00B31A22"/>
    <w:rsid w:val="00B31B67"/>
    <w:rsid w:val="00B31BF5"/>
    <w:rsid w:val="00B31C32"/>
    <w:rsid w:val="00B31C5E"/>
    <w:rsid w:val="00B31CAA"/>
    <w:rsid w:val="00B31D8B"/>
    <w:rsid w:val="00B32164"/>
    <w:rsid w:val="00B3231F"/>
    <w:rsid w:val="00B3246E"/>
    <w:rsid w:val="00B32518"/>
    <w:rsid w:val="00B3294F"/>
    <w:rsid w:val="00B329EA"/>
    <w:rsid w:val="00B32A7B"/>
    <w:rsid w:val="00B32BA7"/>
    <w:rsid w:val="00B32DDF"/>
    <w:rsid w:val="00B32EE0"/>
    <w:rsid w:val="00B33385"/>
    <w:rsid w:val="00B33427"/>
    <w:rsid w:val="00B33778"/>
    <w:rsid w:val="00B3388A"/>
    <w:rsid w:val="00B339DB"/>
    <w:rsid w:val="00B33A4E"/>
    <w:rsid w:val="00B33B61"/>
    <w:rsid w:val="00B33C2F"/>
    <w:rsid w:val="00B33C32"/>
    <w:rsid w:val="00B340B2"/>
    <w:rsid w:val="00B340C7"/>
    <w:rsid w:val="00B344A6"/>
    <w:rsid w:val="00B34673"/>
    <w:rsid w:val="00B346EB"/>
    <w:rsid w:val="00B34A7A"/>
    <w:rsid w:val="00B34AC3"/>
    <w:rsid w:val="00B34C86"/>
    <w:rsid w:val="00B34DB6"/>
    <w:rsid w:val="00B34EEF"/>
    <w:rsid w:val="00B35193"/>
    <w:rsid w:val="00B353AC"/>
    <w:rsid w:val="00B353D7"/>
    <w:rsid w:val="00B353D8"/>
    <w:rsid w:val="00B355B3"/>
    <w:rsid w:val="00B35695"/>
    <w:rsid w:val="00B356A2"/>
    <w:rsid w:val="00B356BC"/>
    <w:rsid w:val="00B35915"/>
    <w:rsid w:val="00B359CA"/>
    <w:rsid w:val="00B359E2"/>
    <w:rsid w:val="00B35C7A"/>
    <w:rsid w:val="00B35D66"/>
    <w:rsid w:val="00B35DEF"/>
    <w:rsid w:val="00B35EDA"/>
    <w:rsid w:val="00B3618F"/>
    <w:rsid w:val="00B3636D"/>
    <w:rsid w:val="00B36401"/>
    <w:rsid w:val="00B364D9"/>
    <w:rsid w:val="00B36613"/>
    <w:rsid w:val="00B366E1"/>
    <w:rsid w:val="00B36758"/>
    <w:rsid w:val="00B3694C"/>
    <w:rsid w:val="00B369A0"/>
    <w:rsid w:val="00B36A80"/>
    <w:rsid w:val="00B36AC4"/>
    <w:rsid w:val="00B36B9A"/>
    <w:rsid w:val="00B36CB1"/>
    <w:rsid w:val="00B36CC0"/>
    <w:rsid w:val="00B36CD9"/>
    <w:rsid w:val="00B36CFB"/>
    <w:rsid w:val="00B36D56"/>
    <w:rsid w:val="00B36E10"/>
    <w:rsid w:val="00B36F2C"/>
    <w:rsid w:val="00B37026"/>
    <w:rsid w:val="00B371D9"/>
    <w:rsid w:val="00B3722D"/>
    <w:rsid w:val="00B37A06"/>
    <w:rsid w:val="00B37A1A"/>
    <w:rsid w:val="00B37DB0"/>
    <w:rsid w:val="00B37FE5"/>
    <w:rsid w:val="00B403D6"/>
    <w:rsid w:val="00B40419"/>
    <w:rsid w:val="00B405AB"/>
    <w:rsid w:val="00B40615"/>
    <w:rsid w:val="00B40727"/>
    <w:rsid w:val="00B4072D"/>
    <w:rsid w:val="00B40C2C"/>
    <w:rsid w:val="00B40F1B"/>
    <w:rsid w:val="00B40FD7"/>
    <w:rsid w:val="00B413F1"/>
    <w:rsid w:val="00B4155F"/>
    <w:rsid w:val="00B41857"/>
    <w:rsid w:val="00B41A6A"/>
    <w:rsid w:val="00B41BEA"/>
    <w:rsid w:val="00B41C19"/>
    <w:rsid w:val="00B41EDD"/>
    <w:rsid w:val="00B42198"/>
    <w:rsid w:val="00B42288"/>
    <w:rsid w:val="00B42306"/>
    <w:rsid w:val="00B426E7"/>
    <w:rsid w:val="00B428F8"/>
    <w:rsid w:val="00B42973"/>
    <w:rsid w:val="00B42B4B"/>
    <w:rsid w:val="00B42BF8"/>
    <w:rsid w:val="00B42C41"/>
    <w:rsid w:val="00B42DA2"/>
    <w:rsid w:val="00B42FD0"/>
    <w:rsid w:val="00B43018"/>
    <w:rsid w:val="00B43037"/>
    <w:rsid w:val="00B43465"/>
    <w:rsid w:val="00B436A0"/>
    <w:rsid w:val="00B43903"/>
    <w:rsid w:val="00B43AEE"/>
    <w:rsid w:val="00B43E61"/>
    <w:rsid w:val="00B43E87"/>
    <w:rsid w:val="00B440C9"/>
    <w:rsid w:val="00B44437"/>
    <w:rsid w:val="00B4454D"/>
    <w:rsid w:val="00B44824"/>
    <w:rsid w:val="00B44939"/>
    <w:rsid w:val="00B4493A"/>
    <w:rsid w:val="00B44C43"/>
    <w:rsid w:val="00B44D11"/>
    <w:rsid w:val="00B44E62"/>
    <w:rsid w:val="00B44F31"/>
    <w:rsid w:val="00B44F85"/>
    <w:rsid w:val="00B45067"/>
    <w:rsid w:val="00B4515B"/>
    <w:rsid w:val="00B452AB"/>
    <w:rsid w:val="00B453A8"/>
    <w:rsid w:val="00B45AA0"/>
    <w:rsid w:val="00B45AA5"/>
    <w:rsid w:val="00B45BAC"/>
    <w:rsid w:val="00B46007"/>
    <w:rsid w:val="00B46251"/>
    <w:rsid w:val="00B4625C"/>
    <w:rsid w:val="00B463D0"/>
    <w:rsid w:val="00B46A29"/>
    <w:rsid w:val="00B46A87"/>
    <w:rsid w:val="00B46ADD"/>
    <w:rsid w:val="00B46B25"/>
    <w:rsid w:val="00B46E8C"/>
    <w:rsid w:val="00B47397"/>
    <w:rsid w:val="00B473A6"/>
    <w:rsid w:val="00B477FC"/>
    <w:rsid w:val="00B47A59"/>
    <w:rsid w:val="00B47B77"/>
    <w:rsid w:val="00B47EDF"/>
    <w:rsid w:val="00B501BD"/>
    <w:rsid w:val="00B50401"/>
    <w:rsid w:val="00B50429"/>
    <w:rsid w:val="00B50530"/>
    <w:rsid w:val="00B50635"/>
    <w:rsid w:val="00B5072A"/>
    <w:rsid w:val="00B507F8"/>
    <w:rsid w:val="00B50839"/>
    <w:rsid w:val="00B509FF"/>
    <w:rsid w:val="00B50C7D"/>
    <w:rsid w:val="00B50E31"/>
    <w:rsid w:val="00B50E57"/>
    <w:rsid w:val="00B50FEA"/>
    <w:rsid w:val="00B510F7"/>
    <w:rsid w:val="00B5115D"/>
    <w:rsid w:val="00B51592"/>
    <w:rsid w:val="00B51789"/>
    <w:rsid w:val="00B517EA"/>
    <w:rsid w:val="00B5194A"/>
    <w:rsid w:val="00B51A1B"/>
    <w:rsid w:val="00B51B69"/>
    <w:rsid w:val="00B51BAE"/>
    <w:rsid w:val="00B51BD5"/>
    <w:rsid w:val="00B51DF7"/>
    <w:rsid w:val="00B51E1E"/>
    <w:rsid w:val="00B51EC6"/>
    <w:rsid w:val="00B51F1E"/>
    <w:rsid w:val="00B52066"/>
    <w:rsid w:val="00B52116"/>
    <w:rsid w:val="00B52910"/>
    <w:rsid w:val="00B5291F"/>
    <w:rsid w:val="00B52959"/>
    <w:rsid w:val="00B52A47"/>
    <w:rsid w:val="00B52A8A"/>
    <w:rsid w:val="00B52C21"/>
    <w:rsid w:val="00B52C59"/>
    <w:rsid w:val="00B52D04"/>
    <w:rsid w:val="00B53188"/>
    <w:rsid w:val="00B531B9"/>
    <w:rsid w:val="00B532C8"/>
    <w:rsid w:val="00B534A4"/>
    <w:rsid w:val="00B537E0"/>
    <w:rsid w:val="00B53D5E"/>
    <w:rsid w:val="00B53E1D"/>
    <w:rsid w:val="00B540C9"/>
    <w:rsid w:val="00B541FD"/>
    <w:rsid w:val="00B54325"/>
    <w:rsid w:val="00B5437F"/>
    <w:rsid w:val="00B5465D"/>
    <w:rsid w:val="00B54695"/>
    <w:rsid w:val="00B546D1"/>
    <w:rsid w:val="00B54981"/>
    <w:rsid w:val="00B549FE"/>
    <w:rsid w:val="00B54EBD"/>
    <w:rsid w:val="00B5509F"/>
    <w:rsid w:val="00B55145"/>
    <w:rsid w:val="00B5514F"/>
    <w:rsid w:val="00B5533D"/>
    <w:rsid w:val="00B55474"/>
    <w:rsid w:val="00B556A0"/>
    <w:rsid w:val="00B5577A"/>
    <w:rsid w:val="00B55808"/>
    <w:rsid w:val="00B55A10"/>
    <w:rsid w:val="00B55B18"/>
    <w:rsid w:val="00B55C41"/>
    <w:rsid w:val="00B55C93"/>
    <w:rsid w:val="00B55CC8"/>
    <w:rsid w:val="00B560CD"/>
    <w:rsid w:val="00B5611B"/>
    <w:rsid w:val="00B56188"/>
    <w:rsid w:val="00B561CC"/>
    <w:rsid w:val="00B56433"/>
    <w:rsid w:val="00B56538"/>
    <w:rsid w:val="00B56664"/>
    <w:rsid w:val="00B56AA2"/>
    <w:rsid w:val="00B56B48"/>
    <w:rsid w:val="00B56DFF"/>
    <w:rsid w:val="00B56EF0"/>
    <w:rsid w:val="00B56FA5"/>
    <w:rsid w:val="00B56FBE"/>
    <w:rsid w:val="00B56FFC"/>
    <w:rsid w:val="00B5713F"/>
    <w:rsid w:val="00B5728E"/>
    <w:rsid w:val="00B573A1"/>
    <w:rsid w:val="00B575BE"/>
    <w:rsid w:val="00B57633"/>
    <w:rsid w:val="00B57674"/>
    <w:rsid w:val="00B57772"/>
    <w:rsid w:val="00B57ABD"/>
    <w:rsid w:val="00B57B90"/>
    <w:rsid w:val="00B57BA4"/>
    <w:rsid w:val="00B57D7A"/>
    <w:rsid w:val="00B57F28"/>
    <w:rsid w:val="00B57F7D"/>
    <w:rsid w:val="00B57FBD"/>
    <w:rsid w:val="00B5CF06"/>
    <w:rsid w:val="00B60335"/>
    <w:rsid w:val="00B60503"/>
    <w:rsid w:val="00B60532"/>
    <w:rsid w:val="00B60668"/>
    <w:rsid w:val="00B60864"/>
    <w:rsid w:val="00B60A81"/>
    <w:rsid w:val="00B60B3C"/>
    <w:rsid w:val="00B60C83"/>
    <w:rsid w:val="00B60CE6"/>
    <w:rsid w:val="00B60E38"/>
    <w:rsid w:val="00B60E9A"/>
    <w:rsid w:val="00B60F54"/>
    <w:rsid w:val="00B60FA6"/>
    <w:rsid w:val="00B61470"/>
    <w:rsid w:val="00B6157C"/>
    <w:rsid w:val="00B615A3"/>
    <w:rsid w:val="00B61668"/>
    <w:rsid w:val="00B61966"/>
    <w:rsid w:val="00B61BCD"/>
    <w:rsid w:val="00B61D49"/>
    <w:rsid w:val="00B61E5F"/>
    <w:rsid w:val="00B61EE3"/>
    <w:rsid w:val="00B61F89"/>
    <w:rsid w:val="00B6204C"/>
    <w:rsid w:val="00B6204D"/>
    <w:rsid w:val="00B6216A"/>
    <w:rsid w:val="00B623D3"/>
    <w:rsid w:val="00B6260E"/>
    <w:rsid w:val="00B626B4"/>
    <w:rsid w:val="00B62CD4"/>
    <w:rsid w:val="00B62E6F"/>
    <w:rsid w:val="00B630F4"/>
    <w:rsid w:val="00B6324C"/>
    <w:rsid w:val="00B63715"/>
    <w:rsid w:val="00B637B4"/>
    <w:rsid w:val="00B63825"/>
    <w:rsid w:val="00B63B97"/>
    <w:rsid w:val="00B63C97"/>
    <w:rsid w:val="00B63DBE"/>
    <w:rsid w:val="00B63FB5"/>
    <w:rsid w:val="00B640F9"/>
    <w:rsid w:val="00B641A8"/>
    <w:rsid w:val="00B64314"/>
    <w:rsid w:val="00B64441"/>
    <w:rsid w:val="00B64682"/>
    <w:rsid w:val="00B64705"/>
    <w:rsid w:val="00B6485C"/>
    <w:rsid w:val="00B649A4"/>
    <w:rsid w:val="00B64A70"/>
    <w:rsid w:val="00B64A97"/>
    <w:rsid w:val="00B64AAD"/>
    <w:rsid w:val="00B64C22"/>
    <w:rsid w:val="00B64D20"/>
    <w:rsid w:val="00B64D2A"/>
    <w:rsid w:val="00B64E09"/>
    <w:rsid w:val="00B64E0B"/>
    <w:rsid w:val="00B64EC3"/>
    <w:rsid w:val="00B6506A"/>
    <w:rsid w:val="00B651D7"/>
    <w:rsid w:val="00B652C6"/>
    <w:rsid w:val="00B6566A"/>
    <w:rsid w:val="00B658C9"/>
    <w:rsid w:val="00B65A37"/>
    <w:rsid w:val="00B65AC8"/>
    <w:rsid w:val="00B65CCE"/>
    <w:rsid w:val="00B65D3D"/>
    <w:rsid w:val="00B65E28"/>
    <w:rsid w:val="00B65EE3"/>
    <w:rsid w:val="00B6614E"/>
    <w:rsid w:val="00B6638E"/>
    <w:rsid w:val="00B6639E"/>
    <w:rsid w:val="00B663CC"/>
    <w:rsid w:val="00B666A9"/>
    <w:rsid w:val="00B66998"/>
    <w:rsid w:val="00B66B05"/>
    <w:rsid w:val="00B66B23"/>
    <w:rsid w:val="00B66B8D"/>
    <w:rsid w:val="00B66E8E"/>
    <w:rsid w:val="00B66F2E"/>
    <w:rsid w:val="00B66FEA"/>
    <w:rsid w:val="00B67338"/>
    <w:rsid w:val="00B67419"/>
    <w:rsid w:val="00B676B0"/>
    <w:rsid w:val="00B67797"/>
    <w:rsid w:val="00B678CD"/>
    <w:rsid w:val="00B67AEE"/>
    <w:rsid w:val="00B67D01"/>
    <w:rsid w:val="00B67DBB"/>
    <w:rsid w:val="00B67E2A"/>
    <w:rsid w:val="00B701BC"/>
    <w:rsid w:val="00B703EB"/>
    <w:rsid w:val="00B70481"/>
    <w:rsid w:val="00B706CC"/>
    <w:rsid w:val="00B70901"/>
    <w:rsid w:val="00B70BE6"/>
    <w:rsid w:val="00B70C21"/>
    <w:rsid w:val="00B70CDE"/>
    <w:rsid w:val="00B70F5E"/>
    <w:rsid w:val="00B71044"/>
    <w:rsid w:val="00B7112B"/>
    <w:rsid w:val="00B71332"/>
    <w:rsid w:val="00B713A4"/>
    <w:rsid w:val="00B71875"/>
    <w:rsid w:val="00B71AD3"/>
    <w:rsid w:val="00B71B05"/>
    <w:rsid w:val="00B71D16"/>
    <w:rsid w:val="00B71EAF"/>
    <w:rsid w:val="00B71F89"/>
    <w:rsid w:val="00B71FEB"/>
    <w:rsid w:val="00B72165"/>
    <w:rsid w:val="00B72172"/>
    <w:rsid w:val="00B72377"/>
    <w:rsid w:val="00B72398"/>
    <w:rsid w:val="00B72408"/>
    <w:rsid w:val="00B72474"/>
    <w:rsid w:val="00B724FB"/>
    <w:rsid w:val="00B72855"/>
    <w:rsid w:val="00B72882"/>
    <w:rsid w:val="00B72B07"/>
    <w:rsid w:val="00B72C72"/>
    <w:rsid w:val="00B72D4A"/>
    <w:rsid w:val="00B73897"/>
    <w:rsid w:val="00B73A38"/>
    <w:rsid w:val="00B73B11"/>
    <w:rsid w:val="00B73F66"/>
    <w:rsid w:val="00B7432D"/>
    <w:rsid w:val="00B74608"/>
    <w:rsid w:val="00B74733"/>
    <w:rsid w:val="00B74826"/>
    <w:rsid w:val="00B749C0"/>
    <w:rsid w:val="00B74B04"/>
    <w:rsid w:val="00B74D33"/>
    <w:rsid w:val="00B74E6F"/>
    <w:rsid w:val="00B74EA7"/>
    <w:rsid w:val="00B74FAF"/>
    <w:rsid w:val="00B7503F"/>
    <w:rsid w:val="00B7522B"/>
    <w:rsid w:val="00B756CA"/>
    <w:rsid w:val="00B7579E"/>
    <w:rsid w:val="00B758D6"/>
    <w:rsid w:val="00B75BC8"/>
    <w:rsid w:val="00B75C79"/>
    <w:rsid w:val="00B75CA3"/>
    <w:rsid w:val="00B75CFE"/>
    <w:rsid w:val="00B760DF"/>
    <w:rsid w:val="00B764B4"/>
    <w:rsid w:val="00B76566"/>
    <w:rsid w:val="00B766BE"/>
    <w:rsid w:val="00B766CE"/>
    <w:rsid w:val="00B767D5"/>
    <w:rsid w:val="00B76829"/>
    <w:rsid w:val="00B7682A"/>
    <w:rsid w:val="00B7689A"/>
    <w:rsid w:val="00B76925"/>
    <w:rsid w:val="00B76B52"/>
    <w:rsid w:val="00B76C14"/>
    <w:rsid w:val="00B76CB6"/>
    <w:rsid w:val="00B76CF5"/>
    <w:rsid w:val="00B76CF9"/>
    <w:rsid w:val="00B76E13"/>
    <w:rsid w:val="00B76EEA"/>
    <w:rsid w:val="00B76FB3"/>
    <w:rsid w:val="00B77072"/>
    <w:rsid w:val="00B770D2"/>
    <w:rsid w:val="00B771FB"/>
    <w:rsid w:val="00B7744F"/>
    <w:rsid w:val="00B774E7"/>
    <w:rsid w:val="00B7761F"/>
    <w:rsid w:val="00B776F4"/>
    <w:rsid w:val="00B77959"/>
    <w:rsid w:val="00B77AC3"/>
    <w:rsid w:val="00B77BB1"/>
    <w:rsid w:val="00B77D77"/>
    <w:rsid w:val="00B77EB4"/>
    <w:rsid w:val="00B77F09"/>
    <w:rsid w:val="00B802C1"/>
    <w:rsid w:val="00B8042B"/>
    <w:rsid w:val="00B80530"/>
    <w:rsid w:val="00B805E5"/>
    <w:rsid w:val="00B8090A"/>
    <w:rsid w:val="00B80CC0"/>
    <w:rsid w:val="00B80D29"/>
    <w:rsid w:val="00B80D42"/>
    <w:rsid w:val="00B80D64"/>
    <w:rsid w:val="00B80FA6"/>
    <w:rsid w:val="00B81045"/>
    <w:rsid w:val="00B8136E"/>
    <w:rsid w:val="00B81560"/>
    <w:rsid w:val="00B815E8"/>
    <w:rsid w:val="00B81D0E"/>
    <w:rsid w:val="00B81D7A"/>
    <w:rsid w:val="00B81F61"/>
    <w:rsid w:val="00B82000"/>
    <w:rsid w:val="00B820FB"/>
    <w:rsid w:val="00B8228F"/>
    <w:rsid w:val="00B82470"/>
    <w:rsid w:val="00B8247B"/>
    <w:rsid w:val="00B825CC"/>
    <w:rsid w:val="00B8289F"/>
    <w:rsid w:val="00B829A7"/>
    <w:rsid w:val="00B82B63"/>
    <w:rsid w:val="00B82CC2"/>
    <w:rsid w:val="00B82D24"/>
    <w:rsid w:val="00B82E1F"/>
    <w:rsid w:val="00B82E29"/>
    <w:rsid w:val="00B82E7D"/>
    <w:rsid w:val="00B82EC7"/>
    <w:rsid w:val="00B830AD"/>
    <w:rsid w:val="00B830B3"/>
    <w:rsid w:val="00B8394E"/>
    <w:rsid w:val="00B839FA"/>
    <w:rsid w:val="00B83CBE"/>
    <w:rsid w:val="00B83E4D"/>
    <w:rsid w:val="00B83FBD"/>
    <w:rsid w:val="00B8405F"/>
    <w:rsid w:val="00B84463"/>
    <w:rsid w:val="00B84736"/>
    <w:rsid w:val="00B847C5"/>
    <w:rsid w:val="00B84820"/>
    <w:rsid w:val="00B849E2"/>
    <w:rsid w:val="00B84AA9"/>
    <w:rsid w:val="00B84CAF"/>
    <w:rsid w:val="00B84D3C"/>
    <w:rsid w:val="00B850EF"/>
    <w:rsid w:val="00B8512D"/>
    <w:rsid w:val="00B8572B"/>
    <w:rsid w:val="00B85758"/>
    <w:rsid w:val="00B858CD"/>
    <w:rsid w:val="00B85CB7"/>
    <w:rsid w:val="00B85D1E"/>
    <w:rsid w:val="00B85DD8"/>
    <w:rsid w:val="00B85E56"/>
    <w:rsid w:val="00B85FFA"/>
    <w:rsid w:val="00B860A8"/>
    <w:rsid w:val="00B86133"/>
    <w:rsid w:val="00B86135"/>
    <w:rsid w:val="00B861BF"/>
    <w:rsid w:val="00B863C3"/>
    <w:rsid w:val="00B8663A"/>
    <w:rsid w:val="00B86AB4"/>
    <w:rsid w:val="00B86DA6"/>
    <w:rsid w:val="00B86E7F"/>
    <w:rsid w:val="00B86ED8"/>
    <w:rsid w:val="00B86F2B"/>
    <w:rsid w:val="00B87259"/>
    <w:rsid w:val="00B87664"/>
    <w:rsid w:val="00B87814"/>
    <w:rsid w:val="00B87889"/>
    <w:rsid w:val="00B878A9"/>
    <w:rsid w:val="00B87B9D"/>
    <w:rsid w:val="00B87CF5"/>
    <w:rsid w:val="00B87DF9"/>
    <w:rsid w:val="00B87E49"/>
    <w:rsid w:val="00B87EA4"/>
    <w:rsid w:val="00B87ED3"/>
    <w:rsid w:val="00B87F92"/>
    <w:rsid w:val="00B87FE1"/>
    <w:rsid w:val="00B87FF5"/>
    <w:rsid w:val="00B87FF8"/>
    <w:rsid w:val="00B902A1"/>
    <w:rsid w:val="00B902E2"/>
    <w:rsid w:val="00B904B8"/>
    <w:rsid w:val="00B90843"/>
    <w:rsid w:val="00B90AFC"/>
    <w:rsid w:val="00B90D80"/>
    <w:rsid w:val="00B90EE3"/>
    <w:rsid w:val="00B911FB"/>
    <w:rsid w:val="00B91488"/>
    <w:rsid w:val="00B914A3"/>
    <w:rsid w:val="00B915E8"/>
    <w:rsid w:val="00B9166C"/>
    <w:rsid w:val="00B91711"/>
    <w:rsid w:val="00B91C0D"/>
    <w:rsid w:val="00B91CE3"/>
    <w:rsid w:val="00B91E5C"/>
    <w:rsid w:val="00B92171"/>
    <w:rsid w:val="00B9226A"/>
    <w:rsid w:val="00B92353"/>
    <w:rsid w:val="00B925BF"/>
    <w:rsid w:val="00B9284F"/>
    <w:rsid w:val="00B92865"/>
    <w:rsid w:val="00B92A3A"/>
    <w:rsid w:val="00B9302E"/>
    <w:rsid w:val="00B93305"/>
    <w:rsid w:val="00B93613"/>
    <w:rsid w:val="00B93648"/>
    <w:rsid w:val="00B93858"/>
    <w:rsid w:val="00B93922"/>
    <w:rsid w:val="00B93E18"/>
    <w:rsid w:val="00B93EE3"/>
    <w:rsid w:val="00B93EF8"/>
    <w:rsid w:val="00B93F35"/>
    <w:rsid w:val="00B93FF5"/>
    <w:rsid w:val="00B94077"/>
    <w:rsid w:val="00B942AF"/>
    <w:rsid w:val="00B9431B"/>
    <w:rsid w:val="00B9460E"/>
    <w:rsid w:val="00B94622"/>
    <w:rsid w:val="00B946DB"/>
    <w:rsid w:val="00B94719"/>
    <w:rsid w:val="00B9473C"/>
    <w:rsid w:val="00B948CF"/>
    <w:rsid w:val="00B9490D"/>
    <w:rsid w:val="00B94CA5"/>
    <w:rsid w:val="00B94D1A"/>
    <w:rsid w:val="00B94DEC"/>
    <w:rsid w:val="00B94FCB"/>
    <w:rsid w:val="00B95179"/>
    <w:rsid w:val="00B9521F"/>
    <w:rsid w:val="00B9571E"/>
    <w:rsid w:val="00B957F8"/>
    <w:rsid w:val="00B95978"/>
    <w:rsid w:val="00B95AFA"/>
    <w:rsid w:val="00B95D45"/>
    <w:rsid w:val="00B96137"/>
    <w:rsid w:val="00B962C0"/>
    <w:rsid w:val="00B963AC"/>
    <w:rsid w:val="00B964E8"/>
    <w:rsid w:val="00B96516"/>
    <w:rsid w:val="00B96595"/>
    <w:rsid w:val="00B965FE"/>
    <w:rsid w:val="00B967DC"/>
    <w:rsid w:val="00B96A22"/>
    <w:rsid w:val="00B96AC3"/>
    <w:rsid w:val="00B96C07"/>
    <w:rsid w:val="00B96FE3"/>
    <w:rsid w:val="00B970B3"/>
    <w:rsid w:val="00B9728A"/>
    <w:rsid w:val="00B9744D"/>
    <w:rsid w:val="00B976D0"/>
    <w:rsid w:val="00B97805"/>
    <w:rsid w:val="00B9783B"/>
    <w:rsid w:val="00B978AF"/>
    <w:rsid w:val="00B978C8"/>
    <w:rsid w:val="00B97CB4"/>
    <w:rsid w:val="00BA0269"/>
    <w:rsid w:val="00BA0396"/>
    <w:rsid w:val="00BA049A"/>
    <w:rsid w:val="00BA056A"/>
    <w:rsid w:val="00BA0741"/>
    <w:rsid w:val="00BA0B2E"/>
    <w:rsid w:val="00BA0DCD"/>
    <w:rsid w:val="00BA1186"/>
    <w:rsid w:val="00BA1589"/>
    <w:rsid w:val="00BA158F"/>
    <w:rsid w:val="00BA169D"/>
    <w:rsid w:val="00BA1760"/>
    <w:rsid w:val="00BA178B"/>
    <w:rsid w:val="00BA1921"/>
    <w:rsid w:val="00BA1F36"/>
    <w:rsid w:val="00BA219E"/>
    <w:rsid w:val="00BA21B6"/>
    <w:rsid w:val="00BA2201"/>
    <w:rsid w:val="00BA2547"/>
    <w:rsid w:val="00BA2635"/>
    <w:rsid w:val="00BA2892"/>
    <w:rsid w:val="00BA291E"/>
    <w:rsid w:val="00BA2962"/>
    <w:rsid w:val="00BA2B86"/>
    <w:rsid w:val="00BA2D47"/>
    <w:rsid w:val="00BA2D74"/>
    <w:rsid w:val="00BA2D95"/>
    <w:rsid w:val="00BA307F"/>
    <w:rsid w:val="00BA3128"/>
    <w:rsid w:val="00BA327C"/>
    <w:rsid w:val="00BA32E0"/>
    <w:rsid w:val="00BA33E4"/>
    <w:rsid w:val="00BA34C5"/>
    <w:rsid w:val="00BA3538"/>
    <w:rsid w:val="00BA3774"/>
    <w:rsid w:val="00BA38F3"/>
    <w:rsid w:val="00BA3978"/>
    <w:rsid w:val="00BA3B1B"/>
    <w:rsid w:val="00BA3BF8"/>
    <w:rsid w:val="00BA3D59"/>
    <w:rsid w:val="00BA3E12"/>
    <w:rsid w:val="00BA40F4"/>
    <w:rsid w:val="00BA41B9"/>
    <w:rsid w:val="00BA4294"/>
    <w:rsid w:val="00BA4359"/>
    <w:rsid w:val="00BA43AA"/>
    <w:rsid w:val="00BA4503"/>
    <w:rsid w:val="00BA453D"/>
    <w:rsid w:val="00BA4B26"/>
    <w:rsid w:val="00BA4CAE"/>
    <w:rsid w:val="00BA4E5F"/>
    <w:rsid w:val="00BA5032"/>
    <w:rsid w:val="00BA5163"/>
    <w:rsid w:val="00BA53E6"/>
    <w:rsid w:val="00BA5441"/>
    <w:rsid w:val="00BA54AB"/>
    <w:rsid w:val="00BA5609"/>
    <w:rsid w:val="00BA5649"/>
    <w:rsid w:val="00BA56EB"/>
    <w:rsid w:val="00BA58B3"/>
    <w:rsid w:val="00BA595D"/>
    <w:rsid w:val="00BA5DE6"/>
    <w:rsid w:val="00BA5F60"/>
    <w:rsid w:val="00BA6414"/>
    <w:rsid w:val="00BA6447"/>
    <w:rsid w:val="00BA6595"/>
    <w:rsid w:val="00BA679B"/>
    <w:rsid w:val="00BA6B4A"/>
    <w:rsid w:val="00BA6ECD"/>
    <w:rsid w:val="00BA6ED0"/>
    <w:rsid w:val="00BA7088"/>
    <w:rsid w:val="00BA7110"/>
    <w:rsid w:val="00BA71F8"/>
    <w:rsid w:val="00BA72B4"/>
    <w:rsid w:val="00BA7484"/>
    <w:rsid w:val="00BA77D2"/>
    <w:rsid w:val="00BA7AA0"/>
    <w:rsid w:val="00BA7B49"/>
    <w:rsid w:val="00BA7D87"/>
    <w:rsid w:val="00BA7E22"/>
    <w:rsid w:val="00BA7FBD"/>
    <w:rsid w:val="00BB00F5"/>
    <w:rsid w:val="00BB0424"/>
    <w:rsid w:val="00BB057E"/>
    <w:rsid w:val="00BB05D2"/>
    <w:rsid w:val="00BB0799"/>
    <w:rsid w:val="00BB0857"/>
    <w:rsid w:val="00BB0AC6"/>
    <w:rsid w:val="00BB0BAE"/>
    <w:rsid w:val="00BB0E25"/>
    <w:rsid w:val="00BB0ECE"/>
    <w:rsid w:val="00BB0F84"/>
    <w:rsid w:val="00BB1061"/>
    <w:rsid w:val="00BB134A"/>
    <w:rsid w:val="00BB170D"/>
    <w:rsid w:val="00BB1820"/>
    <w:rsid w:val="00BB1874"/>
    <w:rsid w:val="00BB1A83"/>
    <w:rsid w:val="00BB1B11"/>
    <w:rsid w:val="00BB1E10"/>
    <w:rsid w:val="00BB20FE"/>
    <w:rsid w:val="00BB2102"/>
    <w:rsid w:val="00BB21AF"/>
    <w:rsid w:val="00BB2301"/>
    <w:rsid w:val="00BB24B6"/>
    <w:rsid w:val="00BB28B5"/>
    <w:rsid w:val="00BB2A3B"/>
    <w:rsid w:val="00BB2D16"/>
    <w:rsid w:val="00BB2E9F"/>
    <w:rsid w:val="00BB2EB2"/>
    <w:rsid w:val="00BB303A"/>
    <w:rsid w:val="00BB3070"/>
    <w:rsid w:val="00BB3402"/>
    <w:rsid w:val="00BB36B2"/>
    <w:rsid w:val="00BB37A2"/>
    <w:rsid w:val="00BB3872"/>
    <w:rsid w:val="00BB3949"/>
    <w:rsid w:val="00BB3BFF"/>
    <w:rsid w:val="00BB3E2A"/>
    <w:rsid w:val="00BB3FB0"/>
    <w:rsid w:val="00BB4227"/>
    <w:rsid w:val="00BB4AA7"/>
    <w:rsid w:val="00BB4C1A"/>
    <w:rsid w:val="00BB5089"/>
    <w:rsid w:val="00BB51BF"/>
    <w:rsid w:val="00BB51DE"/>
    <w:rsid w:val="00BB5599"/>
    <w:rsid w:val="00BB5831"/>
    <w:rsid w:val="00BB5E63"/>
    <w:rsid w:val="00BB5FC3"/>
    <w:rsid w:val="00BB5FCC"/>
    <w:rsid w:val="00BB6103"/>
    <w:rsid w:val="00BB61EE"/>
    <w:rsid w:val="00BB6321"/>
    <w:rsid w:val="00BB641C"/>
    <w:rsid w:val="00BB662D"/>
    <w:rsid w:val="00BB66B0"/>
    <w:rsid w:val="00BB699D"/>
    <w:rsid w:val="00BB69E9"/>
    <w:rsid w:val="00BB69FC"/>
    <w:rsid w:val="00BB6AEB"/>
    <w:rsid w:val="00BB6DD3"/>
    <w:rsid w:val="00BB6EBC"/>
    <w:rsid w:val="00BB70EC"/>
    <w:rsid w:val="00BB7395"/>
    <w:rsid w:val="00BB75C0"/>
    <w:rsid w:val="00BB76AF"/>
    <w:rsid w:val="00BB79E1"/>
    <w:rsid w:val="00BB7A06"/>
    <w:rsid w:val="00BB7D3B"/>
    <w:rsid w:val="00BB7DFB"/>
    <w:rsid w:val="00BB7FE5"/>
    <w:rsid w:val="00BBC445"/>
    <w:rsid w:val="00BC03B6"/>
    <w:rsid w:val="00BC0600"/>
    <w:rsid w:val="00BC07F3"/>
    <w:rsid w:val="00BC0A7D"/>
    <w:rsid w:val="00BC0C02"/>
    <w:rsid w:val="00BC0C07"/>
    <w:rsid w:val="00BC0DD0"/>
    <w:rsid w:val="00BC114E"/>
    <w:rsid w:val="00BC11C8"/>
    <w:rsid w:val="00BC130D"/>
    <w:rsid w:val="00BC1436"/>
    <w:rsid w:val="00BC154D"/>
    <w:rsid w:val="00BC16B5"/>
    <w:rsid w:val="00BC1950"/>
    <w:rsid w:val="00BC1C86"/>
    <w:rsid w:val="00BC1C96"/>
    <w:rsid w:val="00BC1D8E"/>
    <w:rsid w:val="00BC1DC4"/>
    <w:rsid w:val="00BC1EDA"/>
    <w:rsid w:val="00BC1F33"/>
    <w:rsid w:val="00BC1FB1"/>
    <w:rsid w:val="00BC203F"/>
    <w:rsid w:val="00BC2126"/>
    <w:rsid w:val="00BC22C2"/>
    <w:rsid w:val="00BC22C3"/>
    <w:rsid w:val="00BC237A"/>
    <w:rsid w:val="00BC243E"/>
    <w:rsid w:val="00BC27C8"/>
    <w:rsid w:val="00BC2B68"/>
    <w:rsid w:val="00BC2BC1"/>
    <w:rsid w:val="00BC2CC4"/>
    <w:rsid w:val="00BC2D23"/>
    <w:rsid w:val="00BC2D26"/>
    <w:rsid w:val="00BC2DA3"/>
    <w:rsid w:val="00BC2EDE"/>
    <w:rsid w:val="00BC2EFF"/>
    <w:rsid w:val="00BC2FEA"/>
    <w:rsid w:val="00BC30C0"/>
    <w:rsid w:val="00BC319A"/>
    <w:rsid w:val="00BC32DF"/>
    <w:rsid w:val="00BC3306"/>
    <w:rsid w:val="00BC3647"/>
    <w:rsid w:val="00BC3C6E"/>
    <w:rsid w:val="00BC3CC7"/>
    <w:rsid w:val="00BC3D88"/>
    <w:rsid w:val="00BC3F93"/>
    <w:rsid w:val="00BC4600"/>
    <w:rsid w:val="00BC4625"/>
    <w:rsid w:val="00BC49B4"/>
    <w:rsid w:val="00BC4A49"/>
    <w:rsid w:val="00BC4AC7"/>
    <w:rsid w:val="00BC4BE3"/>
    <w:rsid w:val="00BC4F17"/>
    <w:rsid w:val="00BC5371"/>
    <w:rsid w:val="00BC53CD"/>
    <w:rsid w:val="00BC5407"/>
    <w:rsid w:val="00BC565A"/>
    <w:rsid w:val="00BC5735"/>
    <w:rsid w:val="00BC57D7"/>
    <w:rsid w:val="00BC57EA"/>
    <w:rsid w:val="00BC5A23"/>
    <w:rsid w:val="00BC5BA1"/>
    <w:rsid w:val="00BC5C87"/>
    <w:rsid w:val="00BC5EB8"/>
    <w:rsid w:val="00BC5FAB"/>
    <w:rsid w:val="00BC60AF"/>
    <w:rsid w:val="00BC629E"/>
    <w:rsid w:val="00BC6633"/>
    <w:rsid w:val="00BC6767"/>
    <w:rsid w:val="00BC6A77"/>
    <w:rsid w:val="00BC6B1F"/>
    <w:rsid w:val="00BC6B35"/>
    <w:rsid w:val="00BC6C99"/>
    <w:rsid w:val="00BC6D28"/>
    <w:rsid w:val="00BC6E80"/>
    <w:rsid w:val="00BC712F"/>
    <w:rsid w:val="00BC7131"/>
    <w:rsid w:val="00BC71DC"/>
    <w:rsid w:val="00BC7350"/>
    <w:rsid w:val="00BC7510"/>
    <w:rsid w:val="00BC76EE"/>
    <w:rsid w:val="00BC78FB"/>
    <w:rsid w:val="00BC7B52"/>
    <w:rsid w:val="00BC7BE0"/>
    <w:rsid w:val="00BC7CD2"/>
    <w:rsid w:val="00BCF226"/>
    <w:rsid w:val="00BD002D"/>
    <w:rsid w:val="00BD05B0"/>
    <w:rsid w:val="00BD081E"/>
    <w:rsid w:val="00BD0948"/>
    <w:rsid w:val="00BD0AC4"/>
    <w:rsid w:val="00BD0B9F"/>
    <w:rsid w:val="00BD0CA1"/>
    <w:rsid w:val="00BD0F1D"/>
    <w:rsid w:val="00BD123E"/>
    <w:rsid w:val="00BD13BB"/>
    <w:rsid w:val="00BD14E1"/>
    <w:rsid w:val="00BD14E5"/>
    <w:rsid w:val="00BD16F6"/>
    <w:rsid w:val="00BD1793"/>
    <w:rsid w:val="00BD1AA2"/>
    <w:rsid w:val="00BD1AF1"/>
    <w:rsid w:val="00BD1C3C"/>
    <w:rsid w:val="00BD24AC"/>
    <w:rsid w:val="00BD2602"/>
    <w:rsid w:val="00BD26FC"/>
    <w:rsid w:val="00BD2909"/>
    <w:rsid w:val="00BD2A5C"/>
    <w:rsid w:val="00BD2A7F"/>
    <w:rsid w:val="00BD2C12"/>
    <w:rsid w:val="00BD30D2"/>
    <w:rsid w:val="00BD31F6"/>
    <w:rsid w:val="00BD3260"/>
    <w:rsid w:val="00BD33F6"/>
    <w:rsid w:val="00BD342F"/>
    <w:rsid w:val="00BD3502"/>
    <w:rsid w:val="00BD36DE"/>
    <w:rsid w:val="00BD37C6"/>
    <w:rsid w:val="00BD3B7F"/>
    <w:rsid w:val="00BD3D06"/>
    <w:rsid w:val="00BD3D0A"/>
    <w:rsid w:val="00BD3EC4"/>
    <w:rsid w:val="00BD4050"/>
    <w:rsid w:val="00BD4136"/>
    <w:rsid w:val="00BD43E1"/>
    <w:rsid w:val="00BD4482"/>
    <w:rsid w:val="00BD452E"/>
    <w:rsid w:val="00BD4547"/>
    <w:rsid w:val="00BD45F2"/>
    <w:rsid w:val="00BD4630"/>
    <w:rsid w:val="00BD47AD"/>
    <w:rsid w:val="00BD4908"/>
    <w:rsid w:val="00BD4ACD"/>
    <w:rsid w:val="00BD4CBC"/>
    <w:rsid w:val="00BD4D48"/>
    <w:rsid w:val="00BD4FA1"/>
    <w:rsid w:val="00BD5055"/>
    <w:rsid w:val="00BD5063"/>
    <w:rsid w:val="00BD50FD"/>
    <w:rsid w:val="00BD541B"/>
    <w:rsid w:val="00BD54AB"/>
    <w:rsid w:val="00BD555C"/>
    <w:rsid w:val="00BD55DE"/>
    <w:rsid w:val="00BD5934"/>
    <w:rsid w:val="00BD59E9"/>
    <w:rsid w:val="00BD5AD4"/>
    <w:rsid w:val="00BD5BB9"/>
    <w:rsid w:val="00BD5BEC"/>
    <w:rsid w:val="00BD5D94"/>
    <w:rsid w:val="00BD5E43"/>
    <w:rsid w:val="00BD5F0D"/>
    <w:rsid w:val="00BD601C"/>
    <w:rsid w:val="00BD604D"/>
    <w:rsid w:val="00BD6178"/>
    <w:rsid w:val="00BD620F"/>
    <w:rsid w:val="00BD6660"/>
    <w:rsid w:val="00BD66A2"/>
    <w:rsid w:val="00BD6739"/>
    <w:rsid w:val="00BD6746"/>
    <w:rsid w:val="00BD67AB"/>
    <w:rsid w:val="00BD6B19"/>
    <w:rsid w:val="00BD6D9B"/>
    <w:rsid w:val="00BD6DBD"/>
    <w:rsid w:val="00BD6EF4"/>
    <w:rsid w:val="00BD723E"/>
    <w:rsid w:val="00BD72B0"/>
    <w:rsid w:val="00BD72B6"/>
    <w:rsid w:val="00BD73D2"/>
    <w:rsid w:val="00BD7402"/>
    <w:rsid w:val="00BD7505"/>
    <w:rsid w:val="00BD7868"/>
    <w:rsid w:val="00BD793A"/>
    <w:rsid w:val="00BD793F"/>
    <w:rsid w:val="00BD796F"/>
    <w:rsid w:val="00BD7A86"/>
    <w:rsid w:val="00BD7B94"/>
    <w:rsid w:val="00BD7BBF"/>
    <w:rsid w:val="00BD7CD3"/>
    <w:rsid w:val="00BD7DC4"/>
    <w:rsid w:val="00BD7E1A"/>
    <w:rsid w:val="00BE0361"/>
    <w:rsid w:val="00BE0504"/>
    <w:rsid w:val="00BE059D"/>
    <w:rsid w:val="00BE061C"/>
    <w:rsid w:val="00BE087D"/>
    <w:rsid w:val="00BE091C"/>
    <w:rsid w:val="00BE09CA"/>
    <w:rsid w:val="00BE0A2F"/>
    <w:rsid w:val="00BE0AB2"/>
    <w:rsid w:val="00BE0B0A"/>
    <w:rsid w:val="00BE0B63"/>
    <w:rsid w:val="00BE0D67"/>
    <w:rsid w:val="00BE0E13"/>
    <w:rsid w:val="00BE133D"/>
    <w:rsid w:val="00BE14C1"/>
    <w:rsid w:val="00BE15F7"/>
    <w:rsid w:val="00BE167E"/>
    <w:rsid w:val="00BE16E6"/>
    <w:rsid w:val="00BE1825"/>
    <w:rsid w:val="00BE194A"/>
    <w:rsid w:val="00BE1958"/>
    <w:rsid w:val="00BE19C6"/>
    <w:rsid w:val="00BE1A1A"/>
    <w:rsid w:val="00BE1B7C"/>
    <w:rsid w:val="00BE1C35"/>
    <w:rsid w:val="00BE1D8F"/>
    <w:rsid w:val="00BE1D99"/>
    <w:rsid w:val="00BE207E"/>
    <w:rsid w:val="00BE22CE"/>
    <w:rsid w:val="00BE241E"/>
    <w:rsid w:val="00BE255B"/>
    <w:rsid w:val="00BE257E"/>
    <w:rsid w:val="00BE2674"/>
    <w:rsid w:val="00BE2A3A"/>
    <w:rsid w:val="00BE2CBE"/>
    <w:rsid w:val="00BE2F41"/>
    <w:rsid w:val="00BE2F53"/>
    <w:rsid w:val="00BE3157"/>
    <w:rsid w:val="00BE3301"/>
    <w:rsid w:val="00BE3494"/>
    <w:rsid w:val="00BE365B"/>
    <w:rsid w:val="00BE36AD"/>
    <w:rsid w:val="00BE3B08"/>
    <w:rsid w:val="00BE3BC9"/>
    <w:rsid w:val="00BE4177"/>
    <w:rsid w:val="00BE4457"/>
    <w:rsid w:val="00BE4470"/>
    <w:rsid w:val="00BE44A6"/>
    <w:rsid w:val="00BE497B"/>
    <w:rsid w:val="00BE4A90"/>
    <w:rsid w:val="00BE4C2E"/>
    <w:rsid w:val="00BE4DE6"/>
    <w:rsid w:val="00BE4FC4"/>
    <w:rsid w:val="00BE5118"/>
    <w:rsid w:val="00BE514E"/>
    <w:rsid w:val="00BE54C8"/>
    <w:rsid w:val="00BE556B"/>
    <w:rsid w:val="00BE5859"/>
    <w:rsid w:val="00BE5896"/>
    <w:rsid w:val="00BE596A"/>
    <w:rsid w:val="00BE5A90"/>
    <w:rsid w:val="00BE5A99"/>
    <w:rsid w:val="00BE5DFB"/>
    <w:rsid w:val="00BE5F04"/>
    <w:rsid w:val="00BE6001"/>
    <w:rsid w:val="00BE6156"/>
    <w:rsid w:val="00BE65DD"/>
    <w:rsid w:val="00BE6696"/>
    <w:rsid w:val="00BE66F1"/>
    <w:rsid w:val="00BE68E6"/>
    <w:rsid w:val="00BE6904"/>
    <w:rsid w:val="00BE6972"/>
    <w:rsid w:val="00BE6C29"/>
    <w:rsid w:val="00BE6E2E"/>
    <w:rsid w:val="00BE76E1"/>
    <w:rsid w:val="00BE789C"/>
    <w:rsid w:val="00BE796F"/>
    <w:rsid w:val="00BE7ADB"/>
    <w:rsid w:val="00BE7BA9"/>
    <w:rsid w:val="00BE7C55"/>
    <w:rsid w:val="00BE7EEB"/>
    <w:rsid w:val="00BE7EF6"/>
    <w:rsid w:val="00BE7FB4"/>
    <w:rsid w:val="00BF0031"/>
    <w:rsid w:val="00BF0679"/>
    <w:rsid w:val="00BF0772"/>
    <w:rsid w:val="00BF0AB6"/>
    <w:rsid w:val="00BF0BBC"/>
    <w:rsid w:val="00BF0C9C"/>
    <w:rsid w:val="00BF0D9F"/>
    <w:rsid w:val="00BF0E03"/>
    <w:rsid w:val="00BF0E2F"/>
    <w:rsid w:val="00BF0FDF"/>
    <w:rsid w:val="00BF108B"/>
    <w:rsid w:val="00BF10B6"/>
    <w:rsid w:val="00BF1249"/>
    <w:rsid w:val="00BF15E7"/>
    <w:rsid w:val="00BF1717"/>
    <w:rsid w:val="00BF18E2"/>
    <w:rsid w:val="00BF1961"/>
    <w:rsid w:val="00BF1A8E"/>
    <w:rsid w:val="00BF1F94"/>
    <w:rsid w:val="00BF21CB"/>
    <w:rsid w:val="00BF2394"/>
    <w:rsid w:val="00BF2410"/>
    <w:rsid w:val="00BF24AD"/>
    <w:rsid w:val="00BF25CA"/>
    <w:rsid w:val="00BF2C42"/>
    <w:rsid w:val="00BF2CA5"/>
    <w:rsid w:val="00BF2DB0"/>
    <w:rsid w:val="00BF2E2A"/>
    <w:rsid w:val="00BF315F"/>
    <w:rsid w:val="00BF31A7"/>
    <w:rsid w:val="00BF329E"/>
    <w:rsid w:val="00BF3589"/>
    <w:rsid w:val="00BF37BC"/>
    <w:rsid w:val="00BF3881"/>
    <w:rsid w:val="00BF39D4"/>
    <w:rsid w:val="00BF3A99"/>
    <w:rsid w:val="00BF3B54"/>
    <w:rsid w:val="00BF3C3B"/>
    <w:rsid w:val="00BF3C93"/>
    <w:rsid w:val="00BF3E1C"/>
    <w:rsid w:val="00BF3ED8"/>
    <w:rsid w:val="00BF43ED"/>
    <w:rsid w:val="00BF445F"/>
    <w:rsid w:val="00BF46AC"/>
    <w:rsid w:val="00BF4ACD"/>
    <w:rsid w:val="00BF4B03"/>
    <w:rsid w:val="00BF4B72"/>
    <w:rsid w:val="00BF4C30"/>
    <w:rsid w:val="00BF4C79"/>
    <w:rsid w:val="00BF4C99"/>
    <w:rsid w:val="00BF4E31"/>
    <w:rsid w:val="00BF4EDD"/>
    <w:rsid w:val="00BF5393"/>
    <w:rsid w:val="00BF54D5"/>
    <w:rsid w:val="00BF54DB"/>
    <w:rsid w:val="00BF577A"/>
    <w:rsid w:val="00BF5856"/>
    <w:rsid w:val="00BF5C20"/>
    <w:rsid w:val="00BF5D58"/>
    <w:rsid w:val="00BF6153"/>
    <w:rsid w:val="00BF6175"/>
    <w:rsid w:val="00BF61C1"/>
    <w:rsid w:val="00BF66B3"/>
    <w:rsid w:val="00BF685A"/>
    <w:rsid w:val="00BF693E"/>
    <w:rsid w:val="00BF6AA0"/>
    <w:rsid w:val="00BF6ADF"/>
    <w:rsid w:val="00BF6C9E"/>
    <w:rsid w:val="00BF6EFF"/>
    <w:rsid w:val="00BF7279"/>
    <w:rsid w:val="00BF742E"/>
    <w:rsid w:val="00BF74D3"/>
    <w:rsid w:val="00BF76C5"/>
    <w:rsid w:val="00BF7745"/>
    <w:rsid w:val="00BF775E"/>
    <w:rsid w:val="00BF779F"/>
    <w:rsid w:val="00BF79BC"/>
    <w:rsid w:val="00BF7D1A"/>
    <w:rsid w:val="00C000BA"/>
    <w:rsid w:val="00C005C7"/>
    <w:rsid w:val="00C0088C"/>
    <w:rsid w:val="00C008ED"/>
    <w:rsid w:val="00C00A89"/>
    <w:rsid w:val="00C00AFA"/>
    <w:rsid w:val="00C00C52"/>
    <w:rsid w:val="00C00D75"/>
    <w:rsid w:val="00C00DD6"/>
    <w:rsid w:val="00C00E04"/>
    <w:rsid w:val="00C00E26"/>
    <w:rsid w:val="00C012C9"/>
    <w:rsid w:val="00C01400"/>
    <w:rsid w:val="00C015F9"/>
    <w:rsid w:val="00C018CF"/>
    <w:rsid w:val="00C0190E"/>
    <w:rsid w:val="00C01A50"/>
    <w:rsid w:val="00C01A6A"/>
    <w:rsid w:val="00C01BA6"/>
    <w:rsid w:val="00C01D86"/>
    <w:rsid w:val="00C01FD2"/>
    <w:rsid w:val="00C020F6"/>
    <w:rsid w:val="00C0231C"/>
    <w:rsid w:val="00C023E1"/>
    <w:rsid w:val="00C0253B"/>
    <w:rsid w:val="00C0281F"/>
    <w:rsid w:val="00C028C9"/>
    <w:rsid w:val="00C02D19"/>
    <w:rsid w:val="00C02D61"/>
    <w:rsid w:val="00C02F39"/>
    <w:rsid w:val="00C03055"/>
    <w:rsid w:val="00C0319B"/>
    <w:rsid w:val="00C0321C"/>
    <w:rsid w:val="00C03291"/>
    <w:rsid w:val="00C03694"/>
    <w:rsid w:val="00C03A8C"/>
    <w:rsid w:val="00C03A94"/>
    <w:rsid w:val="00C03CCD"/>
    <w:rsid w:val="00C03D64"/>
    <w:rsid w:val="00C03E07"/>
    <w:rsid w:val="00C03E54"/>
    <w:rsid w:val="00C03E94"/>
    <w:rsid w:val="00C03F25"/>
    <w:rsid w:val="00C03FAB"/>
    <w:rsid w:val="00C03FBE"/>
    <w:rsid w:val="00C03FF2"/>
    <w:rsid w:val="00C04017"/>
    <w:rsid w:val="00C040B2"/>
    <w:rsid w:val="00C04454"/>
    <w:rsid w:val="00C0462E"/>
    <w:rsid w:val="00C04657"/>
    <w:rsid w:val="00C04725"/>
    <w:rsid w:val="00C04946"/>
    <w:rsid w:val="00C04A48"/>
    <w:rsid w:val="00C04A6E"/>
    <w:rsid w:val="00C04EA8"/>
    <w:rsid w:val="00C04F70"/>
    <w:rsid w:val="00C04FC7"/>
    <w:rsid w:val="00C050D7"/>
    <w:rsid w:val="00C05313"/>
    <w:rsid w:val="00C053A2"/>
    <w:rsid w:val="00C053FC"/>
    <w:rsid w:val="00C055E1"/>
    <w:rsid w:val="00C0563C"/>
    <w:rsid w:val="00C056A3"/>
    <w:rsid w:val="00C057A3"/>
    <w:rsid w:val="00C058C1"/>
    <w:rsid w:val="00C058E2"/>
    <w:rsid w:val="00C05D8C"/>
    <w:rsid w:val="00C06005"/>
    <w:rsid w:val="00C06017"/>
    <w:rsid w:val="00C060A9"/>
    <w:rsid w:val="00C062CC"/>
    <w:rsid w:val="00C062F1"/>
    <w:rsid w:val="00C06620"/>
    <w:rsid w:val="00C06666"/>
    <w:rsid w:val="00C06897"/>
    <w:rsid w:val="00C069C6"/>
    <w:rsid w:val="00C06A41"/>
    <w:rsid w:val="00C06B0E"/>
    <w:rsid w:val="00C06C58"/>
    <w:rsid w:val="00C06C88"/>
    <w:rsid w:val="00C06D20"/>
    <w:rsid w:val="00C06DDC"/>
    <w:rsid w:val="00C07051"/>
    <w:rsid w:val="00C0709E"/>
    <w:rsid w:val="00C0714C"/>
    <w:rsid w:val="00C071F7"/>
    <w:rsid w:val="00C07258"/>
    <w:rsid w:val="00C07284"/>
    <w:rsid w:val="00C07378"/>
    <w:rsid w:val="00C0766D"/>
    <w:rsid w:val="00C076F0"/>
    <w:rsid w:val="00C07713"/>
    <w:rsid w:val="00C077AA"/>
    <w:rsid w:val="00C07827"/>
    <w:rsid w:val="00C078CF"/>
    <w:rsid w:val="00C0792F"/>
    <w:rsid w:val="00C07ADF"/>
    <w:rsid w:val="00C07C12"/>
    <w:rsid w:val="00C07CCB"/>
    <w:rsid w:val="00C07D1D"/>
    <w:rsid w:val="00C07E35"/>
    <w:rsid w:val="00C07ED3"/>
    <w:rsid w:val="00C07F73"/>
    <w:rsid w:val="00C10272"/>
    <w:rsid w:val="00C108FB"/>
    <w:rsid w:val="00C10A2B"/>
    <w:rsid w:val="00C10C88"/>
    <w:rsid w:val="00C10CE0"/>
    <w:rsid w:val="00C10EBD"/>
    <w:rsid w:val="00C111A2"/>
    <w:rsid w:val="00C11434"/>
    <w:rsid w:val="00C1157D"/>
    <w:rsid w:val="00C11634"/>
    <w:rsid w:val="00C1172A"/>
    <w:rsid w:val="00C117D9"/>
    <w:rsid w:val="00C11B32"/>
    <w:rsid w:val="00C11CFC"/>
    <w:rsid w:val="00C11E2A"/>
    <w:rsid w:val="00C11EBF"/>
    <w:rsid w:val="00C11F95"/>
    <w:rsid w:val="00C121F0"/>
    <w:rsid w:val="00C122C3"/>
    <w:rsid w:val="00C1240A"/>
    <w:rsid w:val="00C126E5"/>
    <w:rsid w:val="00C12740"/>
    <w:rsid w:val="00C1284E"/>
    <w:rsid w:val="00C12B65"/>
    <w:rsid w:val="00C12C54"/>
    <w:rsid w:val="00C1300C"/>
    <w:rsid w:val="00C132EA"/>
    <w:rsid w:val="00C1339D"/>
    <w:rsid w:val="00C13420"/>
    <w:rsid w:val="00C13572"/>
    <w:rsid w:val="00C1365A"/>
    <w:rsid w:val="00C137AC"/>
    <w:rsid w:val="00C137D1"/>
    <w:rsid w:val="00C13831"/>
    <w:rsid w:val="00C13C8F"/>
    <w:rsid w:val="00C13DC9"/>
    <w:rsid w:val="00C13EB8"/>
    <w:rsid w:val="00C140FC"/>
    <w:rsid w:val="00C1417D"/>
    <w:rsid w:val="00C1418E"/>
    <w:rsid w:val="00C14222"/>
    <w:rsid w:val="00C142EA"/>
    <w:rsid w:val="00C1447A"/>
    <w:rsid w:val="00C144D6"/>
    <w:rsid w:val="00C14616"/>
    <w:rsid w:val="00C14621"/>
    <w:rsid w:val="00C146C5"/>
    <w:rsid w:val="00C148E6"/>
    <w:rsid w:val="00C14F35"/>
    <w:rsid w:val="00C150D0"/>
    <w:rsid w:val="00C150EC"/>
    <w:rsid w:val="00C153B9"/>
    <w:rsid w:val="00C155C3"/>
    <w:rsid w:val="00C1571C"/>
    <w:rsid w:val="00C1586B"/>
    <w:rsid w:val="00C159DA"/>
    <w:rsid w:val="00C15AAD"/>
    <w:rsid w:val="00C15BDA"/>
    <w:rsid w:val="00C15F72"/>
    <w:rsid w:val="00C15FA6"/>
    <w:rsid w:val="00C15FB3"/>
    <w:rsid w:val="00C16106"/>
    <w:rsid w:val="00C16163"/>
    <w:rsid w:val="00C16301"/>
    <w:rsid w:val="00C16331"/>
    <w:rsid w:val="00C16595"/>
    <w:rsid w:val="00C16660"/>
    <w:rsid w:val="00C1666E"/>
    <w:rsid w:val="00C166D3"/>
    <w:rsid w:val="00C1672D"/>
    <w:rsid w:val="00C16B91"/>
    <w:rsid w:val="00C16BAE"/>
    <w:rsid w:val="00C16C93"/>
    <w:rsid w:val="00C16DB3"/>
    <w:rsid w:val="00C16EC8"/>
    <w:rsid w:val="00C1701A"/>
    <w:rsid w:val="00C1701E"/>
    <w:rsid w:val="00C170CF"/>
    <w:rsid w:val="00C1740A"/>
    <w:rsid w:val="00C17460"/>
    <w:rsid w:val="00C1746C"/>
    <w:rsid w:val="00C174BE"/>
    <w:rsid w:val="00C17551"/>
    <w:rsid w:val="00C1774E"/>
    <w:rsid w:val="00C17873"/>
    <w:rsid w:val="00C1787E"/>
    <w:rsid w:val="00C178EC"/>
    <w:rsid w:val="00C17939"/>
    <w:rsid w:val="00C17E47"/>
    <w:rsid w:val="00C17E52"/>
    <w:rsid w:val="00C17FD8"/>
    <w:rsid w:val="00C201D7"/>
    <w:rsid w:val="00C20357"/>
    <w:rsid w:val="00C20637"/>
    <w:rsid w:val="00C206EE"/>
    <w:rsid w:val="00C2086F"/>
    <w:rsid w:val="00C20870"/>
    <w:rsid w:val="00C20A16"/>
    <w:rsid w:val="00C20B91"/>
    <w:rsid w:val="00C20BCC"/>
    <w:rsid w:val="00C20BF5"/>
    <w:rsid w:val="00C20C01"/>
    <w:rsid w:val="00C210DF"/>
    <w:rsid w:val="00C21327"/>
    <w:rsid w:val="00C216DC"/>
    <w:rsid w:val="00C21780"/>
    <w:rsid w:val="00C2189F"/>
    <w:rsid w:val="00C21A2F"/>
    <w:rsid w:val="00C21AF5"/>
    <w:rsid w:val="00C21F45"/>
    <w:rsid w:val="00C21FE3"/>
    <w:rsid w:val="00C220A4"/>
    <w:rsid w:val="00C22143"/>
    <w:rsid w:val="00C22236"/>
    <w:rsid w:val="00C2255A"/>
    <w:rsid w:val="00C2258E"/>
    <w:rsid w:val="00C22637"/>
    <w:rsid w:val="00C2283C"/>
    <w:rsid w:val="00C22C69"/>
    <w:rsid w:val="00C22FAF"/>
    <w:rsid w:val="00C23474"/>
    <w:rsid w:val="00C23537"/>
    <w:rsid w:val="00C235EA"/>
    <w:rsid w:val="00C23611"/>
    <w:rsid w:val="00C2368A"/>
    <w:rsid w:val="00C2393C"/>
    <w:rsid w:val="00C2395C"/>
    <w:rsid w:val="00C23AC4"/>
    <w:rsid w:val="00C23AD4"/>
    <w:rsid w:val="00C23C84"/>
    <w:rsid w:val="00C23CE4"/>
    <w:rsid w:val="00C23D73"/>
    <w:rsid w:val="00C23E69"/>
    <w:rsid w:val="00C24101"/>
    <w:rsid w:val="00C242B7"/>
    <w:rsid w:val="00C24554"/>
    <w:rsid w:val="00C2457F"/>
    <w:rsid w:val="00C245C7"/>
    <w:rsid w:val="00C246BA"/>
    <w:rsid w:val="00C2471F"/>
    <w:rsid w:val="00C24832"/>
    <w:rsid w:val="00C24867"/>
    <w:rsid w:val="00C24BD4"/>
    <w:rsid w:val="00C24BDF"/>
    <w:rsid w:val="00C24C2F"/>
    <w:rsid w:val="00C24D3D"/>
    <w:rsid w:val="00C24DB7"/>
    <w:rsid w:val="00C24E43"/>
    <w:rsid w:val="00C24F22"/>
    <w:rsid w:val="00C25194"/>
    <w:rsid w:val="00C251E7"/>
    <w:rsid w:val="00C25437"/>
    <w:rsid w:val="00C2570A"/>
    <w:rsid w:val="00C2579A"/>
    <w:rsid w:val="00C25AA2"/>
    <w:rsid w:val="00C25CB0"/>
    <w:rsid w:val="00C25F16"/>
    <w:rsid w:val="00C25F3E"/>
    <w:rsid w:val="00C26240"/>
    <w:rsid w:val="00C262A3"/>
    <w:rsid w:val="00C26358"/>
    <w:rsid w:val="00C2659A"/>
    <w:rsid w:val="00C26772"/>
    <w:rsid w:val="00C26B9D"/>
    <w:rsid w:val="00C26C46"/>
    <w:rsid w:val="00C26D32"/>
    <w:rsid w:val="00C26FC9"/>
    <w:rsid w:val="00C270F3"/>
    <w:rsid w:val="00C272E7"/>
    <w:rsid w:val="00C2756B"/>
    <w:rsid w:val="00C27639"/>
    <w:rsid w:val="00C2793F"/>
    <w:rsid w:val="00C27AF1"/>
    <w:rsid w:val="00C27D71"/>
    <w:rsid w:val="00C27F1C"/>
    <w:rsid w:val="00C30062"/>
    <w:rsid w:val="00C30117"/>
    <w:rsid w:val="00C30322"/>
    <w:rsid w:val="00C303ED"/>
    <w:rsid w:val="00C30490"/>
    <w:rsid w:val="00C3052E"/>
    <w:rsid w:val="00C309D7"/>
    <w:rsid w:val="00C30B60"/>
    <w:rsid w:val="00C30D0B"/>
    <w:rsid w:val="00C31158"/>
    <w:rsid w:val="00C31211"/>
    <w:rsid w:val="00C3121F"/>
    <w:rsid w:val="00C31440"/>
    <w:rsid w:val="00C314B9"/>
    <w:rsid w:val="00C317DE"/>
    <w:rsid w:val="00C31841"/>
    <w:rsid w:val="00C318BA"/>
    <w:rsid w:val="00C31989"/>
    <w:rsid w:val="00C319CA"/>
    <w:rsid w:val="00C31A09"/>
    <w:rsid w:val="00C31A65"/>
    <w:rsid w:val="00C31B21"/>
    <w:rsid w:val="00C31C69"/>
    <w:rsid w:val="00C31EC7"/>
    <w:rsid w:val="00C31F04"/>
    <w:rsid w:val="00C32138"/>
    <w:rsid w:val="00C322A8"/>
    <w:rsid w:val="00C32584"/>
    <w:rsid w:val="00C326F7"/>
    <w:rsid w:val="00C3273A"/>
    <w:rsid w:val="00C32807"/>
    <w:rsid w:val="00C32A48"/>
    <w:rsid w:val="00C32D17"/>
    <w:rsid w:val="00C32E74"/>
    <w:rsid w:val="00C33068"/>
    <w:rsid w:val="00C330A3"/>
    <w:rsid w:val="00C334C9"/>
    <w:rsid w:val="00C3359A"/>
    <w:rsid w:val="00C335AF"/>
    <w:rsid w:val="00C33940"/>
    <w:rsid w:val="00C3399E"/>
    <w:rsid w:val="00C33A39"/>
    <w:rsid w:val="00C33B24"/>
    <w:rsid w:val="00C33C3C"/>
    <w:rsid w:val="00C33C78"/>
    <w:rsid w:val="00C33CAF"/>
    <w:rsid w:val="00C3406C"/>
    <w:rsid w:val="00C344EB"/>
    <w:rsid w:val="00C346D4"/>
    <w:rsid w:val="00C349DC"/>
    <w:rsid w:val="00C34AE7"/>
    <w:rsid w:val="00C34C9B"/>
    <w:rsid w:val="00C34E72"/>
    <w:rsid w:val="00C34EF9"/>
    <w:rsid w:val="00C35278"/>
    <w:rsid w:val="00C35867"/>
    <w:rsid w:val="00C35A33"/>
    <w:rsid w:val="00C35A8B"/>
    <w:rsid w:val="00C35C3A"/>
    <w:rsid w:val="00C35EC7"/>
    <w:rsid w:val="00C362DD"/>
    <w:rsid w:val="00C36446"/>
    <w:rsid w:val="00C3658F"/>
    <w:rsid w:val="00C365E6"/>
    <w:rsid w:val="00C36993"/>
    <w:rsid w:val="00C36AB6"/>
    <w:rsid w:val="00C36B21"/>
    <w:rsid w:val="00C36B6D"/>
    <w:rsid w:val="00C36DAC"/>
    <w:rsid w:val="00C37685"/>
    <w:rsid w:val="00C376C9"/>
    <w:rsid w:val="00C3783C"/>
    <w:rsid w:val="00C3793E"/>
    <w:rsid w:val="00C3798C"/>
    <w:rsid w:val="00C37A82"/>
    <w:rsid w:val="00C37DAF"/>
    <w:rsid w:val="00C37EFE"/>
    <w:rsid w:val="00C37FB5"/>
    <w:rsid w:val="00C40317"/>
    <w:rsid w:val="00C403F7"/>
    <w:rsid w:val="00C4049C"/>
    <w:rsid w:val="00C40521"/>
    <w:rsid w:val="00C405C6"/>
    <w:rsid w:val="00C406A4"/>
    <w:rsid w:val="00C406B4"/>
    <w:rsid w:val="00C406DA"/>
    <w:rsid w:val="00C40743"/>
    <w:rsid w:val="00C40A2A"/>
    <w:rsid w:val="00C40C3F"/>
    <w:rsid w:val="00C40D17"/>
    <w:rsid w:val="00C40FA6"/>
    <w:rsid w:val="00C41057"/>
    <w:rsid w:val="00C41441"/>
    <w:rsid w:val="00C41445"/>
    <w:rsid w:val="00C4156A"/>
    <w:rsid w:val="00C41704"/>
    <w:rsid w:val="00C417F3"/>
    <w:rsid w:val="00C4190A"/>
    <w:rsid w:val="00C419F5"/>
    <w:rsid w:val="00C41C00"/>
    <w:rsid w:val="00C41DBC"/>
    <w:rsid w:val="00C41EA0"/>
    <w:rsid w:val="00C41EBC"/>
    <w:rsid w:val="00C41F0D"/>
    <w:rsid w:val="00C41F3F"/>
    <w:rsid w:val="00C42183"/>
    <w:rsid w:val="00C421DA"/>
    <w:rsid w:val="00C422B9"/>
    <w:rsid w:val="00C42310"/>
    <w:rsid w:val="00C424B8"/>
    <w:rsid w:val="00C424FB"/>
    <w:rsid w:val="00C4257E"/>
    <w:rsid w:val="00C42C1B"/>
    <w:rsid w:val="00C42F93"/>
    <w:rsid w:val="00C430C3"/>
    <w:rsid w:val="00C43299"/>
    <w:rsid w:val="00C43368"/>
    <w:rsid w:val="00C43400"/>
    <w:rsid w:val="00C43629"/>
    <w:rsid w:val="00C437F6"/>
    <w:rsid w:val="00C4382F"/>
    <w:rsid w:val="00C43A1B"/>
    <w:rsid w:val="00C43A93"/>
    <w:rsid w:val="00C43C39"/>
    <w:rsid w:val="00C43EA7"/>
    <w:rsid w:val="00C43EAA"/>
    <w:rsid w:val="00C43F2D"/>
    <w:rsid w:val="00C44277"/>
    <w:rsid w:val="00C44321"/>
    <w:rsid w:val="00C4434C"/>
    <w:rsid w:val="00C443B1"/>
    <w:rsid w:val="00C444DC"/>
    <w:rsid w:val="00C4456C"/>
    <w:rsid w:val="00C44673"/>
    <w:rsid w:val="00C44754"/>
    <w:rsid w:val="00C44A47"/>
    <w:rsid w:val="00C44A81"/>
    <w:rsid w:val="00C44BCB"/>
    <w:rsid w:val="00C4501C"/>
    <w:rsid w:val="00C45058"/>
    <w:rsid w:val="00C4532B"/>
    <w:rsid w:val="00C45715"/>
    <w:rsid w:val="00C45803"/>
    <w:rsid w:val="00C458A6"/>
    <w:rsid w:val="00C4594D"/>
    <w:rsid w:val="00C459E0"/>
    <w:rsid w:val="00C45B5E"/>
    <w:rsid w:val="00C45BF5"/>
    <w:rsid w:val="00C45BF6"/>
    <w:rsid w:val="00C45E39"/>
    <w:rsid w:val="00C45EFD"/>
    <w:rsid w:val="00C45F10"/>
    <w:rsid w:val="00C460E8"/>
    <w:rsid w:val="00C461B9"/>
    <w:rsid w:val="00C46409"/>
    <w:rsid w:val="00C4640A"/>
    <w:rsid w:val="00C46533"/>
    <w:rsid w:val="00C4685F"/>
    <w:rsid w:val="00C46A41"/>
    <w:rsid w:val="00C46B67"/>
    <w:rsid w:val="00C46C7E"/>
    <w:rsid w:val="00C46D5F"/>
    <w:rsid w:val="00C470BA"/>
    <w:rsid w:val="00C4718F"/>
    <w:rsid w:val="00C474E7"/>
    <w:rsid w:val="00C47565"/>
    <w:rsid w:val="00C47931"/>
    <w:rsid w:val="00C47A1D"/>
    <w:rsid w:val="00C47BD8"/>
    <w:rsid w:val="00C47C97"/>
    <w:rsid w:val="00C47D69"/>
    <w:rsid w:val="00C47DA1"/>
    <w:rsid w:val="00C5018B"/>
    <w:rsid w:val="00C502C6"/>
    <w:rsid w:val="00C5041C"/>
    <w:rsid w:val="00C50498"/>
    <w:rsid w:val="00C50995"/>
    <w:rsid w:val="00C5099D"/>
    <w:rsid w:val="00C509F3"/>
    <w:rsid w:val="00C50A0D"/>
    <w:rsid w:val="00C50ADA"/>
    <w:rsid w:val="00C50BAF"/>
    <w:rsid w:val="00C50F55"/>
    <w:rsid w:val="00C50FDE"/>
    <w:rsid w:val="00C510A4"/>
    <w:rsid w:val="00C51204"/>
    <w:rsid w:val="00C5171A"/>
    <w:rsid w:val="00C5188D"/>
    <w:rsid w:val="00C519FF"/>
    <w:rsid w:val="00C51B4D"/>
    <w:rsid w:val="00C51BF2"/>
    <w:rsid w:val="00C51D72"/>
    <w:rsid w:val="00C51E02"/>
    <w:rsid w:val="00C5213F"/>
    <w:rsid w:val="00C521B0"/>
    <w:rsid w:val="00C521BD"/>
    <w:rsid w:val="00C5226F"/>
    <w:rsid w:val="00C52317"/>
    <w:rsid w:val="00C52795"/>
    <w:rsid w:val="00C52AE1"/>
    <w:rsid w:val="00C52DF4"/>
    <w:rsid w:val="00C52EED"/>
    <w:rsid w:val="00C530A6"/>
    <w:rsid w:val="00C530E1"/>
    <w:rsid w:val="00C5321A"/>
    <w:rsid w:val="00C532A6"/>
    <w:rsid w:val="00C5331C"/>
    <w:rsid w:val="00C5332B"/>
    <w:rsid w:val="00C53435"/>
    <w:rsid w:val="00C535D1"/>
    <w:rsid w:val="00C536EC"/>
    <w:rsid w:val="00C5392E"/>
    <w:rsid w:val="00C53D39"/>
    <w:rsid w:val="00C53D66"/>
    <w:rsid w:val="00C54013"/>
    <w:rsid w:val="00C54571"/>
    <w:rsid w:val="00C54820"/>
    <w:rsid w:val="00C54965"/>
    <w:rsid w:val="00C54BC8"/>
    <w:rsid w:val="00C54C0B"/>
    <w:rsid w:val="00C54D70"/>
    <w:rsid w:val="00C55027"/>
    <w:rsid w:val="00C5523D"/>
    <w:rsid w:val="00C552D3"/>
    <w:rsid w:val="00C55496"/>
    <w:rsid w:val="00C555E2"/>
    <w:rsid w:val="00C557E3"/>
    <w:rsid w:val="00C55C07"/>
    <w:rsid w:val="00C55D9C"/>
    <w:rsid w:val="00C5616B"/>
    <w:rsid w:val="00C56495"/>
    <w:rsid w:val="00C564CF"/>
    <w:rsid w:val="00C567FD"/>
    <w:rsid w:val="00C568AE"/>
    <w:rsid w:val="00C569F5"/>
    <w:rsid w:val="00C56B72"/>
    <w:rsid w:val="00C56E07"/>
    <w:rsid w:val="00C56EF9"/>
    <w:rsid w:val="00C56FC4"/>
    <w:rsid w:val="00C5715D"/>
    <w:rsid w:val="00C5789E"/>
    <w:rsid w:val="00C57A1D"/>
    <w:rsid w:val="00C57B63"/>
    <w:rsid w:val="00C57B7D"/>
    <w:rsid w:val="00C57BC2"/>
    <w:rsid w:val="00C57D73"/>
    <w:rsid w:val="00C57E07"/>
    <w:rsid w:val="00C57E58"/>
    <w:rsid w:val="00C57EBD"/>
    <w:rsid w:val="00C57EDB"/>
    <w:rsid w:val="00C6021E"/>
    <w:rsid w:val="00C60355"/>
    <w:rsid w:val="00C60587"/>
    <w:rsid w:val="00C6069D"/>
    <w:rsid w:val="00C60869"/>
    <w:rsid w:val="00C60DC2"/>
    <w:rsid w:val="00C60DFE"/>
    <w:rsid w:val="00C60E2D"/>
    <w:rsid w:val="00C60E81"/>
    <w:rsid w:val="00C60ED2"/>
    <w:rsid w:val="00C60EE2"/>
    <w:rsid w:val="00C6187B"/>
    <w:rsid w:val="00C61B42"/>
    <w:rsid w:val="00C61CCB"/>
    <w:rsid w:val="00C61E34"/>
    <w:rsid w:val="00C61FD6"/>
    <w:rsid w:val="00C626DA"/>
    <w:rsid w:val="00C62906"/>
    <w:rsid w:val="00C62A73"/>
    <w:rsid w:val="00C62AFD"/>
    <w:rsid w:val="00C62D12"/>
    <w:rsid w:val="00C62E62"/>
    <w:rsid w:val="00C62F0B"/>
    <w:rsid w:val="00C62F6D"/>
    <w:rsid w:val="00C62FA1"/>
    <w:rsid w:val="00C63183"/>
    <w:rsid w:val="00C63596"/>
    <w:rsid w:val="00C63674"/>
    <w:rsid w:val="00C6387C"/>
    <w:rsid w:val="00C6389D"/>
    <w:rsid w:val="00C63AE3"/>
    <w:rsid w:val="00C63C16"/>
    <w:rsid w:val="00C63C2D"/>
    <w:rsid w:val="00C63DA9"/>
    <w:rsid w:val="00C63FE5"/>
    <w:rsid w:val="00C64020"/>
    <w:rsid w:val="00C64591"/>
    <w:rsid w:val="00C646EE"/>
    <w:rsid w:val="00C6473D"/>
    <w:rsid w:val="00C64A71"/>
    <w:rsid w:val="00C64B30"/>
    <w:rsid w:val="00C64C69"/>
    <w:rsid w:val="00C64C8B"/>
    <w:rsid w:val="00C64DE8"/>
    <w:rsid w:val="00C64E93"/>
    <w:rsid w:val="00C64FD9"/>
    <w:rsid w:val="00C652C1"/>
    <w:rsid w:val="00C65366"/>
    <w:rsid w:val="00C65476"/>
    <w:rsid w:val="00C65590"/>
    <w:rsid w:val="00C6569B"/>
    <w:rsid w:val="00C656B9"/>
    <w:rsid w:val="00C6578C"/>
    <w:rsid w:val="00C65AB5"/>
    <w:rsid w:val="00C65C3C"/>
    <w:rsid w:val="00C65FF8"/>
    <w:rsid w:val="00C66111"/>
    <w:rsid w:val="00C66203"/>
    <w:rsid w:val="00C66260"/>
    <w:rsid w:val="00C66435"/>
    <w:rsid w:val="00C66510"/>
    <w:rsid w:val="00C665AA"/>
    <w:rsid w:val="00C667C2"/>
    <w:rsid w:val="00C66B26"/>
    <w:rsid w:val="00C66BF4"/>
    <w:rsid w:val="00C67271"/>
    <w:rsid w:val="00C6749F"/>
    <w:rsid w:val="00C674E8"/>
    <w:rsid w:val="00C677CD"/>
    <w:rsid w:val="00C67A73"/>
    <w:rsid w:val="00C67B8A"/>
    <w:rsid w:val="00C67F0E"/>
    <w:rsid w:val="00C7042C"/>
    <w:rsid w:val="00C7066F"/>
    <w:rsid w:val="00C7085D"/>
    <w:rsid w:val="00C709F6"/>
    <w:rsid w:val="00C70AE4"/>
    <w:rsid w:val="00C70AF4"/>
    <w:rsid w:val="00C70C21"/>
    <w:rsid w:val="00C70C5F"/>
    <w:rsid w:val="00C70F6E"/>
    <w:rsid w:val="00C7110D"/>
    <w:rsid w:val="00C7127E"/>
    <w:rsid w:val="00C712B0"/>
    <w:rsid w:val="00C71361"/>
    <w:rsid w:val="00C7143F"/>
    <w:rsid w:val="00C71443"/>
    <w:rsid w:val="00C71478"/>
    <w:rsid w:val="00C71678"/>
    <w:rsid w:val="00C71891"/>
    <w:rsid w:val="00C719C3"/>
    <w:rsid w:val="00C71BF2"/>
    <w:rsid w:val="00C71F2F"/>
    <w:rsid w:val="00C72110"/>
    <w:rsid w:val="00C7216B"/>
    <w:rsid w:val="00C72386"/>
    <w:rsid w:val="00C723A9"/>
    <w:rsid w:val="00C726CD"/>
    <w:rsid w:val="00C72BA9"/>
    <w:rsid w:val="00C72BD3"/>
    <w:rsid w:val="00C72CB3"/>
    <w:rsid w:val="00C72FED"/>
    <w:rsid w:val="00C733C0"/>
    <w:rsid w:val="00C7342A"/>
    <w:rsid w:val="00C73438"/>
    <w:rsid w:val="00C7355D"/>
    <w:rsid w:val="00C7389B"/>
    <w:rsid w:val="00C739BB"/>
    <w:rsid w:val="00C739F5"/>
    <w:rsid w:val="00C73E26"/>
    <w:rsid w:val="00C73F29"/>
    <w:rsid w:val="00C74249"/>
    <w:rsid w:val="00C74744"/>
    <w:rsid w:val="00C74780"/>
    <w:rsid w:val="00C74ECF"/>
    <w:rsid w:val="00C750D1"/>
    <w:rsid w:val="00C752D8"/>
    <w:rsid w:val="00C7532F"/>
    <w:rsid w:val="00C75609"/>
    <w:rsid w:val="00C75786"/>
    <w:rsid w:val="00C75934"/>
    <w:rsid w:val="00C75B26"/>
    <w:rsid w:val="00C75B5E"/>
    <w:rsid w:val="00C75C30"/>
    <w:rsid w:val="00C75D60"/>
    <w:rsid w:val="00C75DE0"/>
    <w:rsid w:val="00C75F19"/>
    <w:rsid w:val="00C7605F"/>
    <w:rsid w:val="00C76226"/>
    <w:rsid w:val="00C763E2"/>
    <w:rsid w:val="00C76681"/>
    <w:rsid w:val="00C76A7B"/>
    <w:rsid w:val="00C76A95"/>
    <w:rsid w:val="00C76D13"/>
    <w:rsid w:val="00C76EE5"/>
    <w:rsid w:val="00C773F2"/>
    <w:rsid w:val="00C774EA"/>
    <w:rsid w:val="00C7757D"/>
    <w:rsid w:val="00C775B6"/>
    <w:rsid w:val="00C77681"/>
    <w:rsid w:val="00C776B2"/>
    <w:rsid w:val="00C77E4F"/>
    <w:rsid w:val="00C77FE6"/>
    <w:rsid w:val="00C80067"/>
    <w:rsid w:val="00C800C6"/>
    <w:rsid w:val="00C8022F"/>
    <w:rsid w:val="00C80359"/>
    <w:rsid w:val="00C803CA"/>
    <w:rsid w:val="00C80483"/>
    <w:rsid w:val="00C80540"/>
    <w:rsid w:val="00C8093F"/>
    <w:rsid w:val="00C80A01"/>
    <w:rsid w:val="00C80A0B"/>
    <w:rsid w:val="00C80A85"/>
    <w:rsid w:val="00C80E71"/>
    <w:rsid w:val="00C80FFD"/>
    <w:rsid w:val="00C81089"/>
    <w:rsid w:val="00C810BF"/>
    <w:rsid w:val="00C8112A"/>
    <w:rsid w:val="00C81179"/>
    <w:rsid w:val="00C811F3"/>
    <w:rsid w:val="00C8136A"/>
    <w:rsid w:val="00C81454"/>
    <w:rsid w:val="00C815CE"/>
    <w:rsid w:val="00C815DA"/>
    <w:rsid w:val="00C81910"/>
    <w:rsid w:val="00C81B3F"/>
    <w:rsid w:val="00C81C4B"/>
    <w:rsid w:val="00C81DB6"/>
    <w:rsid w:val="00C81E2C"/>
    <w:rsid w:val="00C81EDA"/>
    <w:rsid w:val="00C81F70"/>
    <w:rsid w:val="00C82030"/>
    <w:rsid w:val="00C8222C"/>
    <w:rsid w:val="00C822D7"/>
    <w:rsid w:val="00C8234B"/>
    <w:rsid w:val="00C824C8"/>
    <w:rsid w:val="00C82548"/>
    <w:rsid w:val="00C82597"/>
    <w:rsid w:val="00C82A7C"/>
    <w:rsid w:val="00C82ADF"/>
    <w:rsid w:val="00C82C1D"/>
    <w:rsid w:val="00C82C56"/>
    <w:rsid w:val="00C82D5E"/>
    <w:rsid w:val="00C82DAC"/>
    <w:rsid w:val="00C83157"/>
    <w:rsid w:val="00C83411"/>
    <w:rsid w:val="00C83517"/>
    <w:rsid w:val="00C83526"/>
    <w:rsid w:val="00C8374D"/>
    <w:rsid w:val="00C83E82"/>
    <w:rsid w:val="00C841C1"/>
    <w:rsid w:val="00C842D7"/>
    <w:rsid w:val="00C843E1"/>
    <w:rsid w:val="00C84428"/>
    <w:rsid w:val="00C844C0"/>
    <w:rsid w:val="00C846FF"/>
    <w:rsid w:val="00C847E0"/>
    <w:rsid w:val="00C84AB4"/>
    <w:rsid w:val="00C84CCE"/>
    <w:rsid w:val="00C84EB9"/>
    <w:rsid w:val="00C84ED3"/>
    <w:rsid w:val="00C8520B"/>
    <w:rsid w:val="00C85367"/>
    <w:rsid w:val="00C8558E"/>
    <w:rsid w:val="00C855A0"/>
    <w:rsid w:val="00C855B1"/>
    <w:rsid w:val="00C858B3"/>
    <w:rsid w:val="00C85A3B"/>
    <w:rsid w:val="00C85A80"/>
    <w:rsid w:val="00C85ABD"/>
    <w:rsid w:val="00C85C36"/>
    <w:rsid w:val="00C85EA0"/>
    <w:rsid w:val="00C85EB8"/>
    <w:rsid w:val="00C85ED6"/>
    <w:rsid w:val="00C8604B"/>
    <w:rsid w:val="00C86196"/>
    <w:rsid w:val="00C863F3"/>
    <w:rsid w:val="00C866BD"/>
    <w:rsid w:val="00C86989"/>
    <w:rsid w:val="00C86A48"/>
    <w:rsid w:val="00C86E30"/>
    <w:rsid w:val="00C8704F"/>
    <w:rsid w:val="00C8735F"/>
    <w:rsid w:val="00C8749A"/>
    <w:rsid w:val="00C87503"/>
    <w:rsid w:val="00C8779A"/>
    <w:rsid w:val="00C87909"/>
    <w:rsid w:val="00C87AD5"/>
    <w:rsid w:val="00C87F80"/>
    <w:rsid w:val="00C903A9"/>
    <w:rsid w:val="00C90563"/>
    <w:rsid w:val="00C907E3"/>
    <w:rsid w:val="00C9082D"/>
    <w:rsid w:val="00C90878"/>
    <w:rsid w:val="00C909B0"/>
    <w:rsid w:val="00C90BAD"/>
    <w:rsid w:val="00C90BD2"/>
    <w:rsid w:val="00C90DE6"/>
    <w:rsid w:val="00C910DF"/>
    <w:rsid w:val="00C91150"/>
    <w:rsid w:val="00C9119F"/>
    <w:rsid w:val="00C9123B"/>
    <w:rsid w:val="00C912CA"/>
    <w:rsid w:val="00C91351"/>
    <w:rsid w:val="00C91430"/>
    <w:rsid w:val="00C914A8"/>
    <w:rsid w:val="00C9157B"/>
    <w:rsid w:val="00C91668"/>
    <w:rsid w:val="00C91746"/>
    <w:rsid w:val="00C91890"/>
    <w:rsid w:val="00C91979"/>
    <w:rsid w:val="00C91982"/>
    <w:rsid w:val="00C91AA9"/>
    <w:rsid w:val="00C91BB7"/>
    <w:rsid w:val="00C91C63"/>
    <w:rsid w:val="00C91E3E"/>
    <w:rsid w:val="00C91E82"/>
    <w:rsid w:val="00C91EC5"/>
    <w:rsid w:val="00C920E3"/>
    <w:rsid w:val="00C92129"/>
    <w:rsid w:val="00C9212E"/>
    <w:rsid w:val="00C92217"/>
    <w:rsid w:val="00C9221E"/>
    <w:rsid w:val="00C92354"/>
    <w:rsid w:val="00C9267B"/>
    <w:rsid w:val="00C92885"/>
    <w:rsid w:val="00C92961"/>
    <w:rsid w:val="00C92978"/>
    <w:rsid w:val="00C92AEA"/>
    <w:rsid w:val="00C92D6A"/>
    <w:rsid w:val="00C92F03"/>
    <w:rsid w:val="00C932BA"/>
    <w:rsid w:val="00C93340"/>
    <w:rsid w:val="00C936C6"/>
    <w:rsid w:val="00C9377F"/>
    <w:rsid w:val="00C93974"/>
    <w:rsid w:val="00C9399F"/>
    <w:rsid w:val="00C939D6"/>
    <w:rsid w:val="00C93B46"/>
    <w:rsid w:val="00C93FFC"/>
    <w:rsid w:val="00C940AA"/>
    <w:rsid w:val="00C9427E"/>
    <w:rsid w:val="00C94447"/>
    <w:rsid w:val="00C94459"/>
    <w:rsid w:val="00C9451B"/>
    <w:rsid w:val="00C945D4"/>
    <w:rsid w:val="00C94650"/>
    <w:rsid w:val="00C949C7"/>
    <w:rsid w:val="00C94A21"/>
    <w:rsid w:val="00C94D24"/>
    <w:rsid w:val="00C95113"/>
    <w:rsid w:val="00C952E6"/>
    <w:rsid w:val="00C9538F"/>
    <w:rsid w:val="00C955BD"/>
    <w:rsid w:val="00C9576D"/>
    <w:rsid w:val="00C95B13"/>
    <w:rsid w:val="00C95BC4"/>
    <w:rsid w:val="00C95C9B"/>
    <w:rsid w:val="00C95EB0"/>
    <w:rsid w:val="00C95EC7"/>
    <w:rsid w:val="00C960D3"/>
    <w:rsid w:val="00C96140"/>
    <w:rsid w:val="00C96199"/>
    <w:rsid w:val="00C963B9"/>
    <w:rsid w:val="00C963BC"/>
    <w:rsid w:val="00C967FD"/>
    <w:rsid w:val="00C969AF"/>
    <w:rsid w:val="00C96E25"/>
    <w:rsid w:val="00C96EEA"/>
    <w:rsid w:val="00C96F86"/>
    <w:rsid w:val="00C9717D"/>
    <w:rsid w:val="00C97362"/>
    <w:rsid w:val="00C97363"/>
    <w:rsid w:val="00C973F0"/>
    <w:rsid w:val="00C9746D"/>
    <w:rsid w:val="00C974C3"/>
    <w:rsid w:val="00C97506"/>
    <w:rsid w:val="00C97653"/>
    <w:rsid w:val="00C978BB"/>
    <w:rsid w:val="00C97BFA"/>
    <w:rsid w:val="00C97C3F"/>
    <w:rsid w:val="00C97E97"/>
    <w:rsid w:val="00C97E9A"/>
    <w:rsid w:val="00C97F7D"/>
    <w:rsid w:val="00CA008F"/>
    <w:rsid w:val="00CA016F"/>
    <w:rsid w:val="00CA0203"/>
    <w:rsid w:val="00CA0459"/>
    <w:rsid w:val="00CA051F"/>
    <w:rsid w:val="00CA0612"/>
    <w:rsid w:val="00CA0617"/>
    <w:rsid w:val="00CA06AE"/>
    <w:rsid w:val="00CA06C7"/>
    <w:rsid w:val="00CA078C"/>
    <w:rsid w:val="00CA07E9"/>
    <w:rsid w:val="00CA09A0"/>
    <w:rsid w:val="00CA0D88"/>
    <w:rsid w:val="00CA0F0D"/>
    <w:rsid w:val="00CA0F3B"/>
    <w:rsid w:val="00CA108D"/>
    <w:rsid w:val="00CA110A"/>
    <w:rsid w:val="00CA1122"/>
    <w:rsid w:val="00CA126A"/>
    <w:rsid w:val="00CA12D6"/>
    <w:rsid w:val="00CA1300"/>
    <w:rsid w:val="00CA1AD0"/>
    <w:rsid w:val="00CA1DA6"/>
    <w:rsid w:val="00CA22D1"/>
    <w:rsid w:val="00CA242F"/>
    <w:rsid w:val="00CA2465"/>
    <w:rsid w:val="00CA2494"/>
    <w:rsid w:val="00CA258F"/>
    <w:rsid w:val="00CA25C1"/>
    <w:rsid w:val="00CA26DC"/>
    <w:rsid w:val="00CA2893"/>
    <w:rsid w:val="00CA2D82"/>
    <w:rsid w:val="00CA3003"/>
    <w:rsid w:val="00CA308E"/>
    <w:rsid w:val="00CA339B"/>
    <w:rsid w:val="00CA35A0"/>
    <w:rsid w:val="00CA3703"/>
    <w:rsid w:val="00CA3724"/>
    <w:rsid w:val="00CA37C9"/>
    <w:rsid w:val="00CA386F"/>
    <w:rsid w:val="00CA3CF1"/>
    <w:rsid w:val="00CA3EF3"/>
    <w:rsid w:val="00CA3FAF"/>
    <w:rsid w:val="00CA42A0"/>
    <w:rsid w:val="00CA4311"/>
    <w:rsid w:val="00CA43F3"/>
    <w:rsid w:val="00CA4634"/>
    <w:rsid w:val="00CA4664"/>
    <w:rsid w:val="00CA46E6"/>
    <w:rsid w:val="00CA4971"/>
    <w:rsid w:val="00CA4E81"/>
    <w:rsid w:val="00CA50A9"/>
    <w:rsid w:val="00CA50E1"/>
    <w:rsid w:val="00CA50FC"/>
    <w:rsid w:val="00CA5145"/>
    <w:rsid w:val="00CA530B"/>
    <w:rsid w:val="00CA5429"/>
    <w:rsid w:val="00CA54E0"/>
    <w:rsid w:val="00CA54FE"/>
    <w:rsid w:val="00CA586B"/>
    <w:rsid w:val="00CA59F2"/>
    <w:rsid w:val="00CA5A70"/>
    <w:rsid w:val="00CA5B61"/>
    <w:rsid w:val="00CA5B6C"/>
    <w:rsid w:val="00CA5B99"/>
    <w:rsid w:val="00CA5C93"/>
    <w:rsid w:val="00CA5DE7"/>
    <w:rsid w:val="00CA5F88"/>
    <w:rsid w:val="00CA5FC5"/>
    <w:rsid w:val="00CA5FE5"/>
    <w:rsid w:val="00CA61DF"/>
    <w:rsid w:val="00CA639C"/>
    <w:rsid w:val="00CA63C6"/>
    <w:rsid w:val="00CA66BB"/>
    <w:rsid w:val="00CA6855"/>
    <w:rsid w:val="00CA6994"/>
    <w:rsid w:val="00CA69E8"/>
    <w:rsid w:val="00CA6ADA"/>
    <w:rsid w:val="00CA6BC3"/>
    <w:rsid w:val="00CA6C66"/>
    <w:rsid w:val="00CA6DD1"/>
    <w:rsid w:val="00CA6F18"/>
    <w:rsid w:val="00CA720F"/>
    <w:rsid w:val="00CA7217"/>
    <w:rsid w:val="00CA7433"/>
    <w:rsid w:val="00CA74B8"/>
    <w:rsid w:val="00CA77D6"/>
    <w:rsid w:val="00CA7999"/>
    <w:rsid w:val="00CA7C1B"/>
    <w:rsid w:val="00CA7D75"/>
    <w:rsid w:val="00CB03A5"/>
    <w:rsid w:val="00CB03D6"/>
    <w:rsid w:val="00CB049F"/>
    <w:rsid w:val="00CB04DC"/>
    <w:rsid w:val="00CB0765"/>
    <w:rsid w:val="00CB08C3"/>
    <w:rsid w:val="00CB0DAE"/>
    <w:rsid w:val="00CB0EA6"/>
    <w:rsid w:val="00CB0EE7"/>
    <w:rsid w:val="00CB0F20"/>
    <w:rsid w:val="00CB0F95"/>
    <w:rsid w:val="00CB178D"/>
    <w:rsid w:val="00CB19DD"/>
    <w:rsid w:val="00CB1DFB"/>
    <w:rsid w:val="00CB1E51"/>
    <w:rsid w:val="00CB21A1"/>
    <w:rsid w:val="00CB21F1"/>
    <w:rsid w:val="00CB2332"/>
    <w:rsid w:val="00CB265C"/>
    <w:rsid w:val="00CB269E"/>
    <w:rsid w:val="00CB2ADE"/>
    <w:rsid w:val="00CB3047"/>
    <w:rsid w:val="00CB311E"/>
    <w:rsid w:val="00CB3143"/>
    <w:rsid w:val="00CB34F0"/>
    <w:rsid w:val="00CB3517"/>
    <w:rsid w:val="00CB36D2"/>
    <w:rsid w:val="00CB38BF"/>
    <w:rsid w:val="00CB38DA"/>
    <w:rsid w:val="00CB3A16"/>
    <w:rsid w:val="00CB3ABD"/>
    <w:rsid w:val="00CB3CEC"/>
    <w:rsid w:val="00CB4112"/>
    <w:rsid w:val="00CB418E"/>
    <w:rsid w:val="00CB4542"/>
    <w:rsid w:val="00CB46A8"/>
    <w:rsid w:val="00CB482A"/>
    <w:rsid w:val="00CB4995"/>
    <w:rsid w:val="00CB538E"/>
    <w:rsid w:val="00CB53F6"/>
    <w:rsid w:val="00CB540D"/>
    <w:rsid w:val="00CB5880"/>
    <w:rsid w:val="00CB59ED"/>
    <w:rsid w:val="00CB5B10"/>
    <w:rsid w:val="00CB5B68"/>
    <w:rsid w:val="00CB5BED"/>
    <w:rsid w:val="00CB5F3E"/>
    <w:rsid w:val="00CB60EB"/>
    <w:rsid w:val="00CB6139"/>
    <w:rsid w:val="00CB6147"/>
    <w:rsid w:val="00CB63DD"/>
    <w:rsid w:val="00CB6453"/>
    <w:rsid w:val="00CB663C"/>
    <w:rsid w:val="00CB66DE"/>
    <w:rsid w:val="00CB6A4D"/>
    <w:rsid w:val="00CB6DB6"/>
    <w:rsid w:val="00CB6EA1"/>
    <w:rsid w:val="00CB6EB2"/>
    <w:rsid w:val="00CB706A"/>
    <w:rsid w:val="00CB7358"/>
    <w:rsid w:val="00CB74AF"/>
    <w:rsid w:val="00CB7550"/>
    <w:rsid w:val="00CB7A6F"/>
    <w:rsid w:val="00CB7CF7"/>
    <w:rsid w:val="00CB7DEE"/>
    <w:rsid w:val="00CB7FF7"/>
    <w:rsid w:val="00CC0717"/>
    <w:rsid w:val="00CC07E2"/>
    <w:rsid w:val="00CC08D9"/>
    <w:rsid w:val="00CC0A0E"/>
    <w:rsid w:val="00CC0BA3"/>
    <w:rsid w:val="00CC0BDF"/>
    <w:rsid w:val="00CC1012"/>
    <w:rsid w:val="00CC1157"/>
    <w:rsid w:val="00CC1212"/>
    <w:rsid w:val="00CC148D"/>
    <w:rsid w:val="00CC1621"/>
    <w:rsid w:val="00CC1730"/>
    <w:rsid w:val="00CC175D"/>
    <w:rsid w:val="00CC178F"/>
    <w:rsid w:val="00CC1ACE"/>
    <w:rsid w:val="00CC1CA6"/>
    <w:rsid w:val="00CC1F59"/>
    <w:rsid w:val="00CC1F93"/>
    <w:rsid w:val="00CC2437"/>
    <w:rsid w:val="00CC2700"/>
    <w:rsid w:val="00CC27F4"/>
    <w:rsid w:val="00CC2901"/>
    <w:rsid w:val="00CC2A5C"/>
    <w:rsid w:val="00CC2ECD"/>
    <w:rsid w:val="00CC35F1"/>
    <w:rsid w:val="00CC36AC"/>
    <w:rsid w:val="00CC378E"/>
    <w:rsid w:val="00CC3C17"/>
    <w:rsid w:val="00CC3D38"/>
    <w:rsid w:val="00CC3E2A"/>
    <w:rsid w:val="00CC41D0"/>
    <w:rsid w:val="00CC465E"/>
    <w:rsid w:val="00CC468C"/>
    <w:rsid w:val="00CC47B9"/>
    <w:rsid w:val="00CC482F"/>
    <w:rsid w:val="00CC48CD"/>
    <w:rsid w:val="00CC48E7"/>
    <w:rsid w:val="00CC4981"/>
    <w:rsid w:val="00CC4B53"/>
    <w:rsid w:val="00CC4C55"/>
    <w:rsid w:val="00CC4F3F"/>
    <w:rsid w:val="00CC4F72"/>
    <w:rsid w:val="00CC4F89"/>
    <w:rsid w:val="00CC51E9"/>
    <w:rsid w:val="00CC561B"/>
    <w:rsid w:val="00CC58DB"/>
    <w:rsid w:val="00CC5962"/>
    <w:rsid w:val="00CC5972"/>
    <w:rsid w:val="00CC5973"/>
    <w:rsid w:val="00CC5A23"/>
    <w:rsid w:val="00CC5B08"/>
    <w:rsid w:val="00CC5B7F"/>
    <w:rsid w:val="00CC5C17"/>
    <w:rsid w:val="00CC5E56"/>
    <w:rsid w:val="00CC5E9C"/>
    <w:rsid w:val="00CC5F19"/>
    <w:rsid w:val="00CC5F2D"/>
    <w:rsid w:val="00CC614F"/>
    <w:rsid w:val="00CC617C"/>
    <w:rsid w:val="00CC6263"/>
    <w:rsid w:val="00CC6A72"/>
    <w:rsid w:val="00CC6AA1"/>
    <w:rsid w:val="00CC6CD7"/>
    <w:rsid w:val="00CC6CDD"/>
    <w:rsid w:val="00CC6E2D"/>
    <w:rsid w:val="00CC7122"/>
    <w:rsid w:val="00CC7296"/>
    <w:rsid w:val="00CC7370"/>
    <w:rsid w:val="00CC7561"/>
    <w:rsid w:val="00CC7755"/>
    <w:rsid w:val="00CC7A6A"/>
    <w:rsid w:val="00CC7AE0"/>
    <w:rsid w:val="00CC7B68"/>
    <w:rsid w:val="00CC7E70"/>
    <w:rsid w:val="00CC7FBC"/>
    <w:rsid w:val="00CD007C"/>
    <w:rsid w:val="00CD00F4"/>
    <w:rsid w:val="00CD0161"/>
    <w:rsid w:val="00CD02C0"/>
    <w:rsid w:val="00CD04BA"/>
    <w:rsid w:val="00CD07A8"/>
    <w:rsid w:val="00CD0A0D"/>
    <w:rsid w:val="00CD0D2B"/>
    <w:rsid w:val="00CD0D49"/>
    <w:rsid w:val="00CD0FF5"/>
    <w:rsid w:val="00CD1035"/>
    <w:rsid w:val="00CD107E"/>
    <w:rsid w:val="00CD10F9"/>
    <w:rsid w:val="00CD12A0"/>
    <w:rsid w:val="00CD157D"/>
    <w:rsid w:val="00CD1881"/>
    <w:rsid w:val="00CD18DC"/>
    <w:rsid w:val="00CD18E8"/>
    <w:rsid w:val="00CD1943"/>
    <w:rsid w:val="00CD1A3C"/>
    <w:rsid w:val="00CD1C3A"/>
    <w:rsid w:val="00CD1C43"/>
    <w:rsid w:val="00CD1FF2"/>
    <w:rsid w:val="00CD2179"/>
    <w:rsid w:val="00CD22AA"/>
    <w:rsid w:val="00CD233D"/>
    <w:rsid w:val="00CD245F"/>
    <w:rsid w:val="00CD250E"/>
    <w:rsid w:val="00CD26B0"/>
    <w:rsid w:val="00CD2757"/>
    <w:rsid w:val="00CD278B"/>
    <w:rsid w:val="00CD285F"/>
    <w:rsid w:val="00CD2877"/>
    <w:rsid w:val="00CD28F4"/>
    <w:rsid w:val="00CD29B5"/>
    <w:rsid w:val="00CD2C11"/>
    <w:rsid w:val="00CD2C54"/>
    <w:rsid w:val="00CD2D15"/>
    <w:rsid w:val="00CD2D34"/>
    <w:rsid w:val="00CD2FF1"/>
    <w:rsid w:val="00CD30AA"/>
    <w:rsid w:val="00CD30B4"/>
    <w:rsid w:val="00CD30B7"/>
    <w:rsid w:val="00CD31D0"/>
    <w:rsid w:val="00CD31DD"/>
    <w:rsid w:val="00CD31DF"/>
    <w:rsid w:val="00CD36F2"/>
    <w:rsid w:val="00CD37A4"/>
    <w:rsid w:val="00CD3A31"/>
    <w:rsid w:val="00CD3C39"/>
    <w:rsid w:val="00CD3D5F"/>
    <w:rsid w:val="00CD3DBD"/>
    <w:rsid w:val="00CD417F"/>
    <w:rsid w:val="00CD41E9"/>
    <w:rsid w:val="00CD439F"/>
    <w:rsid w:val="00CD459E"/>
    <w:rsid w:val="00CD48F9"/>
    <w:rsid w:val="00CD496D"/>
    <w:rsid w:val="00CD4A8F"/>
    <w:rsid w:val="00CD4ADF"/>
    <w:rsid w:val="00CD4B15"/>
    <w:rsid w:val="00CD4C83"/>
    <w:rsid w:val="00CD4F23"/>
    <w:rsid w:val="00CD4FB7"/>
    <w:rsid w:val="00CD507A"/>
    <w:rsid w:val="00CD50B4"/>
    <w:rsid w:val="00CD5134"/>
    <w:rsid w:val="00CD518E"/>
    <w:rsid w:val="00CD5354"/>
    <w:rsid w:val="00CD53B8"/>
    <w:rsid w:val="00CD5566"/>
    <w:rsid w:val="00CD5693"/>
    <w:rsid w:val="00CD569F"/>
    <w:rsid w:val="00CD5755"/>
    <w:rsid w:val="00CD59D1"/>
    <w:rsid w:val="00CD5DA1"/>
    <w:rsid w:val="00CD5FB0"/>
    <w:rsid w:val="00CD612F"/>
    <w:rsid w:val="00CD62AC"/>
    <w:rsid w:val="00CD62F1"/>
    <w:rsid w:val="00CD640B"/>
    <w:rsid w:val="00CD649E"/>
    <w:rsid w:val="00CD654B"/>
    <w:rsid w:val="00CD65A1"/>
    <w:rsid w:val="00CD65E4"/>
    <w:rsid w:val="00CD6BCC"/>
    <w:rsid w:val="00CD6E12"/>
    <w:rsid w:val="00CD6EB3"/>
    <w:rsid w:val="00CD7069"/>
    <w:rsid w:val="00CD7079"/>
    <w:rsid w:val="00CD71BD"/>
    <w:rsid w:val="00CD71F1"/>
    <w:rsid w:val="00CD72A7"/>
    <w:rsid w:val="00CD7678"/>
    <w:rsid w:val="00CD791F"/>
    <w:rsid w:val="00CD7F81"/>
    <w:rsid w:val="00CE01D9"/>
    <w:rsid w:val="00CE0273"/>
    <w:rsid w:val="00CE04BC"/>
    <w:rsid w:val="00CE08E9"/>
    <w:rsid w:val="00CE0907"/>
    <w:rsid w:val="00CE0AAB"/>
    <w:rsid w:val="00CE0B14"/>
    <w:rsid w:val="00CE0BCF"/>
    <w:rsid w:val="00CE0BDC"/>
    <w:rsid w:val="00CE0CF8"/>
    <w:rsid w:val="00CE0F00"/>
    <w:rsid w:val="00CE1136"/>
    <w:rsid w:val="00CE113B"/>
    <w:rsid w:val="00CE126E"/>
    <w:rsid w:val="00CE1327"/>
    <w:rsid w:val="00CE1600"/>
    <w:rsid w:val="00CE1610"/>
    <w:rsid w:val="00CE1676"/>
    <w:rsid w:val="00CE178B"/>
    <w:rsid w:val="00CE19AC"/>
    <w:rsid w:val="00CE1A8A"/>
    <w:rsid w:val="00CE1E52"/>
    <w:rsid w:val="00CE1EF9"/>
    <w:rsid w:val="00CE203B"/>
    <w:rsid w:val="00CE22B9"/>
    <w:rsid w:val="00CE251B"/>
    <w:rsid w:val="00CE2636"/>
    <w:rsid w:val="00CE2727"/>
    <w:rsid w:val="00CE295D"/>
    <w:rsid w:val="00CE2E8C"/>
    <w:rsid w:val="00CE2F60"/>
    <w:rsid w:val="00CE3069"/>
    <w:rsid w:val="00CE3598"/>
    <w:rsid w:val="00CE38AC"/>
    <w:rsid w:val="00CE3A69"/>
    <w:rsid w:val="00CE3DDC"/>
    <w:rsid w:val="00CE3F6A"/>
    <w:rsid w:val="00CE3F74"/>
    <w:rsid w:val="00CE4179"/>
    <w:rsid w:val="00CE43C1"/>
    <w:rsid w:val="00CE43FA"/>
    <w:rsid w:val="00CE443A"/>
    <w:rsid w:val="00CE4493"/>
    <w:rsid w:val="00CE484B"/>
    <w:rsid w:val="00CE4D8C"/>
    <w:rsid w:val="00CE5373"/>
    <w:rsid w:val="00CE54FC"/>
    <w:rsid w:val="00CE5705"/>
    <w:rsid w:val="00CE594D"/>
    <w:rsid w:val="00CE5A12"/>
    <w:rsid w:val="00CE5BE1"/>
    <w:rsid w:val="00CE5BE6"/>
    <w:rsid w:val="00CE5C05"/>
    <w:rsid w:val="00CE5EB1"/>
    <w:rsid w:val="00CE5EFE"/>
    <w:rsid w:val="00CE6A21"/>
    <w:rsid w:val="00CE6AF4"/>
    <w:rsid w:val="00CE6FDA"/>
    <w:rsid w:val="00CE70AE"/>
    <w:rsid w:val="00CE7167"/>
    <w:rsid w:val="00CE720F"/>
    <w:rsid w:val="00CE7231"/>
    <w:rsid w:val="00CE738D"/>
    <w:rsid w:val="00CE744F"/>
    <w:rsid w:val="00CE782B"/>
    <w:rsid w:val="00CE7879"/>
    <w:rsid w:val="00CE7932"/>
    <w:rsid w:val="00CE7A4E"/>
    <w:rsid w:val="00CE7ABE"/>
    <w:rsid w:val="00CE7AC9"/>
    <w:rsid w:val="00CE7B06"/>
    <w:rsid w:val="00CE7C7B"/>
    <w:rsid w:val="00CE7E70"/>
    <w:rsid w:val="00CF010C"/>
    <w:rsid w:val="00CF03E9"/>
    <w:rsid w:val="00CF0513"/>
    <w:rsid w:val="00CF053C"/>
    <w:rsid w:val="00CF057E"/>
    <w:rsid w:val="00CF0728"/>
    <w:rsid w:val="00CF0A6D"/>
    <w:rsid w:val="00CF0B7E"/>
    <w:rsid w:val="00CF0E55"/>
    <w:rsid w:val="00CF0FE4"/>
    <w:rsid w:val="00CF1414"/>
    <w:rsid w:val="00CF152A"/>
    <w:rsid w:val="00CF186E"/>
    <w:rsid w:val="00CF1985"/>
    <w:rsid w:val="00CF19CD"/>
    <w:rsid w:val="00CF1A11"/>
    <w:rsid w:val="00CF1AA6"/>
    <w:rsid w:val="00CF1D73"/>
    <w:rsid w:val="00CF20DC"/>
    <w:rsid w:val="00CF20EE"/>
    <w:rsid w:val="00CF20F1"/>
    <w:rsid w:val="00CF2402"/>
    <w:rsid w:val="00CF24A1"/>
    <w:rsid w:val="00CF2612"/>
    <w:rsid w:val="00CF28EA"/>
    <w:rsid w:val="00CF2B50"/>
    <w:rsid w:val="00CF2B65"/>
    <w:rsid w:val="00CF2B92"/>
    <w:rsid w:val="00CF2C1C"/>
    <w:rsid w:val="00CF2F66"/>
    <w:rsid w:val="00CF3075"/>
    <w:rsid w:val="00CF30C4"/>
    <w:rsid w:val="00CF30D3"/>
    <w:rsid w:val="00CF30ED"/>
    <w:rsid w:val="00CF31C4"/>
    <w:rsid w:val="00CF350A"/>
    <w:rsid w:val="00CF3882"/>
    <w:rsid w:val="00CF3A01"/>
    <w:rsid w:val="00CF3A03"/>
    <w:rsid w:val="00CF3C28"/>
    <w:rsid w:val="00CF3C57"/>
    <w:rsid w:val="00CF3E6A"/>
    <w:rsid w:val="00CF3F1B"/>
    <w:rsid w:val="00CF41E1"/>
    <w:rsid w:val="00CF44FA"/>
    <w:rsid w:val="00CF457E"/>
    <w:rsid w:val="00CF46F6"/>
    <w:rsid w:val="00CF4712"/>
    <w:rsid w:val="00CF4786"/>
    <w:rsid w:val="00CF4830"/>
    <w:rsid w:val="00CF4983"/>
    <w:rsid w:val="00CF4B0A"/>
    <w:rsid w:val="00CF4B2C"/>
    <w:rsid w:val="00CF4D5A"/>
    <w:rsid w:val="00CF4F49"/>
    <w:rsid w:val="00CF50DE"/>
    <w:rsid w:val="00CF5154"/>
    <w:rsid w:val="00CF51D2"/>
    <w:rsid w:val="00CF52B9"/>
    <w:rsid w:val="00CF53BF"/>
    <w:rsid w:val="00CF5445"/>
    <w:rsid w:val="00CF5509"/>
    <w:rsid w:val="00CF565A"/>
    <w:rsid w:val="00CF5782"/>
    <w:rsid w:val="00CF57F3"/>
    <w:rsid w:val="00CF5921"/>
    <w:rsid w:val="00CF5CAE"/>
    <w:rsid w:val="00CF5CB0"/>
    <w:rsid w:val="00CF5F92"/>
    <w:rsid w:val="00CF61AB"/>
    <w:rsid w:val="00CF63F8"/>
    <w:rsid w:val="00CF6576"/>
    <w:rsid w:val="00CF677C"/>
    <w:rsid w:val="00CF6875"/>
    <w:rsid w:val="00CF690E"/>
    <w:rsid w:val="00CF6958"/>
    <w:rsid w:val="00CF699A"/>
    <w:rsid w:val="00CF6A13"/>
    <w:rsid w:val="00CF6B67"/>
    <w:rsid w:val="00CF6C88"/>
    <w:rsid w:val="00CF6CD3"/>
    <w:rsid w:val="00CF6D06"/>
    <w:rsid w:val="00CF700D"/>
    <w:rsid w:val="00CF70B7"/>
    <w:rsid w:val="00CF7103"/>
    <w:rsid w:val="00CF7188"/>
    <w:rsid w:val="00CF72CB"/>
    <w:rsid w:val="00CF73A1"/>
    <w:rsid w:val="00CF7507"/>
    <w:rsid w:val="00CF766A"/>
    <w:rsid w:val="00CF7723"/>
    <w:rsid w:val="00CF78C7"/>
    <w:rsid w:val="00CF799F"/>
    <w:rsid w:val="00CF79C9"/>
    <w:rsid w:val="00CF7A6A"/>
    <w:rsid w:val="00CF7E0F"/>
    <w:rsid w:val="00D0003E"/>
    <w:rsid w:val="00D00096"/>
    <w:rsid w:val="00D00711"/>
    <w:rsid w:val="00D00714"/>
    <w:rsid w:val="00D0077B"/>
    <w:rsid w:val="00D00884"/>
    <w:rsid w:val="00D00A66"/>
    <w:rsid w:val="00D00B65"/>
    <w:rsid w:val="00D00BF9"/>
    <w:rsid w:val="00D013BA"/>
    <w:rsid w:val="00D013EA"/>
    <w:rsid w:val="00D016CA"/>
    <w:rsid w:val="00D017CB"/>
    <w:rsid w:val="00D01A39"/>
    <w:rsid w:val="00D01C7E"/>
    <w:rsid w:val="00D01ECC"/>
    <w:rsid w:val="00D02352"/>
    <w:rsid w:val="00D027F8"/>
    <w:rsid w:val="00D029A5"/>
    <w:rsid w:val="00D02B40"/>
    <w:rsid w:val="00D02C35"/>
    <w:rsid w:val="00D02F3C"/>
    <w:rsid w:val="00D02FC0"/>
    <w:rsid w:val="00D03031"/>
    <w:rsid w:val="00D0308E"/>
    <w:rsid w:val="00D031B6"/>
    <w:rsid w:val="00D03441"/>
    <w:rsid w:val="00D034A9"/>
    <w:rsid w:val="00D03773"/>
    <w:rsid w:val="00D0378A"/>
    <w:rsid w:val="00D03803"/>
    <w:rsid w:val="00D0391E"/>
    <w:rsid w:val="00D03B25"/>
    <w:rsid w:val="00D03CB1"/>
    <w:rsid w:val="00D03CF4"/>
    <w:rsid w:val="00D040A6"/>
    <w:rsid w:val="00D045EB"/>
    <w:rsid w:val="00D0471F"/>
    <w:rsid w:val="00D047C4"/>
    <w:rsid w:val="00D04A0B"/>
    <w:rsid w:val="00D04B0A"/>
    <w:rsid w:val="00D04BC2"/>
    <w:rsid w:val="00D04C78"/>
    <w:rsid w:val="00D04D0A"/>
    <w:rsid w:val="00D04F54"/>
    <w:rsid w:val="00D050CD"/>
    <w:rsid w:val="00D051E1"/>
    <w:rsid w:val="00D053C5"/>
    <w:rsid w:val="00D0540A"/>
    <w:rsid w:val="00D05591"/>
    <w:rsid w:val="00D0562C"/>
    <w:rsid w:val="00D05729"/>
    <w:rsid w:val="00D05743"/>
    <w:rsid w:val="00D0578A"/>
    <w:rsid w:val="00D05AE2"/>
    <w:rsid w:val="00D05BC8"/>
    <w:rsid w:val="00D05C06"/>
    <w:rsid w:val="00D05CDF"/>
    <w:rsid w:val="00D05E77"/>
    <w:rsid w:val="00D05FDB"/>
    <w:rsid w:val="00D06118"/>
    <w:rsid w:val="00D06590"/>
    <w:rsid w:val="00D06696"/>
    <w:rsid w:val="00D066BC"/>
    <w:rsid w:val="00D066BF"/>
    <w:rsid w:val="00D06798"/>
    <w:rsid w:val="00D069A3"/>
    <w:rsid w:val="00D06A11"/>
    <w:rsid w:val="00D06A61"/>
    <w:rsid w:val="00D06B7B"/>
    <w:rsid w:val="00D06BC0"/>
    <w:rsid w:val="00D06D12"/>
    <w:rsid w:val="00D06DDF"/>
    <w:rsid w:val="00D070E2"/>
    <w:rsid w:val="00D070F4"/>
    <w:rsid w:val="00D072A5"/>
    <w:rsid w:val="00D073B0"/>
    <w:rsid w:val="00D07689"/>
    <w:rsid w:val="00D076D4"/>
    <w:rsid w:val="00D0774D"/>
    <w:rsid w:val="00D07815"/>
    <w:rsid w:val="00D0791C"/>
    <w:rsid w:val="00D07A58"/>
    <w:rsid w:val="00D07B61"/>
    <w:rsid w:val="00D07CDF"/>
    <w:rsid w:val="00D07D28"/>
    <w:rsid w:val="00D07DF1"/>
    <w:rsid w:val="00D07E7F"/>
    <w:rsid w:val="00D07E87"/>
    <w:rsid w:val="00D07E8D"/>
    <w:rsid w:val="00D1030C"/>
    <w:rsid w:val="00D104E6"/>
    <w:rsid w:val="00D10516"/>
    <w:rsid w:val="00D10598"/>
    <w:rsid w:val="00D105F3"/>
    <w:rsid w:val="00D108DF"/>
    <w:rsid w:val="00D10B41"/>
    <w:rsid w:val="00D10D1C"/>
    <w:rsid w:val="00D10DD0"/>
    <w:rsid w:val="00D10DF5"/>
    <w:rsid w:val="00D11167"/>
    <w:rsid w:val="00D111A4"/>
    <w:rsid w:val="00D113EE"/>
    <w:rsid w:val="00D114B0"/>
    <w:rsid w:val="00D114E8"/>
    <w:rsid w:val="00D11546"/>
    <w:rsid w:val="00D11706"/>
    <w:rsid w:val="00D1194A"/>
    <w:rsid w:val="00D11C9C"/>
    <w:rsid w:val="00D11F65"/>
    <w:rsid w:val="00D1203A"/>
    <w:rsid w:val="00D123A3"/>
    <w:rsid w:val="00D124CE"/>
    <w:rsid w:val="00D12562"/>
    <w:rsid w:val="00D12663"/>
    <w:rsid w:val="00D12681"/>
    <w:rsid w:val="00D128B3"/>
    <w:rsid w:val="00D12A0B"/>
    <w:rsid w:val="00D12A19"/>
    <w:rsid w:val="00D12E90"/>
    <w:rsid w:val="00D1310F"/>
    <w:rsid w:val="00D1317C"/>
    <w:rsid w:val="00D13183"/>
    <w:rsid w:val="00D13279"/>
    <w:rsid w:val="00D13435"/>
    <w:rsid w:val="00D13446"/>
    <w:rsid w:val="00D1361A"/>
    <w:rsid w:val="00D13663"/>
    <w:rsid w:val="00D13741"/>
    <w:rsid w:val="00D1375A"/>
    <w:rsid w:val="00D13819"/>
    <w:rsid w:val="00D1395A"/>
    <w:rsid w:val="00D139FE"/>
    <w:rsid w:val="00D13AE1"/>
    <w:rsid w:val="00D14014"/>
    <w:rsid w:val="00D14234"/>
    <w:rsid w:val="00D14257"/>
    <w:rsid w:val="00D14743"/>
    <w:rsid w:val="00D14764"/>
    <w:rsid w:val="00D149C5"/>
    <w:rsid w:val="00D14CCF"/>
    <w:rsid w:val="00D14D8D"/>
    <w:rsid w:val="00D156DB"/>
    <w:rsid w:val="00D157E5"/>
    <w:rsid w:val="00D15847"/>
    <w:rsid w:val="00D158A6"/>
    <w:rsid w:val="00D15905"/>
    <w:rsid w:val="00D159BE"/>
    <w:rsid w:val="00D15A4B"/>
    <w:rsid w:val="00D15B31"/>
    <w:rsid w:val="00D15CA4"/>
    <w:rsid w:val="00D15D6B"/>
    <w:rsid w:val="00D15F75"/>
    <w:rsid w:val="00D160EA"/>
    <w:rsid w:val="00D162EA"/>
    <w:rsid w:val="00D1647F"/>
    <w:rsid w:val="00D168DA"/>
    <w:rsid w:val="00D16B8C"/>
    <w:rsid w:val="00D16C92"/>
    <w:rsid w:val="00D16D3B"/>
    <w:rsid w:val="00D16DDD"/>
    <w:rsid w:val="00D16F0C"/>
    <w:rsid w:val="00D17284"/>
    <w:rsid w:val="00D1731F"/>
    <w:rsid w:val="00D17601"/>
    <w:rsid w:val="00D1760E"/>
    <w:rsid w:val="00D176BD"/>
    <w:rsid w:val="00D17834"/>
    <w:rsid w:val="00D17869"/>
    <w:rsid w:val="00D178F0"/>
    <w:rsid w:val="00D17911"/>
    <w:rsid w:val="00D179C5"/>
    <w:rsid w:val="00D17A19"/>
    <w:rsid w:val="00D17B4A"/>
    <w:rsid w:val="00D17B52"/>
    <w:rsid w:val="00D17BFF"/>
    <w:rsid w:val="00D17E02"/>
    <w:rsid w:val="00D17E97"/>
    <w:rsid w:val="00D17EE6"/>
    <w:rsid w:val="00D17F9B"/>
    <w:rsid w:val="00D17FB9"/>
    <w:rsid w:val="00D20015"/>
    <w:rsid w:val="00D200CF"/>
    <w:rsid w:val="00D20321"/>
    <w:rsid w:val="00D2048F"/>
    <w:rsid w:val="00D20689"/>
    <w:rsid w:val="00D206E1"/>
    <w:rsid w:val="00D2076E"/>
    <w:rsid w:val="00D2077E"/>
    <w:rsid w:val="00D20883"/>
    <w:rsid w:val="00D20980"/>
    <w:rsid w:val="00D20B4B"/>
    <w:rsid w:val="00D20D55"/>
    <w:rsid w:val="00D20E30"/>
    <w:rsid w:val="00D20E35"/>
    <w:rsid w:val="00D20E79"/>
    <w:rsid w:val="00D20EE7"/>
    <w:rsid w:val="00D2110D"/>
    <w:rsid w:val="00D21281"/>
    <w:rsid w:val="00D212F3"/>
    <w:rsid w:val="00D213D6"/>
    <w:rsid w:val="00D21434"/>
    <w:rsid w:val="00D2168E"/>
    <w:rsid w:val="00D216AC"/>
    <w:rsid w:val="00D216B4"/>
    <w:rsid w:val="00D21864"/>
    <w:rsid w:val="00D219FB"/>
    <w:rsid w:val="00D21A32"/>
    <w:rsid w:val="00D21A7D"/>
    <w:rsid w:val="00D21C14"/>
    <w:rsid w:val="00D21D6D"/>
    <w:rsid w:val="00D21D80"/>
    <w:rsid w:val="00D21EAE"/>
    <w:rsid w:val="00D21FDF"/>
    <w:rsid w:val="00D22226"/>
    <w:rsid w:val="00D2233A"/>
    <w:rsid w:val="00D2238B"/>
    <w:rsid w:val="00D224D3"/>
    <w:rsid w:val="00D225B6"/>
    <w:rsid w:val="00D2272C"/>
    <w:rsid w:val="00D22746"/>
    <w:rsid w:val="00D2289B"/>
    <w:rsid w:val="00D228AA"/>
    <w:rsid w:val="00D22C21"/>
    <w:rsid w:val="00D22D23"/>
    <w:rsid w:val="00D22E64"/>
    <w:rsid w:val="00D23056"/>
    <w:rsid w:val="00D231C4"/>
    <w:rsid w:val="00D23340"/>
    <w:rsid w:val="00D23586"/>
    <w:rsid w:val="00D2382C"/>
    <w:rsid w:val="00D2390D"/>
    <w:rsid w:val="00D2391C"/>
    <w:rsid w:val="00D23C68"/>
    <w:rsid w:val="00D23DBE"/>
    <w:rsid w:val="00D23EC1"/>
    <w:rsid w:val="00D240BB"/>
    <w:rsid w:val="00D240C2"/>
    <w:rsid w:val="00D243F3"/>
    <w:rsid w:val="00D2470F"/>
    <w:rsid w:val="00D24918"/>
    <w:rsid w:val="00D24A57"/>
    <w:rsid w:val="00D24AE9"/>
    <w:rsid w:val="00D24D76"/>
    <w:rsid w:val="00D24E81"/>
    <w:rsid w:val="00D25149"/>
    <w:rsid w:val="00D2517E"/>
    <w:rsid w:val="00D253ED"/>
    <w:rsid w:val="00D253FB"/>
    <w:rsid w:val="00D2543E"/>
    <w:rsid w:val="00D2559C"/>
    <w:rsid w:val="00D25885"/>
    <w:rsid w:val="00D2590D"/>
    <w:rsid w:val="00D259A2"/>
    <w:rsid w:val="00D259D0"/>
    <w:rsid w:val="00D25BEF"/>
    <w:rsid w:val="00D25BF5"/>
    <w:rsid w:val="00D25CC3"/>
    <w:rsid w:val="00D25D1D"/>
    <w:rsid w:val="00D25DE2"/>
    <w:rsid w:val="00D26093"/>
    <w:rsid w:val="00D260F3"/>
    <w:rsid w:val="00D26416"/>
    <w:rsid w:val="00D2658D"/>
    <w:rsid w:val="00D265D8"/>
    <w:rsid w:val="00D266ED"/>
    <w:rsid w:val="00D26939"/>
    <w:rsid w:val="00D2699C"/>
    <w:rsid w:val="00D26A83"/>
    <w:rsid w:val="00D26BA7"/>
    <w:rsid w:val="00D26BE9"/>
    <w:rsid w:val="00D26CE1"/>
    <w:rsid w:val="00D26F52"/>
    <w:rsid w:val="00D2750E"/>
    <w:rsid w:val="00D2756A"/>
    <w:rsid w:val="00D278C4"/>
    <w:rsid w:val="00D2796F"/>
    <w:rsid w:val="00D27AE0"/>
    <w:rsid w:val="00D27B2B"/>
    <w:rsid w:val="00D27F88"/>
    <w:rsid w:val="00D27FD8"/>
    <w:rsid w:val="00D30088"/>
    <w:rsid w:val="00D30226"/>
    <w:rsid w:val="00D303E9"/>
    <w:rsid w:val="00D30488"/>
    <w:rsid w:val="00D30869"/>
    <w:rsid w:val="00D30BDF"/>
    <w:rsid w:val="00D30D7D"/>
    <w:rsid w:val="00D30EA1"/>
    <w:rsid w:val="00D310BB"/>
    <w:rsid w:val="00D311F2"/>
    <w:rsid w:val="00D31258"/>
    <w:rsid w:val="00D31333"/>
    <w:rsid w:val="00D3159A"/>
    <w:rsid w:val="00D31605"/>
    <w:rsid w:val="00D317A5"/>
    <w:rsid w:val="00D3181D"/>
    <w:rsid w:val="00D31CF8"/>
    <w:rsid w:val="00D31E37"/>
    <w:rsid w:val="00D32260"/>
    <w:rsid w:val="00D32714"/>
    <w:rsid w:val="00D3273C"/>
    <w:rsid w:val="00D328F4"/>
    <w:rsid w:val="00D32A8C"/>
    <w:rsid w:val="00D32B92"/>
    <w:rsid w:val="00D32BA3"/>
    <w:rsid w:val="00D32C22"/>
    <w:rsid w:val="00D32D60"/>
    <w:rsid w:val="00D3319C"/>
    <w:rsid w:val="00D3327A"/>
    <w:rsid w:val="00D332E9"/>
    <w:rsid w:val="00D33394"/>
    <w:rsid w:val="00D33739"/>
    <w:rsid w:val="00D3393F"/>
    <w:rsid w:val="00D3394D"/>
    <w:rsid w:val="00D33B4F"/>
    <w:rsid w:val="00D33B71"/>
    <w:rsid w:val="00D33C86"/>
    <w:rsid w:val="00D33E14"/>
    <w:rsid w:val="00D33ED4"/>
    <w:rsid w:val="00D33F4B"/>
    <w:rsid w:val="00D33F73"/>
    <w:rsid w:val="00D33F7A"/>
    <w:rsid w:val="00D34005"/>
    <w:rsid w:val="00D3434E"/>
    <w:rsid w:val="00D34474"/>
    <w:rsid w:val="00D34497"/>
    <w:rsid w:val="00D34850"/>
    <w:rsid w:val="00D34934"/>
    <w:rsid w:val="00D349CD"/>
    <w:rsid w:val="00D34A96"/>
    <w:rsid w:val="00D34B01"/>
    <w:rsid w:val="00D34D70"/>
    <w:rsid w:val="00D3505A"/>
    <w:rsid w:val="00D35094"/>
    <w:rsid w:val="00D3516F"/>
    <w:rsid w:val="00D354C7"/>
    <w:rsid w:val="00D355CF"/>
    <w:rsid w:val="00D35678"/>
    <w:rsid w:val="00D35B9C"/>
    <w:rsid w:val="00D35BAC"/>
    <w:rsid w:val="00D35CAC"/>
    <w:rsid w:val="00D35D4B"/>
    <w:rsid w:val="00D35EEB"/>
    <w:rsid w:val="00D360BE"/>
    <w:rsid w:val="00D362D6"/>
    <w:rsid w:val="00D36617"/>
    <w:rsid w:val="00D368C9"/>
    <w:rsid w:val="00D36994"/>
    <w:rsid w:val="00D369B4"/>
    <w:rsid w:val="00D37107"/>
    <w:rsid w:val="00D37180"/>
    <w:rsid w:val="00D3718B"/>
    <w:rsid w:val="00D371F7"/>
    <w:rsid w:val="00D37480"/>
    <w:rsid w:val="00D3769A"/>
    <w:rsid w:val="00D37777"/>
    <w:rsid w:val="00D377D3"/>
    <w:rsid w:val="00D377E2"/>
    <w:rsid w:val="00D379F0"/>
    <w:rsid w:val="00D37D05"/>
    <w:rsid w:val="00D37D12"/>
    <w:rsid w:val="00D37D2F"/>
    <w:rsid w:val="00D37EAA"/>
    <w:rsid w:val="00D4038C"/>
    <w:rsid w:val="00D4064C"/>
    <w:rsid w:val="00D4077D"/>
    <w:rsid w:val="00D40869"/>
    <w:rsid w:val="00D408A0"/>
    <w:rsid w:val="00D40BE1"/>
    <w:rsid w:val="00D41189"/>
    <w:rsid w:val="00D4131D"/>
    <w:rsid w:val="00D414F0"/>
    <w:rsid w:val="00D4152F"/>
    <w:rsid w:val="00D41622"/>
    <w:rsid w:val="00D41846"/>
    <w:rsid w:val="00D41984"/>
    <w:rsid w:val="00D419AE"/>
    <w:rsid w:val="00D419BA"/>
    <w:rsid w:val="00D41D0D"/>
    <w:rsid w:val="00D41FC3"/>
    <w:rsid w:val="00D42001"/>
    <w:rsid w:val="00D421D1"/>
    <w:rsid w:val="00D427CA"/>
    <w:rsid w:val="00D427E2"/>
    <w:rsid w:val="00D4293A"/>
    <w:rsid w:val="00D42A32"/>
    <w:rsid w:val="00D42B5A"/>
    <w:rsid w:val="00D42BAF"/>
    <w:rsid w:val="00D42D02"/>
    <w:rsid w:val="00D42E4A"/>
    <w:rsid w:val="00D43112"/>
    <w:rsid w:val="00D4319D"/>
    <w:rsid w:val="00D43444"/>
    <w:rsid w:val="00D434DD"/>
    <w:rsid w:val="00D4371F"/>
    <w:rsid w:val="00D43A96"/>
    <w:rsid w:val="00D43C0A"/>
    <w:rsid w:val="00D43E61"/>
    <w:rsid w:val="00D43F5D"/>
    <w:rsid w:val="00D43F87"/>
    <w:rsid w:val="00D44222"/>
    <w:rsid w:val="00D443B3"/>
    <w:rsid w:val="00D4447B"/>
    <w:rsid w:val="00D4454C"/>
    <w:rsid w:val="00D451ED"/>
    <w:rsid w:val="00D4533E"/>
    <w:rsid w:val="00D453BA"/>
    <w:rsid w:val="00D454E5"/>
    <w:rsid w:val="00D4569D"/>
    <w:rsid w:val="00D45764"/>
    <w:rsid w:val="00D45CB5"/>
    <w:rsid w:val="00D45EA0"/>
    <w:rsid w:val="00D46101"/>
    <w:rsid w:val="00D461CE"/>
    <w:rsid w:val="00D4621D"/>
    <w:rsid w:val="00D46876"/>
    <w:rsid w:val="00D46AFF"/>
    <w:rsid w:val="00D46CA6"/>
    <w:rsid w:val="00D46CBA"/>
    <w:rsid w:val="00D46DD7"/>
    <w:rsid w:val="00D4702D"/>
    <w:rsid w:val="00D47184"/>
    <w:rsid w:val="00D471A1"/>
    <w:rsid w:val="00D471DD"/>
    <w:rsid w:val="00D47273"/>
    <w:rsid w:val="00D47440"/>
    <w:rsid w:val="00D4744B"/>
    <w:rsid w:val="00D47487"/>
    <w:rsid w:val="00D475C2"/>
    <w:rsid w:val="00D47791"/>
    <w:rsid w:val="00D47954"/>
    <w:rsid w:val="00D47B7B"/>
    <w:rsid w:val="00D47CE5"/>
    <w:rsid w:val="00D500C6"/>
    <w:rsid w:val="00D50279"/>
    <w:rsid w:val="00D5066D"/>
    <w:rsid w:val="00D508AB"/>
    <w:rsid w:val="00D509C2"/>
    <w:rsid w:val="00D509C6"/>
    <w:rsid w:val="00D50F12"/>
    <w:rsid w:val="00D5104C"/>
    <w:rsid w:val="00D510E3"/>
    <w:rsid w:val="00D51490"/>
    <w:rsid w:val="00D516AE"/>
    <w:rsid w:val="00D516B0"/>
    <w:rsid w:val="00D51740"/>
    <w:rsid w:val="00D517CB"/>
    <w:rsid w:val="00D518DA"/>
    <w:rsid w:val="00D51950"/>
    <w:rsid w:val="00D51C2D"/>
    <w:rsid w:val="00D51D15"/>
    <w:rsid w:val="00D51D7C"/>
    <w:rsid w:val="00D51E14"/>
    <w:rsid w:val="00D5200C"/>
    <w:rsid w:val="00D52035"/>
    <w:rsid w:val="00D525BC"/>
    <w:rsid w:val="00D52794"/>
    <w:rsid w:val="00D5290C"/>
    <w:rsid w:val="00D52958"/>
    <w:rsid w:val="00D52A4C"/>
    <w:rsid w:val="00D52D31"/>
    <w:rsid w:val="00D52EC1"/>
    <w:rsid w:val="00D52F2F"/>
    <w:rsid w:val="00D52F4B"/>
    <w:rsid w:val="00D5327D"/>
    <w:rsid w:val="00D53421"/>
    <w:rsid w:val="00D53443"/>
    <w:rsid w:val="00D5350B"/>
    <w:rsid w:val="00D53534"/>
    <w:rsid w:val="00D53855"/>
    <w:rsid w:val="00D53ADD"/>
    <w:rsid w:val="00D53BF7"/>
    <w:rsid w:val="00D54749"/>
    <w:rsid w:val="00D54860"/>
    <w:rsid w:val="00D54E00"/>
    <w:rsid w:val="00D55391"/>
    <w:rsid w:val="00D553C2"/>
    <w:rsid w:val="00D554AB"/>
    <w:rsid w:val="00D554E0"/>
    <w:rsid w:val="00D55770"/>
    <w:rsid w:val="00D559A4"/>
    <w:rsid w:val="00D55AAA"/>
    <w:rsid w:val="00D55ABC"/>
    <w:rsid w:val="00D55B6A"/>
    <w:rsid w:val="00D55B9F"/>
    <w:rsid w:val="00D55DFB"/>
    <w:rsid w:val="00D55F17"/>
    <w:rsid w:val="00D560C6"/>
    <w:rsid w:val="00D56343"/>
    <w:rsid w:val="00D563EB"/>
    <w:rsid w:val="00D565A3"/>
    <w:rsid w:val="00D5685E"/>
    <w:rsid w:val="00D56871"/>
    <w:rsid w:val="00D56A10"/>
    <w:rsid w:val="00D56A62"/>
    <w:rsid w:val="00D56AF7"/>
    <w:rsid w:val="00D56CA9"/>
    <w:rsid w:val="00D56E42"/>
    <w:rsid w:val="00D56F74"/>
    <w:rsid w:val="00D570A8"/>
    <w:rsid w:val="00D570B2"/>
    <w:rsid w:val="00D57172"/>
    <w:rsid w:val="00D57291"/>
    <w:rsid w:val="00D5729C"/>
    <w:rsid w:val="00D572E3"/>
    <w:rsid w:val="00D57524"/>
    <w:rsid w:val="00D5752E"/>
    <w:rsid w:val="00D57663"/>
    <w:rsid w:val="00D5771A"/>
    <w:rsid w:val="00D579FB"/>
    <w:rsid w:val="00D57A89"/>
    <w:rsid w:val="00D57C6F"/>
    <w:rsid w:val="00D57CBE"/>
    <w:rsid w:val="00D57D46"/>
    <w:rsid w:val="00D57DA0"/>
    <w:rsid w:val="00D5C088"/>
    <w:rsid w:val="00D601C6"/>
    <w:rsid w:val="00D60295"/>
    <w:rsid w:val="00D60405"/>
    <w:rsid w:val="00D60414"/>
    <w:rsid w:val="00D60490"/>
    <w:rsid w:val="00D60904"/>
    <w:rsid w:val="00D60911"/>
    <w:rsid w:val="00D609E8"/>
    <w:rsid w:val="00D60B6C"/>
    <w:rsid w:val="00D60E40"/>
    <w:rsid w:val="00D60FA4"/>
    <w:rsid w:val="00D61009"/>
    <w:rsid w:val="00D610D9"/>
    <w:rsid w:val="00D61260"/>
    <w:rsid w:val="00D6163A"/>
    <w:rsid w:val="00D61724"/>
    <w:rsid w:val="00D6181B"/>
    <w:rsid w:val="00D61843"/>
    <w:rsid w:val="00D61884"/>
    <w:rsid w:val="00D61A38"/>
    <w:rsid w:val="00D61B46"/>
    <w:rsid w:val="00D61D6C"/>
    <w:rsid w:val="00D61D93"/>
    <w:rsid w:val="00D61E13"/>
    <w:rsid w:val="00D62015"/>
    <w:rsid w:val="00D622CE"/>
    <w:rsid w:val="00D62461"/>
    <w:rsid w:val="00D62537"/>
    <w:rsid w:val="00D626ED"/>
    <w:rsid w:val="00D62716"/>
    <w:rsid w:val="00D628E8"/>
    <w:rsid w:val="00D629DD"/>
    <w:rsid w:val="00D62A92"/>
    <w:rsid w:val="00D62AEB"/>
    <w:rsid w:val="00D62B35"/>
    <w:rsid w:val="00D62BF3"/>
    <w:rsid w:val="00D62C3E"/>
    <w:rsid w:val="00D62E39"/>
    <w:rsid w:val="00D630D3"/>
    <w:rsid w:val="00D63147"/>
    <w:rsid w:val="00D6336B"/>
    <w:rsid w:val="00D634BC"/>
    <w:rsid w:val="00D6369F"/>
    <w:rsid w:val="00D636B8"/>
    <w:rsid w:val="00D637F7"/>
    <w:rsid w:val="00D63877"/>
    <w:rsid w:val="00D6392A"/>
    <w:rsid w:val="00D63A93"/>
    <w:rsid w:val="00D63C28"/>
    <w:rsid w:val="00D63CCD"/>
    <w:rsid w:val="00D63D41"/>
    <w:rsid w:val="00D63DA2"/>
    <w:rsid w:val="00D63DE4"/>
    <w:rsid w:val="00D6429C"/>
    <w:rsid w:val="00D64403"/>
    <w:rsid w:val="00D64412"/>
    <w:rsid w:val="00D6449F"/>
    <w:rsid w:val="00D6459E"/>
    <w:rsid w:val="00D645B8"/>
    <w:rsid w:val="00D64A15"/>
    <w:rsid w:val="00D64B85"/>
    <w:rsid w:val="00D64BED"/>
    <w:rsid w:val="00D64D47"/>
    <w:rsid w:val="00D650E2"/>
    <w:rsid w:val="00D6530A"/>
    <w:rsid w:val="00D65B79"/>
    <w:rsid w:val="00D65D24"/>
    <w:rsid w:val="00D65DB4"/>
    <w:rsid w:val="00D662FA"/>
    <w:rsid w:val="00D663A9"/>
    <w:rsid w:val="00D6660E"/>
    <w:rsid w:val="00D66693"/>
    <w:rsid w:val="00D6681E"/>
    <w:rsid w:val="00D66852"/>
    <w:rsid w:val="00D66B10"/>
    <w:rsid w:val="00D66B6A"/>
    <w:rsid w:val="00D66BF7"/>
    <w:rsid w:val="00D66CF3"/>
    <w:rsid w:val="00D66D0A"/>
    <w:rsid w:val="00D66FAD"/>
    <w:rsid w:val="00D671FC"/>
    <w:rsid w:val="00D6724E"/>
    <w:rsid w:val="00D6744F"/>
    <w:rsid w:val="00D6756B"/>
    <w:rsid w:val="00D675AF"/>
    <w:rsid w:val="00D675FA"/>
    <w:rsid w:val="00D67646"/>
    <w:rsid w:val="00D6766E"/>
    <w:rsid w:val="00D677AA"/>
    <w:rsid w:val="00D678F5"/>
    <w:rsid w:val="00D67AC8"/>
    <w:rsid w:val="00D67BEE"/>
    <w:rsid w:val="00D67DAC"/>
    <w:rsid w:val="00D67EC4"/>
    <w:rsid w:val="00D700E5"/>
    <w:rsid w:val="00D7019C"/>
    <w:rsid w:val="00D7031F"/>
    <w:rsid w:val="00D703AF"/>
    <w:rsid w:val="00D703D7"/>
    <w:rsid w:val="00D70544"/>
    <w:rsid w:val="00D70656"/>
    <w:rsid w:val="00D707DA"/>
    <w:rsid w:val="00D70C1B"/>
    <w:rsid w:val="00D70C32"/>
    <w:rsid w:val="00D70C36"/>
    <w:rsid w:val="00D70D1F"/>
    <w:rsid w:val="00D7115D"/>
    <w:rsid w:val="00D7134E"/>
    <w:rsid w:val="00D71608"/>
    <w:rsid w:val="00D718BC"/>
    <w:rsid w:val="00D719B2"/>
    <w:rsid w:val="00D71BDE"/>
    <w:rsid w:val="00D71BE8"/>
    <w:rsid w:val="00D71DDF"/>
    <w:rsid w:val="00D71E53"/>
    <w:rsid w:val="00D71ECA"/>
    <w:rsid w:val="00D720C7"/>
    <w:rsid w:val="00D721A0"/>
    <w:rsid w:val="00D723B0"/>
    <w:rsid w:val="00D727B3"/>
    <w:rsid w:val="00D72884"/>
    <w:rsid w:val="00D72A2E"/>
    <w:rsid w:val="00D72C1D"/>
    <w:rsid w:val="00D72CA0"/>
    <w:rsid w:val="00D72E90"/>
    <w:rsid w:val="00D72E94"/>
    <w:rsid w:val="00D7322D"/>
    <w:rsid w:val="00D732B6"/>
    <w:rsid w:val="00D7354C"/>
    <w:rsid w:val="00D737F8"/>
    <w:rsid w:val="00D73822"/>
    <w:rsid w:val="00D738B6"/>
    <w:rsid w:val="00D73A22"/>
    <w:rsid w:val="00D73A58"/>
    <w:rsid w:val="00D73ADE"/>
    <w:rsid w:val="00D73D0E"/>
    <w:rsid w:val="00D74188"/>
    <w:rsid w:val="00D741C7"/>
    <w:rsid w:val="00D741ED"/>
    <w:rsid w:val="00D747F4"/>
    <w:rsid w:val="00D7493B"/>
    <w:rsid w:val="00D74AE7"/>
    <w:rsid w:val="00D74DF4"/>
    <w:rsid w:val="00D74FE9"/>
    <w:rsid w:val="00D75267"/>
    <w:rsid w:val="00D75389"/>
    <w:rsid w:val="00D7566D"/>
    <w:rsid w:val="00D75919"/>
    <w:rsid w:val="00D7597F"/>
    <w:rsid w:val="00D75A3D"/>
    <w:rsid w:val="00D75BDB"/>
    <w:rsid w:val="00D75C4B"/>
    <w:rsid w:val="00D75CD6"/>
    <w:rsid w:val="00D75CD8"/>
    <w:rsid w:val="00D75DB7"/>
    <w:rsid w:val="00D75E07"/>
    <w:rsid w:val="00D75F86"/>
    <w:rsid w:val="00D7630C"/>
    <w:rsid w:val="00D76320"/>
    <w:rsid w:val="00D763D4"/>
    <w:rsid w:val="00D763D5"/>
    <w:rsid w:val="00D76415"/>
    <w:rsid w:val="00D76AC7"/>
    <w:rsid w:val="00D76B55"/>
    <w:rsid w:val="00D76D06"/>
    <w:rsid w:val="00D76F62"/>
    <w:rsid w:val="00D771EA"/>
    <w:rsid w:val="00D7731B"/>
    <w:rsid w:val="00D773C1"/>
    <w:rsid w:val="00D7754E"/>
    <w:rsid w:val="00D77629"/>
    <w:rsid w:val="00D776D1"/>
    <w:rsid w:val="00D77962"/>
    <w:rsid w:val="00D77A5A"/>
    <w:rsid w:val="00D77AC4"/>
    <w:rsid w:val="00D77AFA"/>
    <w:rsid w:val="00D77C2F"/>
    <w:rsid w:val="00D77CED"/>
    <w:rsid w:val="00D77D0D"/>
    <w:rsid w:val="00D77E92"/>
    <w:rsid w:val="00D80028"/>
    <w:rsid w:val="00D800A1"/>
    <w:rsid w:val="00D8013B"/>
    <w:rsid w:val="00D80230"/>
    <w:rsid w:val="00D8032F"/>
    <w:rsid w:val="00D803AF"/>
    <w:rsid w:val="00D803F3"/>
    <w:rsid w:val="00D804AC"/>
    <w:rsid w:val="00D80791"/>
    <w:rsid w:val="00D807C6"/>
    <w:rsid w:val="00D808C6"/>
    <w:rsid w:val="00D80A0A"/>
    <w:rsid w:val="00D80A57"/>
    <w:rsid w:val="00D80BED"/>
    <w:rsid w:val="00D80EE6"/>
    <w:rsid w:val="00D81002"/>
    <w:rsid w:val="00D81059"/>
    <w:rsid w:val="00D81210"/>
    <w:rsid w:val="00D81514"/>
    <w:rsid w:val="00D8165B"/>
    <w:rsid w:val="00D8182B"/>
    <w:rsid w:val="00D81864"/>
    <w:rsid w:val="00D81A43"/>
    <w:rsid w:val="00D81B41"/>
    <w:rsid w:val="00D81C95"/>
    <w:rsid w:val="00D81C9D"/>
    <w:rsid w:val="00D81DC6"/>
    <w:rsid w:val="00D81EAE"/>
    <w:rsid w:val="00D81F6D"/>
    <w:rsid w:val="00D820AC"/>
    <w:rsid w:val="00D820D0"/>
    <w:rsid w:val="00D82106"/>
    <w:rsid w:val="00D82622"/>
    <w:rsid w:val="00D82797"/>
    <w:rsid w:val="00D828A0"/>
    <w:rsid w:val="00D82B83"/>
    <w:rsid w:val="00D82BD8"/>
    <w:rsid w:val="00D82C23"/>
    <w:rsid w:val="00D82DE0"/>
    <w:rsid w:val="00D82E1E"/>
    <w:rsid w:val="00D82FBA"/>
    <w:rsid w:val="00D83034"/>
    <w:rsid w:val="00D830EA"/>
    <w:rsid w:val="00D835B6"/>
    <w:rsid w:val="00D83764"/>
    <w:rsid w:val="00D83849"/>
    <w:rsid w:val="00D838B7"/>
    <w:rsid w:val="00D83906"/>
    <w:rsid w:val="00D83AD2"/>
    <w:rsid w:val="00D83BB8"/>
    <w:rsid w:val="00D83F7D"/>
    <w:rsid w:val="00D84263"/>
    <w:rsid w:val="00D84362"/>
    <w:rsid w:val="00D84654"/>
    <w:rsid w:val="00D846AD"/>
    <w:rsid w:val="00D847FC"/>
    <w:rsid w:val="00D8481E"/>
    <w:rsid w:val="00D84A43"/>
    <w:rsid w:val="00D84ADB"/>
    <w:rsid w:val="00D84D6C"/>
    <w:rsid w:val="00D84E3A"/>
    <w:rsid w:val="00D84FB5"/>
    <w:rsid w:val="00D85081"/>
    <w:rsid w:val="00D8525A"/>
    <w:rsid w:val="00D85321"/>
    <w:rsid w:val="00D854D1"/>
    <w:rsid w:val="00D855BA"/>
    <w:rsid w:val="00D856C6"/>
    <w:rsid w:val="00D85C5F"/>
    <w:rsid w:val="00D85F32"/>
    <w:rsid w:val="00D860D6"/>
    <w:rsid w:val="00D862EA"/>
    <w:rsid w:val="00D86337"/>
    <w:rsid w:val="00D863AC"/>
    <w:rsid w:val="00D8643E"/>
    <w:rsid w:val="00D86523"/>
    <w:rsid w:val="00D86673"/>
    <w:rsid w:val="00D86769"/>
    <w:rsid w:val="00D86C4F"/>
    <w:rsid w:val="00D86E9F"/>
    <w:rsid w:val="00D86ED2"/>
    <w:rsid w:val="00D86F46"/>
    <w:rsid w:val="00D87154"/>
    <w:rsid w:val="00D87258"/>
    <w:rsid w:val="00D87304"/>
    <w:rsid w:val="00D87327"/>
    <w:rsid w:val="00D873B3"/>
    <w:rsid w:val="00D874B0"/>
    <w:rsid w:val="00D87747"/>
    <w:rsid w:val="00D877C9"/>
    <w:rsid w:val="00D87825"/>
    <w:rsid w:val="00D87B38"/>
    <w:rsid w:val="00D87C15"/>
    <w:rsid w:val="00D90103"/>
    <w:rsid w:val="00D9018A"/>
    <w:rsid w:val="00D90253"/>
    <w:rsid w:val="00D903C5"/>
    <w:rsid w:val="00D9045D"/>
    <w:rsid w:val="00D90608"/>
    <w:rsid w:val="00D90791"/>
    <w:rsid w:val="00D9080E"/>
    <w:rsid w:val="00D90FA6"/>
    <w:rsid w:val="00D91258"/>
    <w:rsid w:val="00D9125B"/>
    <w:rsid w:val="00D91304"/>
    <w:rsid w:val="00D91446"/>
    <w:rsid w:val="00D91843"/>
    <w:rsid w:val="00D919DE"/>
    <w:rsid w:val="00D91AD7"/>
    <w:rsid w:val="00D91B71"/>
    <w:rsid w:val="00D91C18"/>
    <w:rsid w:val="00D91D11"/>
    <w:rsid w:val="00D91D78"/>
    <w:rsid w:val="00D92277"/>
    <w:rsid w:val="00D9235B"/>
    <w:rsid w:val="00D923CE"/>
    <w:rsid w:val="00D92900"/>
    <w:rsid w:val="00D92A77"/>
    <w:rsid w:val="00D92B1C"/>
    <w:rsid w:val="00D92BE1"/>
    <w:rsid w:val="00D92CFC"/>
    <w:rsid w:val="00D92DA0"/>
    <w:rsid w:val="00D92EEB"/>
    <w:rsid w:val="00D92F66"/>
    <w:rsid w:val="00D92FC1"/>
    <w:rsid w:val="00D93251"/>
    <w:rsid w:val="00D9328A"/>
    <w:rsid w:val="00D93595"/>
    <w:rsid w:val="00D93604"/>
    <w:rsid w:val="00D93648"/>
    <w:rsid w:val="00D93680"/>
    <w:rsid w:val="00D93BE0"/>
    <w:rsid w:val="00D93C60"/>
    <w:rsid w:val="00D93D99"/>
    <w:rsid w:val="00D93DCB"/>
    <w:rsid w:val="00D93E43"/>
    <w:rsid w:val="00D93E7F"/>
    <w:rsid w:val="00D93E9E"/>
    <w:rsid w:val="00D93EA3"/>
    <w:rsid w:val="00D93EF5"/>
    <w:rsid w:val="00D93F04"/>
    <w:rsid w:val="00D94087"/>
    <w:rsid w:val="00D940DE"/>
    <w:rsid w:val="00D94111"/>
    <w:rsid w:val="00D942EB"/>
    <w:rsid w:val="00D9435A"/>
    <w:rsid w:val="00D94453"/>
    <w:rsid w:val="00D94634"/>
    <w:rsid w:val="00D94A85"/>
    <w:rsid w:val="00D94B23"/>
    <w:rsid w:val="00D94CFA"/>
    <w:rsid w:val="00D94D1E"/>
    <w:rsid w:val="00D95028"/>
    <w:rsid w:val="00D951EA"/>
    <w:rsid w:val="00D9545A"/>
    <w:rsid w:val="00D95480"/>
    <w:rsid w:val="00D9567E"/>
    <w:rsid w:val="00D958C6"/>
    <w:rsid w:val="00D95992"/>
    <w:rsid w:val="00D95A88"/>
    <w:rsid w:val="00D95CEB"/>
    <w:rsid w:val="00D95D76"/>
    <w:rsid w:val="00D96153"/>
    <w:rsid w:val="00D96281"/>
    <w:rsid w:val="00D96324"/>
    <w:rsid w:val="00D9656B"/>
    <w:rsid w:val="00D9676F"/>
    <w:rsid w:val="00D967B6"/>
    <w:rsid w:val="00D969B5"/>
    <w:rsid w:val="00D96AAD"/>
    <w:rsid w:val="00D96D9A"/>
    <w:rsid w:val="00D96E4B"/>
    <w:rsid w:val="00D96F7B"/>
    <w:rsid w:val="00D97209"/>
    <w:rsid w:val="00D9727B"/>
    <w:rsid w:val="00D9729B"/>
    <w:rsid w:val="00D973F3"/>
    <w:rsid w:val="00D9746C"/>
    <w:rsid w:val="00D97500"/>
    <w:rsid w:val="00D9785B"/>
    <w:rsid w:val="00D97A9F"/>
    <w:rsid w:val="00D97BBE"/>
    <w:rsid w:val="00D97CA5"/>
    <w:rsid w:val="00D97EBA"/>
    <w:rsid w:val="00DA00C1"/>
    <w:rsid w:val="00DA0170"/>
    <w:rsid w:val="00DA0286"/>
    <w:rsid w:val="00DA03CA"/>
    <w:rsid w:val="00DA051D"/>
    <w:rsid w:val="00DA06DA"/>
    <w:rsid w:val="00DA0718"/>
    <w:rsid w:val="00DA0753"/>
    <w:rsid w:val="00DA09DF"/>
    <w:rsid w:val="00DA0A2D"/>
    <w:rsid w:val="00DA0AB7"/>
    <w:rsid w:val="00DA0B47"/>
    <w:rsid w:val="00DA0C44"/>
    <w:rsid w:val="00DA0C5A"/>
    <w:rsid w:val="00DA114E"/>
    <w:rsid w:val="00DA1234"/>
    <w:rsid w:val="00DA1256"/>
    <w:rsid w:val="00DA12A9"/>
    <w:rsid w:val="00DA14D0"/>
    <w:rsid w:val="00DA1511"/>
    <w:rsid w:val="00DA151C"/>
    <w:rsid w:val="00DA1542"/>
    <w:rsid w:val="00DA189E"/>
    <w:rsid w:val="00DA1902"/>
    <w:rsid w:val="00DA1996"/>
    <w:rsid w:val="00DA1DBA"/>
    <w:rsid w:val="00DA1ED7"/>
    <w:rsid w:val="00DA1F59"/>
    <w:rsid w:val="00DA21FE"/>
    <w:rsid w:val="00DA2260"/>
    <w:rsid w:val="00DA22BF"/>
    <w:rsid w:val="00DA232D"/>
    <w:rsid w:val="00DA233E"/>
    <w:rsid w:val="00DA26FE"/>
    <w:rsid w:val="00DA272D"/>
    <w:rsid w:val="00DA2922"/>
    <w:rsid w:val="00DA2959"/>
    <w:rsid w:val="00DA2BF8"/>
    <w:rsid w:val="00DA2E5E"/>
    <w:rsid w:val="00DA32AA"/>
    <w:rsid w:val="00DA32FC"/>
    <w:rsid w:val="00DA33A1"/>
    <w:rsid w:val="00DA3545"/>
    <w:rsid w:val="00DA35EA"/>
    <w:rsid w:val="00DA37E9"/>
    <w:rsid w:val="00DA3851"/>
    <w:rsid w:val="00DA3918"/>
    <w:rsid w:val="00DA39A9"/>
    <w:rsid w:val="00DA3A2C"/>
    <w:rsid w:val="00DA3A58"/>
    <w:rsid w:val="00DA3B05"/>
    <w:rsid w:val="00DA3BF9"/>
    <w:rsid w:val="00DA3C44"/>
    <w:rsid w:val="00DA3C88"/>
    <w:rsid w:val="00DA3CFE"/>
    <w:rsid w:val="00DA3D67"/>
    <w:rsid w:val="00DA3DA1"/>
    <w:rsid w:val="00DA3E8B"/>
    <w:rsid w:val="00DA3F06"/>
    <w:rsid w:val="00DA42CB"/>
    <w:rsid w:val="00DA434E"/>
    <w:rsid w:val="00DA44B4"/>
    <w:rsid w:val="00DA45FD"/>
    <w:rsid w:val="00DA487B"/>
    <w:rsid w:val="00DA4BDE"/>
    <w:rsid w:val="00DA4C3D"/>
    <w:rsid w:val="00DA5047"/>
    <w:rsid w:val="00DA514E"/>
    <w:rsid w:val="00DA52CF"/>
    <w:rsid w:val="00DA5485"/>
    <w:rsid w:val="00DA55C6"/>
    <w:rsid w:val="00DA5728"/>
    <w:rsid w:val="00DA572C"/>
    <w:rsid w:val="00DA587B"/>
    <w:rsid w:val="00DA59D4"/>
    <w:rsid w:val="00DA59D5"/>
    <w:rsid w:val="00DA5C8E"/>
    <w:rsid w:val="00DA5E29"/>
    <w:rsid w:val="00DA5FA6"/>
    <w:rsid w:val="00DA61D6"/>
    <w:rsid w:val="00DA62B9"/>
    <w:rsid w:val="00DA6443"/>
    <w:rsid w:val="00DA64C2"/>
    <w:rsid w:val="00DA65B4"/>
    <w:rsid w:val="00DA6644"/>
    <w:rsid w:val="00DA68FF"/>
    <w:rsid w:val="00DA6920"/>
    <w:rsid w:val="00DA693E"/>
    <w:rsid w:val="00DA6A67"/>
    <w:rsid w:val="00DA6AD2"/>
    <w:rsid w:val="00DA6DAD"/>
    <w:rsid w:val="00DA6EC7"/>
    <w:rsid w:val="00DA6ED8"/>
    <w:rsid w:val="00DA7001"/>
    <w:rsid w:val="00DA7025"/>
    <w:rsid w:val="00DA7156"/>
    <w:rsid w:val="00DA720A"/>
    <w:rsid w:val="00DA72B1"/>
    <w:rsid w:val="00DA7323"/>
    <w:rsid w:val="00DA7328"/>
    <w:rsid w:val="00DA733F"/>
    <w:rsid w:val="00DA73FE"/>
    <w:rsid w:val="00DA7484"/>
    <w:rsid w:val="00DA75D7"/>
    <w:rsid w:val="00DA7922"/>
    <w:rsid w:val="00DA79CC"/>
    <w:rsid w:val="00DA7B17"/>
    <w:rsid w:val="00DA7BC3"/>
    <w:rsid w:val="00DAC9E2"/>
    <w:rsid w:val="00DB0159"/>
    <w:rsid w:val="00DB034E"/>
    <w:rsid w:val="00DB03BA"/>
    <w:rsid w:val="00DB03EC"/>
    <w:rsid w:val="00DB0435"/>
    <w:rsid w:val="00DB04B5"/>
    <w:rsid w:val="00DB0536"/>
    <w:rsid w:val="00DB05D2"/>
    <w:rsid w:val="00DB069C"/>
    <w:rsid w:val="00DB06F9"/>
    <w:rsid w:val="00DB0849"/>
    <w:rsid w:val="00DB0C79"/>
    <w:rsid w:val="00DB0D3D"/>
    <w:rsid w:val="00DB0EF1"/>
    <w:rsid w:val="00DB0F3D"/>
    <w:rsid w:val="00DB0FAE"/>
    <w:rsid w:val="00DB0FBA"/>
    <w:rsid w:val="00DB10B2"/>
    <w:rsid w:val="00DB11F2"/>
    <w:rsid w:val="00DB149E"/>
    <w:rsid w:val="00DB1911"/>
    <w:rsid w:val="00DB196E"/>
    <w:rsid w:val="00DB19B1"/>
    <w:rsid w:val="00DB1C19"/>
    <w:rsid w:val="00DB1DF7"/>
    <w:rsid w:val="00DB1FB0"/>
    <w:rsid w:val="00DB23C7"/>
    <w:rsid w:val="00DB2463"/>
    <w:rsid w:val="00DB24B2"/>
    <w:rsid w:val="00DB24D7"/>
    <w:rsid w:val="00DB26C9"/>
    <w:rsid w:val="00DB28AD"/>
    <w:rsid w:val="00DB2B67"/>
    <w:rsid w:val="00DB2B6A"/>
    <w:rsid w:val="00DB2EB6"/>
    <w:rsid w:val="00DB3075"/>
    <w:rsid w:val="00DB3087"/>
    <w:rsid w:val="00DB3102"/>
    <w:rsid w:val="00DB318B"/>
    <w:rsid w:val="00DB348B"/>
    <w:rsid w:val="00DB34AE"/>
    <w:rsid w:val="00DB3615"/>
    <w:rsid w:val="00DB38E1"/>
    <w:rsid w:val="00DB3956"/>
    <w:rsid w:val="00DB3A06"/>
    <w:rsid w:val="00DB3A20"/>
    <w:rsid w:val="00DB3A80"/>
    <w:rsid w:val="00DB3BFB"/>
    <w:rsid w:val="00DB3C72"/>
    <w:rsid w:val="00DB3F50"/>
    <w:rsid w:val="00DB3F6E"/>
    <w:rsid w:val="00DB3F7B"/>
    <w:rsid w:val="00DB4176"/>
    <w:rsid w:val="00DB4A84"/>
    <w:rsid w:val="00DB4D2D"/>
    <w:rsid w:val="00DB4F78"/>
    <w:rsid w:val="00DB4F9E"/>
    <w:rsid w:val="00DB5084"/>
    <w:rsid w:val="00DB5126"/>
    <w:rsid w:val="00DB514D"/>
    <w:rsid w:val="00DB5173"/>
    <w:rsid w:val="00DB5328"/>
    <w:rsid w:val="00DB53A8"/>
    <w:rsid w:val="00DB5411"/>
    <w:rsid w:val="00DB579C"/>
    <w:rsid w:val="00DB57F0"/>
    <w:rsid w:val="00DB581E"/>
    <w:rsid w:val="00DB585B"/>
    <w:rsid w:val="00DB59C8"/>
    <w:rsid w:val="00DB5A29"/>
    <w:rsid w:val="00DB5B6A"/>
    <w:rsid w:val="00DB5D87"/>
    <w:rsid w:val="00DB5E66"/>
    <w:rsid w:val="00DB5EEE"/>
    <w:rsid w:val="00DB6481"/>
    <w:rsid w:val="00DB6717"/>
    <w:rsid w:val="00DB676F"/>
    <w:rsid w:val="00DB6969"/>
    <w:rsid w:val="00DB6C41"/>
    <w:rsid w:val="00DB6F1F"/>
    <w:rsid w:val="00DB71CB"/>
    <w:rsid w:val="00DB74C3"/>
    <w:rsid w:val="00DB7691"/>
    <w:rsid w:val="00DB76C4"/>
    <w:rsid w:val="00DB7746"/>
    <w:rsid w:val="00DB78A2"/>
    <w:rsid w:val="00DB79F6"/>
    <w:rsid w:val="00DB79F8"/>
    <w:rsid w:val="00DB7BC2"/>
    <w:rsid w:val="00DC0061"/>
    <w:rsid w:val="00DC0194"/>
    <w:rsid w:val="00DC0207"/>
    <w:rsid w:val="00DC036A"/>
    <w:rsid w:val="00DC0445"/>
    <w:rsid w:val="00DC04A6"/>
    <w:rsid w:val="00DC0B9C"/>
    <w:rsid w:val="00DC0DBC"/>
    <w:rsid w:val="00DC1023"/>
    <w:rsid w:val="00DC10F9"/>
    <w:rsid w:val="00DC12BA"/>
    <w:rsid w:val="00DC12E5"/>
    <w:rsid w:val="00DC1479"/>
    <w:rsid w:val="00DC17C9"/>
    <w:rsid w:val="00DC18CE"/>
    <w:rsid w:val="00DC1C0A"/>
    <w:rsid w:val="00DC1D9A"/>
    <w:rsid w:val="00DC20CF"/>
    <w:rsid w:val="00DC21CE"/>
    <w:rsid w:val="00DC222C"/>
    <w:rsid w:val="00DC2247"/>
    <w:rsid w:val="00DC22B6"/>
    <w:rsid w:val="00DC2584"/>
    <w:rsid w:val="00DC26D1"/>
    <w:rsid w:val="00DC27BA"/>
    <w:rsid w:val="00DC295F"/>
    <w:rsid w:val="00DC29C5"/>
    <w:rsid w:val="00DC2B31"/>
    <w:rsid w:val="00DC2C84"/>
    <w:rsid w:val="00DC2D94"/>
    <w:rsid w:val="00DC2ED0"/>
    <w:rsid w:val="00DC3182"/>
    <w:rsid w:val="00DC341D"/>
    <w:rsid w:val="00DC3577"/>
    <w:rsid w:val="00DC358F"/>
    <w:rsid w:val="00DC377F"/>
    <w:rsid w:val="00DC3810"/>
    <w:rsid w:val="00DC3839"/>
    <w:rsid w:val="00DC3B02"/>
    <w:rsid w:val="00DC3B55"/>
    <w:rsid w:val="00DC3D7A"/>
    <w:rsid w:val="00DC42E3"/>
    <w:rsid w:val="00DC4360"/>
    <w:rsid w:val="00DC496B"/>
    <w:rsid w:val="00DC49B7"/>
    <w:rsid w:val="00DC4B27"/>
    <w:rsid w:val="00DC4F15"/>
    <w:rsid w:val="00DC4FC9"/>
    <w:rsid w:val="00DC50E8"/>
    <w:rsid w:val="00DC5266"/>
    <w:rsid w:val="00DC5345"/>
    <w:rsid w:val="00DC554A"/>
    <w:rsid w:val="00DC5609"/>
    <w:rsid w:val="00DC56C2"/>
    <w:rsid w:val="00DC56F7"/>
    <w:rsid w:val="00DC58C1"/>
    <w:rsid w:val="00DC5A56"/>
    <w:rsid w:val="00DC5C6D"/>
    <w:rsid w:val="00DC5C85"/>
    <w:rsid w:val="00DC5DC3"/>
    <w:rsid w:val="00DC5E18"/>
    <w:rsid w:val="00DC5EBC"/>
    <w:rsid w:val="00DC5FE7"/>
    <w:rsid w:val="00DC62B5"/>
    <w:rsid w:val="00DC6390"/>
    <w:rsid w:val="00DC647E"/>
    <w:rsid w:val="00DC6482"/>
    <w:rsid w:val="00DC64BD"/>
    <w:rsid w:val="00DC6621"/>
    <w:rsid w:val="00DC6A37"/>
    <w:rsid w:val="00DC6A3C"/>
    <w:rsid w:val="00DC6A52"/>
    <w:rsid w:val="00DC6C72"/>
    <w:rsid w:val="00DC6D93"/>
    <w:rsid w:val="00DC6E28"/>
    <w:rsid w:val="00DC6E54"/>
    <w:rsid w:val="00DC7001"/>
    <w:rsid w:val="00DC709E"/>
    <w:rsid w:val="00DC7235"/>
    <w:rsid w:val="00DC72FA"/>
    <w:rsid w:val="00DC7349"/>
    <w:rsid w:val="00DC7390"/>
    <w:rsid w:val="00DC76A7"/>
    <w:rsid w:val="00DC7712"/>
    <w:rsid w:val="00DC7A0F"/>
    <w:rsid w:val="00DC7AE9"/>
    <w:rsid w:val="00DC7C67"/>
    <w:rsid w:val="00DC7E67"/>
    <w:rsid w:val="00DC7EA9"/>
    <w:rsid w:val="00DC7FD9"/>
    <w:rsid w:val="00DD0002"/>
    <w:rsid w:val="00DD0660"/>
    <w:rsid w:val="00DD0C23"/>
    <w:rsid w:val="00DD0CCD"/>
    <w:rsid w:val="00DD0CDE"/>
    <w:rsid w:val="00DD0E7C"/>
    <w:rsid w:val="00DD0F68"/>
    <w:rsid w:val="00DD10E7"/>
    <w:rsid w:val="00DD114A"/>
    <w:rsid w:val="00DD1176"/>
    <w:rsid w:val="00DD1337"/>
    <w:rsid w:val="00DD18CD"/>
    <w:rsid w:val="00DD18D6"/>
    <w:rsid w:val="00DD1A52"/>
    <w:rsid w:val="00DD1B10"/>
    <w:rsid w:val="00DD1C7F"/>
    <w:rsid w:val="00DD1CDC"/>
    <w:rsid w:val="00DD1D74"/>
    <w:rsid w:val="00DD1DE7"/>
    <w:rsid w:val="00DD1E30"/>
    <w:rsid w:val="00DD1E4C"/>
    <w:rsid w:val="00DD1E88"/>
    <w:rsid w:val="00DD1EDD"/>
    <w:rsid w:val="00DD1FFF"/>
    <w:rsid w:val="00DD201B"/>
    <w:rsid w:val="00DD2171"/>
    <w:rsid w:val="00DD21B7"/>
    <w:rsid w:val="00DD223B"/>
    <w:rsid w:val="00DD23E3"/>
    <w:rsid w:val="00DD2477"/>
    <w:rsid w:val="00DD25B9"/>
    <w:rsid w:val="00DD26E0"/>
    <w:rsid w:val="00DD29F5"/>
    <w:rsid w:val="00DD2A8E"/>
    <w:rsid w:val="00DD2ABA"/>
    <w:rsid w:val="00DD2AF8"/>
    <w:rsid w:val="00DD2C34"/>
    <w:rsid w:val="00DD2D79"/>
    <w:rsid w:val="00DD3342"/>
    <w:rsid w:val="00DD3545"/>
    <w:rsid w:val="00DD3580"/>
    <w:rsid w:val="00DD3647"/>
    <w:rsid w:val="00DD3892"/>
    <w:rsid w:val="00DD3D0E"/>
    <w:rsid w:val="00DD3F93"/>
    <w:rsid w:val="00DD3FDD"/>
    <w:rsid w:val="00DD41D1"/>
    <w:rsid w:val="00DD4216"/>
    <w:rsid w:val="00DD422B"/>
    <w:rsid w:val="00DD4384"/>
    <w:rsid w:val="00DD472F"/>
    <w:rsid w:val="00DD48AA"/>
    <w:rsid w:val="00DD48D4"/>
    <w:rsid w:val="00DD4AA0"/>
    <w:rsid w:val="00DD4B85"/>
    <w:rsid w:val="00DD4CD4"/>
    <w:rsid w:val="00DD4E45"/>
    <w:rsid w:val="00DD4E67"/>
    <w:rsid w:val="00DD4EE7"/>
    <w:rsid w:val="00DD5141"/>
    <w:rsid w:val="00DD535E"/>
    <w:rsid w:val="00DD547D"/>
    <w:rsid w:val="00DD54C5"/>
    <w:rsid w:val="00DD56B8"/>
    <w:rsid w:val="00DD57C2"/>
    <w:rsid w:val="00DD582E"/>
    <w:rsid w:val="00DD5839"/>
    <w:rsid w:val="00DD5875"/>
    <w:rsid w:val="00DD5893"/>
    <w:rsid w:val="00DD59E0"/>
    <w:rsid w:val="00DD5DBD"/>
    <w:rsid w:val="00DD60ED"/>
    <w:rsid w:val="00DD61C6"/>
    <w:rsid w:val="00DD626D"/>
    <w:rsid w:val="00DD63A3"/>
    <w:rsid w:val="00DD6487"/>
    <w:rsid w:val="00DD687D"/>
    <w:rsid w:val="00DD688E"/>
    <w:rsid w:val="00DD68A9"/>
    <w:rsid w:val="00DD68B3"/>
    <w:rsid w:val="00DD6BB2"/>
    <w:rsid w:val="00DD6BF2"/>
    <w:rsid w:val="00DD6C7A"/>
    <w:rsid w:val="00DD6D17"/>
    <w:rsid w:val="00DD6E5C"/>
    <w:rsid w:val="00DD6FD5"/>
    <w:rsid w:val="00DD72F5"/>
    <w:rsid w:val="00DD73B5"/>
    <w:rsid w:val="00DD73CD"/>
    <w:rsid w:val="00DD771B"/>
    <w:rsid w:val="00DD77C7"/>
    <w:rsid w:val="00DD78DA"/>
    <w:rsid w:val="00DD795A"/>
    <w:rsid w:val="00DD79DD"/>
    <w:rsid w:val="00DD7A0B"/>
    <w:rsid w:val="00DD7E3C"/>
    <w:rsid w:val="00DDAA1B"/>
    <w:rsid w:val="00DE0011"/>
    <w:rsid w:val="00DE00F0"/>
    <w:rsid w:val="00DE012F"/>
    <w:rsid w:val="00DE0520"/>
    <w:rsid w:val="00DE0584"/>
    <w:rsid w:val="00DE05E7"/>
    <w:rsid w:val="00DE061A"/>
    <w:rsid w:val="00DE072B"/>
    <w:rsid w:val="00DE0B83"/>
    <w:rsid w:val="00DE0BAC"/>
    <w:rsid w:val="00DE0C8A"/>
    <w:rsid w:val="00DE0E90"/>
    <w:rsid w:val="00DE0FA7"/>
    <w:rsid w:val="00DE12C7"/>
    <w:rsid w:val="00DE12FE"/>
    <w:rsid w:val="00DE1391"/>
    <w:rsid w:val="00DE171B"/>
    <w:rsid w:val="00DE1771"/>
    <w:rsid w:val="00DE187F"/>
    <w:rsid w:val="00DE18D0"/>
    <w:rsid w:val="00DE1BA0"/>
    <w:rsid w:val="00DE252D"/>
    <w:rsid w:val="00DE2709"/>
    <w:rsid w:val="00DE283E"/>
    <w:rsid w:val="00DE2894"/>
    <w:rsid w:val="00DE29A9"/>
    <w:rsid w:val="00DE2A4B"/>
    <w:rsid w:val="00DE3069"/>
    <w:rsid w:val="00DE320C"/>
    <w:rsid w:val="00DE3433"/>
    <w:rsid w:val="00DE368F"/>
    <w:rsid w:val="00DE3736"/>
    <w:rsid w:val="00DE39D8"/>
    <w:rsid w:val="00DE3A72"/>
    <w:rsid w:val="00DE3B03"/>
    <w:rsid w:val="00DE3D6C"/>
    <w:rsid w:val="00DE3E12"/>
    <w:rsid w:val="00DE3F2C"/>
    <w:rsid w:val="00DE425A"/>
    <w:rsid w:val="00DE428D"/>
    <w:rsid w:val="00DE43B4"/>
    <w:rsid w:val="00DE4798"/>
    <w:rsid w:val="00DE4A60"/>
    <w:rsid w:val="00DE4B5C"/>
    <w:rsid w:val="00DE4C08"/>
    <w:rsid w:val="00DE4C84"/>
    <w:rsid w:val="00DE4D9D"/>
    <w:rsid w:val="00DE4E07"/>
    <w:rsid w:val="00DE4FF9"/>
    <w:rsid w:val="00DE5328"/>
    <w:rsid w:val="00DE5629"/>
    <w:rsid w:val="00DE56B1"/>
    <w:rsid w:val="00DE578D"/>
    <w:rsid w:val="00DE57E5"/>
    <w:rsid w:val="00DE5911"/>
    <w:rsid w:val="00DE5B1B"/>
    <w:rsid w:val="00DE5C25"/>
    <w:rsid w:val="00DE5C28"/>
    <w:rsid w:val="00DE5D6C"/>
    <w:rsid w:val="00DE6656"/>
    <w:rsid w:val="00DE665B"/>
    <w:rsid w:val="00DE69C8"/>
    <w:rsid w:val="00DE6A0E"/>
    <w:rsid w:val="00DE6B2C"/>
    <w:rsid w:val="00DE6C98"/>
    <w:rsid w:val="00DE6D9A"/>
    <w:rsid w:val="00DE6DDB"/>
    <w:rsid w:val="00DE70AB"/>
    <w:rsid w:val="00DE70EE"/>
    <w:rsid w:val="00DE74FB"/>
    <w:rsid w:val="00DE782A"/>
    <w:rsid w:val="00DE7904"/>
    <w:rsid w:val="00DE7B38"/>
    <w:rsid w:val="00DE7BF6"/>
    <w:rsid w:val="00DE7C2B"/>
    <w:rsid w:val="00DE7CBB"/>
    <w:rsid w:val="00DE7D9A"/>
    <w:rsid w:val="00DE7E5E"/>
    <w:rsid w:val="00DE7F1D"/>
    <w:rsid w:val="00DE7F67"/>
    <w:rsid w:val="00DE7FA4"/>
    <w:rsid w:val="00DF0040"/>
    <w:rsid w:val="00DF03D9"/>
    <w:rsid w:val="00DF0459"/>
    <w:rsid w:val="00DF047C"/>
    <w:rsid w:val="00DF0AD8"/>
    <w:rsid w:val="00DF0B90"/>
    <w:rsid w:val="00DF0C55"/>
    <w:rsid w:val="00DF0CB6"/>
    <w:rsid w:val="00DF0F0A"/>
    <w:rsid w:val="00DF100B"/>
    <w:rsid w:val="00DF1045"/>
    <w:rsid w:val="00DF1168"/>
    <w:rsid w:val="00DF143A"/>
    <w:rsid w:val="00DF1515"/>
    <w:rsid w:val="00DF15E5"/>
    <w:rsid w:val="00DF192C"/>
    <w:rsid w:val="00DF1989"/>
    <w:rsid w:val="00DF1B47"/>
    <w:rsid w:val="00DF1D68"/>
    <w:rsid w:val="00DF20F3"/>
    <w:rsid w:val="00DF21B1"/>
    <w:rsid w:val="00DF2357"/>
    <w:rsid w:val="00DF242B"/>
    <w:rsid w:val="00DF24BC"/>
    <w:rsid w:val="00DF2555"/>
    <w:rsid w:val="00DF2701"/>
    <w:rsid w:val="00DF2BCE"/>
    <w:rsid w:val="00DF2BCF"/>
    <w:rsid w:val="00DF2C21"/>
    <w:rsid w:val="00DF2CB5"/>
    <w:rsid w:val="00DF2DFE"/>
    <w:rsid w:val="00DF2EB1"/>
    <w:rsid w:val="00DF2FCC"/>
    <w:rsid w:val="00DF307D"/>
    <w:rsid w:val="00DF31CB"/>
    <w:rsid w:val="00DF3362"/>
    <w:rsid w:val="00DF359F"/>
    <w:rsid w:val="00DF36F2"/>
    <w:rsid w:val="00DF38CB"/>
    <w:rsid w:val="00DF3983"/>
    <w:rsid w:val="00DF3BC0"/>
    <w:rsid w:val="00DF3C2D"/>
    <w:rsid w:val="00DF3D00"/>
    <w:rsid w:val="00DF3DF7"/>
    <w:rsid w:val="00DF3E1D"/>
    <w:rsid w:val="00DF3EFD"/>
    <w:rsid w:val="00DF407D"/>
    <w:rsid w:val="00DF4891"/>
    <w:rsid w:val="00DF48BC"/>
    <w:rsid w:val="00DF49EC"/>
    <w:rsid w:val="00DF4B54"/>
    <w:rsid w:val="00DF4D8A"/>
    <w:rsid w:val="00DF4DA8"/>
    <w:rsid w:val="00DF50C4"/>
    <w:rsid w:val="00DF54B8"/>
    <w:rsid w:val="00DF54C9"/>
    <w:rsid w:val="00DF5831"/>
    <w:rsid w:val="00DF5926"/>
    <w:rsid w:val="00DF5A59"/>
    <w:rsid w:val="00DF5C12"/>
    <w:rsid w:val="00DF5C3A"/>
    <w:rsid w:val="00DF5C98"/>
    <w:rsid w:val="00DF5E33"/>
    <w:rsid w:val="00DF60D3"/>
    <w:rsid w:val="00DF60E5"/>
    <w:rsid w:val="00DF6364"/>
    <w:rsid w:val="00DF647B"/>
    <w:rsid w:val="00DF66DF"/>
    <w:rsid w:val="00DF67D1"/>
    <w:rsid w:val="00DF67D9"/>
    <w:rsid w:val="00DF690E"/>
    <w:rsid w:val="00DF6994"/>
    <w:rsid w:val="00DF6A69"/>
    <w:rsid w:val="00DF6B79"/>
    <w:rsid w:val="00DF6B8D"/>
    <w:rsid w:val="00DF703A"/>
    <w:rsid w:val="00DF7062"/>
    <w:rsid w:val="00DF7069"/>
    <w:rsid w:val="00DF71CE"/>
    <w:rsid w:val="00DF729C"/>
    <w:rsid w:val="00DF7486"/>
    <w:rsid w:val="00DF752E"/>
    <w:rsid w:val="00DF7990"/>
    <w:rsid w:val="00DF79E0"/>
    <w:rsid w:val="00DF79F7"/>
    <w:rsid w:val="00DF7B91"/>
    <w:rsid w:val="00DF7BDE"/>
    <w:rsid w:val="00DF7D64"/>
    <w:rsid w:val="00DF7DB7"/>
    <w:rsid w:val="00E00095"/>
    <w:rsid w:val="00E00145"/>
    <w:rsid w:val="00E0014A"/>
    <w:rsid w:val="00E0037D"/>
    <w:rsid w:val="00E0065D"/>
    <w:rsid w:val="00E00B52"/>
    <w:rsid w:val="00E00E52"/>
    <w:rsid w:val="00E00F6E"/>
    <w:rsid w:val="00E00F8D"/>
    <w:rsid w:val="00E01062"/>
    <w:rsid w:val="00E01276"/>
    <w:rsid w:val="00E01641"/>
    <w:rsid w:val="00E01B39"/>
    <w:rsid w:val="00E01E55"/>
    <w:rsid w:val="00E01F72"/>
    <w:rsid w:val="00E01FC6"/>
    <w:rsid w:val="00E02102"/>
    <w:rsid w:val="00E02274"/>
    <w:rsid w:val="00E02275"/>
    <w:rsid w:val="00E022CE"/>
    <w:rsid w:val="00E02370"/>
    <w:rsid w:val="00E02B3D"/>
    <w:rsid w:val="00E02D37"/>
    <w:rsid w:val="00E02DD8"/>
    <w:rsid w:val="00E02E58"/>
    <w:rsid w:val="00E02F7F"/>
    <w:rsid w:val="00E02F93"/>
    <w:rsid w:val="00E02F94"/>
    <w:rsid w:val="00E02FC0"/>
    <w:rsid w:val="00E02FF0"/>
    <w:rsid w:val="00E03069"/>
    <w:rsid w:val="00E030CA"/>
    <w:rsid w:val="00E033EB"/>
    <w:rsid w:val="00E034DE"/>
    <w:rsid w:val="00E035CD"/>
    <w:rsid w:val="00E036F2"/>
    <w:rsid w:val="00E03778"/>
    <w:rsid w:val="00E0393F"/>
    <w:rsid w:val="00E03EB9"/>
    <w:rsid w:val="00E03F3F"/>
    <w:rsid w:val="00E0406D"/>
    <w:rsid w:val="00E0420C"/>
    <w:rsid w:val="00E04221"/>
    <w:rsid w:val="00E04284"/>
    <w:rsid w:val="00E04298"/>
    <w:rsid w:val="00E04510"/>
    <w:rsid w:val="00E045CE"/>
    <w:rsid w:val="00E0476B"/>
    <w:rsid w:val="00E04782"/>
    <w:rsid w:val="00E04800"/>
    <w:rsid w:val="00E048B7"/>
    <w:rsid w:val="00E049CE"/>
    <w:rsid w:val="00E04DF6"/>
    <w:rsid w:val="00E04E74"/>
    <w:rsid w:val="00E052DB"/>
    <w:rsid w:val="00E05434"/>
    <w:rsid w:val="00E056D8"/>
    <w:rsid w:val="00E057FC"/>
    <w:rsid w:val="00E05930"/>
    <w:rsid w:val="00E05982"/>
    <w:rsid w:val="00E059ED"/>
    <w:rsid w:val="00E05A7A"/>
    <w:rsid w:val="00E05B45"/>
    <w:rsid w:val="00E05B4F"/>
    <w:rsid w:val="00E05BB2"/>
    <w:rsid w:val="00E05DA7"/>
    <w:rsid w:val="00E05F51"/>
    <w:rsid w:val="00E0679C"/>
    <w:rsid w:val="00E06945"/>
    <w:rsid w:val="00E069B2"/>
    <w:rsid w:val="00E06BC5"/>
    <w:rsid w:val="00E06CA0"/>
    <w:rsid w:val="00E06D96"/>
    <w:rsid w:val="00E06E51"/>
    <w:rsid w:val="00E07014"/>
    <w:rsid w:val="00E0749A"/>
    <w:rsid w:val="00E074EF"/>
    <w:rsid w:val="00E07581"/>
    <w:rsid w:val="00E07676"/>
    <w:rsid w:val="00E0768B"/>
    <w:rsid w:val="00E0772F"/>
    <w:rsid w:val="00E077EA"/>
    <w:rsid w:val="00E0785F"/>
    <w:rsid w:val="00E079A8"/>
    <w:rsid w:val="00E07A2D"/>
    <w:rsid w:val="00E07AC2"/>
    <w:rsid w:val="00E07B2B"/>
    <w:rsid w:val="00E07BE3"/>
    <w:rsid w:val="00E07D16"/>
    <w:rsid w:val="00E1022D"/>
    <w:rsid w:val="00E1026B"/>
    <w:rsid w:val="00E10487"/>
    <w:rsid w:val="00E105BF"/>
    <w:rsid w:val="00E1074E"/>
    <w:rsid w:val="00E108D1"/>
    <w:rsid w:val="00E1096E"/>
    <w:rsid w:val="00E10ABB"/>
    <w:rsid w:val="00E10B5D"/>
    <w:rsid w:val="00E10B9F"/>
    <w:rsid w:val="00E10C69"/>
    <w:rsid w:val="00E10E0A"/>
    <w:rsid w:val="00E10E5D"/>
    <w:rsid w:val="00E1103D"/>
    <w:rsid w:val="00E11072"/>
    <w:rsid w:val="00E110CF"/>
    <w:rsid w:val="00E11305"/>
    <w:rsid w:val="00E1170E"/>
    <w:rsid w:val="00E11824"/>
    <w:rsid w:val="00E118A2"/>
    <w:rsid w:val="00E118E4"/>
    <w:rsid w:val="00E11A73"/>
    <w:rsid w:val="00E11B6C"/>
    <w:rsid w:val="00E11CBC"/>
    <w:rsid w:val="00E11EE5"/>
    <w:rsid w:val="00E11F6D"/>
    <w:rsid w:val="00E120BD"/>
    <w:rsid w:val="00E12223"/>
    <w:rsid w:val="00E1242C"/>
    <w:rsid w:val="00E12778"/>
    <w:rsid w:val="00E12789"/>
    <w:rsid w:val="00E127C2"/>
    <w:rsid w:val="00E1282A"/>
    <w:rsid w:val="00E128F2"/>
    <w:rsid w:val="00E128F9"/>
    <w:rsid w:val="00E12A7B"/>
    <w:rsid w:val="00E12A9C"/>
    <w:rsid w:val="00E12B88"/>
    <w:rsid w:val="00E12C02"/>
    <w:rsid w:val="00E12C70"/>
    <w:rsid w:val="00E12D72"/>
    <w:rsid w:val="00E12DDB"/>
    <w:rsid w:val="00E12E71"/>
    <w:rsid w:val="00E12E9F"/>
    <w:rsid w:val="00E1304A"/>
    <w:rsid w:val="00E13183"/>
    <w:rsid w:val="00E1322F"/>
    <w:rsid w:val="00E1329B"/>
    <w:rsid w:val="00E134B4"/>
    <w:rsid w:val="00E13543"/>
    <w:rsid w:val="00E1377D"/>
    <w:rsid w:val="00E13851"/>
    <w:rsid w:val="00E139E8"/>
    <w:rsid w:val="00E13ABB"/>
    <w:rsid w:val="00E13BD9"/>
    <w:rsid w:val="00E140AF"/>
    <w:rsid w:val="00E142A6"/>
    <w:rsid w:val="00E14359"/>
    <w:rsid w:val="00E144AD"/>
    <w:rsid w:val="00E14513"/>
    <w:rsid w:val="00E1458D"/>
    <w:rsid w:val="00E14801"/>
    <w:rsid w:val="00E1487F"/>
    <w:rsid w:val="00E149BE"/>
    <w:rsid w:val="00E14B1A"/>
    <w:rsid w:val="00E14C30"/>
    <w:rsid w:val="00E14E4B"/>
    <w:rsid w:val="00E14EC3"/>
    <w:rsid w:val="00E14F59"/>
    <w:rsid w:val="00E15025"/>
    <w:rsid w:val="00E15042"/>
    <w:rsid w:val="00E1513F"/>
    <w:rsid w:val="00E15264"/>
    <w:rsid w:val="00E15578"/>
    <w:rsid w:val="00E1591D"/>
    <w:rsid w:val="00E1596E"/>
    <w:rsid w:val="00E15A56"/>
    <w:rsid w:val="00E15B58"/>
    <w:rsid w:val="00E15BDA"/>
    <w:rsid w:val="00E15D64"/>
    <w:rsid w:val="00E15E28"/>
    <w:rsid w:val="00E15E83"/>
    <w:rsid w:val="00E15F23"/>
    <w:rsid w:val="00E1611E"/>
    <w:rsid w:val="00E1670A"/>
    <w:rsid w:val="00E16A8D"/>
    <w:rsid w:val="00E16AF7"/>
    <w:rsid w:val="00E16B93"/>
    <w:rsid w:val="00E16C4C"/>
    <w:rsid w:val="00E16CC1"/>
    <w:rsid w:val="00E170CA"/>
    <w:rsid w:val="00E1742D"/>
    <w:rsid w:val="00E17639"/>
    <w:rsid w:val="00E177E6"/>
    <w:rsid w:val="00E1786C"/>
    <w:rsid w:val="00E178D8"/>
    <w:rsid w:val="00E178DA"/>
    <w:rsid w:val="00E17987"/>
    <w:rsid w:val="00E17AAD"/>
    <w:rsid w:val="00E17F53"/>
    <w:rsid w:val="00E2002A"/>
    <w:rsid w:val="00E2006D"/>
    <w:rsid w:val="00E200B6"/>
    <w:rsid w:val="00E2020C"/>
    <w:rsid w:val="00E20245"/>
    <w:rsid w:val="00E203A5"/>
    <w:rsid w:val="00E20580"/>
    <w:rsid w:val="00E205C1"/>
    <w:rsid w:val="00E20915"/>
    <w:rsid w:val="00E20B96"/>
    <w:rsid w:val="00E20EA2"/>
    <w:rsid w:val="00E2141F"/>
    <w:rsid w:val="00E21472"/>
    <w:rsid w:val="00E21598"/>
    <w:rsid w:val="00E21608"/>
    <w:rsid w:val="00E21621"/>
    <w:rsid w:val="00E216C5"/>
    <w:rsid w:val="00E21769"/>
    <w:rsid w:val="00E217FC"/>
    <w:rsid w:val="00E2184A"/>
    <w:rsid w:val="00E21892"/>
    <w:rsid w:val="00E21B6B"/>
    <w:rsid w:val="00E21C4F"/>
    <w:rsid w:val="00E21C6D"/>
    <w:rsid w:val="00E22151"/>
    <w:rsid w:val="00E2226A"/>
    <w:rsid w:val="00E22387"/>
    <w:rsid w:val="00E223DC"/>
    <w:rsid w:val="00E22526"/>
    <w:rsid w:val="00E22A4B"/>
    <w:rsid w:val="00E22BAF"/>
    <w:rsid w:val="00E22BBD"/>
    <w:rsid w:val="00E22C1A"/>
    <w:rsid w:val="00E22C5F"/>
    <w:rsid w:val="00E22CDF"/>
    <w:rsid w:val="00E22D5D"/>
    <w:rsid w:val="00E22DAC"/>
    <w:rsid w:val="00E23094"/>
    <w:rsid w:val="00E23198"/>
    <w:rsid w:val="00E23498"/>
    <w:rsid w:val="00E23BA4"/>
    <w:rsid w:val="00E23CFC"/>
    <w:rsid w:val="00E23D94"/>
    <w:rsid w:val="00E23DD3"/>
    <w:rsid w:val="00E23DF7"/>
    <w:rsid w:val="00E23E84"/>
    <w:rsid w:val="00E23FBE"/>
    <w:rsid w:val="00E24216"/>
    <w:rsid w:val="00E2425C"/>
    <w:rsid w:val="00E242FE"/>
    <w:rsid w:val="00E243A8"/>
    <w:rsid w:val="00E24485"/>
    <w:rsid w:val="00E244E8"/>
    <w:rsid w:val="00E245CB"/>
    <w:rsid w:val="00E245F0"/>
    <w:rsid w:val="00E247C1"/>
    <w:rsid w:val="00E2482A"/>
    <w:rsid w:val="00E24948"/>
    <w:rsid w:val="00E24B14"/>
    <w:rsid w:val="00E24BA8"/>
    <w:rsid w:val="00E24C83"/>
    <w:rsid w:val="00E24F00"/>
    <w:rsid w:val="00E25026"/>
    <w:rsid w:val="00E2521C"/>
    <w:rsid w:val="00E252F4"/>
    <w:rsid w:val="00E254CA"/>
    <w:rsid w:val="00E255EE"/>
    <w:rsid w:val="00E25BF8"/>
    <w:rsid w:val="00E25C07"/>
    <w:rsid w:val="00E25CE4"/>
    <w:rsid w:val="00E25CFA"/>
    <w:rsid w:val="00E25D06"/>
    <w:rsid w:val="00E25FD2"/>
    <w:rsid w:val="00E2606E"/>
    <w:rsid w:val="00E2617E"/>
    <w:rsid w:val="00E26265"/>
    <w:rsid w:val="00E2655D"/>
    <w:rsid w:val="00E26771"/>
    <w:rsid w:val="00E26813"/>
    <w:rsid w:val="00E268AD"/>
    <w:rsid w:val="00E2697B"/>
    <w:rsid w:val="00E26D12"/>
    <w:rsid w:val="00E27213"/>
    <w:rsid w:val="00E27687"/>
    <w:rsid w:val="00E27CBF"/>
    <w:rsid w:val="00E30083"/>
    <w:rsid w:val="00E30165"/>
    <w:rsid w:val="00E30203"/>
    <w:rsid w:val="00E303D7"/>
    <w:rsid w:val="00E30425"/>
    <w:rsid w:val="00E305C5"/>
    <w:rsid w:val="00E305D7"/>
    <w:rsid w:val="00E306B4"/>
    <w:rsid w:val="00E30949"/>
    <w:rsid w:val="00E30DC7"/>
    <w:rsid w:val="00E30E0E"/>
    <w:rsid w:val="00E3134B"/>
    <w:rsid w:val="00E3170D"/>
    <w:rsid w:val="00E31761"/>
    <w:rsid w:val="00E3177C"/>
    <w:rsid w:val="00E31A82"/>
    <w:rsid w:val="00E31C27"/>
    <w:rsid w:val="00E31FDA"/>
    <w:rsid w:val="00E32117"/>
    <w:rsid w:val="00E32137"/>
    <w:rsid w:val="00E32348"/>
    <w:rsid w:val="00E323CD"/>
    <w:rsid w:val="00E324A0"/>
    <w:rsid w:val="00E327A4"/>
    <w:rsid w:val="00E32B11"/>
    <w:rsid w:val="00E32C47"/>
    <w:rsid w:val="00E32DBF"/>
    <w:rsid w:val="00E32ED5"/>
    <w:rsid w:val="00E3305C"/>
    <w:rsid w:val="00E33348"/>
    <w:rsid w:val="00E334BD"/>
    <w:rsid w:val="00E336E9"/>
    <w:rsid w:val="00E33742"/>
    <w:rsid w:val="00E3375C"/>
    <w:rsid w:val="00E3376C"/>
    <w:rsid w:val="00E33A89"/>
    <w:rsid w:val="00E33C89"/>
    <w:rsid w:val="00E33F76"/>
    <w:rsid w:val="00E33FD5"/>
    <w:rsid w:val="00E34750"/>
    <w:rsid w:val="00E3497E"/>
    <w:rsid w:val="00E34A4E"/>
    <w:rsid w:val="00E34C10"/>
    <w:rsid w:val="00E34C36"/>
    <w:rsid w:val="00E34DC2"/>
    <w:rsid w:val="00E34DE2"/>
    <w:rsid w:val="00E34FE6"/>
    <w:rsid w:val="00E35082"/>
    <w:rsid w:val="00E3549D"/>
    <w:rsid w:val="00E3552D"/>
    <w:rsid w:val="00E356BA"/>
    <w:rsid w:val="00E359F5"/>
    <w:rsid w:val="00E35AC9"/>
    <w:rsid w:val="00E35C16"/>
    <w:rsid w:val="00E35CCC"/>
    <w:rsid w:val="00E35D5D"/>
    <w:rsid w:val="00E36147"/>
    <w:rsid w:val="00E36314"/>
    <w:rsid w:val="00E36551"/>
    <w:rsid w:val="00E3668B"/>
    <w:rsid w:val="00E366BA"/>
    <w:rsid w:val="00E369AE"/>
    <w:rsid w:val="00E36CC4"/>
    <w:rsid w:val="00E36FCB"/>
    <w:rsid w:val="00E3705A"/>
    <w:rsid w:val="00E3741E"/>
    <w:rsid w:val="00E3761F"/>
    <w:rsid w:val="00E37D62"/>
    <w:rsid w:val="00E37D75"/>
    <w:rsid w:val="00E4008B"/>
    <w:rsid w:val="00E4018C"/>
    <w:rsid w:val="00E402D4"/>
    <w:rsid w:val="00E404B9"/>
    <w:rsid w:val="00E4056D"/>
    <w:rsid w:val="00E409BF"/>
    <w:rsid w:val="00E40A59"/>
    <w:rsid w:val="00E40BAC"/>
    <w:rsid w:val="00E40C98"/>
    <w:rsid w:val="00E40C99"/>
    <w:rsid w:val="00E40D1D"/>
    <w:rsid w:val="00E40D22"/>
    <w:rsid w:val="00E40EF4"/>
    <w:rsid w:val="00E40F99"/>
    <w:rsid w:val="00E41021"/>
    <w:rsid w:val="00E410D2"/>
    <w:rsid w:val="00E41111"/>
    <w:rsid w:val="00E4123B"/>
    <w:rsid w:val="00E41438"/>
    <w:rsid w:val="00E41451"/>
    <w:rsid w:val="00E414FE"/>
    <w:rsid w:val="00E41800"/>
    <w:rsid w:val="00E419A4"/>
    <w:rsid w:val="00E41BCA"/>
    <w:rsid w:val="00E421E2"/>
    <w:rsid w:val="00E423EC"/>
    <w:rsid w:val="00E424AB"/>
    <w:rsid w:val="00E42548"/>
    <w:rsid w:val="00E427EC"/>
    <w:rsid w:val="00E429B7"/>
    <w:rsid w:val="00E42A50"/>
    <w:rsid w:val="00E42C2E"/>
    <w:rsid w:val="00E42C6A"/>
    <w:rsid w:val="00E42CB6"/>
    <w:rsid w:val="00E42DBF"/>
    <w:rsid w:val="00E42EA8"/>
    <w:rsid w:val="00E42FB3"/>
    <w:rsid w:val="00E43036"/>
    <w:rsid w:val="00E4310B"/>
    <w:rsid w:val="00E43130"/>
    <w:rsid w:val="00E43264"/>
    <w:rsid w:val="00E433E4"/>
    <w:rsid w:val="00E4341A"/>
    <w:rsid w:val="00E4342D"/>
    <w:rsid w:val="00E43524"/>
    <w:rsid w:val="00E4379D"/>
    <w:rsid w:val="00E43B05"/>
    <w:rsid w:val="00E43CCF"/>
    <w:rsid w:val="00E43DD9"/>
    <w:rsid w:val="00E43FFE"/>
    <w:rsid w:val="00E44190"/>
    <w:rsid w:val="00E44983"/>
    <w:rsid w:val="00E44A1F"/>
    <w:rsid w:val="00E453A8"/>
    <w:rsid w:val="00E45758"/>
    <w:rsid w:val="00E4580D"/>
    <w:rsid w:val="00E45856"/>
    <w:rsid w:val="00E458BE"/>
    <w:rsid w:val="00E45AF3"/>
    <w:rsid w:val="00E45B87"/>
    <w:rsid w:val="00E45C58"/>
    <w:rsid w:val="00E46087"/>
    <w:rsid w:val="00E46123"/>
    <w:rsid w:val="00E46153"/>
    <w:rsid w:val="00E46367"/>
    <w:rsid w:val="00E463D4"/>
    <w:rsid w:val="00E463E6"/>
    <w:rsid w:val="00E4647D"/>
    <w:rsid w:val="00E464C2"/>
    <w:rsid w:val="00E46663"/>
    <w:rsid w:val="00E4677B"/>
    <w:rsid w:val="00E468C9"/>
    <w:rsid w:val="00E46B28"/>
    <w:rsid w:val="00E46C1D"/>
    <w:rsid w:val="00E46F34"/>
    <w:rsid w:val="00E4703E"/>
    <w:rsid w:val="00E47522"/>
    <w:rsid w:val="00E47559"/>
    <w:rsid w:val="00E47781"/>
    <w:rsid w:val="00E4783D"/>
    <w:rsid w:val="00E47A7A"/>
    <w:rsid w:val="00E47BF0"/>
    <w:rsid w:val="00E47E8E"/>
    <w:rsid w:val="00E47EE5"/>
    <w:rsid w:val="00E500A0"/>
    <w:rsid w:val="00E50142"/>
    <w:rsid w:val="00E5019B"/>
    <w:rsid w:val="00E5020F"/>
    <w:rsid w:val="00E50364"/>
    <w:rsid w:val="00E5039B"/>
    <w:rsid w:val="00E504BD"/>
    <w:rsid w:val="00E505FF"/>
    <w:rsid w:val="00E5060C"/>
    <w:rsid w:val="00E506F7"/>
    <w:rsid w:val="00E508AE"/>
    <w:rsid w:val="00E50B06"/>
    <w:rsid w:val="00E50C76"/>
    <w:rsid w:val="00E50C99"/>
    <w:rsid w:val="00E51082"/>
    <w:rsid w:val="00E5164E"/>
    <w:rsid w:val="00E517B7"/>
    <w:rsid w:val="00E51BE2"/>
    <w:rsid w:val="00E51C91"/>
    <w:rsid w:val="00E51F11"/>
    <w:rsid w:val="00E52148"/>
    <w:rsid w:val="00E5220F"/>
    <w:rsid w:val="00E5276D"/>
    <w:rsid w:val="00E52A49"/>
    <w:rsid w:val="00E52BE6"/>
    <w:rsid w:val="00E52D9C"/>
    <w:rsid w:val="00E52DA7"/>
    <w:rsid w:val="00E52F59"/>
    <w:rsid w:val="00E52F89"/>
    <w:rsid w:val="00E53094"/>
    <w:rsid w:val="00E535D5"/>
    <w:rsid w:val="00E536B2"/>
    <w:rsid w:val="00E53863"/>
    <w:rsid w:val="00E53AB9"/>
    <w:rsid w:val="00E53E85"/>
    <w:rsid w:val="00E53F20"/>
    <w:rsid w:val="00E53FBC"/>
    <w:rsid w:val="00E54016"/>
    <w:rsid w:val="00E54035"/>
    <w:rsid w:val="00E54139"/>
    <w:rsid w:val="00E541B3"/>
    <w:rsid w:val="00E54258"/>
    <w:rsid w:val="00E542FB"/>
    <w:rsid w:val="00E54676"/>
    <w:rsid w:val="00E546BB"/>
    <w:rsid w:val="00E546F2"/>
    <w:rsid w:val="00E54767"/>
    <w:rsid w:val="00E5479F"/>
    <w:rsid w:val="00E547B1"/>
    <w:rsid w:val="00E5489D"/>
    <w:rsid w:val="00E548F9"/>
    <w:rsid w:val="00E54A80"/>
    <w:rsid w:val="00E54B59"/>
    <w:rsid w:val="00E54E36"/>
    <w:rsid w:val="00E54EDB"/>
    <w:rsid w:val="00E55082"/>
    <w:rsid w:val="00E551BA"/>
    <w:rsid w:val="00E552DF"/>
    <w:rsid w:val="00E55390"/>
    <w:rsid w:val="00E55B91"/>
    <w:rsid w:val="00E56088"/>
    <w:rsid w:val="00E56331"/>
    <w:rsid w:val="00E563B8"/>
    <w:rsid w:val="00E566A4"/>
    <w:rsid w:val="00E56700"/>
    <w:rsid w:val="00E56771"/>
    <w:rsid w:val="00E5698B"/>
    <w:rsid w:val="00E56C6B"/>
    <w:rsid w:val="00E56E0E"/>
    <w:rsid w:val="00E56F6B"/>
    <w:rsid w:val="00E570D9"/>
    <w:rsid w:val="00E571BE"/>
    <w:rsid w:val="00E57938"/>
    <w:rsid w:val="00E57A28"/>
    <w:rsid w:val="00E57B36"/>
    <w:rsid w:val="00E57C8A"/>
    <w:rsid w:val="00E57C97"/>
    <w:rsid w:val="00E57E44"/>
    <w:rsid w:val="00E57E59"/>
    <w:rsid w:val="00E57EAB"/>
    <w:rsid w:val="00E57F27"/>
    <w:rsid w:val="00E57F67"/>
    <w:rsid w:val="00E60068"/>
    <w:rsid w:val="00E601D2"/>
    <w:rsid w:val="00E601E7"/>
    <w:rsid w:val="00E60272"/>
    <w:rsid w:val="00E6028A"/>
    <w:rsid w:val="00E602FC"/>
    <w:rsid w:val="00E6043F"/>
    <w:rsid w:val="00E60591"/>
    <w:rsid w:val="00E6076E"/>
    <w:rsid w:val="00E60856"/>
    <w:rsid w:val="00E60B35"/>
    <w:rsid w:val="00E60E67"/>
    <w:rsid w:val="00E60FBC"/>
    <w:rsid w:val="00E610AE"/>
    <w:rsid w:val="00E610AF"/>
    <w:rsid w:val="00E6119D"/>
    <w:rsid w:val="00E615D6"/>
    <w:rsid w:val="00E6169D"/>
    <w:rsid w:val="00E61A81"/>
    <w:rsid w:val="00E61AAB"/>
    <w:rsid w:val="00E61B58"/>
    <w:rsid w:val="00E61C7F"/>
    <w:rsid w:val="00E61F68"/>
    <w:rsid w:val="00E61F7C"/>
    <w:rsid w:val="00E62163"/>
    <w:rsid w:val="00E621B4"/>
    <w:rsid w:val="00E62655"/>
    <w:rsid w:val="00E62682"/>
    <w:rsid w:val="00E62CA4"/>
    <w:rsid w:val="00E62DC3"/>
    <w:rsid w:val="00E62EBD"/>
    <w:rsid w:val="00E62F60"/>
    <w:rsid w:val="00E6324F"/>
    <w:rsid w:val="00E6327A"/>
    <w:rsid w:val="00E63583"/>
    <w:rsid w:val="00E63622"/>
    <w:rsid w:val="00E6367C"/>
    <w:rsid w:val="00E6376B"/>
    <w:rsid w:val="00E63AAA"/>
    <w:rsid w:val="00E63B0F"/>
    <w:rsid w:val="00E63C77"/>
    <w:rsid w:val="00E63CF0"/>
    <w:rsid w:val="00E63F7F"/>
    <w:rsid w:val="00E6406D"/>
    <w:rsid w:val="00E64076"/>
    <w:rsid w:val="00E6413A"/>
    <w:rsid w:val="00E641E4"/>
    <w:rsid w:val="00E64285"/>
    <w:rsid w:val="00E6433A"/>
    <w:rsid w:val="00E64430"/>
    <w:rsid w:val="00E6470D"/>
    <w:rsid w:val="00E647D1"/>
    <w:rsid w:val="00E647E3"/>
    <w:rsid w:val="00E64A3D"/>
    <w:rsid w:val="00E64BAC"/>
    <w:rsid w:val="00E64F28"/>
    <w:rsid w:val="00E65192"/>
    <w:rsid w:val="00E65306"/>
    <w:rsid w:val="00E653C4"/>
    <w:rsid w:val="00E6557A"/>
    <w:rsid w:val="00E65788"/>
    <w:rsid w:val="00E6579B"/>
    <w:rsid w:val="00E6584A"/>
    <w:rsid w:val="00E65C02"/>
    <w:rsid w:val="00E65E35"/>
    <w:rsid w:val="00E65E88"/>
    <w:rsid w:val="00E66384"/>
    <w:rsid w:val="00E66687"/>
    <w:rsid w:val="00E66750"/>
    <w:rsid w:val="00E6692C"/>
    <w:rsid w:val="00E66A12"/>
    <w:rsid w:val="00E66C52"/>
    <w:rsid w:val="00E66C8B"/>
    <w:rsid w:val="00E66D4E"/>
    <w:rsid w:val="00E66EFB"/>
    <w:rsid w:val="00E67150"/>
    <w:rsid w:val="00E672EC"/>
    <w:rsid w:val="00E67422"/>
    <w:rsid w:val="00E674BD"/>
    <w:rsid w:val="00E6777B"/>
    <w:rsid w:val="00E67AC6"/>
    <w:rsid w:val="00E67C94"/>
    <w:rsid w:val="00E67DB8"/>
    <w:rsid w:val="00E67E58"/>
    <w:rsid w:val="00E70324"/>
    <w:rsid w:val="00E7043A"/>
    <w:rsid w:val="00E70590"/>
    <w:rsid w:val="00E70697"/>
    <w:rsid w:val="00E70B7B"/>
    <w:rsid w:val="00E70BC9"/>
    <w:rsid w:val="00E70C92"/>
    <w:rsid w:val="00E70D4A"/>
    <w:rsid w:val="00E70D91"/>
    <w:rsid w:val="00E70DE4"/>
    <w:rsid w:val="00E70F77"/>
    <w:rsid w:val="00E711F2"/>
    <w:rsid w:val="00E71696"/>
    <w:rsid w:val="00E716DA"/>
    <w:rsid w:val="00E71868"/>
    <w:rsid w:val="00E7186C"/>
    <w:rsid w:val="00E71BDD"/>
    <w:rsid w:val="00E71C69"/>
    <w:rsid w:val="00E71C8D"/>
    <w:rsid w:val="00E71E3E"/>
    <w:rsid w:val="00E71F56"/>
    <w:rsid w:val="00E72064"/>
    <w:rsid w:val="00E723BC"/>
    <w:rsid w:val="00E723EE"/>
    <w:rsid w:val="00E72479"/>
    <w:rsid w:val="00E72629"/>
    <w:rsid w:val="00E72636"/>
    <w:rsid w:val="00E72726"/>
    <w:rsid w:val="00E72747"/>
    <w:rsid w:val="00E7293C"/>
    <w:rsid w:val="00E72EF7"/>
    <w:rsid w:val="00E72EFE"/>
    <w:rsid w:val="00E72F16"/>
    <w:rsid w:val="00E73278"/>
    <w:rsid w:val="00E73327"/>
    <w:rsid w:val="00E7332F"/>
    <w:rsid w:val="00E733EA"/>
    <w:rsid w:val="00E73720"/>
    <w:rsid w:val="00E73AE3"/>
    <w:rsid w:val="00E73BB0"/>
    <w:rsid w:val="00E73BD0"/>
    <w:rsid w:val="00E7408A"/>
    <w:rsid w:val="00E74265"/>
    <w:rsid w:val="00E7426B"/>
    <w:rsid w:val="00E74462"/>
    <w:rsid w:val="00E7455D"/>
    <w:rsid w:val="00E746AB"/>
    <w:rsid w:val="00E747B8"/>
    <w:rsid w:val="00E74886"/>
    <w:rsid w:val="00E748E4"/>
    <w:rsid w:val="00E74F13"/>
    <w:rsid w:val="00E74F4E"/>
    <w:rsid w:val="00E74F52"/>
    <w:rsid w:val="00E74F9C"/>
    <w:rsid w:val="00E74FA9"/>
    <w:rsid w:val="00E75060"/>
    <w:rsid w:val="00E7510C"/>
    <w:rsid w:val="00E7532C"/>
    <w:rsid w:val="00E7538D"/>
    <w:rsid w:val="00E7555A"/>
    <w:rsid w:val="00E755BA"/>
    <w:rsid w:val="00E755FB"/>
    <w:rsid w:val="00E755FC"/>
    <w:rsid w:val="00E75710"/>
    <w:rsid w:val="00E7589F"/>
    <w:rsid w:val="00E758BF"/>
    <w:rsid w:val="00E75940"/>
    <w:rsid w:val="00E75ABE"/>
    <w:rsid w:val="00E75E48"/>
    <w:rsid w:val="00E75F2F"/>
    <w:rsid w:val="00E7611A"/>
    <w:rsid w:val="00E7616D"/>
    <w:rsid w:val="00E7662E"/>
    <w:rsid w:val="00E768AB"/>
    <w:rsid w:val="00E768FF"/>
    <w:rsid w:val="00E76E68"/>
    <w:rsid w:val="00E771CA"/>
    <w:rsid w:val="00E771D9"/>
    <w:rsid w:val="00E7725F"/>
    <w:rsid w:val="00E7734D"/>
    <w:rsid w:val="00E77532"/>
    <w:rsid w:val="00E7774E"/>
    <w:rsid w:val="00E777CB"/>
    <w:rsid w:val="00E77A67"/>
    <w:rsid w:val="00E77A73"/>
    <w:rsid w:val="00E77BCB"/>
    <w:rsid w:val="00E77CB7"/>
    <w:rsid w:val="00E77D13"/>
    <w:rsid w:val="00E77E1E"/>
    <w:rsid w:val="00E77FB7"/>
    <w:rsid w:val="00E80032"/>
    <w:rsid w:val="00E80068"/>
    <w:rsid w:val="00E80255"/>
    <w:rsid w:val="00E8035B"/>
    <w:rsid w:val="00E80462"/>
    <w:rsid w:val="00E804A2"/>
    <w:rsid w:val="00E805D2"/>
    <w:rsid w:val="00E80BB1"/>
    <w:rsid w:val="00E80C96"/>
    <w:rsid w:val="00E80EC2"/>
    <w:rsid w:val="00E80F99"/>
    <w:rsid w:val="00E81526"/>
    <w:rsid w:val="00E815B2"/>
    <w:rsid w:val="00E81609"/>
    <w:rsid w:val="00E81799"/>
    <w:rsid w:val="00E8189F"/>
    <w:rsid w:val="00E81A02"/>
    <w:rsid w:val="00E81A15"/>
    <w:rsid w:val="00E81C57"/>
    <w:rsid w:val="00E81D53"/>
    <w:rsid w:val="00E81EA8"/>
    <w:rsid w:val="00E81F36"/>
    <w:rsid w:val="00E8223B"/>
    <w:rsid w:val="00E8230A"/>
    <w:rsid w:val="00E82379"/>
    <w:rsid w:val="00E8242E"/>
    <w:rsid w:val="00E828CB"/>
    <w:rsid w:val="00E82A8D"/>
    <w:rsid w:val="00E82DC4"/>
    <w:rsid w:val="00E82E21"/>
    <w:rsid w:val="00E831CB"/>
    <w:rsid w:val="00E8340D"/>
    <w:rsid w:val="00E835F4"/>
    <w:rsid w:val="00E83888"/>
    <w:rsid w:val="00E83A4A"/>
    <w:rsid w:val="00E83AA9"/>
    <w:rsid w:val="00E83B34"/>
    <w:rsid w:val="00E83C9C"/>
    <w:rsid w:val="00E83DDF"/>
    <w:rsid w:val="00E83E8F"/>
    <w:rsid w:val="00E83EBE"/>
    <w:rsid w:val="00E8419E"/>
    <w:rsid w:val="00E841B5"/>
    <w:rsid w:val="00E841F3"/>
    <w:rsid w:val="00E84248"/>
    <w:rsid w:val="00E842CE"/>
    <w:rsid w:val="00E84673"/>
    <w:rsid w:val="00E84874"/>
    <w:rsid w:val="00E849CC"/>
    <w:rsid w:val="00E84C69"/>
    <w:rsid w:val="00E84D56"/>
    <w:rsid w:val="00E84ED0"/>
    <w:rsid w:val="00E84F48"/>
    <w:rsid w:val="00E85198"/>
    <w:rsid w:val="00E851DD"/>
    <w:rsid w:val="00E854D2"/>
    <w:rsid w:val="00E8557A"/>
    <w:rsid w:val="00E85786"/>
    <w:rsid w:val="00E85805"/>
    <w:rsid w:val="00E859E7"/>
    <w:rsid w:val="00E85B22"/>
    <w:rsid w:val="00E85BB4"/>
    <w:rsid w:val="00E85CA1"/>
    <w:rsid w:val="00E85EB1"/>
    <w:rsid w:val="00E85F43"/>
    <w:rsid w:val="00E85F61"/>
    <w:rsid w:val="00E8634D"/>
    <w:rsid w:val="00E863D4"/>
    <w:rsid w:val="00E8640A"/>
    <w:rsid w:val="00E86432"/>
    <w:rsid w:val="00E86482"/>
    <w:rsid w:val="00E865E4"/>
    <w:rsid w:val="00E8693F"/>
    <w:rsid w:val="00E86981"/>
    <w:rsid w:val="00E86AB9"/>
    <w:rsid w:val="00E86C18"/>
    <w:rsid w:val="00E86C2E"/>
    <w:rsid w:val="00E86E46"/>
    <w:rsid w:val="00E86FA0"/>
    <w:rsid w:val="00E87066"/>
    <w:rsid w:val="00E87156"/>
    <w:rsid w:val="00E87398"/>
    <w:rsid w:val="00E87569"/>
    <w:rsid w:val="00E8763C"/>
    <w:rsid w:val="00E87742"/>
    <w:rsid w:val="00E877C2"/>
    <w:rsid w:val="00E87AB5"/>
    <w:rsid w:val="00E87EA8"/>
    <w:rsid w:val="00E87EDB"/>
    <w:rsid w:val="00E87FD7"/>
    <w:rsid w:val="00E90011"/>
    <w:rsid w:val="00E904EE"/>
    <w:rsid w:val="00E90540"/>
    <w:rsid w:val="00E9075E"/>
    <w:rsid w:val="00E90919"/>
    <w:rsid w:val="00E9093E"/>
    <w:rsid w:val="00E90951"/>
    <w:rsid w:val="00E90958"/>
    <w:rsid w:val="00E909A9"/>
    <w:rsid w:val="00E90AA0"/>
    <w:rsid w:val="00E90CA4"/>
    <w:rsid w:val="00E910DD"/>
    <w:rsid w:val="00E91126"/>
    <w:rsid w:val="00E913B7"/>
    <w:rsid w:val="00E91495"/>
    <w:rsid w:val="00E91823"/>
    <w:rsid w:val="00E91B22"/>
    <w:rsid w:val="00E922D4"/>
    <w:rsid w:val="00E9247E"/>
    <w:rsid w:val="00E92515"/>
    <w:rsid w:val="00E927AB"/>
    <w:rsid w:val="00E928DF"/>
    <w:rsid w:val="00E929BB"/>
    <w:rsid w:val="00E929F6"/>
    <w:rsid w:val="00E92AB6"/>
    <w:rsid w:val="00E92B9C"/>
    <w:rsid w:val="00E92BEE"/>
    <w:rsid w:val="00E92EC0"/>
    <w:rsid w:val="00E92F5C"/>
    <w:rsid w:val="00E92F6A"/>
    <w:rsid w:val="00E9309F"/>
    <w:rsid w:val="00E9334C"/>
    <w:rsid w:val="00E93606"/>
    <w:rsid w:val="00E936B9"/>
    <w:rsid w:val="00E93784"/>
    <w:rsid w:val="00E93918"/>
    <w:rsid w:val="00E93B45"/>
    <w:rsid w:val="00E93DC5"/>
    <w:rsid w:val="00E93FB4"/>
    <w:rsid w:val="00E94046"/>
    <w:rsid w:val="00E9411B"/>
    <w:rsid w:val="00E94397"/>
    <w:rsid w:val="00E943D4"/>
    <w:rsid w:val="00E947D8"/>
    <w:rsid w:val="00E94852"/>
    <w:rsid w:val="00E949C4"/>
    <w:rsid w:val="00E950AC"/>
    <w:rsid w:val="00E95159"/>
    <w:rsid w:val="00E951F5"/>
    <w:rsid w:val="00E952CE"/>
    <w:rsid w:val="00E954E7"/>
    <w:rsid w:val="00E954F9"/>
    <w:rsid w:val="00E9570C"/>
    <w:rsid w:val="00E9573E"/>
    <w:rsid w:val="00E95794"/>
    <w:rsid w:val="00E958C8"/>
    <w:rsid w:val="00E95C7D"/>
    <w:rsid w:val="00E96228"/>
    <w:rsid w:val="00E96245"/>
    <w:rsid w:val="00E965B4"/>
    <w:rsid w:val="00E9676D"/>
    <w:rsid w:val="00E96A66"/>
    <w:rsid w:val="00E96B36"/>
    <w:rsid w:val="00E96B62"/>
    <w:rsid w:val="00E96B8B"/>
    <w:rsid w:val="00E96C8B"/>
    <w:rsid w:val="00E96CD7"/>
    <w:rsid w:val="00E96E45"/>
    <w:rsid w:val="00E96F56"/>
    <w:rsid w:val="00E970FE"/>
    <w:rsid w:val="00E97271"/>
    <w:rsid w:val="00E97441"/>
    <w:rsid w:val="00E9753B"/>
    <w:rsid w:val="00E9770F"/>
    <w:rsid w:val="00E97F15"/>
    <w:rsid w:val="00EA00A3"/>
    <w:rsid w:val="00EA0154"/>
    <w:rsid w:val="00EA0275"/>
    <w:rsid w:val="00EA04D8"/>
    <w:rsid w:val="00EA0572"/>
    <w:rsid w:val="00EA0783"/>
    <w:rsid w:val="00EA0AF3"/>
    <w:rsid w:val="00EA0B1B"/>
    <w:rsid w:val="00EA0B6A"/>
    <w:rsid w:val="00EA0C1E"/>
    <w:rsid w:val="00EA0C55"/>
    <w:rsid w:val="00EA1101"/>
    <w:rsid w:val="00EA123D"/>
    <w:rsid w:val="00EA1426"/>
    <w:rsid w:val="00EA1496"/>
    <w:rsid w:val="00EA14A4"/>
    <w:rsid w:val="00EA1594"/>
    <w:rsid w:val="00EA1606"/>
    <w:rsid w:val="00EA1A62"/>
    <w:rsid w:val="00EA22C0"/>
    <w:rsid w:val="00EA2707"/>
    <w:rsid w:val="00EA297B"/>
    <w:rsid w:val="00EA2CA4"/>
    <w:rsid w:val="00EA2E1C"/>
    <w:rsid w:val="00EA31B4"/>
    <w:rsid w:val="00EA341A"/>
    <w:rsid w:val="00EA3466"/>
    <w:rsid w:val="00EA3476"/>
    <w:rsid w:val="00EA3E7B"/>
    <w:rsid w:val="00EA408B"/>
    <w:rsid w:val="00EA414E"/>
    <w:rsid w:val="00EA42B6"/>
    <w:rsid w:val="00EA43D3"/>
    <w:rsid w:val="00EA4406"/>
    <w:rsid w:val="00EA4472"/>
    <w:rsid w:val="00EA4811"/>
    <w:rsid w:val="00EA4836"/>
    <w:rsid w:val="00EA4883"/>
    <w:rsid w:val="00EA48BD"/>
    <w:rsid w:val="00EA48DF"/>
    <w:rsid w:val="00EA4BD1"/>
    <w:rsid w:val="00EA4D9D"/>
    <w:rsid w:val="00EA4E57"/>
    <w:rsid w:val="00EA4E90"/>
    <w:rsid w:val="00EA4ED0"/>
    <w:rsid w:val="00EA4FAF"/>
    <w:rsid w:val="00EA5227"/>
    <w:rsid w:val="00EA52AE"/>
    <w:rsid w:val="00EA542B"/>
    <w:rsid w:val="00EA54F4"/>
    <w:rsid w:val="00EA5535"/>
    <w:rsid w:val="00EA553D"/>
    <w:rsid w:val="00EA56A3"/>
    <w:rsid w:val="00EA56EE"/>
    <w:rsid w:val="00EA5918"/>
    <w:rsid w:val="00EA598E"/>
    <w:rsid w:val="00EA5BA0"/>
    <w:rsid w:val="00EA5E24"/>
    <w:rsid w:val="00EA600F"/>
    <w:rsid w:val="00EA616F"/>
    <w:rsid w:val="00EA6303"/>
    <w:rsid w:val="00EA64BA"/>
    <w:rsid w:val="00EA65C5"/>
    <w:rsid w:val="00EA65EE"/>
    <w:rsid w:val="00EA6826"/>
    <w:rsid w:val="00EA6897"/>
    <w:rsid w:val="00EA68E6"/>
    <w:rsid w:val="00EA6AAA"/>
    <w:rsid w:val="00EA6B17"/>
    <w:rsid w:val="00EA6CC1"/>
    <w:rsid w:val="00EA6DA5"/>
    <w:rsid w:val="00EA6DD0"/>
    <w:rsid w:val="00EA727B"/>
    <w:rsid w:val="00EA7339"/>
    <w:rsid w:val="00EA75F6"/>
    <w:rsid w:val="00EA781A"/>
    <w:rsid w:val="00EA7CBF"/>
    <w:rsid w:val="00EA7E22"/>
    <w:rsid w:val="00EA7EDD"/>
    <w:rsid w:val="00EB01D2"/>
    <w:rsid w:val="00EB0364"/>
    <w:rsid w:val="00EB090D"/>
    <w:rsid w:val="00EB096E"/>
    <w:rsid w:val="00EB0ADF"/>
    <w:rsid w:val="00EB0C7B"/>
    <w:rsid w:val="00EB0CB0"/>
    <w:rsid w:val="00EB0D85"/>
    <w:rsid w:val="00EB0F71"/>
    <w:rsid w:val="00EB1173"/>
    <w:rsid w:val="00EB1184"/>
    <w:rsid w:val="00EB13FA"/>
    <w:rsid w:val="00EB1980"/>
    <w:rsid w:val="00EB1A3C"/>
    <w:rsid w:val="00EB1AF0"/>
    <w:rsid w:val="00EB1BB1"/>
    <w:rsid w:val="00EB1C75"/>
    <w:rsid w:val="00EB1C99"/>
    <w:rsid w:val="00EB2076"/>
    <w:rsid w:val="00EB20D3"/>
    <w:rsid w:val="00EB225E"/>
    <w:rsid w:val="00EB230C"/>
    <w:rsid w:val="00EB23F8"/>
    <w:rsid w:val="00EB24CC"/>
    <w:rsid w:val="00EB255F"/>
    <w:rsid w:val="00EB26AC"/>
    <w:rsid w:val="00EB26DA"/>
    <w:rsid w:val="00EB27F5"/>
    <w:rsid w:val="00EB2933"/>
    <w:rsid w:val="00EB296B"/>
    <w:rsid w:val="00EB2AC8"/>
    <w:rsid w:val="00EB2B65"/>
    <w:rsid w:val="00EB2D98"/>
    <w:rsid w:val="00EB2DFC"/>
    <w:rsid w:val="00EB2E1F"/>
    <w:rsid w:val="00EB2F4A"/>
    <w:rsid w:val="00EB3136"/>
    <w:rsid w:val="00EB314C"/>
    <w:rsid w:val="00EB332A"/>
    <w:rsid w:val="00EB355A"/>
    <w:rsid w:val="00EB35B1"/>
    <w:rsid w:val="00EB35BC"/>
    <w:rsid w:val="00EB3769"/>
    <w:rsid w:val="00EB3E2D"/>
    <w:rsid w:val="00EB3E85"/>
    <w:rsid w:val="00EB4008"/>
    <w:rsid w:val="00EB4048"/>
    <w:rsid w:val="00EB4220"/>
    <w:rsid w:val="00EB4228"/>
    <w:rsid w:val="00EB42DE"/>
    <w:rsid w:val="00EB42E5"/>
    <w:rsid w:val="00EB432B"/>
    <w:rsid w:val="00EB4437"/>
    <w:rsid w:val="00EB45DB"/>
    <w:rsid w:val="00EB45E6"/>
    <w:rsid w:val="00EB45FF"/>
    <w:rsid w:val="00EB4640"/>
    <w:rsid w:val="00EB469B"/>
    <w:rsid w:val="00EB4805"/>
    <w:rsid w:val="00EB4845"/>
    <w:rsid w:val="00EB4938"/>
    <w:rsid w:val="00EB49EA"/>
    <w:rsid w:val="00EB51B5"/>
    <w:rsid w:val="00EB5683"/>
    <w:rsid w:val="00EB57DF"/>
    <w:rsid w:val="00EB583C"/>
    <w:rsid w:val="00EB58B4"/>
    <w:rsid w:val="00EB5AEC"/>
    <w:rsid w:val="00EB5B11"/>
    <w:rsid w:val="00EB5CD5"/>
    <w:rsid w:val="00EB5CE5"/>
    <w:rsid w:val="00EB5D48"/>
    <w:rsid w:val="00EB6116"/>
    <w:rsid w:val="00EB61CA"/>
    <w:rsid w:val="00EB63D1"/>
    <w:rsid w:val="00EB63E7"/>
    <w:rsid w:val="00EB659F"/>
    <w:rsid w:val="00EB6740"/>
    <w:rsid w:val="00EB67D4"/>
    <w:rsid w:val="00EB686C"/>
    <w:rsid w:val="00EB691C"/>
    <w:rsid w:val="00EB6966"/>
    <w:rsid w:val="00EB69BB"/>
    <w:rsid w:val="00EB69DD"/>
    <w:rsid w:val="00EB69F6"/>
    <w:rsid w:val="00EB6BCC"/>
    <w:rsid w:val="00EB6E85"/>
    <w:rsid w:val="00EB7040"/>
    <w:rsid w:val="00EB731A"/>
    <w:rsid w:val="00EB7425"/>
    <w:rsid w:val="00EB7428"/>
    <w:rsid w:val="00EB77C3"/>
    <w:rsid w:val="00EB77C9"/>
    <w:rsid w:val="00EB7A99"/>
    <w:rsid w:val="00EB7B8D"/>
    <w:rsid w:val="00EB7BC8"/>
    <w:rsid w:val="00EB7DAD"/>
    <w:rsid w:val="00EC00FA"/>
    <w:rsid w:val="00EC011C"/>
    <w:rsid w:val="00EC058B"/>
    <w:rsid w:val="00EC07C4"/>
    <w:rsid w:val="00EC086D"/>
    <w:rsid w:val="00EC0953"/>
    <w:rsid w:val="00EC0A4E"/>
    <w:rsid w:val="00EC0A59"/>
    <w:rsid w:val="00EC0ADD"/>
    <w:rsid w:val="00EC0D30"/>
    <w:rsid w:val="00EC0D6F"/>
    <w:rsid w:val="00EC0D95"/>
    <w:rsid w:val="00EC0DC0"/>
    <w:rsid w:val="00EC0E81"/>
    <w:rsid w:val="00EC117E"/>
    <w:rsid w:val="00EC1573"/>
    <w:rsid w:val="00EC1580"/>
    <w:rsid w:val="00EC18DC"/>
    <w:rsid w:val="00EC19FE"/>
    <w:rsid w:val="00EC1AE9"/>
    <w:rsid w:val="00EC1CE9"/>
    <w:rsid w:val="00EC1D34"/>
    <w:rsid w:val="00EC1F9E"/>
    <w:rsid w:val="00EC22FE"/>
    <w:rsid w:val="00EC24C1"/>
    <w:rsid w:val="00EC26AE"/>
    <w:rsid w:val="00EC2792"/>
    <w:rsid w:val="00EC27E2"/>
    <w:rsid w:val="00EC28F8"/>
    <w:rsid w:val="00EC2F83"/>
    <w:rsid w:val="00EC30EE"/>
    <w:rsid w:val="00EC314F"/>
    <w:rsid w:val="00EC328E"/>
    <w:rsid w:val="00EC338E"/>
    <w:rsid w:val="00EC358E"/>
    <w:rsid w:val="00EC3608"/>
    <w:rsid w:val="00EC376E"/>
    <w:rsid w:val="00EC37F7"/>
    <w:rsid w:val="00EC3A35"/>
    <w:rsid w:val="00EC3DF2"/>
    <w:rsid w:val="00EC3EB0"/>
    <w:rsid w:val="00EC3EFF"/>
    <w:rsid w:val="00EC4114"/>
    <w:rsid w:val="00EC43ED"/>
    <w:rsid w:val="00EC44E9"/>
    <w:rsid w:val="00EC4A39"/>
    <w:rsid w:val="00EC4BDE"/>
    <w:rsid w:val="00EC4D37"/>
    <w:rsid w:val="00EC4D65"/>
    <w:rsid w:val="00EC4E32"/>
    <w:rsid w:val="00EC4EBE"/>
    <w:rsid w:val="00EC4F09"/>
    <w:rsid w:val="00EC5099"/>
    <w:rsid w:val="00EC516B"/>
    <w:rsid w:val="00EC5192"/>
    <w:rsid w:val="00EC5423"/>
    <w:rsid w:val="00EC54BA"/>
    <w:rsid w:val="00EC5518"/>
    <w:rsid w:val="00EC56F1"/>
    <w:rsid w:val="00EC5780"/>
    <w:rsid w:val="00EC57B3"/>
    <w:rsid w:val="00EC57BE"/>
    <w:rsid w:val="00EC586E"/>
    <w:rsid w:val="00EC59BF"/>
    <w:rsid w:val="00EC5BD9"/>
    <w:rsid w:val="00EC5C2B"/>
    <w:rsid w:val="00EC5F84"/>
    <w:rsid w:val="00EC5FE9"/>
    <w:rsid w:val="00EC60B5"/>
    <w:rsid w:val="00EC6102"/>
    <w:rsid w:val="00EC61D1"/>
    <w:rsid w:val="00EC6294"/>
    <w:rsid w:val="00EC63CD"/>
    <w:rsid w:val="00EC643C"/>
    <w:rsid w:val="00EC64EF"/>
    <w:rsid w:val="00EC66A3"/>
    <w:rsid w:val="00EC674F"/>
    <w:rsid w:val="00EC679F"/>
    <w:rsid w:val="00EC698A"/>
    <w:rsid w:val="00EC69F7"/>
    <w:rsid w:val="00EC6A9A"/>
    <w:rsid w:val="00EC6E9B"/>
    <w:rsid w:val="00EC6EC8"/>
    <w:rsid w:val="00EC70EB"/>
    <w:rsid w:val="00EC7300"/>
    <w:rsid w:val="00EC749A"/>
    <w:rsid w:val="00EC75F7"/>
    <w:rsid w:val="00EC763D"/>
    <w:rsid w:val="00EC76E9"/>
    <w:rsid w:val="00EC7A4B"/>
    <w:rsid w:val="00EC7A73"/>
    <w:rsid w:val="00EC7CF4"/>
    <w:rsid w:val="00ED0520"/>
    <w:rsid w:val="00ED059B"/>
    <w:rsid w:val="00ED0786"/>
    <w:rsid w:val="00ED08F1"/>
    <w:rsid w:val="00ED0A81"/>
    <w:rsid w:val="00ED0AE8"/>
    <w:rsid w:val="00ED0EE2"/>
    <w:rsid w:val="00ED0FB7"/>
    <w:rsid w:val="00ED0FD7"/>
    <w:rsid w:val="00ED0FDE"/>
    <w:rsid w:val="00ED1538"/>
    <w:rsid w:val="00ED1788"/>
    <w:rsid w:val="00ED17EA"/>
    <w:rsid w:val="00ED1971"/>
    <w:rsid w:val="00ED1A88"/>
    <w:rsid w:val="00ED1CA0"/>
    <w:rsid w:val="00ED1CA6"/>
    <w:rsid w:val="00ED1CBD"/>
    <w:rsid w:val="00ED1CD8"/>
    <w:rsid w:val="00ED1FFD"/>
    <w:rsid w:val="00ED2247"/>
    <w:rsid w:val="00ED23B2"/>
    <w:rsid w:val="00ED23FE"/>
    <w:rsid w:val="00ED2472"/>
    <w:rsid w:val="00ED25BC"/>
    <w:rsid w:val="00ED2637"/>
    <w:rsid w:val="00ED2960"/>
    <w:rsid w:val="00ED2A23"/>
    <w:rsid w:val="00ED2B7E"/>
    <w:rsid w:val="00ED2D5B"/>
    <w:rsid w:val="00ED2D68"/>
    <w:rsid w:val="00ED2F3F"/>
    <w:rsid w:val="00ED316D"/>
    <w:rsid w:val="00ED365D"/>
    <w:rsid w:val="00ED3713"/>
    <w:rsid w:val="00ED3BA0"/>
    <w:rsid w:val="00ED3BD9"/>
    <w:rsid w:val="00ED3F13"/>
    <w:rsid w:val="00ED40E1"/>
    <w:rsid w:val="00ED41C7"/>
    <w:rsid w:val="00ED4239"/>
    <w:rsid w:val="00ED4614"/>
    <w:rsid w:val="00ED469F"/>
    <w:rsid w:val="00ED4ACB"/>
    <w:rsid w:val="00ED4C82"/>
    <w:rsid w:val="00ED4CC5"/>
    <w:rsid w:val="00ED4D96"/>
    <w:rsid w:val="00ED4D9A"/>
    <w:rsid w:val="00ED5041"/>
    <w:rsid w:val="00ED5587"/>
    <w:rsid w:val="00ED56C2"/>
    <w:rsid w:val="00ED575C"/>
    <w:rsid w:val="00ED5839"/>
    <w:rsid w:val="00ED5CD5"/>
    <w:rsid w:val="00ED5CFF"/>
    <w:rsid w:val="00ED6046"/>
    <w:rsid w:val="00ED6071"/>
    <w:rsid w:val="00ED618A"/>
    <w:rsid w:val="00ED61A0"/>
    <w:rsid w:val="00ED6267"/>
    <w:rsid w:val="00ED6985"/>
    <w:rsid w:val="00ED6CDC"/>
    <w:rsid w:val="00ED6E95"/>
    <w:rsid w:val="00ED7216"/>
    <w:rsid w:val="00ED7389"/>
    <w:rsid w:val="00ED75B4"/>
    <w:rsid w:val="00ED75E2"/>
    <w:rsid w:val="00ED7714"/>
    <w:rsid w:val="00ED7993"/>
    <w:rsid w:val="00ED7C0E"/>
    <w:rsid w:val="00ED7C76"/>
    <w:rsid w:val="00ED7DF2"/>
    <w:rsid w:val="00ED7E01"/>
    <w:rsid w:val="00ED7E12"/>
    <w:rsid w:val="00ED7EC4"/>
    <w:rsid w:val="00ED7F46"/>
    <w:rsid w:val="00EE017F"/>
    <w:rsid w:val="00EE0470"/>
    <w:rsid w:val="00EE0477"/>
    <w:rsid w:val="00EE058C"/>
    <w:rsid w:val="00EE05A5"/>
    <w:rsid w:val="00EE0699"/>
    <w:rsid w:val="00EE08C8"/>
    <w:rsid w:val="00EE0A3C"/>
    <w:rsid w:val="00EE0AE1"/>
    <w:rsid w:val="00EE0C46"/>
    <w:rsid w:val="00EE0C57"/>
    <w:rsid w:val="00EE0E0C"/>
    <w:rsid w:val="00EE0FFA"/>
    <w:rsid w:val="00EE1085"/>
    <w:rsid w:val="00EE118D"/>
    <w:rsid w:val="00EE123A"/>
    <w:rsid w:val="00EE1455"/>
    <w:rsid w:val="00EE1549"/>
    <w:rsid w:val="00EE1559"/>
    <w:rsid w:val="00EE17AD"/>
    <w:rsid w:val="00EE1813"/>
    <w:rsid w:val="00EE1A97"/>
    <w:rsid w:val="00EE1B3E"/>
    <w:rsid w:val="00EE1B4D"/>
    <w:rsid w:val="00EE1B86"/>
    <w:rsid w:val="00EE1C96"/>
    <w:rsid w:val="00EE1E6E"/>
    <w:rsid w:val="00EE1F0C"/>
    <w:rsid w:val="00EE1FEC"/>
    <w:rsid w:val="00EE2140"/>
    <w:rsid w:val="00EE242D"/>
    <w:rsid w:val="00EE24C6"/>
    <w:rsid w:val="00EE2656"/>
    <w:rsid w:val="00EE2657"/>
    <w:rsid w:val="00EE29CD"/>
    <w:rsid w:val="00EE29D6"/>
    <w:rsid w:val="00EE29D7"/>
    <w:rsid w:val="00EE2BB3"/>
    <w:rsid w:val="00EE2BC7"/>
    <w:rsid w:val="00EE2CEF"/>
    <w:rsid w:val="00EE2D14"/>
    <w:rsid w:val="00EE2D1A"/>
    <w:rsid w:val="00EE2E84"/>
    <w:rsid w:val="00EE303C"/>
    <w:rsid w:val="00EE3146"/>
    <w:rsid w:val="00EE31B2"/>
    <w:rsid w:val="00EE31C2"/>
    <w:rsid w:val="00EE32E8"/>
    <w:rsid w:val="00EE34A5"/>
    <w:rsid w:val="00EE34B6"/>
    <w:rsid w:val="00EE3539"/>
    <w:rsid w:val="00EE38E0"/>
    <w:rsid w:val="00EE3970"/>
    <w:rsid w:val="00EE3C8A"/>
    <w:rsid w:val="00EE3E33"/>
    <w:rsid w:val="00EE401B"/>
    <w:rsid w:val="00EE40F2"/>
    <w:rsid w:val="00EE41DB"/>
    <w:rsid w:val="00EE455C"/>
    <w:rsid w:val="00EE4568"/>
    <w:rsid w:val="00EE4610"/>
    <w:rsid w:val="00EE4634"/>
    <w:rsid w:val="00EE4920"/>
    <w:rsid w:val="00EE4A1E"/>
    <w:rsid w:val="00EE4B94"/>
    <w:rsid w:val="00EE4EFD"/>
    <w:rsid w:val="00EE5138"/>
    <w:rsid w:val="00EE518A"/>
    <w:rsid w:val="00EE5190"/>
    <w:rsid w:val="00EE5323"/>
    <w:rsid w:val="00EE556B"/>
    <w:rsid w:val="00EE55EA"/>
    <w:rsid w:val="00EE5627"/>
    <w:rsid w:val="00EE5BBA"/>
    <w:rsid w:val="00EE5C4F"/>
    <w:rsid w:val="00EE5DAE"/>
    <w:rsid w:val="00EE5EA0"/>
    <w:rsid w:val="00EE6034"/>
    <w:rsid w:val="00EE6105"/>
    <w:rsid w:val="00EE6386"/>
    <w:rsid w:val="00EE6396"/>
    <w:rsid w:val="00EE6B00"/>
    <w:rsid w:val="00EE6BB6"/>
    <w:rsid w:val="00EE6BC2"/>
    <w:rsid w:val="00EE6BD0"/>
    <w:rsid w:val="00EE6C3A"/>
    <w:rsid w:val="00EE6D41"/>
    <w:rsid w:val="00EE6E59"/>
    <w:rsid w:val="00EE6EA9"/>
    <w:rsid w:val="00EE721B"/>
    <w:rsid w:val="00EE72A0"/>
    <w:rsid w:val="00EE73F8"/>
    <w:rsid w:val="00EE7471"/>
    <w:rsid w:val="00EE7646"/>
    <w:rsid w:val="00EE771A"/>
    <w:rsid w:val="00EE774C"/>
    <w:rsid w:val="00EE78B6"/>
    <w:rsid w:val="00EE7A05"/>
    <w:rsid w:val="00EE7ACB"/>
    <w:rsid w:val="00EE7B22"/>
    <w:rsid w:val="00EE7E8A"/>
    <w:rsid w:val="00EE7EEF"/>
    <w:rsid w:val="00EE7F6D"/>
    <w:rsid w:val="00EE7FB7"/>
    <w:rsid w:val="00EF0226"/>
    <w:rsid w:val="00EF0332"/>
    <w:rsid w:val="00EF0344"/>
    <w:rsid w:val="00EF0634"/>
    <w:rsid w:val="00EF07E8"/>
    <w:rsid w:val="00EF0971"/>
    <w:rsid w:val="00EF0AB7"/>
    <w:rsid w:val="00EF0D8A"/>
    <w:rsid w:val="00EF11C3"/>
    <w:rsid w:val="00EF1277"/>
    <w:rsid w:val="00EF1285"/>
    <w:rsid w:val="00EF12C0"/>
    <w:rsid w:val="00EF1325"/>
    <w:rsid w:val="00EF136F"/>
    <w:rsid w:val="00EF1919"/>
    <w:rsid w:val="00EF19F1"/>
    <w:rsid w:val="00EF1A10"/>
    <w:rsid w:val="00EF1A18"/>
    <w:rsid w:val="00EF1D25"/>
    <w:rsid w:val="00EF1EC6"/>
    <w:rsid w:val="00EF2010"/>
    <w:rsid w:val="00EF2217"/>
    <w:rsid w:val="00EF22EC"/>
    <w:rsid w:val="00EF2551"/>
    <w:rsid w:val="00EF2594"/>
    <w:rsid w:val="00EF2741"/>
    <w:rsid w:val="00EF276C"/>
    <w:rsid w:val="00EF298F"/>
    <w:rsid w:val="00EF2B77"/>
    <w:rsid w:val="00EF2C6B"/>
    <w:rsid w:val="00EF3031"/>
    <w:rsid w:val="00EF3089"/>
    <w:rsid w:val="00EF3466"/>
    <w:rsid w:val="00EF368A"/>
    <w:rsid w:val="00EF3A24"/>
    <w:rsid w:val="00EF3A8C"/>
    <w:rsid w:val="00EF3ABC"/>
    <w:rsid w:val="00EF3AFE"/>
    <w:rsid w:val="00EF3BB3"/>
    <w:rsid w:val="00EF3BD1"/>
    <w:rsid w:val="00EF3CFE"/>
    <w:rsid w:val="00EF3D86"/>
    <w:rsid w:val="00EF3E1B"/>
    <w:rsid w:val="00EF41E2"/>
    <w:rsid w:val="00EF4263"/>
    <w:rsid w:val="00EF43A9"/>
    <w:rsid w:val="00EF446A"/>
    <w:rsid w:val="00EF4609"/>
    <w:rsid w:val="00EF4669"/>
    <w:rsid w:val="00EF4813"/>
    <w:rsid w:val="00EF4A09"/>
    <w:rsid w:val="00EF4A4F"/>
    <w:rsid w:val="00EF4B4A"/>
    <w:rsid w:val="00EF4F12"/>
    <w:rsid w:val="00EF4FD7"/>
    <w:rsid w:val="00EF503C"/>
    <w:rsid w:val="00EF549D"/>
    <w:rsid w:val="00EF5882"/>
    <w:rsid w:val="00EF589D"/>
    <w:rsid w:val="00EF5ACE"/>
    <w:rsid w:val="00EF5F14"/>
    <w:rsid w:val="00EF6096"/>
    <w:rsid w:val="00EF609C"/>
    <w:rsid w:val="00EF60DD"/>
    <w:rsid w:val="00EF6125"/>
    <w:rsid w:val="00EF612F"/>
    <w:rsid w:val="00EF61E6"/>
    <w:rsid w:val="00EF6394"/>
    <w:rsid w:val="00EF63E9"/>
    <w:rsid w:val="00EF6531"/>
    <w:rsid w:val="00EF68BA"/>
    <w:rsid w:val="00EF6AB1"/>
    <w:rsid w:val="00EF6E45"/>
    <w:rsid w:val="00EF6F56"/>
    <w:rsid w:val="00EF6F8A"/>
    <w:rsid w:val="00EF6FCB"/>
    <w:rsid w:val="00EF7130"/>
    <w:rsid w:val="00EF7131"/>
    <w:rsid w:val="00EF72C3"/>
    <w:rsid w:val="00EF741E"/>
    <w:rsid w:val="00EF74D4"/>
    <w:rsid w:val="00EF7797"/>
    <w:rsid w:val="00EF7821"/>
    <w:rsid w:val="00EF7A3D"/>
    <w:rsid w:val="00EF7ADE"/>
    <w:rsid w:val="00EF7B06"/>
    <w:rsid w:val="00EF7C50"/>
    <w:rsid w:val="00EF7CDE"/>
    <w:rsid w:val="00EF7E62"/>
    <w:rsid w:val="00EF7EDD"/>
    <w:rsid w:val="00EF7FCF"/>
    <w:rsid w:val="00F0025D"/>
    <w:rsid w:val="00F004D5"/>
    <w:rsid w:val="00F0056C"/>
    <w:rsid w:val="00F00593"/>
    <w:rsid w:val="00F00C93"/>
    <w:rsid w:val="00F00D8A"/>
    <w:rsid w:val="00F00DC6"/>
    <w:rsid w:val="00F00E40"/>
    <w:rsid w:val="00F00EAE"/>
    <w:rsid w:val="00F00EB0"/>
    <w:rsid w:val="00F00F16"/>
    <w:rsid w:val="00F00F88"/>
    <w:rsid w:val="00F00FEB"/>
    <w:rsid w:val="00F01032"/>
    <w:rsid w:val="00F01137"/>
    <w:rsid w:val="00F0127B"/>
    <w:rsid w:val="00F01480"/>
    <w:rsid w:val="00F014CA"/>
    <w:rsid w:val="00F016CA"/>
    <w:rsid w:val="00F01C90"/>
    <w:rsid w:val="00F02485"/>
    <w:rsid w:val="00F0264B"/>
    <w:rsid w:val="00F026BC"/>
    <w:rsid w:val="00F026F2"/>
    <w:rsid w:val="00F0275F"/>
    <w:rsid w:val="00F0277C"/>
    <w:rsid w:val="00F028B9"/>
    <w:rsid w:val="00F02ABC"/>
    <w:rsid w:val="00F02BB9"/>
    <w:rsid w:val="00F02C3E"/>
    <w:rsid w:val="00F02C8A"/>
    <w:rsid w:val="00F02CBF"/>
    <w:rsid w:val="00F02D82"/>
    <w:rsid w:val="00F02F37"/>
    <w:rsid w:val="00F0372C"/>
    <w:rsid w:val="00F03794"/>
    <w:rsid w:val="00F03AB1"/>
    <w:rsid w:val="00F03B0E"/>
    <w:rsid w:val="00F03C1F"/>
    <w:rsid w:val="00F03D82"/>
    <w:rsid w:val="00F03EB5"/>
    <w:rsid w:val="00F040C7"/>
    <w:rsid w:val="00F04431"/>
    <w:rsid w:val="00F0455D"/>
    <w:rsid w:val="00F0457B"/>
    <w:rsid w:val="00F04592"/>
    <w:rsid w:val="00F046C6"/>
    <w:rsid w:val="00F04744"/>
    <w:rsid w:val="00F048C7"/>
    <w:rsid w:val="00F0490A"/>
    <w:rsid w:val="00F04A1D"/>
    <w:rsid w:val="00F04A98"/>
    <w:rsid w:val="00F04B09"/>
    <w:rsid w:val="00F04B8C"/>
    <w:rsid w:val="00F04DF4"/>
    <w:rsid w:val="00F04E54"/>
    <w:rsid w:val="00F04F1B"/>
    <w:rsid w:val="00F04F52"/>
    <w:rsid w:val="00F04FB6"/>
    <w:rsid w:val="00F0501A"/>
    <w:rsid w:val="00F05065"/>
    <w:rsid w:val="00F05223"/>
    <w:rsid w:val="00F055E7"/>
    <w:rsid w:val="00F05725"/>
    <w:rsid w:val="00F05A55"/>
    <w:rsid w:val="00F05BB1"/>
    <w:rsid w:val="00F06195"/>
    <w:rsid w:val="00F062A9"/>
    <w:rsid w:val="00F06328"/>
    <w:rsid w:val="00F06EAC"/>
    <w:rsid w:val="00F06F07"/>
    <w:rsid w:val="00F06F7A"/>
    <w:rsid w:val="00F07164"/>
    <w:rsid w:val="00F071D5"/>
    <w:rsid w:val="00F071F3"/>
    <w:rsid w:val="00F0728C"/>
    <w:rsid w:val="00F07393"/>
    <w:rsid w:val="00F073A3"/>
    <w:rsid w:val="00F074C5"/>
    <w:rsid w:val="00F0765D"/>
    <w:rsid w:val="00F07BE7"/>
    <w:rsid w:val="00F07D5C"/>
    <w:rsid w:val="00F07E1A"/>
    <w:rsid w:val="00F1042C"/>
    <w:rsid w:val="00F106F5"/>
    <w:rsid w:val="00F109A0"/>
    <w:rsid w:val="00F109F7"/>
    <w:rsid w:val="00F10CE4"/>
    <w:rsid w:val="00F11082"/>
    <w:rsid w:val="00F11097"/>
    <w:rsid w:val="00F11207"/>
    <w:rsid w:val="00F1121C"/>
    <w:rsid w:val="00F11311"/>
    <w:rsid w:val="00F1143A"/>
    <w:rsid w:val="00F11445"/>
    <w:rsid w:val="00F115AC"/>
    <w:rsid w:val="00F117BB"/>
    <w:rsid w:val="00F11C51"/>
    <w:rsid w:val="00F11CE9"/>
    <w:rsid w:val="00F11D63"/>
    <w:rsid w:val="00F11F7E"/>
    <w:rsid w:val="00F1230C"/>
    <w:rsid w:val="00F124BD"/>
    <w:rsid w:val="00F12593"/>
    <w:rsid w:val="00F125C3"/>
    <w:rsid w:val="00F1261A"/>
    <w:rsid w:val="00F1297B"/>
    <w:rsid w:val="00F12AEE"/>
    <w:rsid w:val="00F12BCA"/>
    <w:rsid w:val="00F12D89"/>
    <w:rsid w:val="00F12FD9"/>
    <w:rsid w:val="00F1317F"/>
    <w:rsid w:val="00F1330D"/>
    <w:rsid w:val="00F13471"/>
    <w:rsid w:val="00F13592"/>
    <w:rsid w:val="00F13647"/>
    <w:rsid w:val="00F136C7"/>
    <w:rsid w:val="00F13726"/>
    <w:rsid w:val="00F137C6"/>
    <w:rsid w:val="00F13855"/>
    <w:rsid w:val="00F13878"/>
    <w:rsid w:val="00F13A33"/>
    <w:rsid w:val="00F13E1E"/>
    <w:rsid w:val="00F13FBD"/>
    <w:rsid w:val="00F14004"/>
    <w:rsid w:val="00F14046"/>
    <w:rsid w:val="00F140B1"/>
    <w:rsid w:val="00F1410E"/>
    <w:rsid w:val="00F141BD"/>
    <w:rsid w:val="00F141E6"/>
    <w:rsid w:val="00F145C8"/>
    <w:rsid w:val="00F146AA"/>
    <w:rsid w:val="00F148EC"/>
    <w:rsid w:val="00F14B1F"/>
    <w:rsid w:val="00F14E64"/>
    <w:rsid w:val="00F14F7D"/>
    <w:rsid w:val="00F153EA"/>
    <w:rsid w:val="00F153F0"/>
    <w:rsid w:val="00F15478"/>
    <w:rsid w:val="00F154FA"/>
    <w:rsid w:val="00F155CB"/>
    <w:rsid w:val="00F15633"/>
    <w:rsid w:val="00F15666"/>
    <w:rsid w:val="00F157D9"/>
    <w:rsid w:val="00F1587F"/>
    <w:rsid w:val="00F15947"/>
    <w:rsid w:val="00F15B41"/>
    <w:rsid w:val="00F15BA7"/>
    <w:rsid w:val="00F15BCF"/>
    <w:rsid w:val="00F15C62"/>
    <w:rsid w:val="00F15DBB"/>
    <w:rsid w:val="00F15E88"/>
    <w:rsid w:val="00F1605D"/>
    <w:rsid w:val="00F16217"/>
    <w:rsid w:val="00F1628C"/>
    <w:rsid w:val="00F162B7"/>
    <w:rsid w:val="00F163C4"/>
    <w:rsid w:val="00F1643D"/>
    <w:rsid w:val="00F16575"/>
    <w:rsid w:val="00F16660"/>
    <w:rsid w:val="00F1688A"/>
    <w:rsid w:val="00F169AB"/>
    <w:rsid w:val="00F16A8A"/>
    <w:rsid w:val="00F16DE6"/>
    <w:rsid w:val="00F17159"/>
    <w:rsid w:val="00F171A9"/>
    <w:rsid w:val="00F17214"/>
    <w:rsid w:val="00F173B3"/>
    <w:rsid w:val="00F1773A"/>
    <w:rsid w:val="00F17A0C"/>
    <w:rsid w:val="00F17CF7"/>
    <w:rsid w:val="00F17E58"/>
    <w:rsid w:val="00F17EAA"/>
    <w:rsid w:val="00F20196"/>
    <w:rsid w:val="00F201C2"/>
    <w:rsid w:val="00F203AA"/>
    <w:rsid w:val="00F2045B"/>
    <w:rsid w:val="00F204CD"/>
    <w:rsid w:val="00F20794"/>
    <w:rsid w:val="00F2084C"/>
    <w:rsid w:val="00F20AA5"/>
    <w:rsid w:val="00F20AB1"/>
    <w:rsid w:val="00F20B80"/>
    <w:rsid w:val="00F20E93"/>
    <w:rsid w:val="00F20F4B"/>
    <w:rsid w:val="00F20F8D"/>
    <w:rsid w:val="00F21256"/>
    <w:rsid w:val="00F212C5"/>
    <w:rsid w:val="00F2137A"/>
    <w:rsid w:val="00F21458"/>
    <w:rsid w:val="00F2177B"/>
    <w:rsid w:val="00F2184F"/>
    <w:rsid w:val="00F21A09"/>
    <w:rsid w:val="00F21B80"/>
    <w:rsid w:val="00F21BB0"/>
    <w:rsid w:val="00F21CF5"/>
    <w:rsid w:val="00F21CFB"/>
    <w:rsid w:val="00F2220C"/>
    <w:rsid w:val="00F222B8"/>
    <w:rsid w:val="00F222BE"/>
    <w:rsid w:val="00F223C9"/>
    <w:rsid w:val="00F2264B"/>
    <w:rsid w:val="00F22683"/>
    <w:rsid w:val="00F226B8"/>
    <w:rsid w:val="00F22731"/>
    <w:rsid w:val="00F228DA"/>
    <w:rsid w:val="00F22ACC"/>
    <w:rsid w:val="00F22DEA"/>
    <w:rsid w:val="00F22F9A"/>
    <w:rsid w:val="00F230E9"/>
    <w:rsid w:val="00F2346A"/>
    <w:rsid w:val="00F2361C"/>
    <w:rsid w:val="00F23639"/>
    <w:rsid w:val="00F2376E"/>
    <w:rsid w:val="00F23818"/>
    <w:rsid w:val="00F238C6"/>
    <w:rsid w:val="00F23C63"/>
    <w:rsid w:val="00F23DCF"/>
    <w:rsid w:val="00F2430C"/>
    <w:rsid w:val="00F243C5"/>
    <w:rsid w:val="00F24634"/>
    <w:rsid w:val="00F24718"/>
    <w:rsid w:val="00F249B4"/>
    <w:rsid w:val="00F249CA"/>
    <w:rsid w:val="00F24A69"/>
    <w:rsid w:val="00F24B50"/>
    <w:rsid w:val="00F24BE9"/>
    <w:rsid w:val="00F24C53"/>
    <w:rsid w:val="00F24C62"/>
    <w:rsid w:val="00F252D0"/>
    <w:rsid w:val="00F2549B"/>
    <w:rsid w:val="00F254CC"/>
    <w:rsid w:val="00F254E5"/>
    <w:rsid w:val="00F25536"/>
    <w:rsid w:val="00F25606"/>
    <w:rsid w:val="00F2570F"/>
    <w:rsid w:val="00F2579F"/>
    <w:rsid w:val="00F25883"/>
    <w:rsid w:val="00F259A5"/>
    <w:rsid w:val="00F25AB3"/>
    <w:rsid w:val="00F25B5E"/>
    <w:rsid w:val="00F25E5B"/>
    <w:rsid w:val="00F25F26"/>
    <w:rsid w:val="00F2606B"/>
    <w:rsid w:val="00F2614A"/>
    <w:rsid w:val="00F2629B"/>
    <w:rsid w:val="00F2629F"/>
    <w:rsid w:val="00F26332"/>
    <w:rsid w:val="00F26390"/>
    <w:rsid w:val="00F264D5"/>
    <w:rsid w:val="00F264FC"/>
    <w:rsid w:val="00F2671E"/>
    <w:rsid w:val="00F26CBB"/>
    <w:rsid w:val="00F26D53"/>
    <w:rsid w:val="00F26FBC"/>
    <w:rsid w:val="00F2709D"/>
    <w:rsid w:val="00F270A8"/>
    <w:rsid w:val="00F2717E"/>
    <w:rsid w:val="00F2736C"/>
    <w:rsid w:val="00F27511"/>
    <w:rsid w:val="00F277FF"/>
    <w:rsid w:val="00F27856"/>
    <w:rsid w:val="00F278DB"/>
    <w:rsid w:val="00F27E0D"/>
    <w:rsid w:val="00F27E8A"/>
    <w:rsid w:val="00F27F99"/>
    <w:rsid w:val="00F307CB"/>
    <w:rsid w:val="00F30843"/>
    <w:rsid w:val="00F3084B"/>
    <w:rsid w:val="00F30981"/>
    <w:rsid w:val="00F309E5"/>
    <w:rsid w:val="00F30BCE"/>
    <w:rsid w:val="00F30DDE"/>
    <w:rsid w:val="00F30E16"/>
    <w:rsid w:val="00F30E8A"/>
    <w:rsid w:val="00F310A2"/>
    <w:rsid w:val="00F310F1"/>
    <w:rsid w:val="00F31187"/>
    <w:rsid w:val="00F3122C"/>
    <w:rsid w:val="00F31332"/>
    <w:rsid w:val="00F3139E"/>
    <w:rsid w:val="00F3155B"/>
    <w:rsid w:val="00F3160C"/>
    <w:rsid w:val="00F31626"/>
    <w:rsid w:val="00F316A4"/>
    <w:rsid w:val="00F3174A"/>
    <w:rsid w:val="00F317AE"/>
    <w:rsid w:val="00F3193E"/>
    <w:rsid w:val="00F31D82"/>
    <w:rsid w:val="00F31E56"/>
    <w:rsid w:val="00F32044"/>
    <w:rsid w:val="00F32048"/>
    <w:rsid w:val="00F321CD"/>
    <w:rsid w:val="00F322E1"/>
    <w:rsid w:val="00F3262F"/>
    <w:rsid w:val="00F32731"/>
    <w:rsid w:val="00F3292B"/>
    <w:rsid w:val="00F329DB"/>
    <w:rsid w:val="00F329E1"/>
    <w:rsid w:val="00F32A69"/>
    <w:rsid w:val="00F32BAA"/>
    <w:rsid w:val="00F32C9E"/>
    <w:rsid w:val="00F32D5F"/>
    <w:rsid w:val="00F32D9A"/>
    <w:rsid w:val="00F32E44"/>
    <w:rsid w:val="00F32F95"/>
    <w:rsid w:val="00F330B6"/>
    <w:rsid w:val="00F33346"/>
    <w:rsid w:val="00F334C0"/>
    <w:rsid w:val="00F336FD"/>
    <w:rsid w:val="00F3398F"/>
    <w:rsid w:val="00F339EB"/>
    <w:rsid w:val="00F33BBF"/>
    <w:rsid w:val="00F33C6E"/>
    <w:rsid w:val="00F33EAE"/>
    <w:rsid w:val="00F33FCE"/>
    <w:rsid w:val="00F342AC"/>
    <w:rsid w:val="00F34470"/>
    <w:rsid w:val="00F344E0"/>
    <w:rsid w:val="00F34529"/>
    <w:rsid w:val="00F346AF"/>
    <w:rsid w:val="00F347BE"/>
    <w:rsid w:val="00F348D3"/>
    <w:rsid w:val="00F34943"/>
    <w:rsid w:val="00F34AC1"/>
    <w:rsid w:val="00F34C9A"/>
    <w:rsid w:val="00F34D9A"/>
    <w:rsid w:val="00F34FC6"/>
    <w:rsid w:val="00F351F5"/>
    <w:rsid w:val="00F35420"/>
    <w:rsid w:val="00F357FD"/>
    <w:rsid w:val="00F35820"/>
    <w:rsid w:val="00F35AE6"/>
    <w:rsid w:val="00F35AF5"/>
    <w:rsid w:val="00F35B41"/>
    <w:rsid w:val="00F35BA6"/>
    <w:rsid w:val="00F35C3F"/>
    <w:rsid w:val="00F35C45"/>
    <w:rsid w:val="00F35C99"/>
    <w:rsid w:val="00F35D02"/>
    <w:rsid w:val="00F35E34"/>
    <w:rsid w:val="00F35F60"/>
    <w:rsid w:val="00F3600F"/>
    <w:rsid w:val="00F36175"/>
    <w:rsid w:val="00F36264"/>
    <w:rsid w:val="00F36358"/>
    <w:rsid w:val="00F3644A"/>
    <w:rsid w:val="00F364BB"/>
    <w:rsid w:val="00F3654A"/>
    <w:rsid w:val="00F365BC"/>
    <w:rsid w:val="00F366A2"/>
    <w:rsid w:val="00F366EF"/>
    <w:rsid w:val="00F3699F"/>
    <w:rsid w:val="00F36ABF"/>
    <w:rsid w:val="00F36CD8"/>
    <w:rsid w:val="00F36E8E"/>
    <w:rsid w:val="00F36EA4"/>
    <w:rsid w:val="00F37245"/>
    <w:rsid w:val="00F376A5"/>
    <w:rsid w:val="00F37947"/>
    <w:rsid w:val="00F379B5"/>
    <w:rsid w:val="00F37D4D"/>
    <w:rsid w:val="00F37D9D"/>
    <w:rsid w:val="00F37E10"/>
    <w:rsid w:val="00F37EAE"/>
    <w:rsid w:val="00F40246"/>
    <w:rsid w:val="00F40376"/>
    <w:rsid w:val="00F403CB"/>
    <w:rsid w:val="00F40465"/>
    <w:rsid w:val="00F404C1"/>
    <w:rsid w:val="00F40634"/>
    <w:rsid w:val="00F407CA"/>
    <w:rsid w:val="00F40898"/>
    <w:rsid w:val="00F408E8"/>
    <w:rsid w:val="00F40906"/>
    <w:rsid w:val="00F4092F"/>
    <w:rsid w:val="00F40BF3"/>
    <w:rsid w:val="00F4110E"/>
    <w:rsid w:val="00F411F9"/>
    <w:rsid w:val="00F4126B"/>
    <w:rsid w:val="00F413F3"/>
    <w:rsid w:val="00F41622"/>
    <w:rsid w:val="00F41726"/>
    <w:rsid w:val="00F41A21"/>
    <w:rsid w:val="00F41AC1"/>
    <w:rsid w:val="00F41B1C"/>
    <w:rsid w:val="00F41C04"/>
    <w:rsid w:val="00F420EF"/>
    <w:rsid w:val="00F42176"/>
    <w:rsid w:val="00F42216"/>
    <w:rsid w:val="00F424AD"/>
    <w:rsid w:val="00F426F5"/>
    <w:rsid w:val="00F42835"/>
    <w:rsid w:val="00F428BF"/>
    <w:rsid w:val="00F42915"/>
    <w:rsid w:val="00F42C18"/>
    <w:rsid w:val="00F42D57"/>
    <w:rsid w:val="00F42DD8"/>
    <w:rsid w:val="00F42F47"/>
    <w:rsid w:val="00F43072"/>
    <w:rsid w:val="00F4312E"/>
    <w:rsid w:val="00F43622"/>
    <w:rsid w:val="00F4364B"/>
    <w:rsid w:val="00F4376A"/>
    <w:rsid w:val="00F43833"/>
    <w:rsid w:val="00F43912"/>
    <w:rsid w:val="00F43959"/>
    <w:rsid w:val="00F4396C"/>
    <w:rsid w:val="00F43B60"/>
    <w:rsid w:val="00F43B73"/>
    <w:rsid w:val="00F43C6D"/>
    <w:rsid w:val="00F43EA3"/>
    <w:rsid w:val="00F43F4B"/>
    <w:rsid w:val="00F4411D"/>
    <w:rsid w:val="00F44126"/>
    <w:rsid w:val="00F4424F"/>
    <w:rsid w:val="00F4427C"/>
    <w:rsid w:val="00F44317"/>
    <w:rsid w:val="00F447CB"/>
    <w:rsid w:val="00F44987"/>
    <w:rsid w:val="00F44BAF"/>
    <w:rsid w:val="00F44C32"/>
    <w:rsid w:val="00F44D79"/>
    <w:rsid w:val="00F44D82"/>
    <w:rsid w:val="00F44EC7"/>
    <w:rsid w:val="00F44F11"/>
    <w:rsid w:val="00F45186"/>
    <w:rsid w:val="00F451F4"/>
    <w:rsid w:val="00F45361"/>
    <w:rsid w:val="00F4558D"/>
    <w:rsid w:val="00F45779"/>
    <w:rsid w:val="00F45906"/>
    <w:rsid w:val="00F459F9"/>
    <w:rsid w:val="00F45E4A"/>
    <w:rsid w:val="00F46005"/>
    <w:rsid w:val="00F46079"/>
    <w:rsid w:val="00F46212"/>
    <w:rsid w:val="00F46277"/>
    <w:rsid w:val="00F4676B"/>
    <w:rsid w:val="00F46C7A"/>
    <w:rsid w:val="00F46D04"/>
    <w:rsid w:val="00F46E10"/>
    <w:rsid w:val="00F46F44"/>
    <w:rsid w:val="00F4704D"/>
    <w:rsid w:val="00F47054"/>
    <w:rsid w:val="00F476AC"/>
    <w:rsid w:val="00F477EA"/>
    <w:rsid w:val="00F47A4A"/>
    <w:rsid w:val="00F47C1C"/>
    <w:rsid w:val="00F47C70"/>
    <w:rsid w:val="00F47DB4"/>
    <w:rsid w:val="00F47F5B"/>
    <w:rsid w:val="00F47FBA"/>
    <w:rsid w:val="00F50078"/>
    <w:rsid w:val="00F5007F"/>
    <w:rsid w:val="00F501EB"/>
    <w:rsid w:val="00F50222"/>
    <w:rsid w:val="00F5049E"/>
    <w:rsid w:val="00F508E1"/>
    <w:rsid w:val="00F50B2F"/>
    <w:rsid w:val="00F5107B"/>
    <w:rsid w:val="00F5107C"/>
    <w:rsid w:val="00F513B4"/>
    <w:rsid w:val="00F513BA"/>
    <w:rsid w:val="00F51571"/>
    <w:rsid w:val="00F5161E"/>
    <w:rsid w:val="00F51672"/>
    <w:rsid w:val="00F51740"/>
    <w:rsid w:val="00F5196D"/>
    <w:rsid w:val="00F519CA"/>
    <w:rsid w:val="00F519EC"/>
    <w:rsid w:val="00F51BF4"/>
    <w:rsid w:val="00F51E7D"/>
    <w:rsid w:val="00F51EC9"/>
    <w:rsid w:val="00F51FE3"/>
    <w:rsid w:val="00F51FFF"/>
    <w:rsid w:val="00F520A7"/>
    <w:rsid w:val="00F52240"/>
    <w:rsid w:val="00F522F2"/>
    <w:rsid w:val="00F522FD"/>
    <w:rsid w:val="00F52322"/>
    <w:rsid w:val="00F525E4"/>
    <w:rsid w:val="00F526D5"/>
    <w:rsid w:val="00F52878"/>
    <w:rsid w:val="00F52B97"/>
    <w:rsid w:val="00F52C5F"/>
    <w:rsid w:val="00F52D3E"/>
    <w:rsid w:val="00F5393E"/>
    <w:rsid w:val="00F53B87"/>
    <w:rsid w:val="00F53CC7"/>
    <w:rsid w:val="00F53DF7"/>
    <w:rsid w:val="00F53F0C"/>
    <w:rsid w:val="00F54464"/>
    <w:rsid w:val="00F54577"/>
    <w:rsid w:val="00F5483D"/>
    <w:rsid w:val="00F54865"/>
    <w:rsid w:val="00F54932"/>
    <w:rsid w:val="00F54A04"/>
    <w:rsid w:val="00F54A42"/>
    <w:rsid w:val="00F54A90"/>
    <w:rsid w:val="00F54AC0"/>
    <w:rsid w:val="00F54CE8"/>
    <w:rsid w:val="00F54D23"/>
    <w:rsid w:val="00F54E0A"/>
    <w:rsid w:val="00F54E79"/>
    <w:rsid w:val="00F55033"/>
    <w:rsid w:val="00F5524E"/>
    <w:rsid w:val="00F5535E"/>
    <w:rsid w:val="00F55818"/>
    <w:rsid w:val="00F558CA"/>
    <w:rsid w:val="00F5598F"/>
    <w:rsid w:val="00F559B2"/>
    <w:rsid w:val="00F55A01"/>
    <w:rsid w:val="00F55CD3"/>
    <w:rsid w:val="00F55E2C"/>
    <w:rsid w:val="00F55E5F"/>
    <w:rsid w:val="00F55FB6"/>
    <w:rsid w:val="00F561B1"/>
    <w:rsid w:val="00F5653F"/>
    <w:rsid w:val="00F56739"/>
    <w:rsid w:val="00F56BCF"/>
    <w:rsid w:val="00F56D87"/>
    <w:rsid w:val="00F56D95"/>
    <w:rsid w:val="00F56E93"/>
    <w:rsid w:val="00F56F02"/>
    <w:rsid w:val="00F56F2B"/>
    <w:rsid w:val="00F57362"/>
    <w:rsid w:val="00F573EE"/>
    <w:rsid w:val="00F574B8"/>
    <w:rsid w:val="00F575CD"/>
    <w:rsid w:val="00F576F5"/>
    <w:rsid w:val="00F57A39"/>
    <w:rsid w:val="00F57BFF"/>
    <w:rsid w:val="00F57C8B"/>
    <w:rsid w:val="00F57D5E"/>
    <w:rsid w:val="00F57D66"/>
    <w:rsid w:val="00F57DA5"/>
    <w:rsid w:val="00F57EB3"/>
    <w:rsid w:val="00F57EE5"/>
    <w:rsid w:val="00F60034"/>
    <w:rsid w:val="00F60099"/>
    <w:rsid w:val="00F6012A"/>
    <w:rsid w:val="00F60215"/>
    <w:rsid w:val="00F60438"/>
    <w:rsid w:val="00F60629"/>
    <w:rsid w:val="00F6064D"/>
    <w:rsid w:val="00F6081E"/>
    <w:rsid w:val="00F60861"/>
    <w:rsid w:val="00F608DE"/>
    <w:rsid w:val="00F60962"/>
    <w:rsid w:val="00F609FF"/>
    <w:rsid w:val="00F60A5C"/>
    <w:rsid w:val="00F60AD7"/>
    <w:rsid w:val="00F60B73"/>
    <w:rsid w:val="00F60DC3"/>
    <w:rsid w:val="00F60F77"/>
    <w:rsid w:val="00F61241"/>
    <w:rsid w:val="00F61412"/>
    <w:rsid w:val="00F61417"/>
    <w:rsid w:val="00F61507"/>
    <w:rsid w:val="00F61650"/>
    <w:rsid w:val="00F61681"/>
    <w:rsid w:val="00F6168D"/>
    <w:rsid w:val="00F617F9"/>
    <w:rsid w:val="00F61870"/>
    <w:rsid w:val="00F61B29"/>
    <w:rsid w:val="00F61D1C"/>
    <w:rsid w:val="00F61D69"/>
    <w:rsid w:val="00F61EAA"/>
    <w:rsid w:val="00F623A4"/>
    <w:rsid w:val="00F62519"/>
    <w:rsid w:val="00F625FE"/>
    <w:rsid w:val="00F626EC"/>
    <w:rsid w:val="00F62730"/>
    <w:rsid w:val="00F6279D"/>
    <w:rsid w:val="00F629FE"/>
    <w:rsid w:val="00F62A02"/>
    <w:rsid w:val="00F62BC0"/>
    <w:rsid w:val="00F62C7F"/>
    <w:rsid w:val="00F62D64"/>
    <w:rsid w:val="00F62DB6"/>
    <w:rsid w:val="00F62DD5"/>
    <w:rsid w:val="00F62E98"/>
    <w:rsid w:val="00F62EF3"/>
    <w:rsid w:val="00F62F03"/>
    <w:rsid w:val="00F63060"/>
    <w:rsid w:val="00F6359E"/>
    <w:rsid w:val="00F63647"/>
    <w:rsid w:val="00F63693"/>
    <w:rsid w:val="00F63736"/>
    <w:rsid w:val="00F6373B"/>
    <w:rsid w:val="00F63815"/>
    <w:rsid w:val="00F63932"/>
    <w:rsid w:val="00F63B0B"/>
    <w:rsid w:val="00F63C62"/>
    <w:rsid w:val="00F63DD0"/>
    <w:rsid w:val="00F63EC6"/>
    <w:rsid w:val="00F6400E"/>
    <w:rsid w:val="00F640DA"/>
    <w:rsid w:val="00F641E9"/>
    <w:rsid w:val="00F6456B"/>
    <w:rsid w:val="00F647BF"/>
    <w:rsid w:val="00F64B36"/>
    <w:rsid w:val="00F64C20"/>
    <w:rsid w:val="00F64CD2"/>
    <w:rsid w:val="00F64D2D"/>
    <w:rsid w:val="00F64D64"/>
    <w:rsid w:val="00F64E14"/>
    <w:rsid w:val="00F65498"/>
    <w:rsid w:val="00F6550B"/>
    <w:rsid w:val="00F655D7"/>
    <w:rsid w:val="00F658B4"/>
    <w:rsid w:val="00F65945"/>
    <w:rsid w:val="00F65972"/>
    <w:rsid w:val="00F65A37"/>
    <w:rsid w:val="00F65AB1"/>
    <w:rsid w:val="00F65AB5"/>
    <w:rsid w:val="00F65C45"/>
    <w:rsid w:val="00F65D01"/>
    <w:rsid w:val="00F6611B"/>
    <w:rsid w:val="00F6628A"/>
    <w:rsid w:val="00F662EE"/>
    <w:rsid w:val="00F663B5"/>
    <w:rsid w:val="00F663D8"/>
    <w:rsid w:val="00F664FA"/>
    <w:rsid w:val="00F66637"/>
    <w:rsid w:val="00F6691F"/>
    <w:rsid w:val="00F66B35"/>
    <w:rsid w:val="00F66B61"/>
    <w:rsid w:val="00F66CAC"/>
    <w:rsid w:val="00F66F07"/>
    <w:rsid w:val="00F66FF0"/>
    <w:rsid w:val="00F67396"/>
    <w:rsid w:val="00F67594"/>
    <w:rsid w:val="00F675F7"/>
    <w:rsid w:val="00F676DA"/>
    <w:rsid w:val="00F677AC"/>
    <w:rsid w:val="00F677FC"/>
    <w:rsid w:val="00F6793A"/>
    <w:rsid w:val="00F67C96"/>
    <w:rsid w:val="00F67CCB"/>
    <w:rsid w:val="00F67E26"/>
    <w:rsid w:val="00F701D1"/>
    <w:rsid w:val="00F7031F"/>
    <w:rsid w:val="00F7036C"/>
    <w:rsid w:val="00F70494"/>
    <w:rsid w:val="00F705BA"/>
    <w:rsid w:val="00F705DD"/>
    <w:rsid w:val="00F706D8"/>
    <w:rsid w:val="00F708D5"/>
    <w:rsid w:val="00F70969"/>
    <w:rsid w:val="00F70DD0"/>
    <w:rsid w:val="00F70E03"/>
    <w:rsid w:val="00F710B2"/>
    <w:rsid w:val="00F71153"/>
    <w:rsid w:val="00F711C3"/>
    <w:rsid w:val="00F7124B"/>
    <w:rsid w:val="00F71610"/>
    <w:rsid w:val="00F71727"/>
    <w:rsid w:val="00F7173C"/>
    <w:rsid w:val="00F7173F"/>
    <w:rsid w:val="00F71768"/>
    <w:rsid w:val="00F71A11"/>
    <w:rsid w:val="00F71B45"/>
    <w:rsid w:val="00F71C53"/>
    <w:rsid w:val="00F71C90"/>
    <w:rsid w:val="00F71E84"/>
    <w:rsid w:val="00F7244E"/>
    <w:rsid w:val="00F725FD"/>
    <w:rsid w:val="00F7278D"/>
    <w:rsid w:val="00F72818"/>
    <w:rsid w:val="00F72879"/>
    <w:rsid w:val="00F7287B"/>
    <w:rsid w:val="00F72989"/>
    <w:rsid w:val="00F72D38"/>
    <w:rsid w:val="00F72D6E"/>
    <w:rsid w:val="00F72DB4"/>
    <w:rsid w:val="00F72E4C"/>
    <w:rsid w:val="00F73655"/>
    <w:rsid w:val="00F73722"/>
    <w:rsid w:val="00F738CF"/>
    <w:rsid w:val="00F73A69"/>
    <w:rsid w:val="00F73A6A"/>
    <w:rsid w:val="00F73A94"/>
    <w:rsid w:val="00F73BA1"/>
    <w:rsid w:val="00F73CE5"/>
    <w:rsid w:val="00F73F4A"/>
    <w:rsid w:val="00F73F5A"/>
    <w:rsid w:val="00F7410C"/>
    <w:rsid w:val="00F74148"/>
    <w:rsid w:val="00F74311"/>
    <w:rsid w:val="00F74316"/>
    <w:rsid w:val="00F7445D"/>
    <w:rsid w:val="00F7454C"/>
    <w:rsid w:val="00F746A6"/>
    <w:rsid w:val="00F748CB"/>
    <w:rsid w:val="00F74FCF"/>
    <w:rsid w:val="00F74FE0"/>
    <w:rsid w:val="00F7515C"/>
    <w:rsid w:val="00F75276"/>
    <w:rsid w:val="00F7531B"/>
    <w:rsid w:val="00F753B1"/>
    <w:rsid w:val="00F7548D"/>
    <w:rsid w:val="00F75A3A"/>
    <w:rsid w:val="00F75C19"/>
    <w:rsid w:val="00F7600D"/>
    <w:rsid w:val="00F760AE"/>
    <w:rsid w:val="00F76311"/>
    <w:rsid w:val="00F7642B"/>
    <w:rsid w:val="00F765F6"/>
    <w:rsid w:val="00F76776"/>
    <w:rsid w:val="00F768BB"/>
    <w:rsid w:val="00F769A4"/>
    <w:rsid w:val="00F76C9E"/>
    <w:rsid w:val="00F76CB8"/>
    <w:rsid w:val="00F76D42"/>
    <w:rsid w:val="00F76E3D"/>
    <w:rsid w:val="00F76F40"/>
    <w:rsid w:val="00F76F7B"/>
    <w:rsid w:val="00F7713D"/>
    <w:rsid w:val="00F77450"/>
    <w:rsid w:val="00F77471"/>
    <w:rsid w:val="00F77603"/>
    <w:rsid w:val="00F77684"/>
    <w:rsid w:val="00F778A0"/>
    <w:rsid w:val="00F77ADB"/>
    <w:rsid w:val="00F77B65"/>
    <w:rsid w:val="00F77C65"/>
    <w:rsid w:val="00F77D3A"/>
    <w:rsid w:val="00F77D4D"/>
    <w:rsid w:val="00F77FA4"/>
    <w:rsid w:val="00F77FDD"/>
    <w:rsid w:val="00F80037"/>
    <w:rsid w:val="00F80054"/>
    <w:rsid w:val="00F800FA"/>
    <w:rsid w:val="00F801DA"/>
    <w:rsid w:val="00F8039B"/>
    <w:rsid w:val="00F803CF"/>
    <w:rsid w:val="00F8045A"/>
    <w:rsid w:val="00F8076F"/>
    <w:rsid w:val="00F80777"/>
    <w:rsid w:val="00F808AD"/>
    <w:rsid w:val="00F80936"/>
    <w:rsid w:val="00F80AB6"/>
    <w:rsid w:val="00F80DE2"/>
    <w:rsid w:val="00F80F8D"/>
    <w:rsid w:val="00F80FCB"/>
    <w:rsid w:val="00F811B8"/>
    <w:rsid w:val="00F812AE"/>
    <w:rsid w:val="00F81452"/>
    <w:rsid w:val="00F8146A"/>
    <w:rsid w:val="00F81559"/>
    <w:rsid w:val="00F8166F"/>
    <w:rsid w:val="00F816A9"/>
    <w:rsid w:val="00F81775"/>
    <w:rsid w:val="00F8177A"/>
    <w:rsid w:val="00F81849"/>
    <w:rsid w:val="00F81BA3"/>
    <w:rsid w:val="00F81BF0"/>
    <w:rsid w:val="00F81C2E"/>
    <w:rsid w:val="00F82148"/>
    <w:rsid w:val="00F82158"/>
    <w:rsid w:val="00F821FE"/>
    <w:rsid w:val="00F8220A"/>
    <w:rsid w:val="00F8261B"/>
    <w:rsid w:val="00F826D9"/>
    <w:rsid w:val="00F8279B"/>
    <w:rsid w:val="00F82B9D"/>
    <w:rsid w:val="00F82EC2"/>
    <w:rsid w:val="00F83074"/>
    <w:rsid w:val="00F83417"/>
    <w:rsid w:val="00F835A2"/>
    <w:rsid w:val="00F83733"/>
    <w:rsid w:val="00F8396B"/>
    <w:rsid w:val="00F83CD2"/>
    <w:rsid w:val="00F83F97"/>
    <w:rsid w:val="00F8470C"/>
    <w:rsid w:val="00F8483F"/>
    <w:rsid w:val="00F84AF2"/>
    <w:rsid w:val="00F84C92"/>
    <w:rsid w:val="00F84F0B"/>
    <w:rsid w:val="00F8557D"/>
    <w:rsid w:val="00F85969"/>
    <w:rsid w:val="00F85A4C"/>
    <w:rsid w:val="00F85AB3"/>
    <w:rsid w:val="00F85C8D"/>
    <w:rsid w:val="00F85D8A"/>
    <w:rsid w:val="00F85FDD"/>
    <w:rsid w:val="00F861F1"/>
    <w:rsid w:val="00F86273"/>
    <w:rsid w:val="00F86277"/>
    <w:rsid w:val="00F86285"/>
    <w:rsid w:val="00F863C1"/>
    <w:rsid w:val="00F86524"/>
    <w:rsid w:val="00F865C9"/>
    <w:rsid w:val="00F865F8"/>
    <w:rsid w:val="00F86968"/>
    <w:rsid w:val="00F86A62"/>
    <w:rsid w:val="00F86AEA"/>
    <w:rsid w:val="00F86B47"/>
    <w:rsid w:val="00F86F34"/>
    <w:rsid w:val="00F86FD6"/>
    <w:rsid w:val="00F870D2"/>
    <w:rsid w:val="00F87578"/>
    <w:rsid w:val="00F8772D"/>
    <w:rsid w:val="00F87F94"/>
    <w:rsid w:val="00F90021"/>
    <w:rsid w:val="00F9017A"/>
    <w:rsid w:val="00F901FE"/>
    <w:rsid w:val="00F90461"/>
    <w:rsid w:val="00F90602"/>
    <w:rsid w:val="00F9078A"/>
    <w:rsid w:val="00F9090E"/>
    <w:rsid w:val="00F90A5C"/>
    <w:rsid w:val="00F90F3C"/>
    <w:rsid w:val="00F911DA"/>
    <w:rsid w:val="00F9130C"/>
    <w:rsid w:val="00F91368"/>
    <w:rsid w:val="00F91373"/>
    <w:rsid w:val="00F91418"/>
    <w:rsid w:val="00F9168F"/>
    <w:rsid w:val="00F9169C"/>
    <w:rsid w:val="00F917A0"/>
    <w:rsid w:val="00F917B9"/>
    <w:rsid w:val="00F91978"/>
    <w:rsid w:val="00F919A0"/>
    <w:rsid w:val="00F91CA4"/>
    <w:rsid w:val="00F91EA4"/>
    <w:rsid w:val="00F91EDD"/>
    <w:rsid w:val="00F91F3F"/>
    <w:rsid w:val="00F92114"/>
    <w:rsid w:val="00F9236F"/>
    <w:rsid w:val="00F92837"/>
    <w:rsid w:val="00F92A1C"/>
    <w:rsid w:val="00F92C45"/>
    <w:rsid w:val="00F92C63"/>
    <w:rsid w:val="00F92FC0"/>
    <w:rsid w:val="00F93159"/>
    <w:rsid w:val="00F935B4"/>
    <w:rsid w:val="00F93638"/>
    <w:rsid w:val="00F93643"/>
    <w:rsid w:val="00F9374C"/>
    <w:rsid w:val="00F93806"/>
    <w:rsid w:val="00F9381B"/>
    <w:rsid w:val="00F9386F"/>
    <w:rsid w:val="00F939AB"/>
    <w:rsid w:val="00F93CDC"/>
    <w:rsid w:val="00F93CEA"/>
    <w:rsid w:val="00F93E1C"/>
    <w:rsid w:val="00F93F1F"/>
    <w:rsid w:val="00F9406E"/>
    <w:rsid w:val="00F94227"/>
    <w:rsid w:val="00F94444"/>
    <w:rsid w:val="00F94754"/>
    <w:rsid w:val="00F94EB3"/>
    <w:rsid w:val="00F94F94"/>
    <w:rsid w:val="00F95188"/>
    <w:rsid w:val="00F951EE"/>
    <w:rsid w:val="00F9525C"/>
    <w:rsid w:val="00F95343"/>
    <w:rsid w:val="00F95527"/>
    <w:rsid w:val="00F9563D"/>
    <w:rsid w:val="00F95673"/>
    <w:rsid w:val="00F95910"/>
    <w:rsid w:val="00F95B17"/>
    <w:rsid w:val="00F96213"/>
    <w:rsid w:val="00F962E2"/>
    <w:rsid w:val="00F962F7"/>
    <w:rsid w:val="00F9630F"/>
    <w:rsid w:val="00F965D2"/>
    <w:rsid w:val="00F96600"/>
    <w:rsid w:val="00F96A32"/>
    <w:rsid w:val="00F96A37"/>
    <w:rsid w:val="00F96BBB"/>
    <w:rsid w:val="00F96DF8"/>
    <w:rsid w:val="00F96E80"/>
    <w:rsid w:val="00F97345"/>
    <w:rsid w:val="00F9737A"/>
    <w:rsid w:val="00F974A7"/>
    <w:rsid w:val="00F9753C"/>
    <w:rsid w:val="00F97546"/>
    <w:rsid w:val="00F975E9"/>
    <w:rsid w:val="00F978EE"/>
    <w:rsid w:val="00F979E6"/>
    <w:rsid w:val="00F97CA8"/>
    <w:rsid w:val="00F97EE0"/>
    <w:rsid w:val="00F97FE1"/>
    <w:rsid w:val="00FA0063"/>
    <w:rsid w:val="00FA0278"/>
    <w:rsid w:val="00FA028F"/>
    <w:rsid w:val="00FA02DF"/>
    <w:rsid w:val="00FA0335"/>
    <w:rsid w:val="00FA04A8"/>
    <w:rsid w:val="00FA04B1"/>
    <w:rsid w:val="00FA0534"/>
    <w:rsid w:val="00FA05EB"/>
    <w:rsid w:val="00FA08EE"/>
    <w:rsid w:val="00FA090F"/>
    <w:rsid w:val="00FA0945"/>
    <w:rsid w:val="00FA0C4A"/>
    <w:rsid w:val="00FA0D18"/>
    <w:rsid w:val="00FA0D1F"/>
    <w:rsid w:val="00FA0DD6"/>
    <w:rsid w:val="00FA1294"/>
    <w:rsid w:val="00FA18FD"/>
    <w:rsid w:val="00FA1AB6"/>
    <w:rsid w:val="00FA1ACA"/>
    <w:rsid w:val="00FA1B23"/>
    <w:rsid w:val="00FA1E18"/>
    <w:rsid w:val="00FA1E58"/>
    <w:rsid w:val="00FA1E6C"/>
    <w:rsid w:val="00FA1F03"/>
    <w:rsid w:val="00FA23E7"/>
    <w:rsid w:val="00FA259A"/>
    <w:rsid w:val="00FA2839"/>
    <w:rsid w:val="00FA2907"/>
    <w:rsid w:val="00FA2C7D"/>
    <w:rsid w:val="00FA2F37"/>
    <w:rsid w:val="00FA30FC"/>
    <w:rsid w:val="00FA318C"/>
    <w:rsid w:val="00FA3416"/>
    <w:rsid w:val="00FA3567"/>
    <w:rsid w:val="00FA361C"/>
    <w:rsid w:val="00FA36C1"/>
    <w:rsid w:val="00FA3BAD"/>
    <w:rsid w:val="00FA44F9"/>
    <w:rsid w:val="00FA4507"/>
    <w:rsid w:val="00FA46F1"/>
    <w:rsid w:val="00FA48AA"/>
    <w:rsid w:val="00FA48D1"/>
    <w:rsid w:val="00FA4DF3"/>
    <w:rsid w:val="00FA4E2A"/>
    <w:rsid w:val="00FA4FE4"/>
    <w:rsid w:val="00FA5047"/>
    <w:rsid w:val="00FA52FB"/>
    <w:rsid w:val="00FA5419"/>
    <w:rsid w:val="00FA54B3"/>
    <w:rsid w:val="00FA596C"/>
    <w:rsid w:val="00FA5CCA"/>
    <w:rsid w:val="00FA619F"/>
    <w:rsid w:val="00FA62C3"/>
    <w:rsid w:val="00FA62DD"/>
    <w:rsid w:val="00FA66FC"/>
    <w:rsid w:val="00FA673E"/>
    <w:rsid w:val="00FA67DA"/>
    <w:rsid w:val="00FA68C8"/>
    <w:rsid w:val="00FA69FF"/>
    <w:rsid w:val="00FA6BB6"/>
    <w:rsid w:val="00FA6DED"/>
    <w:rsid w:val="00FA6E39"/>
    <w:rsid w:val="00FA70CE"/>
    <w:rsid w:val="00FA70E2"/>
    <w:rsid w:val="00FA70F4"/>
    <w:rsid w:val="00FA748A"/>
    <w:rsid w:val="00FA748B"/>
    <w:rsid w:val="00FA74DE"/>
    <w:rsid w:val="00FA76CA"/>
    <w:rsid w:val="00FA7ADE"/>
    <w:rsid w:val="00FA7B58"/>
    <w:rsid w:val="00FA7B71"/>
    <w:rsid w:val="00FA7DC9"/>
    <w:rsid w:val="00FA7F8D"/>
    <w:rsid w:val="00FB00DB"/>
    <w:rsid w:val="00FB01DE"/>
    <w:rsid w:val="00FB01DF"/>
    <w:rsid w:val="00FB02E2"/>
    <w:rsid w:val="00FB05C6"/>
    <w:rsid w:val="00FB061C"/>
    <w:rsid w:val="00FB0628"/>
    <w:rsid w:val="00FB0740"/>
    <w:rsid w:val="00FB0776"/>
    <w:rsid w:val="00FB079A"/>
    <w:rsid w:val="00FB07EB"/>
    <w:rsid w:val="00FB083E"/>
    <w:rsid w:val="00FB09B2"/>
    <w:rsid w:val="00FB0C18"/>
    <w:rsid w:val="00FB0D6B"/>
    <w:rsid w:val="00FB0E08"/>
    <w:rsid w:val="00FB0ECA"/>
    <w:rsid w:val="00FB0EDE"/>
    <w:rsid w:val="00FB0EE7"/>
    <w:rsid w:val="00FB0F92"/>
    <w:rsid w:val="00FB1141"/>
    <w:rsid w:val="00FB118F"/>
    <w:rsid w:val="00FB122D"/>
    <w:rsid w:val="00FB126A"/>
    <w:rsid w:val="00FB135A"/>
    <w:rsid w:val="00FB13DE"/>
    <w:rsid w:val="00FB1433"/>
    <w:rsid w:val="00FB170C"/>
    <w:rsid w:val="00FB18A6"/>
    <w:rsid w:val="00FB197E"/>
    <w:rsid w:val="00FB1A42"/>
    <w:rsid w:val="00FB1A4F"/>
    <w:rsid w:val="00FB1A8E"/>
    <w:rsid w:val="00FB1BD2"/>
    <w:rsid w:val="00FB1D25"/>
    <w:rsid w:val="00FB2394"/>
    <w:rsid w:val="00FB256F"/>
    <w:rsid w:val="00FB2758"/>
    <w:rsid w:val="00FB2860"/>
    <w:rsid w:val="00FB2875"/>
    <w:rsid w:val="00FB2926"/>
    <w:rsid w:val="00FB292D"/>
    <w:rsid w:val="00FB2A2B"/>
    <w:rsid w:val="00FB2A58"/>
    <w:rsid w:val="00FB2A5D"/>
    <w:rsid w:val="00FB2BF6"/>
    <w:rsid w:val="00FB2C53"/>
    <w:rsid w:val="00FB2CF7"/>
    <w:rsid w:val="00FB2D1C"/>
    <w:rsid w:val="00FB2FD8"/>
    <w:rsid w:val="00FB3125"/>
    <w:rsid w:val="00FB3162"/>
    <w:rsid w:val="00FB31AC"/>
    <w:rsid w:val="00FB323B"/>
    <w:rsid w:val="00FB329B"/>
    <w:rsid w:val="00FB334B"/>
    <w:rsid w:val="00FB3554"/>
    <w:rsid w:val="00FB358D"/>
    <w:rsid w:val="00FB364E"/>
    <w:rsid w:val="00FB3704"/>
    <w:rsid w:val="00FB39D6"/>
    <w:rsid w:val="00FB3C0E"/>
    <w:rsid w:val="00FB3E9C"/>
    <w:rsid w:val="00FB3F13"/>
    <w:rsid w:val="00FB3F57"/>
    <w:rsid w:val="00FB40BA"/>
    <w:rsid w:val="00FB4114"/>
    <w:rsid w:val="00FB4354"/>
    <w:rsid w:val="00FB43B2"/>
    <w:rsid w:val="00FB44AC"/>
    <w:rsid w:val="00FB44D8"/>
    <w:rsid w:val="00FB45F0"/>
    <w:rsid w:val="00FB4650"/>
    <w:rsid w:val="00FB46E6"/>
    <w:rsid w:val="00FB4A80"/>
    <w:rsid w:val="00FB4CB8"/>
    <w:rsid w:val="00FB4D19"/>
    <w:rsid w:val="00FB5220"/>
    <w:rsid w:val="00FB5286"/>
    <w:rsid w:val="00FB5436"/>
    <w:rsid w:val="00FB54B8"/>
    <w:rsid w:val="00FB568C"/>
    <w:rsid w:val="00FB569C"/>
    <w:rsid w:val="00FB57AD"/>
    <w:rsid w:val="00FB5825"/>
    <w:rsid w:val="00FB5900"/>
    <w:rsid w:val="00FB5A15"/>
    <w:rsid w:val="00FB5C5B"/>
    <w:rsid w:val="00FB5F55"/>
    <w:rsid w:val="00FB6031"/>
    <w:rsid w:val="00FB6058"/>
    <w:rsid w:val="00FB628D"/>
    <w:rsid w:val="00FB62E6"/>
    <w:rsid w:val="00FB67F4"/>
    <w:rsid w:val="00FB69BC"/>
    <w:rsid w:val="00FB6AFC"/>
    <w:rsid w:val="00FB6AFE"/>
    <w:rsid w:val="00FB6C3B"/>
    <w:rsid w:val="00FB6F45"/>
    <w:rsid w:val="00FB6FC4"/>
    <w:rsid w:val="00FB7058"/>
    <w:rsid w:val="00FB72CD"/>
    <w:rsid w:val="00FB7476"/>
    <w:rsid w:val="00FB74AD"/>
    <w:rsid w:val="00FB7670"/>
    <w:rsid w:val="00FB76EB"/>
    <w:rsid w:val="00FB772A"/>
    <w:rsid w:val="00FB7740"/>
    <w:rsid w:val="00FB794A"/>
    <w:rsid w:val="00FB7A01"/>
    <w:rsid w:val="00FB7BE3"/>
    <w:rsid w:val="00FB7BF0"/>
    <w:rsid w:val="00FB7C8D"/>
    <w:rsid w:val="00FB7FBF"/>
    <w:rsid w:val="00FC0042"/>
    <w:rsid w:val="00FC00E1"/>
    <w:rsid w:val="00FC0120"/>
    <w:rsid w:val="00FC0241"/>
    <w:rsid w:val="00FC028A"/>
    <w:rsid w:val="00FC0464"/>
    <w:rsid w:val="00FC062D"/>
    <w:rsid w:val="00FC0689"/>
    <w:rsid w:val="00FC0962"/>
    <w:rsid w:val="00FC0B15"/>
    <w:rsid w:val="00FC0B2A"/>
    <w:rsid w:val="00FC0FBB"/>
    <w:rsid w:val="00FC11C8"/>
    <w:rsid w:val="00FC143B"/>
    <w:rsid w:val="00FC161A"/>
    <w:rsid w:val="00FC1738"/>
    <w:rsid w:val="00FC17C1"/>
    <w:rsid w:val="00FC18A3"/>
    <w:rsid w:val="00FC1974"/>
    <w:rsid w:val="00FC1A63"/>
    <w:rsid w:val="00FC1AD3"/>
    <w:rsid w:val="00FC1CF9"/>
    <w:rsid w:val="00FC1D70"/>
    <w:rsid w:val="00FC1E4E"/>
    <w:rsid w:val="00FC1EFB"/>
    <w:rsid w:val="00FC1F37"/>
    <w:rsid w:val="00FC1F80"/>
    <w:rsid w:val="00FC23AB"/>
    <w:rsid w:val="00FC23BC"/>
    <w:rsid w:val="00FC240F"/>
    <w:rsid w:val="00FC27E7"/>
    <w:rsid w:val="00FC27F4"/>
    <w:rsid w:val="00FC2A0E"/>
    <w:rsid w:val="00FC2A19"/>
    <w:rsid w:val="00FC2A60"/>
    <w:rsid w:val="00FC2B00"/>
    <w:rsid w:val="00FC2C85"/>
    <w:rsid w:val="00FC2D22"/>
    <w:rsid w:val="00FC2D28"/>
    <w:rsid w:val="00FC2D8D"/>
    <w:rsid w:val="00FC2E3B"/>
    <w:rsid w:val="00FC2E4C"/>
    <w:rsid w:val="00FC30E8"/>
    <w:rsid w:val="00FC3420"/>
    <w:rsid w:val="00FC3630"/>
    <w:rsid w:val="00FC36FD"/>
    <w:rsid w:val="00FC373F"/>
    <w:rsid w:val="00FC3B27"/>
    <w:rsid w:val="00FC3B91"/>
    <w:rsid w:val="00FC3BD5"/>
    <w:rsid w:val="00FC3C24"/>
    <w:rsid w:val="00FC3EAF"/>
    <w:rsid w:val="00FC432B"/>
    <w:rsid w:val="00FC4410"/>
    <w:rsid w:val="00FC456E"/>
    <w:rsid w:val="00FC4578"/>
    <w:rsid w:val="00FC477F"/>
    <w:rsid w:val="00FC4B92"/>
    <w:rsid w:val="00FC4C51"/>
    <w:rsid w:val="00FC4E6F"/>
    <w:rsid w:val="00FC4FCC"/>
    <w:rsid w:val="00FC4FD5"/>
    <w:rsid w:val="00FC537D"/>
    <w:rsid w:val="00FC53DB"/>
    <w:rsid w:val="00FC54BC"/>
    <w:rsid w:val="00FC5595"/>
    <w:rsid w:val="00FC5750"/>
    <w:rsid w:val="00FC5996"/>
    <w:rsid w:val="00FC5AFF"/>
    <w:rsid w:val="00FC5CAC"/>
    <w:rsid w:val="00FC5E1B"/>
    <w:rsid w:val="00FC5F8F"/>
    <w:rsid w:val="00FC5FC3"/>
    <w:rsid w:val="00FC5FE0"/>
    <w:rsid w:val="00FC6403"/>
    <w:rsid w:val="00FC6604"/>
    <w:rsid w:val="00FC661F"/>
    <w:rsid w:val="00FC663A"/>
    <w:rsid w:val="00FC6790"/>
    <w:rsid w:val="00FC6964"/>
    <w:rsid w:val="00FC6986"/>
    <w:rsid w:val="00FC6CF8"/>
    <w:rsid w:val="00FC724E"/>
    <w:rsid w:val="00FC72D8"/>
    <w:rsid w:val="00FC7359"/>
    <w:rsid w:val="00FC7495"/>
    <w:rsid w:val="00FC74F0"/>
    <w:rsid w:val="00FC758D"/>
    <w:rsid w:val="00FC7691"/>
    <w:rsid w:val="00FC789F"/>
    <w:rsid w:val="00FC78E0"/>
    <w:rsid w:val="00FC7956"/>
    <w:rsid w:val="00FC7BAC"/>
    <w:rsid w:val="00FC7CD0"/>
    <w:rsid w:val="00FD006E"/>
    <w:rsid w:val="00FD00B9"/>
    <w:rsid w:val="00FD0239"/>
    <w:rsid w:val="00FD03A9"/>
    <w:rsid w:val="00FD04DE"/>
    <w:rsid w:val="00FD0758"/>
    <w:rsid w:val="00FD0D1B"/>
    <w:rsid w:val="00FD0E64"/>
    <w:rsid w:val="00FD0ED3"/>
    <w:rsid w:val="00FD0F35"/>
    <w:rsid w:val="00FD1260"/>
    <w:rsid w:val="00FD1454"/>
    <w:rsid w:val="00FD1504"/>
    <w:rsid w:val="00FD16C8"/>
    <w:rsid w:val="00FD16CE"/>
    <w:rsid w:val="00FD176F"/>
    <w:rsid w:val="00FD188C"/>
    <w:rsid w:val="00FD1892"/>
    <w:rsid w:val="00FD18E1"/>
    <w:rsid w:val="00FD1A3F"/>
    <w:rsid w:val="00FD1CB4"/>
    <w:rsid w:val="00FD1CB8"/>
    <w:rsid w:val="00FD1E40"/>
    <w:rsid w:val="00FD1E95"/>
    <w:rsid w:val="00FD1F73"/>
    <w:rsid w:val="00FD203F"/>
    <w:rsid w:val="00FD2530"/>
    <w:rsid w:val="00FD2724"/>
    <w:rsid w:val="00FD2757"/>
    <w:rsid w:val="00FD279C"/>
    <w:rsid w:val="00FD27E7"/>
    <w:rsid w:val="00FD283E"/>
    <w:rsid w:val="00FD28B6"/>
    <w:rsid w:val="00FD2987"/>
    <w:rsid w:val="00FD2C51"/>
    <w:rsid w:val="00FD31D9"/>
    <w:rsid w:val="00FD356F"/>
    <w:rsid w:val="00FD35FB"/>
    <w:rsid w:val="00FD372B"/>
    <w:rsid w:val="00FD3A6C"/>
    <w:rsid w:val="00FD3B49"/>
    <w:rsid w:val="00FD3FC1"/>
    <w:rsid w:val="00FD4169"/>
    <w:rsid w:val="00FD4259"/>
    <w:rsid w:val="00FD42E2"/>
    <w:rsid w:val="00FD4394"/>
    <w:rsid w:val="00FD4507"/>
    <w:rsid w:val="00FD492E"/>
    <w:rsid w:val="00FD4A8C"/>
    <w:rsid w:val="00FD4CAF"/>
    <w:rsid w:val="00FD4F97"/>
    <w:rsid w:val="00FD50E1"/>
    <w:rsid w:val="00FD5230"/>
    <w:rsid w:val="00FD534C"/>
    <w:rsid w:val="00FD54CB"/>
    <w:rsid w:val="00FD5568"/>
    <w:rsid w:val="00FD5708"/>
    <w:rsid w:val="00FD57B0"/>
    <w:rsid w:val="00FD5A2F"/>
    <w:rsid w:val="00FD5A3B"/>
    <w:rsid w:val="00FD5A51"/>
    <w:rsid w:val="00FD5A6B"/>
    <w:rsid w:val="00FD5AFE"/>
    <w:rsid w:val="00FD5B8F"/>
    <w:rsid w:val="00FD60F8"/>
    <w:rsid w:val="00FD617C"/>
    <w:rsid w:val="00FD641B"/>
    <w:rsid w:val="00FD6493"/>
    <w:rsid w:val="00FD6569"/>
    <w:rsid w:val="00FD6652"/>
    <w:rsid w:val="00FD682F"/>
    <w:rsid w:val="00FD68A7"/>
    <w:rsid w:val="00FD690B"/>
    <w:rsid w:val="00FD697D"/>
    <w:rsid w:val="00FD69CD"/>
    <w:rsid w:val="00FD6B3A"/>
    <w:rsid w:val="00FD6D77"/>
    <w:rsid w:val="00FD7008"/>
    <w:rsid w:val="00FD70E5"/>
    <w:rsid w:val="00FD7187"/>
    <w:rsid w:val="00FD723D"/>
    <w:rsid w:val="00FD748C"/>
    <w:rsid w:val="00FD7688"/>
    <w:rsid w:val="00FD76AF"/>
    <w:rsid w:val="00FD77C6"/>
    <w:rsid w:val="00FD782F"/>
    <w:rsid w:val="00FD7925"/>
    <w:rsid w:val="00FD7A0C"/>
    <w:rsid w:val="00FD7A88"/>
    <w:rsid w:val="00FD7B96"/>
    <w:rsid w:val="00FD7DDE"/>
    <w:rsid w:val="00FD7E05"/>
    <w:rsid w:val="00FD7E85"/>
    <w:rsid w:val="00FD7EBA"/>
    <w:rsid w:val="00FD7F75"/>
    <w:rsid w:val="00FE018E"/>
    <w:rsid w:val="00FE020A"/>
    <w:rsid w:val="00FE031A"/>
    <w:rsid w:val="00FE0580"/>
    <w:rsid w:val="00FE063D"/>
    <w:rsid w:val="00FE07C5"/>
    <w:rsid w:val="00FE0870"/>
    <w:rsid w:val="00FE0985"/>
    <w:rsid w:val="00FE0E66"/>
    <w:rsid w:val="00FE14E5"/>
    <w:rsid w:val="00FE1700"/>
    <w:rsid w:val="00FE178E"/>
    <w:rsid w:val="00FE198D"/>
    <w:rsid w:val="00FE19F5"/>
    <w:rsid w:val="00FE1A76"/>
    <w:rsid w:val="00FE1D01"/>
    <w:rsid w:val="00FE1F8B"/>
    <w:rsid w:val="00FE214D"/>
    <w:rsid w:val="00FE2258"/>
    <w:rsid w:val="00FE2373"/>
    <w:rsid w:val="00FE281F"/>
    <w:rsid w:val="00FE29E9"/>
    <w:rsid w:val="00FE2BAF"/>
    <w:rsid w:val="00FE2CB2"/>
    <w:rsid w:val="00FE2CDD"/>
    <w:rsid w:val="00FE2DB5"/>
    <w:rsid w:val="00FE2F67"/>
    <w:rsid w:val="00FE2F70"/>
    <w:rsid w:val="00FE2F9A"/>
    <w:rsid w:val="00FE323E"/>
    <w:rsid w:val="00FE324D"/>
    <w:rsid w:val="00FE3366"/>
    <w:rsid w:val="00FE3443"/>
    <w:rsid w:val="00FE3480"/>
    <w:rsid w:val="00FE3538"/>
    <w:rsid w:val="00FE3765"/>
    <w:rsid w:val="00FE384C"/>
    <w:rsid w:val="00FE3922"/>
    <w:rsid w:val="00FE3A69"/>
    <w:rsid w:val="00FE3B0F"/>
    <w:rsid w:val="00FE3BE5"/>
    <w:rsid w:val="00FE3BF5"/>
    <w:rsid w:val="00FE3C48"/>
    <w:rsid w:val="00FE3D4B"/>
    <w:rsid w:val="00FE3D6C"/>
    <w:rsid w:val="00FE3E38"/>
    <w:rsid w:val="00FE3EFC"/>
    <w:rsid w:val="00FE4038"/>
    <w:rsid w:val="00FE411F"/>
    <w:rsid w:val="00FE4632"/>
    <w:rsid w:val="00FE4634"/>
    <w:rsid w:val="00FE4992"/>
    <w:rsid w:val="00FE4AA1"/>
    <w:rsid w:val="00FE4B14"/>
    <w:rsid w:val="00FE4D45"/>
    <w:rsid w:val="00FE4D76"/>
    <w:rsid w:val="00FE4F12"/>
    <w:rsid w:val="00FE4FB2"/>
    <w:rsid w:val="00FE5014"/>
    <w:rsid w:val="00FE502D"/>
    <w:rsid w:val="00FE532F"/>
    <w:rsid w:val="00FE5688"/>
    <w:rsid w:val="00FE57E5"/>
    <w:rsid w:val="00FE5B8B"/>
    <w:rsid w:val="00FE5BBA"/>
    <w:rsid w:val="00FE5C31"/>
    <w:rsid w:val="00FE5EFA"/>
    <w:rsid w:val="00FE5EFB"/>
    <w:rsid w:val="00FE618F"/>
    <w:rsid w:val="00FE63D1"/>
    <w:rsid w:val="00FE6632"/>
    <w:rsid w:val="00FE6637"/>
    <w:rsid w:val="00FE6641"/>
    <w:rsid w:val="00FE66D8"/>
    <w:rsid w:val="00FE6714"/>
    <w:rsid w:val="00FE6787"/>
    <w:rsid w:val="00FE68D7"/>
    <w:rsid w:val="00FE695A"/>
    <w:rsid w:val="00FE6DDF"/>
    <w:rsid w:val="00FE6F2E"/>
    <w:rsid w:val="00FE6FAF"/>
    <w:rsid w:val="00FE736F"/>
    <w:rsid w:val="00FE740B"/>
    <w:rsid w:val="00FE745D"/>
    <w:rsid w:val="00FE7716"/>
    <w:rsid w:val="00FE78ED"/>
    <w:rsid w:val="00FE7A11"/>
    <w:rsid w:val="00FE7B25"/>
    <w:rsid w:val="00FE7BAB"/>
    <w:rsid w:val="00FE7D43"/>
    <w:rsid w:val="00FE7F08"/>
    <w:rsid w:val="00FE7F9E"/>
    <w:rsid w:val="00FE7FC6"/>
    <w:rsid w:val="00FF0106"/>
    <w:rsid w:val="00FF010B"/>
    <w:rsid w:val="00FF02E2"/>
    <w:rsid w:val="00FF03C8"/>
    <w:rsid w:val="00FF05C7"/>
    <w:rsid w:val="00FF05F8"/>
    <w:rsid w:val="00FF0813"/>
    <w:rsid w:val="00FF100D"/>
    <w:rsid w:val="00FF1063"/>
    <w:rsid w:val="00FF1171"/>
    <w:rsid w:val="00FF12CD"/>
    <w:rsid w:val="00FF12EC"/>
    <w:rsid w:val="00FF1309"/>
    <w:rsid w:val="00FF133C"/>
    <w:rsid w:val="00FF134D"/>
    <w:rsid w:val="00FF1536"/>
    <w:rsid w:val="00FF16CD"/>
    <w:rsid w:val="00FF18A8"/>
    <w:rsid w:val="00FF1930"/>
    <w:rsid w:val="00FF19F9"/>
    <w:rsid w:val="00FF1B32"/>
    <w:rsid w:val="00FF1CA6"/>
    <w:rsid w:val="00FF1D87"/>
    <w:rsid w:val="00FF1EF8"/>
    <w:rsid w:val="00FF20BF"/>
    <w:rsid w:val="00FF2153"/>
    <w:rsid w:val="00FF2482"/>
    <w:rsid w:val="00FF2661"/>
    <w:rsid w:val="00FF2732"/>
    <w:rsid w:val="00FF2779"/>
    <w:rsid w:val="00FF2A48"/>
    <w:rsid w:val="00FF2AD4"/>
    <w:rsid w:val="00FF2C3C"/>
    <w:rsid w:val="00FF2CB9"/>
    <w:rsid w:val="00FF2D5C"/>
    <w:rsid w:val="00FF2D76"/>
    <w:rsid w:val="00FF2FAB"/>
    <w:rsid w:val="00FF3283"/>
    <w:rsid w:val="00FF352C"/>
    <w:rsid w:val="00FF35D9"/>
    <w:rsid w:val="00FF3748"/>
    <w:rsid w:val="00FF398C"/>
    <w:rsid w:val="00FF39EB"/>
    <w:rsid w:val="00FF3AA7"/>
    <w:rsid w:val="00FF3C64"/>
    <w:rsid w:val="00FF3C6B"/>
    <w:rsid w:val="00FF3CA1"/>
    <w:rsid w:val="00FF3D4F"/>
    <w:rsid w:val="00FF3DD8"/>
    <w:rsid w:val="00FF3E23"/>
    <w:rsid w:val="00FF4449"/>
    <w:rsid w:val="00FF4757"/>
    <w:rsid w:val="00FF480C"/>
    <w:rsid w:val="00FF4940"/>
    <w:rsid w:val="00FF49DC"/>
    <w:rsid w:val="00FF4A68"/>
    <w:rsid w:val="00FF4BE4"/>
    <w:rsid w:val="00FF4C85"/>
    <w:rsid w:val="00FF4CF2"/>
    <w:rsid w:val="00FF4CF6"/>
    <w:rsid w:val="00FF4D12"/>
    <w:rsid w:val="00FF4DC3"/>
    <w:rsid w:val="00FF4FAF"/>
    <w:rsid w:val="00FF513E"/>
    <w:rsid w:val="00FF571C"/>
    <w:rsid w:val="00FF5793"/>
    <w:rsid w:val="00FF57DF"/>
    <w:rsid w:val="00FF589E"/>
    <w:rsid w:val="00FF58FD"/>
    <w:rsid w:val="00FF59F2"/>
    <w:rsid w:val="00FF5AE7"/>
    <w:rsid w:val="00FF5C16"/>
    <w:rsid w:val="00FF5C2A"/>
    <w:rsid w:val="00FF5F47"/>
    <w:rsid w:val="00FF605C"/>
    <w:rsid w:val="00FF61EE"/>
    <w:rsid w:val="00FF63ED"/>
    <w:rsid w:val="00FF682B"/>
    <w:rsid w:val="00FF6AA4"/>
    <w:rsid w:val="00FF6ACB"/>
    <w:rsid w:val="00FF6CFD"/>
    <w:rsid w:val="00FF6DE5"/>
    <w:rsid w:val="00FF6E94"/>
    <w:rsid w:val="00FF6EB1"/>
    <w:rsid w:val="00FF6FBB"/>
    <w:rsid w:val="00FF703D"/>
    <w:rsid w:val="00FF72AE"/>
    <w:rsid w:val="00FF753C"/>
    <w:rsid w:val="00FF7792"/>
    <w:rsid w:val="00FF7902"/>
    <w:rsid w:val="00FF7D3E"/>
    <w:rsid w:val="00FF7D80"/>
    <w:rsid w:val="00FF7D94"/>
    <w:rsid w:val="00FF7E80"/>
    <w:rsid w:val="00FF7F37"/>
    <w:rsid w:val="010246E5"/>
    <w:rsid w:val="010723BF"/>
    <w:rsid w:val="0120B173"/>
    <w:rsid w:val="012902D4"/>
    <w:rsid w:val="012AA550"/>
    <w:rsid w:val="0134EFD1"/>
    <w:rsid w:val="0139C77F"/>
    <w:rsid w:val="013B4B3D"/>
    <w:rsid w:val="0146BBD6"/>
    <w:rsid w:val="01470DD9"/>
    <w:rsid w:val="01477291"/>
    <w:rsid w:val="0147EFD4"/>
    <w:rsid w:val="014CBF66"/>
    <w:rsid w:val="014DEBBE"/>
    <w:rsid w:val="01518D52"/>
    <w:rsid w:val="0152AC3B"/>
    <w:rsid w:val="0155D0AC"/>
    <w:rsid w:val="01562200"/>
    <w:rsid w:val="01564456"/>
    <w:rsid w:val="016280F1"/>
    <w:rsid w:val="016325BB"/>
    <w:rsid w:val="016B581B"/>
    <w:rsid w:val="016D45C1"/>
    <w:rsid w:val="016E9A9D"/>
    <w:rsid w:val="0171BCCC"/>
    <w:rsid w:val="0173A3DE"/>
    <w:rsid w:val="01789F41"/>
    <w:rsid w:val="0178B463"/>
    <w:rsid w:val="017A8337"/>
    <w:rsid w:val="01857A86"/>
    <w:rsid w:val="018C6BC5"/>
    <w:rsid w:val="0192444E"/>
    <w:rsid w:val="019280B3"/>
    <w:rsid w:val="0194A99F"/>
    <w:rsid w:val="019C7662"/>
    <w:rsid w:val="019CB7CF"/>
    <w:rsid w:val="01A0ACF3"/>
    <w:rsid w:val="01A6E5A8"/>
    <w:rsid w:val="01AE0F65"/>
    <w:rsid w:val="01B93930"/>
    <w:rsid w:val="01C83D69"/>
    <w:rsid w:val="01CF3279"/>
    <w:rsid w:val="01D82524"/>
    <w:rsid w:val="01D8C0DA"/>
    <w:rsid w:val="01E1581B"/>
    <w:rsid w:val="01EA0EC3"/>
    <w:rsid w:val="01ED6753"/>
    <w:rsid w:val="01F2E886"/>
    <w:rsid w:val="01F36E3D"/>
    <w:rsid w:val="01F7B59C"/>
    <w:rsid w:val="01FEA4B7"/>
    <w:rsid w:val="02022543"/>
    <w:rsid w:val="02079DB2"/>
    <w:rsid w:val="021B8A0E"/>
    <w:rsid w:val="02264B56"/>
    <w:rsid w:val="022855BD"/>
    <w:rsid w:val="022E7118"/>
    <w:rsid w:val="02360A36"/>
    <w:rsid w:val="0247FC28"/>
    <w:rsid w:val="024844FE"/>
    <w:rsid w:val="02552B4C"/>
    <w:rsid w:val="025D42FE"/>
    <w:rsid w:val="026EA225"/>
    <w:rsid w:val="027CEC4C"/>
    <w:rsid w:val="02805734"/>
    <w:rsid w:val="028C75B6"/>
    <w:rsid w:val="02904215"/>
    <w:rsid w:val="0295F7EA"/>
    <w:rsid w:val="02BB8572"/>
    <w:rsid w:val="02BFA1D7"/>
    <w:rsid w:val="02C4E61F"/>
    <w:rsid w:val="02CC5E40"/>
    <w:rsid w:val="02CDC178"/>
    <w:rsid w:val="02E5D7EA"/>
    <w:rsid w:val="02E81F64"/>
    <w:rsid w:val="02ED180D"/>
    <w:rsid w:val="02FDCC4A"/>
    <w:rsid w:val="0321309D"/>
    <w:rsid w:val="0322A773"/>
    <w:rsid w:val="0322E32C"/>
    <w:rsid w:val="0325A196"/>
    <w:rsid w:val="032600CD"/>
    <w:rsid w:val="0336F499"/>
    <w:rsid w:val="033C294A"/>
    <w:rsid w:val="034DC57D"/>
    <w:rsid w:val="034E9A8B"/>
    <w:rsid w:val="035305AC"/>
    <w:rsid w:val="0369FA05"/>
    <w:rsid w:val="036EA4D5"/>
    <w:rsid w:val="037BC75A"/>
    <w:rsid w:val="0383C244"/>
    <w:rsid w:val="0393C3E1"/>
    <w:rsid w:val="03983AD7"/>
    <w:rsid w:val="039A1AA6"/>
    <w:rsid w:val="03A16B67"/>
    <w:rsid w:val="03A2344F"/>
    <w:rsid w:val="03A3DB0D"/>
    <w:rsid w:val="03A72936"/>
    <w:rsid w:val="03A8240B"/>
    <w:rsid w:val="03A90C02"/>
    <w:rsid w:val="03A9C5F5"/>
    <w:rsid w:val="03AB4324"/>
    <w:rsid w:val="03B7490A"/>
    <w:rsid w:val="03C647B5"/>
    <w:rsid w:val="03D32C7B"/>
    <w:rsid w:val="03F11636"/>
    <w:rsid w:val="03F36A68"/>
    <w:rsid w:val="03F6583B"/>
    <w:rsid w:val="03F6A80F"/>
    <w:rsid w:val="03FED963"/>
    <w:rsid w:val="04062514"/>
    <w:rsid w:val="040692BB"/>
    <w:rsid w:val="040F9FDF"/>
    <w:rsid w:val="041243D0"/>
    <w:rsid w:val="0412C4C9"/>
    <w:rsid w:val="04149D25"/>
    <w:rsid w:val="041D8A33"/>
    <w:rsid w:val="041FC7D7"/>
    <w:rsid w:val="041FF140"/>
    <w:rsid w:val="04220701"/>
    <w:rsid w:val="043C755B"/>
    <w:rsid w:val="0446A1B8"/>
    <w:rsid w:val="044DB908"/>
    <w:rsid w:val="044DFD89"/>
    <w:rsid w:val="0450282B"/>
    <w:rsid w:val="0453F718"/>
    <w:rsid w:val="0465CF4B"/>
    <w:rsid w:val="04690111"/>
    <w:rsid w:val="0474F2E0"/>
    <w:rsid w:val="048E6281"/>
    <w:rsid w:val="049BA2CF"/>
    <w:rsid w:val="04AA395A"/>
    <w:rsid w:val="04B38141"/>
    <w:rsid w:val="04C694DF"/>
    <w:rsid w:val="04CA160F"/>
    <w:rsid w:val="04CA2ED6"/>
    <w:rsid w:val="04CC5C4B"/>
    <w:rsid w:val="04DB3D56"/>
    <w:rsid w:val="04E6A7BD"/>
    <w:rsid w:val="04EBFFFF"/>
    <w:rsid w:val="04EDE2B2"/>
    <w:rsid w:val="04EF94F0"/>
    <w:rsid w:val="04F1A43B"/>
    <w:rsid w:val="04F57A46"/>
    <w:rsid w:val="04FD08EF"/>
    <w:rsid w:val="05021876"/>
    <w:rsid w:val="0515C510"/>
    <w:rsid w:val="05198CE9"/>
    <w:rsid w:val="0522EDF3"/>
    <w:rsid w:val="0523B218"/>
    <w:rsid w:val="05330432"/>
    <w:rsid w:val="0533FE65"/>
    <w:rsid w:val="053CE2F5"/>
    <w:rsid w:val="0541931F"/>
    <w:rsid w:val="054E13CD"/>
    <w:rsid w:val="055391E8"/>
    <w:rsid w:val="0555C1FD"/>
    <w:rsid w:val="05602A2D"/>
    <w:rsid w:val="056107E7"/>
    <w:rsid w:val="05646605"/>
    <w:rsid w:val="057A8958"/>
    <w:rsid w:val="05897423"/>
    <w:rsid w:val="05B85F31"/>
    <w:rsid w:val="05BB728B"/>
    <w:rsid w:val="05C00982"/>
    <w:rsid w:val="05C60333"/>
    <w:rsid w:val="05C78682"/>
    <w:rsid w:val="05C87484"/>
    <w:rsid w:val="05CB33A1"/>
    <w:rsid w:val="05DD782C"/>
    <w:rsid w:val="05E8D9AA"/>
    <w:rsid w:val="05F3725A"/>
    <w:rsid w:val="05FC4142"/>
    <w:rsid w:val="06035BB2"/>
    <w:rsid w:val="0603BB54"/>
    <w:rsid w:val="0604B5CC"/>
    <w:rsid w:val="060C4F7D"/>
    <w:rsid w:val="060DBAFD"/>
    <w:rsid w:val="060FA5D6"/>
    <w:rsid w:val="06206F91"/>
    <w:rsid w:val="06211381"/>
    <w:rsid w:val="062602B6"/>
    <w:rsid w:val="062803EA"/>
    <w:rsid w:val="062C4381"/>
    <w:rsid w:val="062ED366"/>
    <w:rsid w:val="0633A037"/>
    <w:rsid w:val="063D0FCC"/>
    <w:rsid w:val="065080F5"/>
    <w:rsid w:val="06526477"/>
    <w:rsid w:val="06555B7B"/>
    <w:rsid w:val="06562340"/>
    <w:rsid w:val="0659EA43"/>
    <w:rsid w:val="066DDDDE"/>
    <w:rsid w:val="066E73DB"/>
    <w:rsid w:val="067171BA"/>
    <w:rsid w:val="06719C58"/>
    <w:rsid w:val="06770420"/>
    <w:rsid w:val="067F4D90"/>
    <w:rsid w:val="06830A69"/>
    <w:rsid w:val="0685BA43"/>
    <w:rsid w:val="0688D7E5"/>
    <w:rsid w:val="06920823"/>
    <w:rsid w:val="06962F4A"/>
    <w:rsid w:val="069A5846"/>
    <w:rsid w:val="069F08A0"/>
    <w:rsid w:val="06A380D4"/>
    <w:rsid w:val="06A68422"/>
    <w:rsid w:val="06AC2FDA"/>
    <w:rsid w:val="06AFEA4A"/>
    <w:rsid w:val="06B499AB"/>
    <w:rsid w:val="06B7F98F"/>
    <w:rsid w:val="06B90D6C"/>
    <w:rsid w:val="06BB89D4"/>
    <w:rsid w:val="06BEE8BC"/>
    <w:rsid w:val="06CF7918"/>
    <w:rsid w:val="06D652C9"/>
    <w:rsid w:val="06DA5E0A"/>
    <w:rsid w:val="06E97FCD"/>
    <w:rsid w:val="06ED8B14"/>
    <w:rsid w:val="07034C23"/>
    <w:rsid w:val="07161E7C"/>
    <w:rsid w:val="0728C4FC"/>
    <w:rsid w:val="072DC5D9"/>
    <w:rsid w:val="073F5C27"/>
    <w:rsid w:val="0747D8CD"/>
    <w:rsid w:val="074DDA28"/>
    <w:rsid w:val="07588810"/>
    <w:rsid w:val="0759F15E"/>
    <w:rsid w:val="0761B466"/>
    <w:rsid w:val="0764508C"/>
    <w:rsid w:val="0765291A"/>
    <w:rsid w:val="076818A5"/>
    <w:rsid w:val="07709082"/>
    <w:rsid w:val="0784A10B"/>
    <w:rsid w:val="078C39F2"/>
    <w:rsid w:val="078CCB86"/>
    <w:rsid w:val="079B6379"/>
    <w:rsid w:val="07A50204"/>
    <w:rsid w:val="07A9A18A"/>
    <w:rsid w:val="07AC949F"/>
    <w:rsid w:val="07B9960A"/>
    <w:rsid w:val="07C72B42"/>
    <w:rsid w:val="07CBD17C"/>
    <w:rsid w:val="07CF7055"/>
    <w:rsid w:val="07DC394A"/>
    <w:rsid w:val="07E8D7C4"/>
    <w:rsid w:val="07F22B68"/>
    <w:rsid w:val="07F450EC"/>
    <w:rsid w:val="07FFD5F1"/>
    <w:rsid w:val="080BDDAC"/>
    <w:rsid w:val="0821B44E"/>
    <w:rsid w:val="08335CE1"/>
    <w:rsid w:val="08378510"/>
    <w:rsid w:val="083A666E"/>
    <w:rsid w:val="083B39E4"/>
    <w:rsid w:val="084664AD"/>
    <w:rsid w:val="08543942"/>
    <w:rsid w:val="085A10F3"/>
    <w:rsid w:val="085AB91D"/>
    <w:rsid w:val="085B2C3D"/>
    <w:rsid w:val="086B7466"/>
    <w:rsid w:val="086CB16F"/>
    <w:rsid w:val="08753699"/>
    <w:rsid w:val="087772D6"/>
    <w:rsid w:val="087A19E0"/>
    <w:rsid w:val="0884FD60"/>
    <w:rsid w:val="08A1C424"/>
    <w:rsid w:val="08A56DC7"/>
    <w:rsid w:val="08C1ADDC"/>
    <w:rsid w:val="08C1B5BD"/>
    <w:rsid w:val="08CD565C"/>
    <w:rsid w:val="08CF8842"/>
    <w:rsid w:val="08D5D85D"/>
    <w:rsid w:val="08D63C0D"/>
    <w:rsid w:val="08DD69BB"/>
    <w:rsid w:val="08E09C9C"/>
    <w:rsid w:val="08ED4001"/>
    <w:rsid w:val="08F73DF2"/>
    <w:rsid w:val="08F7CE69"/>
    <w:rsid w:val="08F8CBDA"/>
    <w:rsid w:val="0902722D"/>
    <w:rsid w:val="0906BDF4"/>
    <w:rsid w:val="090B7459"/>
    <w:rsid w:val="091457C3"/>
    <w:rsid w:val="092C2C91"/>
    <w:rsid w:val="0931C593"/>
    <w:rsid w:val="09332FFC"/>
    <w:rsid w:val="093AF49B"/>
    <w:rsid w:val="095F30AE"/>
    <w:rsid w:val="0965B1AF"/>
    <w:rsid w:val="0965D737"/>
    <w:rsid w:val="0966F496"/>
    <w:rsid w:val="09776779"/>
    <w:rsid w:val="097988C2"/>
    <w:rsid w:val="097B0A79"/>
    <w:rsid w:val="097D1876"/>
    <w:rsid w:val="0988027D"/>
    <w:rsid w:val="0992B354"/>
    <w:rsid w:val="09AC3531"/>
    <w:rsid w:val="09B602F2"/>
    <w:rsid w:val="09BBB095"/>
    <w:rsid w:val="09BE361E"/>
    <w:rsid w:val="09C51BF2"/>
    <w:rsid w:val="09DC1769"/>
    <w:rsid w:val="09EB43C8"/>
    <w:rsid w:val="09F31F75"/>
    <w:rsid w:val="09FEF799"/>
    <w:rsid w:val="0A21E12E"/>
    <w:rsid w:val="0A22EB3B"/>
    <w:rsid w:val="0A2515AE"/>
    <w:rsid w:val="0A2B5741"/>
    <w:rsid w:val="0A2B5F4E"/>
    <w:rsid w:val="0A2BE7E8"/>
    <w:rsid w:val="0A2E9103"/>
    <w:rsid w:val="0A415995"/>
    <w:rsid w:val="0A4829D8"/>
    <w:rsid w:val="0A4FC0F1"/>
    <w:rsid w:val="0A524215"/>
    <w:rsid w:val="0A6455E6"/>
    <w:rsid w:val="0A6734FA"/>
    <w:rsid w:val="0A72861D"/>
    <w:rsid w:val="0A7725A3"/>
    <w:rsid w:val="0A772CA1"/>
    <w:rsid w:val="0A84FBDF"/>
    <w:rsid w:val="0A8CD5DC"/>
    <w:rsid w:val="0A956589"/>
    <w:rsid w:val="0AA3A25E"/>
    <w:rsid w:val="0AA3C493"/>
    <w:rsid w:val="0AABBFB8"/>
    <w:rsid w:val="0AAD1FA2"/>
    <w:rsid w:val="0AB36D1B"/>
    <w:rsid w:val="0AB4E439"/>
    <w:rsid w:val="0ACBBE2E"/>
    <w:rsid w:val="0ACCCFE6"/>
    <w:rsid w:val="0ACF1E42"/>
    <w:rsid w:val="0AD1CCCB"/>
    <w:rsid w:val="0ADC50B2"/>
    <w:rsid w:val="0AE0222A"/>
    <w:rsid w:val="0AE79494"/>
    <w:rsid w:val="0AEC7EEE"/>
    <w:rsid w:val="0AF5E3D5"/>
    <w:rsid w:val="0AF89A59"/>
    <w:rsid w:val="0B066C20"/>
    <w:rsid w:val="0B08D911"/>
    <w:rsid w:val="0B38726A"/>
    <w:rsid w:val="0B4287BF"/>
    <w:rsid w:val="0B462500"/>
    <w:rsid w:val="0B495E1B"/>
    <w:rsid w:val="0B4F5A1F"/>
    <w:rsid w:val="0B57451A"/>
    <w:rsid w:val="0B57826D"/>
    <w:rsid w:val="0B5DE1B2"/>
    <w:rsid w:val="0B5EB2E0"/>
    <w:rsid w:val="0B6BEF0A"/>
    <w:rsid w:val="0B7288EA"/>
    <w:rsid w:val="0B740E66"/>
    <w:rsid w:val="0B774EAB"/>
    <w:rsid w:val="0B841BB2"/>
    <w:rsid w:val="0B8B7AC9"/>
    <w:rsid w:val="0B8BD293"/>
    <w:rsid w:val="0B8D0AD9"/>
    <w:rsid w:val="0B8D324B"/>
    <w:rsid w:val="0BA0E9C1"/>
    <w:rsid w:val="0BA50B7A"/>
    <w:rsid w:val="0BA71137"/>
    <w:rsid w:val="0BAA960E"/>
    <w:rsid w:val="0BAC415C"/>
    <w:rsid w:val="0BC3677D"/>
    <w:rsid w:val="0BC82AD1"/>
    <w:rsid w:val="0BCA8A1E"/>
    <w:rsid w:val="0BD9EA0D"/>
    <w:rsid w:val="0BE18052"/>
    <w:rsid w:val="0BE49611"/>
    <w:rsid w:val="0BE68D29"/>
    <w:rsid w:val="0BEFFDA1"/>
    <w:rsid w:val="0BFA3150"/>
    <w:rsid w:val="0C0EDD92"/>
    <w:rsid w:val="0C28C091"/>
    <w:rsid w:val="0C33C5A0"/>
    <w:rsid w:val="0C3462C6"/>
    <w:rsid w:val="0C35E0B5"/>
    <w:rsid w:val="0C3AB36A"/>
    <w:rsid w:val="0C45FB1A"/>
    <w:rsid w:val="0C4748FC"/>
    <w:rsid w:val="0C526791"/>
    <w:rsid w:val="0C5B1CD0"/>
    <w:rsid w:val="0C610E57"/>
    <w:rsid w:val="0C61B505"/>
    <w:rsid w:val="0C64F121"/>
    <w:rsid w:val="0C6CF366"/>
    <w:rsid w:val="0C744E19"/>
    <w:rsid w:val="0C7A2A77"/>
    <w:rsid w:val="0C83B34B"/>
    <w:rsid w:val="0C876634"/>
    <w:rsid w:val="0CB23193"/>
    <w:rsid w:val="0CB41725"/>
    <w:rsid w:val="0CC13C18"/>
    <w:rsid w:val="0CC2EC86"/>
    <w:rsid w:val="0CC9E4D1"/>
    <w:rsid w:val="0CC9E8C1"/>
    <w:rsid w:val="0CCA59F1"/>
    <w:rsid w:val="0CE0E2B6"/>
    <w:rsid w:val="0CE2A7DC"/>
    <w:rsid w:val="0CE9D316"/>
    <w:rsid w:val="0CF091AC"/>
    <w:rsid w:val="0CF5E749"/>
    <w:rsid w:val="0CFB39FE"/>
    <w:rsid w:val="0CFBB78A"/>
    <w:rsid w:val="0CFD3E87"/>
    <w:rsid w:val="0D015AD3"/>
    <w:rsid w:val="0D0F2970"/>
    <w:rsid w:val="0D12AD4E"/>
    <w:rsid w:val="0D165169"/>
    <w:rsid w:val="0D269D08"/>
    <w:rsid w:val="0D2E7B94"/>
    <w:rsid w:val="0D376356"/>
    <w:rsid w:val="0D3C3DE9"/>
    <w:rsid w:val="0D406A95"/>
    <w:rsid w:val="0D47CE74"/>
    <w:rsid w:val="0D487071"/>
    <w:rsid w:val="0D49AD18"/>
    <w:rsid w:val="0D4DE1CB"/>
    <w:rsid w:val="0D6700DB"/>
    <w:rsid w:val="0D69E495"/>
    <w:rsid w:val="0D6A0D22"/>
    <w:rsid w:val="0D8D5850"/>
    <w:rsid w:val="0DA261AA"/>
    <w:rsid w:val="0DA63E2C"/>
    <w:rsid w:val="0DB25032"/>
    <w:rsid w:val="0DBBF65F"/>
    <w:rsid w:val="0DC6E5C1"/>
    <w:rsid w:val="0DDA8629"/>
    <w:rsid w:val="0DE12C92"/>
    <w:rsid w:val="0DE4978B"/>
    <w:rsid w:val="0DE4E83C"/>
    <w:rsid w:val="0DE6934F"/>
    <w:rsid w:val="0DEA71C2"/>
    <w:rsid w:val="0DEC813A"/>
    <w:rsid w:val="0DFF938C"/>
    <w:rsid w:val="0E159F3A"/>
    <w:rsid w:val="0E206AF2"/>
    <w:rsid w:val="0E236F42"/>
    <w:rsid w:val="0E266B5B"/>
    <w:rsid w:val="0E3019FC"/>
    <w:rsid w:val="0E31BBF4"/>
    <w:rsid w:val="0E45195D"/>
    <w:rsid w:val="0E4E72D6"/>
    <w:rsid w:val="0E58F75C"/>
    <w:rsid w:val="0E659562"/>
    <w:rsid w:val="0E68CAAF"/>
    <w:rsid w:val="0E84C57D"/>
    <w:rsid w:val="0E8F3BE2"/>
    <w:rsid w:val="0E92557B"/>
    <w:rsid w:val="0E999C18"/>
    <w:rsid w:val="0E9D4037"/>
    <w:rsid w:val="0E9EBECB"/>
    <w:rsid w:val="0E9EFEBC"/>
    <w:rsid w:val="0EAC86B7"/>
    <w:rsid w:val="0EB6624A"/>
    <w:rsid w:val="0EBB4718"/>
    <w:rsid w:val="0EC6A7BC"/>
    <w:rsid w:val="0EC9B8BF"/>
    <w:rsid w:val="0ED41A6E"/>
    <w:rsid w:val="0EDF2059"/>
    <w:rsid w:val="0EF0683D"/>
    <w:rsid w:val="0EF234D7"/>
    <w:rsid w:val="0EFCEA25"/>
    <w:rsid w:val="0F2509F1"/>
    <w:rsid w:val="0F2A5AB2"/>
    <w:rsid w:val="0F32E698"/>
    <w:rsid w:val="0F3487C4"/>
    <w:rsid w:val="0F3857EA"/>
    <w:rsid w:val="0F4009FB"/>
    <w:rsid w:val="0F4052AC"/>
    <w:rsid w:val="0F50610C"/>
    <w:rsid w:val="0F541A05"/>
    <w:rsid w:val="0F5C4308"/>
    <w:rsid w:val="0F5F95DC"/>
    <w:rsid w:val="0F66E60E"/>
    <w:rsid w:val="0F6B5C26"/>
    <w:rsid w:val="0F727D2C"/>
    <w:rsid w:val="0F768FEF"/>
    <w:rsid w:val="0F796505"/>
    <w:rsid w:val="0F7A3B53"/>
    <w:rsid w:val="0F7BD4AD"/>
    <w:rsid w:val="0F818461"/>
    <w:rsid w:val="0F81E37B"/>
    <w:rsid w:val="0F84A5DA"/>
    <w:rsid w:val="0F94F511"/>
    <w:rsid w:val="0F9631EA"/>
    <w:rsid w:val="0F9692D0"/>
    <w:rsid w:val="0F98E54A"/>
    <w:rsid w:val="0FA8F147"/>
    <w:rsid w:val="0FADE51E"/>
    <w:rsid w:val="0FB2AFFA"/>
    <w:rsid w:val="0FB603E9"/>
    <w:rsid w:val="0FBAD69B"/>
    <w:rsid w:val="0FC29320"/>
    <w:rsid w:val="0FC6B592"/>
    <w:rsid w:val="0FD52C03"/>
    <w:rsid w:val="0FDD12EB"/>
    <w:rsid w:val="0FDFD7FA"/>
    <w:rsid w:val="0FEE1F52"/>
    <w:rsid w:val="0FF45BE9"/>
    <w:rsid w:val="0FFE11E2"/>
    <w:rsid w:val="1009EB07"/>
    <w:rsid w:val="100ABDF7"/>
    <w:rsid w:val="101245DB"/>
    <w:rsid w:val="1013ED4B"/>
    <w:rsid w:val="10198EDA"/>
    <w:rsid w:val="101CCF20"/>
    <w:rsid w:val="1025668B"/>
    <w:rsid w:val="103E135E"/>
    <w:rsid w:val="104C77BF"/>
    <w:rsid w:val="104DD8AF"/>
    <w:rsid w:val="104FAD00"/>
    <w:rsid w:val="1055572E"/>
    <w:rsid w:val="105E7CD7"/>
    <w:rsid w:val="10641A98"/>
    <w:rsid w:val="106E6337"/>
    <w:rsid w:val="10764C65"/>
    <w:rsid w:val="107AEFAD"/>
    <w:rsid w:val="10840737"/>
    <w:rsid w:val="10912614"/>
    <w:rsid w:val="1097463C"/>
    <w:rsid w:val="10A63D74"/>
    <w:rsid w:val="10A74663"/>
    <w:rsid w:val="10AED842"/>
    <w:rsid w:val="10B81D03"/>
    <w:rsid w:val="10BD3405"/>
    <w:rsid w:val="10C4A608"/>
    <w:rsid w:val="10C55CC6"/>
    <w:rsid w:val="10E66727"/>
    <w:rsid w:val="10EF7027"/>
    <w:rsid w:val="10F9D7CA"/>
    <w:rsid w:val="10FC5F64"/>
    <w:rsid w:val="10FDE18C"/>
    <w:rsid w:val="10FE28B3"/>
    <w:rsid w:val="10FEA5B1"/>
    <w:rsid w:val="1100382E"/>
    <w:rsid w:val="110720B1"/>
    <w:rsid w:val="11145B1A"/>
    <w:rsid w:val="111C1BC9"/>
    <w:rsid w:val="113075C5"/>
    <w:rsid w:val="113C55DB"/>
    <w:rsid w:val="113E197A"/>
    <w:rsid w:val="114BE7AD"/>
    <w:rsid w:val="114E8DAD"/>
    <w:rsid w:val="1153F911"/>
    <w:rsid w:val="11562F0D"/>
    <w:rsid w:val="115C72FE"/>
    <w:rsid w:val="115C8929"/>
    <w:rsid w:val="11605C3C"/>
    <w:rsid w:val="11618A12"/>
    <w:rsid w:val="117E700B"/>
    <w:rsid w:val="11831B90"/>
    <w:rsid w:val="118F3220"/>
    <w:rsid w:val="1191BF2A"/>
    <w:rsid w:val="1197338E"/>
    <w:rsid w:val="11987C0D"/>
    <w:rsid w:val="1198EABF"/>
    <w:rsid w:val="1199C31B"/>
    <w:rsid w:val="119A5E51"/>
    <w:rsid w:val="11A1D008"/>
    <w:rsid w:val="11A456D6"/>
    <w:rsid w:val="11AB19F9"/>
    <w:rsid w:val="11C39C4B"/>
    <w:rsid w:val="11C7A0C9"/>
    <w:rsid w:val="11CE5D1A"/>
    <w:rsid w:val="11D20985"/>
    <w:rsid w:val="11DC0871"/>
    <w:rsid w:val="11E1A233"/>
    <w:rsid w:val="11E32467"/>
    <w:rsid w:val="11F12619"/>
    <w:rsid w:val="11F26F69"/>
    <w:rsid w:val="11F70F24"/>
    <w:rsid w:val="1201E142"/>
    <w:rsid w:val="1204DF7A"/>
    <w:rsid w:val="120514FD"/>
    <w:rsid w:val="1207221D"/>
    <w:rsid w:val="120F8AFB"/>
    <w:rsid w:val="120FC845"/>
    <w:rsid w:val="1211A722"/>
    <w:rsid w:val="121B5E2D"/>
    <w:rsid w:val="122D4863"/>
    <w:rsid w:val="122E923D"/>
    <w:rsid w:val="123280C2"/>
    <w:rsid w:val="12340E83"/>
    <w:rsid w:val="123ACCC0"/>
    <w:rsid w:val="1241ABFD"/>
    <w:rsid w:val="1242358C"/>
    <w:rsid w:val="12498568"/>
    <w:rsid w:val="124AB0F9"/>
    <w:rsid w:val="12537AFB"/>
    <w:rsid w:val="127190D6"/>
    <w:rsid w:val="12728E2A"/>
    <w:rsid w:val="12744326"/>
    <w:rsid w:val="12781E43"/>
    <w:rsid w:val="127B0542"/>
    <w:rsid w:val="1286EA13"/>
    <w:rsid w:val="1287C5DF"/>
    <w:rsid w:val="128CBC0A"/>
    <w:rsid w:val="128E9DFC"/>
    <w:rsid w:val="1299587A"/>
    <w:rsid w:val="12A5F251"/>
    <w:rsid w:val="12AF7124"/>
    <w:rsid w:val="12AFBDB4"/>
    <w:rsid w:val="12B1283A"/>
    <w:rsid w:val="12B88217"/>
    <w:rsid w:val="12C533FE"/>
    <w:rsid w:val="12D9458A"/>
    <w:rsid w:val="12E48C16"/>
    <w:rsid w:val="12E73794"/>
    <w:rsid w:val="12E9AE69"/>
    <w:rsid w:val="12E9B85E"/>
    <w:rsid w:val="12EA5AE1"/>
    <w:rsid w:val="12FC9D32"/>
    <w:rsid w:val="12FF3A2F"/>
    <w:rsid w:val="13032CF3"/>
    <w:rsid w:val="1327089F"/>
    <w:rsid w:val="13273945"/>
    <w:rsid w:val="1329F95C"/>
    <w:rsid w:val="132AB3D7"/>
    <w:rsid w:val="133038A9"/>
    <w:rsid w:val="1342AD4E"/>
    <w:rsid w:val="134BA360"/>
    <w:rsid w:val="134C9F8C"/>
    <w:rsid w:val="13527713"/>
    <w:rsid w:val="13587706"/>
    <w:rsid w:val="137057C4"/>
    <w:rsid w:val="1370B461"/>
    <w:rsid w:val="137104AB"/>
    <w:rsid w:val="137858C1"/>
    <w:rsid w:val="138C4261"/>
    <w:rsid w:val="139081E7"/>
    <w:rsid w:val="1397396F"/>
    <w:rsid w:val="1399768C"/>
    <w:rsid w:val="139B2ACD"/>
    <w:rsid w:val="13AC6E9A"/>
    <w:rsid w:val="13ADB2E5"/>
    <w:rsid w:val="13B6C812"/>
    <w:rsid w:val="13B8ABFA"/>
    <w:rsid w:val="13CC42C8"/>
    <w:rsid w:val="13CE0D05"/>
    <w:rsid w:val="13D8BF9A"/>
    <w:rsid w:val="13ED7E92"/>
    <w:rsid w:val="14017979"/>
    <w:rsid w:val="14038A81"/>
    <w:rsid w:val="140CE0C6"/>
    <w:rsid w:val="140E8E54"/>
    <w:rsid w:val="141A6B86"/>
    <w:rsid w:val="1425AF14"/>
    <w:rsid w:val="1426EB6F"/>
    <w:rsid w:val="142C5A1D"/>
    <w:rsid w:val="142D98AA"/>
    <w:rsid w:val="143022DC"/>
    <w:rsid w:val="143814BC"/>
    <w:rsid w:val="14393614"/>
    <w:rsid w:val="1439B832"/>
    <w:rsid w:val="1440A709"/>
    <w:rsid w:val="14479652"/>
    <w:rsid w:val="144A09BC"/>
    <w:rsid w:val="144C8ABD"/>
    <w:rsid w:val="145DD25D"/>
    <w:rsid w:val="14692ABE"/>
    <w:rsid w:val="146D9D1A"/>
    <w:rsid w:val="14748B0F"/>
    <w:rsid w:val="1474E50F"/>
    <w:rsid w:val="1484EF7C"/>
    <w:rsid w:val="14851F3D"/>
    <w:rsid w:val="149B1DA2"/>
    <w:rsid w:val="149DD161"/>
    <w:rsid w:val="149F457C"/>
    <w:rsid w:val="14A44BE4"/>
    <w:rsid w:val="14A543FF"/>
    <w:rsid w:val="14AF728B"/>
    <w:rsid w:val="14C4FCD5"/>
    <w:rsid w:val="14E0AB4C"/>
    <w:rsid w:val="14E3A7B3"/>
    <w:rsid w:val="14E4746D"/>
    <w:rsid w:val="14E6258B"/>
    <w:rsid w:val="14E82525"/>
    <w:rsid w:val="15157685"/>
    <w:rsid w:val="15165228"/>
    <w:rsid w:val="15197316"/>
    <w:rsid w:val="151BEE4C"/>
    <w:rsid w:val="1521BD5D"/>
    <w:rsid w:val="152EFF0C"/>
    <w:rsid w:val="1530C693"/>
    <w:rsid w:val="153A8B93"/>
    <w:rsid w:val="153ED17A"/>
    <w:rsid w:val="154BF718"/>
    <w:rsid w:val="15501999"/>
    <w:rsid w:val="1553FE0B"/>
    <w:rsid w:val="1557BC9B"/>
    <w:rsid w:val="155F2EE4"/>
    <w:rsid w:val="15620F13"/>
    <w:rsid w:val="156C4EA5"/>
    <w:rsid w:val="157C53D1"/>
    <w:rsid w:val="157FFF39"/>
    <w:rsid w:val="158D604B"/>
    <w:rsid w:val="159303A5"/>
    <w:rsid w:val="1594CA12"/>
    <w:rsid w:val="159AED22"/>
    <w:rsid w:val="15AFCD98"/>
    <w:rsid w:val="15BB5966"/>
    <w:rsid w:val="15BD510A"/>
    <w:rsid w:val="15CFFF1F"/>
    <w:rsid w:val="15DBAC69"/>
    <w:rsid w:val="15DD680D"/>
    <w:rsid w:val="15E907DC"/>
    <w:rsid w:val="15EAE29A"/>
    <w:rsid w:val="15ED665E"/>
    <w:rsid w:val="15FAFF3B"/>
    <w:rsid w:val="160AB426"/>
    <w:rsid w:val="161C2867"/>
    <w:rsid w:val="162863EE"/>
    <w:rsid w:val="162A8B50"/>
    <w:rsid w:val="162E7B4B"/>
    <w:rsid w:val="163B4140"/>
    <w:rsid w:val="1644BF63"/>
    <w:rsid w:val="164D2463"/>
    <w:rsid w:val="1652553B"/>
    <w:rsid w:val="1655C107"/>
    <w:rsid w:val="165A2541"/>
    <w:rsid w:val="16623F3E"/>
    <w:rsid w:val="1671F7C6"/>
    <w:rsid w:val="16735B8D"/>
    <w:rsid w:val="16A823A2"/>
    <w:rsid w:val="16AE053D"/>
    <w:rsid w:val="16B9218E"/>
    <w:rsid w:val="16BE8D73"/>
    <w:rsid w:val="16CA1DCB"/>
    <w:rsid w:val="16CAE84A"/>
    <w:rsid w:val="16D29C0B"/>
    <w:rsid w:val="16D775D2"/>
    <w:rsid w:val="16E0E4A3"/>
    <w:rsid w:val="16E5147A"/>
    <w:rsid w:val="16EDC52D"/>
    <w:rsid w:val="16EE7151"/>
    <w:rsid w:val="16FD24F3"/>
    <w:rsid w:val="171CCBD8"/>
    <w:rsid w:val="1721D614"/>
    <w:rsid w:val="1723EF15"/>
    <w:rsid w:val="173FB1C0"/>
    <w:rsid w:val="17575297"/>
    <w:rsid w:val="17591E01"/>
    <w:rsid w:val="175EC78F"/>
    <w:rsid w:val="17784AA3"/>
    <w:rsid w:val="17810A5C"/>
    <w:rsid w:val="178BA518"/>
    <w:rsid w:val="1798ADB1"/>
    <w:rsid w:val="179EA174"/>
    <w:rsid w:val="17A94BD8"/>
    <w:rsid w:val="17AC6933"/>
    <w:rsid w:val="17B06764"/>
    <w:rsid w:val="17B60431"/>
    <w:rsid w:val="17B947D4"/>
    <w:rsid w:val="17BA02C9"/>
    <w:rsid w:val="17C2308B"/>
    <w:rsid w:val="17C66635"/>
    <w:rsid w:val="17CF9752"/>
    <w:rsid w:val="17D7607C"/>
    <w:rsid w:val="17D8F6AB"/>
    <w:rsid w:val="17E4B9A5"/>
    <w:rsid w:val="17EFA4CE"/>
    <w:rsid w:val="17F4788C"/>
    <w:rsid w:val="17FB5CA1"/>
    <w:rsid w:val="17FB8A5A"/>
    <w:rsid w:val="18051EE1"/>
    <w:rsid w:val="1805CE67"/>
    <w:rsid w:val="1808534D"/>
    <w:rsid w:val="18088C24"/>
    <w:rsid w:val="18183E57"/>
    <w:rsid w:val="1818AD15"/>
    <w:rsid w:val="181E4EE0"/>
    <w:rsid w:val="1824FB68"/>
    <w:rsid w:val="1827595E"/>
    <w:rsid w:val="1831D56C"/>
    <w:rsid w:val="183DEA02"/>
    <w:rsid w:val="18425ECF"/>
    <w:rsid w:val="1843056D"/>
    <w:rsid w:val="18513A77"/>
    <w:rsid w:val="1854FF55"/>
    <w:rsid w:val="185E1428"/>
    <w:rsid w:val="186564DD"/>
    <w:rsid w:val="1870CDD6"/>
    <w:rsid w:val="1878B3EA"/>
    <w:rsid w:val="187E29CA"/>
    <w:rsid w:val="1881A69C"/>
    <w:rsid w:val="18833C4D"/>
    <w:rsid w:val="188F3097"/>
    <w:rsid w:val="18925D4D"/>
    <w:rsid w:val="18931853"/>
    <w:rsid w:val="189991AC"/>
    <w:rsid w:val="189D2B8D"/>
    <w:rsid w:val="18A8BED4"/>
    <w:rsid w:val="18A90A94"/>
    <w:rsid w:val="18AD55AF"/>
    <w:rsid w:val="18B95D7C"/>
    <w:rsid w:val="18C64047"/>
    <w:rsid w:val="18C88AE0"/>
    <w:rsid w:val="18DC9D7C"/>
    <w:rsid w:val="18E7DA95"/>
    <w:rsid w:val="18EE629D"/>
    <w:rsid w:val="18F8C182"/>
    <w:rsid w:val="190FC832"/>
    <w:rsid w:val="19123C2B"/>
    <w:rsid w:val="19205566"/>
    <w:rsid w:val="192BE83D"/>
    <w:rsid w:val="19353179"/>
    <w:rsid w:val="194862A0"/>
    <w:rsid w:val="194CFF0D"/>
    <w:rsid w:val="1954CE32"/>
    <w:rsid w:val="195BEFB7"/>
    <w:rsid w:val="195E1306"/>
    <w:rsid w:val="195FD0BC"/>
    <w:rsid w:val="19635900"/>
    <w:rsid w:val="1967E5C7"/>
    <w:rsid w:val="19794F8F"/>
    <w:rsid w:val="197DACA0"/>
    <w:rsid w:val="1981E3E1"/>
    <w:rsid w:val="1991E530"/>
    <w:rsid w:val="1994CA7C"/>
    <w:rsid w:val="19953D11"/>
    <w:rsid w:val="1995D25B"/>
    <w:rsid w:val="19981554"/>
    <w:rsid w:val="199EA93C"/>
    <w:rsid w:val="19B0DD96"/>
    <w:rsid w:val="19B6AB0D"/>
    <w:rsid w:val="19BE3A27"/>
    <w:rsid w:val="19BE894B"/>
    <w:rsid w:val="19C0F8D3"/>
    <w:rsid w:val="19C3519F"/>
    <w:rsid w:val="19C6B7D8"/>
    <w:rsid w:val="19E139E5"/>
    <w:rsid w:val="19E24A14"/>
    <w:rsid w:val="19F09C23"/>
    <w:rsid w:val="19FBC566"/>
    <w:rsid w:val="1A108BE5"/>
    <w:rsid w:val="1A1788F3"/>
    <w:rsid w:val="1A1E890D"/>
    <w:rsid w:val="1A201132"/>
    <w:rsid w:val="1A216FF4"/>
    <w:rsid w:val="1A26267F"/>
    <w:rsid w:val="1A26D9B1"/>
    <w:rsid w:val="1A3EDB60"/>
    <w:rsid w:val="1A533BEB"/>
    <w:rsid w:val="1A56301B"/>
    <w:rsid w:val="1A59BED7"/>
    <w:rsid w:val="1A5A065A"/>
    <w:rsid w:val="1A5A8F4B"/>
    <w:rsid w:val="1A5D3841"/>
    <w:rsid w:val="1A5F9E46"/>
    <w:rsid w:val="1A5FB2F7"/>
    <w:rsid w:val="1A619C51"/>
    <w:rsid w:val="1A7EAA22"/>
    <w:rsid w:val="1A7FEC1A"/>
    <w:rsid w:val="1A8657C8"/>
    <w:rsid w:val="1A9517BA"/>
    <w:rsid w:val="1A980D9E"/>
    <w:rsid w:val="1A9D2949"/>
    <w:rsid w:val="1AB2A7D4"/>
    <w:rsid w:val="1AB400BC"/>
    <w:rsid w:val="1AB4CD07"/>
    <w:rsid w:val="1AB6E3AA"/>
    <w:rsid w:val="1ABA5F5F"/>
    <w:rsid w:val="1ACEFC1B"/>
    <w:rsid w:val="1ADC3899"/>
    <w:rsid w:val="1ADECF80"/>
    <w:rsid w:val="1AE51AA0"/>
    <w:rsid w:val="1AF03899"/>
    <w:rsid w:val="1AF141DA"/>
    <w:rsid w:val="1B07F402"/>
    <w:rsid w:val="1B09D38A"/>
    <w:rsid w:val="1B10E0C9"/>
    <w:rsid w:val="1B145B7E"/>
    <w:rsid w:val="1B155E50"/>
    <w:rsid w:val="1B1A1A7C"/>
    <w:rsid w:val="1B1CFF46"/>
    <w:rsid w:val="1B1FBF91"/>
    <w:rsid w:val="1B260F46"/>
    <w:rsid w:val="1B367350"/>
    <w:rsid w:val="1B408E97"/>
    <w:rsid w:val="1B50C9EC"/>
    <w:rsid w:val="1B510527"/>
    <w:rsid w:val="1B5B2FE7"/>
    <w:rsid w:val="1B60CADD"/>
    <w:rsid w:val="1B688EC2"/>
    <w:rsid w:val="1B6BD8E6"/>
    <w:rsid w:val="1B7871DA"/>
    <w:rsid w:val="1B79DF98"/>
    <w:rsid w:val="1B80661A"/>
    <w:rsid w:val="1B8527CA"/>
    <w:rsid w:val="1B95DC6B"/>
    <w:rsid w:val="1BA399D1"/>
    <w:rsid w:val="1BAA0DE4"/>
    <w:rsid w:val="1BC5321E"/>
    <w:rsid w:val="1BC815A0"/>
    <w:rsid w:val="1BCB4120"/>
    <w:rsid w:val="1BCE8603"/>
    <w:rsid w:val="1BD111AF"/>
    <w:rsid w:val="1BE187B9"/>
    <w:rsid w:val="1BE72C5B"/>
    <w:rsid w:val="1BE9B5DE"/>
    <w:rsid w:val="1BEFED57"/>
    <w:rsid w:val="1C08E776"/>
    <w:rsid w:val="1C0C7374"/>
    <w:rsid w:val="1C1C680D"/>
    <w:rsid w:val="1C1D9073"/>
    <w:rsid w:val="1C2563F4"/>
    <w:rsid w:val="1C28BC84"/>
    <w:rsid w:val="1C2C234A"/>
    <w:rsid w:val="1C2C4CB6"/>
    <w:rsid w:val="1C398908"/>
    <w:rsid w:val="1C3CC639"/>
    <w:rsid w:val="1C3D1465"/>
    <w:rsid w:val="1C454BA7"/>
    <w:rsid w:val="1C48CB86"/>
    <w:rsid w:val="1C5CF6BE"/>
    <w:rsid w:val="1C5F00F5"/>
    <w:rsid w:val="1C600374"/>
    <w:rsid w:val="1C605376"/>
    <w:rsid w:val="1C608B57"/>
    <w:rsid w:val="1C67CF26"/>
    <w:rsid w:val="1C75CEDF"/>
    <w:rsid w:val="1C7F8A92"/>
    <w:rsid w:val="1C88BA36"/>
    <w:rsid w:val="1C9CADAC"/>
    <w:rsid w:val="1CA8465E"/>
    <w:rsid w:val="1CB1BA97"/>
    <w:rsid w:val="1CB3FC81"/>
    <w:rsid w:val="1CB5B2B9"/>
    <w:rsid w:val="1CB8A36C"/>
    <w:rsid w:val="1CC78508"/>
    <w:rsid w:val="1CEC47D7"/>
    <w:rsid w:val="1CF4989C"/>
    <w:rsid w:val="1CFA783A"/>
    <w:rsid w:val="1D098067"/>
    <w:rsid w:val="1D15006D"/>
    <w:rsid w:val="1D37F443"/>
    <w:rsid w:val="1D399E6F"/>
    <w:rsid w:val="1D3F70FE"/>
    <w:rsid w:val="1D438BA4"/>
    <w:rsid w:val="1D4D60AC"/>
    <w:rsid w:val="1D4F0ECE"/>
    <w:rsid w:val="1D5995CE"/>
    <w:rsid w:val="1D5AF7A2"/>
    <w:rsid w:val="1D61C135"/>
    <w:rsid w:val="1D668C41"/>
    <w:rsid w:val="1D704722"/>
    <w:rsid w:val="1D713DD0"/>
    <w:rsid w:val="1D71608F"/>
    <w:rsid w:val="1D808ACE"/>
    <w:rsid w:val="1D81E2CC"/>
    <w:rsid w:val="1D8A69C9"/>
    <w:rsid w:val="1D99D7C3"/>
    <w:rsid w:val="1D9E5F0C"/>
    <w:rsid w:val="1DA2A4EA"/>
    <w:rsid w:val="1DB30BF9"/>
    <w:rsid w:val="1DBA4E08"/>
    <w:rsid w:val="1DC2D790"/>
    <w:rsid w:val="1DC9B0CA"/>
    <w:rsid w:val="1DCEB879"/>
    <w:rsid w:val="1DD25D01"/>
    <w:rsid w:val="1DE0B599"/>
    <w:rsid w:val="1DED34A5"/>
    <w:rsid w:val="1DF26216"/>
    <w:rsid w:val="1DF9E9FA"/>
    <w:rsid w:val="1E0930C9"/>
    <w:rsid w:val="1E12B736"/>
    <w:rsid w:val="1E22E77C"/>
    <w:rsid w:val="1E259906"/>
    <w:rsid w:val="1E29F0B2"/>
    <w:rsid w:val="1E2BE48B"/>
    <w:rsid w:val="1E375DFC"/>
    <w:rsid w:val="1E3AFEAC"/>
    <w:rsid w:val="1E42CBCE"/>
    <w:rsid w:val="1E5287F2"/>
    <w:rsid w:val="1E5D650C"/>
    <w:rsid w:val="1E5EAFA7"/>
    <w:rsid w:val="1E612FEA"/>
    <w:rsid w:val="1E65C1D1"/>
    <w:rsid w:val="1E68BB73"/>
    <w:rsid w:val="1E71701F"/>
    <w:rsid w:val="1E76A038"/>
    <w:rsid w:val="1E875833"/>
    <w:rsid w:val="1E8A52DE"/>
    <w:rsid w:val="1EA22CBE"/>
    <w:rsid w:val="1EB17688"/>
    <w:rsid w:val="1EC27885"/>
    <w:rsid w:val="1EC5A458"/>
    <w:rsid w:val="1ED1A9AF"/>
    <w:rsid w:val="1ED210A2"/>
    <w:rsid w:val="1ED7AFC7"/>
    <w:rsid w:val="1EDA972E"/>
    <w:rsid w:val="1EE4DB4B"/>
    <w:rsid w:val="1EE5E92F"/>
    <w:rsid w:val="1EED1458"/>
    <w:rsid w:val="1EF5853B"/>
    <w:rsid w:val="1F022A94"/>
    <w:rsid w:val="1F05CDC2"/>
    <w:rsid w:val="1F2D07BE"/>
    <w:rsid w:val="1F2F58CD"/>
    <w:rsid w:val="1F3075C7"/>
    <w:rsid w:val="1F31E52D"/>
    <w:rsid w:val="1F3A935E"/>
    <w:rsid w:val="1F473EB3"/>
    <w:rsid w:val="1F51CDDD"/>
    <w:rsid w:val="1F559720"/>
    <w:rsid w:val="1F5CDDC8"/>
    <w:rsid w:val="1F60DA29"/>
    <w:rsid w:val="1F619B6D"/>
    <w:rsid w:val="1F6525CD"/>
    <w:rsid w:val="1F6C8508"/>
    <w:rsid w:val="1F6CF72A"/>
    <w:rsid w:val="1F79051A"/>
    <w:rsid w:val="1F835B2A"/>
    <w:rsid w:val="1F912D68"/>
    <w:rsid w:val="1F99C1FE"/>
    <w:rsid w:val="1F9F85B5"/>
    <w:rsid w:val="1FA367F2"/>
    <w:rsid w:val="1FA87AF1"/>
    <w:rsid w:val="1FAABD61"/>
    <w:rsid w:val="1FAD4009"/>
    <w:rsid w:val="1FC1189F"/>
    <w:rsid w:val="1FC30175"/>
    <w:rsid w:val="1FC3DA90"/>
    <w:rsid w:val="1FC7F01D"/>
    <w:rsid w:val="1FC8FD58"/>
    <w:rsid w:val="1FDD02B5"/>
    <w:rsid w:val="1FF46F15"/>
    <w:rsid w:val="2000D37C"/>
    <w:rsid w:val="200B0E01"/>
    <w:rsid w:val="200B9D03"/>
    <w:rsid w:val="2017BA70"/>
    <w:rsid w:val="20188A98"/>
    <w:rsid w:val="201D31E6"/>
    <w:rsid w:val="203ED02B"/>
    <w:rsid w:val="203FF334"/>
    <w:rsid w:val="20406312"/>
    <w:rsid w:val="20447C77"/>
    <w:rsid w:val="2044A7C0"/>
    <w:rsid w:val="2045F52C"/>
    <w:rsid w:val="2047DADE"/>
    <w:rsid w:val="20514D20"/>
    <w:rsid w:val="20585A4F"/>
    <w:rsid w:val="2059BC33"/>
    <w:rsid w:val="205CA7BA"/>
    <w:rsid w:val="205F5783"/>
    <w:rsid w:val="2061751E"/>
    <w:rsid w:val="2069CF0C"/>
    <w:rsid w:val="206E9A89"/>
    <w:rsid w:val="20743A32"/>
    <w:rsid w:val="2078E6ED"/>
    <w:rsid w:val="2078F25F"/>
    <w:rsid w:val="208EF035"/>
    <w:rsid w:val="209C8426"/>
    <w:rsid w:val="20AAC468"/>
    <w:rsid w:val="20AF286F"/>
    <w:rsid w:val="20B08131"/>
    <w:rsid w:val="20B2DBFD"/>
    <w:rsid w:val="20B3A545"/>
    <w:rsid w:val="20C08D34"/>
    <w:rsid w:val="20C96FB8"/>
    <w:rsid w:val="20D3882F"/>
    <w:rsid w:val="20DF6175"/>
    <w:rsid w:val="20E73AA5"/>
    <w:rsid w:val="20EFB32E"/>
    <w:rsid w:val="210D2292"/>
    <w:rsid w:val="21168A95"/>
    <w:rsid w:val="21206855"/>
    <w:rsid w:val="21308366"/>
    <w:rsid w:val="2141A032"/>
    <w:rsid w:val="2141AF1E"/>
    <w:rsid w:val="21478B4C"/>
    <w:rsid w:val="214DC053"/>
    <w:rsid w:val="214E3194"/>
    <w:rsid w:val="215C9E8C"/>
    <w:rsid w:val="2160EBB7"/>
    <w:rsid w:val="2171221F"/>
    <w:rsid w:val="217250D8"/>
    <w:rsid w:val="217446A4"/>
    <w:rsid w:val="2174ECA9"/>
    <w:rsid w:val="217DF6E9"/>
    <w:rsid w:val="2193F21C"/>
    <w:rsid w:val="2194586E"/>
    <w:rsid w:val="2196A3FD"/>
    <w:rsid w:val="219DED85"/>
    <w:rsid w:val="219F0243"/>
    <w:rsid w:val="21A71241"/>
    <w:rsid w:val="21AC8F2E"/>
    <w:rsid w:val="21B7B5BF"/>
    <w:rsid w:val="21CCABC7"/>
    <w:rsid w:val="21CE9B87"/>
    <w:rsid w:val="21D98BE4"/>
    <w:rsid w:val="21E099D8"/>
    <w:rsid w:val="21E274BA"/>
    <w:rsid w:val="21E336A0"/>
    <w:rsid w:val="21EAFA58"/>
    <w:rsid w:val="21EC8176"/>
    <w:rsid w:val="21FCA5AC"/>
    <w:rsid w:val="21FF792F"/>
    <w:rsid w:val="22088286"/>
    <w:rsid w:val="2214DA24"/>
    <w:rsid w:val="22175CE9"/>
    <w:rsid w:val="221A6C7C"/>
    <w:rsid w:val="221C4E0E"/>
    <w:rsid w:val="22283479"/>
    <w:rsid w:val="22321CF6"/>
    <w:rsid w:val="2234CB3A"/>
    <w:rsid w:val="223D51BB"/>
    <w:rsid w:val="223FCDE0"/>
    <w:rsid w:val="22452C4A"/>
    <w:rsid w:val="22463049"/>
    <w:rsid w:val="22498541"/>
    <w:rsid w:val="2253632A"/>
    <w:rsid w:val="2253C76E"/>
    <w:rsid w:val="2263FF88"/>
    <w:rsid w:val="2273DE98"/>
    <w:rsid w:val="227BC905"/>
    <w:rsid w:val="2294EFD3"/>
    <w:rsid w:val="2296BF43"/>
    <w:rsid w:val="2299D39A"/>
    <w:rsid w:val="229B375E"/>
    <w:rsid w:val="22A6ACA7"/>
    <w:rsid w:val="22B0F26F"/>
    <w:rsid w:val="22C708D2"/>
    <w:rsid w:val="22CB4511"/>
    <w:rsid w:val="22DAA578"/>
    <w:rsid w:val="22DAC246"/>
    <w:rsid w:val="22F519D9"/>
    <w:rsid w:val="22FA0A23"/>
    <w:rsid w:val="22FB5D54"/>
    <w:rsid w:val="2304B7E3"/>
    <w:rsid w:val="2307A95C"/>
    <w:rsid w:val="23086D09"/>
    <w:rsid w:val="230C7956"/>
    <w:rsid w:val="231D0E6F"/>
    <w:rsid w:val="231E93D3"/>
    <w:rsid w:val="23231EE4"/>
    <w:rsid w:val="2336E293"/>
    <w:rsid w:val="2338DF8D"/>
    <w:rsid w:val="23390132"/>
    <w:rsid w:val="233B0DC6"/>
    <w:rsid w:val="233BED7C"/>
    <w:rsid w:val="234A5631"/>
    <w:rsid w:val="234ACA78"/>
    <w:rsid w:val="234E25B1"/>
    <w:rsid w:val="234F73AD"/>
    <w:rsid w:val="2351C6F0"/>
    <w:rsid w:val="235915A3"/>
    <w:rsid w:val="2359D7CF"/>
    <w:rsid w:val="23612234"/>
    <w:rsid w:val="23665548"/>
    <w:rsid w:val="23787EAB"/>
    <w:rsid w:val="23809BCC"/>
    <w:rsid w:val="23880ABC"/>
    <w:rsid w:val="238C4266"/>
    <w:rsid w:val="239CD83F"/>
    <w:rsid w:val="239FB9C1"/>
    <w:rsid w:val="23A4ED2D"/>
    <w:rsid w:val="23B420B5"/>
    <w:rsid w:val="23B9B206"/>
    <w:rsid w:val="23BA8A30"/>
    <w:rsid w:val="23C1E5C9"/>
    <w:rsid w:val="23CD0F7F"/>
    <w:rsid w:val="23D95245"/>
    <w:rsid w:val="23E2F5E6"/>
    <w:rsid w:val="23EE7032"/>
    <w:rsid w:val="23F18C50"/>
    <w:rsid w:val="24089AB1"/>
    <w:rsid w:val="241C1E86"/>
    <w:rsid w:val="2423B7E7"/>
    <w:rsid w:val="242463C6"/>
    <w:rsid w:val="2435963B"/>
    <w:rsid w:val="243DB36F"/>
    <w:rsid w:val="2440E5FD"/>
    <w:rsid w:val="2450CBEE"/>
    <w:rsid w:val="245154EA"/>
    <w:rsid w:val="24519A65"/>
    <w:rsid w:val="2456CC4F"/>
    <w:rsid w:val="2463C1A1"/>
    <w:rsid w:val="24689CAA"/>
    <w:rsid w:val="246D2693"/>
    <w:rsid w:val="248477E7"/>
    <w:rsid w:val="2498F58E"/>
    <w:rsid w:val="24A071EF"/>
    <w:rsid w:val="24A8F488"/>
    <w:rsid w:val="24B56D90"/>
    <w:rsid w:val="24BAA295"/>
    <w:rsid w:val="24BB603F"/>
    <w:rsid w:val="24C7B021"/>
    <w:rsid w:val="24CA0980"/>
    <w:rsid w:val="24CBA48D"/>
    <w:rsid w:val="24EAEB9F"/>
    <w:rsid w:val="24F6ED32"/>
    <w:rsid w:val="24FFA22E"/>
    <w:rsid w:val="251B7820"/>
    <w:rsid w:val="251EC0B0"/>
    <w:rsid w:val="252611A6"/>
    <w:rsid w:val="252B2A93"/>
    <w:rsid w:val="252E1CFD"/>
    <w:rsid w:val="253FA505"/>
    <w:rsid w:val="2540C575"/>
    <w:rsid w:val="2544EAAA"/>
    <w:rsid w:val="2548DC93"/>
    <w:rsid w:val="254B81C7"/>
    <w:rsid w:val="254D6DDF"/>
    <w:rsid w:val="2554AF46"/>
    <w:rsid w:val="25550A07"/>
    <w:rsid w:val="256688DF"/>
    <w:rsid w:val="256CFA58"/>
    <w:rsid w:val="2577B4FD"/>
    <w:rsid w:val="2581ED17"/>
    <w:rsid w:val="25826198"/>
    <w:rsid w:val="25840440"/>
    <w:rsid w:val="2588E7A6"/>
    <w:rsid w:val="258D935F"/>
    <w:rsid w:val="25982078"/>
    <w:rsid w:val="25A3BAD3"/>
    <w:rsid w:val="25A63E03"/>
    <w:rsid w:val="25A76601"/>
    <w:rsid w:val="25AB3005"/>
    <w:rsid w:val="25B7F637"/>
    <w:rsid w:val="25BF891A"/>
    <w:rsid w:val="25C7F297"/>
    <w:rsid w:val="25E1EC42"/>
    <w:rsid w:val="25E58329"/>
    <w:rsid w:val="25FBFD77"/>
    <w:rsid w:val="26059EFB"/>
    <w:rsid w:val="260A66F9"/>
    <w:rsid w:val="261081ED"/>
    <w:rsid w:val="2621A60D"/>
    <w:rsid w:val="262A0BC7"/>
    <w:rsid w:val="26375E7F"/>
    <w:rsid w:val="263B3611"/>
    <w:rsid w:val="263D18AD"/>
    <w:rsid w:val="26418831"/>
    <w:rsid w:val="264FBFDD"/>
    <w:rsid w:val="26556F80"/>
    <w:rsid w:val="265B4BDA"/>
    <w:rsid w:val="265D1715"/>
    <w:rsid w:val="2660E15F"/>
    <w:rsid w:val="2669AA5C"/>
    <w:rsid w:val="2669E1E2"/>
    <w:rsid w:val="266A34D7"/>
    <w:rsid w:val="266DCAED"/>
    <w:rsid w:val="26766DB1"/>
    <w:rsid w:val="267CA625"/>
    <w:rsid w:val="26813A1C"/>
    <w:rsid w:val="26819E53"/>
    <w:rsid w:val="268221DB"/>
    <w:rsid w:val="268B1261"/>
    <w:rsid w:val="268D3980"/>
    <w:rsid w:val="268DE7A6"/>
    <w:rsid w:val="26A0E420"/>
    <w:rsid w:val="26A3565A"/>
    <w:rsid w:val="26A3A48F"/>
    <w:rsid w:val="26A4C8A2"/>
    <w:rsid w:val="26A59794"/>
    <w:rsid w:val="26A9BD36"/>
    <w:rsid w:val="26BD806F"/>
    <w:rsid w:val="26C45180"/>
    <w:rsid w:val="26C84A94"/>
    <w:rsid w:val="26D31F7F"/>
    <w:rsid w:val="26DD06AE"/>
    <w:rsid w:val="26E941DB"/>
    <w:rsid w:val="2704951B"/>
    <w:rsid w:val="270E973F"/>
    <w:rsid w:val="27213701"/>
    <w:rsid w:val="27213D31"/>
    <w:rsid w:val="2724C544"/>
    <w:rsid w:val="272B58FA"/>
    <w:rsid w:val="2735459A"/>
    <w:rsid w:val="27445521"/>
    <w:rsid w:val="27614CEB"/>
    <w:rsid w:val="2763928B"/>
    <w:rsid w:val="27689B53"/>
    <w:rsid w:val="27715AE2"/>
    <w:rsid w:val="278F0F0D"/>
    <w:rsid w:val="27912461"/>
    <w:rsid w:val="27938C69"/>
    <w:rsid w:val="279911A4"/>
    <w:rsid w:val="279BC3DC"/>
    <w:rsid w:val="27AA119A"/>
    <w:rsid w:val="27B0E953"/>
    <w:rsid w:val="27B73B9F"/>
    <w:rsid w:val="27B8A707"/>
    <w:rsid w:val="27B929B5"/>
    <w:rsid w:val="27BC16D5"/>
    <w:rsid w:val="27C37F70"/>
    <w:rsid w:val="27CB45D3"/>
    <w:rsid w:val="27CDB86C"/>
    <w:rsid w:val="27DA292A"/>
    <w:rsid w:val="27DBBDCE"/>
    <w:rsid w:val="27E57A4C"/>
    <w:rsid w:val="27E85DA2"/>
    <w:rsid w:val="27F60105"/>
    <w:rsid w:val="27F7B115"/>
    <w:rsid w:val="27FD096B"/>
    <w:rsid w:val="2801CFDF"/>
    <w:rsid w:val="28063CC5"/>
    <w:rsid w:val="2810174C"/>
    <w:rsid w:val="281491B1"/>
    <w:rsid w:val="28163674"/>
    <w:rsid w:val="2816C7F4"/>
    <w:rsid w:val="28214494"/>
    <w:rsid w:val="2822C32B"/>
    <w:rsid w:val="2826B295"/>
    <w:rsid w:val="282BF3A6"/>
    <w:rsid w:val="28311FC5"/>
    <w:rsid w:val="28421EC5"/>
    <w:rsid w:val="2844712B"/>
    <w:rsid w:val="2846B694"/>
    <w:rsid w:val="28506454"/>
    <w:rsid w:val="286C4226"/>
    <w:rsid w:val="28766A69"/>
    <w:rsid w:val="287DEB12"/>
    <w:rsid w:val="287E9997"/>
    <w:rsid w:val="28827129"/>
    <w:rsid w:val="288990AA"/>
    <w:rsid w:val="2890DED2"/>
    <w:rsid w:val="289778EF"/>
    <w:rsid w:val="289B75B7"/>
    <w:rsid w:val="28A0C927"/>
    <w:rsid w:val="28A76727"/>
    <w:rsid w:val="28A930F7"/>
    <w:rsid w:val="28B361D2"/>
    <w:rsid w:val="28B5C4BD"/>
    <w:rsid w:val="28BDBBBE"/>
    <w:rsid w:val="28C9A229"/>
    <w:rsid w:val="28D903C6"/>
    <w:rsid w:val="28D9F144"/>
    <w:rsid w:val="28DEC313"/>
    <w:rsid w:val="28E25E3C"/>
    <w:rsid w:val="2903C11D"/>
    <w:rsid w:val="2910EEBD"/>
    <w:rsid w:val="29205757"/>
    <w:rsid w:val="29277935"/>
    <w:rsid w:val="292D6512"/>
    <w:rsid w:val="292E9390"/>
    <w:rsid w:val="29361C9B"/>
    <w:rsid w:val="2940ADA3"/>
    <w:rsid w:val="2945A0E2"/>
    <w:rsid w:val="29547E67"/>
    <w:rsid w:val="29558296"/>
    <w:rsid w:val="2955DD7C"/>
    <w:rsid w:val="295848F4"/>
    <w:rsid w:val="2964A5A2"/>
    <w:rsid w:val="29681124"/>
    <w:rsid w:val="296B7F20"/>
    <w:rsid w:val="29706FB8"/>
    <w:rsid w:val="298800E6"/>
    <w:rsid w:val="298A18E2"/>
    <w:rsid w:val="299014D2"/>
    <w:rsid w:val="299187D0"/>
    <w:rsid w:val="29960679"/>
    <w:rsid w:val="299AAF8C"/>
    <w:rsid w:val="29A0238F"/>
    <w:rsid w:val="29A2101E"/>
    <w:rsid w:val="29A56A60"/>
    <w:rsid w:val="29AD48BC"/>
    <w:rsid w:val="29B6D646"/>
    <w:rsid w:val="29B9CC22"/>
    <w:rsid w:val="29BBB334"/>
    <w:rsid w:val="29C0D2B0"/>
    <w:rsid w:val="29CD70B9"/>
    <w:rsid w:val="29E363BC"/>
    <w:rsid w:val="29EBE938"/>
    <w:rsid w:val="29F8FB01"/>
    <w:rsid w:val="29F961D8"/>
    <w:rsid w:val="2A1C864A"/>
    <w:rsid w:val="2A1EE6C9"/>
    <w:rsid w:val="2A226C6E"/>
    <w:rsid w:val="2A24412C"/>
    <w:rsid w:val="2A2702E7"/>
    <w:rsid w:val="2A29DE67"/>
    <w:rsid w:val="2A38C464"/>
    <w:rsid w:val="2A3E192E"/>
    <w:rsid w:val="2A441813"/>
    <w:rsid w:val="2A44994C"/>
    <w:rsid w:val="2A44E283"/>
    <w:rsid w:val="2A47F7F6"/>
    <w:rsid w:val="2A49B928"/>
    <w:rsid w:val="2A49DD68"/>
    <w:rsid w:val="2A511023"/>
    <w:rsid w:val="2A7289E7"/>
    <w:rsid w:val="2A8049BC"/>
    <w:rsid w:val="2A81C43A"/>
    <w:rsid w:val="2A864F50"/>
    <w:rsid w:val="2A86AD3B"/>
    <w:rsid w:val="2A892F55"/>
    <w:rsid w:val="2A8A0DFB"/>
    <w:rsid w:val="2A8B774B"/>
    <w:rsid w:val="2A8D28F8"/>
    <w:rsid w:val="2A91FA6A"/>
    <w:rsid w:val="2AA22D31"/>
    <w:rsid w:val="2AB093A3"/>
    <w:rsid w:val="2AB15AC4"/>
    <w:rsid w:val="2AB4D079"/>
    <w:rsid w:val="2AB7581A"/>
    <w:rsid w:val="2ABB32AF"/>
    <w:rsid w:val="2ABF1058"/>
    <w:rsid w:val="2ABF5FCE"/>
    <w:rsid w:val="2AD58DD5"/>
    <w:rsid w:val="2AE265F3"/>
    <w:rsid w:val="2AEE49A5"/>
    <w:rsid w:val="2AF02139"/>
    <w:rsid w:val="2AF47A5C"/>
    <w:rsid w:val="2B04394F"/>
    <w:rsid w:val="2B084AA5"/>
    <w:rsid w:val="2B10601B"/>
    <w:rsid w:val="2B24C7F7"/>
    <w:rsid w:val="2B27BA8A"/>
    <w:rsid w:val="2B2AADAD"/>
    <w:rsid w:val="2B2D33FE"/>
    <w:rsid w:val="2B35D5B9"/>
    <w:rsid w:val="2B3A6086"/>
    <w:rsid w:val="2B465B4D"/>
    <w:rsid w:val="2B54A4FD"/>
    <w:rsid w:val="2B57E151"/>
    <w:rsid w:val="2B585DE2"/>
    <w:rsid w:val="2B5966CD"/>
    <w:rsid w:val="2B637FCC"/>
    <w:rsid w:val="2B63F224"/>
    <w:rsid w:val="2B6660FE"/>
    <w:rsid w:val="2B696DBA"/>
    <w:rsid w:val="2B754E5B"/>
    <w:rsid w:val="2B7B5835"/>
    <w:rsid w:val="2B7D942D"/>
    <w:rsid w:val="2B80C93C"/>
    <w:rsid w:val="2B826009"/>
    <w:rsid w:val="2B87A845"/>
    <w:rsid w:val="2B88717F"/>
    <w:rsid w:val="2B8B373D"/>
    <w:rsid w:val="2B8BE973"/>
    <w:rsid w:val="2B8D9F4C"/>
    <w:rsid w:val="2B9CB873"/>
    <w:rsid w:val="2BA65776"/>
    <w:rsid w:val="2BAB79B6"/>
    <w:rsid w:val="2BACE244"/>
    <w:rsid w:val="2BADDEE3"/>
    <w:rsid w:val="2BB1C296"/>
    <w:rsid w:val="2BB2E83D"/>
    <w:rsid w:val="2BBDF2D3"/>
    <w:rsid w:val="2BC271CB"/>
    <w:rsid w:val="2BD047DE"/>
    <w:rsid w:val="2BD37200"/>
    <w:rsid w:val="2BE421FA"/>
    <w:rsid w:val="2BED7D47"/>
    <w:rsid w:val="2BEDCDF4"/>
    <w:rsid w:val="2BF60759"/>
    <w:rsid w:val="2BFC5406"/>
    <w:rsid w:val="2BFFD36B"/>
    <w:rsid w:val="2C0050B4"/>
    <w:rsid w:val="2C03F7B3"/>
    <w:rsid w:val="2C0E961F"/>
    <w:rsid w:val="2C13784F"/>
    <w:rsid w:val="2C1EAE95"/>
    <w:rsid w:val="2C2081ED"/>
    <w:rsid w:val="2C2C4349"/>
    <w:rsid w:val="2C3633EC"/>
    <w:rsid w:val="2C3EBE90"/>
    <w:rsid w:val="2C3EFF66"/>
    <w:rsid w:val="2C4118DC"/>
    <w:rsid w:val="2C4250CF"/>
    <w:rsid w:val="2C432AD9"/>
    <w:rsid w:val="2C66040C"/>
    <w:rsid w:val="2C700BB5"/>
    <w:rsid w:val="2C7DD174"/>
    <w:rsid w:val="2C7FF3DA"/>
    <w:rsid w:val="2C85772B"/>
    <w:rsid w:val="2C8C1F96"/>
    <w:rsid w:val="2CA4799D"/>
    <w:rsid w:val="2CB0AF3D"/>
    <w:rsid w:val="2CB0B62B"/>
    <w:rsid w:val="2CB21BAD"/>
    <w:rsid w:val="2CC01B81"/>
    <w:rsid w:val="2CC4A8EB"/>
    <w:rsid w:val="2CC52366"/>
    <w:rsid w:val="2CE0465D"/>
    <w:rsid w:val="2CE750A4"/>
    <w:rsid w:val="2CEC0829"/>
    <w:rsid w:val="2CF049CA"/>
    <w:rsid w:val="2CFCCD2D"/>
    <w:rsid w:val="2D016E49"/>
    <w:rsid w:val="2D14DE84"/>
    <w:rsid w:val="2D1C7D28"/>
    <w:rsid w:val="2D1DD870"/>
    <w:rsid w:val="2D246A89"/>
    <w:rsid w:val="2D2CF497"/>
    <w:rsid w:val="2D2F2D19"/>
    <w:rsid w:val="2D3438C4"/>
    <w:rsid w:val="2D3CA81D"/>
    <w:rsid w:val="2D3D2AA1"/>
    <w:rsid w:val="2D4875FC"/>
    <w:rsid w:val="2D48AEEF"/>
    <w:rsid w:val="2D4CBD6D"/>
    <w:rsid w:val="2D4FBE06"/>
    <w:rsid w:val="2D5D820B"/>
    <w:rsid w:val="2D62202A"/>
    <w:rsid w:val="2D63D1D2"/>
    <w:rsid w:val="2D6BB991"/>
    <w:rsid w:val="2D7E5F96"/>
    <w:rsid w:val="2D80B8B8"/>
    <w:rsid w:val="2D8339CE"/>
    <w:rsid w:val="2D87AB9E"/>
    <w:rsid w:val="2D888173"/>
    <w:rsid w:val="2D95AF7F"/>
    <w:rsid w:val="2DA67063"/>
    <w:rsid w:val="2DBBCB29"/>
    <w:rsid w:val="2DBCDF9B"/>
    <w:rsid w:val="2DC90816"/>
    <w:rsid w:val="2DCDB564"/>
    <w:rsid w:val="2DD55FC4"/>
    <w:rsid w:val="2DD9F82A"/>
    <w:rsid w:val="2DDA38A2"/>
    <w:rsid w:val="2DDE1B7E"/>
    <w:rsid w:val="2DE17C0C"/>
    <w:rsid w:val="2DE34DAB"/>
    <w:rsid w:val="2DF77B63"/>
    <w:rsid w:val="2E0555A9"/>
    <w:rsid w:val="2E0659BF"/>
    <w:rsid w:val="2E073011"/>
    <w:rsid w:val="2E0AAEC8"/>
    <w:rsid w:val="2E16D2D5"/>
    <w:rsid w:val="2E1A7F86"/>
    <w:rsid w:val="2E1B6A53"/>
    <w:rsid w:val="2E2A8DDE"/>
    <w:rsid w:val="2E434780"/>
    <w:rsid w:val="2E471E42"/>
    <w:rsid w:val="2E60CBEB"/>
    <w:rsid w:val="2E64F06A"/>
    <w:rsid w:val="2E698D0D"/>
    <w:rsid w:val="2E71AD6B"/>
    <w:rsid w:val="2E724DE6"/>
    <w:rsid w:val="2E72BE54"/>
    <w:rsid w:val="2E763E0B"/>
    <w:rsid w:val="2E7655E2"/>
    <w:rsid w:val="2E86E2C9"/>
    <w:rsid w:val="2E9754DF"/>
    <w:rsid w:val="2EA02A21"/>
    <w:rsid w:val="2EA6B4D4"/>
    <w:rsid w:val="2EA75095"/>
    <w:rsid w:val="2EADC080"/>
    <w:rsid w:val="2EB1AB04"/>
    <w:rsid w:val="2EBD4FBA"/>
    <w:rsid w:val="2EC41067"/>
    <w:rsid w:val="2EC4CE15"/>
    <w:rsid w:val="2ED30A16"/>
    <w:rsid w:val="2EDBF83A"/>
    <w:rsid w:val="2EE0A049"/>
    <w:rsid w:val="2EE41B19"/>
    <w:rsid w:val="2EE97BE5"/>
    <w:rsid w:val="2EF0DAE8"/>
    <w:rsid w:val="2EF45A3E"/>
    <w:rsid w:val="2EFC29CF"/>
    <w:rsid w:val="2EFD9F41"/>
    <w:rsid w:val="2F0468DF"/>
    <w:rsid w:val="2F202ADA"/>
    <w:rsid w:val="2F3561C0"/>
    <w:rsid w:val="2F3A0BAA"/>
    <w:rsid w:val="2F4D7B51"/>
    <w:rsid w:val="2F535D1E"/>
    <w:rsid w:val="2F5AF338"/>
    <w:rsid w:val="2F5B2135"/>
    <w:rsid w:val="2F5DD567"/>
    <w:rsid w:val="2F5FC900"/>
    <w:rsid w:val="2F64A62B"/>
    <w:rsid w:val="2F657B39"/>
    <w:rsid w:val="2F73E5C7"/>
    <w:rsid w:val="2F7DEA1D"/>
    <w:rsid w:val="2F8195BC"/>
    <w:rsid w:val="2F81AD43"/>
    <w:rsid w:val="2F825666"/>
    <w:rsid w:val="2F87B342"/>
    <w:rsid w:val="2FA3633E"/>
    <w:rsid w:val="2FAA6290"/>
    <w:rsid w:val="2FAC5A73"/>
    <w:rsid w:val="2FB3E76F"/>
    <w:rsid w:val="2FB51438"/>
    <w:rsid w:val="2FB94CCD"/>
    <w:rsid w:val="2FBA39CF"/>
    <w:rsid w:val="2FC22603"/>
    <w:rsid w:val="2FC68025"/>
    <w:rsid w:val="2FC7D819"/>
    <w:rsid w:val="2FCCDFAD"/>
    <w:rsid w:val="2FF76BFC"/>
    <w:rsid w:val="3003B85B"/>
    <w:rsid w:val="3006DE3A"/>
    <w:rsid w:val="30197008"/>
    <w:rsid w:val="301B2151"/>
    <w:rsid w:val="301DAA49"/>
    <w:rsid w:val="30316CDC"/>
    <w:rsid w:val="3037C228"/>
    <w:rsid w:val="303A1959"/>
    <w:rsid w:val="3042897E"/>
    <w:rsid w:val="30439600"/>
    <w:rsid w:val="304B2945"/>
    <w:rsid w:val="30546C14"/>
    <w:rsid w:val="305EEED2"/>
    <w:rsid w:val="30658E51"/>
    <w:rsid w:val="307261F7"/>
    <w:rsid w:val="307D1739"/>
    <w:rsid w:val="307F6045"/>
    <w:rsid w:val="308DE739"/>
    <w:rsid w:val="309BAE92"/>
    <w:rsid w:val="30A73285"/>
    <w:rsid w:val="30A9F11C"/>
    <w:rsid w:val="30ACDF59"/>
    <w:rsid w:val="30C4D698"/>
    <w:rsid w:val="30CFAA34"/>
    <w:rsid w:val="30CFBDFB"/>
    <w:rsid w:val="30D0E93E"/>
    <w:rsid w:val="30DB0DE1"/>
    <w:rsid w:val="30DB7C79"/>
    <w:rsid w:val="30F449DF"/>
    <w:rsid w:val="30FA6FEE"/>
    <w:rsid w:val="31026EF7"/>
    <w:rsid w:val="3104BEA3"/>
    <w:rsid w:val="3105200F"/>
    <w:rsid w:val="310ADA88"/>
    <w:rsid w:val="31121509"/>
    <w:rsid w:val="312370F4"/>
    <w:rsid w:val="312460CD"/>
    <w:rsid w:val="31253A5D"/>
    <w:rsid w:val="312896AD"/>
    <w:rsid w:val="31310711"/>
    <w:rsid w:val="3133C954"/>
    <w:rsid w:val="31421CCA"/>
    <w:rsid w:val="315CD9F2"/>
    <w:rsid w:val="3163FA48"/>
    <w:rsid w:val="316AF102"/>
    <w:rsid w:val="31819B88"/>
    <w:rsid w:val="318558C4"/>
    <w:rsid w:val="318B2DB8"/>
    <w:rsid w:val="3197C3AF"/>
    <w:rsid w:val="31A7B2B0"/>
    <w:rsid w:val="31C01782"/>
    <w:rsid w:val="31C0D6BC"/>
    <w:rsid w:val="31C20945"/>
    <w:rsid w:val="31C613DA"/>
    <w:rsid w:val="31DE9B83"/>
    <w:rsid w:val="31F0C297"/>
    <w:rsid w:val="31F39886"/>
    <w:rsid w:val="31FFED1F"/>
    <w:rsid w:val="3212D4AD"/>
    <w:rsid w:val="321FD0E0"/>
    <w:rsid w:val="32389095"/>
    <w:rsid w:val="32426B6E"/>
    <w:rsid w:val="3242D9B4"/>
    <w:rsid w:val="32433785"/>
    <w:rsid w:val="325AF3A7"/>
    <w:rsid w:val="325B6923"/>
    <w:rsid w:val="325CE272"/>
    <w:rsid w:val="3267A62A"/>
    <w:rsid w:val="326C8BA1"/>
    <w:rsid w:val="326FF717"/>
    <w:rsid w:val="3283B227"/>
    <w:rsid w:val="328BA9A7"/>
    <w:rsid w:val="328C5F47"/>
    <w:rsid w:val="3291A6EC"/>
    <w:rsid w:val="329C7745"/>
    <w:rsid w:val="32ABC9F9"/>
    <w:rsid w:val="32B4ED2F"/>
    <w:rsid w:val="32BC1BA3"/>
    <w:rsid w:val="32CD25C4"/>
    <w:rsid w:val="32DC7581"/>
    <w:rsid w:val="32EA9515"/>
    <w:rsid w:val="32EF4D36"/>
    <w:rsid w:val="32F6695C"/>
    <w:rsid w:val="32F70D9A"/>
    <w:rsid w:val="32F88C18"/>
    <w:rsid w:val="330159F6"/>
    <w:rsid w:val="33017E1B"/>
    <w:rsid w:val="330A1AF5"/>
    <w:rsid w:val="3319ABD8"/>
    <w:rsid w:val="3319FC77"/>
    <w:rsid w:val="332481D9"/>
    <w:rsid w:val="332685B2"/>
    <w:rsid w:val="3340EBA4"/>
    <w:rsid w:val="33485401"/>
    <w:rsid w:val="3349D7A2"/>
    <w:rsid w:val="33570573"/>
    <w:rsid w:val="335D4859"/>
    <w:rsid w:val="336445D0"/>
    <w:rsid w:val="33648DD1"/>
    <w:rsid w:val="3370D584"/>
    <w:rsid w:val="3371D813"/>
    <w:rsid w:val="3381F895"/>
    <w:rsid w:val="339F0193"/>
    <w:rsid w:val="339F9005"/>
    <w:rsid w:val="33A28150"/>
    <w:rsid w:val="33AB182A"/>
    <w:rsid w:val="33BB4828"/>
    <w:rsid w:val="33D31A16"/>
    <w:rsid w:val="33D8FBCD"/>
    <w:rsid w:val="33E9465B"/>
    <w:rsid w:val="33EDAF2E"/>
    <w:rsid w:val="340AA3E3"/>
    <w:rsid w:val="341F0D8E"/>
    <w:rsid w:val="34344C09"/>
    <w:rsid w:val="343BAFAC"/>
    <w:rsid w:val="343F9C4E"/>
    <w:rsid w:val="34401579"/>
    <w:rsid w:val="3445EA91"/>
    <w:rsid w:val="34487D44"/>
    <w:rsid w:val="344BD2E7"/>
    <w:rsid w:val="344CFE0D"/>
    <w:rsid w:val="3451CC21"/>
    <w:rsid w:val="34522483"/>
    <w:rsid w:val="345AB129"/>
    <w:rsid w:val="345AC619"/>
    <w:rsid w:val="345E1E1F"/>
    <w:rsid w:val="34617C07"/>
    <w:rsid w:val="34673FC9"/>
    <w:rsid w:val="3469CF23"/>
    <w:rsid w:val="3477A3B8"/>
    <w:rsid w:val="347AB05D"/>
    <w:rsid w:val="348B8ACE"/>
    <w:rsid w:val="349326EB"/>
    <w:rsid w:val="3495A28B"/>
    <w:rsid w:val="3499D8F1"/>
    <w:rsid w:val="349A50C6"/>
    <w:rsid w:val="349B62F9"/>
    <w:rsid w:val="349E04D4"/>
    <w:rsid w:val="34A57822"/>
    <w:rsid w:val="34AE8162"/>
    <w:rsid w:val="34B0439A"/>
    <w:rsid w:val="34B78166"/>
    <w:rsid w:val="34BA082D"/>
    <w:rsid w:val="34C3ED4A"/>
    <w:rsid w:val="34C5FA91"/>
    <w:rsid w:val="34C6A0A7"/>
    <w:rsid w:val="34CB4610"/>
    <w:rsid w:val="34DC1289"/>
    <w:rsid w:val="34ED99EC"/>
    <w:rsid w:val="34F56438"/>
    <w:rsid w:val="34F9A624"/>
    <w:rsid w:val="350041B7"/>
    <w:rsid w:val="3506B309"/>
    <w:rsid w:val="35074FC0"/>
    <w:rsid w:val="35087161"/>
    <w:rsid w:val="350DACEC"/>
    <w:rsid w:val="350DD35F"/>
    <w:rsid w:val="350F161C"/>
    <w:rsid w:val="3510FD82"/>
    <w:rsid w:val="3527F7DB"/>
    <w:rsid w:val="352C6626"/>
    <w:rsid w:val="352D9543"/>
    <w:rsid w:val="354C8971"/>
    <w:rsid w:val="3556DB20"/>
    <w:rsid w:val="35609399"/>
    <w:rsid w:val="35616132"/>
    <w:rsid w:val="3571A466"/>
    <w:rsid w:val="35765246"/>
    <w:rsid w:val="3577CC1E"/>
    <w:rsid w:val="357971C3"/>
    <w:rsid w:val="357AB5B6"/>
    <w:rsid w:val="357E8527"/>
    <w:rsid w:val="35899DF1"/>
    <w:rsid w:val="358C4031"/>
    <w:rsid w:val="358DC1BA"/>
    <w:rsid w:val="358F6376"/>
    <w:rsid w:val="358FC2A4"/>
    <w:rsid w:val="359AD1ED"/>
    <w:rsid w:val="359EFB2B"/>
    <w:rsid w:val="35A32F1E"/>
    <w:rsid w:val="35B5514E"/>
    <w:rsid w:val="35B5814A"/>
    <w:rsid w:val="35C2EB80"/>
    <w:rsid w:val="35CFF622"/>
    <w:rsid w:val="35D4C8CF"/>
    <w:rsid w:val="35D92527"/>
    <w:rsid w:val="35D98D51"/>
    <w:rsid w:val="35F1B3E5"/>
    <w:rsid w:val="35F3392C"/>
    <w:rsid w:val="3604500F"/>
    <w:rsid w:val="36108255"/>
    <w:rsid w:val="36109980"/>
    <w:rsid w:val="36128D8D"/>
    <w:rsid w:val="3612A027"/>
    <w:rsid w:val="361E4476"/>
    <w:rsid w:val="365401C1"/>
    <w:rsid w:val="366AF4B2"/>
    <w:rsid w:val="36703E59"/>
    <w:rsid w:val="36912D52"/>
    <w:rsid w:val="36983175"/>
    <w:rsid w:val="369AD851"/>
    <w:rsid w:val="36A7F2E5"/>
    <w:rsid w:val="36A92A16"/>
    <w:rsid w:val="36A9C76A"/>
    <w:rsid w:val="36AB7568"/>
    <w:rsid w:val="36BF5174"/>
    <w:rsid w:val="36C0D0E2"/>
    <w:rsid w:val="36C7755D"/>
    <w:rsid w:val="36CC3957"/>
    <w:rsid w:val="36CCE5FF"/>
    <w:rsid w:val="36E54C63"/>
    <w:rsid w:val="36EC5F6A"/>
    <w:rsid w:val="36EFCF26"/>
    <w:rsid w:val="36F0CB03"/>
    <w:rsid w:val="37023942"/>
    <w:rsid w:val="37137AED"/>
    <w:rsid w:val="371D7117"/>
    <w:rsid w:val="37257939"/>
    <w:rsid w:val="372D7157"/>
    <w:rsid w:val="373F7862"/>
    <w:rsid w:val="3745AE8F"/>
    <w:rsid w:val="374BA18D"/>
    <w:rsid w:val="37529D8C"/>
    <w:rsid w:val="3761551D"/>
    <w:rsid w:val="376471A5"/>
    <w:rsid w:val="376749DA"/>
    <w:rsid w:val="377BB692"/>
    <w:rsid w:val="378006D7"/>
    <w:rsid w:val="378BE881"/>
    <w:rsid w:val="3793C1DE"/>
    <w:rsid w:val="37965C88"/>
    <w:rsid w:val="379DAC02"/>
    <w:rsid w:val="37A1EB56"/>
    <w:rsid w:val="37A1FDAB"/>
    <w:rsid w:val="37A92462"/>
    <w:rsid w:val="37AB4F71"/>
    <w:rsid w:val="37BDEAFA"/>
    <w:rsid w:val="37D231B4"/>
    <w:rsid w:val="37E91614"/>
    <w:rsid w:val="37E98A0A"/>
    <w:rsid w:val="37ECEB0C"/>
    <w:rsid w:val="37EEDAA3"/>
    <w:rsid w:val="37EFBE45"/>
    <w:rsid w:val="38026744"/>
    <w:rsid w:val="3807717D"/>
    <w:rsid w:val="380F3BB3"/>
    <w:rsid w:val="3813DDAE"/>
    <w:rsid w:val="3824CD55"/>
    <w:rsid w:val="382C4078"/>
    <w:rsid w:val="38580B90"/>
    <w:rsid w:val="385E7B8D"/>
    <w:rsid w:val="386158F2"/>
    <w:rsid w:val="386BD81C"/>
    <w:rsid w:val="386F6892"/>
    <w:rsid w:val="387BD3BC"/>
    <w:rsid w:val="387D5B6C"/>
    <w:rsid w:val="387E1AD2"/>
    <w:rsid w:val="388168A7"/>
    <w:rsid w:val="3884238B"/>
    <w:rsid w:val="3886B7C7"/>
    <w:rsid w:val="388EE885"/>
    <w:rsid w:val="38A1A000"/>
    <w:rsid w:val="38A4011A"/>
    <w:rsid w:val="38B6E620"/>
    <w:rsid w:val="38C1B0FB"/>
    <w:rsid w:val="38C4E973"/>
    <w:rsid w:val="38C6E0CA"/>
    <w:rsid w:val="38CBC5AD"/>
    <w:rsid w:val="38CF2BDD"/>
    <w:rsid w:val="38D1F99B"/>
    <w:rsid w:val="38D48B52"/>
    <w:rsid w:val="38D6C3F2"/>
    <w:rsid w:val="38E118FA"/>
    <w:rsid w:val="38EAE4A7"/>
    <w:rsid w:val="38F08A14"/>
    <w:rsid w:val="38F3D6BF"/>
    <w:rsid w:val="38F651B5"/>
    <w:rsid w:val="38F6831E"/>
    <w:rsid w:val="38FBB98A"/>
    <w:rsid w:val="38FF1E6C"/>
    <w:rsid w:val="39092A7B"/>
    <w:rsid w:val="390ADAB8"/>
    <w:rsid w:val="390CD10A"/>
    <w:rsid w:val="391D834D"/>
    <w:rsid w:val="392266C5"/>
    <w:rsid w:val="392BC052"/>
    <w:rsid w:val="393A1586"/>
    <w:rsid w:val="394415FA"/>
    <w:rsid w:val="394AAA12"/>
    <w:rsid w:val="394F9FB8"/>
    <w:rsid w:val="3952B203"/>
    <w:rsid w:val="395EA905"/>
    <w:rsid w:val="39619899"/>
    <w:rsid w:val="3967B3A6"/>
    <w:rsid w:val="396834BA"/>
    <w:rsid w:val="3976B0D0"/>
    <w:rsid w:val="397CBE15"/>
    <w:rsid w:val="397CF20F"/>
    <w:rsid w:val="397D240C"/>
    <w:rsid w:val="3984E6A3"/>
    <w:rsid w:val="398A333F"/>
    <w:rsid w:val="39919AC0"/>
    <w:rsid w:val="39A5A9A1"/>
    <w:rsid w:val="39A64751"/>
    <w:rsid w:val="39B59EDC"/>
    <w:rsid w:val="39B652EA"/>
    <w:rsid w:val="39BAA91A"/>
    <w:rsid w:val="39BC4609"/>
    <w:rsid w:val="39C02197"/>
    <w:rsid w:val="39C84C60"/>
    <w:rsid w:val="39C9A181"/>
    <w:rsid w:val="39D27FA2"/>
    <w:rsid w:val="39D42DFA"/>
    <w:rsid w:val="39DCDF6B"/>
    <w:rsid w:val="39E82D95"/>
    <w:rsid w:val="39F2C7E1"/>
    <w:rsid w:val="39F33159"/>
    <w:rsid w:val="3A0949A6"/>
    <w:rsid w:val="3A10ED09"/>
    <w:rsid w:val="3A1B68E8"/>
    <w:rsid w:val="3A2552F7"/>
    <w:rsid w:val="3A2C17C3"/>
    <w:rsid w:val="3A387065"/>
    <w:rsid w:val="3A3EF2AC"/>
    <w:rsid w:val="3A411ED0"/>
    <w:rsid w:val="3A428E50"/>
    <w:rsid w:val="3A4AE117"/>
    <w:rsid w:val="3A4B41C2"/>
    <w:rsid w:val="3A52D24A"/>
    <w:rsid w:val="3A57C10A"/>
    <w:rsid w:val="3A635853"/>
    <w:rsid w:val="3A704E0B"/>
    <w:rsid w:val="3A77F12A"/>
    <w:rsid w:val="3A79E819"/>
    <w:rsid w:val="3A7B350B"/>
    <w:rsid w:val="3A9D5016"/>
    <w:rsid w:val="3A9FCFB0"/>
    <w:rsid w:val="3AA0E309"/>
    <w:rsid w:val="3AA34775"/>
    <w:rsid w:val="3AA48C23"/>
    <w:rsid w:val="3AB11EFB"/>
    <w:rsid w:val="3AB32A2A"/>
    <w:rsid w:val="3AB4029C"/>
    <w:rsid w:val="3ABA14EF"/>
    <w:rsid w:val="3ABCCBB7"/>
    <w:rsid w:val="3AC4D1C3"/>
    <w:rsid w:val="3AC936C5"/>
    <w:rsid w:val="3AD3967A"/>
    <w:rsid w:val="3AD486AE"/>
    <w:rsid w:val="3AD9FAE7"/>
    <w:rsid w:val="3ADA4CFC"/>
    <w:rsid w:val="3AE79BA4"/>
    <w:rsid w:val="3AEB7436"/>
    <w:rsid w:val="3AECA5C7"/>
    <w:rsid w:val="3AED7883"/>
    <w:rsid w:val="3AEE3541"/>
    <w:rsid w:val="3AEFCD70"/>
    <w:rsid w:val="3AF39392"/>
    <w:rsid w:val="3AF7E04D"/>
    <w:rsid w:val="3AFE96A0"/>
    <w:rsid w:val="3B0CFAE7"/>
    <w:rsid w:val="3B22CD22"/>
    <w:rsid w:val="3B291738"/>
    <w:rsid w:val="3B2F0B6C"/>
    <w:rsid w:val="3B34B718"/>
    <w:rsid w:val="3B415488"/>
    <w:rsid w:val="3B46646E"/>
    <w:rsid w:val="3B4B3760"/>
    <w:rsid w:val="3B5AAC32"/>
    <w:rsid w:val="3B5BF84A"/>
    <w:rsid w:val="3B64A71C"/>
    <w:rsid w:val="3B66AB4C"/>
    <w:rsid w:val="3B67DCB0"/>
    <w:rsid w:val="3B697718"/>
    <w:rsid w:val="3B6FB168"/>
    <w:rsid w:val="3B70B216"/>
    <w:rsid w:val="3B7735B3"/>
    <w:rsid w:val="3B855EA4"/>
    <w:rsid w:val="3B8B84F2"/>
    <w:rsid w:val="3B937AB9"/>
    <w:rsid w:val="3BA908C0"/>
    <w:rsid w:val="3BA9F15A"/>
    <w:rsid w:val="3BB7B806"/>
    <w:rsid w:val="3BBB1D55"/>
    <w:rsid w:val="3BBBD06A"/>
    <w:rsid w:val="3BD35C06"/>
    <w:rsid w:val="3BD6C75C"/>
    <w:rsid w:val="3BE6005E"/>
    <w:rsid w:val="3BFB4FAD"/>
    <w:rsid w:val="3C0CD250"/>
    <w:rsid w:val="3C0E0B17"/>
    <w:rsid w:val="3C0F8303"/>
    <w:rsid w:val="3C112BCA"/>
    <w:rsid w:val="3C217FBC"/>
    <w:rsid w:val="3C22008F"/>
    <w:rsid w:val="3C3E291F"/>
    <w:rsid w:val="3C467835"/>
    <w:rsid w:val="3C5DC3F2"/>
    <w:rsid w:val="3C670490"/>
    <w:rsid w:val="3C6D5170"/>
    <w:rsid w:val="3C6DF8A9"/>
    <w:rsid w:val="3C6F0858"/>
    <w:rsid w:val="3C7034D2"/>
    <w:rsid w:val="3C7A81F9"/>
    <w:rsid w:val="3C7D020F"/>
    <w:rsid w:val="3C8DA421"/>
    <w:rsid w:val="3C9389EA"/>
    <w:rsid w:val="3C9B4C36"/>
    <w:rsid w:val="3C9E24FC"/>
    <w:rsid w:val="3CA8C867"/>
    <w:rsid w:val="3CB426BA"/>
    <w:rsid w:val="3CB4531E"/>
    <w:rsid w:val="3CB4D991"/>
    <w:rsid w:val="3CB99064"/>
    <w:rsid w:val="3CD3CEFD"/>
    <w:rsid w:val="3CDC5071"/>
    <w:rsid w:val="3CE31196"/>
    <w:rsid w:val="3CE52C6D"/>
    <w:rsid w:val="3CF140D6"/>
    <w:rsid w:val="3D1520F6"/>
    <w:rsid w:val="3D184CA6"/>
    <w:rsid w:val="3D2C32BA"/>
    <w:rsid w:val="3D3BDAEB"/>
    <w:rsid w:val="3D3BE775"/>
    <w:rsid w:val="3D440347"/>
    <w:rsid w:val="3D4BFB00"/>
    <w:rsid w:val="3D595523"/>
    <w:rsid w:val="3D60C3DA"/>
    <w:rsid w:val="3D86959C"/>
    <w:rsid w:val="3D87E427"/>
    <w:rsid w:val="3D8A294C"/>
    <w:rsid w:val="3DA81D7C"/>
    <w:rsid w:val="3DADBBF0"/>
    <w:rsid w:val="3DBB98C4"/>
    <w:rsid w:val="3DBE3592"/>
    <w:rsid w:val="3DC2391F"/>
    <w:rsid w:val="3DC7E988"/>
    <w:rsid w:val="3DC80767"/>
    <w:rsid w:val="3DD7A79C"/>
    <w:rsid w:val="3DDCDE33"/>
    <w:rsid w:val="3DDDE734"/>
    <w:rsid w:val="3DE7EF46"/>
    <w:rsid w:val="3DEE6444"/>
    <w:rsid w:val="3DF24450"/>
    <w:rsid w:val="3E140FC8"/>
    <w:rsid w:val="3E3E7EB3"/>
    <w:rsid w:val="3E45D7B9"/>
    <w:rsid w:val="3E640EC9"/>
    <w:rsid w:val="3E6BD30D"/>
    <w:rsid w:val="3E6C46A4"/>
    <w:rsid w:val="3E754EFB"/>
    <w:rsid w:val="3E778ADA"/>
    <w:rsid w:val="3E7ABDAF"/>
    <w:rsid w:val="3E7B0BAA"/>
    <w:rsid w:val="3E7DA78D"/>
    <w:rsid w:val="3E8EE346"/>
    <w:rsid w:val="3E99B66C"/>
    <w:rsid w:val="3E9C2CA6"/>
    <w:rsid w:val="3EA1ECA6"/>
    <w:rsid w:val="3ED4E749"/>
    <w:rsid w:val="3ED6F6E1"/>
    <w:rsid w:val="3EE6A794"/>
    <w:rsid w:val="3EF350A3"/>
    <w:rsid w:val="3EF7D7A2"/>
    <w:rsid w:val="3F068321"/>
    <w:rsid w:val="3F087CF1"/>
    <w:rsid w:val="3F12EB6B"/>
    <w:rsid w:val="3F136E55"/>
    <w:rsid w:val="3F1DF02B"/>
    <w:rsid w:val="3F23EEC8"/>
    <w:rsid w:val="3F2A66BA"/>
    <w:rsid w:val="3F364DC2"/>
    <w:rsid w:val="3F458973"/>
    <w:rsid w:val="3F45DB86"/>
    <w:rsid w:val="3F46B2C4"/>
    <w:rsid w:val="3F536E12"/>
    <w:rsid w:val="3F594690"/>
    <w:rsid w:val="3F59CB9A"/>
    <w:rsid w:val="3F5B9D4B"/>
    <w:rsid w:val="3F6C8EF8"/>
    <w:rsid w:val="3F78E714"/>
    <w:rsid w:val="3F7965E4"/>
    <w:rsid w:val="3F878AC1"/>
    <w:rsid w:val="3F993DA0"/>
    <w:rsid w:val="3F9BF6DA"/>
    <w:rsid w:val="3F9FBE17"/>
    <w:rsid w:val="3FA09384"/>
    <w:rsid w:val="3FA268F7"/>
    <w:rsid w:val="3FA4290E"/>
    <w:rsid w:val="3FA5EFB9"/>
    <w:rsid w:val="3FB5BFB0"/>
    <w:rsid w:val="3FB6708E"/>
    <w:rsid w:val="3FC20F93"/>
    <w:rsid w:val="3FC8FDC5"/>
    <w:rsid w:val="3FC96295"/>
    <w:rsid w:val="3FCA59B5"/>
    <w:rsid w:val="3FD0E96A"/>
    <w:rsid w:val="3FD4B486"/>
    <w:rsid w:val="3FD8C284"/>
    <w:rsid w:val="3FEA9341"/>
    <w:rsid w:val="3FF8EFCD"/>
    <w:rsid w:val="3FF8F661"/>
    <w:rsid w:val="3FFC6266"/>
    <w:rsid w:val="3FFD1C36"/>
    <w:rsid w:val="4003574B"/>
    <w:rsid w:val="40049AC4"/>
    <w:rsid w:val="4012602B"/>
    <w:rsid w:val="4020B947"/>
    <w:rsid w:val="4021257B"/>
    <w:rsid w:val="40264DF2"/>
    <w:rsid w:val="402683B5"/>
    <w:rsid w:val="402BB790"/>
    <w:rsid w:val="402D9B03"/>
    <w:rsid w:val="402F5D41"/>
    <w:rsid w:val="40387E3D"/>
    <w:rsid w:val="403A37AD"/>
    <w:rsid w:val="403F06A7"/>
    <w:rsid w:val="40446DDB"/>
    <w:rsid w:val="404C87B2"/>
    <w:rsid w:val="4053283A"/>
    <w:rsid w:val="406341F9"/>
    <w:rsid w:val="4063CFCF"/>
    <w:rsid w:val="4067E33F"/>
    <w:rsid w:val="406E8E48"/>
    <w:rsid w:val="40702069"/>
    <w:rsid w:val="407E3C56"/>
    <w:rsid w:val="407E9225"/>
    <w:rsid w:val="40856458"/>
    <w:rsid w:val="408619F5"/>
    <w:rsid w:val="40868DF0"/>
    <w:rsid w:val="408CCBEC"/>
    <w:rsid w:val="408DB5A6"/>
    <w:rsid w:val="408E21BE"/>
    <w:rsid w:val="4093EA48"/>
    <w:rsid w:val="4098FA9E"/>
    <w:rsid w:val="409E7B34"/>
    <w:rsid w:val="409EA264"/>
    <w:rsid w:val="40A58651"/>
    <w:rsid w:val="40AD8DDF"/>
    <w:rsid w:val="40B070B8"/>
    <w:rsid w:val="40B562ED"/>
    <w:rsid w:val="40C40BB0"/>
    <w:rsid w:val="40C5EBF3"/>
    <w:rsid w:val="40CA6450"/>
    <w:rsid w:val="40CBB321"/>
    <w:rsid w:val="40CCDC5F"/>
    <w:rsid w:val="40CF4D54"/>
    <w:rsid w:val="40D44FAD"/>
    <w:rsid w:val="40DDA86A"/>
    <w:rsid w:val="40E6C093"/>
    <w:rsid w:val="40EB8254"/>
    <w:rsid w:val="410309B6"/>
    <w:rsid w:val="4109C4CE"/>
    <w:rsid w:val="410B85B8"/>
    <w:rsid w:val="41196806"/>
    <w:rsid w:val="411B1074"/>
    <w:rsid w:val="411B14B5"/>
    <w:rsid w:val="411DFC78"/>
    <w:rsid w:val="4123D36F"/>
    <w:rsid w:val="41265492"/>
    <w:rsid w:val="412CAE84"/>
    <w:rsid w:val="412E599A"/>
    <w:rsid w:val="4130261C"/>
    <w:rsid w:val="41314E91"/>
    <w:rsid w:val="41332899"/>
    <w:rsid w:val="413A9DEC"/>
    <w:rsid w:val="41492631"/>
    <w:rsid w:val="414F5F99"/>
    <w:rsid w:val="4159F030"/>
    <w:rsid w:val="415D9E70"/>
    <w:rsid w:val="41637DD0"/>
    <w:rsid w:val="4164F63D"/>
    <w:rsid w:val="4165C288"/>
    <w:rsid w:val="4171EAE0"/>
    <w:rsid w:val="41731B59"/>
    <w:rsid w:val="41747090"/>
    <w:rsid w:val="417B4889"/>
    <w:rsid w:val="418AA894"/>
    <w:rsid w:val="41997EAF"/>
    <w:rsid w:val="419BA486"/>
    <w:rsid w:val="41A19D57"/>
    <w:rsid w:val="41AA9924"/>
    <w:rsid w:val="41C14489"/>
    <w:rsid w:val="41CDD812"/>
    <w:rsid w:val="41DA0E8A"/>
    <w:rsid w:val="41DB3F0D"/>
    <w:rsid w:val="41E5C6E1"/>
    <w:rsid w:val="41E89298"/>
    <w:rsid w:val="41F665F4"/>
    <w:rsid w:val="41FA1E7B"/>
    <w:rsid w:val="42094FE0"/>
    <w:rsid w:val="42124421"/>
    <w:rsid w:val="4214E2EC"/>
    <w:rsid w:val="421635BB"/>
    <w:rsid w:val="422C68F7"/>
    <w:rsid w:val="422E552D"/>
    <w:rsid w:val="423B2E8B"/>
    <w:rsid w:val="4240E60E"/>
    <w:rsid w:val="424122AB"/>
    <w:rsid w:val="42451188"/>
    <w:rsid w:val="4247A676"/>
    <w:rsid w:val="426BDCC7"/>
    <w:rsid w:val="426C83D1"/>
    <w:rsid w:val="4275329A"/>
    <w:rsid w:val="427AF92B"/>
    <w:rsid w:val="427E5535"/>
    <w:rsid w:val="42802BF5"/>
    <w:rsid w:val="428D3BEC"/>
    <w:rsid w:val="42AC4383"/>
    <w:rsid w:val="42B3E165"/>
    <w:rsid w:val="42BBDD44"/>
    <w:rsid w:val="42C06C75"/>
    <w:rsid w:val="42C17A69"/>
    <w:rsid w:val="42CF7E1E"/>
    <w:rsid w:val="42D0A3EF"/>
    <w:rsid w:val="42DFEC1F"/>
    <w:rsid w:val="42E209CE"/>
    <w:rsid w:val="42E75AFC"/>
    <w:rsid w:val="42EB5DC8"/>
    <w:rsid w:val="42EFFCF3"/>
    <w:rsid w:val="42F6ED22"/>
    <w:rsid w:val="42FA13D2"/>
    <w:rsid w:val="42FE394B"/>
    <w:rsid w:val="430BF37F"/>
    <w:rsid w:val="4312054B"/>
    <w:rsid w:val="431595B6"/>
    <w:rsid w:val="431DEB0A"/>
    <w:rsid w:val="432ADFEE"/>
    <w:rsid w:val="43322EBE"/>
    <w:rsid w:val="433F08DF"/>
    <w:rsid w:val="43496F24"/>
    <w:rsid w:val="434AF274"/>
    <w:rsid w:val="435E88B4"/>
    <w:rsid w:val="437832CB"/>
    <w:rsid w:val="4378A2C6"/>
    <w:rsid w:val="43797BA7"/>
    <w:rsid w:val="437DD9AB"/>
    <w:rsid w:val="43823B97"/>
    <w:rsid w:val="4388EB32"/>
    <w:rsid w:val="439D1C84"/>
    <w:rsid w:val="439D2FB3"/>
    <w:rsid w:val="43A36EBA"/>
    <w:rsid w:val="43B162F2"/>
    <w:rsid w:val="43B1713A"/>
    <w:rsid w:val="43BF633B"/>
    <w:rsid w:val="43D1DB63"/>
    <w:rsid w:val="43D973EE"/>
    <w:rsid w:val="43DCA717"/>
    <w:rsid w:val="43EB5659"/>
    <w:rsid w:val="43EEFCCE"/>
    <w:rsid w:val="43F1D785"/>
    <w:rsid w:val="43F26668"/>
    <w:rsid w:val="4408829D"/>
    <w:rsid w:val="440A6584"/>
    <w:rsid w:val="440FFC50"/>
    <w:rsid w:val="44242706"/>
    <w:rsid w:val="442532FB"/>
    <w:rsid w:val="44297159"/>
    <w:rsid w:val="4430C685"/>
    <w:rsid w:val="443EF519"/>
    <w:rsid w:val="4440B72E"/>
    <w:rsid w:val="445784FC"/>
    <w:rsid w:val="446BD03F"/>
    <w:rsid w:val="446D3FED"/>
    <w:rsid w:val="446FD17A"/>
    <w:rsid w:val="447E8FCF"/>
    <w:rsid w:val="44803547"/>
    <w:rsid w:val="44929F35"/>
    <w:rsid w:val="4498C06F"/>
    <w:rsid w:val="449A9E11"/>
    <w:rsid w:val="449BA2C9"/>
    <w:rsid w:val="449E3F48"/>
    <w:rsid w:val="44BC7ACB"/>
    <w:rsid w:val="44C249DC"/>
    <w:rsid w:val="44DB7DC7"/>
    <w:rsid w:val="44E0CC3F"/>
    <w:rsid w:val="44E76EE0"/>
    <w:rsid w:val="44FBBB9E"/>
    <w:rsid w:val="44FFE538"/>
    <w:rsid w:val="450DE232"/>
    <w:rsid w:val="45149775"/>
    <w:rsid w:val="4517B2EE"/>
    <w:rsid w:val="451CBC9E"/>
    <w:rsid w:val="45277AFC"/>
    <w:rsid w:val="452A82EE"/>
    <w:rsid w:val="453EE51A"/>
    <w:rsid w:val="45404501"/>
    <w:rsid w:val="4543DA4A"/>
    <w:rsid w:val="45443A6E"/>
    <w:rsid w:val="4546DCE4"/>
    <w:rsid w:val="4549F0CE"/>
    <w:rsid w:val="454A80FA"/>
    <w:rsid w:val="454DB7AE"/>
    <w:rsid w:val="454EEF50"/>
    <w:rsid w:val="455A4CB0"/>
    <w:rsid w:val="45613B10"/>
    <w:rsid w:val="45632C9C"/>
    <w:rsid w:val="456C7491"/>
    <w:rsid w:val="456D28CB"/>
    <w:rsid w:val="456E9A91"/>
    <w:rsid w:val="45704D8F"/>
    <w:rsid w:val="4575240B"/>
    <w:rsid w:val="45774CBF"/>
    <w:rsid w:val="457BD43E"/>
    <w:rsid w:val="45894EE5"/>
    <w:rsid w:val="4591B8F9"/>
    <w:rsid w:val="45983D57"/>
    <w:rsid w:val="45A252CB"/>
    <w:rsid w:val="45B6E696"/>
    <w:rsid w:val="45D30605"/>
    <w:rsid w:val="45D47CDF"/>
    <w:rsid w:val="45D7B3AA"/>
    <w:rsid w:val="45E17BEE"/>
    <w:rsid w:val="45E400EB"/>
    <w:rsid w:val="45ED8ED9"/>
    <w:rsid w:val="45EF0026"/>
    <w:rsid w:val="460A936B"/>
    <w:rsid w:val="460F1D58"/>
    <w:rsid w:val="461B95F5"/>
    <w:rsid w:val="461D1AED"/>
    <w:rsid w:val="4624AE9E"/>
    <w:rsid w:val="462A7279"/>
    <w:rsid w:val="4633CC6B"/>
    <w:rsid w:val="464C42EF"/>
    <w:rsid w:val="4650F8EF"/>
    <w:rsid w:val="4655186B"/>
    <w:rsid w:val="4664061E"/>
    <w:rsid w:val="4675DED7"/>
    <w:rsid w:val="4680C236"/>
    <w:rsid w:val="46888DBB"/>
    <w:rsid w:val="46A0AACF"/>
    <w:rsid w:val="46A3B0F3"/>
    <w:rsid w:val="46A7EA18"/>
    <w:rsid w:val="46B253C5"/>
    <w:rsid w:val="46B6B2A3"/>
    <w:rsid w:val="46B8CA68"/>
    <w:rsid w:val="46C55BE8"/>
    <w:rsid w:val="46CF38F5"/>
    <w:rsid w:val="46D97C27"/>
    <w:rsid w:val="46DA24B3"/>
    <w:rsid w:val="46DB6D8F"/>
    <w:rsid w:val="46E3FD25"/>
    <w:rsid w:val="46F6F504"/>
    <w:rsid w:val="46F97ABD"/>
    <w:rsid w:val="46FAF9C3"/>
    <w:rsid w:val="47056DDB"/>
    <w:rsid w:val="470654F7"/>
    <w:rsid w:val="47130800"/>
    <w:rsid w:val="471E3595"/>
    <w:rsid w:val="47264A9F"/>
    <w:rsid w:val="47276A65"/>
    <w:rsid w:val="472A2304"/>
    <w:rsid w:val="4733B0A5"/>
    <w:rsid w:val="473B414E"/>
    <w:rsid w:val="473B86D8"/>
    <w:rsid w:val="4742E0C0"/>
    <w:rsid w:val="4748F311"/>
    <w:rsid w:val="47494005"/>
    <w:rsid w:val="474F1AD0"/>
    <w:rsid w:val="4752C30B"/>
    <w:rsid w:val="4753B991"/>
    <w:rsid w:val="476E0623"/>
    <w:rsid w:val="4773FE43"/>
    <w:rsid w:val="477883F9"/>
    <w:rsid w:val="4780C855"/>
    <w:rsid w:val="47819150"/>
    <w:rsid w:val="47927560"/>
    <w:rsid w:val="47936DF0"/>
    <w:rsid w:val="479BB5C6"/>
    <w:rsid w:val="47A400FE"/>
    <w:rsid w:val="47A7BF05"/>
    <w:rsid w:val="47AEBF50"/>
    <w:rsid w:val="47CD7679"/>
    <w:rsid w:val="47D888AF"/>
    <w:rsid w:val="47DF271E"/>
    <w:rsid w:val="47DF47FC"/>
    <w:rsid w:val="47DF8ABB"/>
    <w:rsid w:val="47EE6AC1"/>
    <w:rsid w:val="4805D229"/>
    <w:rsid w:val="4809217A"/>
    <w:rsid w:val="480DD783"/>
    <w:rsid w:val="4810ACAF"/>
    <w:rsid w:val="4814F5D0"/>
    <w:rsid w:val="482BFCB1"/>
    <w:rsid w:val="48341953"/>
    <w:rsid w:val="483D2E3C"/>
    <w:rsid w:val="48430544"/>
    <w:rsid w:val="484341BE"/>
    <w:rsid w:val="4847255C"/>
    <w:rsid w:val="484823C7"/>
    <w:rsid w:val="48485A6C"/>
    <w:rsid w:val="48532B3D"/>
    <w:rsid w:val="48572C4B"/>
    <w:rsid w:val="48657235"/>
    <w:rsid w:val="4869CB46"/>
    <w:rsid w:val="486B8001"/>
    <w:rsid w:val="486BDD7A"/>
    <w:rsid w:val="487DD872"/>
    <w:rsid w:val="48802200"/>
    <w:rsid w:val="4881A8AD"/>
    <w:rsid w:val="48847FB5"/>
    <w:rsid w:val="4884F9D7"/>
    <w:rsid w:val="48A10AFE"/>
    <w:rsid w:val="48A4EADC"/>
    <w:rsid w:val="48A7A666"/>
    <w:rsid w:val="48B3DEAE"/>
    <w:rsid w:val="48B68353"/>
    <w:rsid w:val="48BD874C"/>
    <w:rsid w:val="48BEF456"/>
    <w:rsid w:val="48C0DA66"/>
    <w:rsid w:val="48C78265"/>
    <w:rsid w:val="48CB2BCA"/>
    <w:rsid w:val="48CD6BF5"/>
    <w:rsid w:val="48CEC5E4"/>
    <w:rsid w:val="48EA26C3"/>
    <w:rsid w:val="48F041EC"/>
    <w:rsid w:val="48F4CDD1"/>
    <w:rsid w:val="48F8840B"/>
    <w:rsid w:val="48FA266D"/>
    <w:rsid w:val="48FDC889"/>
    <w:rsid w:val="4910A324"/>
    <w:rsid w:val="49156960"/>
    <w:rsid w:val="49175B26"/>
    <w:rsid w:val="4932CEC3"/>
    <w:rsid w:val="493A316D"/>
    <w:rsid w:val="4941F303"/>
    <w:rsid w:val="494348D5"/>
    <w:rsid w:val="494908D5"/>
    <w:rsid w:val="495B7A95"/>
    <w:rsid w:val="4960438C"/>
    <w:rsid w:val="4960B3A5"/>
    <w:rsid w:val="496ADDD0"/>
    <w:rsid w:val="496CF858"/>
    <w:rsid w:val="496D4DD1"/>
    <w:rsid w:val="49739DDF"/>
    <w:rsid w:val="4983531E"/>
    <w:rsid w:val="49866CA9"/>
    <w:rsid w:val="4986EA46"/>
    <w:rsid w:val="49A0CD20"/>
    <w:rsid w:val="49A18A6E"/>
    <w:rsid w:val="49B31468"/>
    <w:rsid w:val="49C17EA7"/>
    <w:rsid w:val="49D6013B"/>
    <w:rsid w:val="49D95A26"/>
    <w:rsid w:val="49E581FA"/>
    <w:rsid w:val="49E5DD24"/>
    <w:rsid w:val="49E89418"/>
    <w:rsid w:val="49EA2D3C"/>
    <w:rsid w:val="49EA75FE"/>
    <w:rsid w:val="49EC93FB"/>
    <w:rsid w:val="49EF3AF0"/>
    <w:rsid w:val="49F9F911"/>
    <w:rsid w:val="49FE0457"/>
    <w:rsid w:val="4A056E0C"/>
    <w:rsid w:val="4A06BF51"/>
    <w:rsid w:val="4A0733E4"/>
    <w:rsid w:val="4A121827"/>
    <w:rsid w:val="4A180AB7"/>
    <w:rsid w:val="4A1EAB08"/>
    <w:rsid w:val="4A257989"/>
    <w:rsid w:val="4A26D5D5"/>
    <w:rsid w:val="4A296349"/>
    <w:rsid w:val="4A2F9B45"/>
    <w:rsid w:val="4A30AEE1"/>
    <w:rsid w:val="4A38BA27"/>
    <w:rsid w:val="4A3BCF64"/>
    <w:rsid w:val="4A45CFD8"/>
    <w:rsid w:val="4A59A656"/>
    <w:rsid w:val="4A621FC1"/>
    <w:rsid w:val="4A68A273"/>
    <w:rsid w:val="4A6F1F34"/>
    <w:rsid w:val="4A7008C8"/>
    <w:rsid w:val="4A71C701"/>
    <w:rsid w:val="4A74134C"/>
    <w:rsid w:val="4A7D2DB4"/>
    <w:rsid w:val="4A8013C9"/>
    <w:rsid w:val="4A82C283"/>
    <w:rsid w:val="4A8BCED7"/>
    <w:rsid w:val="4A8E4D7A"/>
    <w:rsid w:val="4AA22BA7"/>
    <w:rsid w:val="4AA61076"/>
    <w:rsid w:val="4AA9B1F9"/>
    <w:rsid w:val="4AA9F5AA"/>
    <w:rsid w:val="4AAC325B"/>
    <w:rsid w:val="4AACFB7A"/>
    <w:rsid w:val="4AB76C85"/>
    <w:rsid w:val="4AC4EE3F"/>
    <w:rsid w:val="4AC71D3E"/>
    <w:rsid w:val="4ACBD84A"/>
    <w:rsid w:val="4AD3776C"/>
    <w:rsid w:val="4AEBDB6D"/>
    <w:rsid w:val="4AEDEBFD"/>
    <w:rsid w:val="4AFADA65"/>
    <w:rsid w:val="4B03E56B"/>
    <w:rsid w:val="4B139821"/>
    <w:rsid w:val="4B34E78B"/>
    <w:rsid w:val="4B367A04"/>
    <w:rsid w:val="4B5735FB"/>
    <w:rsid w:val="4B5EDE35"/>
    <w:rsid w:val="4B611E78"/>
    <w:rsid w:val="4B69144D"/>
    <w:rsid w:val="4B6F9062"/>
    <w:rsid w:val="4B72191D"/>
    <w:rsid w:val="4B765AE0"/>
    <w:rsid w:val="4B855DB1"/>
    <w:rsid w:val="4B908BE4"/>
    <w:rsid w:val="4B98037B"/>
    <w:rsid w:val="4B9CFCC4"/>
    <w:rsid w:val="4B9DFB22"/>
    <w:rsid w:val="4B9EA244"/>
    <w:rsid w:val="4BA4ECF5"/>
    <w:rsid w:val="4BA9129E"/>
    <w:rsid w:val="4BB2AC0F"/>
    <w:rsid w:val="4BB86F0A"/>
    <w:rsid w:val="4BC1AFDA"/>
    <w:rsid w:val="4BC725EC"/>
    <w:rsid w:val="4BD45737"/>
    <w:rsid w:val="4BE27673"/>
    <w:rsid w:val="4BE4ACEA"/>
    <w:rsid w:val="4BEB339A"/>
    <w:rsid w:val="4BF76EBD"/>
    <w:rsid w:val="4C00B27C"/>
    <w:rsid w:val="4C0188D9"/>
    <w:rsid w:val="4C0B4FB1"/>
    <w:rsid w:val="4C0C19C9"/>
    <w:rsid w:val="4C15A769"/>
    <w:rsid w:val="4C208B22"/>
    <w:rsid w:val="4C2ABAA6"/>
    <w:rsid w:val="4C388B7A"/>
    <w:rsid w:val="4C3A19C0"/>
    <w:rsid w:val="4C3B1243"/>
    <w:rsid w:val="4C3B4A0B"/>
    <w:rsid w:val="4C4D891E"/>
    <w:rsid w:val="4C53105C"/>
    <w:rsid w:val="4C55E569"/>
    <w:rsid w:val="4C5EAD41"/>
    <w:rsid w:val="4C6A926C"/>
    <w:rsid w:val="4C6E11A7"/>
    <w:rsid w:val="4C70B577"/>
    <w:rsid w:val="4C792DCC"/>
    <w:rsid w:val="4C82CA15"/>
    <w:rsid w:val="4C84FC19"/>
    <w:rsid w:val="4C97D829"/>
    <w:rsid w:val="4C9B5EE8"/>
    <w:rsid w:val="4C9B9294"/>
    <w:rsid w:val="4C9D798D"/>
    <w:rsid w:val="4CB56254"/>
    <w:rsid w:val="4CC4B378"/>
    <w:rsid w:val="4CDF28DA"/>
    <w:rsid w:val="4CE9B2E7"/>
    <w:rsid w:val="4CF16480"/>
    <w:rsid w:val="4D12F068"/>
    <w:rsid w:val="4D1DC90E"/>
    <w:rsid w:val="4D25C009"/>
    <w:rsid w:val="4D39C006"/>
    <w:rsid w:val="4D3CA6F8"/>
    <w:rsid w:val="4D3D74C4"/>
    <w:rsid w:val="4D43B1B9"/>
    <w:rsid w:val="4D465BDC"/>
    <w:rsid w:val="4D47A0DE"/>
    <w:rsid w:val="4D5A1638"/>
    <w:rsid w:val="4D6A174B"/>
    <w:rsid w:val="4D7C6B19"/>
    <w:rsid w:val="4D866673"/>
    <w:rsid w:val="4D90A8D3"/>
    <w:rsid w:val="4D99C860"/>
    <w:rsid w:val="4D9E5AA5"/>
    <w:rsid w:val="4DA5E797"/>
    <w:rsid w:val="4DA94BE4"/>
    <w:rsid w:val="4DAB5D11"/>
    <w:rsid w:val="4DB20B01"/>
    <w:rsid w:val="4DB61F62"/>
    <w:rsid w:val="4DBC807C"/>
    <w:rsid w:val="4DBDBC49"/>
    <w:rsid w:val="4DC88F05"/>
    <w:rsid w:val="4DCD8CB5"/>
    <w:rsid w:val="4DDC4445"/>
    <w:rsid w:val="4DE1DA96"/>
    <w:rsid w:val="4DE42A72"/>
    <w:rsid w:val="4DE66E42"/>
    <w:rsid w:val="4DED7114"/>
    <w:rsid w:val="4DEDF3B0"/>
    <w:rsid w:val="4DFDAEC7"/>
    <w:rsid w:val="4E0EA65B"/>
    <w:rsid w:val="4E1B8D70"/>
    <w:rsid w:val="4E2ACF01"/>
    <w:rsid w:val="4E313732"/>
    <w:rsid w:val="4E3BFBBD"/>
    <w:rsid w:val="4E3F7E15"/>
    <w:rsid w:val="4E427208"/>
    <w:rsid w:val="4E45CE33"/>
    <w:rsid w:val="4E492564"/>
    <w:rsid w:val="4E565D6F"/>
    <w:rsid w:val="4E59F249"/>
    <w:rsid w:val="4E5E1DBF"/>
    <w:rsid w:val="4E6076F8"/>
    <w:rsid w:val="4E67ED54"/>
    <w:rsid w:val="4E6EE505"/>
    <w:rsid w:val="4E775044"/>
    <w:rsid w:val="4E7DB4E9"/>
    <w:rsid w:val="4E831AD0"/>
    <w:rsid w:val="4E92F023"/>
    <w:rsid w:val="4E95EAA6"/>
    <w:rsid w:val="4EA830F0"/>
    <w:rsid w:val="4EB0C086"/>
    <w:rsid w:val="4EB169B0"/>
    <w:rsid w:val="4EB2DAD9"/>
    <w:rsid w:val="4EBA7D70"/>
    <w:rsid w:val="4EC5F14A"/>
    <w:rsid w:val="4EDE2C99"/>
    <w:rsid w:val="4EE73B78"/>
    <w:rsid w:val="4EE81863"/>
    <w:rsid w:val="4EF3A235"/>
    <w:rsid w:val="4EF40804"/>
    <w:rsid w:val="4EF700CF"/>
    <w:rsid w:val="4EFEE06F"/>
    <w:rsid w:val="4F067843"/>
    <w:rsid w:val="4F0CE699"/>
    <w:rsid w:val="4F170C49"/>
    <w:rsid w:val="4F1E061C"/>
    <w:rsid w:val="4F1F3A31"/>
    <w:rsid w:val="4F2292F1"/>
    <w:rsid w:val="4F2EB710"/>
    <w:rsid w:val="4F2F3D4D"/>
    <w:rsid w:val="4F3411E3"/>
    <w:rsid w:val="4F358837"/>
    <w:rsid w:val="4F3CDFA8"/>
    <w:rsid w:val="4F3FF2B2"/>
    <w:rsid w:val="4F47153D"/>
    <w:rsid w:val="4F4CECCD"/>
    <w:rsid w:val="4F53BCAF"/>
    <w:rsid w:val="4F556106"/>
    <w:rsid w:val="4F56429D"/>
    <w:rsid w:val="4F56D6F2"/>
    <w:rsid w:val="4F6C4DF8"/>
    <w:rsid w:val="4F72300D"/>
    <w:rsid w:val="4F8227A1"/>
    <w:rsid w:val="4F8499D4"/>
    <w:rsid w:val="4F8FCB1B"/>
    <w:rsid w:val="4F9F0BEA"/>
    <w:rsid w:val="4FA962D8"/>
    <w:rsid w:val="4FACA2D5"/>
    <w:rsid w:val="4FADD8B0"/>
    <w:rsid w:val="4FB0494E"/>
    <w:rsid w:val="4FB0EAE1"/>
    <w:rsid w:val="4FB11244"/>
    <w:rsid w:val="4FBEA335"/>
    <w:rsid w:val="4FC10FE1"/>
    <w:rsid w:val="4FCE33A5"/>
    <w:rsid w:val="4FF7D93C"/>
    <w:rsid w:val="500A42C0"/>
    <w:rsid w:val="5017FC2A"/>
    <w:rsid w:val="501C5CE3"/>
    <w:rsid w:val="50249713"/>
    <w:rsid w:val="5024C5D2"/>
    <w:rsid w:val="5029D914"/>
    <w:rsid w:val="502C8920"/>
    <w:rsid w:val="502D4AE8"/>
    <w:rsid w:val="503718EB"/>
    <w:rsid w:val="503A19CD"/>
    <w:rsid w:val="50478965"/>
    <w:rsid w:val="5047E3A1"/>
    <w:rsid w:val="50514E93"/>
    <w:rsid w:val="505331B0"/>
    <w:rsid w:val="5055ECC8"/>
    <w:rsid w:val="505D75C7"/>
    <w:rsid w:val="506410FE"/>
    <w:rsid w:val="5064EA3F"/>
    <w:rsid w:val="506B88DE"/>
    <w:rsid w:val="50715FB9"/>
    <w:rsid w:val="5090E107"/>
    <w:rsid w:val="50949E48"/>
    <w:rsid w:val="5095E9DE"/>
    <w:rsid w:val="509C59BB"/>
    <w:rsid w:val="50AD085C"/>
    <w:rsid w:val="50B1ECA9"/>
    <w:rsid w:val="50C00D0A"/>
    <w:rsid w:val="50C5DE1B"/>
    <w:rsid w:val="50C6D785"/>
    <w:rsid w:val="50D406F9"/>
    <w:rsid w:val="50D58F40"/>
    <w:rsid w:val="50DD62C6"/>
    <w:rsid w:val="50E37B3E"/>
    <w:rsid w:val="50EE8ED7"/>
    <w:rsid w:val="50FE5C42"/>
    <w:rsid w:val="5107305C"/>
    <w:rsid w:val="51084D37"/>
    <w:rsid w:val="510AE30C"/>
    <w:rsid w:val="5126408A"/>
    <w:rsid w:val="5135AC05"/>
    <w:rsid w:val="513A0865"/>
    <w:rsid w:val="51427356"/>
    <w:rsid w:val="51439EF5"/>
    <w:rsid w:val="5148CA48"/>
    <w:rsid w:val="51570BDC"/>
    <w:rsid w:val="516839F3"/>
    <w:rsid w:val="516F6BC5"/>
    <w:rsid w:val="517D52AB"/>
    <w:rsid w:val="517F5FC3"/>
    <w:rsid w:val="518BEA94"/>
    <w:rsid w:val="51907926"/>
    <w:rsid w:val="51941DCD"/>
    <w:rsid w:val="519ADEE6"/>
    <w:rsid w:val="519DFF3F"/>
    <w:rsid w:val="51A05AA8"/>
    <w:rsid w:val="51AEE351"/>
    <w:rsid w:val="51B7D2F2"/>
    <w:rsid w:val="51B833EC"/>
    <w:rsid w:val="51E6A400"/>
    <w:rsid w:val="51F537B5"/>
    <w:rsid w:val="51FE5ABD"/>
    <w:rsid w:val="52143B6D"/>
    <w:rsid w:val="522368CF"/>
    <w:rsid w:val="5225EE3B"/>
    <w:rsid w:val="522A04CC"/>
    <w:rsid w:val="523FA9E2"/>
    <w:rsid w:val="524ECB54"/>
    <w:rsid w:val="52571BBC"/>
    <w:rsid w:val="525F0F31"/>
    <w:rsid w:val="526D8E72"/>
    <w:rsid w:val="52700851"/>
    <w:rsid w:val="52703D50"/>
    <w:rsid w:val="529FCBD7"/>
    <w:rsid w:val="52A92D2A"/>
    <w:rsid w:val="52AD6DD0"/>
    <w:rsid w:val="52AFAEF1"/>
    <w:rsid w:val="52B1EF49"/>
    <w:rsid w:val="52BD851D"/>
    <w:rsid w:val="52CF1140"/>
    <w:rsid w:val="52D5414E"/>
    <w:rsid w:val="52D68E28"/>
    <w:rsid w:val="52E30163"/>
    <w:rsid w:val="52EBB81E"/>
    <w:rsid w:val="52EFAF5D"/>
    <w:rsid w:val="52F31B89"/>
    <w:rsid w:val="53068B65"/>
    <w:rsid w:val="5309A72A"/>
    <w:rsid w:val="530E6A39"/>
    <w:rsid w:val="53182DD8"/>
    <w:rsid w:val="5325BD3C"/>
    <w:rsid w:val="532D2646"/>
    <w:rsid w:val="53336BC9"/>
    <w:rsid w:val="5339CA88"/>
    <w:rsid w:val="534D4EEC"/>
    <w:rsid w:val="536B23F0"/>
    <w:rsid w:val="536B7DBC"/>
    <w:rsid w:val="5370F5E8"/>
    <w:rsid w:val="53731A63"/>
    <w:rsid w:val="537679B3"/>
    <w:rsid w:val="537C7E18"/>
    <w:rsid w:val="537D5DE6"/>
    <w:rsid w:val="538787FB"/>
    <w:rsid w:val="538D6636"/>
    <w:rsid w:val="5392A2CE"/>
    <w:rsid w:val="5397AC2E"/>
    <w:rsid w:val="53A655B1"/>
    <w:rsid w:val="53ACC0E0"/>
    <w:rsid w:val="53BD7F53"/>
    <w:rsid w:val="53BF7BBE"/>
    <w:rsid w:val="53BFDB7A"/>
    <w:rsid w:val="53C881C9"/>
    <w:rsid w:val="53E76BA5"/>
    <w:rsid w:val="53EE8CC7"/>
    <w:rsid w:val="53F15854"/>
    <w:rsid w:val="53FF34DF"/>
    <w:rsid w:val="53FFFFE5"/>
    <w:rsid w:val="5423F87D"/>
    <w:rsid w:val="543AF21E"/>
    <w:rsid w:val="543DE0A1"/>
    <w:rsid w:val="54419516"/>
    <w:rsid w:val="5442ECEE"/>
    <w:rsid w:val="54437BD0"/>
    <w:rsid w:val="544932B4"/>
    <w:rsid w:val="545E33A4"/>
    <w:rsid w:val="54609F4D"/>
    <w:rsid w:val="5460BB50"/>
    <w:rsid w:val="54627E19"/>
    <w:rsid w:val="546335CF"/>
    <w:rsid w:val="5464C346"/>
    <w:rsid w:val="54679AC6"/>
    <w:rsid w:val="5468128E"/>
    <w:rsid w:val="546DC4E6"/>
    <w:rsid w:val="546E2655"/>
    <w:rsid w:val="54774107"/>
    <w:rsid w:val="547A422D"/>
    <w:rsid w:val="547F1D72"/>
    <w:rsid w:val="54886D10"/>
    <w:rsid w:val="5495F5A3"/>
    <w:rsid w:val="549604A5"/>
    <w:rsid w:val="54A06C28"/>
    <w:rsid w:val="54B56DB2"/>
    <w:rsid w:val="54BAFA38"/>
    <w:rsid w:val="54E2E852"/>
    <w:rsid w:val="54E8DED6"/>
    <w:rsid w:val="54FC1C56"/>
    <w:rsid w:val="5501D5DB"/>
    <w:rsid w:val="55039053"/>
    <w:rsid w:val="55194A08"/>
    <w:rsid w:val="551A2065"/>
    <w:rsid w:val="551D5F53"/>
    <w:rsid w:val="55239F0B"/>
    <w:rsid w:val="552B874F"/>
    <w:rsid w:val="55331EFF"/>
    <w:rsid w:val="5533BEAE"/>
    <w:rsid w:val="553DE7B7"/>
    <w:rsid w:val="5545B995"/>
    <w:rsid w:val="55460A64"/>
    <w:rsid w:val="554D7503"/>
    <w:rsid w:val="555D8D71"/>
    <w:rsid w:val="5566A8B0"/>
    <w:rsid w:val="5566EA5F"/>
    <w:rsid w:val="556734A6"/>
    <w:rsid w:val="55693664"/>
    <w:rsid w:val="556DD6A6"/>
    <w:rsid w:val="5578BC18"/>
    <w:rsid w:val="55818CD8"/>
    <w:rsid w:val="558FE5CD"/>
    <w:rsid w:val="5592294C"/>
    <w:rsid w:val="55A5B05F"/>
    <w:rsid w:val="55B38787"/>
    <w:rsid w:val="55B3E9A6"/>
    <w:rsid w:val="55B9CA05"/>
    <w:rsid w:val="55C30DC0"/>
    <w:rsid w:val="55D498BF"/>
    <w:rsid w:val="55D6F5F1"/>
    <w:rsid w:val="55DA17C2"/>
    <w:rsid w:val="55DBFDF2"/>
    <w:rsid w:val="55E95FAB"/>
    <w:rsid w:val="55EEBFF0"/>
    <w:rsid w:val="55F9B650"/>
    <w:rsid w:val="560A5F63"/>
    <w:rsid w:val="560BDC0A"/>
    <w:rsid w:val="560ECD2C"/>
    <w:rsid w:val="561298F4"/>
    <w:rsid w:val="5612F86F"/>
    <w:rsid w:val="56284C73"/>
    <w:rsid w:val="563AF857"/>
    <w:rsid w:val="563ED1B3"/>
    <w:rsid w:val="5642A88E"/>
    <w:rsid w:val="565B15AA"/>
    <w:rsid w:val="565CD924"/>
    <w:rsid w:val="5663972E"/>
    <w:rsid w:val="5675D5B8"/>
    <w:rsid w:val="5676BC78"/>
    <w:rsid w:val="5679B104"/>
    <w:rsid w:val="567B2DF5"/>
    <w:rsid w:val="567BCEDB"/>
    <w:rsid w:val="5689D1A2"/>
    <w:rsid w:val="568E799E"/>
    <w:rsid w:val="569E9254"/>
    <w:rsid w:val="56AB37B6"/>
    <w:rsid w:val="56AB8789"/>
    <w:rsid w:val="56C6A8BB"/>
    <w:rsid w:val="56C74B24"/>
    <w:rsid w:val="56CA0DAE"/>
    <w:rsid w:val="56E3D303"/>
    <w:rsid w:val="56E58AB5"/>
    <w:rsid w:val="56EE2FC2"/>
    <w:rsid w:val="56F7F163"/>
    <w:rsid w:val="57063F84"/>
    <w:rsid w:val="57101CF7"/>
    <w:rsid w:val="57261EB0"/>
    <w:rsid w:val="5726290A"/>
    <w:rsid w:val="572E41AE"/>
    <w:rsid w:val="574021BF"/>
    <w:rsid w:val="5741E83D"/>
    <w:rsid w:val="5742DB72"/>
    <w:rsid w:val="574F0AE8"/>
    <w:rsid w:val="5755780D"/>
    <w:rsid w:val="57564F62"/>
    <w:rsid w:val="575F9835"/>
    <w:rsid w:val="5760EE60"/>
    <w:rsid w:val="57721636"/>
    <w:rsid w:val="577AA6A9"/>
    <w:rsid w:val="577BF3A7"/>
    <w:rsid w:val="578B40F9"/>
    <w:rsid w:val="578DC6C2"/>
    <w:rsid w:val="57978E2A"/>
    <w:rsid w:val="57B3120C"/>
    <w:rsid w:val="57B984DF"/>
    <w:rsid w:val="57D4C6C2"/>
    <w:rsid w:val="57D9AD0E"/>
    <w:rsid w:val="57D9F0C6"/>
    <w:rsid w:val="57F17D79"/>
    <w:rsid w:val="57F91F52"/>
    <w:rsid w:val="581ADC1F"/>
    <w:rsid w:val="581CFF4E"/>
    <w:rsid w:val="581E63F3"/>
    <w:rsid w:val="5822B29B"/>
    <w:rsid w:val="582551D9"/>
    <w:rsid w:val="582D3153"/>
    <w:rsid w:val="5834EC08"/>
    <w:rsid w:val="5843D114"/>
    <w:rsid w:val="584908D7"/>
    <w:rsid w:val="5849DB9D"/>
    <w:rsid w:val="584CD1D3"/>
    <w:rsid w:val="5858AEDB"/>
    <w:rsid w:val="586AEA37"/>
    <w:rsid w:val="5878394E"/>
    <w:rsid w:val="58807D8A"/>
    <w:rsid w:val="58834673"/>
    <w:rsid w:val="588B63E8"/>
    <w:rsid w:val="58A001DE"/>
    <w:rsid w:val="58A5A6F1"/>
    <w:rsid w:val="58AEC619"/>
    <w:rsid w:val="58B88B8A"/>
    <w:rsid w:val="58BA2D1D"/>
    <w:rsid w:val="58CB69FC"/>
    <w:rsid w:val="58D6C729"/>
    <w:rsid w:val="58DED0EE"/>
    <w:rsid w:val="58EE80FB"/>
    <w:rsid w:val="58F2BFD5"/>
    <w:rsid w:val="58FA0598"/>
    <w:rsid w:val="58FEDF52"/>
    <w:rsid w:val="5902AD0C"/>
    <w:rsid w:val="59109C39"/>
    <w:rsid w:val="591AEF53"/>
    <w:rsid w:val="591D671F"/>
    <w:rsid w:val="5929090A"/>
    <w:rsid w:val="592968A6"/>
    <w:rsid w:val="5929C7FC"/>
    <w:rsid w:val="592A7683"/>
    <w:rsid w:val="5937FC08"/>
    <w:rsid w:val="59471374"/>
    <w:rsid w:val="594E1F63"/>
    <w:rsid w:val="595AF571"/>
    <w:rsid w:val="595D1C4A"/>
    <w:rsid w:val="59600C47"/>
    <w:rsid w:val="59623A67"/>
    <w:rsid w:val="5963986C"/>
    <w:rsid w:val="596A401E"/>
    <w:rsid w:val="59771282"/>
    <w:rsid w:val="597ABF73"/>
    <w:rsid w:val="597F2A6F"/>
    <w:rsid w:val="598520BC"/>
    <w:rsid w:val="598743E8"/>
    <w:rsid w:val="599401A6"/>
    <w:rsid w:val="599AC793"/>
    <w:rsid w:val="59A15560"/>
    <w:rsid w:val="59AA5C52"/>
    <w:rsid w:val="59ABE347"/>
    <w:rsid w:val="59B039FA"/>
    <w:rsid w:val="59B55FE2"/>
    <w:rsid w:val="59B56C67"/>
    <w:rsid w:val="59B853BD"/>
    <w:rsid w:val="59C1DAB6"/>
    <w:rsid w:val="59C66CFF"/>
    <w:rsid w:val="59D3F438"/>
    <w:rsid w:val="59DC2BC0"/>
    <w:rsid w:val="59DEC47F"/>
    <w:rsid w:val="59E3C9F8"/>
    <w:rsid w:val="59EA448B"/>
    <w:rsid w:val="59F14B88"/>
    <w:rsid w:val="5A061EBA"/>
    <w:rsid w:val="5A101CCF"/>
    <w:rsid w:val="5A10C7C9"/>
    <w:rsid w:val="5A121AE1"/>
    <w:rsid w:val="5A1A5425"/>
    <w:rsid w:val="5A1BE143"/>
    <w:rsid w:val="5A1EBBA5"/>
    <w:rsid w:val="5A2AB7F3"/>
    <w:rsid w:val="5A2AC1AE"/>
    <w:rsid w:val="5A310DC7"/>
    <w:rsid w:val="5A336942"/>
    <w:rsid w:val="5A39D06A"/>
    <w:rsid w:val="5A455106"/>
    <w:rsid w:val="5A67F830"/>
    <w:rsid w:val="5A6EB23D"/>
    <w:rsid w:val="5A74F9DB"/>
    <w:rsid w:val="5A7AB7A5"/>
    <w:rsid w:val="5A7D474C"/>
    <w:rsid w:val="5A8549E9"/>
    <w:rsid w:val="5A86A79B"/>
    <w:rsid w:val="5A8C9811"/>
    <w:rsid w:val="5A9DD802"/>
    <w:rsid w:val="5A9ED571"/>
    <w:rsid w:val="5A9F41F3"/>
    <w:rsid w:val="5AA1A40C"/>
    <w:rsid w:val="5AA4AFF9"/>
    <w:rsid w:val="5AAE32CC"/>
    <w:rsid w:val="5AB51DB7"/>
    <w:rsid w:val="5AB97BEA"/>
    <w:rsid w:val="5ABFD712"/>
    <w:rsid w:val="5ACA233C"/>
    <w:rsid w:val="5AD4F67E"/>
    <w:rsid w:val="5ADB4762"/>
    <w:rsid w:val="5ADED49C"/>
    <w:rsid w:val="5AE0A673"/>
    <w:rsid w:val="5AE30418"/>
    <w:rsid w:val="5AEE1D26"/>
    <w:rsid w:val="5AFBA577"/>
    <w:rsid w:val="5B009C3D"/>
    <w:rsid w:val="5B0192D4"/>
    <w:rsid w:val="5B0C4A50"/>
    <w:rsid w:val="5B0FDEDB"/>
    <w:rsid w:val="5B20F2DC"/>
    <w:rsid w:val="5B2CCFA5"/>
    <w:rsid w:val="5B2E4623"/>
    <w:rsid w:val="5B2E79AD"/>
    <w:rsid w:val="5B35E64B"/>
    <w:rsid w:val="5B36D3CE"/>
    <w:rsid w:val="5B4266CF"/>
    <w:rsid w:val="5B508396"/>
    <w:rsid w:val="5B5353DD"/>
    <w:rsid w:val="5B5C211F"/>
    <w:rsid w:val="5B61D4C6"/>
    <w:rsid w:val="5B647EB0"/>
    <w:rsid w:val="5B6DBF67"/>
    <w:rsid w:val="5B72F151"/>
    <w:rsid w:val="5B81C4FF"/>
    <w:rsid w:val="5B8B143E"/>
    <w:rsid w:val="5B8F703B"/>
    <w:rsid w:val="5B92B231"/>
    <w:rsid w:val="5B947364"/>
    <w:rsid w:val="5B9D9D24"/>
    <w:rsid w:val="5BA02710"/>
    <w:rsid w:val="5BAAF67C"/>
    <w:rsid w:val="5BB4B42D"/>
    <w:rsid w:val="5BB4B57F"/>
    <w:rsid w:val="5BB6095B"/>
    <w:rsid w:val="5BBB2B05"/>
    <w:rsid w:val="5BC12CB8"/>
    <w:rsid w:val="5BC3A149"/>
    <w:rsid w:val="5BCB4117"/>
    <w:rsid w:val="5BCE040B"/>
    <w:rsid w:val="5BCE9C92"/>
    <w:rsid w:val="5BE67A3A"/>
    <w:rsid w:val="5BE9B497"/>
    <w:rsid w:val="5BF1493A"/>
    <w:rsid w:val="5BF3FED0"/>
    <w:rsid w:val="5BF4720F"/>
    <w:rsid w:val="5BFEF9AC"/>
    <w:rsid w:val="5C04D37B"/>
    <w:rsid w:val="5C072115"/>
    <w:rsid w:val="5C07D533"/>
    <w:rsid w:val="5C14A152"/>
    <w:rsid w:val="5C221BBA"/>
    <w:rsid w:val="5C2A079C"/>
    <w:rsid w:val="5C3287F2"/>
    <w:rsid w:val="5C46D14F"/>
    <w:rsid w:val="5C5731CB"/>
    <w:rsid w:val="5C640002"/>
    <w:rsid w:val="5C6A5889"/>
    <w:rsid w:val="5C6C9E15"/>
    <w:rsid w:val="5C6CA891"/>
    <w:rsid w:val="5C75E948"/>
    <w:rsid w:val="5C8770FF"/>
    <w:rsid w:val="5C889DBD"/>
    <w:rsid w:val="5C8D9FF1"/>
    <w:rsid w:val="5C91DC90"/>
    <w:rsid w:val="5C9B02C2"/>
    <w:rsid w:val="5CA2FB47"/>
    <w:rsid w:val="5CA4E177"/>
    <w:rsid w:val="5CA86138"/>
    <w:rsid w:val="5CAB7378"/>
    <w:rsid w:val="5CB028F2"/>
    <w:rsid w:val="5CB5B1E1"/>
    <w:rsid w:val="5CB69D5D"/>
    <w:rsid w:val="5CBA4A87"/>
    <w:rsid w:val="5CBC706D"/>
    <w:rsid w:val="5CC26A1D"/>
    <w:rsid w:val="5CC511BE"/>
    <w:rsid w:val="5CD51A04"/>
    <w:rsid w:val="5CD68FAD"/>
    <w:rsid w:val="5CD7F12A"/>
    <w:rsid w:val="5CDF6CE4"/>
    <w:rsid w:val="5CE3A8B2"/>
    <w:rsid w:val="5CE711A1"/>
    <w:rsid w:val="5CEB59D3"/>
    <w:rsid w:val="5D005E49"/>
    <w:rsid w:val="5D03788E"/>
    <w:rsid w:val="5D20307D"/>
    <w:rsid w:val="5D210E88"/>
    <w:rsid w:val="5D348F68"/>
    <w:rsid w:val="5D3784AD"/>
    <w:rsid w:val="5D4221CA"/>
    <w:rsid w:val="5D44D609"/>
    <w:rsid w:val="5D64AC0B"/>
    <w:rsid w:val="5D6DF7B9"/>
    <w:rsid w:val="5D7A6916"/>
    <w:rsid w:val="5D7F8F3D"/>
    <w:rsid w:val="5D833A82"/>
    <w:rsid w:val="5D8A3BF4"/>
    <w:rsid w:val="5D8FF079"/>
    <w:rsid w:val="5D952238"/>
    <w:rsid w:val="5D980786"/>
    <w:rsid w:val="5D99FDD8"/>
    <w:rsid w:val="5D9B81C2"/>
    <w:rsid w:val="5D9E710C"/>
    <w:rsid w:val="5DAC6E8A"/>
    <w:rsid w:val="5DAEAAA3"/>
    <w:rsid w:val="5DC776D3"/>
    <w:rsid w:val="5DD440F9"/>
    <w:rsid w:val="5DDDC11B"/>
    <w:rsid w:val="5DDE190F"/>
    <w:rsid w:val="5DDFF0AF"/>
    <w:rsid w:val="5DE840F5"/>
    <w:rsid w:val="5DF42707"/>
    <w:rsid w:val="5DFA1BC0"/>
    <w:rsid w:val="5E08757B"/>
    <w:rsid w:val="5E20B911"/>
    <w:rsid w:val="5E28B7A7"/>
    <w:rsid w:val="5E2C3817"/>
    <w:rsid w:val="5E2EFF74"/>
    <w:rsid w:val="5E38AFDA"/>
    <w:rsid w:val="5E4847B4"/>
    <w:rsid w:val="5E50CA74"/>
    <w:rsid w:val="5E544B7A"/>
    <w:rsid w:val="5E57DB73"/>
    <w:rsid w:val="5E6951A3"/>
    <w:rsid w:val="5E803920"/>
    <w:rsid w:val="5E89F5E1"/>
    <w:rsid w:val="5E90565D"/>
    <w:rsid w:val="5E9A17CA"/>
    <w:rsid w:val="5E9CB040"/>
    <w:rsid w:val="5EA545DD"/>
    <w:rsid w:val="5EAE39AC"/>
    <w:rsid w:val="5EB036A6"/>
    <w:rsid w:val="5EBB9609"/>
    <w:rsid w:val="5EC93BE2"/>
    <w:rsid w:val="5ED813DD"/>
    <w:rsid w:val="5EE75914"/>
    <w:rsid w:val="5EF3822F"/>
    <w:rsid w:val="5F027EAE"/>
    <w:rsid w:val="5F02817F"/>
    <w:rsid w:val="5F07FACA"/>
    <w:rsid w:val="5F0D7981"/>
    <w:rsid w:val="5F0F1EF2"/>
    <w:rsid w:val="5F1A0E2E"/>
    <w:rsid w:val="5F2B8BB4"/>
    <w:rsid w:val="5F32DF4B"/>
    <w:rsid w:val="5F3B294F"/>
    <w:rsid w:val="5F44962D"/>
    <w:rsid w:val="5F4893CE"/>
    <w:rsid w:val="5F49EFC0"/>
    <w:rsid w:val="5F53B9D5"/>
    <w:rsid w:val="5F55F871"/>
    <w:rsid w:val="5F630759"/>
    <w:rsid w:val="5F6D7184"/>
    <w:rsid w:val="5F6E64B0"/>
    <w:rsid w:val="5F7263EA"/>
    <w:rsid w:val="5F779A4D"/>
    <w:rsid w:val="5F7EC713"/>
    <w:rsid w:val="5F89B97A"/>
    <w:rsid w:val="5F8A5A78"/>
    <w:rsid w:val="5F9356DC"/>
    <w:rsid w:val="5FA1F5C8"/>
    <w:rsid w:val="5FAAAC34"/>
    <w:rsid w:val="5FB3C764"/>
    <w:rsid w:val="5FBDBB25"/>
    <w:rsid w:val="5FC35A6A"/>
    <w:rsid w:val="5FCC0EC7"/>
    <w:rsid w:val="5FD7CBD9"/>
    <w:rsid w:val="5FE9CC12"/>
    <w:rsid w:val="5FEB2F6D"/>
    <w:rsid w:val="5FECD421"/>
    <w:rsid w:val="5FF78583"/>
    <w:rsid w:val="5FF9E518"/>
    <w:rsid w:val="60022A3B"/>
    <w:rsid w:val="60068F51"/>
    <w:rsid w:val="600896AA"/>
    <w:rsid w:val="6018DA00"/>
    <w:rsid w:val="601EFB6D"/>
    <w:rsid w:val="6030D12F"/>
    <w:rsid w:val="603AD982"/>
    <w:rsid w:val="6043239F"/>
    <w:rsid w:val="604AF840"/>
    <w:rsid w:val="604E79EA"/>
    <w:rsid w:val="6051D9FA"/>
    <w:rsid w:val="605A8B98"/>
    <w:rsid w:val="6063C258"/>
    <w:rsid w:val="606A07CE"/>
    <w:rsid w:val="607BACB3"/>
    <w:rsid w:val="6085F113"/>
    <w:rsid w:val="60958F25"/>
    <w:rsid w:val="6096DC8A"/>
    <w:rsid w:val="609B0484"/>
    <w:rsid w:val="609B5AB2"/>
    <w:rsid w:val="609D6B60"/>
    <w:rsid w:val="60A30E0A"/>
    <w:rsid w:val="60A96248"/>
    <w:rsid w:val="60AE68A4"/>
    <w:rsid w:val="60B2FFA9"/>
    <w:rsid w:val="60D15B4D"/>
    <w:rsid w:val="60DB5342"/>
    <w:rsid w:val="60E57EAC"/>
    <w:rsid w:val="60E9D570"/>
    <w:rsid w:val="60F725A7"/>
    <w:rsid w:val="60FE0A13"/>
    <w:rsid w:val="60FF2E6B"/>
    <w:rsid w:val="61128875"/>
    <w:rsid w:val="6113B959"/>
    <w:rsid w:val="6115DAF3"/>
    <w:rsid w:val="611715F4"/>
    <w:rsid w:val="611B11A4"/>
    <w:rsid w:val="611D591C"/>
    <w:rsid w:val="612220BB"/>
    <w:rsid w:val="61226602"/>
    <w:rsid w:val="612D296A"/>
    <w:rsid w:val="61301366"/>
    <w:rsid w:val="6133022A"/>
    <w:rsid w:val="6138FBE3"/>
    <w:rsid w:val="613BB2F8"/>
    <w:rsid w:val="61407117"/>
    <w:rsid w:val="61557EE6"/>
    <w:rsid w:val="6156E18A"/>
    <w:rsid w:val="6159C2BF"/>
    <w:rsid w:val="616FCE2A"/>
    <w:rsid w:val="6173649A"/>
    <w:rsid w:val="61740B26"/>
    <w:rsid w:val="617B1414"/>
    <w:rsid w:val="618D246C"/>
    <w:rsid w:val="61A81FB2"/>
    <w:rsid w:val="61B3FC30"/>
    <w:rsid w:val="61D6E813"/>
    <w:rsid w:val="61D7572A"/>
    <w:rsid w:val="61E07986"/>
    <w:rsid w:val="61F4D25A"/>
    <w:rsid w:val="61F787D8"/>
    <w:rsid w:val="62007AFF"/>
    <w:rsid w:val="620178A6"/>
    <w:rsid w:val="620A759A"/>
    <w:rsid w:val="621408F3"/>
    <w:rsid w:val="6214C1CC"/>
    <w:rsid w:val="6221513B"/>
    <w:rsid w:val="622B5D58"/>
    <w:rsid w:val="622F1150"/>
    <w:rsid w:val="622F9947"/>
    <w:rsid w:val="6233A67F"/>
    <w:rsid w:val="623BF9B6"/>
    <w:rsid w:val="623E27D4"/>
    <w:rsid w:val="62462A06"/>
    <w:rsid w:val="624A5D19"/>
    <w:rsid w:val="625948CD"/>
    <w:rsid w:val="62607ABF"/>
    <w:rsid w:val="6261610F"/>
    <w:rsid w:val="62660AC1"/>
    <w:rsid w:val="6285981A"/>
    <w:rsid w:val="62908193"/>
    <w:rsid w:val="62928A1D"/>
    <w:rsid w:val="6299EA6D"/>
    <w:rsid w:val="629A5291"/>
    <w:rsid w:val="62A28EC0"/>
    <w:rsid w:val="62B30FEE"/>
    <w:rsid w:val="62B6AE57"/>
    <w:rsid w:val="62BC5473"/>
    <w:rsid w:val="62C02700"/>
    <w:rsid w:val="62C1F031"/>
    <w:rsid w:val="62E3E88F"/>
    <w:rsid w:val="62EBE0FD"/>
    <w:rsid w:val="62ECE833"/>
    <w:rsid w:val="62EFFA68"/>
    <w:rsid w:val="62F8AB94"/>
    <w:rsid w:val="62F91010"/>
    <w:rsid w:val="63063D27"/>
    <w:rsid w:val="630A38C6"/>
    <w:rsid w:val="63110EFD"/>
    <w:rsid w:val="63182AB1"/>
    <w:rsid w:val="631C0504"/>
    <w:rsid w:val="631CB224"/>
    <w:rsid w:val="631EF24F"/>
    <w:rsid w:val="632015AC"/>
    <w:rsid w:val="6323E68D"/>
    <w:rsid w:val="632A1816"/>
    <w:rsid w:val="632A62B5"/>
    <w:rsid w:val="63371F9E"/>
    <w:rsid w:val="633A8837"/>
    <w:rsid w:val="6341F73C"/>
    <w:rsid w:val="634758F9"/>
    <w:rsid w:val="634B6172"/>
    <w:rsid w:val="637995DB"/>
    <w:rsid w:val="637BFF17"/>
    <w:rsid w:val="6381420B"/>
    <w:rsid w:val="6384800C"/>
    <w:rsid w:val="63899F9D"/>
    <w:rsid w:val="639B7BFA"/>
    <w:rsid w:val="639CE17C"/>
    <w:rsid w:val="639E7F97"/>
    <w:rsid w:val="639F8F67"/>
    <w:rsid w:val="63AD7719"/>
    <w:rsid w:val="63AF1902"/>
    <w:rsid w:val="63AFEDDD"/>
    <w:rsid w:val="63BB07B4"/>
    <w:rsid w:val="63D76C71"/>
    <w:rsid w:val="63DC18C7"/>
    <w:rsid w:val="63DC9770"/>
    <w:rsid w:val="63DFE02D"/>
    <w:rsid w:val="63E9D893"/>
    <w:rsid w:val="63EA4940"/>
    <w:rsid w:val="63F7EA1D"/>
    <w:rsid w:val="64071899"/>
    <w:rsid w:val="640A9B12"/>
    <w:rsid w:val="641778BE"/>
    <w:rsid w:val="6417EFE2"/>
    <w:rsid w:val="641B5AEE"/>
    <w:rsid w:val="641F1EE6"/>
    <w:rsid w:val="64273DB9"/>
    <w:rsid w:val="6430A6BD"/>
    <w:rsid w:val="64375613"/>
    <w:rsid w:val="64462ED9"/>
    <w:rsid w:val="644BA1D9"/>
    <w:rsid w:val="644E8877"/>
    <w:rsid w:val="645B8BC4"/>
    <w:rsid w:val="646C0541"/>
    <w:rsid w:val="646F5023"/>
    <w:rsid w:val="64837ABE"/>
    <w:rsid w:val="64937822"/>
    <w:rsid w:val="6498BBB6"/>
    <w:rsid w:val="64992A65"/>
    <w:rsid w:val="64A29542"/>
    <w:rsid w:val="64A2DC24"/>
    <w:rsid w:val="64BBE51A"/>
    <w:rsid w:val="64BF9318"/>
    <w:rsid w:val="64C7823B"/>
    <w:rsid w:val="64CB0659"/>
    <w:rsid w:val="64D7579B"/>
    <w:rsid w:val="64F86D5A"/>
    <w:rsid w:val="65024565"/>
    <w:rsid w:val="650924A5"/>
    <w:rsid w:val="650A3F15"/>
    <w:rsid w:val="651DDC8E"/>
    <w:rsid w:val="6525F8E7"/>
    <w:rsid w:val="6527E390"/>
    <w:rsid w:val="65387620"/>
    <w:rsid w:val="6541C49F"/>
    <w:rsid w:val="655668C2"/>
    <w:rsid w:val="656023E9"/>
    <w:rsid w:val="65671120"/>
    <w:rsid w:val="65735A22"/>
    <w:rsid w:val="6577D29B"/>
    <w:rsid w:val="6587AE89"/>
    <w:rsid w:val="65988B1C"/>
    <w:rsid w:val="659E3860"/>
    <w:rsid w:val="65A06A23"/>
    <w:rsid w:val="65A7F509"/>
    <w:rsid w:val="65AAE546"/>
    <w:rsid w:val="65AC4A9E"/>
    <w:rsid w:val="65B82BAA"/>
    <w:rsid w:val="65C470D4"/>
    <w:rsid w:val="65CFAF02"/>
    <w:rsid w:val="65E8D50D"/>
    <w:rsid w:val="65EFD00E"/>
    <w:rsid w:val="65F328FB"/>
    <w:rsid w:val="65FBEF26"/>
    <w:rsid w:val="66002413"/>
    <w:rsid w:val="6608CCF9"/>
    <w:rsid w:val="660AEB4E"/>
    <w:rsid w:val="6612FB2C"/>
    <w:rsid w:val="661611C1"/>
    <w:rsid w:val="661AA62E"/>
    <w:rsid w:val="661FB4B4"/>
    <w:rsid w:val="6621F5A8"/>
    <w:rsid w:val="66227C0E"/>
    <w:rsid w:val="662845D9"/>
    <w:rsid w:val="662D006B"/>
    <w:rsid w:val="66317F89"/>
    <w:rsid w:val="66351898"/>
    <w:rsid w:val="6639324B"/>
    <w:rsid w:val="66448F83"/>
    <w:rsid w:val="6648CEF3"/>
    <w:rsid w:val="664E845B"/>
    <w:rsid w:val="6651CEB8"/>
    <w:rsid w:val="6659009C"/>
    <w:rsid w:val="66607AD2"/>
    <w:rsid w:val="6662190E"/>
    <w:rsid w:val="666389EC"/>
    <w:rsid w:val="66691D5D"/>
    <w:rsid w:val="666E2ED9"/>
    <w:rsid w:val="666E5EC0"/>
    <w:rsid w:val="6671DF6A"/>
    <w:rsid w:val="6675E410"/>
    <w:rsid w:val="667614A5"/>
    <w:rsid w:val="667890AE"/>
    <w:rsid w:val="667C2FED"/>
    <w:rsid w:val="6689EBB1"/>
    <w:rsid w:val="668D0AD9"/>
    <w:rsid w:val="669620E4"/>
    <w:rsid w:val="6696C913"/>
    <w:rsid w:val="66994105"/>
    <w:rsid w:val="66AFBDF0"/>
    <w:rsid w:val="66B2F604"/>
    <w:rsid w:val="66C8DEB0"/>
    <w:rsid w:val="66C9071E"/>
    <w:rsid w:val="66C925CA"/>
    <w:rsid w:val="66D3892C"/>
    <w:rsid w:val="66D5BBDF"/>
    <w:rsid w:val="66D9FCDE"/>
    <w:rsid w:val="66DF5A39"/>
    <w:rsid w:val="66E1297A"/>
    <w:rsid w:val="66E46700"/>
    <w:rsid w:val="66E4F872"/>
    <w:rsid w:val="66E7DCAA"/>
    <w:rsid w:val="66E7EEB8"/>
    <w:rsid w:val="66E9779E"/>
    <w:rsid w:val="66EF4C77"/>
    <w:rsid w:val="66F75C7F"/>
    <w:rsid w:val="6719631B"/>
    <w:rsid w:val="6722FB90"/>
    <w:rsid w:val="672A0CD2"/>
    <w:rsid w:val="672BF27B"/>
    <w:rsid w:val="672CD60A"/>
    <w:rsid w:val="672FD51B"/>
    <w:rsid w:val="673D02A0"/>
    <w:rsid w:val="6742E52A"/>
    <w:rsid w:val="674425B1"/>
    <w:rsid w:val="67484C68"/>
    <w:rsid w:val="674C7DB2"/>
    <w:rsid w:val="6752F0A9"/>
    <w:rsid w:val="6759F1B1"/>
    <w:rsid w:val="67622DB0"/>
    <w:rsid w:val="6764C794"/>
    <w:rsid w:val="676CE4AB"/>
    <w:rsid w:val="676F7BFE"/>
    <w:rsid w:val="678664E0"/>
    <w:rsid w:val="6787E713"/>
    <w:rsid w:val="6788E790"/>
    <w:rsid w:val="67A0BD9D"/>
    <w:rsid w:val="67A4A553"/>
    <w:rsid w:val="67B4D173"/>
    <w:rsid w:val="67B4D3A1"/>
    <w:rsid w:val="67B7D22C"/>
    <w:rsid w:val="67BAA6CB"/>
    <w:rsid w:val="67C21DB7"/>
    <w:rsid w:val="67C35A78"/>
    <w:rsid w:val="67D4E17C"/>
    <w:rsid w:val="67D9F988"/>
    <w:rsid w:val="67DC342E"/>
    <w:rsid w:val="67DDB82E"/>
    <w:rsid w:val="67EC8AD0"/>
    <w:rsid w:val="67F001B8"/>
    <w:rsid w:val="67F6F5BB"/>
    <w:rsid w:val="67F75F95"/>
    <w:rsid w:val="67FF0012"/>
    <w:rsid w:val="68094856"/>
    <w:rsid w:val="680ED8D3"/>
    <w:rsid w:val="680F3E9F"/>
    <w:rsid w:val="68250413"/>
    <w:rsid w:val="6831D0E0"/>
    <w:rsid w:val="683504A2"/>
    <w:rsid w:val="6836A997"/>
    <w:rsid w:val="683A0E7A"/>
    <w:rsid w:val="68454659"/>
    <w:rsid w:val="6845E2D1"/>
    <w:rsid w:val="684E4198"/>
    <w:rsid w:val="685E2D2E"/>
    <w:rsid w:val="685E8849"/>
    <w:rsid w:val="686A14C1"/>
    <w:rsid w:val="68710FE9"/>
    <w:rsid w:val="68932781"/>
    <w:rsid w:val="68977C2F"/>
    <w:rsid w:val="68978368"/>
    <w:rsid w:val="689BF9F3"/>
    <w:rsid w:val="689D044E"/>
    <w:rsid w:val="68BEFE9C"/>
    <w:rsid w:val="68D55DC1"/>
    <w:rsid w:val="68D7ABEF"/>
    <w:rsid w:val="68D944EB"/>
    <w:rsid w:val="68EA1D9F"/>
    <w:rsid w:val="68F7F4C4"/>
    <w:rsid w:val="68FB0A16"/>
    <w:rsid w:val="68FB1B0D"/>
    <w:rsid w:val="6902241B"/>
    <w:rsid w:val="69043F1E"/>
    <w:rsid w:val="69472C32"/>
    <w:rsid w:val="6950C594"/>
    <w:rsid w:val="69557A04"/>
    <w:rsid w:val="6958C35E"/>
    <w:rsid w:val="69626403"/>
    <w:rsid w:val="6964ED23"/>
    <w:rsid w:val="696C1FE8"/>
    <w:rsid w:val="696FB1F5"/>
    <w:rsid w:val="6971F4EE"/>
    <w:rsid w:val="69728E81"/>
    <w:rsid w:val="697D15B6"/>
    <w:rsid w:val="6992E716"/>
    <w:rsid w:val="69960EEF"/>
    <w:rsid w:val="69992D71"/>
    <w:rsid w:val="699A733A"/>
    <w:rsid w:val="699B4EB1"/>
    <w:rsid w:val="69A7256F"/>
    <w:rsid w:val="69A79E50"/>
    <w:rsid w:val="69B5CFAB"/>
    <w:rsid w:val="69B77942"/>
    <w:rsid w:val="69BAA7D0"/>
    <w:rsid w:val="69C736C2"/>
    <w:rsid w:val="69C98875"/>
    <w:rsid w:val="69CA41E9"/>
    <w:rsid w:val="69CF71CE"/>
    <w:rsid w:val="69D2E2D5"/>
    <w:rsid w:val="69D4D70F"/>
    <w:rsid w:val="69DC9038"/>
    <w:rsid w:val="6A06FB17"/>
    <w:rsid w:val="6A0A3A7D"/>
    <w:rsid w:val="6A0BAE5F"/>
    <w:rsid w:val="6A1AE356"/>
    <w:rsid w:val="6A1F6584"/>
    <w:rsid w:val="6A2E2361"/>
    <w:rsid w:val="6A375B15"/>
    <w:rsid w:val="6A393C5C"/>
    <w:rsid w:val="6A3B498A"/>
    <w:rsid w:val="6A5831B2"/>
    <w:rsid w:val="6A615798"/>
    <w:rsid w:val="6A6410A2"/>
    <w:rsid w:val="6A8FA4E6"/>
    <w:rsid w:val="6A94F64C"/>
    <w:rsid w:val="6AA2083C"/>
    <w:rsid w:val="6AAE5DD6"/>
    <w:rsid w:val="6AAF895D"/>
    <w:rsid w:val="6AB09805"/>
    <w:rsid w:val="6AB62521"/>
    <w:rsid w:val="6ABD1803"/>
    <w:rsid w:val="6ABD21F6"/>
    <w:rsid w:val="6ABEBE3A"/>
    <w:rsid w:val="6AC4FC1F"/>
    <w:rsid w:val="6AC73BCD"/>
    <w:rsid w:val="6ACB4FBF"/>
    <w:rsid w:val="6ACDC3ED"/>
    <w:rsid w:val="6AD4C592"/>
    <w:rsid w:val="6AE98939"/>
    <w:rsid w:val="6AEDA98B"/>
    <w:rsid w:val="6AFA730C"/>
    <w:rsid w:val="6AFD60F9"/>
    <w:rsid w:val="6B05423F"/>
    <w:rsid w:val="6B06F922"/>
    <w:rsid w:val="6B1FA9AC"/>
    <w:rsid w:val="6B30E331"/>
    <w:rsid w:val="6B497416"/>
    <w:rsid w:val="6B4E265E"/>
    <w:rsid w:val="6B548EBA"/>
    <w:rsid w:val="6B6B0172"/>
    <w:rsid w:val="6B75CB3C"/>
    <w:rsid w:val="6B89DD5A"/>
    <w:rsid w:val="6B8FC31F"/>
    <w:rsid w:val="6B9A1DEB"/>
    <w:rsid w:val="6BA198F1"/>
    <w:rsid w:val="6BB97734"/>
    <w:rsid w:val="6BBF7C80"/>
    <w:rsid w:val="6BC0E3EE"/>
    <w:rsid w:val="6BC870BA"/>
    <w:rsid w:val="6BCD4453"/>
    <w:rsid w:val="6BCF8894"/>
    <w:rsid w:val="6BD7E63B"/>
    <w:rsid w:val="6BE7DEEC"/>
    <w:rsid w:val="6C070111"/>
    <w:rsid w:val="6C1986D8"/>
    <w:rsid w:val="6C2241E2"/>
    <w:rsid w:val="6C270D01"/>
    <w:rsid w:val="6C303796"/>
    <w:rsid w:val="6C30ADF5"/>
    <w:rsid w:val="6C35075E"/>
    <w:rsid w:val="6C3629A0"/>
    <w:rsid w:val="6C40764E"/>
    <w:rsid w:val="6C51B396"/>
    <w:rsid w:val="6C562671"/>
    <w:rsid w:val="6C5D51D3"/>
    <w:rsid w:val="6C6222AE"/>
    <w:rsid w:val="6C68596D"/>
    <w:rsid w:val="6C73C2B5"/>
    <w:rsid w:val="6C7F4F35"/>
    <w:rsid w:val="6C824C8A"/>
    <w:rsid w:val="6C831B5A"/>
    <w:rsid w:val="6C83BCE7"/>
    <w:rsid w:val="6C8535B1"/>
    <w:rsid w:val="6C8CDF39"/>
    <w:rsid w:val="6C951705"/>
    <w:rsid w:val="6CA8256B"/>
    <w:rsid w:val="6CAE5D84"/>
    <w:rsid w:val="6CBB15BA"/>
    <w:rsid w:val="6CBFA232"/>
    <w:rsid w:val="6CC68C74"/>
    <w:rsid w:val="6CD8CF01"/>
    <w:rsid w:val="6CF19C50"/>
    <w:rsid w:val="6CFD4A3B"/>
    <w:rsid w:val="6CFE2CC3"/>
    <w:rsid w:val="6D07B87B"/>
    <w:rsid w:val="6D0B353E"/>
    <w:rsid w:val="6D113105"/>
    <w:rsid w:val="6D1721DE"/>
    <w:rsid w:val="6D178B8A"/>
    <w:rsid w:val="6D295381"/>
    <w:rsid w:val="6D2A3896"/>
    <w:rsid w:val="6D2BF3C7"/>
    <w:rsid w:val="6D2C2CA2"/>
    <w:rsid w:val="6D2C61E6"/>
    <w:rsid w:val="6D30ADB7"/>
    <w:rsid w:val="6D320FA8"/>
    <w:rsid w:val="6D33DD9D"/>
    <w:rsid w:val="6D44656A"/>
    <w:rsid w:val="6D4DFC09"/>
    <w:rsid w:val="6D524696"/>
    <w:rsid w:val="6D53C6DC"/>
    <w:rsid w:val="6D572A6E"/>
    <w:rsid w:val="6D6B9E36"/>
    <w:rsid w:val="6D6BC79A"/>
    <w:rsid w:val="6D77ABB4"/>
    <w:rsid w:val="6D78F43D"/>
    <w:rsid w:val="6D893D8D"/>
    <w:rsid w:val="6D8B41E8"/>
    <w:rsid w:val="6D91E76E"/>
    <w:rsid w:val="6D92E0B5"/>
    <w:rsid w:val="6D944E3B"/>
    <w:rsid w:val="6D95C10E"/>
    <w:rsid w:val="6D96540B"/>
    <w:rsid w:val="6DA65BF0"/>
    <w:rsid w:val="6DAB66DD"/>
    <w:rsid w:val="6DB039B9"/>
    <w:rsid w:val="6DBA373A"/>
    <w:rsid w:val="6DC1A2A5"/>
    <w:rsid w:val="6DC74254"/>
    <w:rsid w:val="6DCA662A"/>
    <w:rsid w:val="6DEC7B39"/>
    <w:rsid w:val="6DF386AC"/>
    <w:rsid w:val="6DF91A7C"/>
    <w:rsid w:val="6DFD084D"/>
    <w:rsid w:val="6E05CACA"/>
    <w:rsid w:val="6E097D3E"/>
    <w:rsid w:val="6E0B97CD"/>
    <w:rsid w:val="6E14AC60"/>
    <w:rsid w:val="6E1557F1"/>
    <w:rsid w:val="6E158195"/>
    <w:rsid w:val="6E1C207B"/>
    <w:rsid w:val="6E1C94B5"/>
    <w:rsid w:val="6E1D287D"/>
    <w:rsid w:val="6E24BCBD"/>
    <w:rsid w:val="6E268FDB"/>
    <w:rsid w:val="6E2E7413"/>
    <w:rsid w:val="6E2F789B"/>
    <w:rsid w:val="6E4769EE"/>
    <w:rsid w:val="6E4D7D8C"/>
    <w:rsid w:val="6E629D3B"/>
    <w:rsid w:val="6E6626F8"/>
    <w:rsid w:val="6E69086B"/>
    <w:rsid w:val="6E7212AD"/>
    <w:rsid w:val="6E73D812"/>
    <w:rsid w:val="6E89952E"/>
    <w:rsid w:val="6E973C4A"/>
    <w:rsid w:val="6EA020C6"/>
    <w:rsid w:val="6EA0EA14"/>
    <w:rsid w:val="6EA6EB70"/>
    <w:rsid w:val="6EA94088"/>
    <w:rsid w:val="6EAFA5F1"/>
    <w:rsid w:val="6EB47483"/>
    <w:rsid w:val="6EB6233E"/>
    <w:rsid w:val="6EB62623"/>
    <w:rsid w:val="6EB8420B"/>
    <w:rsid w:val="6EBB5691"/>
    <w:rsid w:val="6EBE90A7"/>
    <w:rsid w:val="6EC3B12F"/>
    <w:rsid w:val="6ECCFE62"/>
    <w:rsid w:val="6ED1C7C5"/>
    <w:rsid w:val="6EDB0298"/>
    <w:rsid w:val="6EEE3CB8"/>
    <w:rsid w:val="6EEED5AD"/>
    <w:rsid w:val="6EEF7A71"/>
    <w:rsid w:val="6EF32BC8"/>
    <w:rsid w:val="6EF4AFE1"/>
    <w:rsid w:val="6EF5D168"/>
    <w:rsid w:val="6EFA2A9E"/>
    <w:rsid w:val="6EFAE518"/>
    <w:rsid w:val="6EFC312D"/>
    <w:rsid w:val="6F0485E6"/>
    <w:rsid w:val="6F15F496"/>
    <w:rsid w:val="6F19C5EE"/>
    <w:rsid w:val="6F2610E7"/>
    <w:rsid w:val="6F288DB5"/>
    <w:rsid w:val="6F2A6BA2"/>
    <w:rsid w:val="6F4121D9"/>
    <w:rsid w:val="6F417E74"/>
    <w:rsid w:val="6F54E689"/>
    <w:rsid w:val="6F595B96"/>
    <w:rsid w:val="6F5B2EED"/>
    <w:rsid w:val="6F5EE7C8"/>
    <w:rsid w:val="6F67150E"/>
    <w:rsid w:val="6F79C402"/>
    <w:rsid w:val="6F7F0A04"/>
    <w:rsid w:val="6F81C36F"/>
    <w:rsid w:val="6F84ECAE"/>
    <w:rsid w:val="6FA0DEC7"/>
    <w:rsid w:val="6FAA3CAA"/>
    <w:rsid w:val="6FB08DB6"/>
    <w:rsid w:val="6FB3E7E9"/>
    <w:rsid w:val="6FBF92D7"/>
    <w:rsid w:val="6FC8CF42"/>
    <w:rsid w:val="6FD2307A"/>
    <w:rsid w:val="6FE3D337"/>
    <w:rsid w:val="6FE47869"/>
    <w:rsid w:val="6FE8A99F"/>
    <w:rsid w:val="6FEA6F20"/>
    <w:rsid w:val="6FEE5325"/>
    <w:rsid w:val="6FF51F3A"/>
    <w:rsid w:val="70041B25"/>
    <w:rsid w:val="7011DEC2"/>
    <w:rsid w:val="702960BC"/>
    <w:rsid w:val="702A493D"/>
    <w:rsid w:val="703274FF"/>
    <w:rsid w:val="7033C288"/>
    <w:rsid w:val="704AEAC4"/>
    <w:rsid w:val="704C57CE"/>
    <w:rsid w:val="704CBA05"/>
    <w:rsid w:val="70586293"/>
    <w:rsid w:val="705B5DE2"/>
    <w:rsid w:val="705E5476"/>
    <w:rsid w:val="7067FAAE"/>
    <w:rsid w:val="706BC392"/>
    <w:rsid w:val="707350F3"/>
    <w:rsid w:val="707704DC"/>
    <w:rsid w:val="70779333"/>
    <w:rsid w:val="707C16DE"/>
    <w:rsid w:val="709C2A0E"/>
    <w:rsid w:val="70A0EEF8"/>
    <w:rsid w:val="70A9A1F5"/>
    <w:rsid w:val="70B0D1FF"/>
    <w:rsid w:val="70B7BA4C"/>
    <w:rsid w:val="70BAC39E"/>
    <w:rsid w:val="70BF2B07"/>
    <w:rsid w:val="70C06624"/>
    <w:rsid w:val="70CC1EAE"/>
    <w:rsid w:val="70D43C2B"/>
    <w:rsid w:val="70D81898"/>
    <w:rsid w:val="70D8F290"/>
    <w:rsid w:val="70D919DA"/>
    <w:rsid w:val="70D91B13"/>
    <w:rsid w:val="70DB454F"/>
    <w:rsid w:val="70E51D4D"/>
    <w:rsid w:val="70F37CB7"/>
    <w:rsid w:val="70F47B23"/>
    <w:rsid w:val="70FE5628"/>
    <w:rsid w:val="710675AB"/>
    <w:rsid w:val="7114EBE0"/>
    <w:rsid w:val="712153F2"/>
    <w:rsid w:val="71244FD8"/>
    <w:rsid w:val="712D8E34"/>
    <w:rsid w:val="712FEB2F"/>
    <w:rsid w:val="71350883"/>
    <w:rsid w:val="713AF2E5"/>
    <w:rsid w:val="71412DD6"/>
    <w:rsid w:val="71440C21"/>
    <w:rsid w:val="7147D931"/>
    <w:rsid w:val="714C4598"/>
    <w:rsid w:val="71575EF9"/>
    <w:rsid w:val="715A86F7"/>
    <w:rsid w:val="715D321D"/>
    <w:rsid w:val="715E1A0C"/>
    <w:rsid w:val="71650433"/>
    <w:rsid w:val="7166989D"/>
    <w:rsid w:val="71672D02"/>
    <w:rsid w:val="716CE111"/>
    <w:rsid w:val="7175FB6C"/>
    <w:rsid w:val="71762294"/>
    <w:rsid w:val="7182CAC6"/>
    <w:rsid w:val="7185CD4C"/>
    <w:rsid w:val="718658B6"/>
    <w:rsid w:val="718FDDC7"/>
    <w:rsid w:val="71941CDB"/>
    <w:rsid w:val="7199FC7A"/>
    <w:rsid w:val="719AC176"/>
    <w:rsid w:val="71A22F41"/>
    <w:rsid w:val="71A45E2D"/>
    <w:rsid w:val="71C2E76C"/>
    <w:rsid w:val="71C87906"/>
    <w:rsid w:val="71D1B7A4"/>
    <w:rsid w:val="71D2B616"/>
    <w:rsid w:val="71D3A983"/>
    <w:rsid w:val="71E74D9E"/>
    <w:rsid w:val="71F03244"/>
    <w:rsid w:val="71FD3793"/>
    <w:rsid w:val="720737CC"/>
    <w:rsid w:val="720DA719"/>
    <w:rsid w:val="720EBCA9"/>
    <w:rsid w:val="72175842"/>
    <w:rsid w:val="721A292E"/>
    <w:rsid w:val="721B96C1"/>
    <w:rsid w:val="722173A9"/>
    <w:rsid w:val="7228E45E"/>
    <w:rsid w:val="722C6ABC"/>
    <w:rsid w:val="723690E2"/>
    <w:rsid w:val="72371E8A"/>
    <w:rsid w:val="7262CBEC"/>
    <w:rsid w:val="72664F64"/>
    <w:rsid w:val="72681010"/>
    <w:rsid w:val="7275094B"/>
    <w:rsid w:val="72987026"/>
    <w:rsid w:val="729F697D"/>
    <w:rsid w:val="729FA763"/>
    <w:rsid w:val="72A08014"/>
    <w:rsid w:val="72A11462"/>
    <w:rsid w:val="72ADADCC"/>
    <w:rsid w:val="72B995DA"/>
    <w:rsid w:val="72BB3711"/>
    <w:rsid w:val="72C81AEA"/>
    <w:rsid w:val="72C944D6"/>
    <w:rsid w:val="72D7028D"/>
    <w:rsid w:val="72DF7845"/>
    <w:rsid w:val="72E0645D"/>
    <w:rsid w:val="72E0EAAF"/>
    <w:rsid w:val="72E29875"/>
    <w:rsid w:val="72E33681"/>
    <w:rsid w:val="72E5A85C"/>
    <w:rsid w:val="72E6E680"/>
    <w:rsid w:val="72E6FEDA"/>
    <w:rsid w:val="72E7F3F8"/>
    <w:rsid w:val="72F26D59"/>
    <w:rsid w:val="72F80994"/>
    <w:rsid w:val="7300A016"/>
    <w:rsid w:val="7302F70D"/>
    <w:rsid w:val="731541A4"/>
    <w:rsid w:val="73191CAD"/>
    <w:rsid w:val="732072BB"/>
    <w:rsid w:val="7337EE6F"/>
    <w:rsid w:val="734B14CE"/>
    <w:rsid w:val="73558E57"/>
    <w:rsid w:val="7376023F"/>
    <w:rsid w:val="73864546"/>
    <w:rsid w:val="7389BB49"/>
    <w:rsid w:val="738B6A77"/>
    <w:rsid w:val="7394B979"/>
    <w:rsid w:val="739CBDC1"/>
    <w:rsid w:val="73A0B0CD"/>
    <w:rsid w:val="73A28C2F"/>
    <w:rsid w:val="73A8E8F0"/>
    <w:rsid w:val="73AE9625"/>
    <w:rsid w:val="73B5786C"/>
    <w:rsid w:val="73B5A08C"/>
    <w:rsid w:val="73C9622C"/>
    <w:rsid w:val="73D20D70"/>
    <w:rsid w:val="73D864A6"/>
    <w:rsid w:val="73E5F810"/>
    <w:rsid w:val="73EA623D"/>
    <w:rsid w:val="73EF79F9"/>
    <w:rsid w:val="73F1D34C"/>
    <w:rsid w:val="73F2BF57"/>
    <w:rsid w:val="73F59F50"/>
    <w:rsid w:val="740980B7"/>
    <w:rsid w:val="7414A75E"/>
    <w:rsid w:val="74175D71"/>
    <w:rsid w:val="741A880E"/>
    <w:rsid w:val="7420DCFE"/>
    <w:rsid w:val="7430B2F3"/>
    <w:rsid w:val="7431D583"/>
    <w:rsid w:val="74368323"/>
    <w:rsid w:val="7444E35C"/>
    <w:rsid w:val="7453501C"/>
    <w:rsid w:val="746279C1"/>
    <w:rsid w:val="746FD520"/>
    <w:rsid w:val="74851F86"/>
    <w:rsid w:val="74880749"/>
    <w:rsid w:val="7491BF25"/>
    <w:rsid w:val="74920AF5"/>
    <w:rsid w:val="74964A9C"/>
    <w:rsid w:val="749A61DB"/>
    <w:rsid w:val="74B7445A"/>
    <w:rsid w:val="74BBBD99"/>
    <w:rsid w:val="74C37881"/>
    <w:rsid w:val="74CA3D70"/>
    <w:rsid w:val="74CB78E9"/>
    <w:rsid w:val="74D595EF"/>
    <w:rsid w:val="74DA17C4"/>
    <w:rsid w:val="74DABB89"/>
    <w:rsid w:val="74DC108B"/>
    <w:rsid w:val="74E5AD26"/>
    <w:rsid w:val="74E811C4"/>
    <w:rsid w:val="74FDE00C"/>
    <w:rsid w:val="74FE86DE"/>
    <w:rsid w:val="7514F408"/>
    <w:rsid w:val="751CD71A"/>
    <w:rsid w:val="751CF7EC"/>
    <w:rsid w:val="751D2A42"/>
    <w:rsid w:val="75283214"/>
    <w:rsid w:val="752D4409"/>
    <w:rsid w:val="7539A95A"/>
    <w:rsid w:val="7539DE7B"/>
    <w:rsid w:val="7539F3F0"/>
    <w:rsid w:val="753BC6B5"/>
    <w:rsid w:val="754612BF"/>
    <w:rsid w:val="7548CD4A"/>
    <w:rsid w:val="754BBDB9"/>
    <w:rsid w:val="754DF4B2"/>
    <w:rsid w:val="758035B7"/>
    <w:rsid w:val="7583EB6D"/>
    <w:rsid w:val="7588197F"/>
    <w:rsid w:val="7595BA98"/>
    <w:rsid w:val="759EB911"/>
    <w:rsid w:val="75A0DBAC"/>
    <w:rsid w:val="75A18CC4"/>
    <w:rsid w:val="75ACF454"/>
    <w:rsid w:val="75AF2F48"/>
    <w:rsid w:val="75B46031"/>
    <w:rsid w:val="75B49F9F"/>
    <w:rsid w:val="75B6C61B"/>
    <w:rsid w:val="75B77057"/>
    <w:rsid w:val="75CA6564"/>
    <w:rsid w:val="75D9AC03"/>
    <w:rsid w:val="75DEABB3"/>
    <w:rsid w:val="75E891EF"/>
    <w:rsid w:val="75F6CD19"/>
    <w:rsid w:val="75F9DEC5"/>
    <w:rsid w:val="75FF40D5"/>
    <w:rsid w:val="761A3FCB"/>
    <w:rsid w:val="761F2683"/>
    <w:rsid w:val="76217EF6"/>
    <w:rsid w:val="76390ACF"/>
    <w:rsid w:val="763CCD36"/>
    <w:rsid w:val="767261E9"/>
    <w:rsid w:val="76894132"/>
    <w:rsid w:val="7696A639"/>
    <w:rsid w:val="769F6D0B"/>
    <w:rsid w:val="769FB965"/>
    <w:rsid w:val="76A2B8E6"/>
    <w:rsid w:val="76A2BE69"/>
    <w:rsid w:val="76BF7599"/>
    <w:rsid w:val="76BFA0AD"/>
    <w:rsid w:val="76C8247A"/>
    <w:rsid w:val="76CEB4F2"/>
    <w:rsid w:val="76E9D12E"/>
    <w:rsid w:val="76EBF968"/>
    <w:rsid w:val="76EFAAFA"/>
    <w:rsid w:val="76F0C63B"/>
    <w:rsid w:val="76F6F7F1"/>
    <w:rsid w:val="76FF5BB0"/>
    <w:rsid w:val="7700B1A2"/>
    <w:rsid w:val="77029C46"/>
    <w:rsid w:val="7717310C"/>
    <w:rsid w:val="771F4761"/>
    <w:rsid w:val="7722655A"/>
    <w:rsid w:val="7724B796"/>
    <w:rsid w:val="7727E87E"/>
    <w:rsid w:val="772E1163"/>
    <w:rsid w:val="7730B724"/>
    <w:rsid w:val="773F5CA7"/>
    <w:rsid w:val="774E55F8"/>
    <w:rsid w:val="77521652"/>
    <w:rsid w:val="775DD9DF"/>
    <w:rsid w:val="77609579"/>
    <w:rsid w:val="7766C6EC"/>
    <w:rsid w:val="7769B203"/>
    <w:rsid w:val="777173D2"/>
    <w:rsid w:val="7775A60E"/>
    <w:rsid w:val="7783E7AB"/>
    <w:rsid w:val="77855404"/>
    <w:rsid w:val="77893EE7"/>
    <w:rsid w:val="778CE2DD"/>
    <w:rsid w:val="778F3767"/>
    <w:rsid w:val="779200E9"/>
    <w:rsid w:val="77980BF5"/>
    <w:rsid w:val="779B349A"/>
    <w:rsid w:val="77A37394"/>
    <w:rsid w:val="77A60360"/>
    <w:rsid w:val="77AA577A"/>
    <w:rsid w:val="77AFE76F"/>
    <w:rsid w:val="77B3C9C3"/>
    <w:rsid w:val="77B4DA07"/>
    <w:rsid w:val="77B5E7F3"/>
    <w:rsid w:val="77B6FF22"/>
    <w:rsid w:val="77BB437E"/>
    <w:rsid w:val="77CCB3EB"/>
    <w:rsid w:val="77D806CA"/>
    <w:rsid w:val="77DEC59B"/>
    <w:rsid w:val="77E081B5"/>
    <w:rsid w:val="77E4D1B8"/>
    <w:rsid w:val="77E83BE5"/>
    <w:rsid w:val="77ED98B2"/>
    <w:rsid w:val="77F2BB3C"/>
    <w:rsid w:val="77FC3FD0"/>
    <w:rsid w:val="78009FD4"/>
    <w:rsid w:val="78011BFC"/>
    <w:rsid w:val="7802FE3E"/>
    <w:rsid w:val="780345A5"/>
    <w:rsid w:val="78087B66"/>
    <w:rsid w:val="78219D2F"/>
    <w:rsid w:val="7829B8F7"/>
    <w:rsid w:val="78345F03"/>
    <w:rsid w:val="783D020A"/>
    <w:rsid w:val="78407C70"/>
    <w:rsid w:val="784B3E88"/>
    <w:rsid w:val="787648B0"/>
    <w:rsid w:val="787B7F80"/>
    <w:rsid w:val="787DDB6F"/>
    <w:rsid w:val="788C7A3C"/>
    <w:rsid w:val="788C9295"/>
    <w:rsid w:val="788D9570"/>
    <w:rsid w:val="788F6296"/>
    <w:rsid w:val="788FB93A"/>
    <w:rsid w:val="7894EE3C"/>
    <w:rsid w:val="78A694C7"/>
    <w:rsid w:val="78A7DA1F"/>
    <w:rsid w:val="78AB50CE"/>
    <w:rsid w:val="78AC07E1"/>
    <w:rsid w:val="78AE163D"/>
    <w:rsid w:val="78B2F48E"/>
    <w:rsid w:val="78BAB1CC"/>
    <w:rsid w:val="78D4581E"/>
    <w:rsid w:val="78D9BE71"/>
    <w:rsid w:val="78E4BA25"/>
    <w:rsid w:val="78E8FEA1"/>
    <w:rsid w:val="78EAD203"/>
    <w:rsid w:val="78F1C218"/>
    <w:rsid w:val="78F4803A"/>
    <w:rsid w:val="78F6EC7F"/>
    <w:rsid w:val="7923E279"/>
    <w:rsid w:val="79284429"/>
    <w:rsid w:val="793731BE"/>
    <w:rsid w:val="79378AA5"/>
    <w:rsid w:val="79414577"/>
    <w:rsid w:val="794603DA"/>
    <w:rsid w:val="7948603B"/>
    <w:rsid w:val="79577E45"/>
    <w:rsid w:val="7958795B"/>
    <w:rsid w:val="79596380"/>
    <w:rsid w:val="796AADE0"/>
    <w:rsid w:val="797C1593"/>
    <w:rsid w:val="79814819"/>
    <w:rsid w:val="7983DDEE"/>
    <w:rsid w:val="79846721"/>
    <w:rsid w:val="7995AD03"/>
    <w:rsid w:val="799FFBFA"/>
    <w:rsid w:val="79B66280"/>
    <w:rsid w:val="79B9C7F8"/>
    <w:rsid w:val="79C05A6B"/>
    <w:rsid w:val="79D5296D"/>
    <w:rsid w:val="79E95917"/>
    <w:rsid w:val="79EC188D"/>
    <w:rsid w:val="79F62F3D"/>
    <w:rsid w:val="7A04C1C0"/>
    <w:rsid w:val="7A06856E"/>
    <w:rsid w:val="7A105CD4"/>
    <w:rsid w:val="7A1224D1"/>
    <w:rsid w:val="7A195E6A"/>
    <w:rsid w:val="7A2F86B9"/>
    <w:rsid w:val="7A2F87E3"/>
    <w:rsid w:val="7A33D0D5"/>
    <w:rsid w:val="7A349AD7"/>
    <w:rsid w:val="7A397B36"/>
    <w:rsid w:val="7A40C6FD"/>
    <w:rsid w:val="7A41C183"/>
    <w:rsid w:val="7A53405B"/>
    <w:rsid w:val="7A593664"/>
    <w:rsid w:val="7A61A265"/>
    <w:rsid w:val="7A623C8D"/>
    <w:rsid w:val="7A6427FD"/>
    <w:rsid w:val="7A67BF1F"/>
    <w:rsid w:val="7A715192"/>
    <w:rsid w:val="7A732CFD"/>
    <w:rsid w:val="7A734312"/>
    <w:rsid w:val="7A78627E"/>
    <w:rsid w:val="7A7F45EB"/>
    <w:rsid w:val="7A80DC90"/>
    <w:rsid w:val="7A8A76C8"/>
    <w:rsid w:val="7A8E9E32"/>
    <w:rsid w:val="7A92F6ED"/>
    <w:rsid w:val="7A93107A"/>
    <w:rsid w:val="7A964348"/>
    <w:rsid w:val="7AB12D00"/>
    <w:rsid w:val="7AB8AA22"/>
    <w:rsid w:val="7AC9CEE5"/>
    <w:rsid w:val="7ACBC572"/>
    <w:rsid w:val="7ADC8B17"/>
    <w:rsid w:val="7B053FFD"/>
    <w:rsid w:val="7B093349"/>
    <w:rsid w:val="7B1626D6"/>
    <w:rsid w:val="7B2AF00A"/>
    <w:rsid w:val="7B2DEA31"/>
    <w:rsid w:val="7B34D207"/>
    <w:rsid w:val="7B418E09"/>
    <w:rsid w:val="7B5AC1C7"/>
    <w:rsid w:val="7B5B5BF1"/>
    <w:rsid w:val="7B5D6627"/>
    <w:rsid w:val="7B73FB3E"/>
    <w:rsid w:val="7B7A2A44"/>
    <w:rsid w:val="7B7DC8FA"/>
    <w:rsid w:val="7B8A3782"/>
    <w:rsid w:val="7B8D0B5A"/>
    <w:rsid w:val="7B92A050"/>
    <w:rsid w:val="7BCBD299"/>
    <w:rsid w:val="7BCCC24C"/>
    <w:rsid w:val="7BDA0755"/>
    <w:rsid w:val="7BE4D267"/>
    <w:rsid w:val="7BE919A3"/>
    <w:rsid w:val="7BED08E7"/>
    <w:rsid w:val="7BEDDD23"/>
    <w:rsid w:val="7BFAA5DB"/>
    <w:rsid w:val="7C00C79C"/>
    <w:rsid w:val="7C0C49BE"/>
    <w:rsid w:val="7C14B42C"/>
    <w:rsid w:val="7C16422A"/>
    <w:rsid w:val="7C1854C9"/>
    <w:rsid w:val="7C29C090"/>
    <w:rsid w:val="7C2C5B2A"/>
    <w:rsid w:val="7C399751"/>
    <w:rsid w:val="7C3A94A3"/>
    <w:rsid w:val="7C42A5BD"/>
    <w:rsid w:val="7C47F949"/>
    <w:rsid w:val="7C510639"/>
    <w:rsid w:val="7C53BBCD"/>
    <w:rsid w:val="7C5A3C18"/>
    <w:rsid w:val="7C5BF119"/>
    <w:rsid w:val="7C623043"/>
    <w:rsid w:val="7C63C4F7"/>
    <w:rsid w:val="7C6D6938"/>
    <w:rsid w:val="7C6F6AD2"/>
    <w:rsid w:val="7C8B80D1"/>
    <w:rsid w:val="7C8BA5B7"/>
    <w:rsid w:val="7C91E753"/>
    <w:rsid w:val="7C925FE7"/>
    <w:rsid w:val="7C972DF0"/>
    <w:rsid w:val="7C9DAE08"/>
    <w:rsid w:val="7C9E59AD"/>
    <w:rsid w:val="7CAFB2BC"/>
    <w:rsid w:val="7CB00F56"/>
    <w:rsid w:val="7CB03B32"/>
    <w:rsid w:val="7CB0DF6D"/>
    <w:rsid w:val="7CBAC801"/>
    <w:rsid w:val="7CCA36FB"/>
    <w:rsid w:val="7CCF2C00"/>
    <w:rsid w:val="7CD87117"/>
    <w:rsid w:val="7CE19A8D"/>
    <w:rsid w:val="7CE62731"/>
    <w:rsid w:val="7D0009F7"/>
    <w:rsid w:val="7D00DDC0"/>
    <w:rsid w:val="7D094FAD"/>
    <w:rsid w:val="7D1E9F8C"/>
    <w:rsid w:val="7D230D4E"/>
    <w:rsid w:val="7D23DF8E"/>
    <w:rsid w:val="7D33E65A"/>
    <w:rsid w:val="7D36469B"/>
    <w:rsid w:val="7D3F8C3B"/>
    <w:rsid w:val="7D436F27"/>
    <w:rsid w:val="7D5806C8"/>
    <w:rsid w:val="7D80A9D7"/>
    <w:rsid w:val="7D828805"/>
    <w:rsid w:val="7D86C811"/>
    <w:rsid w:val="7D87290B"/>
    <w:rsid w:val="7D8C9D18"/>
    <w:rsid w:val="7D9658FC"/>
    <w:rsid w:val="7DA72247"/>
    <w:rsid w:val="7DC0674A"/>
    <w:rsid w:val="7DC85028"/>
    <w:rsid w:val="7DCB2AA3"/>
    <w:rsid w:val="7DD8AD41"/>
    <w:rsid w:val="7DDEF3C8"/>
    <w:rsid w:val="7DEECEC7"/>
    <w:rsid w:val="7DF9318C"/>
    <w:rsid w:val="7DF98B9B"/>
    <w:rsid w:val="7DFE22B3"/>
    <w:rsid w:val="7DFFB825"/>
    <w:rsid w:val="7E024F93"/>
    <w:rsid w:val="7E09F37F"/>
    <w:rsid w:val="7E0FFC09"/>
    <w:rsid w:val="7E10B242"/>
    <w:rsid w:val="7E15C99E"/>
    <w:rsid w:val="7E1B3BF1"/>
    <w:rsid w:val="7E1C0C10"/>
    <w:rsid w:val="7E1E5852"/>
    <w:rsid w:val="7E1FB8B9"/>
    <w:rsid w:val="7E221D27"/>
    <w:rsid w:val="7E240FAD"/>
    <w:rsid w:val="7E2C4F25"/>
    <w:rsid w:val="7E2F977D"/>
    <w:rsid w:val="7E345FE3"/>
    <w:rsid w:val="7E519AE4"/>
    <w:rsid w:val="7E5655AC"/>
    <w:rsid w:val="7E5672E6"/>
    <w:rsid w:val="7E5A8F2D"/>
    <w:rsid w:val="7E668914"/>
    <w:rsid w:val="7E6D4794"/>
    <w:rsid w:val="7E6D8540"/>
    <w:rsid w:val="7E70D2CF"/>
    <w:rsid w:val="7E73C511"/>
    <w:rsid w:val="7E79D6CD"/>
    <w:rsid w:val="7E7DC19A"/>
    <w:rsid w:val="7E7EFE1F"/>
    <w:rsid w:val="7E86D537"/>
    <w:rsid w:val="7E8A6C00"/>
    <w:rsid w:val="7E99E867"/>
    <w:rsid w:val="7E9D12BB"/>
    <w:rsid w:val="7EA115BA"/>
    <w:rsid w:val="7EA172BE"/>
    <w:rsid w:val="7EA83B59"/>
    <w:rsid w:val="7EAA11A8"/>
    <w:rsid w:val="7ECF786B"/>
    <w:rsid w:val="7ED0BEF2"/>
    <w:rsid w:val="7ED90080"/>
    <w:rsid w:val="7EEFB76C"/>
    <w:rsid w:val="7F028738"/>
    <w:rsid w:val="7F0A3CFF"/>
    <w:rsid w:val="7F0AB52D"/>
    <w:rsid w:val="7F0C86A0"/>
    <w:rsid w:val="7F0F1537"/>
    <w:rsid w:val="7F126144"/>
    <w:rsid w:val="7F14A200"/>
    <w:rsid w:val="7F1EAFA4"/>
    <w:rsid w:val="7F1F622C"/>
    <w:rsid w:val="7F1F7F46"/>
    <w:rsid w:val="7F2369A6"/>
    <w:rsid w:val="7F27FA46"/>
    <w:rsid w:val="7F280095"/>
    <w:rsid w:val="7F3D536B"/>
    <w:rsid w:val="7F428CAE"/>
    <w:rsid w:val="7F448AB8"/>
    <w:rsid w:val="7F4D1777"/>
    <w:rsid w:val="7F50DAF6"/>
    <w:rsid w:val="7F52C82B"/>
    <w:rsid w:val="7F545843"/>
    <w:rsid w:val="7F57D430"/>
    <w:rsid w:val="7F7A2D9F"/>
    <w:rsid w:val="7F9150DC"/>
    <w:rsid w:val="7F936002"/>
    <w:rsid w:val="7F968B72"/>
    <w:rsid w:val="7FA40AAE"/>
    <w:rsid w:val="7FA4FFE6"/>
    <w:rsid w:val="7FAF9E11"/>
    <w:rsid w:val="7FB91A73"/>
    <w:rsid w:val="7FBF34AE"/>
    <w:rsid w:val="7FBF87E6"/>
    <w:rsid w:val="7FC2F1E9"/>
    <w:rsid w:val="7FC939CA"/>
    <w:rsid w:val="7FD6D55B"/>
    <w:rsid w:val="7FD73E6C"/>
    <w:rsid w:val="7FD8D282"/>
    <w:rsid w:val="7FDA53DE"/>
    <w:rsid w:val="7FDEEE18"/>
    <w:rsid w:val="7FE01886"/>
    <w:rsid w:val="7FE248A1"/>
    <w:rsid w:val="7FE7305D"/>
    <w:rsid w:val="7FF52D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BD5D18"/>
  <w14:defaultImageDpi w14:val="330"/>
  <w15:chartTrackingRefBased/>
  <w15:docId w15:val="{FDF92EE5-2ECC-459B-9E18-764C5205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0"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qFormat="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iPriority="0"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nhideWhenUsed="1"/>
    <w:lsdException w:name="No Spacing" w:locked="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locked="0" w:semiHidden="1"/>
    <w:lsdException w:name="List Paragraph" w:locked="0" w:uiPriority="34" w:qFormat="1"/>
    <w:lsdException w:name="Quote" w:locked="0" w:uiPriority="29" w:qFormat="1"/>
    <w:lsdException w:name="Intense Quote" w:locked="0"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locked="0" w:uiPriority="65" w:qFormat="1"/>
    <w:lsdException w:name="Intense Emphasis" w:locked="0" w:uiPriority="21" w:qFormat="1"/>
    <w:lsdException w:name="Subtle Reference" w:locked="0" w:uiPriority="67" w:qFormat="1"/>
    <w:lsdException w:name="Intense Reference" w:locked="0" w:uiPriority="68" w:qFormat="1"/>
    <w:lsdException w:name="Book Title" w:locked="0" w:uiPriority="69" w:qFormat="1"/>
    <w:lsdException w:name="Bibliography" w:locked="0" w:semiHidden="1" w:uiPriority="70"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locked="0" w:uiPriority="47"/>
    <w:lsdException w:name="Grid Table 3 Accent 1" w:uiPriority="48"/>
    <w:lsdException w:name="Grid Table 4 Accent 1" w:uiPriority="49"/>
    <w:lsdException w:name="Grid Table 5 Dark Accent 1" w:locked="0"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locked="0" w:uiPriority="48"/>
    <w:lsdException w:name="Grid Table 4 Accent 4" w:uiPriority="49"/>
    <w:lsdException w:name="Grid Table 5 Dark Accent 4" w:locked="0" w:uiPriority="50"/>
    <w:lsdException w:name="Grid Table 6 Colorful Accent 4" w:uiPriority="51"/>
    <w:lsdException w:name="Grid Table 7 Colorful Accent 4" w:uiPriority="52"/>
    <w:lsdException w:name="Grid Table 1 Light Accent 5" w:locked="0"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locked="0"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57EFE"/>
    <w:pPr>
      <w:spacing w:after="200"/>
    </w:pPr>
    <w:rPr>
      <w:rFonts w:ascii="Times New Roman" w:hAnsi="Times New Roman"/>
      <w:sz w:val="22"/>
      <w:szCs w:val="22"/>
      <w:lang w:val="en-GB" w:eastAsia="en-US"/>
    </w:rPr>
  </w:style>
  <w:style w:type="paragraph" w:styleId="Heading1">
    <w:name w:val="heading 1"/>
    <w:aliases w:val="Para (1),Heading 1 Char1 Char,Heading 1 Char Char Char,Para (1) Char Char Char,Para (1) Char1 Char,Heading 1 Char1,Heading 1 Char Char,Para (1) Char Char,Para (1) Char1,Heading 1 Char1 Char Char,Heading 1 Char2 Char1 Char Char,Heading 1 Char3"/>
    <w:basedOn w:val="Normal"/>
    <w:next w:val="Normal"/>
    <w:link w:val="Heading1Char2"/>
    <w:autoRedefine/>
    <w:uiPriority w:val="9"/>
    <w:qFormat/>
    <w:rsid w:val="00696E14"/>
    <w:pPr>
      <w:keepNext/>
      <w:snapToGrid w:val="0"/>
      <w:spacing w:after="0"/>
      <w:ind w:left="1701" w:hanging="1843"/>
      <w:outlineLvl w:val="0"/>
    </w:pPr>
    <w:rPr>
      <w:rFonts w:ascii="Times New Roman Bold" w:eastAsia="Times New Roman" w:hAnsi="Times New Roman Bold"/>
      <w:b/>
      <w:caps/>
      <w:color w:val="000000" w:themeColor="text1"/>
      <w:sz w:val="28"/>
      <w:szCs w:val="24"/>
      <w:lang w:eastAsia="nl-NL"/>
    </w:rPr>
  </w:style>
  <w:style w:type="paragraph" w:styleId="Heading2">
    <w:name w:val="heading 2"/>
    <w:aliases w:val="SubPara (a),Heading 2 Char,Heading 2 Char1 Char,Heading 2 Char Char Char,SubPara (a) Char Char Char,Heading 2 Char3 Char Char Char,Heading 2 Char Char2 Char Char Char,Heading 2 Char1 Char Char1 Char Char Char,Heading 2 Char3,Heading 2 Char2"/>
    <w:basedOn w:val="Normal"/>
    <w:next w:val="Normal"/>
    <w:link w:val="Heading2Char4"/>
    <w:autoRedefine/>
    <w:uiPriority w:val="9"/>
    <w:qFormat/>
    <w:rsid w:val="00201CFA"/>
    <w:pPr>
      <w:keepNext/>
      <w:spacing w:before="240" w:after="240"/>
      <w:ind w:left="567" w:hanging="567"/>
      <w:outlineLvl w:val="1"/>
    </w:pPr>
    <w:rPr>
      <w:rFonts w:ascii="Times New Roman Bold" w:eastAsia="Calibri" w:hAnsi="Times New Roman Bold"/>
      <w:b/>
      <w:bCs/>
      <w:caps/>
      <w:color w:val="000000" w:themeColor="text1"/>
      <w:sz w:val="24"/>
      <w:szCs w:val="24"/>
      <w:lang w:eastAsia="nl-NL"/>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2E3156"/>
    <w:pPr>
      <w:keepNext/>
      <w:snapToGrid w:val="0"/>
      <w:spacing w:before="240" w:after="240" w:line="240" w:lineRule="atLeast"/>
      <w:ind w:left="720" w:hanging="720"/>
      <w:outlineLvl w:val="2"/>
    </w:pPr>
    <w:rPr>
      <w:rFonts w:ascii="Times New Roman Bold" w:eastAsia="Calibri" w:hAnsi="Times New Roman Bold"/>
      <w:b/>
      <w:i/>
      <w:color w:val="000000"/>
    </w:rPr>
  </w:style>
  <w:style w:type="paragraph" w:styleId="Heading4">
    <w:name w:val="heading 4"/>
    <w:aliases w:val="Heading 11,para 4,Título 41,Heading 41,heading 4"/>
    <w:basedOn w:val="Normal"/>
    <w:next w:val="Normal"/>
    <w:link w:val="Heading4Char"/>
    <w:uiPriority w:val="9"/>
    <w:qFormat/>
    <w:rsid w:val="00624534"/>
    <w:pPr>
      <w:keepNext/>
      <w:tabs>
        <w:tab w:val="left" w:pos="8080"/>
      </w:tabs>
      <w:suppressAutoHyphens/>
      <w:spacing w:before="240" w:after="240"/>
      <w:outlineLvl w:val="3"/>
    </w:pPr>
    <w:rPr>
      <w:b/>
    </w:rPr>
  </w:style>
  <w:style w:type="paragraph" w:styleId="Heading5">
    <w:name w:val="heading 5"/>
    <w:basedOn w:val="Normal"/>
    <w:next w:val="Normal"/>
    <w:link w:val="Heading5Char"/>
    <w:qFormat/>
    <w:pPr>
      <w:keepNext/>
      <w:spacing w:after="0"/>
      <w:outlineLvl w:val="4"/>
    </w:pPr>
    <w:rPr>
      <w:rFonts w:eastAsia="Times New Roman"/>
      <w:b/>
      <w:i/>
      <w:color w:val="000000"/>
      <w:lang w:val="en-US" w:eastAsia="nl-NL"/>
    </w:rPr>
  </w:style>
  <w:style w:type="paragraph" w:styleId="Heading6">
    <w:name w:val="heading 6"/>
    <w:basedOn w:val="Normal"/>
    <w:next w:val="Normal"/>
    <w:link w:val="Heading6Char"/>
    <w:qFormat/>
    <w:pPr>
      <w:keepNext/>
      <w:spacing w:after="480"/>
      <w:ind w:left="1077"/>
      <w:jc w:val="center"/>
      <w:outlineLvl w:val="5"/>
    </w:pPr>
    <w:rPr>
      <w:b/>
      <w:sz w:val="32"/>
    </w:rPr>
  </w:style>
  <w:style w:type="paragraph" w:styleId="Heading7">
    <w:name w:val="heading 7"/>
    <w:basedOn w:val="Normal"/>
    <w:next w:val="Normal"/>
    <w:link w:val="Heading7Char"/>
    <w:qFormat/>
    <w:pPr>
      <w:keepNext/>
      <w:spacing w:after="0"/>
      <w:outlineLvl w:val="6"/>
    </w:pPr>
    <w:rPr>
      <w:sz w:val="28"/>
    </w:rPr>
  </w:style>
  <w:style w:type="paragraph" w:styleId="Heading8">
    <w:name w:val="heading 8"/>
    <w:basedOn w:val="Normal"/>
    <w:next w:val="Normal"/>
    <w:link w:val="Heading8Char"/>
    <w:qFormat/>
    <w:pPr>
      <w:keepNext/>
      <w:tabs>
        <w:tab w:val="left" w:pos="624"/>
        <w:tab w:val="left" w:pos="1247"/>
        <w:tab w:val="left" w:pos="1871"/>
        <w:tab w:val="left" w:pos="2495"/>
      </w:tabs>
      <w:autoSpaceDE w:val="0"/>
      <w:autoSpaceDN w:val="0"/>
      <w:ind w:right="-17"/>
      <w:outlineLvl w:val="7"/>
    </w:pPr>
    <w:rPr>
      <w:rFonts w:eastAsia="Times New Roman"/>
      <w:b/>
      <w:color w:val="000000"/>
      <w:sz w:val="28"/>
      <w:lang w:val="en-US"/>
    </w:rPr>
  </w:style>
  <w:style w:type="paragraph" w:styleId="Heading9">
    <w:name w:val="heading 9"/>
    <w:basedOn w:val="Normal"/>
    <w:next w:val="Normal"/>
    <w:link w:val="Heading9Char"/>
    <w:qFormat/>
    <w:rsid w:val="00C24E43"/>
    <w:pPr>
      <w:tabs>
        <w:tab w:val="num" w:pos="0"/>
      </w:tabs>
      <w:spacing w:before="240" w:after="60"/>
      <w:ind w:left="6408" w:hanging="706"/>
      <w:jc w:val="both"/>
      <w:outlineLvl w:val="8"/>
    </w:pPr>
    <w:rPr>
      <w:rFonts w:ascii="Arial" w:eastAsia="Times New Roman"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locked/>
  </w:style>
  <w:style w:type="character" w:styleId="Hyperlink">
    <w:name w:val="Hyperlink"/>
    <w:uiPriority w:val="99"/>
    <w:unhideWhenUsed/>
    <w:rPr>
      <w:color w:val="0000FF"/>
      <w:u w:val="single"/>
    </w:rPr>
  </w:style>
  <w:style w:type="paragraph" w:styleId="BalloonText">
    <w:name w:val="Balloon Text"/>
    <w:basedOn w:val="Normal"/>
    <w:link w:val="BalloonTextChar1"/>
    <w:uiPriority w:val="99"/>
    <w:semiHidden/>
    <w:unhideWhenUsed/>
    <w:pPr>
      <w:spacing w:after="0"/>
    </w:pPr>
    <w:rPr>
      <w:rFonts w:ascii="Lucida Grande" w:hAnsi="Lucida Grande" w:cs="SimSun"/>
      <w:sz w:val="18"/>
      <w:szCs w:val="18"/>
    </w:rPr>
  </w:style>
  <w:style w:type="character" w:customStyle="1" w:styleId="BalloonTextChar">
    <w:name w:val="Balloon Text Char"/>
    <w:uiPriority w:val="99"/>
    <w:semiHidden/>
    <w:locked/>
    <w:rPr>
      <w:rFonts w:ascii="Lucida Grande" w:hAnsi="Lucida Grande" w:cs="SimSun"/>
      <w:noProof w:val="0"/>
      <w:sz w:val="18"/>
      <w:szCs w:val="18"/>
      <w:lang w:val="nl-NL"/>
    </w:rPr>
  </w:style>
  <w:style w:type="paragraph" w:styleId="BodyText">
    <w:name w:val="Body Text"/>
    <w:aliases w:val=" Char Char,Body Text Char Char Char Char Char,Body Text Char Char Char Char,Char Char3"/>
    <w:basedOn w:val="Normal"/>
    <w:link w:val="BodyTextChar1"/>
    <w:uiPriority w:val="99"/>
    <w:semiHidden/>
    <w:pPr>
      <w:spacing w:after="0"/>
    </w:pPr>
    <w:rPr>
      <w:rFonts w:ascii="Tahoma" w:eastAsia="Times New Roman" w:hAnsi="Tahoma"/>
      <w:color w:val="000000"/>
      <w:lang w:val="en-US" w:eastAsia="nl-NL"/>
    </w:rPr>
  </w:style>
  <w:style w:type="paragraph" w:styleId="BodyText2">
    <w:name w:val="Body Text 2"/>
    <w:basedOn w:val="Normal"/>
    <w:semiHidden/>
    <w:pPr>
      <w:spacing w:after="0"/>
    </w:pPr>
    <w:rPr>
      <w:rFonts w:ascii="Tahoma" w:eastAsia="Times New Roman" w:hAnsi="Tahoma"/>
      <w:b/>
      <w:i/>
      <w:color w:val="000000"/>
      <w:lang w:val="en-US" w:eastAsia="nl-NL"/>
    </w:rPr>
  </w:style>
  <w:style w:type="character" w:styleId="CommentReference">
    <w:name w:val="annotation reference"/>
    <w:uiPriority w:val="99"/>
    <w:semiHidden/>
    <w:unhideWhenUsed/>
    <w:rPr>
      <w:sz w:val="18"/>
      <w:szCs w:val="18"/>
    </w:rPr>
  </w:style>
  <w:style w:type="paragraph" w:styleId="CommentText">
    <w:name w:val="annotation text"/>
    <w:basedOn w:val="Normal"/>
    <w:link w:val="CommentTextChar1"/>
    <w:uiPriority w:val="99"/>
    <w:unhideWhenUsed/>
    <w:rPr>
      <w:sz w:val="24"/>
      <w:szCs w:val="24"/>
    </w:rPr>
  </w:style>
  <w:style w:type="character" w:customStyle="1" w:styleId="CommentTextChar">
    <w:name w:val="Comment Text Char"/>
    <w:uiPriority w:val="99"/>
    <w:locked/>
    <w:rPr>
      <w:noProof w:val="0"/>
      <w:sz w:val="24"/>
      <w:szCs w:val="24"/>
      <w:lang w:val="nl-NL"/>
    </w:rPr>
  </w:style>
  <w:style w:type="paragraph" w:styleId="CommentSubject">
    <w:name w:val="annotation subject"/>
    <w:basedOn w:val="CommentText"/>
    <w:next w:val="CommentText"/>
    <w:link w:val="CommentSubjectChar1"/>
    <w:uiPriority w:val="99"/>
    <w:semiHidden/>
    <w:unhideWhenUsed/>
    <w:rPr>
      <w:b/>
      <w:bCs/>
      <w:sz w:val="20"/>
      <w:szCs w:val="20"/>
    </w:rPr>
  </w:style>
  <w:style w:type="character" w:customStyle="1" w:styleId="CommentSubjectChar">
    <w:name w:val="Comment Subject Char"/>
    <w:uiPriority w:val="99"/>
    <w:semiHidden/>
    <w:locked/>
    <w:rPr>
      <w:b/>
      <w:bCs/>
      <w:noProof w:val="0"/>
      <w:sz w:val="24"/>
      <w:szCs w:val="24"/>
      <w:lang w:val="nl-NL"/>
    </w:rPr>
  </w:style>
  <w:style w:type="paragraph" w:customStyle="1" w:styleId="MediumList2-Accent21">
    <w:name w:val="Medium List 2 - Accent 21"/>
    <w:hidden/>
    <w:semiHidden/>
    <w:rPr>
      <w:sz w:val="22"/>
      <w:szCs w:val="22"/>
      <w:lang w:val="nl-NL" w:eastAsia="en-US"/>
    </w:rPr>
  </w:style>
  <w:style w:type="character" w:customStyle="1" w:styleId="BodyText2Char">
    <w:name w:val="Body Text 2 Char"/>
    <w:semiHidden/>
    <w:locked/>
    <w:rPr>
      <w:rFonts w:ascii="Tahoma" w:eastAsia="Times New Roman" w:hAnsi="Tahoma"/>
      <w:b/>
      <w:i/>
      <w:noProof w:val="0"/>
      <w:color w:val="000000"/>
      <w:sz w:val="22"/>
      <w:szCs w:val="22"/>
      <w:lang w:val="en-US"/>
    </w:rPr>
  </w:style>
  <w:style w:type="character" w:customStyle="1" w:styleId="Heading1Char">
    <w:name w:val="Heading 1 Char"/>
    <w:aliases w:val="Para (1) Char,Heading 1 Char1 Char Char1,Heading 1 Char Char Char Char,Para (1) Char Char Char Char,Para (1) Char1 Char Char,Heading 1 Char1 Char1,Heading 1 Char Char Char1,Para (1) Char Char Char1,Para (1) Char1 Char1"/>
    <w:uiPriority w:val="9"/>
    <w:locked/>
    <w:rPr>
      <w:rFonts w:ascii="Tahoma" w:eastAsia="Times New Roman" w:hAnsi="Tahoma"/>
      <w:b/>
      <w:noProof w:val="0"/>
      <w:color w:val="000000"/>
      <w:sz w:val="22"/>
      <w:szCs w:val="22"/>
      <w:lang w:val="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脚注引用1"/>
    <w:link w:val="CharCharCharCharCarChar"/>
    <w:uiPriority w:val="99"/>
    <w:qFormat/>
    <w:rPr>
      <w:vertAlign w:val="superscript"/>
    </w:rPr>
  </w:style>
  <w:style w:type="paragraph" w:customStyle="1" w:styleId="MediumGrid1-Accent21">
    <w:name w:val="Medium Grid 1 - Accent 21"/>
    <w:basedOn w:val="Normal"/>
    <w:qFormat/>
    <w:locked/>
    <w:pPr>
      <w:spacing w:after="0"/>
      <w:ind w:left="720"/>
    </w:pPr>
    <w:rPr>
      <w:rFonts w:eastAsia="Times New Roman"/>
      <w:sz w:val="24"/>
    </w:rPr>
  </w:style>
  <w:style w:type="paragraph" w:styleId="Footer">
    <w:name w:val="footer"/>
    <w:basedOn w:val="Normal"/>
    <w:link w:val="FooterChar1"/>
    <w:uiPriority w:val="99"/>
    <w:pPr>
      <w:tabs>
        <w:tab w:val="center" w:pos="4320"/>
        <w:tab w:val="right" w:pos="8640"/>
      </w:tabs>
      <w:spacing w:after="0"/>
      <w:ind w:left="1080"/>
    </w:pPr>
    <w:rPr>
      <w:rFonts w:eastAsia="Times New Roman"/>
      <w:color w:val="000000"/>
      <w:sz w:val="24"/>
      <w:lang w:val="en-US"/>
    </w:rPr>
  </w:style>
  <w:style w:type="paragraph" w:customStyle="1" w:styleId="Normal-pool">
    <w:name w:val="Normal-pool"/>
    <w:link w:val="Normal-poolChar"/>
    <w:locked/>
    <w:pPr>
      <w:tabs>
        <w:tab w:val="left" w:pos="1247"/>
        <w:tab w:val="left" w:pos="1814"/>
        <w:tab w:val="left" w:pos="2381"/>
        <w:tab w:val="left" w:pos="2948"/>
        <w:tab w:val="left" w:pos="3515"/>
        <w:tab w:val="left" w:pos="4082"/>
      </w:tabs>
    </w:pPr>
    <w:rPr>
      <w:rFonts w:ascii="Times New Roman" w:eastAsia="Times New Roman" w:hAnsi="Times New Roman"/>
      <w:lang w:val="en-GB" w:eastAsia="en-US"/>
    </w:rPr>
  </w:style>
  <w:style w:type="paragraph" w:customStyle="1" w:styleId="Bullet">
    <w:name w:val="Bullet"/>
    <w:basedOn w:val="Normal"/>
    <w:locked/>
    <w:pPr>
      <w:numPr>
        <w:numId w:val="1"/>
      </w:numPr>
      <w:tabs>
        <w:tab w:val="clear" w:pos="360"/>
      </w:tabs>
      <w:spacing w:before="120" w:after="0"/>
      <w:ind w:left="1440" w:hanging="420"/>
    </w:pPr>
    <w:rPr>
      <w:color w:val="000000"/>
      <w:sz w:val="24"/>
      <w:lang w:val="en-US"/>
    </w:rPr>
  </w:style>
  <w:style w:type="paragraph" w:customStyle="1" w:styleId="ToDoList">
    <w:name w:val="ToDoList"/>
    <w:basedOn w:val="Normal"/>
    <w:locked/>
    <w:pPr>
      <w:numPr>
        <w:numId w:val="2"/>
      </w:numPr>
      <w:tabs>
        <w:tab w:val="clear" w:pos="720"/>
      </w:tabs>
      <w:spacing w:before="240" w:after="240"/>
      <w:ind w:left="420" w:hanging="420"/>
    </w:pPr>
    <w:rPr>
      <w:rFonts w:eastAsia="MS ??"/>
      <w:sz w:val="24"/>
    </w:rPr>
  </w:style>
  <w:style w:type="paragraph" w:customStyle="1" w:styleId="List1">
    <w:name w:val="List1"/>
    <w:basedOn w:val="Normal"/>
    <w:autoRedefine/>
    <w:locked/>
    <w:pPr>
      <w:numPr>
        <w:numId w:val="3"/>
      </w:numPr>
      <w:tabs>
        <w:tab w:val="clear" w:pos="810"/>
      </w:tabs>
      <w:spacing w:before="120" w:after="120"/>
      <w:ind w:left="420" w:hanging="420"/>
    </w:pPr>
    <w:rPr>
      <w:rFonts w:eastAsia="MS ??"/>
      <w:sz w:val="24"/>
    </w:rPr>
  </w:style>
  <w:style w:type="paragraph" w:customStyle="1" w:styleId="Ballontekst">
    <w:name w:val="Ballontekst"/>
    <w:basedOn w:val="Normal"/>
    <w:semiHidden/>
    <w:unhideWhenUsed/>
    <w:locked/>
    <w:pPr>
      <w:spacing w:after="0"/>
      <w:ind w:left="1080"/>
    </w:pPr>
    <w:rPr>
      <w:rFonts w:ascii="Tahoma" w:hAnsi="Tahoma"/>
      <w:color w:val="000000"/>
      <w:sz w:val="16"/>
      <w:lang w:val="en-US"/>
    </w:rPr>
  </w:style>
  <w:style w:type="paragraph" w:customStyle="1" w:styleId="Default">
    <w:name w:val="Default"/>
    <w:uiPriority w:val="99"/>
    <w:locked/>
    <w:pPr>
      <w:widowControl w:val="0"/>
      <w:autoSpaceDE w:val="0"/>
      <w:autoSpaceDN w:val="0"/>
      <w:adjustRightInd w:val="0"/>
    </w:pPr>
    <w:rPr>
      <w:rFonts w:ascii="Arial" w:eastAsia="MS Mincho" w:hAnsi="Arial"/>
      <w:color w:val="000000"/>
      <w:sz w:val="24"/>
      <w:lang w:eastAsia="ja-JP"/>
    </w:rPr>
  </w:style>
  <w:style w:type="paragraph" w:customStyle="1" w:styleId="1">
    <w:name w:val="目录 1"/>
    <w:basedOn w:val="Normal"/>
    <w:next w:val="Normal"/>
    <w:autoRedefine/>
    <w:uiPriority w:val="39"/>
    <w:locked/>
    <w:pPr>
      <w:keepNext/>
      <w:tabs>
        <w:tab w:val="left" w:pos="426"/>
        <w:tab w:val="right" w:leader="dot" w:pos="8587"/>
      </w:tabs>
      <w:spacing w:before="120" w:after="120"/>
      <w:ind w:left="425" w:hanging="425"/>
    </w:pPr>
    <w:rPr>
      <w:b/>
      <w:caps/>
      <w:noProof/>
      <w:color w:val="000000"/>
      <w:sz w:val="20"/>
    </w:rPr>
  </w:style>
  <w:style w:type="paragraph" w:customStyle="1" w:styleId="2">
    <w:name w:val="目录 2"/>
    <w:basedOn w:val="Normal"/>
    <w:next w:val="Normal"/>
    <w:autoRedefine/>
    <w:uiPriority w:val="39"/>
    <w:locked/>
    <w:pPr>
      <w:tabs>
        <w:tab w:val="left" w:pos="709"/>
        <w:tab w:val="left" w:pos="851"/>
        <w:tab w:val="right" w:leader="dot" w:pos="8587"/>
      </w:tabs>
      <w:spacing w:after="0"/>
      <w:ind w:left="696" w:hanging="469"/>
    </w:pPr>
    <w:rPr>
      <w:smallCaps/>
      <w:noProof/>
      <w:color w:val="000000"/>
      <w:sz w:val="20"/>
    </w:rPr>
  </w:style>
  <w:style w:type="paragraph" w:customStyle="1" w:styleId="3">
    <w:name w:val="目录 3"/>
    <w:basedOn w:val="Normal"/>
    <w:next w:val="Normal"/>
    <w:autoRedefine/>
    <w:uiPriority w:val="39"/>
    <w:locked/>
    <w:pPr>
      <w:spacing w:after="0"/>
      <w:ind w:left="480"/>
    </w:pPr>
    <w:rPr>
      <w:i/>
      <w:color w:val="000000"/>
      <w:sz w:val="20"/>
      <w:lang w:val="en-US"/>
    </w:rPr>
  </w:style>
  <w:style w:type="paragraph" w:styleId="Header">
    <w:name w:val="header"/>
    <w:basedOn w:val="Normal"/>
    <w:link w:val="HeaderChar1"/>
    <w:uiPriority w:val="99"/>
    <w:pPr>
      <w:tabs>
        <w:tab w:val="center" w:pos="4320"/>
        <w:tab w:val="right" w:pos="8640"/>
      </w:tabs>
      <w:spacing w:after="0"/>
      <w:ind w:left="1080"/>
    </w:pPr>
    <w:rPr>
      <w:color w:val="000000"/>
      <w:sz w:val="24"/>
      <w:lang w:val="en-US"/>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1"/>
    <w:uiPriority w:val="99"/>
    <w:qFormat/>
    <w:rsid w:val="00894681"/>
    <w:pPr>
      <w:spacing w:after="0"/>
    </w:pPr>
    <w:rPr>
      <w:rFonts w:eastAsia="Times New Roman"/>
      <w:sz w:val="18"/>
      <w:szCs w:val="18"/>
    </w:rPr>
  </w:style>
  <w:style w:type="character" w:styleId="PageNumber">
    <w:name w:val="page number"/>
    <w:basedOn w:val="DefaultParagraphFont"/>
    <w:semiHidden/>
  </w:style>
  <w:style w:type="character" w:customStyle="1" w:styleId="FooterChar">
    <w:name w:val="Footer Char"/>
    <w:uiPriority w:val="99"/>
    <w:locked/>
    <w:rPr>
      <w:rFonts w:ascii="Times New Roman" w:eastAsia="Times New Roman" w:hAnsi="Times New Roman"/>
      <w:noProof w:val="0"/>
      <w:color w:val="000000"/>
      <w:sz w:val="24"/>
      <w:szCs w:val="22"/>
      <w:lang w:val="en-US" w:eastAsia="en-US"/>
    </w:rPr>
  </w:style>
  <w:style w:type="character" w:customStyle="1" w:styleId="SubParaaChar">
    <w:name w:val="SubPara (a) Char"/>
    <w:aliases w:val="Heading 2 Char1 Char Char,Heading 2 Char Char Char Char,SubPara (a) Char Char Char Char,Heading 2 Char3 Char Char Char Char,Heading 2 Char Char2 Char Char Char Char,Heading 2 Char1 Char Char1 Char Char Char Char,Heading 2 Char1"/>
    <w:uiPriority w:val="9"/>
    <w:locked/>
    <w:rPr>
      <w:rFonts w:ascii="Times New Roman" w:eastAsia="Times New Roman" w:hAnsi="Times New Roman"/>
      <w:b/>
      <w:noProof w:val="0"/>
      <w:color w:val="000000"/>
      <w:sz w:val="22"/>
      <w:szCs w:val="22"/>
      <w:lang w:val="en-US" w:eastAsia="en-US"/>
    </w:rPr>
  </w:style>
  <w:style w:type="character" w:customStyle="1" w:styleId="BodyTextChar">
    <w:name w:val="Body Text Char"/>
    <w:aliases w:val=" Char Char Char,Body Text Char Char Char Char Char Char,Body Text Char Char Char Char Char1,Char Char3 Char"/>
    <w:link w:val="BodyText1"/>
    <w:uiPriority w:val="1"/>
    <w:rPr>
      <w:rFonts w:ascii="Tahoma" w:eastAsia="Times New Roman" w:hAnsi="Tahoma"/>
      <w:noProof w:val="0"/>
      <w:color w:val="000000"/>
      <w:sz w:val="22"/>
      <w:szCs w:val="22"/>
      <w:lang w:val="en-US"/>
    </w:rPr>
  </w:style>
  <w:style w:type="character" w:customStyle="1" w:styleId="HeaderChar">
    <w:name w:val="Header Char"/>
    <w:uiPriority w:val="99"/>
    <w:locked/>
    <w:rPr>
      <w:rFonts w:ascii="Times New Roman" w:eastAsia="SimSun" w:hAnsi="Times New Roman"/>
      <w:noProof w:val="0"/>
      <w:color w:val="000000"/>
      <w:sz w:val="24"/>
      <w:szCs w:val="22"/>
      <w:lang w:val="en-US" w:eastAsia="en-US"/>
    </w:rPr>
  </w:style>
  <w:style w:type="character" w:customStyle="1" w:styleId="FootnoteTextChar">
    <w:name w:val="Footnote Text Char"/>
    <w:aliases w:val=" Char1 Char, Char1 Char Char Char,Fußnotentextf Char,Char1 Char,Char1 Char Char Char,-E Fußnotentext2 Char"/>
    <w:uiPriority w:val="99"/>
    <w:locked/>
    <w:rPr>
      <w:rFonts w:ascii="Cambria" w:eastAsia="Times New Roman" w:hAnsi="Cambria"/>
      <w:noProof w:val="0"/>
      <w:sz w:val="24"/>
      <w:szCs w:val="22"/>
      <w:lang w:val="en-GB" w:eastAsia="en-US"/>
    </w:rPr>
  </w:style>
  <w:style w:type="paragraph" w:customStyle="1" w:styleId="ZZAnxheader">
    <w:name w:val="ZZ_Anx_header"/>
    <w:basedOn w:val="Normal"/>
    <w:locked/>
    <w:pPr>
      <w:tabs>
        <w:tab w:val="left" w:pos="1247"/>
        <w:tab w:val="left" w:pos="1814"/>
        <w:tab w:val="left" w:pos="2381"/>
        <w:tab w:val="left" w:pos="2948"/>
        <w:tab w:val="left" w:pos="3515"/>
        <w:tab w:val="left" w:pos="4082"/>
      </w:tabs>
      <w:spacing w:after="0"/>
    </w:pPr>
    <w:rPr>
      <w:rFonts w:eastAsia="Times New Roman"/>
      <w:b/>
      <w:bCs/>
      <w:sz w:val="28"/>
      <w:lang w:val="fr-CA"/>
    </w:rPr>
  </w:style>
  <w:style w:type="paragraph" w:customStyle="1" w:styleId="ColorfulList-Accent11">
    <w:name w:val="Colorful List - Accent 11"/>
    <w:basedOn w:val="Normal"/>
    <w:qFormat/>
    <w:locked/>
    <w:pPr>
      <w:ind w:left="708"/>
    </w:pPr>
  </w:style>
  <w:style w:type="paragraph" w:customStyle="1" w:styleId="ColorfulList-Accent12">
    <w:name w:val="Colorful List - Accent 12"/>
    <w:basedOn w:val="Normal"/>
    <w:qFormat/>
    <w:locked/>
    <w:pPr>
      <w:ind w:left="708"/>
    </w:pPr>
  </w:style>
  <w:style w:type="paragraph" w:customStyle="1" w:styleId="Execlevel3">
    <w:name w:val="Exec level3"/>
    <w:basedOn w:val="Normal"/>
    <w:locked/>
    <w:pPr>
      <w:tabs>
        <w:tab w:val="left" w:pos="1080"/>
      </w:tabs>
      <w:spacing w:after="0"/>
    </w:pPr>
    <w:rPr>
      <w:rFonts w:eastAsia="Times New Roman"/>
      <w:b/>
      <w:i/>
      <w:color w:val="000000"/>
      <w:lang w:eastAsia="zh-CN"/>
    </w:rPr>
  </w:style>
  <w:style w:type="paragraph" w:styleId="BodyTextIndent3">
    <w:name w:val="Body Text Indent 3"/>
    <w:basedOn w:val="Normal"/>
    <w:link w:val="BodyTextIndent3Char"/>
    <w:semiHidden/>
    <w:pPr>
      <w:ind w:left="1134" w:firstLine="11"/>
    </w:pPr>
    <w:rPr>
      <w:b/>
      <w:i/>
    </w:rPr>
  </w:style>
  <w:style w:type="paragraph" w:styleId="Caption">
    <w:name w:val="caption"/>
    <w:basedOn w:val="Normal"/>
    <w:next w:val="Normal"/>
    <w:qFormat/>
    <w:pPr>
      <w:spacing w:after="240"/>
      <w:jc w:val="center"/>
    </w:pPr>
    <w:rPr>
      <w:sz w:val="176"/>
    </w:rPr>
  </w:style>
  <w:style w:type="paragraph" w:styleId="BodyText3">
    <w:name w:val="Body Text 3"/>
    <w:basedOn w:val="Normal"/>
    <w:link w:val="BodyText3Char"/>
    <w:semiHidden/>
    <w:pPr>
      <w:spacing w:after="120"/>
      <w:ind w:right="249"/>
    </w:pPr>
    <w:rPr>
      <w:sz w:val="20"/>
    </w:rPr>
  </w:style>
  <w:style w:type="paragraph" w:customStyle="1" w:styleId="4">
    <w:name w:val="目录 4"/>
    <w:basedOn w:val="Normal"/>
    <w:next w:val="Normal"/>
    <w:autoRedefine/>
    <w:uiPriority w:val="39"/>
    <w:locked/>
    <w:pPr>
      <w:ind w:left="660"/>
    </w:pPr>
  </w:style>
  <w:style w:type="paragraph" w:customStyle="1" w:styleId="5">
    <w:name w:val="目录 5"/>
    <w:basedOn w:val="Normal"/>
    <w:next w:val="Normal"/>
    <w:autoRedefine/>
    <w:uiPriority w:val="39"/>
    <w:locked/>
    <w:pPr>
      <w:ind w:left="880"/>
    </w:pPr>
  </w:style>
  <w:style w:type="paragraph" w:customStyle="1" w:styleId="6">
    <w:name w:val="目录 6"/>
    <w:basedOn w:val="Normal"/>
    <w:next w:val="Normal"/>
    <w:autoRedefine/>
    <w:uiPriority w:val="39"/>
    <w:locked/>
    <w:pPr>
      <w:ind w:left="1100"/>
    </w:pPr>
  </w:style>
  <w:style w:type="paragraph" w:customStyle="1" w:styleId="7">
    <w:name w:val="目录 7"/>
    <w:basedOn w:val="Normal"/>
    <w:next w:val="Normal"/>
    <w:autoRedefine/>
    <w:uiPriority w:val="39"/>
    <w:locked/>
    <w:pPr>
      <w:ind w:left="1320"/>
    </w:pPr>
  </w:style>
  <w:style w:type="paragraph" w:customStyle="1" w:styleId="8">
    <w:name w:val="目录 8"/>
    <w:basedOn w:val="Normal"/>
    <w:next w:val="Normal"/>
    <w:autoRedefine/>
    <w:uiPriority w:val="39"/>
    <w:locked/>
    <w:pPr>
      <w:ind w:left="1540"/>
    </w:pPr>
  </w:style>
  <w:style w:type="paragraph" w:customStyle="1" w:styleId="9">
    <w:name w:val="目录 9"/>
    <w:basedOn w:val="Normal"/>
    <w:next w:val="Normal"/>
    <w:autoRedefine/>
    <w:uiPriority w:val="39"/>
    <w:locked/>
    <w:pPr>
      <w:ind w:left="1760"/>
    </w:pPr>
  </w:style>
  <w:style w:type="paragraph" w:styleId="BodyTextIndent2">
    <w:name w:val="Body Text Indent 2"/>
    <w:basedOn w:val="Normal"/>
    <w:link w:val="BodyTextIndent2Char"/>
    <w:semiHidden/>
    <w:pPr>
      <w:spacing w:after="0"/>
      <w:ind w:left="1080"/>
    </w:pPr>
    <w:rPr>
      <w:color w:val="000000"/>
      <w:sz w:val="20"/>
      <w:lang w:val="en-US"/>
    </w:rPr>
  </w:style>
  <w:style w:type="paragraph" w:styleId="BlockText">
    <w:name w:val="Block Text"/>
    <w:basedOn w:val="Normal"/>
    <w:semiHidden/>
    <w:pPr>
      <w:suppressAutoHyphens/>
      <w:spacing w:after="0"/>
      <w:ind w:left="1080" w:right="216"/>
    </w:pPr>
    <w:rPr>
      <w:color w:val="000000"/>
    </w:rPr>
  </w:style>
  <w:style w:type="paragraph" w:styleId="BodyTextIndent">
    <w:name w:val="Body Text Indent"/>
    <w:basedOn w:val="Normal"/>
    <w:link w:val="BodyTextIndentChar"/>
    <w:semiHidden/>
    <w:pPr>
      <w:spacing w:after="0"/>
      <w:ind w:left="709"/>
    </w:pPr>
    <w:rPr>
      <w:b/>
      <w:i/>
      <w:color w:val="000000"/>
      <w:lang w:val="en-US"/>
    </w:rPr>
  </w:style>
  <w:style w:type="paragraph" w:customStyle="1" w:styleId="MediumGrid1-Accent22">
    <w:name w:val="Medium Grid 1 - Accent 22"/>
    <w:basedOn w:val="Normal"/>
    <w:uiPriority w:val="34"/>
    <w:qFormat/>
    <w:locked/>
    <w:rsid w:val="00080066"/>
    <w:pPr>
      <w:autoSpaceDE w:val="0"/>
      <w:autoSpaceDN w:val="0"/>
      <w:spacing w:after="0"/>
      <w:ind w:left="720"/>
    </w:pPr>
    <w:rPr>
      <w:rFonts w:ascii="Cambria" w:eastAsia="Times New Roman" w:hAnsi="Cambria"/>
      <w:szCs w:val="24"/>
    </w:rPr>
  </w:style>
  <w:style w:type="character" w:customStyle="1" w:styleId="Heading3Char3">
    <w:name w:val="Heading 3 Char3"/>
    <w:aliases w:val="Char Char4,Char Char Char2,Heading 3 Char Char2,Heading 3 Char1 Char1,Heading 3 Char Char Char1,Char Char Char Char1,Char Char1 Char1,Heading 3 Char1 Char Char,Heading 3 Char Char Char Char,Char Char Char Char Char,Char Char1 Char Char"/>
    <w:link w:val="Heading3"/>
    <w:uiPriority w:val="9"/>
    <w:rsid w:val="002E3156"/>
    <w:rPr>
      <w:rFonts w:ascii="Times New Roman Bold" w:eastAsia="Calibri" w:hAnsi="Times New Roman Bold"/>
      <w:b/>
      <w:i/>
      <w:color w:val="000000"/>
      <w:sz w:val="22"/>
      <w:szCs w:val="22"/>
      <w:lang w:val="en-GB" w:eastAsia="en-US"/>
    </w:rPr>
  </w:style>
  <w:style w:type="character" w:customStyle="1" w:styleId="BodyText3Char">
    <w:name w:val="Body Text 3 Char"/>
    <w:link w:val="BodyText3"/>
    <w:semiHidden/>
    <w:rsid w:val="00B22361"/>
    <w:rPr>
      <w:rFonts w:ascii="Times New Roman" w:hAnsi="Times New Roman"/>
      <w:szCs w:val="22"/>
      <w:lang w:val="en-GB" w:eastAsia="en-US"/>
    </w:rPr>
  </w:style>
  <w:style w:type="paragraph" w:customStyle="1" w:styleId="footnotedescription">
    <w:name w:val="footnote description"/>
    <w:next w:val="Normal"/>
    <w:link w:val="footnotedescriptionChar"/>
    <w:hidden/>
    <w:rsid w:val="005170BE"/>
    <w:pPr>
      <w:spacing w:line="262" w:lineRule="auto"/>
      <w:ind w:left="432"/>
    </w:pPr>
    <w:rPr>
      <w:rFonts w:ascii="Times New Roman" w:eastAsia="Times New Roman" w:hAnsi="Times New Roman"/>
      <w:color w:val="000000"/>
      <w:szCs w:val="22"/>
      <w:lang w:val="nl-NL" w:eastAsia="nl-NL"/>
    </w:rPr>
  </w:style>
  <w:style w:type="character" w:customStyle="1" w:styleId="footnotedescriptionChar">
    <w:name w:val="footnote description Char"/>
    <w:link w:val="footnotedescription"/>
    <w:rsid w:val="005170BE"/>
    <w:rPr>
      <w:rFonts w:ascii="Times New Roman" w:eastAsia="Times New Roman" w:hAnsi="Times New Roman"/>
      <w:color w:val="000000"/>
      <w:szCs w:val="22"/>
    </w:rPr>
  </w:style>
  <w:style w:type="character" w:customStyle="1" w:styleId="footnotemark">
    <w:name w:val="footnote mark"/>
    <w:hidden/>
    <w:rsid w:val="005170BE"/>
    <w:rPr>
      <w:rFonts w:ascii="Times New Roman" w:eastAsia="Times New Roman" w:hAnsi="Times New Roman" w:cs="Times New Roman"/>
      <w:color w:val="000000"/>
      <w:sz w:val="20"/>
      <w:vertAlign w:val="superscript"/>
    </w:rPr>
  </w:style>
  <w:style w:type="table" w:customStyle="1" w:styleId="10">
    <w:name w:val="网格型1"/>
    <w:locked/>
    <w:rsid w:val="006A538C"/>
    <w:rPr>
      <w:rFonts w:eastAsia="Times New Roman"/>
      <w:sz w:val="22"/>
      <w:szCs w:val="22"/>
      <w:lang w:val="nl-NL" w:eastAsia="nl-NL"/>
    </w:rPr>
    <w:tblPr>
      <w:tblCellMar>
        <w:top w:w="0" w:type="dxa"/>
        <w:left w:w="0" w:type="dxa"/>
        <w:bottom w:w="0" w:type="dxa"/>
        <w:right w:w="0" w:type="dxa"/>
      </w:tblCellMar>
    </w:tblPr>
  </w:style>
  <w:style w:type="paragraph" w:customStyle="1" w:styleId="MediumList2-Accent22">
    <w:name w:val="Medium List 2 - Accent 22"/>
    <w:hidden/>
    <w:uiPriority w:val="71"/>
    <w:rsid w:val="004B2F76"/>
    <w:rPr>
      <w:rFonts w:ascii="Times New Roman" w:hAnsi="Times New Roman"/>
      <w:sz w:val="22"/>
      <w:szCs w:val="22"/>
      <w:lang w:val="nl-NL" w:eastAsia="en-US"/>
    </w:rPr>
  </w:style>
  <w:style w:type="paragraph" w:customStyle="1" w:styleId="GridTable31">
    <w:name w:val="Grid Table 31"/>
    <w:basedOn w:val="Heading1"/>
    <w:next w:val="Normal"/>
    <w:uiPriority w:val="39"/>
    <w:unhideWhenUsed/>
    <w:qFormat/>
    <w:locked/>
    <w:rsid w:val="00EB0C7B"/>
    <w:pPr>
      <w:keepLines/>
      <w:spacing w:before="240" w:line="259" w:lineRule="auto"/>
      <w:outlineLvl w:val="9"/>
    </w:pPr>
    <w:rPr>
      <w:rFonts w:ascii="Calibri Light" w:hAnsi="Calibri Light"/>
      <w:b w:val="0"/>
      <w:color w:val="2E74B5"/>
      <w:sz w:val="32"/>
      <w:szCs w:val="32"/>
    </w:rPr>
  </w:style>
  <w:style w:type="table" w:customStyle="1" w:styleId="TableGrid0">
    <w:name w:val="Table Grid0"/>
    <w:basedOn w:val="TableNormal"/>
    <w:uiPriority w:val="39"/>
    <w:locked/>
    <w:rsid w:val="0046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rsid w:val="00C24E43"/>
    <w:rPr>
      <w:rFonts w:ascii="Arial" w:eastAsia="Times New Roman" w:hAnsi="Arial"/>
      <w:i/>
      <w:sz w:val="18"/>
      <w:szCs w:val="22"/>
      <w:lang w:val="en-GB"/>
    </w:rPr>
  </w:style>
  <w:style w:type="paragraph" w:customStyle="1" w:styleId="ColorfulShading-Accent11">
    <w:name w:val="Colorful Shading - Accent 11"/>
    <w:hidden/>
    <w:uiPriority w:val="71"/>
    <w:rsid w:val="006400D2"/>
    <w:rPr>
      <w:rFonts w:ascii="Times New Roman" w:hAnsi="Times New Roman"/>
      <w:sz w:val="22"/>
      <w:szCs w:val="22"/>
      <w:lang w:val="nl-NL" w:eastAsia="en-US"/>
    </w:rPr>
  </w:style>
  <w:style w:type="paragraph" w:customStyle="1" w:styleId="a">
    <w:name w:val="列出段落"/>
    <w:basedOn w:val="Normal"/>
    <w:uiPriority w:val="34"/>
    <w:qFormat/>
    <w:locked/>
    <w:rsid w:val="00B60E38"/>
    <w:pPr>
      <w:autoSpaceDE w:val="0"/>
      <w:autoSpaceDN w:val="0"/>
      <w:ind w:left="720"/>
    </w:pPr>
    <w:rPr>
      <w:rFonts w:ascii="Cambria" w:eastAsia="Times New Roman" w:hAnsi="Cambria"/>
    </w:rPr>
  </w:style>
  <w:style w:type="paragraph" w:customStyle="1" w:styleId="refs">
    <w:name w:val="refs"/>
    <w:basedOn w:val="Normal"/>
    <w:locked/>
    <w:rsid w:val="003631A4"/>
    <w:pPr>
      <w:spacing w:before="100" w:after="100"/>
    </w:pPr>
    <w:rPr>
      <w:rFonts w:eastAsia="Times New Roman"/>
      <w:i/>
      <w:sz w:val="18"/>
      <w:szCs w:val="20"/>
      <w:lang w:eastAsia="zh-CN"/>
    </w:rPr>
  </w:style>
  <w:style w:type="paragraph" w:styleId="Revision">
    <w:name w:val="Revision"/>
    <w:hidden/>
    <w:uiPriority w:val="99"/>
    <w:rsid w:val="00FF2D5C"/>
    <w:rPr>
      <w:rFonts w:ascii="Times New Roman" w:hAnsi="Times New Roman"/>
      <w:sz w:val="22"/>
      <w:szCs w:val="22"/>
      <w:lang w:val="nl-NL" w:eastAsia="en-US"/>
    </w:rPr>
  </w:style>
  <w:style w:type="paragraph" w:customStyle="1" w:styleId="BBTitle">
    <w:name w:val="BB_Title"/>
    <w:basedOn w:val="Normal"/>
    <w:link w:val="BBTitleChar"/>
    <w:locked/>
    <w:rsid w:val="001D57AC"/>
    <w:pPr>
      <w:keepNext/>
      <w:keepLines/>
      <w:tabs>
        <w:tab w:val="left" w:pos="1247"/>
        <w:tab w:val="left" w:pos="1814"/>
        <w:tab w:val="left" w:pos="2381"/>
        <w:tab w:val="left" w:pos="2948"/>
        <w:tab w:val="left" w:pos="3515"/>
        <w:tab w:val="left" w:pos="4082"/>
      </w:tabs>
      <w:suppressAutoHyphens/>
      <w:spacing w:before="320" w:after="240"/>
      <w:ind w:left="1247" w:right="567"/>
    </w:pPr>
    <w:rPr>
      <w:rFonts w:eastAsia="Times New Roman"/>
      <w:b/>
      <w:sz w:val="28"/>
      <w:szCs w:val="28"/>
    </w:rPr>
  </w:style>
  <w:style w:type="character" w:customStyle="1" w:styleId="BBTitleChar">
    <w:name w:val="BB_Title Char"/>
    <w:link w:val="BBTitle"/>
    <w:locked/>
    <w:rsid w:val="001D57AC"/>
    <w:rPr>
      <w:rFonts w:ascii="Times New Roman" w:eastAsia="Times New Roman" w:hAnsi="Times New Roman"/>
      <w:b/>
      <w:sz w:val="28"/>
      <w:szCs w:val="28"/>
      <w:lang w:val="en-GB" w:eastAsia="en-US"/>
    </w:rPr>
  </w:style>
  <w:style w:type="character" w:customStyle="1" w:styleId="hlfld-title">
    <w:name w:val="hlfld-title"/>
    <w:locked/>
    <w:rsid w:val="00DF66DF"/>
  </w:style>
  <w:style w:type="character" w:styleId="HTMLCite">
    <w:name w:val="HTML Cite"/>
    <w:uiPriority w:val="99"/>
    <w:semiHidden/>
    <w:unhideWhenUsed/>
    <w:rsid w:val="009C1E41"/>
    <w:rPr>
      <w:i/>
      <w:iCs/>
    </w:rPr>
  </w:style>
  <w:style w:type="character" w:customStyle="1" w:styleId="citationyear">
    <w:name w:val="citation_year"/>
    <w:locked/>
    <w:rsid w:val="009C1E41"/>
  </w:style>
  <w:style w:type="character" w:customStyle="1" w:styleId="citationvolume">
    <w:name w:val="citation_volume"/>
    <w:locked/>
    <w:rsid w:val="009C1E41"/>
  </w:style>
  <w:style w:type="character" w:styleId="Strong">
    <w:name w:val="Strong"/>
    <w:uiPriority w:val="22"/>
    <w:qFormat/>
    <w:rsid w:val="009C1E41"/>
    <w:rPr>
      <w:b/>
      <w:bCs/>
    </w:rPr>
  </w:style>
  <w:style w:type="paragraph" w:customStyle="1" w:styleId="CH2">
    <w:name w:val="CH2"/>
    <w:basedOn w:val="Normalpool"/>
    <w:next w:val="Normalnumber"/>
    <w:link w:val="CH2Char"/>
    <w:locked/>
    <w:rsid w:val="00102FCE"/>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link w:val="CH3Char"/>
    <w:locked/>
    <w:rsid w:val="00102FCE"/>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locked/>
    <w:rsid w:val="00102FCE"/>
    <w:pPr>
      <w:keepNext/>
      <w:keepLines/>
      <w:tabs>
        <w:tab w:val="right" w:pos="851"/>
      </w:tabs>
      <w:suppressAutoHyphens/>
      <w:spacing w:after="120"/>
      <w:ind w:left="1247" w:right="284" w:hanging="1247"/>
    </w:pPr>
    <w:rPr>
      <w:b/>
      <w:lang w:val="en-GB"/>
    </w:rPr>
  </w:style>
  <w:style w:type="paragraph" w:customStyle="1" w:styleId="Normalpool">
    <w:name w:val="Normal_pool"/>
    <w:link w:val="NormalpoolChar"/>
    <w:locked/>
    <w:rsid w:val="00102FCE"/>
    <w:pPr>
      <w:tabs>
        <w:tab w:val="left" w:pos="1247"/>
        <w:tab w:val="left" w:pos="1814"/>
        <w:tab w:val="left" w:pos="2381"/>
        <w:tab w:val="left" w:pos="2948"/>
        <w:tab w:val="left" w:pos="3515"/>
        <w:tab w:val="left" w:pos="4082"/>
      </w:tabs>
    </w:pPr>
    <w:rPr>
      <w:rFonts w:ascii="Times New Roman" w:eastAsia="Times New Roman" w:hAnsi="Times New Roman"/>
      <w:lang w:val="fr-FR" w:eastAsia="en-US"/>
    </w:rPr>
  </w:style>
  <w:style w:type="character" w:customStyle="1" w:styleId="NormalNonumberChar">
    <w:name w:val="Normal_No_number Char"/>
    <w:link w:val="NormalNonumber"/>
    <w:locked/>
    <w:rsid w:val="00102FCE"/>
    <w:rPr>
      <w:lang w:eastAsia="en-US"/>
    </w:rPr>
  </w:style>
  <w:style w:type="character" w:customStyle="1" w:styleId="CH2Char">
    <w:name w:val="CH2 Char"/>
    <w:link w:val="CH2"/>
    <w:locked/>
    <w:rsid w:val="00102FCE"/>
    <w:rPr>
      <w:rFonts w:ascii="Times New Roman" w:eastAsia="Times New Roman" w:hAnsi="Times New Roman"/>
      <w:b/>
      <w:sz w:val="24"/>
      <w:szCs w:val="24"/>
      <w:lang w:val="en-GB" w:eastAsia="en-US"/>
    </w:rPr>
  </w:style>
  <w:style w:type="character" w:customStyle="1" w:styleId="NormalnumberChar">
    <w:name w:val="Normal_number Char"/>
    <w:link w:val="Normalnumber"/>
    <w:locked/>
    <w:rsid w:val="00102FCE"/>
    <w:rPr>
      <w:lang w:val="nl-NL" w:eastAsia="en-US"/>
    </w:rPr>
  </w:style>
  <w:style w:type="character" w:customStyle="1" w:styleId="NormalpoolChar">
    <w:name w:val="Normal_pool Char"/>
    <w:link w:val="Normalpool"/>
    <w:locked/>
    <w:rsid w:val="00102FCE"/>
    <w:rPr>
      <w:rFonts w:ascii="Times New Roman" w:eastAsia="Times New Roman" w:hAnsi="Times New Roman"/>
      <w:lang w:val="fr-FR" w:eastAsia="en-US"/>
    </w:rPr>
  </w:style>
  <w:style w:type="numbering" w:customStyle="1" w:styleId="Normallist">
    <w:name w:val="Normal_list"/>
    <w:basedOn w:val="NoList"/>
    <w:locked/>
    <w:rsid w:val="00102FCE"/>
    <w:pPr>
      <w:numPr>
        <w:numId w:val="4"/>
      </w:numPr>
    </w:pPr>
  </w:style>
  <w:style w:type="paragraph" w:customStyle="1" w:styleId="NormalNonumber">
    <w:name w:val="Normal_No_number"/>
    <w:basedOn w:val="Normalpool"/>
    <w:link w:val="NormalNonumberChar"/>
    <w:locked/>
    <w:rsid w:val="00102FCE"/>
    <w:pPr>
      <w:spacing w:after="120"/>
      <w:ind w:left="1247"/>
    </w:pPr>
    <w:rPr>
      <w:rFonts w:ascii="Calibri" w:eastAsia="SimSun" w:hAnsi="Calibri"/>
      <w:lang w:val="nl-NL"/>
    </w:rPr>
  </w:style>
  <w:style w:type="paragraph" w:customStyle="1" w:styleId="Normalnumber">
    <w:name w:val="Normal_number"/>
    <w:basedOn w:val="Normalpool"/>
    <w:link w:val="NormalnumberChar"/>
    <w:autoRedefine/>
    <w:locked/>
    <w:rsid w:val="00102FCE"/>
    <w:pPr>
      <w:keepNext/>
      <w:numPr>
        <w:numId w:val="5"/>
      </w:numPr>
      <w:tabs>
        <w:tab w:val="clear" w:pos="1247"/>
        <w:tab w:val="clear" w:pos="1814"/>
        <w:tab w:val="clear" w:pos="2381"/>
        <w:tab w:val="clear" w:pos="2948"/>
        <w:tab w:val="clear" w:pos="3515"/>
        <w:tab w:val="clear" w:pos="4082"/>
        <w:tab w:val="left" w:pos="624"/>
        <w:tab w:val="num" w:pos="1134"/>
      </w:tabs>
      <w:spacing w:after="120"/>
      <w:ind w:left="1247" w:firstLine="0"/>
    </w:pPr>
    <w:rPr>
      <w:rFonts w:ascii="Calibri" w:eastAsia="SimSun" w:hAnsi="Calibri"/>
      <w:lang w:val="nl-NL"/>
    </w:rPr>
  </w:style>
  <w:style w:type="character" w:customStyle="1" w:styleId="Hyperlink0">
    <w:name w:val="Hyperlink.0"/>
    <w:locked/>
    <w:rsid w:val="00102FCE"/>
    <w:rPr>
      <w:strike w:val="0"/>
      <w:dstrike w:val="0"/>
      <w:color w:val="000000"/>
      <w:sz w:val="18"/>
      <w:szCs w:val="18"/>
      <w:u w:val="none" w:color="000000"/>
      <w:effect w:val="none"/>
      <w:lang w:val="en-US"/>
    </w:rPr>
  </w:style>
  <w:style w:type="character" w:customStyle="1" w:styleId="CH3Char">
    <w:name w:val="CH3 Char"/>
    <w:link w:val="CH3"/>
    <w:rsid w:val="00102FCE"/>
    <w:rPr>
      <w:rFonts w:ascii="Times New Roman" w:eastAsia="Times New Roman" w:hAnsi="Times New Roman"/>
      <w:b/>
      <w:lang w:val="en-GB" w:eastAsia="en-US"/>
    </w:rPr>
  </w:style>
  <w:style w:type="character" w:customStyle="1" w:styleId="Normal-poolChar">
    <w:name w:val="Normal-pool Char"/>
    <w:link w:val="Normal-pool"/>
    <w:locked/>
    <w:rsid w:val="00102FCE"/>
    <w:rPr>
      <w:rFonts w:ascii="Times New Roman" w:eastAsia="Times New Roman" w:hAnsi="Times New Roman"/>
      <w:lang w:val="en-GB" w:eastAsia="en-US"/>
    </w:rPr>
  </w:style>
  <w:style w:type="character" w:customStyle="1" w:styleId="FootnoteTextChar1">
    <w:name w:val="Footnote Text Char1"/>
    <w:aliases w:val=" Char1 Char1, Char1 Char Char Char1,Fußnotentextf Char1,Char1 Char1,Char1 Char Char Char1,Geneva 9 Char,Font: Geneva 9 Char,Boston 10 Char,f Char,-E Fußnotentext Char,Fußnotentext Ursprung Char,-E Fußnotentext1 Char"/>
    <w:basedOn w:val="DefaultParagraphFont"/>
    <w:link w:val="FootnoteText"/>
    <w:uiPriority w:val="99"/>
    <w:rsid w:val="00726CE9"/>
    <w:rPr>
      <w:rFonts w:ascii="Times New Roman" w:eastAsia="Times New Roman" w:hAnsi="Times New Roman"/>
      <w:sz w:val="18"/>
      <w:szCs w:val="18"/>
      <w:lang w:val="en-GB" w:eastAsia="en-US"/>
    </w:rPr>
  </w:style>
  <w:style w:type="character" w:customStyle="1" w:styleId="BalloonTextChar1">
    <w:name w:val="Balloon Text Char1"/>
    <w:basedOn w:val="DefaultParagraphFont"/>
    <w:link w:val="BalloonText"/>
    <w:uiPriority w:val="99"/>
    <w:semiHidden/>
    <w:rsid w:val="00CF4786"/>
    <w:rPr>
      <w:rFonts w:ascii="Lucida Grande" w:hAnsi="Lucida Grande" w:cs="SimSun"/>
      <w:sz w:val="18"/>
      <w:szCs w:val="18"/>
      <w:lang w:val="nl-NL" w:eastAsia="en-US"/>
    </w:rPr>
  </w:style>
  <w:style w:type="character" w:customStyle="1" w:styleId="CommentTextChar1">
    <w:name w:val="Comment Text Char1"/>
    <w:basedOn w:val="DefaultParagraphFont"/>
    <w:link w:val="CommentText"/>
    <w:uiPriority w:val="99"/>
    <w:rsid w:val="00CF4786"/>
    <w:rPr>
      <w:rFonts w:ascii="Times New Roman" w:hAnsi="Times New Roman"/>
      <w:sz w:val="24"/>
      <w:szCs w:val="24"/>
      <w:lang w:val="nl-NL" w:eastAsia="en-US"/>
    </w:rPr>
  </w:style>
  <w:style w:type="character" w:customStyle="1" w:styleId="HeaderChar1">
    <w:name w:val="Header Char1"/>
    <w:basedOn w:val="DefaultParagraphFont"/>
    <w:link w:val="Header"/>
    <w:uiPriority w:val="99"/>
    <w:rsid w:val="00CF4786"/>
    <w:rPr>
      <w:rFonts w:ascii="Times New Roman" w:hAnsi="Times New Roman"/>
      <w:color w:val="000000"/>
      <w:sz w:val="24"/>
      <w:szCs w:val="22"/>
      <w:lang w:eastAsia="en-US"/>
    </w:rPr>
  </w:style>
  <w:style w:type="character" w:customStyle="1" w:styleId="FooterChar1">
    <w:name w:val="Footer Char1"/>
    <w:basedOn w:val="DefaultParagraphFont"/>
    <w:link w:val="Footer"/>
    <w:uiPriority w:val="99"/>
    <w:rsid w:val="00CF4786"/>
    <w:rPr>
      <w:rFonts w:ascii="Times New Roman" w:eastAsia="Times New Roman" w:hAnsi="Times New Roman"/>
      <w:color w:val="000000"/>
      <w:sz w:val="24"/>
      <w:szCs w:val="22"/>
      <w:lang w:eastAsia="en-US"/>
    </w:rPr>
  </w:style>
  <w:style w:type="table" w:styleId="GridTable3-Accent4">
    <w:name w:val="Grid Table 3 Accent 4"/>
    <w:basedOn w:val="TableNormal"/>
    <w:uiPriority w:val="48"/>
    <w:locked/>
    <w:rsid w:val="00CF4786"/>
    <w:rPr>
      <w:rFonts w:asciiTheme="minorHAnsi" w:hAnsiTheme="minorHAnsi" w:cstheme="minorBidi"/>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5Dark-Accent4">
    <w:name w:val="Grid Table 5 Dark Accent 4"/>
    <w:basedOn w:val="TableNormal"/>
    <w:uiPriority w:val="50"/>
    <w:locked/>
    <w:rsid w:val="00CF4786"/>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1">
    <w:name w:val="Grid Table 5 Dark Accent 1"/>
    <w:basedOn w:val="TableNormal"/>
    <w:uiPriority w:val="50"/>
    <w:locked/>
    <w:rsid w:val="00CF4786"/>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CommentSubjectChar1">
    <w:name w:val="Comment Subject Char1"/>
    <w:basedOn w:val="CommentTextChar1"/>
    <w:link w:val="CommentSubject"/>
    <w:uiPriority w:val="99"/>
    <w:semiHidden/>
    <w:rsid w:val="00CF4786"/>
    <w:rPr>
      <w:rFonts w:ascii="Times New Roman" w:hAnsi="Times New Roman"/>
      <w:b/>
      <w:bCs/>
      <w:sz w:val="24"/>
      <w:szCs w:val="24"/>
      <w:lang w:val="nl-NL" w:eastAsia="en-US"/>
    </w:rPr>
  </w:style>
  <w:style w:type="character" w:customStyle="1" w:styleId="Heading1Char2">
    <w:name w:val="Heading 1 Char2"/>
    <w:aliases w:val="Para (1) Char2,Heading 1 Char1 Char Char2,Heading 1 Char Char Char Char1,Para (1) Char Char Char Char1,Para (1) Char1 Char Char1,Heading 1 Char1 Char2,Heading 1 Char Char Char2,Para (1) Char Char Char2,Para (1) Char1 Char2"/>
    <w:basedOn w:val="DefaultParagraphFont"/>
    <w:link w:val="Heading1"/>
    <w:uiPriority w:val="9"/>
    <w:rsid w:val="00696E14"/>
    <w:rPr>
      <w:rFonts w:ascii="Times New Roman Bold" w:eastAsia="Times New Roman" w:hAnsi="Times New Roman Bold"/>
      <w:b/>
      <w:caps/>
      <w:color w:val="000000" w:themeColor="text1"/>
      <w:sz w:val="28"/>
      <w:szCs w:val="24"/>
      <w:lang w:val="en-GB" w:eastAsia="nl-NL"/>
    </w:rPr>
  </w:style>
  <w:style w:type="character" w:customStyle="1" w:styleId="Heading2Char4">
    <w:name w:val="Heading 2 Char4"/>
    <w:aliases w:val="SubPara (a) Char1,Heading 2 Char Char,Heading 2 Char1 Char Char1,Heading 2 Char Char Char Char1,SubPara (a) Char Char Char Char1,Heading 2 Char3 Char Char Char Char1,Heading 2 Char Char2 Char Char Char Char1,Heading 2 Char3 Char"/>
    <w:basedOn w:val="DefaultParagraphFont"/>
    <w:link w:val="Heading2"/>
    <w:uiPriority w:val="9"/>
    <w:rsid w:val="00201CFA"/>
    <w:rPr>
      <w:rFonts w:ascii="Times New Roman Bold" w:eastAsia="Calibri" w:hAnsi="Times New Roman Bold"/>
      <w:b/>
      <w:bCs/>
      <w:caps/>
      <w:color w:val="000000" w:themeColor="text1"/>
      <w:sz w:val="24"/>
      <w:szCs w:val="24"/>
      <w:lang w:val="en-GB" w:eastAsia="nl-NL"/>
    </w:rPr>
  </w:style>
  <w:style w:type="character" w:customStyle="1" w:styleId="30">
    <w:name w:val="标题 3 字符"/>
    <w:basedOn w:val="DefaultParagraphFont"/>
    <w:uiPriority w:val="9"/>
    <w:locked/>
    <w:rsid w:val="00CF4786"/>
    <w:rPr>
      <w:rFonts w:ascii="Calibri Light" w:eastAsia="DengXian Light" w:hAnsi="Calibri Light" w:cs="Times New Roman"/>
      <w:color w:val="1F3763"/>
      <w:lang w:val="nl-NL"/>
    </w:rPr>
  </w:style>
  <w:style w:type="character" w:customStyle="1" w:styleId="Heading4Char">
    <w:name w:val="Heading 4 Char"/>
    <w:aliases w:val="Heading 11 Char,para 4 Char,Título 41 Char,Heading 41 Char,heading 4 Char"/>
    <w:basedOn w:val="DefaultParagraphFont"/>
    <w:link w:val="Heading4"/>
    <w:uiPriority w:val="9"/>
    <w:rsid w:val="00624534"/>
    <w:rPr>
      <w:rFonts w:ascii="Times New Roman" w:hAnsi="Times New Roman"/>
      <w:b/>
      <w:sz w:val="22"/>
      <w:szCs w:val="22"/>
      <w:lang w:val="en-GB" w:eastAsia="en-US"/>
    </w:rPr>
  </w:style>
  <w:style w:type="table" w:customStyle="1" w:styleId="TableGrid1">
    <w:name w:val="Table Grid1"/>
    <w:basedOn w:val="TableNormal"/>
    <w:next w:val="TableGrid0"/>
    <w:uiPriority w:val="39"/>
    <w:locked/>
    <w:rsid w:val="00CF4786"/>
    <w:rPr>
      <w:rFonts w:asciiTheme="minorHAnsi" w:eastAsia="DengXian"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11"/>
    <w:basedOn w:val="Normal"/>
    <w:next w:val="Normal"/>
    <w:qFormat/>
    <w:locked/>
    <w:rsid w:val="00CF4786"/>
    <w:pPr>
      <w:keepNext/>
      <w:keepLines/>
      <w:spacing w:before="240" w:after="0"/>
      <w:outlineLvl w:val="0"/>
    </w:pPr>
    <w:rPr>
      <w:rFonts w:ascii="Calibri Light" w:eastAsia="DengXian Light" w:hAnsi="Calibri Light"/>
      <w:color w:val="2F5496"/>
      <w:sz w:val="32"/>
      <w:szCs w:val="32"/>
    </w:rPr>
  </w:style>
  <w:style w:type="paragraph" w:customStyle="1" w:styleId="table">
    <w:name w:val="table"/>
    <w:basedOn w:val="Normal"/>
    <w:next w:val="Normal"/>
    <w:unhideWhenUsed/>
    <w:qFormat/>
    <w:locked/>
    <w:rsid w:val="00AC2E08"/>
    <w:pPr>
      <w:keepNext/>
      <w:keepLines/>
      <w:spacing w:before="40" w:after="0"/>
      <w:outlineLvl w:val="2"/>
    </w:pPr>
    <w:rPr>
      <w:rFonts w:ascii="Calibri Light" w:eastAsia="Times New Roman" w:hAnsi="Calibri Light"/>
      <w:color w:val="000000" w:themeColor="text1"/>
      <w:sz w:val="24"/>
      <w:szCs w:val="24"/>
    </w:rPr>
  </w:style>
  <w:style w:type="table" w:styleId="GridTable1Light">
    <w:name w:val="Grid Table 1 Light"/>
    <w:basedOn w:val="TableNormal"/>
    <w:uiPriority w:val="46"/>
    <w:locked/>
    <w:rsid w:val="002403F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CF4786"/>
    <w:pPr>
      <w:spacing w:before="100" w:beforeAutospacing="1" w:after="100" w:afterAutospacing="1"/>
    </w:pPr>
    <w:rPr>
      <w:rFonts w:eastAsia="Times New Roman"/>
      <w:sz w:val="24"/>
      <w:szCs w:val="24"/>
      <w:lang w:val="en-US"/>
    </w:rPr>
  </w:style>
  <w:style w:type="character" w:customStyle="1" w:styleId="Hyperlink1">
    <w:name w:val="Hyperlink1"/>
    <w:basedOn w:val="DefaultParagraphFont"/>
    <w:uiPriority w:val="99"/>
    <w:unhideWhenUsed/>
    <w:locked/>
    <w:rsid w:val="00CF4786"/>
    <w:rPr>
      <w:color w:val="0563C1"/>
      <w:u w:val="single"/>
    </w:rPr>
  </w:style>
  <w:style w:type="character" w:customStyle="1" w:styleId="UnresolvedMention1">
    <w:name w:val="Unresolved Mention1"/>
    <w:basedOn w:val="DefaultParagraphFont"/>
    <w:uiPriority w:val="99"/>
    <w:unhideWhenUsed/>
    <w:locked/>
    <w:rsid w:val="00CF4786"/>
    <w:rPr>
      <w:color w:val="605E5C"/>
      <w:shd w:val="clear" w:color="auto" w:fill="E1DFDD"/>
    </w:rPr>
  </w:style>
  <w:style w:type="paragraph" w:customStyle="1" w:styleId="BodyText1">
    <w:name w:val="Body Text1"/>
    <w:basedOn w:val="Normal"/>
    <w:next w:val="BodyText"/>
    <w:link w:val="BodyTextChar"/>
    <w:uiPriority w:val="1"/>
    <w:qFormat/>
    <w:locked/>
    <w:rsid w:val="00CF4786"/>
    <w:pPr>
      <w:autoSpaceDE w:val="0"/>
      <w:autoSpaceDN w:val="0"/>
      <w:adjustRightInd w:val="0"/>
      <w:spacing w:after="0"/>
    </w:pPr>
    <w:rPr>
      <w:rFonts w:ascii="Tahoma" w:eastAsia="Times New Roman" w:hAnsi="Tahoma"/>
      <w:color w:val="000000"/>
      <w:lang w:val="en-US" w:eastAsia="zh-CN"/>
    </w:rPr>
  </w:style>
  <w:style w:type="paragraph" w:customStyle="1" w:styleId="TableParagraph">
    <w:name w:val="Table Paragraph"/>
    <w:basedOn w:val="Normal"/>
    <w:uiPriority w:val="1"/>
    <w:qFormat/>
    <w:locked/>
    <w:rsid w:val="00267618"/>
    <w:pPr>
      <w:autoSpaceDE w:val="0"/>
      <w:autoSpaceDN w:val="0"/>
      <w:adjustRightInd w:val="0"/>
      <w:spacing w:beforeLines="50" w:before="50" w:after="0"/>
      <w:jc w:val="center"/>
    </w:pPr>
    <w:rPr>
      <w:rFonts w:eastAsia="DengXian"/>
      <w:b/>
      <w:szCs w:val="24"/>
      <w:lang w:val="en-US"/>
    </w:rPr>
  </w:style>
  <w:style w:type="character" w:customStyle="1" w:styleId="Heading4Char1">
    <w:name w:val="Heading 4 Char1"/>
    <w:basedOn w:val="DefaultParagraphFont"/>
    <w:uiPriority w:val="9"/>
    <w:semiHidden/>
    <w:locked/>
    <w:rsid w:val="00CF4786"/>
    <w:rPr>
      <w:rFonts w:ascii="Calibri Light" w:eastAsia="Times New Roman" w:hAnsi="Calibri Light" w:cs="Times New Roman"/>
      <w:i/>
      <w:iCs/>
      <w:color w:val="2F5496"/>
    </w:rPr>
  </w:style>
  <w:style w:type="character" w:customStyle="1" w:styleId="Hyperlink2">
    <w:name w:val="Hyperlink2"/>
    <w:basedOn w:val="DefaultParagraphFont"/>
    <w:uiPriority w:val="99"/>
    <w:semiHidden/>
    <w:unhideWhenUsed/>
    <w:locked/>
    <w:rsid w:val="00CF4786"/>
    <w:rPr>
      <w:color w:val="0563C1"/>
      <w:u w:val="single"/>
    </w:rPr>
  </w:style>
  <w:style w:type="character" w:customStyle="1" w:styleId="BodyTextChar1">
    <w:name w:val="Body Text Char1"/>
    <w:aliases w:val=" Char Char Char1,Body Text Char Char Char Char Char Char1,Body Text Char Char Char Char Char2,Char Char3 Char1"/>
    <w:basedOn w:val="DefaultParagraphFont"/>
    <w:link w:val="BodyText"/>
    <w:uiPriority w:val="99"/>
    <w:semiHidden/>
    <w:rsid w:val="00CF4786"/>
    <w:rPr>
      <w:rFonts w:ascii="Tahoma" w:eastAsia="Times New Roman" w:hAnsi="Tahoma"/>
      <w:color w:val="000000"/>
      <w:sz w:val="22"/>
      <w:szCs w:val="22"/>
      <w:lang w:eastAsia="nl-NL"/>
    </w:rPr>
  </w:style>
  <w:style w:type="character" w:customStyle="1" w:styleId="11">
    <w:name w:val="@他1"/>
    <w:basedOn w:val="DefaultParagraphFont"/>
    <w:uiPriority w:val="99"/>
    <w:unhideWhenUsed/>
    <w:locked/>
    <w:rsid w:val="00CF4786"/>
    <w:rPr>
      <w:color w:val="2B579A"/>
      <w:shd w:val="clear" w:color="auto" w:fill="E1DFDD"/>
    </w:rPr>
  </w:style>
  <w:style w:type="table" w:customStyle="1" w:styleId="TableGrid2">
    <w:name w:val="Table Grid2"/>
    <w:basedOn w:val="TableNormal"/>
    <w:next w:val="TableGrid0"/>
    <w:uiPriority w:val="39"/>
    <w:locked/>
    <w:rsid w:val="00CF478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locked/>
    <w:rsid w:val="00CF478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0"/>
    <w:uiPriority w:val="39"/>
    <w:locked/>
    <w:rsid w:val="00CF478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0"/>
    <w:uiPriority w:val="39"/>
    <w:locked/>
    <w:rsid w:val="00CF478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F4786"/>
    <w:rPr>
      <w:color w:val="954F72"/>
      <w:u w:val="single"/>
    </w:rPr>
  </w:style>
  <w:style w:type="paragraph" w:customStyle="1" w:styleId="msonormal0">
    <w:name w:val="msonormal"/>
    <w:basedOn w:val="Normal"/>
    <w:locked/>
    <w:rsid w:val="00CF4786"/>
    <w:pPr>
      <w:spacing w:before="100" w:beforeAutospacing="1" w:after="100" w:afterAutospacing="1"/>
    </w:pPr>
    <w:rPr>
      <w:rFonts w:eastAsia="Times New Roman"/>
      <w:sz w:val="24"/>
      <w:szCs w:val="24"/>
      <w:lang w:val="en-US"/>
    </w:rPr>
  </w:style>
  <w:style w:type="paragraph" w:customStyle="1" w:styleId="xl66">
    <w:name w:val="xl66"/>
    <w:basedOn w:val="Normal"/>
    <w:locked/>
    <w:rsid w:val="00CF4786"/>
    <w:pPr>
      <w:spacing w:before="100" w:beforeAutospacing="1" w:after="100" w:afterAutospacing="1"/>
    </w:pPr>
    <w:rPr>
      <w:rFonts w:eastAsia="Times New Roman"/>
      <w:b/>
      <w:bCs/>
      <w:sz w:val="24"/>
      <w:szCs w:val="24"/>
      <w:lang w:val="en-US"/>
    </w:rPr>
  </w:style>
  <w:style w:type="paragraph" w:customStyle="1" w:styleId="xl67">
    <w:name w:val="xl67"/>
    <w:basedOn w:val="Normal"/>
    <w:locked/>
    <w:rsid w:val="00CF4786"/>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68">
    <w:name w:val="xl68"/>
    <w:basedOn w:val="Normal"/>
    <w:locked/>
    <w:rsid w:val="00CF4786"/>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69">
    <w:name w:val="xl69"/>
    <w:basedOn w:val="Normal"/>
    <w:locked/>
    <w:rsid w:val="00CF478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val="en-US"/>
    </w:rPr>
  </w:style>
  <w:style w:type="paragraph" w:customStyle="1" w:styleId="xl70">
    <w:name w:val="xl70"/>
    <w:basedOn w:val="Normal"/>
    <w:locked/>
    <w:rsid w:val="00CF4786"/>
    <w:pPr>
      <w:pBdr>
        <w:top w:val="single" w:sz="8"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1">
    <w:name w:val="xl71"/>
    <w:basedOn w:val="Normal"/>
    <w:locked/>
    <w:rsid w:val="00CF4786"/>
    <w:pPr>
      <w:pBdr>
        <w:top w:val="single" w:sz="4" w:space="0" w:color="auto"/>
        <w:left w:val="single" w:sz="4" w:space="0" w:color="auto"/>
        <w:bottom w:val="single" w:sz="4" w:space="0" w:color="auto"/>
        <w:right w:val="single" w:sz="8"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2">
    <w:name w:val="xl72"/>
    <w:basedOn w:val="Normal"/>
    <w:locked/>
    <w:rsid w:val="00CF4786"/>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sz w:val="24"/>
      <w:szCs w:val="24"/>
      <w:lang w:val="en-US"/>
    </w:rPr>
  </w:style>
  <w:style w:type="paragraph" w:customStyle="1" w:styleId="xl73">
    <w:name w:val="xl73"/>
    <w:basedOn w:val="Normal"/>
    <w:locked/>
    <w:rsid w:val="00CF4786"/>
    <w:pPr>
      <w:pBdr>
        <w:top w:val="single" w:sz="4"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4">
    <w:name w:val="xl74"/>
    <w:basedOn w:val="Normal"/>
    <w:locked/>
    <w:rsid w:val="00CF4786"/>
    <w:pPr>
      <w:pBdr>
        <w:top w:val="single" w:sz="8" w:space="0" w:color="auto"/>
        <w:left w:val="single" w:sz="8" w:space="0" w:color="auto"/>
        <w:bottom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5">
    <w:name w:val="xl75"/>
    <w:basedOn w:val="Normal"/>
    <w:locked/>
    <w:rsid w:val="00CF4786"/>
    <w:pPr>
      <w:pBdr>
        <w:top w:val="single" w:sz="4" w:space="0" w:color="auto"/>
        <w:left w:val="single" w:sz="8" w:space="0" w:color="auto"/>
        <w:bottom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6">
    <w:name w:val="xl76"/>
    <w:basedOn w:val="Normal"/>
    <w:locked/>
    <w:rsid w:val="00CF4786"/>
    <w:pPr>
      <w:pBdr>
        <w:top w:val="single" w:sz="4" w:space="0" w:color="auto"/>
        <w:left w:val="single" w:sz="8" w:space="0" w:color="auto"/>
        <w:bottom w:val="single" w:sz="4" w:space="0" w:color="auto"/>
      </w:pBdr>
      <w:spacing w:before="100" w:beforeAutospacing="1" w:after="100" w:afterAutospacing="1"/>
    </w:pPr>
    <w:rPr>
      <w:rFonts w:eastAsia="Times New Roman"/>
      <w:b/>
      <w:bCs/>
      <w:sz w:val="24"/>
      <w:szCs w:val="24"/>
      <w:lang w:val="en-US"/>
    </w:rPr>
  </w:style>
  <w:style w:type="paragraph" w:customStyle="1" w:styleId="xl77">
    <w:name w:val="xl77"/>
    <w:basedOn w:val="Normal"/>
    <w:locked/>
    <w:rsid w:val="00CF4786"/>
    <w:pPr>
      <w:pBdr>
        <w:top w:val="single" w:sz="4" w:space="0" w:color="auto"/>
        <w:left w:val="single" w:sz="8" w:space="0" w:color="auto"/>
        <w:bottom w:val="single" w:sz="8" w:space="0" w:color="auto"/>
      </w:pBdr>
      <w:spacing w:before="100" w:beforeAutospacing="1" w:after="100" w:afterAutospacing="1"/>
    </w:pPr>
    <w:rPr>
      <w:rFonts w:eastAsia="Times New Roman"/>
      <w:b/>
      <w:bCs/>
      <w:sz w:val="24"/>
      <w:szCs w:val="24"/>
      <w:lang w:val="en-US"/>
    </w:rPr>
  </w:style>
  <w:style w:type="paragraph" w:customStyle="1" w:styleId="xl78">
    <w:name w:val="xl78"/>
    <w:basedOn w:val="Normal"/>
    <w:locked/>
    <w:rsid w:val="00CF4786"/>
    <w:pPr>
      <w:pBdr>
        <w:top w:val="single" w:sz="8"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79">
    <w:name w:val="xl79"/>
    <w:basedOn w:val="Normal"/>
    <w:locked/>
    <w:rsid w:val="00CF4786"/>
    <w:pPr>
      <w:pBdr>
        <w:top w:val="single" w:sz="8" w:space="0" w:color="auto"/>
        <w:left w:val="single" w:sz="4" w:space="0" w:color="auto"/>
        <w:bottom w:val="single" w:sz="4" w:space="0" w:color="auto"/>
        <w:right w:val="single" w:sz="8"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80">
    <w:name w:val="xl80"/>
    <w:basedOn w:val="Normal"/>
    <w:locked/>
    <w:rsid w:val="00CF4786"/>
    <w:pPr>
      <w:pBdr>
        <w:top w:val="single" w:sz="4"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81">
    <w:name w:val="xl81"/>
    <w:basedOn w:val="Normal"/>
    <w:locked/>
    <w:rsid w:val="00CF4786"/>
    <w:pPr>
      <w:pBdr>
        <w:top w:val="single" w:sz="4" w:space="0" w:color="auto"/>
        <w:left w:val="single" w:sz="4" w:space="0" w:color="auto"/>
        <w:bottom w:val="single" w:sz="4" w:space="0" w:color="auto"/>
        <w:right w:val="single" w:sz="8"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82">
    <w:name w:val="xl82"/>
    <w:basedOn w:val="Normal"/>
    <w:locked/>
    <w:rsid w:val="00CF4786"/>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sz w:val="24"/>
      <w:szCs w:val="24"/>
      <w:lang w:val="en-US"/>
    </w:rPr>
  </w:style>
  <w:style w:type="paragraph" w:customStyle="1" w:styleId="xl83">
    <w:name w:val="xl83"/>
    <w:basedOn w:val="Normal"/>
    <w:locked/>
    <w:rsid w:val="00CF4786"/>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sz w:val="24"/>
      <w:szCs w:val="24"/>
      <w:lang w:val="en-US"/>
    </w:rPr>
  </w:style>
  <w:style w:type="paragraph" w:customStyle="1" w:styleId="xl84">
    <w:name w:val="xl84"/>
    <w:basedOn w:val="Normal"/>
    <w:locked/>
    <w:rsid w:val="00CF4786"/>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sz w:val="24"/>
      <w:szCs w:val="24"/>
      <w:lang w:val="en-US"/>
    </w:rPr>
  </w:style>
  <w:style w:type="paragraph" w:customStyle="1" w:styleId="xl85">
    <w:name w:val="xl85"/>
    <w:basedOn w:val="Normal"/>
    <w:locked/>
    <w:rsid w:val="00CF4786"/>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sz w:val="24"/>
      <w:szCs w:val="24"/>
      <w:lang w:val="en-US"/>
    </w:rPr>
  </w:style>
  <w:style w:type="paragraph" w:customStyle="1" w:styleId="xl86">
    <w:name w:val="xl86"/>
    <w:basedOn w:val="Normal"/>
    <w:locked/>
    <w:rsid w:val="00CF4786"/>
    <w:pPr>
      <w:pBdr>
        <w:top w:val="single" w:sz="4"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87">
    <w:name w:val="xl87"/>
    <w:basedOn w:val="Normal"/>
    <w:locked/>
    <w:rsid w:val="00CF4786"/>
    <w:pPr>
      <w:pBdr>
        <w:top w:val="single" w:sz="4"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88">
    <w:name w:val="xl88"/>
    <w:basedOn w:val="Normal"/>
    <w:locked/>
    <w:rsid w:val="00CF478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Times New Roman"/>
      <w:sz w:val="24"/>
      <w:szCs w:val="24"/>
      <w:lang w:val="en-US"/>
    </w:rPr>
  </w:style>
  <w:style w:type="paragraph" w:customStyle="1" w:styleId="xl89">
    <w:name w:val="xl89"/>
    <w:basedOn w:val="Normal"/>
    <w:locked/>
    <w:rsid w:val="00CF4786"/>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Times New Roman"/>
      <w:sz w:val="24"/>
      <w:szCs w:val="24"/>
      <w:lang w:val="en-US"/>
    </w:rPr>
  </w:style>
  <w:style w:type="paragraph" w:customStyle="1" w:styleId="xl90">
    <w:name w:val="xl90"/>
    <w:basedOn w:val="Normal"/>
    <w:locked/>
    <w:rsid w:val="00CF4786"/>
    <w:pPr>
      <w:pBdr>
        <w:top w:val="single" w:sz="8" w:space="0" w:color="auto"/>
        <w:left w:val="single" w:sz="8" w:space="0" w:color="auto"/>
        <w:bottom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1">
    <w:name w:val="xl91"/>
    <w:basedOn w:val="Normal"/>
    <w:locked/>
    <w:rsid w:val="00CF4786"/>
    <w:pPr>
      <w:pBdr>
        <w:top w:val="single" w:sz="4" w:space="0" w:color="auto"/>
        <w:left w:val="single" w:sz="8" w:space="0" w:color="auto"/>
        <w:bottom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2">
    <w:name w:val="xl92"/>
    <w:basedOn w:val="Normal"/>
    <w:locked/>
    <w:rsid w:val="00CF4786"/>
    <w:pPr>
      <w:pBdr>
        <w:top w:val="single" w:sz="4" w:space="0" w:color="auto"/>
        <w:left w:val="single" w:sz="8" w:space="0" w:color="auto"/>
        <w:bottom w:val="single" w:sz="4" w:space="0" w:color="auto"/>
      </w:pBdr>
      <w:spacing w:before="100" w:beforeAutospacing="1" w:after="100" w:afterAutospacing="1"/>
    </w:pPr>
    <w:rPr>
      <w:rFonts w:eastAsia="Times New Roman"/>
      <w:b/>
      <w:bCs/>
      <w:sz w:val="24"/>
      <w:szCs w:val="24"/>
      <w:lang w:val="en-US"/>
    </w:rPr>
  </w:style>
  <w:style w:type="paragraph" w:customStyle="1" w:styleId="xl93">
    <w:name w:val="xl93"/>
    <w:basedOn w:val="Normal"/>
    <w:locked/>
    <w:rsid w:val="00CF4786"/>
    <w:pPr>
      <w:pBdr>
        <w:top w:val="single" w:sz="4" w:space="0" w:color="auto"/>
        <w:left w:val="single" w:sz="8" w:space="0" w:color="auto"/>
        <w:bottom w:val="single" w:sz="8" w:space="0" w:color="auto"/>
      </w:pBdr>
      <w:spacing w:before="100" w:beforeAutospacing="1" w:after="100" w:afterAutospacing="1"/>
    </w:pPr>
    <w:rPr>
      <w:rFonts w:eastAsia="Times New Roman"/>
      <w:b/>
      <w:bCs/>
      <w:sz w:val="24"/>
      <w:szCs w:val="24"/>
      <w:lang w:val="en-US"/>
    </w:rPr>
  </w:style>
  <w:style w:type="paragraph" w:customStyle="1" w:styleId="xl94">
    <w:name w:val="xl94"/>
    <w:basedOn w:val="Normal"/>
    <w:locked/>
    <w:rsid w:val="00CF4786"/>
    <w:pPr>
      <w:pBdr>
        <w:top w:val="single" w:sz="8"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5">
    <w:name w:val="xl95"/>
    <w:basedOn w:val="Normal"/>
    <w:locked/>
    <w:rsid w:val="00CF4786"/>
    <w:pPr>
      <w:pBdr>
        <w:top w:val="single" w:sz="8" w:space="0" w:color="auto"/>
        <w:left w:val="single" w:sz="4" w:space="0" w:color="auto"/>
        <w:bottom w:val="single" w:sz="4" w:space="0" w:color="auto"/>
        <w:right w:val="single" w:sz="8"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6">
    <w:name w:val="xl96"/>
    <w:basedOn w:val="Normal"/>
    <w:locked/>
    <w:rsid w:val="00CF4786"/>
    <w:pPr>
      <w:pBdr>
        <w:top w:val="single" w:sz="4" w:space="0" w:color="auto"/>
        <w:left w:val="single" w:sz="8"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7">
    <w:name w:val="xl97"/>
    <w:basedOn w:val="Normal"/>
    <w:locked/>
    <w:rsid w:val="00CF4786"/>
    <w:pPr>
      <w:pBdr>
        <w:top w:val="single" w:sz="4" w:space="0" w:color="auto"/>
        <w:left w:val="single" w:sz="4" w:space="0" w:color="auto"/>
        <w:bottom w:val="single" w:sz="4" w:space="0" w:color="auto"/>
        <w:right w:val="single" w:sz="8" w:space="0" w:color="auto"/>
      </w:pBdr>
      <w:shd w:val="clear" w:color="000000" w:fill="CCECFF"/>
      <w:spacing w:before="100" w:beforeAutospacing="1" w:after="100" w:afterAutospacing="1"/>
      <w:jc w:val="center"/>
      <w:textAlignment w:val="center"/>
    </w:pPr>
    <w:rPr>
      <w:rFonts w:eastAsia="Times New Roman"/>
      <w:b/>
      <w:bCs/>
      <w:sz w:val="24"/>
      <w:szCs w:val="24"/>
      <w:lang w:val="en-US"/>
    </w:rPr>
  </w:style>
  <w:style w:type="paragraph" w:customStyle="1" w:styleId="xl98">
    <w:name w:val="xl98"/>
    <w:basedOn w:val="Normal"/>
    <w:locked/>
    <w:rsid w:val="00CF4786"/>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sz w:val="24"/>
      <w:szCs w:val="24"/>
      <w:lang w:val="en-US"/>
    </w:rPr>
  </w:style>
  <w:style w:type="paragraph" w:customStyle="1" w:styleId="xl99">
    <w:name w:val="xl99"/>
    <w:basedOn w:val="Normal"/>
    <w:locked/>
    <w:rsid w:val="00CF4786"/>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sz w:val="24"/>
      <w:szCs w:val="24"/>
      <w:lang w:val="en-US"/>
    </w:rPr>
  </w:style>
  <w:style w:type="paragraph" w:customStyle="1" w:styleId="xl100">
    <w:name w:val="xl100"/>
    <w:basedOn w:val="Normal"/>
    <w:locked/>
    <w:rsid w:val="00CF4786"/>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sz w:val="24"/>
      <w:szCs w:val="24"/>
      <w:lang w:val="en-US"/>
    </w:rPr>
  </w:style>
  <w:style w:type="paragraph" w:customStyle="1" w:styleId="xl101">
    <w:name w:val="xl101"/>
    <w:basedOn w:val="Normal"/>
    <w:locked/>
    <w:rsid w:val="00CF4786"/>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sz w:val="24"/>
      <w:szCs w:val="24"/>
      <w:lang w:val="en-US"/>
    </w:rPr>
  </w:style>
  <w:style w:type="paragraph" w:customStyle="1" w:styleId="xl102">
    <w:name w:val="xl102"/>
    <w:basedOn w:val="Normal"/>
    <w:locked/>
    <w:rsid w:val="00CF4786"/>
    <w:pPr>
      <w:pBdr>
        <w:top w:val="single" w:sz="8"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eastAsia="Times New Roman"/>
      <w:b/>
      <w:bCs/>
      <w:sz w:val="24"/>
      <w:szCs w:val="24"/>
      <w:lang w:val="en-US"/>
    </w:rPr>
  </w:style>
  <w:style w:type="paragraph" w:customStyle="1" w:styleId="xl103">
    <w:name w:val="xl103"/>
    <w:basedOn w:val="Normal"/>
    <w:locked/>
    <w:rsid w:val="00CF4786"/>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eastAsia="Times New Roman"/>
      <w:b/>
      <w:bCs/>
      <w:sz w:val="24"/>
      <w:szCs w:val="24"/>
      <w:lang w:val="en-US"/>
    </w:rPr>
  </w:style>
  <w:style w:type="paragraph" w:customStyle="1" w:styleId="xl104">
    <w:name w:val="xl104"/>
    <w:basedOn w:val="Normal"/>
    <w:locked/>
    <w:rsid w:val="00CF4786"/>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pPr>
    <w:rPr>
      <w:rFonts w:eastAsia="Times New Roman"/>
      <w:sz w:val="24"/>
      <w:szCs w:val="24"/>
      <w:lang w:val="en-US"/>
    </w:rPr>
  </w:style>
  <w:style w:type="paragraph" w:customStyle="1" w:styleId="xl105">
    <w:name w:val="xl105"/>
    <w:basedOn w:val="Normal"/>
    <w:locked/>
    <w:rsid w:val="00CF4786"/>
    <w:pPr>
      <w:pBdr>
        <w:top w:val="single" w:sz="4" w:space="0" w:color="auto"/>
        <w:left w:val="single" w:sz="8" w:space="0" w:color="auto"/>
        <w:bottom w:val="single" w:sz="8" w:space="0" w:color="auto"/>
        <w:right w:val="single" w:sz="8" w:space="0" w:color="auto"/>
      </w:pBdr>
      <w:shd w:val="clear" w:color="000000" w:fill="CCFFCC"/>
      <w:spacing w:before="100" w:beforeAutospacing="1" w:after="100" w:afterAutospacing="1"/>
      <w:jc w:val="center"/>
    </w:pPr>
    <w:rPr>
      <w:rFonts w:eastAsia="Times New Roman"/>
      <w:sz w:val="24"/>
      <w:szCs w:val="24"/>
      <w:lang w:val="en-US"/>
    </w:rPr>
  </w:style>
  <w:style w:type="table" w:customStyle="1" w:styleId="TableGrid6">
    <w:name w:val="Table Grid6"/>
    <w:basedOn w:val="TableNormal"/>
    <w:next w:val="TableGrid0"/>
    <w:uiPriority w:val="39"/>
    <w:locked/>
    <w:rsid w:val="00CF4786"/>
    <w:rPr>
      <w:rFonts w:asciiTheme="minorHAnsi" w:eastAsia="DengXian"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0"/>
    <w:uiPriority w:val="39"/>
    <w:locked/>
    <w:rsid w:val="00CF4786"/>
    <w:rPr>
      <w:rFonts w:eastAsia="DengXian"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C7E17"/>
    <w:pPr>
      <w:keepLines/>
      <w:spacing w:before="240" w:line="259" w:lineRule="auto"/>
      <w:outlineLvl w:val="9"/>
    </w:pPr>
    <w:rPr>
      <w:rFonts w:asciiTheme="majorHAnsi" w:eastAsiaTheme="majorEastAsia" w:hAnsiTheme="majorHAnsi" w:cstheme="majorBidi"/>
      <w:b w:val="0"/>
      <w:color w:val="2F5496" w:themeColor="accent1" w:themeShade="BF"/>
      <w:sz w:val="32"/>
      <w:szCs w:val="32"/>
      <w:lang w:eastAsia="zh-CN"/>
    </w:rPr>
  </w:style>
  <w:style w:type="paragraph" w:styleId="ListParagraph">
    <w:name w:val="List Paragraph"/>
    <w:basedOn w:val="Normal"/>
    <w:link w:val="ListParagraphChar"/>
    <w:uiPriority w:val="34"/>
    <w:qFormat/>
    <w:rsid w:val="000A44F4"/>
    <w:pPr>
      <w:ind w:left="720"/>
      <w:contextualSpacing/>
    </w:pPr>
  </w:style>
  <w:style w:type="table" w:customStyle="1" w:styleId="TableGrid8">
    <w:name w:val="Table Grid8"/>
    <w:basedOn w:val="TableNormal"/>
    <w:next w:val="TableGrid0"/>
    <w:uiPriority w:val="39"/>
    <w:locked/>
    <w:rsid w:val="000F5DE2"/>
    <w:rPr>
      <w:rFonts w:eastAsia="DengXian"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0"/>
    <w:uiPriority w:val="39"/>
    <w:locked/>
    <w:rsid w:val="000F5DE2"/>
    <w:rPr>
      <w:rFonts w:eastAsia="DengXian"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0"/>
    <w:uiPriority w:val="39"/>
    <w:locked/>
    <w:rsid w:val="000F5DE2"/>
    <w:rPr>
      <w:rFonts w:eastAsia="DengXian"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0"/>
    <w:uiPriority w:val="39"/>
    <w:locked/>
    <w:rsid w:val="009706DD"/>
    <w:rPr>
      <w:rFonts w:eastAsia="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95166"/>
    <w:pPr>
      <w:tabs>
        <w:tab w:val="left" w:pos="1440"/>
        <w:tab w:val="right" w:leader="dot" w:pos="9010"/>
      </w:tabs>
      <w:spacing w:after="100"/>
      <w:ind w:left="1440" w:hanging="1440"/>
    </w:pPr>
    <w:rPr>
      <w:caps/>
      <w:noProof/>
    </w:rPr>
  </w:style>
  <w:style w:type="paragraph" w:styleId="TOC2">
    <w:name w:val="toc 2"/>
    <w:basedOn w:val="Normal"/>
    <w:next w:val="Normal"/>
    <w:autoRedefine/>
    <w:uiPriority w:val="39"/>
    <w:unhideWhenUsed/>
    <w:rsid w:val="0057212E"/>
    <w:pPr>
      <w:tabs>
        <w:tab w:val="left" w:pos="900"/>
        <w:tab w:val="right" w:leader="dot" w:pos="9010"/>
      </w:tabs>
      <w:spacing w:after="100"/>
      <w:ind w:left="900" w:hanging="680"/>
    </w:pPr>
    <w:rPr>
      <w:noProof/>
    </w:rPr>
  </w:style>
  <w:style w:type="paragraph" w:styleId="TOC3">
    <w:name w:val="toc 3"/>
    <w:basedOn w:val="Normal"/>
    <w:next w:val="Normal"/>
    <w:autoRedefine/>
    <w:uiPriority w:val="39"/>
    <w:unhideWhenUsed/>
    <w:rsid w:val="000971AA"/>
    <w:pPr>
      <w:spacing w:after="100"/>
      <w:ind w:left="440"/>
    </w:pPr>
  </w:style>
  <w:style w:type="paragraph" w:styleId="TOC4">
    <w:name w:val="toc 4"/>
    <w:basedOn w:val="Normal"/>
    <w:next w:val="Normal"/>
    <w:autoRedefine/>
    <w:uiPriority w:val="39"/>
    <w:unhideWhenUsed/>
    <w:rsid w:val="000971AA"/>
    <w:pPr>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0971AA"/>
    <w:pPr>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0971AA"/>
    <w:pPr>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0971AA"/>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0971AA"/>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0971AA"/>
    <w:pPr>
      <w:spacing w:after="100" w:line="259" w:lineRule="auto"/>
      <w:ind w:left="1760"/>
    </w:pPr>
    <w:rPr>
      <w:rFonts w:asciiTheme="minorHAnsi" w:eastAsiaTheme="minorEastAsia" w:hAnsiTheme="minorHAnsi" w:cstheme="minorBidi"/>
      <w:lang w:val="en-US"/>
    </w:rPr>
  </w:style>
  <w:style w:type="character" w:customStyle="1" w:styleId="ListParagraphChar">
    <w:name w:val="List Paragraph Char"/>
    <w:link w:val="ListParagraph"/>
    <w:uiPriority w:val="34"/>
    <w:locked/>
    <w:rsid w:val="00865332"/>
    <w:rPr>
      <w:rFonts w:ascii="Times New Roman" w:hAnsi="Times New Roman"/>
      <w:sz w:val="22"/>
      <w:szCs w:val="22"/>
      <w:lang w:val="en-GB" w:eastAsia="en-US"/>
    </w:rPr>
  </w:style>
  <w:style w:type="paragraph" w:customStyle="1" w:styleId="paragraph">
    <w:name w:val="paragraph"/>
    <w:basedOn w:val="Normal"/>
    <w:locked/>
    <w:rsid w:val="00610543"/>
    <w:pPr>
      <w:spacing w:before="100" w:beforeAutospacing="1" w:after="100" w:afterAutospacing="1"/>
    </w:pPr>
    <w:rPr>
      <w:rFonts w:eastAsia="Times New Roman"/>
      <w:sz w:val="24"/>
      <w:szCs w:val="24"/>
      <w:lang w:val="en-US"/>
    </w:rPr>
  </w:style>
  <w:style w:type="character" w:customStyle="1" w:styleId="normaltextrun">
    <w:name w:val="normaltextrun"/>
    <w:basedOn w:val="DefaultParagraphFont"/>
    <w:locked/>
    <w:rsid w:val="00610543"/>
  </w:style>
  <w:style w:type="character" w:customStyle="1" w:styleId="eop">
    <w:name w:val="eop"/>
    <w:basedOn w:val="DefaultParagraphFont"/>
    <w:locked/>
    <w:rsid w:val="00610543"/>
  </w:style>
  <w:style w:type="paragraph" w:customStyle="1" w:styleId="xl65">
    <w:name w:val="xl65"/>
    <w:basedOn w:val="Normal"/>
    <w:locked/>
    <w:rsid w:val="009A087A"/>
    <w:pPr>
      <w:spacing w:before="100" w:beforeAutospacing="1" w:after="100" w:afterAutospacing="1"/>
    </w:pPr>
    <w:rPr>
      <w:rFonts w:eastAsia="Times New Roman"/>
      <w:sz w:val="24"/>
      <w:szCs w:val="24"/>
      <w:lang w:val="en-US"/>
    </w:rPr>
  </w:style>
  <w:style w:type="paragraph" w:customStyle="1" w:styleId="xl106">
    <w:name w:val="xl106"/>
    <w:basedOn w:val="Normal"/>
    <w:locked/>
    <w:rsid w:val="009A087A"/>
    <w:pPr>
      <w:pBdr>
        <w:left w:val="single" w:sz="4" w:space="0" w:color="auto"/>
        <w:bottom w:val="single" w:sz="4" w:space="0" w:color="auto"/>
        <w:right w:val="single" w:sz="4"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07">
    <w:name w:val="xl107"/>
    <w:basedOn w:val="Normal"/>
    <w:locked/>
    <w:rsid w:val="009A087A"/>
    <w:pPr>
      <w:pBdr>
        <w:left w:val="single" w:sz="4" w:space="0" w:color="auto"/>
        <w:bottom w:val="single" w:sz="4" w:space="0" w:color="auto"/>
        <w:right w:val="single" w:sz="8"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08">
    <w:name w:val="xl108"/>
    <w:basedOn w:val="Normal"/>
    <w:locked/>
    <w:rsid w:val="009A087A"/>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09">
    <w:name w:val="xl109"/>
    <w:basedOn w:val="Normal"/>
    <w:locked/>
    <w:rsid w:val="009A087A"/>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10">
    <w:name w:val="xl110"/>
    <w:basedOn w:val="Normal"/>
    <w:locked/>
    <w:rsid w:val="009A087A"/>
    <w:pPr>
      <w:pBdr>
        <w:top w:val="single" w:sz="4"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11">
    <w:name w:val="xl111"/>
    <w:basedOn w:val="Normal"/>
    <w:locked/>
    <w:rsid w:val="009A087A"/>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jc w:val="center"/>
    </w:pPr>
    <w:rPr>
      <w:rFonts w:eastAsia="Times New Roman"/>
      <w:sz w:val="24"/>
      <w:szCs w:val="24"/>
      <w:lang w:val="en-US"/>
    </w:rPr>
  </w:style>
  <w:style w:type="paragraph" w:customStyle="1" w:styleId="xl112">
    <w:name w:val="xl112"/>
    <w:basedOn w:val="Normal"/>
    <w:locked/>
    <w:rsid w:val="009A08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 w:val="18"/>
      <w:szCs w:val="18"/>
      <w:lang w:val="en-US"/>
    </w:rPr>
  </w:style>
  <w:style w:type="paragraph" w:customStyle="1" w:styleId="xl113">
    <w:name w:val="xl113"/>
    <w:basedOn w:val="Normal"/>
    <w:locked/>
    <w:rsid w:val="009A087A"/>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eastAsia="Times New Roman"/>
      <w:b/>
      <w:bCs/>
      <w:sz w:val="18"/>
      <w:szCs w:val="18"/>
      <w:lang w:val="en-US"/>
    </w:rPr>
  </w:style>
  <w:style w:type="paragraph" w:customStyle="1" w:styleId="xl114">
    <w:name w:val="xl114"/>
    <w:basedOn w:val="Normal"/>
    <w:locked/>
    <w:rsid w:val="009A087A"/>
    <w:pPr>
      <w:pBdr>
        <w:left w:val="single" w:sz="4" w:space="0" w:color="auto"/>
        <w:bottom w:val="single" w:sz="4" w:space="0" w:color="auto"/>
        <w:right w:val="single" w:sz="4" w:space="0" w:color="auto"/>
      </w:pBdr>
      <w:shd w:val="clear" w:color="000000" w:fill="F2F2F2"/>
      <w:spacing w:before="100" w:beforeAutospacing="1" w:after="100" w:afterAutospacing="1"/>
    </w:pPr>
    <w:rPr>
      <w:rFonts w:eastAsia="Times New Roman"/>
      <w:sz w:val="24"/>
      <w:szCs w:val="24"/>
      <w:lang w:val="en-US"/>
    </w:rPr>
  </w:style>
  <w:style w:type="paragraph" w:customStyle="1" w:styleId="xl115">
    <w:name w:val="xl115"/>
    <w:basedOn w:val="Normal"/>
    <w:locked/>
    <w:rsid w:val="009A08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eastAsia="Times New Roman"/>
      <w:sz w:val="24"/>
      <w:szCs w:val="24"/>
      <w:lang w:val="en-US"/>
    </w:rPr>
  </w:style>
  <w:style w:type="paragraph" w:customStyle="1" w:styleId="xl116">
    <w:name w:val="xl116"/>
    <w:basedOn w:val="Normal"/>
    <w:locked/>
    <w:rsid w:val="009A087A"/>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pPr>
    <w:rPr>
      <w:rFonts w:eastAsia="Times New Roman"/>
      <w:sz w:val="24"/>
      <w:szCs w:val="24"/>
      <w:lang w:val="en-US"/>
    </w:rPr>
  </w:style>
  <w:style w:type="paragraph" w:customStyle="1" w:styleId="xl117">
    <w:name w:val="xl117"/>
    <w:basedOn w:val="Normal"/>
    <w:locked/>
    <w:rsid w:val="009A087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rFonts w:eastAsia="Times New Roman"/>
      <w:b/>
      <w:bCs/>
      <w:sz w:val="18"/>
      <w:szCs w:val="18"/>
      <w:lang w:val="en-US"/>
    </w:rPr>
  </w:style>
  <w:style w:type="paragraph" w:customStyle="1" w:styleId="xl118">
    <w:name w:val="xl118"/>
    <w:basedOn w:val="Normal"/>
    <w:locked/>
    <w:rsid w:val="009A087A"/>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eastAsia="Times New Roman"/>
      <w:b/>
      <w:bCs/>
      <w:sz w:val="18"/>
      <w:szCs w:val="18"/>
      <w:lang w:val="en-US"/>
    </w:rPr>
  </w:style>
  <w:style w:type="paragraph" w:customStyle="1" w:styleId="xl119">
    <w:name w:val="xl119"/>
    <w:basedOn w:val="Normal"/>
    <w:locked/>
    <w:rsid w:val="009A087A"/>
    <w:pPr>
      <w:pBdr>
        <w:left w:val="single" w:sz="4" w:space="0" w:color="auto"/>
        <w:bottom w:val="single" w:sz="4" w:space="0" w:color="auto"/>
        <w:right w:val="single" w:sz="4" w:space="0" w:color="auto"/>
      </w:pBdr>
      <w:shd w:val="clear" w:color="000000" w:fill="F2F2F2"/>
      <w:spacing w:before="100" w:beforeAutospacing="1" w:after="100" w:afterAutospacing="1"/>
      <w:jc w:val="center"/>
    </w:pPr>
    <w:rPr>
      <w:rFonts w:eastAsia="Times New Roman"/>
      <w:sz w:val="24"/>
      <w:szCs w:val="24"/>
      <w:lang w:val="en-US"/>
    </w:rPr>
  </w:style>
  <w:style w:type="paragraph" w:customStyle="1" w:styleId="xl120">
    <w:name w:val="xl120"/>
    <w:basedOn w:val="Normal"/>
    <w:locked/>
    <w:rsid w:val="009A087A"/>
    <w:pPr>
      <w:pBdr>
        <w:left w:val="single" w:sz="4" w:space="0" w:color="auto"/>
        <w:bottom w:val="single" w:sz="4" w:space="0" w:color="auto"/>
        <w:right w:val="single" w:sz="8" w:space="0" w:color="auto"/>
      </w:pBdr>
      <w:shd w:val="clear" w:color="000000" w:fill="F2F2F2"/>
      <w:spacing w:before="100" w:beforeAutospacing="1" w:after="100" w:afterAutospacing="1"/>
    </w:pPr>
    <w:rPr>
      <w:rFonts w:eastAsia="Times New Roman"/>
      <w:sz w:val="24"/>
      <w:szCs w:val="24"/>
      <w:lang w:val="en-US"/>
    </w:rPr>
  </w:style>
  <w:style w:type="paragraph" w:customStyle="1" w:styleId="xl121">
    <w:name w:val="xl121"/>
    <w:basedOn w:val="Normal"/>
    <w:locked/>
    <w:rsid w:val="009A08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eastAsia="Times New Roman"/>
      <w:sz w:val="24"/>
      <w:szCs w:val="24"/>
      <w:lang w:val="en-US"/>
    </w:rPr>
  </w:style>
  <w:style w:type="paragraph" w:customStyle="1" w:styleId="xl122">
    <w:name w:val="xl122"/>
    <w:basedOn w:val="Normal"/>
    <w:locked/>
    <w:rsid w:val="009A087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pPr>
    <w:rPr>
      <w:rFonts w:eastAsia="Times New Roman"/>
      <w:sz w:val="24"/>
      <w:szCs w:val="24"/>
      <w:lang w:val="en-US"/>
    </w:rPr>
  </w:style>
  <w:style w:type="paragraph" w:customStyle="1" w:styleId="xl123">
    <w:name w:val="xl123"/>
    <w:basedOn w:val="Normal"/>
    <w:locked/>
    <w:rsid w:val="009A087A"/>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rFonts w:eastAsia="Times New Roman"/>
      <w:sz w:val="24"/>
      <w:szCs w:val="24"/>
      <w:lang w:val="en-US"/>
    </w:rPr>
  </w:style>
  <w:style w:type="paragraph" w:customStyle="1" w:styleId="xl124">
    <w:name w:val="xl124"/>
    <w:basedOn w:val="Normal"/>
    <w:locked/>
    <w:rsid w:val="009A087A"/>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rFonts w:eastAsia="Times New Roman"/>
      <w:sz w:val="24"/>
      <w:szCs w:val="24"/>
      <w:lang w:val="en-US"/>
    </w:rPr>
  </w:style>
  <w:style w:type="table" w:styleId="GridTable4-Accent6">
    <w:name w:val="Grid Table 4 Accent 6"/>
    <w:basedOn w:val="TableNormal"/>
    <w:uiPriority w:val="49"/>
    <w:locked/>
    <w:rsid w:val="009A087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locked/>
    <w:rsid w:val="00B75C7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5">
    <w:name w:val="List Table 4 Accent 5"/>
    <w:basedOn w:val="TableNormal"/>
    <w:uiPriority w:val="49"/>
    <w:locked/>
    <w:rsid w:val="00B75C7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locked/>
    <w:rsid w:val="006309E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locked/>
    <w:rsid w:val="006309E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locked/>
    <w:rsid w:val="006309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locked/>
    <w:rsid w:val="006309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Accent6">
    <w:name w:val="Grid Table 6 Colorful Accent 6"/>
    <w:basedOn w:val="TableNormal"/>
    <w:uiPriority w:val="51"/>
    <w:locked/>
    <w:rsid w:val="006309E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UnresolvedMention">
    <w:name w:val="Unresolved Mention"/>
    <w:basedOn w:val="DefaultParagraphFont"/>
    <w:uiPriority w:val="99"/>
    <w:semiHidden/>
    <w:unhideWhenUsed/>
    <w:rsid w:val="006875F7"/>
    <w:rPr>
      <w:color w:val="605E5C"/>
      <w:shd w:val="clear" w:color="auto" w:fill="E1DFDD"/>
    </w:rPr>
  </w:style>
  <w:style w:type="table" w:styleId="TableGridLight">
    <w:name w:val="Grid Table Light"/>
    <w:basedOn w:val="TableNormal"/>
    <w:uiPriority w:val="40"/>
    <w:locked/>
    <w:rsid w:val="00846B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locked/>
    <w:rsid w:val="006D00E0"/>
    <w:rPr>
      <w:color w:val="605E5C"/>
      <w:shd w:val="clear" w:color="auto" w:fill="E1DFDD"/>
    </w:rPr>
  </w:style>
  <w:style w:type="table" w:styleId="TableGrid">
    <w:name w:val="Table Grid"/>
    <w:basedOn w:val="TableNormal"/>
    <w:uiPriority w:val="39"/>
    <w:locked/>
    <w:rsid w:val="00AA1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locked/>
    <w:rsid w:val="00066363"/>
    <w:rPr>
      <w:rFonts w:eastAsia="Calibr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Non-indent">
    <w:name w:val="Main Text Non-indent"/>
    <w:basedOn w:val="Normal"/>
    <w:locked/>
    <w:rsid w:val="00A30E02"/>
    <w:pPr>
      <w:widowControl w:val="0"/>
      <w:spacing w:after="0" w:line="240" w:lineRule="exact"/>
    </w:pPr>
    <w:rPr>
      <w:rFonts w:ascii="Times" w:hAnsi="Times"/>
      <w:color w:val="000000"/>
      <w:sz w:val="20"/>
      <w:szCs w:val="20"/>
      <w:lang w:val="en-US" w:eastAsia="zh-CN"/>
    </w:rPr>
  </w:style>
  <w:style w:type="table" w:customStyle="1" w:styleId="TableGrid12">
    <w:name w:val="Table Grid12"/>
    <w:basedOn w:val="TableNormal"/>
    <w:next w:val="TableGrid"/>
    <w:uiPriority w:val="39"/>
    <w:rsid w:val="002509EC"/>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CC4B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4B53"/>
    <w:rPr>
      <w:rFonts w:ascii="Times New Roman" w:hAnsi="Times New Roman"/>
      <w:i/>
      <w:iCs/>
      <w:color w:val="404040" w:themeColor="text1" w:themeTint="BF"/>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7CA8"/>
    <w:pPr>
      <w:spacing w:after="160" w:line="240" w:lineRule="exact"/>
      <w:jc w:val="both"/>
    </w:pPr>
    <w:rPr>
      <w:rFonts w:ascii="Calibri" w:hAnsi="Calibri"/>
      <w:sz w:val="20"/>
      <w:szCs w:val="20"/>
      <w:vertAlign w:val="superscript"/>
      <w:lang w:val="en-US" w:eastAsia="zh-CN"/>
    </w:rPr>
  </w:style>
  <w:style w:type="character" w:styleId="IntenseEmphasis">
    <w:name w:val="Intense Emphasis"/>
    <w:basedOn w:val="DefaultParagraphFont"/>
    <w:uiPriority w:val="21"/>
    <w:qFormat/>
    <w:rsid w:val="00314F2B"/>
    <w:rPr>
      <w:i/>
      <w:iCs/>
      <w:color w:val="4472C4" w:themeColor="accent1"/>
    </w:rPr>
  </w:style>
  <w:style w:type="character" w:customStyle="1" w:styleId="cf01">
    <w:name w:val="cf01"/>
    <w:basedOn w:val="DefaultParagraphFont"/>
    <w:rsid w:val="00591B89"/>
    <w:rPr>
      <w:rFonts w:ascii="Microsoft YaHei UI" w:eastAsia="Microsoft YaHei UI" w:hAnsi="Microsoft YaHei UI" w:hint="eastAsia"/>
      <w:sz w:val="18"/>
      <w:szCs w:val="18"/>
    </w:rPr>
  </w:style>
  <w:style w:type="numbering" w:customStyle="1" w:styleId="CurrentList1">
    <w:name w:val="Current List1"/>
    <w:uiPriority w:val="99"/>
    <w:rsid w:val="000C1122"/>
    <w:pPr>
      <w:numPr>
        <w:numId w:val="9"/>
      </w:numPr>
    </w:pPr>
  </w:style>
  <w:style w:type="numbering" w:customStyle="1" w:styleId="CurrentList2">
    <w:name w:val="Current List2"/>
    <w:uiPriority w:val="99"/>
    <w:rsid w:val="000C1122"/>
    <w:pPr>
      <w:numPr>
        <w:numId w:val="10"/>
      </w:numPr>
    </w:pPr>
  </w:style>
  <w:style w:type="table" w:customStyle="1" w:styleId="TableGrid13">
    <w:name w:val="Table Grid13"/>
    <w:basedOn w:val="TableNormal"/>
    <w:next w:val="TableGrid"/>
    <w:uiPriority w:val="39"/>
    <w:rsid w:val="00610ADB"/>
    <w:rPr>
      <w:rFonts w:ascii="Cambria" w:eastAsia="Cambria" w:hAnsi="Cambria"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BA2D95"/>
    <w:rPr>
      <w:rFonts w:eastAsia="Calibri"/>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4">
    <w:name w:val="Table Grid14"/>
    <w:basedOn w:val="TableNormal"/>
    <w:next w:val="TableGrid"/>
    <w:uiPriority w:val="39"/>
    <w:rsid w:val="00320A68"/>
    <w:rPr>
      <w:rFonts w:ascii="Aptos" w:eastAsia="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20A68"/>
    <w:rPr>
      <w:rFonts w:ascii="Aptos" w:eastAsia="Times New Roman" w:hAnsi="Aptos"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320A68"/>
    <w:pPr>
      <w:spacing w:before="100" w:beforeAutospacing="1" w:after="100" w:afterAutospacing="1"/>
    </w:pPr>
    <w:rPr>
      <w:rFonts w:eastAsia="Times New Roman"/>
      <w:sz w:val="24"/>
      <w:szCs w:val="24"/>
      <w:lang w:val="en-US"/>
    </w:rPr>
  </w:style>
  <w:style w:type="table" w:customStyle="1" w:styleId="TableGrid16">
    <w:name w:val="Table Grid16"/>
    <w:basedOn w:val="TableNormal"/>
    <w:next w:val="TableGrid"/>
    <w:uiPriority w:val="39"/>
    <w:rsid w:val="0077230C"/>
    <w:rPr>
      <w:rFonts w:ascii="Aptos" w:eastAsia="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7230C"/>
    <w:rPr>
      <w:rFonts w:ascii="Aptos" w:eastAsia="Times New Roman" w:hAnsi="Aptos"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342F3B"/>
  </w:style>
  <w:style w:type="numbering" w:customStyle="1" w:styleId="NoList1">
    <w:name w:val="No List1"/>
    <w:next w:val="NoList"/>
    <w:uiPriority w:val="99"/>
    <w:semiHidden/>
    <w:unhideWhenUsed/>
    <w:rsid w:val="004130D5"/>
  </w:style>
  <w:style w:type="character" w:customStyle="1" w:styleId="Heading5Char">
    <w:name w:val="Heading 5 Char"/>
    <w:basedOn w:val="DefaultParagraphFont"/>
    <w:link w:val="Heading5"/>
    <w:rsid w:val="007A6928"/>
    <w:rPr>
      <w:rFonts w:ascii="Times New Roman" w:eastAsia="Times New Roman" w:hAnsi="Times New Roman"/>
      <w:b/>
      <w:i/>
      <w:color w:val="000000"/>
      <w:sz w:val="22"/>
      <w:szCs w:val="22"/>
      <w:lang w:eastAsia="nl-NL"/>
    </w:rPr>
  </w:style>
  <w:style w:type="character" w:customStyle="1" w:styleId="Heading6Char">
    <w:name w:val="Heading 6 Char"/>
    <w:basedOn w:val="DefaultParagraphFont"/>
    <w:link w:val="Heading6"/>
    <w:rsid w:val="007A6928"/>
    <w:rPr>
      <w:rFonts w:ascii="Times New Roman" w:hAnsi="Times New Roman"/>
      <w:b/>
      <w:sz w:val="32"/>
      <w:szCs w:val="22"/>
      <w:lang w:val="en-GB" w:eastAsia="en-US"/>
    </w:rPr>
  </w:style>
  <w:style w:type="character" w:customStyle="1" w:styleId="Heading7Char">
    <w:name w:val="Heading 7 Char"/>
    <w:basedOn w:val="DefaultParagraphFont"/>
    <w:link w:val="Heading7"/>
    <w:rsid w:val="007A6928"/>
    <w:rPr>
      <w:rFonts w:ascii="Times New Roman" w:hAnsi="Times New Roman"/>
      <w:sz w:val="28"/>
      <w:szCs w:val="22"/>
      <w:lang w:val="en-GB" w:eastAsia="en-US"/>
    </w:rPr>
  </w:style>
  <w:style w:type="character" w:customStyle="1" w:styleId="Heading8Char">
    <w:name w:val="Heading 8 Char"/>
    <w:basedOn w:val="DefaultParagraphFont"/>
    <w:link w:val="Heading8"/>
    <w:rsid w:val="007A6928"/>
    <w:rPr>
      <w:rFonts w:ascii="Times New Roman" w:eastAsia="Times New Roman" w:hAnsi="Times New Roman"/>
      <w:b/>
      <w:color w:val="000000"/>
      <w:sz w:val="28"/>
      <w:szCs w:val="22"/>
      <w:lang w:eastAsia="en-US"/>
    </w:rPr>
  </w:style>
  <w:style w:type="character" w:customStyle="1" w:styleId="BodyTextIndent3Char">
    <w:name w:val="Body Text Indent 3 Char"/>
    <w:basedOn w:val="DefaultParagraphFont"/>
    <w:link w:val="BodyTextIndent3"/>
    <w:semiHidden/>
    <w:rsid w:val="007A6928"/>
    <w:rPr>
      <w:rFonts w:ascii="Times New Roman" w:hAnsi="Times New Roman"/>
      <w:b/>
      <w:i/>
      <w:sz w:val="22"/>
      <w:szCs w:val="22"/>
      <w:lang w:val="en-GB" w:eastAsia="en-US"/>
    </w:rPr>
  </w:style>
  <w:style w:type="character" w:customStyle="1" w:styleId="BodyTextIndent2Char">
    <w:name w:val="Body Text Indent 2 Char"/>
    <w:basedOn w:val="DefaultParagraphFont"/>
    <w:link w:val="BodyTextIndent2"/>
    <w:semiHidden/>
    <w:rsid w:val="007A6928"/>
    <w:rPr>
      <w:rFonts w:ascii="Times New Roman" w:hAnsi="Times New Roman"/>
      <w:color w:val="000000"/>
      <w:szCs w:val="22"/>
      <w:lang w:eastAsia="en-US"/>
    </w:rPr>
  </w:style>
  <w:style w:type="character" w:customStyle="1" w:styleId="BodyTextIndentChar">
    <w:name w:val="Body Text Indent Char"/>
    <w:basedOn w:val="DefaultParagraphFont"/>
    <w:link w:val="BodyTextIndent"/>
    <w:semiHidden/>
    <w:rsid w:val="007A6928"/>
    <w:rPr>
      <w:rFonts w:ascii="Times New Roman" w:hAnsi="Times New Roman"/>
      <w:b/>
      <w:i/>
      <w:color w:val="000000"/>
      <w:sz w:val="22"/>
      <w:szCs w:val="22"/>
      <w:lang w:eastAsia="en-US"/>
    </w:rPr>
  </w:style>
  <w:style w:type="numbering" w:customStyle="1" w:styleId="Normallist1">
    <w:name w:val="Normal_list1"/>
    <w:basedOn w:val="NoList"/>
    <w:locked/>
    <w:rsid w:val="007A6928"/>
  </w:style>
  <w:style w:type="numbering" w:customStyle="1" w:styleId="CurrentList11">
    <w:name w:val="Current List11"/>
    <w:uiPriority w:val="99"/>
    <w:rsid w:val="007A6928"/>
  </w:style>
  <w:style w:type="numbering" w:customStyle="1" w:styleId="CurrentList21">
    <w:name w:val="Current List21"/>
    <w:uiPriority w:val="99"/>
    <w:rsid w:val="007A6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header" Target="header10.xml"/><Relationship Id="rId55" Type="http://schemas.openxmlformats.org/officeDocument/2006/relationships/footer" Target="footer7.xml"/><Relationship Id="rId63" Type="http://schemas.openxmlformats.org/officeDocument/2006/relationships/hyperlink" Target="https://protect.checkpoint.com/v2/r02/___https://carboncontainmentlab.org/updates/posts/global-ods-hfc-destruction-capacity___.YzJlOmlpYXNhOmM6b2ZmaWNlMzY1X2VtYWlsc19hdHRhY2htZW50OjgxNmE3YzlkYjlkYzJmZTM4N2Y0MDA5YTgwOTcwOTM4Ojc6ODE4NDoyNjAxMzJiMWJlYTllMWFlODdmMjc1NDc3MjM4ODQ2ZTU0MWU1ZDlmODI0YjU0NGIyZDJkOGY0NjY2N2YyOWZlOnA6VDpO"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8.png"/><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eader" Target="header7.xml"/><Relationship Id="rId37" Type="http://schemas.openxmlformats.org/officeDocument/2006/relationships/image" Target="media/image13.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footer" Target="footer6.xml"/><Relationship Id="rId58" Type="http://schemas.openxmlformats.org/officeDocument/2006/relationships/image" Target="media/image27.png"/><Relationship Id="rId5" Type="http://schemas.openxmlformats.org/officeDocument/2006/relationships/customXml" Target="../customXml/item5.xml"/><Relationship Id="rId61" Type="http://schemas.openxmlformats.org/officeDocument/2006/relationships/hyperlink" Target="https://ozone.unep.org/system/files/documents/TEAP-DecisionXXXVII6-replenishment-TF-report-May2026-RTF-report.pdf" TargetMode="Externa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25.png"/><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header" Target="header8.xml"/><Relationship Id="rId38" Type="http://schemas.openxmlformats.org/officeDocument/2006/relationships/image" Target="media/image14.png"/><Relationship Id="rId46" Type="http://schemas.openxmlformats.org/officeDocument/2006/relationships/image" Target="media/image21.png"/><Relationship Id="rId59" Type="http://schemas.openxmlformats.org/officeDocument/2006/relationships/image" Target="media/image28.png"/><Relationship Id="rId20" Type="http://schemas.openxmlformats.org/officeDocument/2006/relationships/header" Target="header5.xml"/><Relationship Id="rId41" Type="http://schemas.openxmlformats.org/officeDocument/2006/relationships/image" Target="media/image16.png"/><Relationship Id="rId54" Type="http://schemas.openxmlformats.org/officeDocument/2006/relationships/header" Target="header12.xml"/><Relationship Id="rId62" Type="http://schemas.openxmlformats.org/officeDocument/2006/relationships/hyperlink" Target="https://protect.checkpoint.com/v2/r02/___https://www.copalliance.org/imglib/publications/COPA_Publication_ODS_HFC_%20Destruction_Reclamation.pdf___.YzJlOmlpYXNhOmM6b2ZmaWNlMzY1X2VtYWlsc19hdHRhY2htZW50OmIyMmI4MTM1MWJlZDdlY2JkYWU5NTA2ZDJiZTVlOWI4Ojc6ZDk0ODpjYjdmMzlhOTEyMTI3Mzg1NWY0ZDE4ODJkNzgyYTNjYmQ5NDYyZmI1MzlmMmJiMjUzN2NmZGQ1ODRhNWQwYjMwOnA6VDpO"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2.png"/><Relationship Id="rId49" Type="http://schemas.openxmlformats.org/officeDocument/2006/relationships/image" Target="media/image24.png"/><Relationship Id="rId57" Type="http://schemas.openxmlformats.org/officeDocument/2006/relationships/image" Target="media/image26.png"/><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image" Target="media/image19.png"/><Relationship Id="rId52" Type="http://schemas.openxmlformats.org/officeDocument/2006/relationships/footer" Target="footer5.xml"/><Relationship Id="rId60" Type="http://schemas.openxmlformats.org/officeDocument/2006/relationships/image" Target="media/image29.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protect.checkpoint.com/v2/r02/___https://word-edit.officeapps.live.com/we/wordeditorframe.aspx?ui=en-US&amp;rs=en-US&amp;wopisrc=https%3A%2F%2Fmy.microsoftpersonalcontent.com%2Fpersonal%2F63856a3713738e3e%2F_vti_bin%2Fwopi.ashx%2Ffiles%2F0ac92f547d1848619d2d5abb93a1de7d&amp;sc=%7B%22pmo%22%3A%22https%3A%2F%2Fonedrive.live.com%22%2C%22pmshare%22%3Atrue%2C%22redeem%22%3A%22aHR0cHM6Ly8xZHJ2Lm1zL3cvYy82Mzg1NmEzNzEzNzM4ZTNlL0lRQlVMOGtLR0gxaFNKMHRXcnVUb2Q1OUFTR3hMd1YtTjJibHh0VGhvRjkyNmFRP2U9aU9yb3F1Jk9SPU91dGxvb2smQ0lEPTNBMUQwMzgzLUE3MjgtNEFDNi1CNUZFLUNENkM4ODUyODhENiZDVD0xNzg3MTYyNzExNzIx%22%7D&amp;wdenableroaming=1&amp;mscc=0&amp;wdodb=1&amp;hid=802135A2-50C4-0000-2548-206830766B68.0&amp;uih=onedrivecom&amp;wdlcid=en-US&amp;jsapi=1&amp;jsapiver=v2&amp;corrid=e0b64054-1879-9fb5-8cd4-eb5c76d8e300&amp;usid=e0b64054-1879-9fb5-8cd4-eb5c76d8e300&amp;newsession=1&amp;sftc=1&amp;hfto=1787778772383&amp;uihit=docaspx&amp;muv=1&amp;cac=1&amp;sams=1&amp;sfp=1&amp;sdp=1&amp;hch=1&amp;hwfh=1&amp;dchat=1&amp;wdorigin=Sharing.ClientRedirect&amp;ctp=LeastProtected&amp;rct=Normal&amp;afdflight=36&amp;csiro=1&amp;instantedit=1&amp;wopicomplete=1&amp;wdredirectionreason=Unified_SingleFlush___.YzJlOmlpYXNhOmM6b2ZmaWNlMzY1X2VtYWlsc19hdHRhY2htZW50OmIyMmI4MTM1MWJlZDdlY2JkYWU5NTA2ZDJiZTVlOWI4Ojc6YmM2MDpkYmE1MDJiZWRhODNiZDU4OGY1NDg3ZWY0YmRiM2ZiY2RmYzUzYzAzNDQ1MGRkZWZhZTgzOThjZWNjZGEwNjMxOnA6VDp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9332b9e1-f5c1-4f67-b5c7-c1e928e16127">
      <Terms xmlns="http://schemas.microsoft.com/office/infopath/2007/PartnerControls"/>
    </lcf76f155ced4ddcb4097134ff3c332f>
    <Details xmlns="9332b9e1-f5c1-4f67-b5c7-c1e928e1612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24E473F8C21546BBEFEAAE37A18C79" ma:contentTypeVersion="22" ma:contentTypeDescription="Create a new document." ma:contentTypeScope="" ma:versionID="7853d899179c977da2fef98dadaeeeb4">
  <xsd:schema xmlns:xsd="http://www.w3.org/2001/XMLSchema" xmlns:xs="http://www.w3.org/2001/XMLSchema" xmlns:p="http://schemas.microsoft.com/office/2006/metadata/properties" xmlns:ns2="9332b9e1-f5c1-4f67-b5c7-c1e928e16127" xmlns:ns3="7882167c-b1fa-4e55-b4a5-6145aa31e8d9" xmlns:ns4="985ec44e-1bab-4c0b-9df0-6ba128686fc9" targetNamespace="http://schemas.microsoft.com/office/2006/metadata/properties" ma:root="true" ma:fieldsID="fb3dc74a53eb07d4a7392a52eb5b298d" ns2:_="" ns3:_="" ns4:_="">
    <xsd:import namespace="9332b9e1-f5c1-4f67-b5c7-c1e928e16127"/>
    <xsd:import namespace="7882167c-b1fa-4e55-b4a5-6145aa31e8d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2b9e1-f5c1-4f67-b5c7-c1e928e161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82167c-b1fa-4e55-b4a5-6145aa31e8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93B7622-3ED4-4259-8FD1-6C7833B0BD43}">
  <ds:schemaRefs>
    <ds:schemaRef ds:uri="http://schemas.microsoft.com/office/2006/metadata/properties"/>
    <ds:schemaRef ds:uri="http://schemas.microsoft.com/office/infopath/2007/PartnerControls"/>
    <ds:schemaRef ds:uri="985ec44e-1bab-4c0b-9df0-6ba128686fc9"/>
    <ds:schemaRef ds:uri="9332b9e1-f5c1-4f67-b5c7-c1e928e16127"/>
  </ds:schemaRefs>
</ds:datastoreItem>
</file>

<file path=customXml/itemProps2.xml><?xml version="1.0" encoding="utf-8"?>
<ds:datastoreItem xmlns:ds="http://schemas.openxmlformats.org/officeDocument/2006/customXml" ds:itemID="{E89D6F26-F2E6-471F-BEA2-7D899C3C12C0}">
  <ds:schemaRefs>
    <ds:schemaRef ds:uri="http://schemas.openxmlformats.org/officeDocument/2006/bibliography"/>
  </ds:schemaRefs>
</ds:datastoreItem>
</file>

<file path=customXml/itemProps3.xml><?xml version="1.0" encoding="utf-8"?>
<ds:datastoreItem xmlns:ds="http://schemas.openxmlformats.org/officeDocument/2006/customXml" ds:itemID="{C98373D3-1EE7-4ED5-AB4E-953272710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2b9e1-f5c1-4f67-b5c7-c1e928e16127"/>
    <ds:schemaRef ds:uri="7882167c-b1fa-4e55-b4a5-6145aa31e8d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F411A0-CEC7-4909-A53C-A67A563C39FD}">
  <ds:schemaRefs>
    <ds:schemaRef ds:uri="http://schemas.microsoft.com/sharepoint/v3/contenttype/forms"/>
  </ds:schemaRefs>
</ds:datastoreItem>
</file>

<file path=customXml/itemProps5.xml><?xml version="1.0" encoding="utf-8"?>
<ds:datastoreItem xmlns:ds="http://schemas.openxmlformats.org/officeDocument/2006/customXml" ds:itemID="{A3B577D1-2434-4735-B2BD-F020C8CD1E7C}">
  <ds:schemaRefs>
    <ds:schemaRef ds:uri="http://schemas.microsoft.com/office/2006/metadata/longPropertie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129</Pages>
  <Words>37332</Words>
  <Characters>212796</Characters>
  <Application>Microsoft Office Word</Application>
  <DocSecurity>0</DocSecurity>
  <Lines>1773</Lines>
  <Paragraphs>499</Paragraphs>
  <ScaleCrop>false</ScaleCrop>
  <HeadingPairs>
    <vt:vector size="2" baseType="variant">
      <vt:variant>
        <vt:lpstr>Title</vt:lpstr>
      </vt:variant>
      <vt:variant>
        <vt:i4>1</vt:i4>
      </vt:variant>
    </vt:vector>
  </HeadingPairs>
  <TitlesOfParts>
    <vt:vector size="1" baseType="lpstr">
      <vt:lpstr>TEAP 2021: Assessment of the funding requirement for the replenishment of the Multilateral Fund for the period 2021-2023 (Volume 6)</vt:lpstr>
    </vt:vector>
  </TitlesOfParts>
  <Company/>
  <LinksUpToDate>false</LinksUpToDate>
  <CharactersWithSpaces>249629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TEAP 2021: Assessment of the funding requirement for the replenishment of the Multilateral Fund for the period 2021-2023 (Volume 6)</dc:title>
  <dc:creator>maranion.bella@epa.gov</dc:creator>
  <cp:lastModifiedBy>Martha Mulumba</cp:lastModifiedBy>
  <cp:revision>6</cp:revision>
  <cp:lastPrinted>2026-09-22T21:22:00Z</cp:lastPrinted>
  <dcterms:created xsi:type="dcterms:W3CDTF">2026-09-25T06:27:00Z</dcterms:created>
  <dcterms:modified xsi:type="dcterms:W3CDTF">2026-09-25T06:41:00Z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0x0101002124E473F8C21546BBEFEAAE37A18C79</vt:lpwstr>
  </property>
  <property fmtid="{D5CDD505-2E9C-101B-9397-08002B2CF9AE}" pid="3" name="MediaServiceImageTags">
    <vt:lpwstr/>
  </property>
  <property fmtid="{D5CDD505-2E9C-101B-9397-08002B2CF9AE}" pid="4" name="gba66df640194346a5267c50f24d4797">
    <vt:lpwstr/>
  </property>
  <property fmtid="{D5CDD505-2E9C-101B-9397-08002B2CF9AE}" pid="5" name="Office_x0020_of_x0020_Origin">
    <vt:lpwstr/>
  </property>
  <property fmtid="{D5CDD505-2E9C-101B-9397-08002B2CF9AE}" pid="6" name="Office of Origin">
    <vt:lpwstr/>
  </property>
</Properties>
</file>