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33" w:rsidRDefault="00B85933">
      <w:pPr>
        <w:rPr>
          <w:rFonts w:ascii="Verdana" w:hAnsi="Verdana"/>
          <w:b/>
          <w:sz w:val="18"/>
          <w:szCs w:val="18"/>
          <w:lang w:val="en-US"/>
        </w:rPr>
      </w:pPr>
      <w:bookmarkStart w:id="0" w:name="_GoBack"/>
      <w:bookmarkEnd w:id="0"/>
    </w:p>
    <w:p w:rsidR="00B85933" w:rsidRDefault="00B85933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b/>
          <w:sz w:val="18"/>
          <w:szCs w:val="18"/>
          <w:lang w:val="en-US"/>
        </w:rPr>
        <w:t>[</w:t>
      </w:r>
      <w:proofErr w:type="gramStart"/>
      <w:r>
        <w:rPr>
          <w:rFonts w:ascii="Verdana" w:hAnsi="Verdana"/>
          <w:b/>
          <w:sz w:val="18"/>
          <w:szCs w:val="18"/>
          <w:lang w:val="en-US"/>
        </w:rPr>
        <w:t>Place holder</w:t>
      </w:r>
      <w:proofErr w:type="gramEnd"/>
      <w:r>
        <w:rPr>
          <w:rFonts w:ascii="Verdana" w:hAnsi="Verdana"/>
          <w:b/>
          <w:sz w:val="18"/>
          <w:szCs w:val="18"/>
          <w:lang w:val="en-US"/>
        </w:rPr>
        <w:t xml:space="preserve"> mandate contactgroup copy paste]</w:t>
      </w:r>
    </w:p>
    <w:p w:rsidR="00DE66CD" w:rsidRDefault="00DE66CD">
      <w:pPr>
        <w:rPr>
          <w:rFonts w:ascii="Verdana" w:hAnsi="Verdana"/>
          <w:b/>
          <w:sz w:val="18"/>
          <w:szCs w:val="18"/>
          <w:lang w:val="en-US"/>
        </w:rPr>
      </w:pPr>
    </w:p>
    <w:p w:rsidR="0079694F" w:rsidRDefault="00DE66CD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79694F">
        <w:rPr>
          <w:rFonts w:ascii="Verdana" w:hAnsi="Verdana"/>
          <w:b/>
          <w:sz w:val="18"/>
          <w:szCs w:val="18"/>
          <w:lang w:val="en-US"/>
        </w:rPr>
        <w:t>[Funding][</w:t>
      </w:r>
      <w:proofErr w:type="gramStart"/>
      <w:r w:rsidR="0079694F">
        <w:rPr>
          <w:rFonts w:ascii="Verdana" w:hAnsi="Verdana"/>
          <w:b/>
          <w:sz w:val="18"/>
          <w:szCs w:val="18"/>
          <w:lang w:val="en-US"/>
        </w:rPr>
        <w:t>financing</w:t>
      </w:r>
      <w:proofErr w:type="gramEnd"/>
      <w:r w:rsidR="0079694F">
        <w:rPr>
          <w:rFonts w:ascii="Verdana" w:hAnsi="Verdana"/>
          <w:b/>
          <w:sz w:val="18"/>
          <w:szCs w:val="18"/>
          <w:lang w:val="en-US"/>
        </w:rPr>
        <w:t>]</w:t>
      </w:r>
    </w:p>
    <w:p w:rsidR="0079694F" w:rsidRPr="0079694F" w:rsidRDefault="0079694F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Parties agree to maintain the MLF as the financial mechanism</w:t>
      </w:r>
      <w:r w:rsidR="00212E6B">
        <w:rPr>
          <w:rFonts w:ascii="Verdana" w:hAnsi="Verdana"/>
          <w:sz w:val="18"/>
          <w:szCs w:val="18"/>
          <w:lang w:val="en-US"/>
        </w:rPr>
        <w:t xml:space="preserve"> and agree that additional financial resources will be provided by </w:t>
      </w:r>
      <w:proofErr w:type="gramStart"/>
      <w:r w:rsidR="00212E6B">
        <w:rPr>
          <w:rFonts w:ascii="Verdana" w:hAnsi="Verdana"/>
          <w:sz w:val="18"/>
          <w:szCs w:val="18"/>
          <w:lang w:val="en-US"/>
        </w:rPr>
        <w:t>non A5</w:t>
      </w:r>
      <w:proofErr w:type="gramEnd"/>
      <w:r w:rsidR="00212E6B">
        <w:rPr>
          <w:rFonts w:ascii="Verdana" w:hAnsi="Verdana"/>
          <w:sz w:val="18"/>
          <w:szCs w:val="18"/>
          <w:lang w:val="en-US"/>
        </w:rPr>
        <w:t xml:space="preserve"> parties to offset costs arising out of HFC management for A5 parties if obligations are agreed to.</w:t>
      </w:r>
    </w:p>
    <w:p w:rsidR="0079694F" w:rsidRPr="0079694F" w:rsidRDefault="0079694F">
      <w:pPr>
        <w:rPr>
          <w:rFonts w:ascii="Verdana" w:hAnsi="Verdana"/>
          <w:sz w:val="18"/>
          <w:szCs w:val="18"/>
          <w:lang w:val="en-US"/>
        </w:rPr>
      </w:pPr>
    </w:p>
    <w:p w:rsidR="00A17C6E" w:rsidRPr="00762F07" w:rsidRDefault="00CD54EA">
      <w:pPr>
        <w:rPr>
          <w:rFonts w:ascii="Verdana" w:hAnsi="Verdana"/>
          <w:b/>
          <w:sz w:val="18"/>
          <w:szCs w:val="18"/>
          <w:lang w:val="en-US"/>
        </w:rPr>
      </w:pPr>
      <w:r w:rsidRPr="00762F07">
        <w:rPr>
          <w:rFonts w:ascii="Verdana" w:hAnsi="Verdana"/>
          <w:b/>
          <w:sz w:val="18"/>
          <w:szCs w:val="18"/>
          <w:lang w:val="en-US"/>
        </w:rPr>
        <w:t>Flexibility</w:t>
      </w:r>
    </w:p>
    <w:p w:rsidR="009A4C65" w:rsidRDefault="009A4C65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 xml:space="preserve">A5 parties will have </w:t>
      </w:r>
      <w:r w:rsidR="00DB43EF">
        <w:rPr>
          <w:rFonts w:ascii="Verdana" w:hAnsi="Verdana"/>
          <w:sz w:val="18"/>
          <w:szCs w:val="18"/>
          <w:lang w:val="en-US"/>
        </w:rPr>
        <w:t xml:space="preserve">[full] </w:t>
      </w:r>
      <w:r>
        <w:rPr>
          <w:rFonts w:ascii="Verdana" w:hAnsi="Verdana"/>
          <w:sz w:val="18"/>
          <w:szCs w:val="18"/>
          <w:lang w:val="en-US"/>
        </w:rPr>
        <w:t>flexibility to prioritize HFCs, define sectors, select technologies</w:t>
      </w:r>
      <w:r w:rsidR="00DB43EF">
        <w:rPr>
          <w:rFonts w:ascii="Verdana" w:hAnsi="Verdana"/>
          <w:sz w:val="18"/>
          <w:szCs w:val="18"/>
          <w:lang w:val="en-US"/>
        </w:rPr>
        <w:t>/alternatives</w:t>
      </w:r>
      <w:r w:rsidR="00273F39">
        <w:rPr>
          <w:rFonts w:ascii="Verdana" w:hAnsi="Verdana"/>
          <w:sz w:val="18"/>
          <w:szCs w:val="18"/>
          <w:lang w:val="en-US"/>
        </w:rPr>
        <w:t>,</w:t>
      </w:r>
      <w:r w:rsidR="00DB43EF"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/>
          <w:sz w:val="18"/>
          <w:szCs w:val="18"/>
          <w:lang w:val="en-US"/>
        </w:rPr>
        <w:t>elaborate and implement their strategies to meet agreed HFC obligations, based on their specific needs and national circumstances, following a country driven approach</w:t>
      </w:r>
      <w:r w:rsidR="00273F39">
        <w:rPr>
          <w:rFonts w:ascii="Verdana" w:hAnsi="Verdana"/>
          <w:sz w:val="18"/>
          <w:szCs w:val="18"/>
          <w:lang w:val="en-US"/>
        </w:rPr>
        <w:t>.</w:t>
      </w:r>
      <w:r>
        <w:rPr>
          <w:rFonts w:ascii="Verdana" w:hAnsi="Verdana"/>
          <w:sz w:val="18"/>
          <w:szCs w:val="18"/>
          <w:lang w:val="en-US"/>
        </w:rPr>
        <w:t xml:space="preserve"> </w:t>
      </w:r>
    </w:p>
    <w:p w:rsidR="00273F39" w:rsidRDefault="00273F39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The ExCom shall incorporate</w:t>
      </w:r>
      <w:r w:rsidR="006C342C">
        <w:rPr>
          <w:rFonts w:ascii="Verdana" w:hAnsi="Verdana"/>
          <w:sz w:val="18"/>
          <w:szCs w:val="18"/>
          <w:lang w:val="en-US"/>
        </w:rPr>
        <w:t xml:space="preserve"> the principle in the </w:t>
      </w:r>
      <w:proofErr w:type="gramStart"/>
      <w:r w:rsidR="006C342C">
        <w:rPr>
          <w:rFonts w:ascii="Verdana" w:hAnsi="Verdana"/>
          <w:sz w:val="18"/>
          <w:szCs w:val="18"/>
          <w:lang w:val="en-US"/>
        </w:rPr>
        <w:t>above mentioned</w:t>
      </w:r>
      <w:proofErr w:type="gramEnd"/>
      <w:r w:rsidR="006C342C">
        <w:rPr>
          <w:rFonts w:ascii="Verdana" w:hAnsi="Verdana"/>
          <w:sz w:val="18"/>
          <w:szCs w:val="18"/>
          <w:lang w:val="en-US"/>
        </w:rPr>
        <w:t xml:space="preserve"> paragraph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 w:rsidR="006C342C">
        <w:rPr>
          <w:rFonts w:ascii="Verdana" w:hAnsi="Verdana"/>
          <w:sz w:val="18"/>
          <w:szCs w:val="18"/>
          <w:lang w:val="en-US"/>
        </w:rPr>
        <w:t xml:space="preserve">in relevant </w:t>
      </w:r>
      <w:r>
        <w:rPr>
          <w:rFonts w:ascii="Verdana" w:hAnsi="Verdana"/>
          <w:sz w:val="18"/>
          <w:szCs w:val="18"/>
          <w:lang w:val="en-US"/>
        </w:rPr>
        <w:t>guidelines</w:t>
      </w:r>
      <w:r w:rsidR="006C342C">
        <w:rPr>
          <w:rFonts w:ascii="Verdana" w:hAnsi="Verdana"/>
          <w:sz w:val="18"/>
          <w:szCs w:val="18"/>
          <w:lang w:val="en-US"/>
        </w:rPr>
        <w:t xml:space="preserve"> </w:t>
      </w:r>
      <w:r w:rsidR="00CC0E64">
        <w:rPr>
          <w:rFonts w:ascii="Verdana" w:hAnsi="Verdana"/>
          <w:sz w:val="18"/>
          <w:szCs w:val="18"/>
          <w:lang w:val="en-US"/>
        </w:rPr>
        <w:t>[and its decision making process</w:t>
      </w:r>
      <w:r w:rsidR="006C342C">
        <w:rPr>
          <w:rFonts w:ascii="Verdana" w:hAnsi="Verdana"/>
          <w:sz w:val="18"/>
          <w:szCs w:val="18"/>
          <w:lang w:val="en-US"/>
        </w:rPr>
        <w:t>]</w:t>
      </w:r>
      <w:r w:rsidR="00CF1BFD">
        <w:rPr>
          <w:rFonts w:ascii="Verdana" w:hAnsi="Verdana"/>
          <w:sz w:val="18"/>
          <w:szCs w:val="18"/>
          <w:lang w:val="en-US"/>
        </w:rPr>
        <w:t>.</w:t>
      </w:r>
    </w:p>
    <w:p w:rsidR="00762F07" w:rsidRPr="00762F07" w:rsidRDefault="00762F07">
      <w:pPr>
        <w:rPr>
          <w:rFonts w:ascii="Verdana" w:hAnsi="Verdana"/>
          <w:b/>
          <w:sz w:val="18"/>
          <w:szCs w:val="18"/>
          <w:lang w:val="en-US"/>
        </w:rPr>
      </w:pPr>
      <w:r w:rsidRPr="00762F07">
        <w:rPr>
          <w:rFonts w:ascii="Verdana" w:hAnsi="Verdana"/>
          <w:b/>
          <w:sz w:val="18"/>
          <w:szCs w:val="18"/>
          <w:lang w:val="en-US"/>
        </w:rPr>
        <w:t>2</w:t>
      </w:r>
      <w:r w:rsidRPr="00762F07">
        <w:rPr>
          <w:rFonts w:ascii="Verdana" w:hAnsi="Verdana"/>
          <w:b/>
          <w:sz w:val="18"/>
          <w:szCs w:val="18"/>
          <w:vertAlign w:val="superscript"/>
          <w:lang w:val="en-US"/>
        </w:rPr>
        <w:t>nd</w:t>
      </w:r>
      <w:r w:rsidRPr="00762F07">
        <w:rPr>
          <w:rFonts w:ascii="Verdana" w:hAnsi="Verdana"/>
          <w:b/>
          <w:sz w:val="18"/>
          <w:szCs w:val="18"/>
          <w:lang w:val="en-US"/>
        </w:rPr>
        <w:t xml:space="preserve"> and 3</w:t>
      </w:r>
      <w:r w:rsidRPr="00762F07">
        <w:rPr>
          <w:rFonts w:ascii="Verdana" w:hAnsi="Verdana"/>
          <w:b/>
          <w:sz w:val="18"/>
          <w:szCs w:val="18"/>
          <w:vertAlign w:val="superscript"/>
          <w:lang w:val="en-US"/>
        </w:rPr>
        <w:t>rd</w:t>
      </w:r>
      <w:r w:rsidRPr="00762F07">
        <w:rPr>
          <w:rFonts w:ascii="Verdana" w:hAnsi="Verdana"/>
          <w:b/>
          <w:sz w:val="18"/>
          <w:szCs w:val="18"/>
          <w:lang w:val="en-US"/>
        </w:rPr>
        <w:t xml:space="preserve"> conversions</w:t>
      </w:r>
    </w:p>
    <w:p w:rsidR="00762F07" w:rsidRDefault="00762F07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 xml:space="preserve">Enterprises that have </w:t>
      </w:r>
      <w:r w:rsidR="009E5A99">
        <w:rPr>
          <w:rFonts w:ascii="Verdana" w:hAnsi="Verdana"/>
          <w:sz w:val="18"/>
          <w:szCs w:val="18"/>
          <w:lang w:val="en-US"/>
        </w:rPr>
        <w:t xml:space="preserve">already </w:t>
      </w:r>
      <w:r>
        <w:rPr>
          <w:rFonts w:ascii="Verdana" w:hAnsi="Verdana"/>
          <w:sz w:val="18"/>
          <w:szCs w:val="18"/>
          <w:lang w:val="en-US"/>
        </w:rPr>
        <w:t xml:space="preserve">converted to HFCs in phasing out CFCs and/or HCFCs will be eligible </w:t>
      </w:r>
      <w:r w:rsidR="00CF1BFD">
        <w:rPr>
          <w:rFonts w:ascii="Verdana" w:hAnsi="Verdana"/>
          <w:sz w:val="18"/>
          <w:szCs w:val="18"/>
          <w:lang w:val="en-US"/>
        </w:rPr>
        <w:t xml:space="preserve">to receive funding from the MLF to meet </w:t>
      </w:r>
      <w:r>
        <w:rPr>
          <w:rFonts w:ascii="Verdana" w:hAnsi="Verdana"/>
          <w:sz w:val="18"/>
          <w:szCs w:val="18"/>
          <w:lang w:val="en-US"/>
        </w:rPr>
        <w:t>agreed incremental costs</w:t>
      </w:r>
      <w:r w:rsidR="00CE1111">
        <w:rPr>
          <w:rFonts w:ascii="Verdana" w:hAnsi="Verdana"/>
          <w:sz w:val="18"/>
          <w:szCs w:val="18"/>
          <w:lang w:val="en-US"/>
        </w:rPr>
        <w:t xml:space="preserve"> in the same manner as enterprises eligible for 1</w:t>
      </w:r>
      <w:r w:rsidR="00CE1111" w:rsidRPr="00CE1111">
        <w:rPr>
          <w:rFonts w:ascii="Verdana" w:hAnsi="Verdana"/>
          <w:sz w:val="18"/>
          <w:szCs w:val="18"/>
          <w:vertAlign w:val="superscript"/>
          <w:lang w:val="en-US"/>
        </w:rPr>
        <w:t>st</w:t>
      </w:r>
      <w:r w:rsidR="00CE1111">
        <w:rPr>
          <w:rFonts w:ascii="Verdana" w:hAnsi="Verdana"/>
          <w:sz w:val="18"/>
          <w:szCs w:val="18"/>
          <w:lang w:val="en-US"/>
        </w:rPr>
        <w:t xml:space="preserve"> conversions</w:t>
      </w:r>
      <w:r w:rsidR="000D7B2A">
        <w:rPr>
          <w:rFonts w:ascii="Verdana" w:hAnsi="Verdana"/>
          <w:sz w:val="18"/>
          <w:szCs w:val="18"/>
          <w:lang w:val="en-US"/>
        </w:rPr>
        <w:t>.</w:t>
      </w:r>
    </w:p>
    <w:p w:rsidR="000D7B2A" w:rsidRDefault="000D7B2A">
      <w:pPr>
        <w:rPr>
          <w:rFonts w:ascii="Verdana" w:hAnsi="Verdana"/>
          <w:b/>
          <w:sz w:val="18"/>
          <w:szCs w:val="18"/>
          <w:lang w:val="en-US"/>
        </w:rPr>
      </w:pPr>
      <w:r w:rsidRPr="000D7B2A">
        <w:rPr>
          <w:rFonts w:ascii="Verdana" w:hAnsi="Verdana"/>
          <w:b/>
          <w:sz w:val="18"/>
          <w:szCs w:val="18"/>
          <w:lang w:val="en-US"/>
        </w:rPr>
        <w:t>Guidance to the ExCom</w:t>
      </w:r>
    </w:p>
    <w:p w:rsidR="000D7B2A" w:rsidRDefault="000D7B2A" w:rsidP="001F586D">
      <w:pPr>
        <w:spacing w:after="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It is understood that guidelines and/or methodologies will have to be developed on the following issues</w:t>
      </w:r>
      <w:r w:rsidR="00CE1111">
        <w:rPr>
          <w:rFonts w:ascii="Verdana" w:hAnsi="Verdana"/>
          <w:sz w:val="18"/>
          <w:szCs w:val="18"/>
          <w:lang w:val="en-US"/>
        </w:rPr>
        <w:t xml:space="preserve"> related to HFC </w:t>
      </w:r>
      <w:r w:rsidR="000842AA">
        <w:rPr>
          <w:rFonts w:ascii="Verdana" w:hAnsi="Verdana"/>
          <w:sz w:val="18"/>
          <w:szCs w:val="18"/>
          <w:lang w:val="en-US"/>
        </w:rPr>
        <w:t>[</w:t>
      </w:r>
      <w:r w:rsidR="00CE1111">
        <w:rPr>
          <w:rFonts w:ascii="Verdana" w:hAnsi="Verdana"/>
          <w:sz w:val="18"/>
          <w:szCs w:val="18"/>
          <w:lang w:val="en-US"/>
        </w:rPr>
        <w:t>phase down</w:t>
      </w:r>
      <w:r w:rsidR="000842AA">
        <w:rPr>
          <w:rFonts w:ascii="Verdana" w:hAnsi="Verdana"/>
          <w:sz w:val="18"/>
          <w:szCs w:val="18"/>
          <w:lang w:val="en-US"/>
        </w:rPr>
        <w:t>][management]</w:t>
      </w:r>
      <w:r w:rsidR="00CE1111">
        <w:rPr>
          <w:rFonts w:ascii="Verdana" w:hAnsi="Verdana"/>
          <w:sz w:val="18"/>
          <w:szCs w:val="18"/>
          <w:lang w:val="en-US"/>
        </w:rPr>
        <w:t xml:space="preserve"> activities</w:t>
      </w:r>
      <w:r>
        <w:rPr>
          <w:rFonts w:ascii="Verdana" w:hAnsi="Verdana"/>
          <w:sz w:val="18"/>
          <w:szCs w:val="18"/>
          <w:lang w:val="en-US"/>
        </w:rPr>
        <w:t>:</w:t>
      </w:r>
    </w:p>
    <w:p w:rsidR="006A7CDC" w:rsidRDefault="006A7CDC" w:rsidP="000D7B2A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Determination of incremental costs</w:t>
      </w:r>
    </w:p>
    <w:p w:rsidR="000D7B2A" w:rsidRDefault="000D7B2A" w:rsidP="000D7B2A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Calculation of incremental costs</w:t>
      </w:r>
    </w:p>
    <w:p w:rsidR="000D7B2A" w:rsidRDefault="000D7B2A" w:rsidP="000D7B2A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Cost effectiveness thresholds</w:t>
      </w:r>
    </w:p>
    <w:p w:rsidR="000D7B2A" w:rsidRDefault="006A7CDC" w:rsidP="000D7B2A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[Costs of projects]</w:t>
      </w:r>
    </w:p>
    <w:p w:rsidR="000D7B2A" w:rsidRDefault="00CE1111" w:rsidP="000D7B2A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E</w:t>
      </w:r>
      <w:r w:rsidR="000D7B2A">
        <w:rPr>
          <w:rFonts w:ascii="Verdana" w:hAnsi="Verdana"/>
          <w:sz w:val="18"/>
          <w:szCs w:val="18"/>
          <w:lang w:val="en-US"/>
        </w:rPr>
        <w:t xml:space="preserve">nergy efficiency and climate impacts of </w:t>
      </w:r>
      <w:r w:rsidR="00A66973">
        <w:rPr>
          <w:rFonts w:ascii="Verdana" w:hAnsi="Verdana"/>
          <w:sz w:val="18"/>
          <w:szCs w:val="18"/>
          <w:lang w:val="en-US"/>
        </w:rPr>
        <w:t>projects</w:t>
      </w:r>
    </w:p>
    <w:p w:rsidR="000D7B2A" w:rsidRDefault="000D7B2A" w:rsidP="000D7B2A">
      <w:pPr>
        <w:rPr>
          <w:rFonts w:ascii="Verdana" w:hAnsi="Verdana"/>
          <w:b/>
          <w:sz w:val="18"/>
          <w:szCs w:val="18"/>
          <w:lang w:val="en-US"/>
        </w:rPr>
      </w:pPr>
      <w:r w:rsidRPr="000D7B2A">
        <w:rPr>
          <w:rFonts w:ascii="Verdana" w:hAnsi="Verdana"/>
          <w:b/>
          <w:sz w:val="18"/>
          <w:szCs w:val="18"/>
          <w:lang w:val="en-US"/>
        </w:rPr>
        <w:t>Enabling activities</w:t>
      </w:r>
    </w:p>
    <w:p w:rsidR="000842AA" w:rsidRPr="000842AA" w:rsidRDefault="00822BB3" w:rsidP="000842AA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[E</w:t>
      </w:r>
      <w:r w:rsidR="00192489">
        <w:rPr>
          <w:rFonts w:ascii="Verdana" w:hAnsi="Verdana"/>
          <w:sz w:val="18"/>
          <w:szCs w:val="18"/>
          <w:lang w:val="en-US"/>
        </w:rPr>
        <w:t>nabling activities will be supported by the MLF in an</w:t>
      </w:r>
      <w:r>
        <w:rPr>
          <w:rFonts w:ascii="Verdana" w:hAnsi="Verdana"/>
          <w:sz w:val="18"/>
          <w:szCs w:val="18"/>
          <w:lang w:val="en-US"/>
        </w:rPr>
        <w:t>y</w:t>
      </w:r>
      <w:r w:rsidR="00192489">
        <w:rPr>
          <w:rFonts w:ascii="Verdana" w:hAnsi="Verdana"/>
          <w:sz w:val="18"/>
          <w:szCs w:val="18"/>
          <w:lang w:val="en-US"/>
        </w:rPr>
        <w:t xml:space="preserve"> HFC phase down agreement.</w:t>
      </w:r>
      <w:r>
        <w:rPr>
          <w:rFonts w:ascii="Verdana" w:hAnsi="Verdana"/>
          <w:sz w:val="18"/>
          <w:szCs w:val="18"/>
          <w:lang w:val="en-US"/>
        </w:rPr>
        <w:t>]</w:t>
      </w:r>
    </w:p>
    <w:p w:rsidR="000D7B2A" w:rsidRDefault="000D7B2A" w:rsidP="000D7B2A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  <w:lang w:val="en-US"/>
        </w:rPr>
      </w:pPr>
      <w:r w:rsidRPr="000D7B2A">
        <w:rPr>
          <w:rFonts w:ascii="Verdana" w:hAnsi="Verdana"/>
          <w:sz w:val="18"/>
          <w:szCs w:val="18"/>
          <w:lang w:val="en-US"/>
        </w:rPr>
        <w:t xml:space="preserve">Capacity building and training for handling </w:t>
      </w:r>
      <w:r w:rsidR="000842AA">
        <w:rPr>
          <w:rFonts w:ascii="Verdana" w:hAnsi="Verdana"/>
          <w:sz w:val="18"/>
          <w:szCs w:val="18"/>
          <w:lang w:val="en-US"/>
        </w:rPr>
        <w:t xml:space="preserve">HFC </w:t>
      </w:r>
      <w:r w:rsidRPr="000D7B2A">
        <w:rPr>
          <w:rFonts w:ascii="Verdana" w:hAnsi="Verdana"/>
          <w:sz w:val="18"/>
          <w:szCs w:val="18"/>
          <w:lang w:val="en-US"/>
        </w:rPr>
        <w:t>alternatives in the servicing sector</w:t>
      </w:r>
      <w:r w:rsidR="006845A2">
        <w:rPr>
          <w:rFonts w:ascii="Verdana" w:hAnsi="Verdana"/>
          <w:sz w:val="18"/>
          <w:szCs w:val="18"/>
          <w:lang w:val="en-US"/>
        </w:rPr>
        <w:t>,</w:t>
      </w:r>
      <w:r w:rsidRPr="000D7B2A">
        <w:rPr>
          <w:rFonts w:ascii="Verdana" w:hAnsi="Verdana"/>
          <w:sz w:val="18"/>
          <w:szCs w:val="18"/>
          <w:lang w:val="en-US"/>
        </w:rPr>
        <w:t xml:space="preserve"> the manufacturing </w:t>
      </w:r>
      <w:r w:rsidR="006845A2">
        <w:rPr>
          <w:rFonts w:ascii="Verdana" w:hAnsi="Verdana"/>
          <w:sz w:val="18"/>
          <w:szCs w:val="18"/>
          <w:lang w:val="en-US"/>
        </w:rPr>
        <w:t xml:space="preserve">[and production] </w:t>
      </w:r>
      <w:r w:rsidRPr="000D7B2A">
        <w:rPr>
          <w:rFonts w:ascii="Verdana" w:hAnsi="Verdana"/>
          <w:sz w:val="18"/>
          <w:szCs w:val="18"/>
          <w:lang w:val="en-US"/>
        </w:rPr>
        <w:t>sectors</w:t>
      </w:r>
    </w:p>
    <w:p w:rsidR="000842AA" w:rsidRDefault="000842AA" w:rsidP="000D7B2A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Institutional Strengthening</w:t>
      </w:r>
    </w:p>
    <w:p w:rsidR="000D7B2A" w:rsidRDefault="000842AA" w:rsidP="000D7B2A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 xml:space="preserve">Article 4b </w:t>
      </w:r>
      <w:r w:rsidR="000D7B2A">
        <w:rPr>
          <w:rFonts w:ascii="Verdana" w:hAnsi="Verdana"/>
          <w:sz w:val="18"/>
          <w:szCs w:val="18"/>
          <w:lang w:val="en-US"/>
        </w:rPr>
        <w:t xml:space="preserve">Licensing </w:t>
      </w:r>
    </w:p>
    <w:p w:rsidR="000D7B2A" w:rsidRDefault="000D7B2A" w:rsidP="000D7B2A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Reporting</w:t>
      </w:r>
    </w:p>
    <w:p w:rsidR="00A66973" w:rsidRDefault="00A66973" w:rsidP="000D7B2A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Demo</w:t>
      </w:r>
      <w:r w:rsidR="000842AA">
        <w:rPr>
          <w:rFonts w:ascii="Verdana" w:hAnsi="Verdana"/>
          <w:sz w:val="18"/>
          <w:szCs w:val="18"/>
          <w:lang w:val="en-US"/>
        </w:rPr>
        <w:t>nstration</w:t>
      </w:r>
      <w:r>
        <w:rPr>
          <w:rFonts w:ascii="Verdana" w:hAnsi="Verdana"/>
          <w:sz w:val="18"/>
          <w:szCs w:val="18"/>
          <w:lang w:val="en-US"/>
        </w:rPr>
        <w:t xml:space="preserve"> projects</w:t>
      </w:r>
    </w:p>
    <w:p w:rsidR="000D7B2A" w:rsidRPr="000D7B2A" w:rsidRDefault="000842AA" w:rsidP="000D7B2A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Developing national strategies</w:t>
      </w:r>
    </w:p>
    <w:p w:rsidR="000D7B2A" w:rsidRDefault="000D7B2A" w:rsidP="000D7B2A">
      <w:pPr>
        <w:rPr>
          <w:rFonts w:ascii="Verdana" w:hAnsi="Verdana"/>
          <w:sz w:val="18"/>
          <w:szCs w:val="18"/>
          <w:lang w:val="en-US"/>
        </w:rPr>
      </w:pPr>
    </w:p>
    <w:p w:rsidR="00C57567" w:rsidRPr="00C57567" w:rsidRDefault="003E6738" w:rsidP="000D7B2A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b/>
          <w:sz w:val="18"/>
          <w:szCs w:val="18"/>
          <w:lang w:val="en-US"/>
        </w:rPr>
        <w:t xml:space="preserve">HAT </w:t>
      </w:r>
      <w:r w:rsidR="00C57567">
        <w:rPr>
          <w:rFonts w:ascii="Verdana" w:hAnsi="Verdana"/>
          <w:b/>
          <w:sz w:val="18"/>
          <w:szCs w:val="18"/>
          <w:lang w:val="en-US"/>
        </w:rPr>
        <w:t>Exemption placeholder</w:t>
      </w:r>
    </w:p>
    <w:p w:rsidR="00C57567" w:rsidRDefault="00C57567" w:rsidP="000D7B2A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[To recognize the special situation of high ambient temperature countries and the need for a specific exemption to address their situation]</w:t>
      </w:r>
    </w:p>
    <w:p w:rsidR="00435C56" w:rsidRDefault="00435C56" w:rsidP="000D7B2A">
      <w:pPr>
        <w:rPr>
          <w:rFonts w:ascii="Verdana" w:hAnsi="Verdana"/>
          <w:sz w:val="18"/>
          <w:szCs w:val="18"/>
          <w:lang w:val="en-US"/>
        </w:rPr>
      </w:pPr>
    </w:p>
    <w:p w:rsidR="00435C56" w:rsidRDefault="00435C56" w:rsidP="000D7B2A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Placeholder</w:t>
      </w:r>
    </w:p>
    <w:p w:rsidR="00435C56" w:rsidRDefault="00435C56" w:rsidP="000D7B2A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 xml:space="preserve">It is understood that the remaining challenges will be further discussed. </w:t>
      </w:r>
    </w:p>
    <w:sectPr w:rsidR="00435C56" w:rsidSect="00A1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31399"/>
    <w:multiLevelType w:val="hybridMultilevel"/>
    <w:tmpl w:val="2F52C5E0"/>
    <w:lvl w:ilvl="0" w:tplc="DD1ABE1A">
      <w:start w:val="1"/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E94DC8"/>
    <w:multiLevelType w:val="hybridMultilevel"/>
    <w:tmpl w:val="864202A2"/>
    <w:lvl w:ilvl="0" w:tplc="DD1ABE1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EA"/>
    <w:rsid w:val="000842AA"/>
    <w:rsid w:val="000D7B2A"/>
    <w:rsid w:val="0016449E"/>
    <w:rsid w:val="00192489"/>
    <w:rsid w:val="001F586D"/>
    <w:rsid w:val="00212E6B"/>
    <w:rsid w:val="00241737"/>
    <w:rsid w:val="00273F39"/>
    <w:rsid w:val="00290143"/>
    <w:rsid w:val="002E42D3"/>
    <w:rsid w:val="003E6738"/>
    <w:rsid w:val="003F4734"/>
    <w:rsid w:val="00405FBB"/>
    <w:rsid w:val="004112E3"/>
    <w:rsid w:val="004125FF"/>
    <w:rsid w:val="00435C56"/>
    <w:rsid w:val="004402EF"/>
    <w:rsid w:val="00533C46"/>
    <w:rsid w:val="00540553"/>
    <w:rsid w:val="00625D1D"/>
    <w:rsid w:val="006845A2"/>
    <w:rsid w:val="0068753F"/>
    <w:rsid w:val="006A7CDC"/>
    <w:rsid w:val="006C342C"/>
    <w:rsid w:val="00762F07"/>
    <w:rsid w:val="0079694F"/>
    <w:rsid w:val="007E7E20"/>
    <w:rsid w:val="00822BB3"/>
    <w:rsid w:val="00882F4B"/>
    <w:rsid w:val="0097356C"/>
    <w:rsid w:val="009A4C65"/>
    <w:rsid w:val="009E5A99"/>
    <w:rsid w:val="00A17C6E"/>
    <w:rsid w:val="00A66973"/>
    <w:rsid w:val="00B725E2"/>
    <w:rsid w:val="00B81B01"/>
    <w:rsid w:val="00B85933"/>
    <w:rsid w:val="00BD1813"/>
    <w:rsid w:val="00C05251"/>
    <w:rsid w:val="00C57567"/>
    <w:rsid w:val="00C84965"/>
    <w:rsid w:val="00CB26FD"/>
    <w:rsid w:val="00CC0E64"/>
    <w:rsid w:val="00CD54EA"/>
    <w:rsid w:val="00CE1111"/>
    <w:rsid w:val="00CF1BFD"/>
    <w:rsid w:val="00CF1FFE"/>
    <w:rsid w:val="00D02305"/>
    <w:rsid w:val="00DB43EF"/>
    <w:rsid w:val="00DE66CD"/>
    <w:rsid w:val="00E32B05"/>
    <w:rsid w:val="00EA1E54"/>
    <w:rsid w:val="00EA26CB"/>
    <w:rsid w:val="00EE5E13"/>
    <w:rsid w:val="00F22CDC"/>
    <w:rsid w:val="00F8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A5028697DC3145AFD5BA725BF32397" ma:contentTypeVersion="" ma:contentTypeDescription="Create a new document." ma:contentTypeScope="" ma:versionID="44c068c95a9453bdce2b87fefc4612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C4867B-09BC-456B-8859-8F55F9644CF2}"/>
</file>

<file path=customXml/itemProps2.xml><?xml version="1.0" encoding="utf-8"?>
<ds:datastoreItem xmlns:ds="http://schemas.openxmlformats.org/officeDocument/2006/customXml" ds:itemID="{3E24433F-AEBC-498B-B16F-EAE2D7EE2D2F}"/>
</file>

<file path=customXml/itemProps3.xml><?xml version="1.0" encoding="utf-8"?>
<ds:datastoreItem xmlns:ds="http://schemas.openxmlformats.org/officeDocument/2006/customXml" ds:itemID="{1B4309A6-18FE-455C-928F-AAA1B61822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Rijksoverheid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points_Submission by the European Union</dc:title>
  <dc:creator>GAlkemad</dc:creator>
  <cp:lastModifiedBy>Ozone Secretariat</cp:lastModifiedBy>
  <cp:revision>2</cp:revision>
  <dcterms:created xsi:type="dcterms:W3CDTF">2015-11-05T11:03:00Z</dcterms:created>
  <dcterms:modified xsi:type="dcterms:W3CDTF">2015-11-05T11:03:00Z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0x01010092A5028697DC3145AFD5BA725BF32397</vt:lpwstr>
  </property>
</Properties>
</file>